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66FF1460" w:rsidR="00B60939" w:rsidRPr="00CD4FAB" w:rsidRDefault="00493B01" w:rsidP="00F10698">
      <w:pPr>
        <w:pStyle w:val="1-MainHeading"/>
        <w:keepNext w:val="0"/>
        <w:ind w:left="709" w:hanging="709"/>
      </w:pPr>
      <w:bookmarkStart w:id="0" w:name="_Toc156979610"/>
      <w:r w:rsidRPr="00CD4FAB">
        <w:t>6.07</w:t>
      </w:r>
      <w:r w:rsidR="00163F66" w:rsidRPr="00CD4FAB">
        <w:tab/>
      </w:r>
      <w:r w:rsidR="00933C04" w:rsidRPr="00CD4FAB">
        <w:t>N</w:t>
      </w:r>
      <w:r w:rsidR="0023180C" w:rsidRPr="00CD4FAB">
        <w:t>IVOLUMAB</w:t>
      </w:r>
      <w:r w:rsidR="00163F66" w:rsidRPr="00CD4FAB">
        <w:t>,</w:t>
      </w:r>
      <w:r w:rsidR="00163F66" w:rsidRPr="00CD4FAB">
        <w:br/>
      </w:r>
      <w:r w:rsidR="0023180C" w:rsidRPr="00CD4FAB">
        <w:t>Injection concentrate for I.V. infusion 40 mg in 4 mL</w:t>
      </w:r>
      <w:r w:rsidR="00B7749B" w:rsidRPr="00CD4FAB">
        <w:t>,</w:t>
      </w:r>
      <w:r w:rsidR="0023180C" w:rsidRPr="00CD4FAB">
        <w:br/>
        <w:t xml:space="preserve">Injection concentrate for I.V. infusion 100 mg in </w:t>
      </w:r>
      <w:r w:rsidR="00B67E53" w:rsidRPr="00CD4FAB">
        <w:t>10</w:t>
      </w:r>
      <w:r w:rsidR="00B67E53">
        <w:t> </w:t>
      </w:r>
      <w:r w:rsidR="0023180C" w:rsidRPr="00CD4FAB">
        <w:t>mL</w:t>
      </w:r>
      <w:r w:rsidR="00B7749B" w:rsidRPr="00CD4FAB">
        <w:t>,</w:t>
      </w:r>
      <w:r w:rsidR="00F10698" w:rsidRPr="00CD4FAB">
        <w:t xml:space="preserve"> </w:t>
      </w:r>
      <w:r w:rsidR="00C23C2B" w:rsidRPr="00CD4FAB">
        <w:t>Opdiv</w:t>
      </w:r>
      <w:r w:rsidR="0023180C" w:rsidRPr="00CD4FAB">
        <w:t>o</w:t>
      </w:r>
      <w:r w:rsidR="00B60939" w:rsidRPr="00CD4FAB">
        <w:t>®</w:t>
      </w:r>
      <w:r w:rsidR="004A6040" w:rsidRPr="00CD4FAB">
        <w:t>,</w:t>
      </w:r>
      <w:r w:rsidR="004A6040" w:rsidRPr="00CD4FAB">
        <w:br/>
      </w:r>
      <w:r w:rsidR="00C23C2B" w:rsidRPr="00CD4FAB">
        <w:t>Bristol Myers Squibb</w:t>
      </w:r>
      <w:r w:rsidR="0023180C" w:rsidRPr="00CD4FAB">
        <w:t xml:space="preserve"> Australia Pty Ltd</w:t>
      </w:r>
      <w:bookmarkEnd w:id="0"/>
      <w:r w:rsidR="00F73E08" w:rsidRPr="00CD4FAB">
        <w:t xml:space="preserve"> </w:t>
      </w:r>
    </w:p>
    <w:p w14:paraId="11C00795" w14:textId="3DFB6D23" w:rsidR="00B50DB8" w:rsidRPr="00CD4FAB" w:rsidRDefault="00B50DB8" w:rsidP="004A6040">
      <w:pPr>
        <w:pStyle w:val="2-SectionHeading"/>
      </w:pPr>
      <w:bookmarkStart w:id="1" w:name="_Toc156979612"/>
      <w:r w:rsidRPr="00CD4FAB">
        <w:t xml:space="preserve">Purpose of </w:t>
      </w:r>
      <w:r w:rsidR="00CD7193" w:rsidRPr="00CD4FAB">
        <w:t>s</w:t>
      </w:r>
      <w:r w:rsidR="00BB3A45" w:rsidRPr="00CD4FAB">
        <w:t>ubmission</w:t>
      </w:r>
      <w:bookmarkEnd w:id="1"/>
    </w:p>
    <w:p w14:paraId="30E0B513" w14:textId="612BFC22" w:rsidR="00870BD0" w:rsidRPr="00CD4FAB" w:rsidRDefault="007170DA" w:rsidP="004E18E9">
      <w:pPr>
        <w:pStyle w:val="3-BodyText"/>
      </w:pPr>
      <w:r w:rsidRPr="00CD4FAB">
        <w:t xml:space="preserve">The </w:t>
      </w:r>
      <w:r w:rsidR="00F73E08" w:rsidRPr="00CD4FAB">
        <w:t xml:space="preserve">Category </w:t>
      </w:r>
      <w:r w:rsidR="00111D88" w:rsidRPr="00CD4FAB">
        <w:t>2</w:t>
      </w:r>
      <w:r w:rsidR="003C7C15" w:rsidRPr="00CD4FAB">
        <w:t xml:space="preserve"> </w:t>
      </w:r>
      <w:r w:rsidRPr="00CD4FAB">
        <w:t>submission requested</w:t>
      </w:r>
      <w:r w:rsidR="006D2138" w:rsidRPr="00CD4FAB">
        <w:t xml:space="preserve"> modification of the </w:t>
      </w:r>
      <w:r w:rsidR="00C23C2B" w:rsidRPr="00CD4FAB">
        <w:t>proposed</w:t>
      </w:r>
      <w:r w:rsidR="006D2138" w:rsidRPr="00CD4FAB">
        <w:t xml:space="preserve"> </w:t>
      </w:r>
      <w:r w:rsidR="008B1757" w:rsidRPr="00CD4FAB">
        <w:t xml:space="preserve">listing for </w:t>
      </w:r>
      <w:r w:rsidR="006D2138" w:rsidRPr="00CD4FAB">
        <w:t>nivolumab</w:t>
      </w:r>
      <w:r w:rsidR="008B1757" w:rsidRPr="00CD4FAB">
        <w:t xml:space="preserve"> for </w:t>
      </w:r>
      <w:r w:rsidR="0050174E" w:rsidRPr="00CD4FAB">
        <w:t xml:space="preserve">the </w:t>
      </w:r>
      <w:r w:rsidR="006D2138" w:rsidRPr="00CD4FAB">
        <w:t xml:space="preserve">neoadjuvant </w:t>
      </w:r>
      <w:r w:rsidR="008B1757" w:rsidRPr="00CD4FAB">
        <w:t xml:space="preserve">treatment of </w:t>
      </w:r>
      <w:r w:rsidR="006D2138" w:rsidRPr="00CD4FAB">
        <w:t>surgically-resectable non-small cell lung cancer (NSCLC)</w:t>
      </w:r>
      <w:r w:rsidR="00C23C2B" w:rsidRPr="00CD4FAB">
        <w:t>, following the recommendations of the PBAC for this indication in July</w:t>
      </w:r>
      <w:r w:rsidR="00B67E53">
        <w:t> </w:t>
      </w:r>
      <w:r w:rsidR="00C23C2B" w:rsidRPr="00CD4FAB">
        <w:t>2023.</w:t>
      </w:r>
    </w:p>
    <w:p w14:paraId="4BD4F4AE" w14:textId="0D852528" w:rsidR="00E15B24" w:rsidRPr="00CD4FAB" w:rsidRDefault="00E15B24" w:rsidP="004E18E9">
      <w:pPr>
        <w:pStyle w:val="3-BodyText"/>
      </w:pPr>
      <w:r w:rsidRPr="00CD4FAB">
        <w:t xml:space="preserve">The restriction </w:t>
      </w:r>
      <w:r w:rsidR="00885B14" w:rsidRPr="00CD4FAB">
        <w:t>recommended</w:t>
      </w:r>
      <w:r w:rsidRPr="00CD4FAB">
        <w:t xml:space="preserve"> in July 2023 allowed three doses of nivolumab in a patient’s lifetime, so that </w:t>
      </w:r>
      <w:r w:rsidR="00C808DE" w:rsidRPr="00CD4FAB">
        <w:t xml:space="preserve">immunotherapy (IO) </w:t>
      </w:r>
      <w:r w:rsidRPr="00CD4FAB">
        <w:t xml:space="preserve">retreatment with nivolumab or another </w:t>
      </w:r>
      <w:r w:rsidR="006E3109" w:rsidRPr="00CD4FAB">
        <w:t>programmed death-ligand 1 (</w:t>
      </w:r>
      <w:r w:rsidRPr="00CD4FAB">
        <w:t>PD-L1</w:t>
      </w:r>
      <w:r w:rsidR="006E3109" w:rsidRPr="00CD4FAB">
        <w:t>)</w:t>
      </w:r>
      <w:r w:rsidRPr="00CD4FAB">
        <w:t xml:space="preserve"> inhibitor of patients relapsing after neoadjuvant treatment was precluded. </w:t>
      </w:r>
    </w:p>
    <w:p w14:paraId="7A335BED" w14:textId="19984733" w:rsidR="00C808DE" w:rsidRPr="00CD4FAB" w:rsidRDefault="00C808DE" w:rsidP="004E18E9">
      <w:pPr>
        <w:pStyle w:val="3-BodyText"/>
      </w:pPr>
      <w:r w:rsidRPr="00CD4FAB">
        <w:t xml:space="preserve">The sponsor proposed two </w:t>
      </w:r>
      <w:r w:rsidR="00AA7679" w:rsidRPr="00CD4FAB">
        <w:t xml:space="preserve">alternative modifications to the recommended listing, referred to as Option </w:t>
      </w:r>
      <w:r w:rsidR="00B1656A" w:rsidRPr="00CD4FAB">
        <w:t>A</w:t>
      </w:r>
      <w:r w:rsidR="00AA7679" w:rsidRPr="00CD4FAB">
        <w:t xml:space="preserve"> and Option </w:t>
      </w:r>
      <w:r w:rsidR="00B1656A" w:rsidRPr="00CD4FAB">
        <w:t>B</w:t>
      </w:r>
      <w:r w:rsidR="00AA7679" w:rsidRPr="00CD4FAB">
        <w:t xml:space="preserve">. Option </w:t>
      </w:r>
      <w:r w:rsidR="00B1656A" w:rsidRPr="00CD4FAB">
        <w:t>A</w:t>
      </w:r>
      <w:r w:rsidR="00AA7679" w:rsidRPr="00CD4FAB">
        <w:t xml:space="preserve">, the sponsor’s preferred option, proposed modifying the recommended restriction to allow IO retreatment. Option </w:t>
      </w:r>
      <w:r w:rsidR="00B1656A" w:rsidRPr="00CD4FAB">
        <w:t>B</w:t>
      </w:r>
      <w:r w:rsidR="00AA7679" w:rsidRPr="00CD4FAB">
        <w:t xml:space="preserve"> proposed not allowing IO retreatment, but increasing the ex-manufacturer price from $</w:t>
      </w:r>
      <w:r w:rsidR="00924D5E" w:rsidRPr="00F5399D">
        <w:rPr>
          <w:color w:val="000000"/>
          <w:w w:val="15"/>
          <w:shd w:val="solid" w:color="000000" w:fill="000000"/>
          <w:fitText w:val="-20" w:id="-961836288"/>
          <w14:textFill>
            <w14:solidFill>
              <w14:srgbClr w14:val="000000">
                <w14:alpha w14:val="100000"/>
              </w14:srgbClr>
            </w14:solidFill>
          </w14:textFill>
        </w:rPr>
        <w:t xml:space="preserve">|  </w:t>
      </w:r>
      <w:r w:rsidR="00924D5E" w:rsidRPr="00F5399D">
        <w:rPr>
          <w:color w:val="000000"/>
          <w:spacing w:val="-69"/>
          <w:w w:val="15"/>
          <w:shd w:val="solid" w:color="000000" w:fill="000000"/>
          <w:fitText w:val="-20" w:id="-961836288"/>
          <w14:textFill>
            <w14:solidFill>
              <w14:srgbClr w14:val="000000">
                <w14:alpha w14:val="100000"/>
              </w14:srgbClr>
            </w14:solidFill>
          </w14:textFill>
        </w:rPr>
        <w:t>|</w:t>
      </w:r>
      <w:r w:rsidR="00AA7679" w:rsidRPr="00CD4FAB">
        <w:t xml:space="preserve"> per 100 mg to $</w:t>
      </w:r>
      <w:r w:rsidR="00924D5E" w:rsidRPr="00F5399D">
        <w:rPr>
          <w:color w:val="000000"/>
          <w:w w:val="15"/>
          <w:shd w:val="solid" w:color="000000" w:fill="000000"/>
          <w:fitText w:val="-20" w:id="-961836287"/>
          <w14:textFill>
            <w14:solidFill>
              <w14:srgbClr w14:val="000000">
                <w14:alpha w14:val="100000"/>
              </w14:srgbClr>
            </w14:solidFill>
          </w14:textFill>
        </w:rPr>
        <w:t xml:space="preserve">|  </w:t>
      </w:r>
      <w:r w:rsidR="00924D5E" w:rsidRPr="00F5399D">
        <w:rPr>
          <w:color w:val="000000"/>
          <w:spacing w:val="-69"/>
          <w:w w:val="15"/>
          <w:shd w:val="solid" w:color="000000" w:fill="000000"/>
          <w:fitText w:val="-20" w:id="-961836287"/>
          <w14:textFill>
            <w14:solidFill>
              <w14:srgbClr w14:val="000000">
                <w14:alpha w14:val="100000"/>
              </w14:srgbClr>
            </w14:solidFill>
          </w14:textFill>
        </w:rPr>
        <w:t>|</w:t>
      </w:r>
      <w:r w:rsidR="00AA7679" w:rsidRPr="00CD4FAB">
        <w:t xml:space="preserve"> per 100 mg</w:t>
      </w:r>
      <w:r w:rsidR="005A31C0" w:rsidRPr="00CD4FAB">
        <w:t>.</w:t>
      </w:r>
    </w:p>
    <w:p w14:paraId="6DD55F20" w14:textId="40D08B4B" w:rsidR="001E2420" w:rsidRPr="00CD4FAB" w:rsidRDefault="005750C5" w:rsidP="004E18E9">
      <w:pPr>
        <w:pStyle w:val="3-BodyText"/>
      </w:pPr>
      <w:r w:rsidRPr="00CD4FAB">
        <w:t xml:space="preserve">Listing was requested on the basis of a cost-effectiveness analysis versus </w:t>
      </w:r>
      <w:r w:rsidR="00F167F0" w:rsidRPr="00CD4FAB">
        <w:t>platinum</w:t>
      </w:r>
      <w:r w:rsidR="00E15B24" w:rsidRPr="00CD4FAB">
        <w:t>-</w:t>
      </w:r>
      <w:r w:rsidR="00F167F0" w:rsidRPr="00CD4FAB">
        <w:t xml:space="preserve">based </w:t>
      </w:r>
      <w:r w:rsidR="00195E0F" w:rsidRPr="00CD4FAB">
        <w:t xml:space="preserve">neoadjuvant </w:t>
      </w:r>
      <w:r w:rsidR="00F167F0" w:rsidRPr="00CD4FAB">
        <w:t>chemotherapy</w:t>
      </w:r>
      <w:r w:rsidR="009A3D21" w:rsidRPr="00CD4FAB">
        <w:t xml:space="preserve"> (neoChemo)</w:t>
      </w:r>
      <w:r w:rsidR="00F167F0" w:rsidRPr="00CD4FAB">
        <w:t>, as previously considered appropriate by the PBAC</w:t>
      </w:r>
      <w:r w:rsidR="00092B0B" w:rsidRPr="00CD4FAB">
        <w:t xml:space="preserve"> </w:t>
      </w:r>
      <w:bookmarkStart w:id="2" w:name="_Hlk140077373"/>
      <w:r w:rsidR="00092B0B" w:rsidRPr="00CD4FAB">
        <w:t>(para 7.6, nivolumab</w:t>
      </w:r>
      <w:r w:rsidR="004C20B7" w:rsidRPr="00CD4FAB">
        <w:t xml:space="preserve"> public summary document [PSD]</w:t>
      </w:r>
      <w:r w:rsidR="00092B0B" w:rsidRPr="00CD4FAB">
        <w:t>, March 2023 PBAC meeting)</w:t>
      </w:r>
      <w:bookmarkEnd w:id="2"/>
      <w:r w:rsidR="00092B0B" w:rsidRPr="00CD4FAB">
        <w:t>.</w:t>
      </w:r>
    </w:p>
    <w:p w14:paraId="4E9FBCB5" w14:textId="00F1D04C" w:rsidR="00C2778B" w:rsidRPr="00CD4FAB" w:rsidRDefault="00B45091" w:rsidP="004E18E9">
      <w:pPr>
        <w:pStyle w:val="3-BodyText"/>
      </w:pPr>
      <w:r w:rsidRPr="00CD4FAB">
        <w:t>The PICO fr</w:t>
      </w:r>
      <w:r w:rsidR="00E9162B" w:rsidRPr="00CD4FAB">
        <w:t>om</w:t>
      </w:r>
      <w:r w:rsidRPr="00CD4FAB">
        <w:t xml:space="preserve"> the previous submissions is presented </w:t>
      </w:r>
      <w:r w:rsidR="00885B14" w:rsidRPr="00CD4FAB">
        <w:t xml:space="preserve">in </w:t>
      </w:r>
      <w:r w:rsidR="00885B14" w:rsidRPr="00CD4FAB">
        <w:fldChar w:fldCharType="begin" w:fldLock="1"/>
      </w:r>
      <w:r w:rsidR="00885B14" w:rsidRPr="00CD4FAB">
        <w:instrText xml:space="preserve"> REF _Ref152327138 \h </w:instrText>
      </w:r>
      <w:r w:rsidR="00885B14" w:rsidRPr="00CD4FAB">
        <w:fldChar w:fldCharType="separate"/>
      </w:r>
      <w:r w:rsidR="00885DA7" w:rsidRPr="00CD4FAB">
        <w:t xml:space="preserve">Table </w:t>
      </w:r>
      <w:r w:rsidR="00885DA7">
        <w:rPr>
          <w:noProof/>
        </w:rPr>
        <w:t>1</w:t>
      </w:r>
      <w:r w:rsidR="00885B14" w:rsidRPr="00CD4FAB">
        <w:fldChar w:fldCharType="end"/>
      </w:r>
      <w:r w:rsidRPr="00CD4FAB">
        <w:t xml:space="preserve">. </w:t>
      </w:r>
    </w:p>
    <w:p w14:paraId="3718DE61" w14:textId="1A33F6D4" w:rsidR="008B1757" w:rsidRPr="00CD4FAB" w:rsidRDefault="00696EF9" w:rsidP="004A6040">
      <w:pPr>
        <w:pStyle w:val="TableFigureHeading"/>
        <w:rPr>
          <w:rStyle w:val="CommentReference"/>
          <w:b/>
          <w:szCs w:val="24"/>
        </w:rPr>
      </w:pPr>
      <w:bookmarkStart w:id="3" w:name="_Ref152327138"/>
      <w:r w:rsidRPr="00CD4FAB">
        <w:lastRenderedPageBreak/>
        <w:t xml:space="preserve">Table </w:t>
      </w:r>
      <w:fldSimple w:instr=" SEQ Table \* ARABIC " w:fldLock="1">
        <w:r w:rsidR="00885DA7">
          <w:rPr>
            <w:noProof/>
          </w:rPr>
          <w:t>1</w:t>
        </w:r>
      </w:fldSimple>
      <w:bookmarkEnd w:id="3"/>
      <w:r w:rsidRPr="00CD4FAB">
        <w:t>:</w:t>
      </w:r>
      <w:r w:rsidR="00BC591F" w:rsidRPr="00CD4FAB">
        <w:rPr>
          <w:rStyle w:val="CommentReference"/>
          <w:b/>
          <w:szCs w:val="24"/>
        </w:rPr>
        <w:t xml:space="preserve"> </w:t>
      </w:r>
      <w:r w:rsidR="008B1757" w:rsidRPr="00CD4FAB">
        <w:rPr>
          <w:rStyle w:val="CommentReference"/>
          <w:b/>
          <w:szCs w:val="24"/>
        </w:rPr>
        <w:t>Key components of the clinical issue addressed by the submission</w:t>
      </w:r>
      <w:r w:rsidR="007170DA" w:rsidRPr="00CD4FAB">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
      </w:tblPr>
      <w:tblGrid>
        <w:gridCol w:w="1555"/>
        <w:gridCol w:w="7462"/>
      </w:tblGrid>
      <w:tr w:rsidR="008B1757" w:rsidRPr="00CD4FAB" w14:paraId="569F5103" w14:textId="77777777" w:rsidTr="00F5399D">
        <w:trPr>
          <w:cantSplit/>
          <w:tblHeader/>
        </w:trPr>
        <w:tc>
          <w:tcPr>
            <w:tcW w:w="862" w:type="pct"/>
            <w:shd w:val="clear" w:color="auto" w:fill="auto"/>
          </w:tcPr>
          <w:p w14:paraId="501803FB" w14:textId="77777777" w:rsidR="008B1757" w:rsidRPr="00240C4D" w:rsidRDefault="008B1757" w:rsidP="004A6040">
            <w:pPr>
              <w:pStyle w:val="In-tableHeading"/>
              <w:rPr>
                <w:szCs w:val="20"/>
                <w:lang w:val="en-AU"/>
              </w:rPr>
            </w:pPr>
            <w:r w:rsidRPr="00240C4D">
              <w:rPr>
                <w:lang w:val="en-AU"/>
              </w:rPr>
              <w:t>Component</w:t>
            </w:r>
          </w:p>
        </w:tc>
        <w:tc>
          <w:tcPr>
            <w:tcW w:w="4138" w:type="pct"/>
            <w:shd w:val="clear" w:color="auto" w:fill="auto"/>
          </w:tcPr>
          <w:p w14:paraId="445D9EBB" w14:textId="77777777" w:rsidR="008B1757" w:rsidRPr="00240C4D" w:rsidRDefault="008B1757" w:rsidP="004A6040">
            <w:pPr>
              <w:pStyle w:val="In-tableHeading"/>
              <w:rPr>
                <w:lang w:val="en-AU"/>
              </w:rPr>
            </w:pPr>
            <w:r w:rsidRPr="00240C4D">
              <w:rPr>
                <w:lang w:val="en-AU"/>
              </w:rPr>
              <w:t>Description</w:t>
            </w:r>
          </w:p>
        </w:tc>
      </w:tr>
      <w:tr w:rsidR="008B1757" w:rsidRPr="00CD4FAB" w14:paraId="2EB546E2" w14:textId="77777777" w:rsidTr="00F5399D">
        <w:trPr>
          <w:cantSplit/>
        </w:trPr>
        <w:tc>
          <w:tcPr>
            <w:tcW w:w="862" w:type="pct"/>
            <w:shd w:val="clear" w:color="auto" w:fill="auto"/>
          </w:tcPr>
          <w:p w14:paraId="38F3BB34" w14:textId="77777777" w:rsidR="008B1757" w:rsidRPr="00CD4FAB" w:rsidRDefault="008B1757" w:rsidP="004A6040">
            <w:pPr>
              <w:pStyle w:val="TableText0"/>
            </w:pPr>
            <w:r w:rsidRPr="00CD4FAB">
              <w:t>Population</w:t>
            </w:r>
          </w:p>
        </w:tc>
        <w:tc>
          <w:tcPr>
            <w:tcW w:w="4138" w:type="pct"/>
            <w:shd w:val="clear" w:color="auto" w:fill="auto"/>
          </w:tcPr>
          <w:p w14:paraId="79618EEE" w14:textId="2EFA41C8" w:rsidR="00233C01" w:rsidRPr="00CD4FAB" w:rsidRDefault="00B45091" w:rsidP="00233C01">
            <w:pPr>
              <w:pStyle w:val="TableText0"/>
              <w:rPr>
                <w:szCs w:val="20"/>
              </w:rPr>
            </w:pPr>
            <w:r w:rsidRPr="00CD4FAB">
              <w:rPr>
                <w:szCs w:val="20"/>
              </w:rPr>
              <w:t xml:space="preserve">Patients with resectable (tumours </w:t>
            </w:r>
            <w:r w:rsidR="00E9162B" w:rsidRPr="00CD4FAB">
              <w:rPr>
                <w:szCs w:val="20"/>
              </w:rPr>
              <w:sym w:font="Symbol" w:char="F0B3"/>
            </w:r>
            <w:r w:rsidR="00092B0B" w:rsidRPr="00CD4FAB">
              <w:rPr>
                <w:szCs w:val="20"/>
              </w:rPr>
              <w:t xml:space="preserve"> </w:t>
            </w:r>
            <w:r w:rsidR="00E9162B" w:rsidRPr="00CD4FAB">
              <w:rPr>
                <w:szCs w:val="20"/>
              </w:rPr>
              <w:t>4cm or node positive) NSCLC</w:t>
            </w:r>
          </w:p>
        </w:tc>
      </w:tr>
      <w:tr w:rsidR="008B1757" w:rsidRPr="00CD4FAB" w14:paraId="0CA523AF" w14:textId="77777777" w:rsidTr="00F5399D">
        <w:trPr>
          <w:cantSplit/>
        </w:trPr>
        <w:tc>
          <w:tcPr>
            <w:tcW w:w="862" w:type="pct"/>
            <w:shd w:val="clear" w:color="auto" w:fill="auto"/>
          </w:tcPr>
          <w:p w14:paraId="7B6D20D8" w14:textId="77777777" w:rsidR="008B1757" w:rsidRPr="00CD4FAB" w:rsidRDefault="008B1757" w:rsidP="004A6040">
            <w:pPr>
              <w:pStyle w:val="TableText0"/>
            </w:pPr>
            <w:r w:rsidRPr="00CD4FAB">
              <w:t>Intervention</w:t>
            </w:r>
          </w:p>
        </w:tc>
        <w:tc>
          <w:tcPr>
            <w:tcW w:w="4138" w:type="pct"/>
            <w:shd w:val="clear" w:color="auto" w:fill="auto"/>
          </w:tcPr>
          <w:p w14:paraId="2491E905" w14:textId="40483403" w:rsidR="00233C01" w:rsidRPr="00CD4FAB" w:rsidRDefault="00E9162B" w:rsidP="00E9162B">
            <w:pPr>
              <w:pStyle w:val="TableText0"/>
            </w:pPr>
            <w:r w:rsidRPr="00CD4FAB">
              <w:t>Nivolumab, 360 mg Q3W plus chemotherapy Q3W</w:t>
            </w:r>
          </w:p>
        </w:tc>
      </w:tr>
      <w:tr w:rsidR="008B1757" w:rsidRPr="00CD4FAB" w14:paraId="0F81EBE4" w14:textId="77777777" w:rsidTr="00F5399D">
        <w:trPr>
          <w:cantSplit/>
        </w:trPr>
        <w:tc>
          <w:tcPr>
            <w:tcW w:w="862" w:type="pct"/>
            <w:shd w:val="clear" w:color="auto" w:fill="auto"/>
          </w:tcPr>
          <w:p w14:paraId="3656B343" w14:textId="77777777" w:rsidR="008B1757" w:rsidRPr="00CD4FAB" w:rsidRDefault="008B1757" w:rsidP="004A6040">
            <w:pPr>
              <w:pStyle w:val="TableText0"/>
            </w:pPr>
            <w:r w:rsidRPr="00CD4FAB">
              <w:t>Comparator</w:t>
            </w:r>
          </w:p>
        </w:tc>
        <w:tc>
          <w:tcPr>
            <w:tcW w:w="4138" w:type="pct"/>
            <w:shd w:val="clear" w:color="auto" w:fill="auto"/>
          </w:tcPr>
          <w:p w14:paraId="54C3671D" w14:textId="77777777" w:rsidR="00E9162B" w:rsidRPr="00CD4FAB" w:rsidRDefault="00E9162B" w:rsidP="00E9162B">
            <w:pPr>
              <w:pStyle w:val="TableText0"/>
            </w:pPr>
            <w:r w:rsidRPr="00CD4FAB">
              <w:t>Main: Neoadjuvant chemotherapy</w:t>
            </w:r>
          </w:p>
          <w:p w14:paraId="67579C40" w14:textId="77777777" w:rsidR="00E9162B" w:rsidRPr="00CD4FAB" w:rsidRDefault="00E9162B" w:rsidP="00E9162B">
            <w:pPr>
              <w:pStyle w:val="TableText0"/>
            </w:pPr>
            <w:r w:rsidRPr="00CD4FAB">
              <w:t>Additional:</w:t>
            </w:r>
          </w:p>
          <w:p w14:paraId="27121F7D" w14:textId="77777777" w:rsidR="00E9162B" w:rsidRPr="00CD4FAB" w:rsidRDefault="00E9162B" w:rsidP="00E9162B">
            <w:pPr>
              <w:pStyle w:val="TableText0"/>
            </w:pPr>
            <w:r w:rsidRPr="00CD4FAB">
              <w:t>• Adjuvant chemotherapy</w:t>
            </w:r>
          </w:p>
          <w:p w14:paraId="3727DE24" w14:textId="7D4EC8E3" w:rsidR="00233C01" w:rsidRPr="00CD4FAB" w:rsidRDefault="00E9162B" w:rsidP="00E9162B">
            <w:pPr>
              <w:pStyle w:val="TableText0"/>
            </w:pPr>
            <w:r w:rsidRPr="00CD4FAB">
              <w:t>• Adjuvant chemotherapy followed by atezolizumab</w:t>
            </w:r>
          </w:p>
        </w:tc>
      </w:tr>
      <w:tr w:rsidR="008B1757" w:rsidRPr="00CD4FAB" w14:paraId="02F86F0D" w14:textId="77777777" w:rsidTr="00F5399D">
        <w:trPr>
          <w:cantSplit/>
        </w:trPr>
        <w:tc>
          <w:tcPr>
            <w:tcW w:w="862" w:type="pct"/>
            <w:shd w:val="clear" w:color="auto" w:fill="auto"/>
          </w:tcPr>
          <w:p w14:paraId="06433105" w14:textId="77777777" w:rsidR="008B1757" w:rsidRPr="00CD4FAB" w:rsidRDefault="008B1757" w:rsidP="004A6040">
            <w:pPr>
              <w:pStyle w:val="TableText0"/>
            </w:pPr>
            <w:r w:rsidRPr="00CD4FAB">
              <w:t>Outcomes</w:t>
            </w:r>
          </w:p>
        </w:tc>
        <w:tc>
          <w:tcPr>
            <w:tcW w:w="4138" w:type="pct"/>
            <w:shd w:val="clear" w:color="auto" w:fill="auto"/>
          </w:tcPr>
          <w:p w14:paraId="7145BE16" w14:textId="77777777" w:rsidR="00E9162B" w:rsidRPr="00CD4FAB" w:rsidRDefault="00E9162B" w:rsidP="00E9162B">
            <w:pPr>
              <w:pStyle w:val="TableText0"/>
              <w:rPr>
                <w:rFonts w:eastAsia="Times New Roman" w:cs="Arial"/>
                <w:bCs w:val="0"/>
                <w:snapToGrid w:val="0"/>
                <w:szCs w:val="20"/>
              </w:rPr>
            </w:pPr>
            <w:r w:rsidRPr="00CD4FAB">
              <w:rPr>
                <w:rFonts w:eastAsia="Times New Roman" w:cs="Arial"/>
                <w:bCs w:val="0"/>
                <w:snapToGrid w:val="0"/>
                <w:szCs w:val="20"/>
              </w:rPr>
              <w:t>Primary: EFS</w:t>
            </w:r>
          </w:p>
          <w:p w14:paraId="5ABC4037" w14:textId="1B9A3A5F" w:rsidR="00233C01" w:rsidRPr="00CD4FAB" w:rsidRDefault="00E9162B" w:rsidP="00E9162B">
            <w:pPr>
              <w:pStyle w:val="TableText0"/>
              <w:rPr>
                <w:rFonts w:eastAsia="Times New Roman" w:cs="Arial"/>
                <w:bCs w:val="0"/>
                <w:snapToGrid w:val="0"/>
                <w:szCs w:val="20"/>
              </w:rPr>
            </w:pPr>
            <w:r w:rsidRPr="00CD4FAB">
              <w:rPr>
                <w:rFonts w:eastAsia="Times New Roman" w:cs="Arial"/>
                <w:bCs w:val="0"/>
                <w:snapToGrid w:val="0"/>
                <w:szCs w:val="20"/>
              </w:rPr>
              <w:t>Key secondary: OS, TTDM, HRQoL, pCR, MPR, safety</w:t>
            </w:r>
          </w:p>
        </w:tc>
      </w:tr>
      <w:tr w:rsidR="008B1757" w:rsidRPr="00CD4FAB" w14:paraId="22223890" w14:textId="77777777" w:rsidTr="00F5399D">
        <w:trPr>
          <w:cantSplit/>
        </w:trPr>
        <w:tc>
          <w:tcPr>
            <w:tcW w:w="862" w:type="pct"/>
            <w:shd w:val="clear" w:color="auto" w:fill="auto"/>
          </w:tcPr>
          <w:p w14:paraId="0FC8FCE0" w14:textId="77777777" w:rsidR="008B1757" w:rsidRPr="00CD4FAB" w:rsidRDefault="008B1757" w:rsidP="004A6040">
            <w:pPr>
              <w:pStyle w:val="TableText0"/>
            </w:pPr>
            <w:r w:rsidRPr="00CD4FAB">
              <w:t>Clinical claim</w:t>
            </w:r>
          </w:p>
        </w:tc>
        <w:tc>
          <w:tcPr>
            <w:tcW w:w="4138" w:type="pct"/>
            <w:shd w:val="clear" w:color="auto" w:fill="auto"/>
          </w:tcPr>
          <w:p w14:paraId="26410DB6" w14:textId="77777777" w:rsidR="00E9162B" w:rsidRPr="00CD4FAB" w:rsidRDefault="00E9162B" w:rsidP="00E9162B">
            <w:pPr>
              <w:pStyle w:val="TableText0"/>
              <w:rPr>
                <w:rFonts w:eastAsia="Times New Roman" w:cs="Arial"/>
                <w:bCs w:val="0"/>
                <w:snapToGrid w:val="0"/>
                <w:szCs w:val="20"/>
              </w:rPr>
            </w:pPr>
            <w:r w:rsidRPr="00CD4FAB">
              <w:rPr>
                <w:rFonts w:eastAsia="Times New Roman" w:cs="Arial"/>
                <w:bCs w:val="0"/>
                <w:snapToGrid w:val="0"/>
                <w:szCs w:val="20"/>
              </w:rPr>
              <w:t>Compared to neoadjuvant chemotherapy, neoadjuvant nivolumab plus chemotherapy has superior</w:t>
            </w:r>
          </w:p>
          <w:p w14:paraId="28B7B3DE" w14:textId="77777777" w:rsidR="00E9162B" w:rsidRPr="00CD4FAB" w:rsidRDefault="00E9162B" w:rsidP="00E9162B">
            <w:pPr>
              <w:pStyle w:val="TableText0"/>
              <w:rPr>
                <w:rFonts w:eastAsia="Times New Roman" w:cs="Arial"/>
                <w:bCs w:val="0"/>
                <w:snapToGrid w:val="0"/>
                <w:szCs w:val="20"/>
              </w:rPr>
            </w:pPr>
            <w:r w:rsidRPr="00CD4FAB">
              <w:rPr>
                <w:rFonts w:eastAsia="Times New Roman" w:cs="Arial"/>
                <w:bCs w:val="0"/>
                <w:snapToGrid w:val="0"/>
                <w:szCs w:val="20"/>
              </w:rPr>
              <w:t>comparative efficacy and non-inferior safety.</w:t>
            </w:r>
          </w:p>
          <w:p w14:paraId="5E9CE479" w14:textId="77777777" w:rsidR="00D12717" w:rsidRPr="00CD4FAB" w:rsidRDefault="00D12717" w:rsidP="00E9162B">
            <w:pPr>
              <w:pStyle w:val="TableText0"/>
              <w:rPr>
                <w:rFonts w:eastAsia="Times New Roman" w:cs="Arial"/>
                <w:bCs w:val="0"/>
                <w:snapToGrid w:val="0"/>
                <w:szCs w:val="20"/>
              </w:rPr>
            </w:pPr>
          </w:p>
          <w:p w14:paraId="2A7C20B2" w14:textId="77777777" w:rsidR="00E9162B" w:rsidRPr="00CD4FAB" w:rsidRDefault="00E9162B" w:rsidP="00E9162B">
            <w:pPr>
              <w:pStyle w:val="TableText0"/>
              <w:rPr>
                <w:rFonts w:eastAsia="Times New Roman" w:cs="Arial"/>
                <w:bCs w:val="0"/>
                <w:snapToGrid w:val="0"/>
                <w:szCs w:val="20"/>
              </w:rPr>
            </w:pPr>
            <w:r w:rsidRPr="00CD4FAB">
              <w:rPr>
                <w:rFonts w:eastAsia="Times New Roman" w:cs="Arial"/>
                <w:bCs w:val="0"/>
                <w:snapToGrid w:val="0"/>
                <w:szCs w:val="20"/>
              </w:rPr>
              <w:t>Compared to adjuvant chemotherapy, neoadjuvant nivolumab plus chemotherapy has superior</w:t>
            </w:r>
          </w:p>
          <w:p w14:paraId="76FF065B" w14:textId="77777777" w:rsidR="00E9162B" w:rsidRPr="00CD4FAB" w:rsidRDefault="00E9162B" w:rsidP="00E9162B">
            <w:pPr>
              <w:pStyle w:val="TableText0"/>
              <w:rPr>
                <w:rFonts w:eastAsia="Times New Roman" w:cs="Arial"/>
                <w:bCs w:val="0"/>
                <w:snapToGrid w:val="0"/>
                <w:szCs w:val="20"/>
              </w:rPr>
            </w:pPr>
            <w:r w:rsidRPr="00CD4FAB">
              <w:rPr>
                <w:rFonts w:eastAsia="Times New Roman" w:cs="Arial"/>
                <w:bCs w:val="0"/>
                <w:snapToGrid w:val="0"/>
                <w:szCs w:val="20"/>
              </w:rPr>
              <w:t>comparative efficacy and non-inferior safety.</w:t>
            </w:r>
          </w:p>
          <w:p w14:paraId="1B0FD000" w14:textId="77777777" w:rsidR="00D12717" w:rsidRPr="00CD4FAB" w:rsidRDefault="00D12717" w:rsidP="00E9162B">
            <w:pPr>
              <w:pStyle w:val="TableText0"/>
              <w:rPr>
                <w:rFonts w:eastAsia="Times New Roman" w:cs="Arial"/>
                <w:bCs w:val="0"/>
                <w:snapToGrid w:val="0"/>
                <w:szCs w:val="20"/>
              </w:rPr>
            </w:pPr>
          </w:p>
          <w:p w14:paraId="30A3CC04" w14:textId="77777777" w:rsidR="00E9162B" w:rsidRPr="00CD4FAB" w:rsidRDefault="00E9162B" w:rsidP="00E9162B">
            <w:pPr>
              <w:pStyle w:val="TableText0"/>
              <w:rPr>
                <w:rFonts w:eastAsia="Times New Roman" w:cs="Arial"/>
                <w:bCs w:val="0"/>
                <w:snapToGrid w:val="0"/>
                <w:szCs w:val="20"/>
              </w:rPr>
            </w:pPr>
            <w:r w:rsidRPr="00CD4FAB">
              <w:rPr>
                <w:rFonts w:eastAsia="Times New Roman" w:cs="Arial"/>
                <w:bCs w:val="0"/>
                <w:snapToGrid w:val="0"/>
                <w:szCs w:val="20"/>
              </w:rPr>
              <w:t>Compared to adjuvant chemotherapy followed by atezolizumab, neoadjuvant nivolumab plus</w:t>
            </w:r>
          </w:p>
          <w:p w14:paraId="16D69224" w14:textId="77777777" w:rsidR="00E9162B" w:rsidRPr="00CD4FAB" w:rsidRDefault="00E9162B" w:rsidP="00E9162B">
            <w:pPr>
              <w:pStyle w:val="TableText0"/>
              <w:rPr>
                <w:rFonts w:eastAsia="Times New Roman" w:cs="Arial"/>
                <w:bCs w:val="0"/>
                <w:snapToGrid w:val="0"/>
                <w:szCs w:val="20"/>
              </w:rPr>
            </w:pPr>
            <w:r w:rsidRPr="00CD4FAB">
              <w:rPr>
                <w:rFonts w:eastAsia="Times New Roman" w:cs="Arial"/>
                <w:bCs w:val="0"/>
                <w:snapToGrid w:val="0"/>
                <w:szCs w:val="20"/>
              </w:rPr>
              <w:t>chemotherapy has ‘likely superior and at least non-inferior’ comparative efficacy and ‘different and</w:t>
            </w:r>
          </w:p>
          <w:p w14:paraId="2C99C4DE" w14:textId="40B13D01" w:rsidR="00233C01" w:rsidRPr="00CD4FAB" w:rsidRDefault="00E9162B" w:rsidP="00E9162B">
            <w:pPr>
              <w:pStyle w:val="TableText0"/>
              <w:rPr>
                <w:rFonts w:eastAsia="Times New Roman" w:cs="Arial"/>
                <w:bCs w:val="0"/>
                <w:snapToGrid w:val="0"/>
                <w:szCs w:val="20"/>
              </w:rPr>
            </w:pPr>
            <w:r w:rsidRPr="00CD4FAB">
              <w:rPr>
                <w:rFonts w:eastAsia="Times New Roman" w:cs="Arial"/>
                <w:bCs w:val="0"/>
                <w:snapToGrid w:val="0"/>
                <w:szCs w:val="20"/>
              </w:rPr>
              <w:t>non-inferior’ safety.</w:t>
            </w:r>
          </w:p>
        </w:tc>
      </w:tr>
    </w:tbl>
    <w:p w14:paraId="4007FBB3" w14:textId="6F7484B5" w:rsidR="00092B0B" w:rsidRPr="00CD4FAB" w:rsidRDefault="008B1757" w:rsidP="00E9162B">
      <w:pPr>
        <w:pStyle w:val="FooterTableFigure"/>
      </w:pPr>
      <w:r w:rsidRPr="00CD4FAB">
        <w:t>Source: Table</w:t>
      </w:r>
      <w:r w:rsidR="00E9162B" w:rsidRPr="00CD4FAB">
        <w:t xml:space="preserve"> 2 of the March 2023 submission. </w:t>
      </w:r>
    </w:p>
    <w:p w14:paraId="527CA7F0" w14:textId="37909098" w:rsidR="004E43B2" w:rsidRPr="00CD4FAB" w:rsidRDefault="00E9162B" w:rsidP="00E9162B">
      <w:pPr>
        <w:pStyle w:val="FooterTableFigure"/>
      </w:pPr>
      <w:r w:rsidRPr="00CD4FAB">
        <w:t>EFS = event-free survival; HRQoL = health-related quality of life; MPR = major pathologic response; NSCLC = non-small cell lung cancer; OS = overall survival; pCR = pathologic complete response; Q3W = every 3 weeks; TTDM = time to death or distant metastases.</w:t>
      </w:r>
    </w:p>
    <w:p w14:paraId="6B4AB6C2" w14:textId="7F01D731" w:rsidR="005C25FF" w:rsidRPr="00CD4FAB" w:rsidRDefault="005C25FF" w:rsidP="004A6040">
      <w:pPr>
        <w:pStyle w:val="2-SectionHeading"/>
      </w:pPr>
      <w:bookmarkStart w:id="4" w:name="_Toc156979613"/>
      <w:r w:rsidRPr="00CD4FAB">
        <w:t>Background</w:t>
      </w:r>
      <w:bookmarkEnd w:id="4"/>
    </w:p>
    <w:p w14:paraId="2C521D6D" w14:textId="78CF03EE" w:rsidR="005C25FF" w:rsidRPr="00CD4FAB" w:rsidRDefault="005C25FF" w:rsidP="004A6040">
      <w:pPr>
        <w:pStyle w:val="4-SubsectionHeading"/>
      </w:pPr>
      <w:bookmarkStart w:id="5" w:name="_Toc22897638"/>
      <w:bookmarkStart w:id="6" w:name="_Toc156979614"/>
      <w:r w:rsidRPr="00CD4FAB">
        <w:t>Registration status</w:t>
      </w:r>
      <w:bookmarkEnd w:id="5"/>
      <w:bookmarkEnd w:id="6"/>
    </w:p>
    <w:p w14:paraId="47D20B6F" w14:textId="14EB4C55" w:rsidR="008A4D2E" w:rsidRPr="00CD4FAB" w:rsidRDefault="00E937DA" w:rsidP="008A4D2E">
      <w:pPr>
        <w:pStyle w:val="3-BodyText"/>
      </w:pPr>
      <w:r w:rsidRPr="00CD4FAB">
        <w:t>The TGA approved indications for nivolumab</w:t>
      </w:r>
      <w:r w:rsidR="00E9162B" w:rsidRPr="00CD4FAB">
        <w:t xml:space="preserve"> include NSCLC as well as several other types of cancer</w:t>
      </w:r>
      <w:r w:rsidR="00E543D5" w:rsidRPr="00CD4FAB">
        <w:t>.</w:t>
      </w:r>
      <w:r w:rsidR="00E543D5" w:rsidRPr="00CD4FAB">
        <w:rPr>
          <w:rStyle w:val="FootnoteReference"/>
        </w:rPr>
        <w:footnoteReference w:id="1"/>
      </w:r>
      <w:r w:rsidR="00E543D5" w:rsidRPr="00CD4FAB">
        <w:t xml:space="preserve"> </w:t>
      </w:r>
    </w:p>
    <w:p w14:paraId="318533CB" w14:textId="219F411C" w:rsidR="005A6B83" w:rsidRPr="00CD4FAB" w:rsidRDefault="00E543D5" w:rsidP="005A6B83">
      <w:pPr>
        <w:pStyle w:val="3-BodyText"/>
      </w:pPr>
      <w:r w:rsidRPr="00CD4FAB">
        <w:t xml:space="preserve">Nivolumab is PBS-listed for the second-line treatment of locally advanced or metastatic NSCLC, and in combination with ipilimumab for the first-line treatment of metastatic NSCLC of squamous histology, </w:t>
      </w:r>
      <w:r w:rsidR="00EA5DF2" w:rsidRPr="00CD4FAB">
        <w:t xml:space="preserve">however </w:t>
      </w:r>
      <w:r w:rsidRPr="00CD4FAB">
        <w:t>patients who have received prior treatment for NSCLC with a PD-L1 inhibit</w:t>
      </w:r>
      <w:r w:rsidR="008A4D2E" w:rsidRPr="00CD4FAB">
        <w:t>o</w:t>
      </w:r>
      <w:r w:rsidRPr="00CD4FAB">
        <w:t xml:space="preserve">r (nivolumab, pembrolizumab or </w:t>
      </w:r>
      <w:r w:rsidR="008A4D2E" w:rsidRPr="00CD4FAB">
        <w:t xml:space="preserve">atezolizumab) are excluded. </w:t>
      </w:r>
    </w:p>
    <w:p w14:paraId="7F6A9F2E" w14:textId="1935AFBC" w:rsidR="008A4D2E" w:rsidRPr="00CD4FAB" w:rsidRDefault="008A4D2E" w:rsidP="008A4D2E">
      <w:pPr>
        <w:pStyle w:val="3-BodyText"/>
        <w:numPr>
          <w:ilvl w:val="0"/>
          <w:numId w:val="0"/>
        </w:numPr>
        <w:rPr>
          <w:b/>
          <w:bCs/>
          <w:i/>
          <w:iCs/>
          <w:sz w:val="28"/>
          <w:szCs w:val="28"/>
        </w:rPr>
      </w:pPr>
      <w:r w:rsidRPr="00CD4FAB">
        <w:rPr>
          <w:b/>
          <w:bCs/>
          <w:i/>
          <w:iCs/>
          <w:sz w:val="28"/>
          <w:szCs w:val="28"/>
        </w:rPr>
        <w:t>Previous PBAC consideration</w:t>
      </w:r>
    </w:p>
    <w:p w14:paraId="3E2A6EAB" w14:textId="3CBDB619" w:rsidR="005C25FF" w:rsidRPr="00CD4FAB" w:rsidRDefault="00C016B7" w:rsidP="00E937DA">
      <w:pPr>
        <w:pStyle w:val="3-BodyText"/>
      </w:pPr>
      <w:bookmarkStart w:id="7" w:name="_Toc22897639"/>
      <w:r w:rsidRPr="00CD4FAB">
        <w:t xml:space="preserve">This is the third consideration of nivolumab in combination with chemotherapy for the neoadjuvant treatment of patients with resectable NSCLC. The </w:t>
      </w:r>
      <w:r w:rsidR="005C25FF" w:rsidRPr="00CD4FAB">
        <w:t xml:space="preserve">PBAC </w:t>
      </w:r>
      <w:r w:rsidRPr="00CD4FAB">
        <w:t xml:space="preserve">previously </w:t>
      </w:r>
      <w:r w:rsidR="005C25FF" w:rsidRPr="00CD4FAB">
        <w:t>consider</w:t>
      </w:r>
      <w:r w:rsidR="00E937DA" w:rsidRPr="00CD4FAB">
        <w:t xml:space="preserve">ed neoadjuvant </w:t>
      </w:r>
      <w:r w:rsidR="00125A7A" w:rsidRPr="00CD4FAB">
        <w:t xml:space="preserve">nivolumab (neoNIVO) </w:t>
      </w:r>
      <w:r w:rsidR="00E937DA" w:rsidRPr="00CD4FAB">
        <w:t>for resectable NSCLC in March</w:t>
      </w:r>
      <w:r w:rsidR="00B67E53">
        <w:t> </w:t>
      </w:r>
      <w:r w:rsidR="00E937DA" w:rsidRPr="00CD4FAB">
        <w:t>2023</w:t>
      </w:r>
      <w:r w:rsidR="00D1063F" w:rsidRPr="00CD4FAB">
        <w:t xml:space="preserve"> </w:t>
      </w:r>
      <w:r w:rsidR="00E937DA" w:rsidRPr="00CD4FAB">
        <w:t xml:space="preserve">and July 2023. </w:t>
      </w:r>
      <w:bookmarkEnd w:id="7"/>
      <w:r w:rsidR="00F72489" w:rsidRPr="00CD4FAB">
        <w:t>A summary of matters of concern</w:t>
      </w:r>
      <w:r w:rsidRPr="00CD4FAB">
        <w:t xml:space="preserve"> and how they were addressed in the current submission</w:t>
      </w:r>
      <w:r w:rsidR="00F72489" w:rsidRPr="00CD4FAB">
        <w:t xml:space="preserve"> is presented in</w:t>
      </w:r>
      <w:r w:rsidR="00885B14" w:rsidRPr="00CD4FAB">
        <w:t xml:space="preserve"> </w:t>
      </w:r>
      <w:r w:rsidR="00885B14" w:rsidRPr="00CD4FAB">
        <w:fldChar w:fldCharType="begin" w:fldLock="1"/>
      </w:r>
      <w:r w:rsidR="00885B14" w:rsidRPr="00CD4FAB">
        <w:instrText xml:space="preserve"> REF _Ref152327198 \h </w:instrText>
      </w:r>
      <w:r w:rsidR="00885B14" w:rsidRPr="00CD4FAB">
        <w:fldChar w:fldCharType="separate"/>
      </w:r>
      <w:r w:rsidR="00885DA7" w:rsidRPr="00CD4FAB">
        <w:t xml:space="preserve">Table </w:t>
      </w:r>
      <w:r w:rsidR="00885DA7">
        <w:rPr>
          <w:noProof/>
        </w:rPr>
        <w:t>2</w:t>
      </w:r>
      <w:r w:rsidR="00885B14" w:rsidRPr="00CD4FAB">
        <w:fldChar w:fldCharType="end"/>
      </w:r>
      <w:r w:rsidR="00885B14" w:rsidRPr="00CD4FAB">
        <w:t>.</w:t>
      </w:r>
      <w:r w:rsidR="00F72489" w:rsidRPr="00CD4FAB">
        <w:t xml:space="preserve"> </w:t>
      </w:r>
    </w:p>
    <w:p w14:paraId="2B73D7F1" w14:textId="53553A7B" w:rsidR="0010560C" w:rsidRPr="00CD4FAB" w:rsidRDefault="00F167F0" w:rsidP="00927933">
      <w:pPr>
        <w:pStyle w:val="3-BodyText"/>
      </w:pPr>
      <w:r w:rsidRPr="00CD4FAB">
        <w:t>In March 2023, t</w:t>
      </w:r>
      <w:r w:rsidR="00544356" w:rsidRPr="00CD4FAB">
        <w:t xml:space="preserve">he PBAC noted that IO retreatment was assumed by the submission, and included in the economic models, which would require modification of the PBS-listings for PD-L1 inhibitors. The </w:t>
      </w:r>
      <w:r w:rsidR="008A4D2E" w:rsidRPr="00CD4FAB">
        <w:t xml:space="preserve">PBAC noted that </w:t>
      </w:r>
      <w:r w:rsidR="00544356" w:rsidRPr="00CD4FAB">
        <w:t xml:space="preserve">although </w:t>
      </w:r>
      <w:r w:rsidR="008A4D2E" w:rsidRPr="00CD4FAB">
        <w:t xml:space="preserve">there was a </w:t>
      </w:r>
      <w:r w:rsidR="000F6901" w:rsidRPr="00CD4FAB">
        <w:t>‘</w:t>
      </w:r>
      <w:r w:rsidR="008A4D2E" w:rsidRPr="00CD4FAB">
        <w:t xml:space="preserve">clinical </w:t>
      </w:r>
      <w:r w:rsidR="008A4D2E" w:rsidRPr="00CD4FAB">
        <w:lastRenderedPageBreak/>
        <w:t>rationale</w:t>
      </w:r>
      <w:r w:rsidR="000F6901" w:rsidRPr="00CD4FAB">
        <w:t>’</w:t>
      </w:r>
      <w:r w:rsidR="008A4D2E" w:rsidRPr="00CD4FAB">
        <w:t xml:space="preserve"> for </w:t>
      </w:r>
      <w:r w:rsidR="00544356" w:rsidRPr="00CD4FAB">
        <w:t xml:space="preserve">IO </w:t>
      </w:r>
      <w:r w:rsidR="008A4D2E" w:rsidRPr="00CD4FAB">
        <w:t>retreatment</w:t>
      </w:r>
      <w:r w:rsidR="00544356" w:rsidRPr="00CD4FAB">
        <w:t xml:space="preserve">, and that it was </w:t>
      </w:r>
      <w:r w:rsidR="000F6901" w:rsidRPr="00CD4FAB">
        <w:t>‘</w:t>
      </w:r>
      <w:r w:rsidR="00544356" w:rsidRPr="00CD4FAB">
        <w:t>clinically appropriate</w:t>
      </w:r>
      <w:r w:rsidR="000F6901" w:rsidRPr="00CD4FAB">
        <w:t>’</w:t>
      </w:r>
      <w:r w:rsidR="00544356" w:rsidRPr="00CD4FAB">
        <w:t>,</w:t>
      </w:r>
      <w:r w:rsidR="008A4D2E" w:rsidRPr="00CD4FAB">
        <w:t xml:space="preserve"> </w:t>
      </w:r>
      <w:r w:rsidR="000F6901" w:rsidRPr="00CD4FAB">
        <w:t>‘</w:t>
      </w:r>
      <w:r w:rsidR="008A4D2E" w:rsidRPr="00CD4FAB">
        <w:t>there is currently insufficient evidence to support retreatment with PD-L1 inhibitors in metastatic disease</w:t>
      </w:r>
      <w:r w:rsidR="000F6901" w:rsidRPr="00CD4FAB">
        <w:t>’</w:t>
      </w:r>
      <w:r w:rsidR="001818D1" w:rsidRPr="00CD4FAB">
        <w:t xml:space="preserve"> (paras </w:t>
      </w:r>
      <w:r w:rsidR="008A4D2E" w:rsidRPr="00CD4FAB">
        <w:t>3.11</w:t>
      </w:r>
      <w:r w:rsidR="00544356" w:rsidRPr="00CD4FAB">
        <w:t>, 7.17</w:t>
      </w:r>
      <w:r w:rsidR="001818D1" w:rsidRPr="00CD4FAB">
        <w:t>, nivolumab PSD, March 2023 PBAC meeting</w:t>
      </w:r>
      <w:r w:rsidR="008A4D2E" w:rsidRPr="00CD4FAB">
        <w:t xml:space="preserve">). </w:t>
      </w:r>
    </w:p>
    <w:p w14:paraId="3227CC24" w14:textId="1B539B6D" w:rsidR="00544356" w:rsidRPr="00CD4FAB" w:rsidRDefault="00544356" w:rsidP="00111D88">
      <w:pPr>
        <w:pStyle w:val="3-BodyText"/>
      </w:pPr>
      <w:r w:rsidRPr="00CD4FAB">
        <w:t xml:space="preserve">The PBAC </w:t>
      </w:r>
      <w:r w:rsidR="004C10A4" w:rsidRPr="00CD4FAB">
        <w:t xml:space="preserve">previously </w:t>
      </w:r>
      <w:r w:rsidR="000F6901" w:rsidRPr="00CD4FAB">
        <w:t>stated</w:t>
      </w:r>
      <w:r w:rsidRPr="00CD4FAB">
        <w:t xml:space="preserve"> that if nivolumab were listed, it would be included in the current risk-sharing agreement (RSA) for immunotherapy of NSCLC, with a minimal increase in the cap, and that </w:t>
      </w:r>
      <w:r w:rsidR="00164318" w:rsidRPr="00CD4FAB">
        <w:t>‘</w:t>
      </w:r>
      <w:r w:rsidRPr="00CD4FAB">
        <w:t>it would be appropriate to manage the uncertainties associated with retreatment with immunotherapy in metastatic disease within the RSA, given there is no clinical data to support such use</w:t>
      </w:r>
      <w:r w:rsidR="00164318" w:rsidRPr="00CD4FAB">
        <w:t>’</w:t>
      </w:r>
      <w:r w:rsidRPr="00CD4FAB">
        <w:t xml:space="preserve"> (</w:t>
      </w:r>
      <w:r w:rsidR="001818D1" w:rsidRPr="00CD4FAB">
        <w:t xml:space="preserve">para </w:t>
      </w:r>
      <w:r w:rsidRPr="00CD4FAB">
        <w:t>7.20</w:t>
      </w:r>
      <w:r w:rsidR="004C10A4" w:rsidRPr="00CD4FAB">
        <w:t>,</w:t>
      </w:r>
      <w:r w:rsidR="001818D1" w:rsidRPr="00CD4FAB">
        <w:t xml:space="preserve"> nivolumab PSD, March 2023 PBAC meeting</w:t>
      </w:r>
      <w:r w:rsidRPr="00CD4FAB">
        <w:t xml:space="preserve">). </w:t>
      </w:r>
    </w:p>
    <w:p w14:paraId="6BC53162" w14:textId="5AFEBC7E" w:rsidR="00927933" w:rsidRPr="00CD4FAB" w:rsidRDefault="00E15B24" w:rsidP="00927933">
      <w:pPr>
        <w:pStyle w:val="3-BodyText"/>
      </w:pPr>
      <w:r w:rsidRPr="00CD4FAB">
        <w:t>At its first consideration, t</w:t>
      </w:r>
      <w:r w:rsidR="00544356" w:rsidRPr="00CD4FAB">
        <w:t xml:space="preserve">he PBAC </w:t>
      </w:r>
      <w:r w:rsidR="0003494A" w:rsidRPr="00CD4FAB">
        <w:t>did not</w:t>
      </w:r>
      <w:r w:rsidR="00544356" w:rsidRPr="00CD4FAB">
        <w:t xml:space="preserve"> recommend the listing of nivolumab for the proposed indication, but </w:t>
      </w:r>
      <w:r w:rsidR="00164318" w:rsidRPr="00CD4FAB">
        <w:t>considered that the outstanding issues could be resolved in a simple</w:t>
      </w:r>
      <w:r w:rsidR="00E159EB" w:rsidRPr="00CD4FAB">
        <w:t>,</w:t>
      </w:r>
      <w:r w:rsidR="00164318" w:rsidRPr="00CD4FAB">
        <w:t xml:space="preserve"> </w:t>
      </w:r>
      <w:r w:rsidR="00544356" w:rsidRPr="00CD4FAB">
        <w:t xml:space="preserve">early resubmission, with </w:t>
      </w:r>
      <w:r w:rsidR="00164318" w:rsidRPr="00CD4FAB">
        <w:t>‘</w:t>
      </w:r>
      <w:r w:rsidR="00544356" w:rsidRPr="00CD4FAB">
        <w:t xml:space="preserve">a price reduction that results in an </w:t>
      </w:r>
      <w:r w:rsidR="00312792">
        <w:t xml:space="preserve">[incremental cost-effectiveness ratio] </w:t>
      </w:r>
      <w:r w:rsidR="00544356" w:rsidRPr="00CD4FAB">
        <w:t>ICER of not more than $</w:t>
      </w:r>
      <w:r w:rsidR="00FE4BBB" w:rsidRPr="00FE4BBB">
        <w:t>25,000 to &lt; $35,000</w:t>
      </w:r>
      <w:r w:rsidR="00FE4BBB">
        <w:t xml:space="preserve"> </w:t>
      </w:r>
      <w:r w:rsidR="00544356" w:rsidRPr="00CD4FAB">
        <w:t xml:space="preserve">per </w:t>
      </w:r>
      <w:r w:rsidR="00312792">
        <w:t xml:space="preserve">[quality adjusted life year] </w:t>
      </w:r>
      <w:r w:rsidR="00544356" w:rsidRPr="00CD4FAB">
        <w:t>QALY gained</w:t>
      </w:r>
      <w:r w:rsidR="00164318" w:rsidRPr="00CD4FAB">
        <w:t>’</w:t>
      </w:r>
      <w:r w:rsidR="00544356" w:rsidRPr="00CD4FAB">
        <w:t xml:space="preserve"> and </w:t>
      </w:r>
      <w:r w:rsidR="00164318" w:rsidRPr="00CD4FAB">
        <w:t>‘</w:t>
      </w:r>
      <w:r w:rsidR="00544356" w:rsidRPr="00CD4FAB">
        <w:t>proposed parameters for revising the current RSA in place for immunotherapies for NSCLC to include neoadjuvant nivolumab</w:t>
      </w:r>
      <w:r w:rsidR="00164318" w:rsidRPr="00CD4FAB">
        <w:t>’</w:t>
      </w:r>
      <w:r w:rsidR="00544356" w:rsidRPr="00CD4FAB">
        <w:t xml:space="preserve"> </w:t>
      </w:r>
      <w:r w:rsidR="001818D1" w:rsidRPr="00CD4FAB">
        <w:t xml:space="preserve">(para </w:t>
      </w:r>
      <w:r w:rsidR="00544356" w:rsidRPr="00CD4FAB">
        <w:t>7.21</w:t>
      </w:r>
      <w:r w:rsidR="00D1063F" w:rsidRPr="00CD4FAB">
        <w:t>,</w:t>
      </w:r>
      <w:r w:rsidR="001818D1" w:rsidRPr="00CD4FAB">
        <w:t xml:space="preserve"> nivolumab PSD, March 2023 PBAC meeting</w:t>
      </w:r>
      <w:r w:rsidR="00544356" w:rsidRPr="00CD4FAB">
        <w:t xml:space="preserve">). </w:t>
      </w:r>
    </w:p>
    <w:p w14:paraId="2E06D5FE" w14:textId="167532B5" w:rsidR="00927933" w:rsidRPr="00CD4FAB" w:rsidRDefault="00544356" w:rsidP="00927933">
      <w:pPr>
        <w:pStyle w:val="3-BodyText"/>
      </w:pPr>
      <w:r w:rsidRPr="00CD4FAB">
        <w:t>The resubmission was considered in July 2023. A price reduction from $</w:t>
      </w:r>
      <w:r w:rsidR="00924D5E" w:rsidRPr="0047343A">
        <w:rPr>
          <w:color w:val="000000"/>
          <w:w w:val="60"/>
          <w:shd w:val="solid" w:color="000000" w:fill="000000"/>
          <w:fitText w:val="469" w:id="-961836286"/>
          <w14:textFill>
            <w14:solidFill>
              <w14:srgbClr w14:val="000000">
                <w14:alpha w14:val="100000"/>
              </w14:srgbClr>
            </w14:solidFill>
          </w14:textFill>
        </w:rPr>
        <w:t>|||  |||</w:t>
      </w:r>
      <w:r w:rsidRPr="00CD4FAB">
        <w:t xml:space="preserve"> to $</w:t>
      </w:r>
      <w:r w:rsidR="00924D5E" w:rsidRPr="00F5399D">
        <w:rPr>
          <w:color w:val="000000"/>
          <w:w w:val="15"/>
          <w:shd w:val="solid" w:color="000000" w:fill="000000"/>
          <w:fitText w:val="-20" w:id="-961836285"/>
          <w14:textFill>
            <w14:solidFill>
              <w14:srgbClr w14:val="000000">
                <w14:alpha w14:val="100000"/>
              </w14:srgbClr>
            </w14:solidFill>
          </w14:textFill>
        </w:rPr>
        <w:t xml:space="preserve">|  </w:t>
      </w:r>
      <w:r w:rsidR="00924D5E" w:rsidRPr="00F5399D">
        <w:rPr>
          <w:color w:val="000000"/>
          <w:spacing w:val="-69"/>
          <w:w w:val="15"/>
          <w:shd w:val="solid" w:color="000000" w:fill="000000"/>
          <w:fitText w:val="-20" w:id="-961836285"/>
          <w14:textFill>
            <w14:solidFill>
              <w14:srgbClr w14:val="000000">
                <w14:alpha w14:val="100000"/>
              </w14:srgbClr>
            </w14:solidFill>
          </w14:textFill>
        </w:rPr>
        <w:t>|</w:t>
      </w:r>
      <w:r w:rsidRPr="00CD4FAB">
        <w:t xml:space="preserve"> per 100 mg resulted in a revised ICER of </w:t>
      </w:r>
      <w:r w:rsidR="00FE4BBB" w:rsidRPr="00FE4BBB">
        <w:t>$25,000 to &lt; $35,000</w:t>
      </w:r>
      <w:r w:rsidR="00FE4BBB">
        <w:t xml:space="preserve"> </w:t>
      </w:r>
      <w:r w:rsidRPr="00CD4FAB">
        <w:t xml:space="preserve">per QALY gained. The sponsor did not respond to the request to propose parameters for revision of the RSA </w:t>
      </w:r>
      <w:r w:rsidR="00051F78" w:rsidRPr="00CD4FAB">
        <w:t xml:space="preserve">in place for immunotherapies for NSCLC </w:t>
      </w:r>
      <w:r w:rsidRPr="00CD4FAB">
        <w:t>to include neo</w:t>
      </w:r>
      <w:r w:rsidR="00563B2F" w:rsidRPr="00CD4FAB">
        <w:t>N</w:t>
      </w:r>
      <w:r w:rsidR="005E61A7" w:rsidRPr="00CD4FAB">
        <w:t>IVO</w:t>
      </w:r>
      <w:r w:rsidRPr="00CD4FAB">
        <w:t xml:space="preserve"> and </w:t>
      </w:r>
      <w:r w:rsidR="00370CB0" w:rsidRPr="00CD4FAB">
        <w:t xml:space="preserve">uncertainties related to </w:t>
      </w:r>
      <w:r w:rsidRPr="00CD4FAB">
        <w:t>IO retreatment (</w:t>
      </w:r>
      <w:r w:rsidR="001818D1" w:rsidRPr="00CD4FAB">
        <w:t xml:space="preserve">para </w:t>
      </w:r>
      <w:r w:rsidRPr="00CD4FAB">
        <w:t>1.2, Table 1</w:t>
      </w:r>
      <w:r w:rsidR="00D1063F" w:rsidRPr="00CD4FAB">
        <w:t>,</w:t>
      </w:r>
      <w:r w:rsidR="001818D1" w:rsidRPr="00CD4FAB">
        <w:t xml:space="preserve"> nivolumab PSD, March 2023 PBAC meeting</w:t>
      </w:r>
      <w:r w:rsidRPr="00CD4FAB">
        <w:t xml:space="preserve">). </w:t>
      </w:r>
    </w:p>
    <w:p w14:paraId="01FAED6D" w14:textId="1227A279" w:rsidR="00544356" w:rsidRPr="00CD4FAB" w:rsidRDefault="00B24DFB" w:rsidP="00111D88">
      <w:pPr>
        <w:pStyle w:val="3-BodyText"/>
      </w:pPr>
      <w:r w:rsidRPr="00CD4FAB">
        <w:t>At its second consideration, t</w:t>
      </w:r>
      <w:r w:rsidR="00544356" w:rsidRPr="00CD4FAB">
        <w:t>he PBAC noted that the revised</w:t>
      </w:r>
      <w:r w:rsidR="00FD7955" w:rsidRPr="00CD4FAB">
        <w:t xml:space="preserve"> financial estimates </w:t>
      </w:r>
      <w:r w:rsidR="00544356" w:rsidRPr="00CD4FAB">
        <w:t>did not account for the existing and proposed restrictions for</w:t>
      </w:r>
      <w:r w:rsidR="00FF3CD2" w:rsidRPr="00CD4FAB">
        <w:t xml:space="preserve"> immune check-point inhibitors</w:t>
      </w:r>
      <w:r w:rsidR="00544356" w:rsidRPr="00CD4FAB">
        <w:t xml:space="preserve"> </w:t>
      </w:r>
      <w:r w:rsidR="00FF3CD2" w:rsidRPr="00CD4FAB">
        <w:t>(</w:t>
      </w:r>
      <w:r w:rsidR="00544356" w:rsidRPr="00CD4FAB">
        <w:t>ICI</w:t>
      </w:r>
      <w:r w:rsidR="00FF3CD2" w:rsidRPr="00CD4FAB">
        <w:t>s)</w:t>
      </w:r>
      <w:r w:rsidR="00544356" w:rsidRPr="00CD4FAB">
        <w:t xml:space="preserve"> precluding use in relapsed or metastatic </w:t>
      </w:r>
      <w:r w:rsidR="007D7A55" w:rsidRPr="00CD4FAB">
        <w:t>NSCLC</w:t>
      </w:r>
      <w:r w:rsidR="00544356" w:rsidRPr="00CD4FAB">
        <w:t xml:space="preserve"> and that this resulted in inaccurate estimates: </w:t>
      </w:r>
      <w:r w:rsidR="00FF3CD2" w:rsidRPr="00CD4FAB">
        <w:t>‘</w:t>
      </w:r>
      <w:r w:rsidR="00544356" w:rsidRPr="00CD4FAB">
        <w:t>the utilisation of nivolumab was overestimated and the cost-offsets associated with the current use of immunotherapy in the financial estimates remained underestimated, in part due to not accounting for repeat use of immunotherapy in the metastatic setting being precluded</w:t>
      </w:r>
      <w:r w:rsidR="00FF3CD2" w:rsidRPr="00CD4FAB">
        <w:t>’</w:t>
      </w:r>
      <w:r w:rsidR="00544356" w:rsidRPr="00CD4FAB">
        <w:t xml:space="preserve"> </w:t>
      </w:r>
      <w:r w:rsidR="001818D1" w:rsidRPr="00CD4FAB">
        <w:t xml:space="preserve">(paras </w:t>
      </w:r>
      <w:r w:rsidR="00544356" w:rsidRPr="00CD4FAB">
        <w:t>5.1, 5.9</w:t>
      </w:r>
      <w:r w:rsidR="00D1063F" w:rsidRPr="00CD4FAB">
        <w:t>,</w:t>
      </w:r>
      <w:r w:rsidR="001818D1" w:rsidRPr="00CD4FAB">
        <w:t xml:space="preserve"> nivolumab PSD, </w:t>
      </w:r>
      <w:r w:rsidR="00CE5015" w:rsidRPr="00CD4FAB">
        <w:t>July</w:t>
      </w:r>
      <w:r w:rsidR="001818D1" w:rsidRPr="00CD4FAB">
        <w:t xml:space="preserve"> 2023 PBAC meeting</w:t>
      </w:r>
      <w:r w:rsidR="00544356" w:rsidRPr="00CD4FAB">
        <w:t>).</w:t>
      </w:r>
    </w:p>
    <w:p w14:paraId="574CB1A3" w14:textId="3A2B4471" w:rsidR="00544356" w:rsidRPr="00CD4FAB" w:rsidRDefault="00544356" w:rsidP="00111D88">
      <w:pPr>
        <w:pStyle w:val="3-BodyText"/>
      </w:pPr>
      <w:r w:rsidRPr="00CD4FAB">
        <w:t xml:space="preserve">The PBAC </w:t>
      </w:r>
      <w:r w:rsidR="00680F72" w:rsidRPr="00CD4FAB">
        <w:t xml:space="preserve">also </w:t>
      </w:r>
      <w:r w:rsidR="00FF3CD2" w:rsidRPr="00CD4FAB">
        <w:t xml:space="preserve">reiterated </w:t>
      </w:r>
      <w:r w:rsidRPr="00CD4FAB">
        <w:t xml:space="preserve">its view that, notwithstanding the acknowledgement that IO retreatment </w:t>
      </w:r>
      <w:r w:rsidR="00FF3CD2" w:rsidRPr="00CD4FAB">
        <w:t>‘</w:t>
      </w:r>
      <w:r w:rsidRPr="00CD4FAB">
        <w:t>may be clinically appropriate</w:t>
      </w:r>
      <w:r w:rsidR="00FF3CD2" w:rsidRPr="00CD4FAB">
        <w:t>’</w:t>
      </w:r>
      <w:r w:rsidRPr="00CD4FAB">
        <w:t xml:space="preserve">, </w:t>
      </w:r>
      <w:r w:rsidR="00FF3CD2" w:rsidRPr="00CD4FAB">
        <w:t>‘</w:t>
      </w:r>
      <w:r w:rsidRPr="00CD4FAB">
        <w:t>the resubmission did not provide evidence to support use of subsequent immunotherapy</w:t>
      </w:r>
      <w:r w:rsidR="00FF3CD2" w:rsidRPr="00CD4FAB">
        <w:t>’</w:t>
      </w:r>
      <w:r w:rsidRPr="00CD4FAB">
        <w:t xml:space="preserve"> so that </w:t>
      </w:r>
      <w:r w:rsidR="00FF3CD2" w:rsidRPr="00CD4FAB">
        <w:t>‘</w:t>
      </w:r>
      <w:r w:rsidRPr="00CD4FAB">
        <w:t>use of immunotherapy in those who relapse with metastatic disease could not be supported by the Committee at this time</w:t>
      </w:r>
      <w:r w:rsidR="00FF3CD2" w:rsidRPr="00CD4FAB">
        <w:t>’</w:t>
      </w:r>
      <w:r w:rsidRPr="00CD4FAB">
        <w:t xml:space="preserve"> (</w:t>
      </w:r>
      <w:r w:rsidR="001818D1" w:rsidRPr="00CD4FAB">
        <w:t xml:space="preserve">para </w:t>
      </w:r>
      <w:r w:rsidRPr="00CD4FAB">
        <w:t>5.3</w:t>
      </w:r>
      <w:r w:rsidR="001818D1" w:rsidRPr="00CD4FAB">
        <w:t xml:space="preserve">, nivolumab PSD, </w:t>
      </w:r>
      <w:r w:rsidR="00FD7955" w:rsidRPr="00CD4FAB">
        <w:t>July</w:t>
      </w:r>
      <w:r w:rsidR="001818D1" w:rsidRPr="00CD4FAB">
        <w:t xml:space="preserve"> 2023 PBAC meeting</w:t>
      </w:r>
      <w:r w:rsidRPr="00CD4FAB">
        <w:t>). For this reason, the restriction of treatment to three doses per lifetime was retained in the recommendation for listing</w:t>
      </w:r>
      <w:r w:rsidR="00CD4FAB">
        <w:t xml:space="preserve">. </w:t>
      </w:r>
    </w:p>
    <w:p w14:paraId="2B4338F8" w14:textId="45D97DF2" w:rsidR="00544356" w:rsidRPr="00CD4FAB" w:rsidRDefault="00544356" w:rsidP="00111D88">
      <w:pPr>
        <w:pStyle w:val="3-BodyText"/>
      </w:pPr>
      <w:r w:rsidRPr="00CD4FAB">
        <w:t xml:space="preserve">The </w:t>
      </w:r>
      <w:r w:rsidR="0003494A" w:rsidRPr="00CD4FAB">
        <w:t xml:space="preserve">evaluation considered the </w:t>
      </w:r>
      <w:r w:rsidR="00312792">
        <w:t xml:space="preserve">resubmission’s </w:t>
      </w:r>
      <w:r w:rsidRPr="00CD4FAB">
        <w:t xml:space="preserve">claim that </w:t>
      </w:r>
      <w:r w:rsidR="00FF3CD2" w:rsidRPr="00CD4FAB">
        <w:t>‘</w:t>
      </w:r>
      <w:r w:rsidRPr="00CD4FAB">
        <w:t>there is a disconnect between the PBAC’s recommended PBS restriction (which does not allow</w:t>
      </w:r>
      <w:r w:rsidR="00FF3CD2" w:rsidRPr="00CD4FAB">
        <w:t xml:space="preserve"> </w:t>
      </w:r>
      <w:r w:rsidRPr="00CD4FAB">
        <w:t>IO retreatment) and the PBAC’s recommended economic evaluation (which allows IO retreatment)</w:t>
      </w:r>
      <w:r w:rsidR="007952C3" w:rsidRPr="00CD4FAB">
        <w:t>’</w:t>
      </w:r>
      <w:r w:rsidRPr="00CD4FAB">
        <w:t xml:space="preserve"> is not justified</w:t>
      </w:r>
      <w:r w:rsidR="007D7A55" w:rsidRPr="00CD4FAB">
        <w:t>, in that the PBAC did not recommend</w:t>
      </w:r>
      <w:r w:rsidR="00B1656A" w:rsidRPr="00CD4FAB">
        <w:t xml:space="preserve"> </w:t>
      </w:r>
      <w:r w:rsidR="007D7A55" w:rsidRPr="00CD4FAB">
        <w:t xml:space="preserve">the inclusion of IO </w:t>
      </w:r>
      <w:r w:rsidR="007D7A55" w:rsidRPr="00CD4FAB">
        <w:lastRenderedPageBreak/>
        <w:t xml:space="preserve">retreatment in the economic </w:t>
      </w:r>
      <w:r w:rsidR="006224CE" w:rsidRPr="00CD4FAB">
        <w:t>model or</w:t>
      </w:r>
      <w:r w:rsidR="00B1656A" w:rsidRPr="00CD4FAB">
        <w:t xml:space="preserve"> accept the validity of the results when it was included</w:t>
      </w:r>
      <w:r w:rsidRPr="00CD4FAB">
        <w:t xml:space="preserve">. </w:t>
      </w:r>
    </w:p>
    <w:p w14:paraId="3AC4C76E" w14:textId="4ED1532B" w:rsidR="005C25FF" w:rsidRPr="00CD4FAB" w:rsidRDefault="00544356" w:rsidP="00615787">
      <w:pPr>
        <w:pStyle w:val="3-BodyText"/>
      </w:pPr>
      <w:r w:rsidRPr="00CD4FAB">
        <w:t xml:space="preserve">In July 2023, the PBAC noted </w:t>
      </w:r>
      <w:r w:rsidR="00FF3CD2" w:rsidRPr="00CD4FAB">
        <w:t>‘</w:t>
      </w:r>
      <w:r w:rsidRPr="00CD4FAB">
        <w:t>that it would reconsider the recommendation to exclude retreatment in metastatic disease should evidence supporting such use become available</w:t>
      </w:r>
      <w:r w:rsidR="00FF3CD2" w:rsidRPr="00CD4FAB">
        <w:t>’</w:t>
      </w:r>
      <w:r w:rsidRPr="00CD4FAB">
        <w:t xml:space="preserve"> (</w:t>
      </w:r>
      <w:r w:rsidR="001818D1" w:rsidRPr="00CD4FAB">
        <w:t xml:space="preserve">para </w:t>
      </w:r>
      <w:r w:rsidRPr="00CD4FAB">
        <w:t>5.3</w:t>
      </w:r>
      <w:r w:rsidR="001818D1" w:rsidRPr="00CD4FAB">
        <w:t>, nivolumab PSD, July 2023 PBAC meeting</w:t>
      </w:r>
      <w:r w:rsidRPr="00CD4FAB">
        <w:t>).</w:t>
      </w:r>
    </w:p>
    <w:p w14:paraId="761ED4E5" w14:textId="464F3B3D" w:rsidR="00480350" w:rsidRPr="00CD4FAB" w:rsidRDefault="00480350" w:rsidP="00396EFF">
      <w:pPr>
        <w:pStyle w:val="3-BodyText"/>
      </w:pPr>
      <w:r w:rsidRPr="00CD4FAB">
        <w:t>The clinical claims remained as previously accepted by the PBAC (paras 4.10</w:t>
      </w:r>
      <w:r w:rsidR="002F0548">
        <w:t>,</w:t>
      </w:r>
      <w:r w:rsidRPr="00CD4FAB">
        <w:t xml:space="preserve"> 4.11</w:t>
      </w:r>
      <w:r w:rsidR="00396EFF" w:rsidRPr="00CD4FAB">
        <w:t>, nivolumab PSD, July 2023 PBAC meeting)</w:t>
      </w:r>
      <w:r w:rsidRPr="00CD4FAB">
        <w:t xml:space="preserve">: that </w:t>
      </w:r>
      <w:r w:rsidR="003A2056" w:rsidRPr="00CD4FAB">
        <w:t>neoNIVO+neoChemo</w:t>
      </w:r>
      <w:r w:rsidR="006224CE" w:rsidRPr="00CD4FAB">
        <w:t xml:space="preserve"> </w:t>
      </w:r>
      <w:r w:rsidRPr="00CD4FAB">
        <w:t xml:space="preserve">has superior efficacy when compared with </w:t>
      </w:r>
      <w:r w:rsidR="009A3D21" w:rsidRPr="00CD4FAB">
        <w:t>neoChemo</w:t>
      </w:r>
      <w:r w:rsidRPr="00CD4FAB">
        <w:t xml:space="preserve">. The claim of non-inferior comparative safety compared to </w:t>
      </w:r>
      <w:r w:rsidR="009A3D21" w:rsidRPr="00CD4FAB">
        <w:t>neoChemo</w:t>
      </w:r>
      <w:r w:rsidRPr="00CD4FAB">
        <w:t xml:space="preserve"> was not previously accepted by the PBAC and this decision was not challenged in the submission. </w:t>
      </w:r>
    </w:p>
    <w:p w14:paraId="2A23A49F" w14:textId="64290D3F" w:rsidR="005C25FF" w:rsidRPr="00CD4FAB" w:rsidRDefault="00696EF9" w:rsidP="00D221AB">
      <w:pPr>
        <w:pStyle w:val="TableFigureHeading"/>
        <w:keepLines/>
        <w:rPr>
          <w:rStyle w:val="CommentReference"/>
          <w:rFonts w:cs="Arial"/>
          <w:b/>
          <w:bCs w:val="0"/>
          <w:snapToGrid w:val="0"/>
          <w:szCs w:val="24"/>
        </w:rPr>
      </w:pPr>
      <w:bookmarkStart w:id="8" w:name="_Ref152327198"/>
      <w:r w:rsidRPr="00CD4FAB">
        <w:lastRenderedPageBreak/>
        <w:t xml:space="preserve">Table </w:t>
      </w:r>
      <w:fldSimple w:instr=" SEQ Table \* ARABIC " w:fldLock="1">
        <w:r w:rsidR="00885DA7">
          <w:rPr>
            <w:noProof/>
          </w:rPr>
          <w:t>2</w:t>
        </w:r>
      </w:fldSimple>
      <w:bookmarkEnd w:id="8"/>
      <w:r w:rsidRPr="00CD4FAB">
        <w:t>:</w:t>
      </w:r>
      <w:r w:rsidR="005C25FF" w:rsidRPr="00CD4FAB">
        <w:rPr>
          <w:rStyle w:val="CommentReference"/>
          <w:b/>
          <w:szCs w:val="24"/>
        </w:rPr>
        <w:t xml:space="preserve"> Summary of key matters of concern</w:t>
      </w:r>
      <w:r w:rsidR="00F72489" w:rsidRPr="00CD4FAB">
        <w:rPr>
          <w:rStyle w:val="CommentReference"/>
          <w:b/>
          <w:szCs w:val="24"/>
        </w:rPr>
        <w:t xml:space="preserve"> vs July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vs July 2023"/>
      </w:tblPr>
      <w:tblGrid>
        <w:gridCol w:w="3681"/>
        <w:gridCol w:w="3197"/>
        <w:gridCol w:w="2139"/>
      </w:tblGrid>
      <w:tr w:rsidR="0020501A" w:rsidRPr="00CD4FAB" w14:paraId="6747F8E1" w14:textId="755697BD" w:rsidTr="00D221AB">
        <w:trPr>
          <w:tblHeader/>
        </w:trPr>
        <w:tc>
          <w:tcPr>
            <w:tcW w:w="2041" w:type="pct"/>
          </w:tcPr>
          <w:p w14:paraId="346F438D" w14:textId="661B21C6" w:rsidR="007A2D29" w:rsidRPr="009061D9" w:rsidRDefault="007A2D29" w:rsidP="00D221AB">
            <w:pPr>
              <w:pStyle w:val="In-tableHeading"/>
              <w:keepLines/>
              <w:rPr>
                <w:lang w:val="en-AU"/>
              </w:rPr>
            </w:pPr>
            <w:r w:rsidRPr="009061D9">
              <w:rPr>
                <w:lang w:val="en-AU"/>
              </w:rPr>
              <w:t>Matter of concern</w:t>
            </w:r>
          </w:p>
        </w:tc>
        <w:tc>
          <w:tcPr>
            <w:tcW w:w="1773" w:type="pct"/>
          </w:tcPr>
          <w:p w14:paraId="2B7F3F42" w14:textId="6F68F572" w:rsidR="007A2D29" w:rsidRPr="009061D9" w:rsidRDefault="007A2D29" w:rsidP="00D221AB">
            <w:pPr>
              <w:pStyle w:val="In-tableHeading"/>
              <w:keepLines/>
              <w:rPr>
                <w:lang w:val="en-AU"/>
              </w:rPr>
            </w:pPr>
            <w:r w:rsidRPr="009061D9">
              <w:rPr>
                <w:lang w:val="en-AU"/>
              </w:rPr>
              <w:t>Response</w:t>
            </w:r>
          </w:p>
        </w:tc>
        <w:tc>
          <w:tcPr>
            <w:tcW w:w="1186" w:type="pct"/>
          </w:tcPr>
          <w:p w14:paraId="4BAA81F2" w14:textId="62362676" w:rsidR="007A2D29" w:rsidRPr="009061D9" w:rsidRDefault="007A2D29" w:rsidP="00D221AB">
            <w:pPr>
              <w:pStyle w:val="In-tableHeading"/>
              <w:keepLines/>
              <w:rPr>
                <w:lang w:val="en-AU"/>
              </w:rPr>
            </w:pPr>
            <w:r w:rsidRPr="009061D9">
              <w:rPr>
                <w:lang w:val="en-AU"/>
              </w:rPr>
              <w:t>Addressed?</w:t>
            </w:r>
          </w:p>
        </w:tc>
      </w:tr>
      <w:tr w:rsidR="007A2D29" w:rsidRPr="00CD4FAB" w14:paraId="62D12FE7" w14:textId="77777777" w:rsidTr="00DF1868">
        <w:trPr>
          <w:tblHeader/>
        </w:trPr>
        <w:tc>
          <w:tcPr>
            <w:tcW w:w="5000" w:type="pct"/>
            <w:gridSpan w:val="3"/>
          </w:tcPr>
          <w:p w14:paraId="5BCBE2AA" w14:textId="057177EB" w:rsidR="007A2D29" w:rsidRPr="009061D9" w:rsidRDefault="00761598" w:rsidP="00D221AB">
            <w:pPr>
              <w:pStyle w:val="In-tableHeading"/>
              <w:keepLines/>
              <w:rPr>
                <w:lang w:val="en-AU"/>
              </w:rPr>
            </w:pPr>
            <w:r w:rsidRPr="009061D9">
              <w:rPr>
                <w:lang w:val="en-AU"/>
              </w:rPr>
              <w:t>Revision to the proposed restriction</w:t>
            </w:r>
          </w:p>
        </w:tc>
      </w:tr>
      <w:tr w:rsidR="0020501A" w:rsidRPr="00CD4FAB" w14:paraId="12E6A50B" w14:textId="532D64F2" w:rsidTr="00D221AB">
        <w:tc>
          <w:tcPr>
            <w:tcW w:w="2041" w:type="pct"/>
          </w:tcPr>
          <w:p w14:paraId="4F23B305" w14:textId="76B4F8A1" w:rsidR="007A2D29" w:rsidRPr="00CD4FAB" w:rsidRDefault="008E5E0B" w:rsidP="00D221AB">
            <w:pPr>
              <w:pStyle w:val="TableText0"/>
              <w:keepLines/>
              <w:rPr>
                <w:bCs w:val="0"/>
                <w:szCs w:val="20"/>
              </w:rPr>
            </w:pPr>
            <w:r w:rsidRPr="00CD4FAB">
              <w:rPr>
                <w:bCs w:val="0"/>
                <w:szCs w:val="20"/>
              </w:rPr>
              <w:t xml:space="preserve">The PBAC advised in July 2023 that </w:t>
            </w:r>
            <w:r w:rsidR="002A3EC2" w:rsidRPr="00CD4FAB">
              <w:rPr>
                <w:bCs w:val="0"/>
                <w:szCs w:val="20"/>
              </w:rPr>
              <w:t xml:space="preserve">due to a lack of clinical evidence </w:t>
            </w:r>
            <w:r w:rsidRPr="00CD4FAB">
              <w:t>repeat use of immunotherapy in those who relapse with metastatic disease could not be supported by the Committee.</w:t>
            </w:r>
            <w:r w:rsidR="002A3EC2" w:rsidRPr="00CD4FAB">
              <w:t xml:space="preserve"> The PBAC considered that </w:t>
            </w:r>
            <w:r w:rsidR="002A3EC2" w:rsidRPr="009061D9">
              <w:rPr>
                <w:rFonts w:asciiTheme="minorHAnsi" w:hAnsiTheme="minorHAnsi" w:cs="Arial"/>
                <w:snapToGrid w:val="0"/>
              </w:rPr>
              <w:t xml:space="preserve">a </w:t>
            </w:r>
            <w:r w:rsidR="002A3EC2" w:rsidRPr="00CD4FAB">
              <w:t>treatment criterion stating that a ‘</w:t>
            </w:r>
            <w:bookmarkStart w:id="9" w:name="_Hlk140074765"/>
            <w:r w:rsidR="002A3EC2" w:rsidRPr="00CD4FAB">
              <w:t>Patient must not be undergoing treatment with more than 3 PBS-subsidised doses of this drug per lifetime for this indication</w:t>
            </w:r>
            <w:bookmarkEnd w:id="9"/>
            <w:r w:rsidR="002A3EC2" w:rsidRPr="00CD4FAB">
              <w:t>’ would be appropriate to include in the restriction</w:t>
            </w:r>
            <w:r w:rsidR="007A2D29" w:rsidRPr="00CD4FAB">
              <w:rPr>
                <w:bCs w:val="0"/>
                <w:szCs w:val="20"/>
              </w:rPr>
              <w:t xml:space="preserve"> (para 5.3, </w:t>
            </w:r>
            <w:r w:rsidR="0020501A" w:rsidRPr="00CD4FAB">
              <w:rPr>
                <w:bCs w:val="0"/>
                <w:szCs w:val="20"/>
              </w:rPr>
              <w:t xml:space="preserve">nivolumab </w:t>
            </w:r>
            <w:r w:rsidR="007A2D29" w:rsidRPr="00CD4FAB">
              <w:rPr>
                <w:bCs w:val="0"/>
                <w:szCs w:val="20"/>
              </w:rPr>
              <w:t>PSD</w:t>
            </w:r>
            <w:r w:rsidR="0020501A" w:rsidRPr="00CD4FAB">
              <w:rPr>
                <w:bCs w:val="0"/>
                <w:szCs w:val="20"/>
              </w:rPr>
              <w:t>,</w:t>
            </w:r>
            <w:r w:rsidR="007A2D29" w:rsidRPr="00CD4FAB">
              <w:rPr>
                <w:bCs w:val="0"/>
                <w:szCs w:val="20"/>
              </w:rPr>
              <w:t xml:space="preserve"> July 2023</w:t>
            </w:r>
            <w:r w:rsidR="0020501A" w:rsidRPr="00CD4FAB">
              <w:rPr>
                <w:bCs w:val="0"/>
                <w:szCs w:val="20"/>
              </w:rPr>
              <w:t xml:space="preserve"> PBAC </w:t>
            </w:r>
            <w:r w:rsidR="002F0548">
              <w:rPr>
                <w:bCs w:val="0"/>
                <w:szCs w:val="20"/>
              </w:rPr>
              <w:t>m</w:t>
            </w:r>
            <w:r w:rsidR="0020501A" w:rsidRPr="00CD4FAB">
              <w:rPr>
                <w:bCs w:val="0"/>
                <w:szCs w:val="20"/>
              </w:rPr>
              <w:t>eeting).</w:t>
            </w:r>
          </w:p>
        </w:tc>
        <w:tc>
          <w:tcPr>
            <w:tcW w:w="1773" w:type="pct"/>
          </w:tcPr>
          <w:p w14:paraId="27979425" w14:textId="43C17DFD" w:rsidR="007A2D29" w:rsidRPr="00CD4FAB" w:rsidRDefault="002A3EC2" w:rsidP="00D221AB">
            <w:pPr>
              <w:pStyle w:val="TableText0"/>
              <w:keepLines/>
              <w:rPr>
                <w:szCs w:val="20"/>
              </w:rPr>
            </w:pPr>
            <w:r w:rsidRPr="00CD4FAB">
              <w:t xml:space="preserve">The submission proposed </w:t>
            </w:r>
            <w:r w:rsidR="007A2D29" w:rsidRPr="00CD4FAB">
              <w:t xml:space="preserve">two options for listing – Option </w:t>
            </w:r>
            <w:r w:rsidR="00885F6A" w:rsidRPr="00CD4FAB">
              <w:t>A</w:t>
            </w:r>
            <w:r w:rsidR="007A2D29" w:rsidRPr="00CD4FAB">
              <w:t xml:space="preserve"> allowing retreatment; Option </w:t>
            </w:r>
            <w:r w:rsidR="00885F6A" w:rsidRPr="00CD4FAB">
              <w:t xml:space="preserve">B </w:t>
            </w:r>
            <w:r w:rsidR="007A2D29" w:rsidRPr="00CD4FAB">
              <w:t>not permitting retreatment.</w:t>
            </w:r>
            <w:r w:rsidRPr="00CD4FAB">
              <w:t xml:space="preserve"> Option B includes a treatment criterion that is line with previous </w:t>
            </w:r>
            <w:r w:rsidR="004A7828" w:rsidRPr="00CD4FAB">
              <w:t xml:space="preserve">PBAC </w:t>
            </w:r>
            <w:r w:rsidRPr="00CD4FAB">
              <w:t>advice.</w:t>
            </w:r>
            <w:r w:rsidR="007A2D29" w:rsidRPr="00CD4FAB">
              <w:t xml:space="preserve"> </w:t>
            </w:r>
          </w:p>
        </w:tc>
        <w:tc>
          <w:tcPr>
            <w:tcW w:w="1186" w:type="pct"/>
          </w:tcPr>
          <w:p w14:paraId="7D1B144C" w14:textId="1101A3A9" w:rsidR="007A2D29" w:rsidRPr="00CD4FAB" w:rsidRDefault="009A3D21" w:rsidP="00D221AB">
            <w:pPr>
              <w:pStyle w:val="TableText0"/>
              <w:keepLines/>
            </w:pPr>
            <w:r w:rsidRPr="00CD4FAB">
              <w:t>Y</w:t>
            </w:r>
            <w:r w:rsidR="00FD7955" w:rsidRPr="00CD4FAB">
              <w:t>es</w:t>
            </w:r>
          </w:p>
        </w:tc>
      </w:tr>
      <w:tr w:rsidR="006E5879" w:rsidRPr="00CD4FAB" w14:paraId="641C7344" w14:textId="77777777" w:rsidTr="00DF1868">
        <w:tc>
          <w:tcPr>
            <w:tcW w:w="5000" w:type="pct"/>
            <w:gridSpan w:val="3"/>
          </w:tcPr>
          <w:p w14:paraId="183C808E" w14:textId="26CA78CE" w:rsidR="006E5879" w:rsidRPr="00CD4FAB" w:rsidRDefault="00E62484" w:rsidP="00D221AB">
            <w:pPr>
              <w:pStyle w:val="TableText0"/>
              <w:keepLines/>
              <w:rPr>
                <w:b/>
                <w:bCs w:val="0"/>
              </w:rPr>
            </w:pPr>
            <w:r w:rsidRPr="00CD4FAB">
              <w:rPr>
                <w:b/>
                <w:bCs w:val="0"/>
              </w:rPr>
              <w:t>Updated clinical effectiveness</w:t>
            </w:r>
          </w:p>
        </w:tc>
      </w:tr>
      <w:tr w:rsidR="0020501A" w:rsidRPr="00CD4FAB" w14:paraId="73E1F5B6" w14:textId="77777777" w:rsidTr="00D221AB">
        <w:tc>
          <w:tcPr>
            <w:tcW w:w="2041" w:type="pct"/>
          </w:tcPr>
          <w:p w14:paraId="09C0B863" w14:textId="09D19895" w:rsidR="006E5879" w:rsidRPr="00CD4FAB" w:rsidRDefault="00E62484" w:rsidP="00D221AB">
            <w:pPr>
              <w:pStyle w:val="TableText0"/>
              <w:keepLines/>
              <w:rPr>
                <w:bCs w:val="0"/>
                <w:szCs w:val="20"/>
              </w:rPr>
            </w:pPr>
            <w:r w:rsidRPr="00CD4FAB">
              <w:t>The PBAC acknowledged that it would reconsider the recommendation to exclude retreatment in metastatic disease should evidence supporting such use become available (</w:t>
            </w:r>
            <w:r w:rsidRPr="00CD4FAB">
              <w:rPr>
                <w:bCs w:val="0"/>
                <w:szCs w:val="20"/>
              </w:rPr>
              <w:t xml:space="preserve">para 5.3, nivolumab PSD, July 2023 PBAC </w:t>
            </w:r>
            <w:r w:rsidR="002F0548">
              <w:rPr>
                <w:bCs w:val="0"/>
                <w:szCs w:val="20"/>
              </w:rPr>
              <w:t>m</w:t>
            </w:r>
            <w:r w:rsidRPr="00CD4FAB">
              <w:rPr>
                <w:bCs w:val="0"/>
                <w:szCs w:val="20"/>
              </w:rPr>
              <w:t>eeting).</w:t>
            </w:r>
          </w:p>
        </w:tc>
        <w:tc>
          <w:tcPr>
            <w:tcW w:w="1773" w:type="pct"/>
          </w:tcPr>
          <w:p w14:paraId="416E748C" w14:textId="715C2637" w:rsidR="006E5879" w:rsidRPr="00CD4FAB" w:rsidRDefault="00E62484" w:rsidP="00D221AB">
            <w:pPr>
              <w:pStyle w:val="TableText0"/>
              <w:keepLines/>
            </w:pPr>
            <w:r w:rsidRPr="00CD4FAB">
              <w:t xml:space="preserve">The </w:t>
            </w:r>
            <w:r w:rsidR="006E5879" w:rsidRPr="00CD4FAB">
              <w:t xml:space="preserve">submission presented </w:t>
            </w:r>
            <w:r w:rsidRPr="00CD4FAB">
              <w:t xml:space="preserve">a </w:t>
            </w:r>
            <w:r w:rsidR="006E5879" w:rsidRPr="00CD4FAB">
              <w:t>literature search and</w:t>
            </w:r>
            <w:r w:rsidRPr="00CD4FAB">
              <w:t xml:space="preserve"> a</w:t>
            </w:r>
            <w:r w:rsidR="006E5879" w:rsidRPr="00CD4FAB">
              <w:t xml:space="preserve"> summary of publicatio</w:t>
            </w:r>
            <w:r w:rsidR="00E15B24" w:rsidRPr="00CD4FAB">
              <w:t>ns reporting</w:t>
            </w:r>
            <w:r w:rsidR="006E5879" w:rsidRPr="00CD4FAB">
              <w:t xml:space="preserve"> </w:t>
            </w:r>
            <w:r w:rsidRPr="00CD4FAB">
              <w:t xml:space="preserve">on the effectiveness of IO </w:t>
            </w:r>
            <w:r w:rsidR="006E5879" w:rsidRPr="00CD4FAB">
              <w:t>retreatment</w:t>
            </w:r>
            <w:r w:rsidR="00E15B24" w:rsidRPr="00CD4FAB">
              <w:t>.</w:t>
            </w:r>
          </w:p>
        </w:tc>
        <w:tc>
          <w:tcPr>
            <w:tcW w:w="1186" w:type="pct"/>
          </w:tcPr>
          <w:p w14:paraId="4579FCBF" w14:textId="3D590CE2" w:rsidR="006E5879" w:rsidRPr="00CD4FAB" w:rsidRDefault="00FD7955" w:rsidP="00D221AB">
            <w:pPr>
              <w:pStyle w:val="TableText0"/>
              <w:keepLines/>
            </w:pPr>
            <w:r w:rsidRPr="00CD4FAB">
              <w:t xml:space="preserve">No </w:t>
            </w:r>
            <w:r w:rsidR="0003494A" w:rsidRPr="00CD4FAB">
              <w:t>–</w:t>
            </w:r>
            <w:r w:rsidRPr="00CD4FAB">
              <w:t xml:space="preserve"> </w:t>
            </w:r>
            <w:r w:rsidR="0003494A" w:rsidRPr="00CD4FAB">
              <w:t>The evaluation considered the e</w:t>
            </w:r>
            <w:r w:rsidR="006E5879" w:rsidRPr="00CD4FAB">
              <w:t xml:space="preserve">vidence provided </w:t>
            </w:r>
            <w:r w:rsidR="00B10A4E" w:rsidRPr="00CD4FAB">
              <w:t xml:space="preserve">was </w:t>
            </w:r>
            <w:r w:rsidR="006E5879" w:rsidRPr="00CD4FAB">
              <w:t>insufficient to establish either efficacy or effect size of retreatment.</w:t>
            </w:r>
          </w:p>
        </w:tc>
      </w:tr>
      <w:tr w:rsidR="007A2D29" w:rsidRPr="00CD4FAB" w14:paraId="7F544ADE" w14:textId="19291427" w:rsidTr="00DF1868">
        <w:tc>
          <w:tcPr>
            <w:tcW w:w="5000" w:type="pct"/>
            <w:gridSpan w:val="3"/>
          </w:tcPr>
          <w:p w14:paraId="4047033E" w14:textId="7FE3D05C" w:rsidR="007A2D29" w:rsidRPr="005136A0" w:rsidRDefault="007A2D29" w:rsidP="00D221AB">
            <w:pPr>
              <w:pStyle w:val="In-tableHeading"/>
              <w:keepLines/>
              <w:rPr>
                <w:snapToGrid w:val="0"/>
                <w:color w:val="0066FF"/>
                <w:lang w:val="en-AU"/>
              </w:rPr>
            </w:pPr>
            <w:r w:rsidRPr="005136A0">
              <w:rPr>
                <w:snapToGrid w:val="0"/>
                <w:lang w:val="en-AU"/>
              </w:rPr>
              <w:t>Updated financial estimates</w:t>
            </w:r>
          </w:p>
        </w:tc>
      </w:tr>
      <w:tr w:rsidR="0020501A" w:rsidRPr="00CD4FAB" w14:paraId="42AE6453" w14:textId="77777777" w:rsidTr="00D221AB">
        <w:tc>
          <w:tcPr>
            <w:tcW w:w="2041" w:type="pct"/>
          </w:tcPr>
          <w:p w14:paraId="77C6D7C4" w14:textId="00E8896E" w:rsidR="007E0791" w:rsidRPr="00CD4FAB" w:rsidRDefault="00B10A4E" w:rsidP="00D221AB">
            <w:pPr>
              <w:pStyle w:val="TableText0"/>
              <w:keepLines/>
            </w:pPr>
            <w:r w:rsidRPr="00CD4FAB">
              <w:t xml:space="preserve">The </w:t>
            </w:r>
            <w:r w:rsidR="00615787" w:rsidRPr="00CD4FAB">
              <w:t xml:space="preserve">PBAC considered that </w:t>
            </w:r>
            <w:r w:rsidR="006E5879" w:rsidRPr="00CD4FAB">
              <w:t>utilisation</w:t>
            </w:r>
            <w:r w:rsidR="00615787" w:rsidRPr="00CD4FAB">
              <w:t xml:space="preserve"> was overestimated and the cost-offsets associated with current immunotherapy remained underestimated (</w:t>
            </w:r>
            <w:r w:rsidR="00577EDF" w:rsidRPr="00CD4FAB">
              <w:t>p</w:t>
            </w:r>
            <w:r w:rsidR="00615787" w:rsidRPr="00CD4FAB">
              <w:t>ara 5</w:t>
            </w:r>
            <w:r w:rsidR="00F06C39" w:rsidRPr="00CD4FAB">
              <w:t>.</w:t>
            </w:r>
            <w:r w:rsidR="00615787" w:rsidRPr="00CD4FAB">
              <w:t>1</w:t>
            </w:r>
            <w:r w:rsidR="00C608A4" w:rsidRPr="00CD4FAB">
              <w:t>1</w:t>
            </w:r>
            <w:r w:rsidR="00F06C39" w:rsidRPr="00CD4FAB">
              <w:t>, nivolumab</w:t>
            </w:r>
            <w:r w:rsidR="00615787" w:rsidRPr="00CD4FAB">
              <w:t xml:space="preserve"> PSD</w:t>
            </w:r>
            <w:r w:rsidR="00F06C39" w:rsidRPr="00CD4FAB">
              <w:t xml:space="preserve">, July 2023 PBAC </w:t>
            </w:r>
            <w:r w:rsidR="002F0548">
              <w:t>m</w:t>
            </w:r>
            <w:r w:rsidR="00F06C39" w:rsidRPr="00CD4FAB">
              <w:t>eeting</w:t>
            </w:r>
            <w:r w:rsidR="00615787" w:rsidRPr="00CD4FAB">
              <w:t xml:space="preserve">). </w:t>
            </w:r>
            <w:r w:rsidR="007E0791" w:rsidRPr="00CD4FAB">
              <w:t>Specific issues as listed</w:t>
            </w:r>
            <w:r w:rsidRPr="00CD4FAB">
              <w:t xml:space="preserve">: </w:t>
            </w:r>
          </w:p>
          <w:p w14:paraId="395B665B" w14:textId="77777777" w:rsidR="00B10A4E" w:rsidRPr="00CD4FAB" w:rsidRDefault="00B10A4E" w:rsidP="00D221AB">
            <w:pPr>
              <w:pStyle w:val="TableText0"/>
              <w:keepLines/>
              <w:numPr>
                <w:ilvl w:val="0"/>
                <w:numId w:val="9"/>
              </w:numPr>
              <w:rPr>
                <w:rFonts w:eastAsia="Times New Roman" w:cs="Arial"/>
                <w:bCs w:val="0"/>
                <w:snapToGrid w:val="0"/>
                <w:color w:val="0066FF"/>
                <w:szCs w:val="20"/>
              </w:rPr>
            </w:pPr>
            <w:r w:rsidRPr="00CD4FAB">
              <w:t>Additional atezolizumab patients should be removed. Should be captured in incident population for Stages II-IIIA.</w:t>
            </w:r>
          </w:p>
          <w:p w14:paraId="0272759F" w14:textId="77777777" w:rsidR="00B10A4E" w:rsidRPr="00CD4FAB" w:rsidRDefault="00B10A4E" w:rsidP="00D221AB">
            <w:pPr>
              <w:pStyle w:val="TableText0"/>
              <w:keepLines/>
              <w:numPr>
                <w:ilvl w:val="0"/>
                <w:numId w:val="9"/>
              </w:numPr>
              <w:rPr>
                <w:rFonts w:eastAsia="Times New Roman" w:cs="Arial"/>
                <w:bCs w:val="0"/>
                <w:snapToGrid w:val="0"/>
                <w:szCs w:val="20"/>
              </w:rPr>
            </w:pPr>
            <w:r w:rsidRPr="00CD4FAB">
              <w:rPr>
                <w:rFonts w:eastAsia="Times New Roman" w:cs="Arial"/>
                <w:bCs w:val="0"/>
                <w:snapToGrid w:val="0"/>
                <w:szCs w:val="20"/>
              </w:rPr>
              <w:t>Additional durvalumab patients should be removed. Should be captured in incident population for Stage III patient.</w:t>
            </w:r>
          </w:p>
          <w:p w14:paraId="00443438" w14:textId="17A5A1E0" w:rsidR="00D00E60" w:rsidRPr="00CD4FAB" w:rsidRDefault="00B10A4E" w:rsidP="00D221AB">
            <w:pPr>
              <w:pStyle w:val="TableText0"/>
              <w:keepLines/>
              <w:numPr>
                <w:ilvl w:val="0"/>
                <w:numId w:val="9"/>
              </w:numPr>
              <w:rPr>
                <w:rFonts w:eastAsia="Times New Roman" w:cs="Arial"/>
                <w:bCs w:val="0"/>
                <w:snapToGrid w:val="0"/>
                <w:szCs w:val="20"/>
              </w:rPr>
            </w:pPr>
            <w:r w:rsidRPr="00CD4FAB">
              <w:rPr>
                <w:rFonts w:eastAsia="Times New Roman" w:cs="Arial"/>
                <w:bCs w:val="0"/>
                <w:snapToGrid w:val="0"/>
                <w:szCs w:val="20"/>
              </w:rPr>
              <w:t>No repeated use of PD</w:t>
            </w:r>
            <w:r w:rsidR="00EA379A" w:rsidRPr="00CD4FAB">
              <w:rPr>
                <w:rFonts w:eastAsia="Times New Roman" w:cs="Arial"/>
                <w:bCs w:val="0"/>
                <w:snapToGrid w:val="0"/>
                <w:szCs w:val="20"/>
              </w:rPr>
              <w:t>-</w:t>
            </w:r>
            <w:r w:rsidRPr="00CD4FAB">
              <w:rPr>
                <w:rFonts w:eastAsia="Times New Roman" w:cs="Arial"/>
                <w:bCs w:val="0"/>
                <w:snapToGrid w:val="0"/>
                <w:szCs w:val="20"/>
              </w:rPr>
              <w:t xml:space="preserve">L1 in metastatic setting. </w:t>
            </w:r>
          </w:p>
          <w:p w14:paraId="16864586" w14:textId="440B2245" w:rsidR="00B10A4E" w:rsidRPr="00CD4FAB" w:rsidRDefault="00B10A4E" w:rsidP="00D221AB">
            <w:pPr>
              <w:pStyle w:val="TableText0"/>
              <w:keepLines/>
              <w:numPr>
                <w:ilvl w:val="0"/>
                <w:numId w:val="9"/>
              </w:numPr>
              <w:rPr>
                <w:rFonts w:eastAsia="Times New Roman" w:cs="Arial"/>
                <w:bCs w:val="0"/>
                <w:snapToGrid w:val="0"/>
                <w:szCs w:val="20"/>
              </w:rPr>
            </w:pPr>
            <w:r w:rsidRPr="00CD4FAB">
              <w:rPr>
                <w:rFonts w:eastAsia="Times New Roman" w:cs="Arial"/>
                <w:bCs w:val="0"/>
                <w:snapToGrid w:val="0"/>
                <w:szCs w:val="20"/>
              </w:rPr>
              <w:t>Uptake of 30-40% per annum in the first 2 years of listing may be a more reasonable estimate of uptake.</w:t>
            </w:r>
          </w:p>
        </w:tc>
        <w:tc>
          <w:tcPr>
            <w:tcW w:w="1773" w:type="pct"/>
          </w:tcPr>
          <w:p w14:paraId="6820474F" w14:textId="06C83284" w:rsidR="007E0791" w:rsidRPr="00CD4FAB" w:rsidRDefault="00B10A4E" w:rsidP="00D221AB">
            <w:pPr>
              <w:pStyle w:val="TableText0"/>
              <w:keepLines/>
            </w:pPr>
            <w:r w:rsidRPr="00CD4FAB">
              <w:rPr>
                <w:rFonts w:eastAsia="Times New Roman" w:cs="Arial"/>
                <w:bCs w:val="0"/>
                <w:snapToGrid w:val="0"/>
                <w:szCs w:val="20"/>
              </w:rPr>
              <w:t>U</w:t>
            </w:r>
            <w:r w:rsidR="00F72489" w:rsidRPr="00CD4FAB">
              <w:rPr>
                <w:rFonts w:eastAsia="Times New Roman" w:cs="Arial"/>
                <w:bCs w:val="0"/>
                <w:snapToGrid w:val="0"/>
                <w:szCs w:val="20"/>
              </w:rPr>
              <w:t xml:space="preserve">pdated estimates </w:t>
            </w:r>
            <w:r w:rsidRPr="00CD4FAB">
              <w:rPr>
                <w:rFonts w:eastAsia="Times New Roman" w:cs="Arial"/>
                <w:bCs w:val="0"/>
                <w:snapToGrid w:val="0"/>
                <w:szCs w:val="20"/>
              </w:rPr>
              <w:t>were</w:t>
            </w:r>
            <w:r w:rsidR="00F72489" w:rsidRPr="00CD4FAB">
              <w:rPr>
                <w:rFonts w:eastAsia="Times New Roman" w:cs="Arial"/>
                <w:bCs w:val="0"/>
                <w:snapToGrid w:val="0"/>
                <w:szCs w:val="20"/>
              </w:rPr>
              <w:t xml:space="preserve"> provided</w:t>
            </w:r>
            <w:r w:rsidR="007E0791" w:rsidRPr="00CD4FAB">
              <w:rPr>
                <w:rFonts w:eastAsia="Times New Roman" w:cs="Arial"/>
                <w:bCs w:val="0"/>
                <w:snapToGrid w:val="0"/>
                <w:szCs w:val="20"/>
              </w:rPr>
              <w:t xml:space="preserve"> for Option A and Option B.</w:t>
            </w:r>
          </w:p>
          <w:p w14:paraId="3825F27B" w14:textId="730076C9" w:rsidR="007E0791" w:rsidRPr="00CD4FAB" w:rsidRDefault="007E0791" w:rsidP="00D221AB">
            <w:pPr>
              <w:pStyle w:val="TableText0"/>
              <w:keepLines/>
              <w:ind w:left="720"/>
              <w:rPr>
                <w:rFonts w:eastAsia="Times New Roman" w:cs="Arial"/>
                <w:bCs w:val="0"/>
                <w:snapToGrid w:val="0"/>
                <w:color w:val="0066FF"/>
                <w:szCs w:val="20"/>
              </w:rPr>
            </w:pPr>
          </w:p>
        </w:tc>
        <w:tc>
          <w:tcPr>
            <w:tcW w:w="1186" w:type="pct"/>
          </w:tcPr>
          <w:p w14:paraId="72627D13" w14:textId="0350B73D" w:rsidR="007A2D29" w:rsidRPr="00CD4FAB" w:rsidRDefault="007A2D29" w:rsidP="00D221AB">
            <w:pPr>
              <w:pStyle w:val="TableText0"/>
              <w:keepLines/>
              <w:rPr>
                <w:rFonts w:eastAsia="Times New Roman" w:cs="Arial"/>
                <w:bCs w:val="0"/>
                <w:snapToGrid w:val="0"/>
                <w:szCs w:val="20"/>
              </w:rPr>
            </w:pPr>
          </w:p>
          <w:p w14:paraId="4A925CFA" w14:textId="2C2175FA" w:rsidR="00B10A4E" w:rsidRPr="00CD4FAB" w:rsidRDefault="00B10A4E" w:rsidP="00D221AB">
            <w:pPr>
              <w:pStyle w:val="TableText0"/>
              <w:keepLines/>
              <w:rPr>
                <w:rFonts w:eastAsia="Times New Roman" w:cs="Arial"/>
                <w:bCs w:val="0"/>
                <w:snapToGrid w:val="0"/>
                <w:szCs w:val="20"/>
              </w:rPr>
            </w:pPr>
          </w:p>
          <w:p w14:paraId="1AB7C214" w14:textId="26B21A1D" w:rsidR="00B10A4E" w:rsidRPr="00CD4FAB" w:rsidRDefault="00B10A4E" w:rsidP="00D221AB">
            <w:pPr>
              <w:pStyle w:val="TableText0"/>
              <w:keepLines/>
              <w:rPr>
                <w:rFonts w:eastAsia="Times New Roman" w:cs="Arial"/>
                <w:bCs w:val="0"/>
                <w:snapToGrid w:val="0"/>
                <w:szCs w:val="20"/>
              </w:rPr>
            </w:pPr>
          </w:p>
          <w:p w14:paraId="10A7302D" w14:textId="77777777" w:rsidR="00B10A4E" w:rsidRPr="00CD4FAB" w:rsidRDefault="00B10A4E" w:rsidP="00D221AB">
            <w:pPr>
              <w:pStyle w:val="TableText0"/>
              <w:keepLines/>
              <w:rPr>
                <w:rFonts w:eastAsia="Times New Roman" w:cs="Arial"/>
                <w:bCs w:val="0"/>
                <w:snapToGrid w:val="0"/>
                <w:szCs w:val="20"/>
              </w:rPr>
            </w:pPr>
          </w:p>
          <w:p w14:paraId="133B50D5" w14:textId="77777777" w:rsidR="007E0791" w:rsidRPr="00CD4FAB" w:rsidRDefault="007E0791" w:rsidP="00D221AB">
            <w:pPr>
              <w:pStyle w:val="TableText0"/>
              <w:keepLines/>
              <w:rPr>
                <w:rFonts w:eastAsia="Times New Roman" w:cs="Arial"/>
                <w:bCs w:val="0"/>
                <w:snapToGrid w:val="0"/>
                <w:color w:val="0066FF"/>
                <w:szCs w:val="20"/>
              </w:rPr>
            </w:pPr>
          </w:p>
          <w:p w14:paraId="258FF982" w14:textId="77777777" w:rsidR="00680F72" w:rsidRPr="005136A0" w:rsidRDefault="00680F72" w:rsidP="00D221AB">
            <w:pPr>
              <w:pStyle w:val="TableText0"/>
              <w:keepLines/>
              <w:rPr>
                <w:rFonts w:eastAsia="Times New Roman" w:cs="Arial"/>
                <w:bCs w:val="0"/>
                <w:snapToGrid w:val="0"/>
                <w:color w:val="0066FF"/>
                <w:sz w:val="22"/>
                <w:szCs w:val="22"/>
              </w:rPr>
            </w:pPr>
          </w:p>
          <w:p w14:paraId="658E0CE5" w14:textId="0D9C7110" w:rsidR="007E0791" w:rsidRPr="00CD4FAB" w:rsidRDefault="007E0791" w:rsidP="00D221AB">
            <w:pPr>
              <w:pStyle w:val="TableText0"/>
              <w:keepLines/>
              <w:rPr>
                <w:rFonts w:eastAsia="Times New Roman" w:cs="Arial"/>
                <w:bCs w:val="0"/>
                <w:snapToGrid w:val="0"/>
                <w:szCs w:val="20"/>
              </w:rPr>
            </w:pPr>
            <w:r w:rsidRPr="00CD4FAB">
              <w:rPr>
                <w:rFonts w:eastAsia="Times New Roman" w:cs="Arial"/>
                <w:bCs w:val="0"/>
                <w:snapToGrid w:val="0"/>
                <w:szCs w:val="20"/>
              </w:rPr>
              <w:t>Yes</w:t>
            </w:r>
          </w:p>
          <w:p w14:paraId="29750E9C" w14:textId="77777777" w:rsidR="007E0791" w:rsidRPr="00CD4FAB" w:rsidRDefault="007E0791" w:rsidP="00D221AB">
            <w:pPr>
              <w:pStyle w:val="TableText0"/>
              <w:keepLines/>
              <w:rPr>
                <w:rFonts w:eastAsia="Times New Roman" w:cs="Arial"/>
                <w:bCs w:val="0"/>
                <w:snapToGrid w:val="0"/>
                <w:szCs w:val="20"/>
              </w:rPr>
            </w:pPr>
          </w:p>
          <w:p w14:paraId="20DE2866" w14:textId="77777777" w:rsidR="003D4ECA" w:rsidRPr="00CD4FAB" w:rsidRDefault="003D4ECA" w:rsidP="00D221AB">
            <w:pPr>
              <w:pStyle w:val="TableText0"/>
              <w:keepLines/>
              <w:rPr>
                <w:rFonts w:eastAsia="Times New Roman" w:cs="Arial"/>
                <w:bCs w:val="0"/>
                <w:snapToGrid w:val="0"/>
                <w:szCs w:val="20"/>
              </w:rPr>
            </w:pPr>
          </w:p>
          <w:p w14:paraId="61FAA7DC" w14:textId="4B4E8CF5" w:rsidR="007E0791" w:rsidRDefault="007E0791" w:rsidP="00D221AB">
            <w:pPr>
              <w:pStyle w:val="TableText0"/>
              <w:keepLines/>
              <w:rPr>
                <w:rFonts w:eastAsia="Times New Roman" w:cs="Arial"/>
                <w:bCs w:val="0"/>
                <w:snapToGrid w:val="0"/>
                <w:szCs w:val="20"/>
              </w:rPr>
            </w:pPr>
            <w:r w:rsidRPr="00CD4FAB">
              <w:rPr>
                <w:rFonts w:eastAsia="Times New Roman" w:cs="Arial"/>
                <w:bCs w:val="0"/>
                <w:snapToGrid w:val="0"/>
                <w:szCs w:val="20"/>
              </w:rPr>
              <w:t>Yes</w:t>
            </w:r>
          </w:p>
          <w:p w14:paraId="6D4B73AD" w14:textId="77777777" w:rsidR="005136A0" w:rsidRPr="00CD4FAB" w:rsidRDefault="005136A0" w:rsidP="00D221AB">
            <w:pPr>
              <w:pStyle w:val="TableText0"/>
              <w:keepLines/>
              <w:rPr>
                <w:rFonts w:eastAsia="Times New Roman" w:cs="Arial"/>
                <w:bCs w:val="0"/>
                <w:snapToGrid w:val="0"/>
                <w:szCs w:val="20"/>
              </w:rPr>
            </w:pPr>
          </w:p>
          <w:p w14:paraId="0ADFB336" w14:textId="3B0CCF11" w:rsidR="00005096" w:rsidRPr="00CD4FAB" w:rsidRDefault="00005096" w:rsidP="00D221AB">
            <w:pPr>
              <w:pStyle w:val="TableText0"/>
              <w:keepLines/>
              <w:rPr>
                <w:rFonts w:eastAsia="Times New Roman" w:cs="Arial"/>
                <w:bCs w:val="0"/>
                <w:snapToGrid w:val="0"/>
                <w:szCs w:val="20"/>
              </w:rPr>
            </w:pPr>
          </w:p>
          <w:p w14:paraId="53E014D3" w14:textId="2E5E14AA" w:rsidR="00CA1BD3" w:rsidRPr="00CD4FAB" w:rsidRDefault="00854FA5" w:rsidP="00D221AB">
            <w:pPr>
              <w:pStyle w:val="TableText0"/>
              <w:keepLines/>
              <w:rPr>
                <w:rFonts w:eastAsia="Times New Roman" w:cs="Arial"/>
                <w:bCs w:val="0"/>
                <w:snapToGrid w:val="0"/>
                <w:szCs w:val="20"/>
              </w:rPr>
            </w:pPr>
            <w:r w:rsidRPr="00CD4FAB">
              <w:rPr>
                <w:rFonts w:eastAsia="Times New Roman" w:cs="Arial"/>
                <w:bCs w:val="0"/>
                <w:iCs/>
                <w:snapToGrid w:val="0"/>
                <w:szCs w:val="20"/>
              </w:rPr>
              <w:t xml:space="preserve">Option B </w:t>
            </w:r>
            <w:r w:rsidR="007045FE" w:rsidRPr="00CD4FAB">
              <w:rPr>
                <w:rFonts w:eastAsia="Times New Roman" w:cs="Arial"/>
                <w:bCs w:val="0"/>
                <w:iCs/>
                <w:snapToGrid w:val="0"/>
                <w:szCs w:val="20"/>
              </w:rPr>
              <w:t>-</w:t>
            </w:r>
            <w:r w:rsidRPr="00CD4FAB">
              <w:rPr>
                <w:rFonts w:eastAsia="Times New Roman" w:cs="Arial"/>
                <w:bCs w:val="0"/>
                <w:iCs/>
                <w:snapToGrid w:val="0"/>
                <w:szCs w:val="20"/>
              </w:rPr>
              <w:t xml:space="preserve"> </w:t>
            </w:r>
            <w:r w:rsidR="007E0791" w:rsidRPr="00CD4FAB">
              <w:rPr>
                <w:rFonts w:eastAsia="Times New Roman" w:cs="Arial"/>
                <w:bCs w:val="0"/>
                <w:iCs/>
                <w:snapToGrid w:val="0"/>
                <w:szCs w:val="20"/>
              </w:rPr>
              <w:t>No</w:t>
            </w:r>
            <w:r w:rsidR="00572CFF" w:rsidRPr="00CD4FAB">
              <w:rPr>
                <w:rFonts w:eastAsia="Times New Roman" w:cs="Arial"/>
                <w:bCs w:val="0"/>
                <w:iCs/>
                <w:snapToGrid w:val="0"/>
                <w:szCs w:val="20"/>
              </w:rPr>
              <w:t>.</w:t>
            </w:r>
            <w:r w:rsidR="007E0791" w:rsidRPr="00CD4FAB">
              <w:rPr>
                <w:rFonts w:eastAsia="Times New Roman" w:cs="Arial"/>
                <w:bCs w:val="0"/>
                <w:snapToGrid w:val="0"/>
                <w:szCs w:val="20"/>
              </w:rPr>
              <w:t xml:space="preserve"> </w:t>
            </w:r>
          </w:p>
          <w:p w14:paraId="0C03CC5C" w14:textId="77777777" w:rsidR="0094596C" w:rsidRPr="00CD4FAB" w:rsidRDefault="0094596C" w:rsidP="00D221AB">
            <w:pPr>
              <w:pStyle w:val="TableText0"/>
              <w:keepLines/>
              <w:rPr>
                <w:rFonts w:eastAsia="Times New Roman" w:cs="Arial"/>
                <w:bCs w:val="0"/>
                <w:snapToGrid w:val="0"/>
                <w:szCs w:val="20"/>
              </w:rPr>
            </w:pPr>
          </w:p>
          <w:p w14:paraId="22D4397E" w14:textId="1C500E53" w:rsidR="007E0791" w:rsidRPr="00CD4FAB" w:rsidRDefault="008709D8" w:rsidP="00D221AB">
            <w:pPr>
              <w:pStyle w:val="TableText0"/>
              <w:keepLines/>
              <w:rPr>
                <w:rFonts w:eastAsia="Times New Roman" w:cs="Arial"/>
                <w:bCs w:val="0"/>
                <w:i/>
                <w:iCs/>
                <w:snapToGrid w:val="0"/>
                <w:color w:val="0066FF"/>
                <w:szCs w:val="20"/>
              </w:rPr>
            </w:pPr>
            <w:r w:rsidRPr="00CD4FAB">
              <w:rPr>
                <w:rFonts w:eastAsia="Times New Roman" w:cs="Arial"/>
                <w:bCs w:val="0"/>
                <w:iCs/>
                <w:snapToGrid w:val="0"/>
                <w:szCs w:val="20"/>
              </w:rPr>
              <w:t>Addressed in PSCR.</w:t>
            </w:r>
          </w:p>
        </w:tc>
      </w:tr>
      <w:tr w:rsidR="00687354" w:rsidRPr="00CD4FAB" w14:paraId="4752899A" w14:textId="77777777" w:rsidTr="00D221AB">
        <w:tc>
          <w:tcPr>
            <w:tcW w:w="2041" w:type="pct"/>
          </w:tcPr>
          <w:p w14:paraId="69D9DD8A" w14:textId="77777777" w:rsidR="007E0791" w:rsidRPr="00CD4FAB" w:rsidRDefault="007E0791" w:rsidP="00D221AB">
            <w:pPr>
              <w:pStyle w:val="TableText0"/>
              <w:keepLines/>
              <w:rPr>
                <w:rFonts w:eastAsia="Times New Roman" w:cs="Arial"/>
                <w:bCs w:val="0"/>
                <w:snapToGrid w:val="0"/>
                <w:szCs w:val="20"/>
              </w:rPr>
            </w:pPr>
            <w:r w:rsidRPr="00CD4FAB">
              <w:rPr>
                <w:rFonts w:eastAsia="Times New Roman" w:cs="Arial"/>
                <w:bCs w:val="0"/>
                <w:snapToGrid w:val="0"/>
                <w:szCs w:val="20"/>
              </w:rPr>
              <w:t>Calculation errors</w:t>
            </w:r>
            <w:r w:rsidR="00BD0C09" w:rsidRPr="00CD4FAB">
              <w:rPr>
                <w:rFonts w:eastAsia="Times New Roman" w:cs="Arial"/>
                <w:bCs w:val="0"/>
                <w:snapToGrid w:val="0"/>
                <w:szCs w:val="20"/>
              </w:rPr>
              <w:t>:</w:t>
            </w:r>
          </w:p>
          <w:p w14:paraId="46164436" w14:textId="77777777" w:rsidR="00BD0C09" w:rsidRPr="00CD4FAB" w:rsidRDefault="00BD0C09" w:rsidP="00D221AB">
            <w:pPr>
              <w:pStyle w:val="TableText0"/>
              <w:keepLines/>
              <w:rPr>
                <w:rFonts w:eastAsia="Times New Roman" w:cs="Arial"/>
                <w:bCs w:val="0"/>
                <w:snapToGrid w:val="0"/>
                <w:szCs w:val="20"/>
              </w:rPr>
            </w:pPr>
            <w:r w:rsidRPr="00CD4FAB">
              <w:rPr>
                <w:rFonts w:eastAsia="Times New Roman" w:cs="Arial"/>
                <w:bCs w:val="0"/>
                <w:snapToGrid w:val="0"/>
                <w:szCs w:val="20"/>
              </w:rPr>
              <w:t>Atezolizumab patients - incorrectly multiplied the proportion of non-squamous without ALK or EGFR patients by the proportion of squamous NSCLC patients rather than adding these two patient groups.</w:t>
            </w:r>
          </w:p>
          <w:p w14:paraId="03C64384" w14:textId="7D94B150" w:rsidR="00BD0C09" w:rsidRPr="00CD4FAB" w:rsidRDefault="00BD0C09" w:rsidP="00D221AB">
            <w:pPr>
              <w:pStyle w:val="TableText0"/>
              <w:keepLines/>
              <w:rPr>
                <w:rFonts w:eastAsia="Times New Roman" w:cs="Arial"/>
                <w:bCs w:val="0"/>
                <w:snapToGrid w:val="0"/>
                <w:szCs w:val="20"/>
              </w:rPr>
            </w:pPr>
            <w:r w:rsidRPr="00CD4FAB">
              <w:rPr>
                <w:rFonts w:eastAsia="Times New Roman" w:cs="Arial"/>
                <w:bCs w:val="0"/>
                <w:snapToGrid w:val="0"/>
                <w:szCs w:val="20"/>
              </w:rPr>
              <w:t>Durvalumab patients</w:t>
            </w:r>
            <w:r w:rsidR="00EA379A" w:rsidRPr="00CD4FAB">
              <w:rPr>
                <w:rFonts w:eastAsia="Times New Roman" w:cs="Arial"/>
                <w:bCs w:val="0"/>
                <w:snapToGrid w:val="0"/>
                <w:szCs w:val="20"/>
              </w:rPr>
              <w:t xml:space="preserve"> - </w:t>
            </w:r>
            <w:r w:rsidRPr="00CD4FAB">
              <w:rPr>
                <w:rFonts w:eastAsia="Times New Roman" w:cs="Arial"/>
                <w:bCs w:val="0"/>
                <w:snapToGrid w:val="0"/>
                <w:szCs w:val="20"/>
              </w:rPr>
              <w:t>The PBAC noted that in Year 1 only, the proportion considered unresectable applied was 15.6% instead of 20%.</w:t>
            </w:r>
          </w:p>
        </w:tc>
        <w:tc>
          <w:tcPr>
            <w:tcW w:w="1773" w:type="pct"/>
          </w:tcPr>
          <w:p w14:paraId="6818D0A1" w14:textId="358E093E" w:rsidR="007E0791" w:rsidRPr="00CD4FAB" w:rsidRDefault="00BD0C09" w:rsidP="00D221AB">
            <w:pPr>
              <w:pStyle w:val="TableText0"/>
              <w:keepLines/>
              <w:rPr>
                <w:rFonts w:eastAsia="Times New Roman" w:cs="Arial"/>
                <w:bCs w:val="0"/>
                <w:snapToGrid w:val="0"/>
                <w:szCs w:val="20"/>
              </w:rPr>
            </w:pPr>
            <w:r w:rsidRPr="00CD4FAB">
              <w:rPr>
                <w:rFonts w:eastAsia="Times New Roman" w:cs="Arial"/>
                <w:bCs w:val="0"/>
                <w:snapToGrid w:val="0"/>
                <w:szCs w:val="20"/>
              </w:rPr>
              <w:t>Corrected.</w:t>
            </w:r>
          </w:p>
        </w:tc>
        <w:tc>
          <w:tcPr>
            <w:tcW w:w="1186" w:type="pct"/>
          </w:tcPr>
          <w:p w14:paraId="1B089ABD" w14:textId="0E6F6F9D" w:rsidR="007E0791" w:rsidRPr="00CD4FAB" w:rsidDel="007E0791" w:rsidRDefault="003D4ECA" w:rsidP="00D221AB">
            <w:pPr>
              <w:pStyle w:val="TableText0"/>
              <w:keepLines/>
              <w:rPr>
                <w:rFonts w:eastAsia="Times New Roman" w:cs="Arial"/>
                <w:bCs w:val="0"/>
                <w:snapToGrid w:val="0"/>
                <w:szCs w:val="20"/>
              </w:rPr>
            </w:pPr>
            <w:r w:rsidRPr="00CD4FAB">
              <w:rPr>
                <w:rFonts w:eastAsia="Times New Roman" w:cs="Arial"/>
                <w:bCs w:val="0"/>
                <w:snapToGrid w:val="0"/>
                <w:szCs w:val="20"/>
              </w:rPr>
              <w:t xml:space="preserve">Yes </w:t>
            </w:r>
          </w:p>
        </w:tc>
      </w:tr>
    </w:tbl>
    <w:p w14:paraId="451D7156" w14:textId="710B31EB" w:rsidR="005C25FF" w:rsidRPr="00CD4FAB" w:rsidRDefault="005C25FF" w:rsidP="00D221AB">
      <w:pPr>
        <w:pStyle w:val="FooterTableFigure"/>
        <w:keepNext/>
        <w:keepLines/>
      </w:pPr>
      <w:r w:rsidRPr="00CD4FAB">
        <w:t xml:space="preserve">Source: </w:t>
      </w:r>
      <w:r w:rsidR="00AC0402" w:rsidRPr="00CD4FAB">
        <w:t>Constructed during the evaluation from the re-</w:t>
      </w:r>
      <w:r w:rsidR="004A24D6" w:rsidRPr="00CD4FAB">
        <w:t>submission</w:t>
      </w:r>
      <w:r w:rsidR="00AC0402" w:rsidRPr="00CD4FAB">
        <w:t xml:space="preserve"> and the July PSD.</w:t>
      </w:r>
    </w:p>
    <w:p w14:paraId="5110599A" w14:textId="438D8559" w:rsidR="00EA379A" w:rsidRDefault="00EA379A" w:rsidP="00D221AB">
      <w:pPr>
        <w:pStyle w:val="FooterTableFigure"/>
      </w:pPr>
      <w:r w:rsidRPr="00CD4FAB">
        <w:t>ALK = anaplastic lymphoma kinase; EGFR = epidermal growth factor receptor; IO = immunotherapy; NSCLC = non-small cell lung cancer; PD-L1 = programmed death-ligand 1</w:t>
      </w:r>
    </w:p>
    <w:p w14:paraId="330A7746" w14:textId="5586EA7F" w:rsidR="005136A0" w:rsidRPr="005136A0" w:rsidRDefault="005136A0" w:rsidP="005136A0">
      <w:pPr>
        <w:pStyle w:val="3-BodyText"/>
        <w:numPr>
          <w:ilvl w:val="0"/>
          <w:numId w:val="0"/>
        </w:numPr>
        <w:ind w:left="720"/>
        <w:rPr>
          <w:i/>
          <w:iCs/>
        </w:rPr>
      </w:pPr>
      <w:r w:rsidRPr="00CD4FAB">
        <w:rPr>
          <w:i/>
          <w:iCs/>
        </w:rPr>
        <w:t xml:space="preserve">For more detail on PBAC’s view, see section </w:t>
      </w:r>
      <w:r w:rsidR="00AB61C8">
        <w:rPr>
          <w:i/>
          <w:iCs/>
        </w:rPr>
        <w:t>5</w:t>
      </w:r>
      <w:r w:rsidR="00AB61C8" w:rsidRPr="00CD4FAB">
        <w:rPr>
          <w:i/>
          <w:iCs/>
        </w:rPr>
        <w:t xml:space="preserve"> </w:t>
      </w:r>
      <w:r w:rsidRPr="00CD4FAB">
        <w:rPr>
          <w:i/>
          <w:iCs/>
        </w:rPr>
        <w:t>PBAC outcome.</w:t>
      </w:r>
    </w:p>
    <w:p w14:paraId="782DBA89" w14:textId="275647CF" w:rsidR="000F53FB" w:rsidRPr="00CD4FAB" w:rsidRDefault="00B50DB8" w:rsidP="008A5850">
      <w:pPr>
        <w:pStyle w:val="2-SectionHeading"/>
      </w:pPr>
      <w:bookmarkStart w:id="10" w:name="_Toc107902078"/>
      <w:bookmarkStart w:id="11" w:name="_Toc156979615"/>
      <w:bookmarkEnd w:id="10"/>
      <w:r w:rsidRPr="00CD4FAB">
        <w:lastRenderedPageBreak/>
        <w:t>Requested listing</w:t>
      </w:r>
      <w:bookmarkEnd w:id="11"/>
    </w:p>
    <w:p w14:paraId="7E5B0D37" w14:textId="28B25E2D" w:rsidR="001C53B7" w:rsidRPr="00CD4FAB" w:rsidRDefault="001C53B7" w:rsidP="001C53B7">
      <w:pPr>
        <w:pStyle w:val="3-BodyText"/>
      </w:pPr>
      <w:r w:rsidRPr="00CD4FAB">
        <w:t>The listing as proposed in the submission is shown below</w:t>
      </w:r>
      <w:r w:rsidR="008A64C5" w:rsidRPr="00CD4FAB">
        <w:t xml:space="preserve"> for Option A, that is allowing</w:t>
      </w:r>
      <w:r w:rsidR="000F013B" w:rsidRPr="00CD4FAB">
        <w:t xml:space="preserve"> </w:t>
      </w:r>
      <w:r w:rsidR="008A64C5" w:rsidRPr="00CD4FAB">
        <w:t>retreatment</w:t>
      </w:r>
      <w:r w:rsidR="000F013B" w:rsidRPr="00CD4FAB">
        <w:t xml:space="preserve"> in metastatic disease</w:t>
      </w:r>
      <w:r w:rsidR="008A64C5" w:rsidRPr="00CD4FAB">
        <w:t>.</w:t>
      </w:r>
      <w:r w:rsidRPr="00CD4FAB">
        <w:t xml:space="preserve"> </w:t>
      </w:r>
      <w:r w:rsidR="000F013B" w:rsidRPr="00CD4FAB">
        <w:t xml:space="preserve">Revisions made by the sponsor </w:t>
      </w:r>
      <w:r w:rsidR="004225AC" w:rsidRPr="00CD4FAB">
        <w:t xml:space="preserve">to the restriction recommended by the PBAC in July 2023 </w:t>
      </w:r>
      <w:r w:rsidR="00885F6A" w:rsidRPr="00CD4FAB">
        <w:t>are</w:t>
      </w:r>
      <w:r w:rsidR="004225AC" w:rsidRPr="00CD4FAB">
        <w:t xml:space="preserve"> shown in italics and strikethrough.</w:t>
      </w:r>
      <w:r w:rsidRPr="00CD4FAB">
        <w:rPr>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4"/>
        <w:gridCol w:w="1973"/>
        <w:gridCol w:w="1973"/>
        <w:gridCol w:w="1977"/>
      </w:tblGrid>
      <w:tr w:rsidR="00046D64" w:rsidRPr="00CD4FAB" w14:paraId="3B1DB163" w14:textId="77777777" w:rsidTr="00E972AF">
        <w:trPr>
          <w:trHeight w:val="20"/>
        </w:trPr>
        <w:tc>
          <w:tcPr>
            <w:tcW w:w="1716" w:type="pct"/>
            <w:vAlign w:val="center"/>
          </w:tcPr>
          <w:p w14:paraId="5618442D" w14:textId="77777777" w:rsidR="00046D64" w:rsidRPr="005136A0" w:rsidRDefault="00046D64" w:rsidP="00E972AF">
            <w:pPr>
              <w:pStyle w:val="In-tableHeading"/>
              <w:keepNext w:val="0"/>
              <w:keepLines/>
              <w:rPr>
                <w:lang w:val="en-AU"/>
              </w:rPr>
            </w:pPr>
            <w:bookmarkStart w:id="12" w:name="_Hlk104809082"/>
            <w:r w:rsidRPr="005136A0">
              <w:rPr>
                <w:lang w:val="en-AU"/>
              </w:rPr>
              <w:t>MEDICINAL PRODUCT</w:t>
            </w:r>
          </w:p>
          <w:p w14:paraId="7BFC4331" w14:textId="77777777" w:rsidR="00046D64" w:rsidRPr="005136A0" w:rsidRDefault="00046D64" w:rsidP="00E972AF">
            <w:pPr>
              <w:pStyle w:val="In-tableHeading"/>
              <w:keepNext w:val="0"/>
              <w:keepLines/>
              <w:rPr>
                <w:lang w:val="en-AU"/>
              </w:rPr>
            </w:pPr>
            <w:r w:rsidRPr="005136A0">
              <w:rPr>
                <w:lang w:val="en-AU"/>
              </w:rPr>
              <w:t>Form</w:t>
            </w:r>
          </w:p>
        </w:tc>
        <w:tc>
          <w:tcPr>
            <w:tcW w:w="1094" w:type="pct"/>
            <w:vAlign w:val="center"/>
          </w:tcPr>
          <w:p w14:paraId="17AAAEA2" w14:textId="78ED28A7" w:rsidR="00046D64" w:rsidRPr="005136A0" w:rsidRDefault="00F72489" w:rsidP="00E972AF">
            <w:pPr>
              <w:pStyle w:val="In-tableHeading"/>
              <w:keepNext w:val="0"/>
              <w:keepLines/>
              <w:jc w:val="center"/>
              <w:rPr>
                <w:lang w:val="en-AU"/>
              </w:rPr>
            </w:pPr>
            <w:r w:rsidRPr="005136A0">
              <w:rPr>
                <w:lang w:val="en-AU"/>
              </w:rPr>
              <w:t xml:space="preserve">PBS Item code </w:t>
            </w:r>
          </w:p>
        </w:tc>
        <w:tc>
          <w:tcPr>
            <w:tcW w:w="1094" w:type="pct"/>
            <w:vAlign w:val="center"/>
          </w:tcPr>
          <w:p w14:paraId="09FA2BD6" w14:textId="77777777" w:rsidR="00046D64" w:rsidRPr="005136A0" w:rsidRDefault="00046D64" w:rsidP="00E972AF">
            <w:pPr>
              <w:pStyle w:val="In-tableHeading"/>
              <w:keepNext w:val="0"/>
              <w:keepLines/>
              <w:jc w:val="center"/>
              <w:rPr>
                <w:lang w:val="en-AU"/>
              </w:rPr>
            </w:pPr>
            <w:r w:rsidRPr="005136A0">
              <w:rPr>
                <w:lang w:val="en-AU"/>
              </w:rPr>
              <w:t>Max. Amount</w:t>
            </w:r>
          </w:p>
        </w:tc>
        <w:tc>
          <w:tcPr>
            <w:tcW w:w="1096" w:type="pct"/>
            <w:vAlign w:val="center"/>
          </w:tcPr>
          <w:p w14:paraId="5D705FF2" w14:textId="77777777" w:rsidR="00046D64" w:rsidRPr="005136A0" w:rsidRDefault="00046D64" w:rsidP="00E972AF">
            <w:pPr>
              <w:pStyle w:val="In-tableHeading"/>
              <w:keepNext w:val="0"/>
              <w:keepLines/>
              <w:jc w:val="center"/>
              <w:rPr>
                <w:lang w:val="en-AU"/>
              </w:rPr>
            </w:pPr>
            <w:r w:rsidRPr="005136A0">
              <w:rPr>
                <w:lang w:val="en-AU"/>
              </w:rPr>
              <w:t>№.of Rpts</w:t>
            </w:r>
          </w:p>
        </w:tc>
      </w:tr>
      <w:tr w:rsidR="002C36E3" w:rsidRPr="00CD4FAB" w14:paraId="54FCD2AC" w14:textId="77777777" w:rsidTr="00E972AF">
        <w:trPr>
          <w:trHeight w:val="20"/>
        </w:trPr>
        <w:tc>
          <w:tcPr>
            <w:tcW w:w="1716" w:type="pct"/>
            <w:vAlign w:val="center"/>
          </w:tcPr>
          <w:p w14:paraId="7D2B0112" w14:textId="0DE4DFB2" w:rsidR="002C36E3" w:rsidRPr="00CD4FAB" w:rsidRDefault="00F72489" w:rsidP="00E972AF">
            <w:pPr>
              <w:pStyle w:val="TableText0"/>
              <w:keepNext w:val="0"/>
              <w:keepLines/>
            </w:pPr>
            <w:r w:rsidRPr="00CD4FAB">
              <w:t>NIVOLUMAB</w:t>
            </w:r>
          </w:p>
        </w:tc>
        <w:tc>
          <w:tcPr>
            <w:tcW w:w="1094" w:type="pct"/>
            <w:vAlign w:val="center"/>
          </w:tcPr>
          <w:p w14:paraId="7A334E2C" w14:textId="77777777" w:rsidR="002C36E3" w:rsidRPr="00CD4FAB" w:rsidRDefault="00F72489" w:rsidP="00E972AF">
            <w:pPr>
              <w:pStyle w:val="TableText0"/>
              <w:keepNext w:val="0"/>
              <w:keepLines/>
              <w:jc w:val="center"/>
            </w:pPr>
            <w:r w:rsidRPr="00CD4FAB">
              <w:t>New (Public)</w:t>
            </w:r>
          </w:p>
          <w:p w14:paraId="75D51522" w14:textId="3FB2534C" w:rsidR="00F72489" w:rsidRPr="00CD4FAB" w:rsidRDefault="00F72489" w:rsidP="00E972AF">
            <w:pPr>
              <w:pStyle w:val="TableText0"/>
              <w:keepNext w:val="0"/>
              <w:keepLines/>
              <w:jc w:val="center"/>
            </w:pPr>
            <w:r w:rsidRPr="00CD4FAB">
              <w:t>New (Private)</w:t>
            </w:r>
          </w:p>
        </w:tc>
        <w:tc>
          <w:tcPr>
            <w:tcW w:w="1094" w:type="pct"/>
            <w:vAlign w:val="center"/>
          </w:tcPr>
          <w:p w14:paraId="0A98B476" w14:textId="0376FCDA" w:rsidR="002C36E3" w:rsidRPr="00CD4FAB" w:rsidRDefault="00F72489" w:rsidP="00E972AF">
            <w:pPr>
              <w:pStyle w:val="TableText0"/>
              <w:keepNext w:val="0"/>
              <w:keepLines/>
              <w:jc w:val="center"/>
            </w:pPr>
            <w:r w:rsidRPr="00CD4FAB">
              <w:t>360mg</w:t>
            </w:r>
          </w:p>
        </w:tc>
        <w:tc>
          <w:tcPr>
            <w:tcW w:w="1096" w:type="pct"/>
            <w:vAlign w:val="center"/>
          </w:tcPr>
          <w:p w14:paraId="1F4FD721" w14:textId="6A172828" w:rsidR="002C36E3" w:rsidRPr="00CD4FAB" w:rsidRDefault="00F72489" w:rsidP="00E972AF">
            <w:pPr>
              <w:pStyle w:val="TableText0"/>
              <w:keepNext w:val="0"/>
              <w:keepLines/>
              <w:jc w:val="center"/>
            </w:pPr>
            <w:r w:rsidRPr="00CD4FAB">
              <w:t>2</w:t>
            </w:r>
          </w:p>
        </w:tc>
      </w:tr>
      <w:tr w:rsidR="00046D64" w:rsidRPr="00CD4FAB" w14:paraId="42FF08BD" w14:textId="77777777" w:rsidTr="00E972AF">
        <w:trPr>
          <w:trHeight w:val="20"/>
        </w:trPr>
        <w:tc>
          <w:tcPr>
            <w:tcW w:w="5000" w:type="pct"/>
            <w:gridSpan w:val="4"/>
            <w:vAlign w:val="center"/>
          </w:tcPr>
          <w:p w14:paraId="022AE77B" w14:textId="77777777" w:rsidR="00046D64" w:rsidRPr="00CD4FAB" w:rsidRDefault="00046D64" w:rsidP="00E972AF">
            <w:pPr>
              <w:keepLines/>
              <w:rPr>
                <w:b/>
              </w:rPr>
            </w:pPr>
            <w:r w:rsidRPr="005136A0">
              <w:rPr>
                <w:rFonts w:ascii="Arial Narrow" w:eastAsiaTheme="majorEastAsia" w:hAnsi="Arial Narrow"/>
                <w:b/>
                <w:sz w:val="20"/>
              </w:rPr>
              <w:t>Available brands</w:t>
            </w:r>
            <w:r w:rsidRPr="00CD4FAB">
              <w:rPr>
                <w:b/>
              </w:rPr>
              <w:t xml:space="preserve"> </w:t>
            </w:r>
          </w:p>
        </w:tc>
      </w:tr>
      <w:tr w:rsidR="00046D64" w:rsidRPr="00CD4FAB" w14:paraId="7129D684" w14:textId="77777777" w:rsidTr="00E972AF">
        <w:trPr>
          <w:trHeight w:val="380"/>
        </w:trPr>
        <w:tc>
          <w:tcPr>
            <w:tcW w:w="5000" w:type="pct"/>
            <w:gridSpan w:val="4"/>
            <w:vAlign w:val="center"/>
          </w:tcPr>
          <w:p w14:paraId="52233703" w14:textId="5128BBB1" w:rsidR="002C36E3" w:rsidRPr="00CD4FAB" w:rsidRDefault="00F72489" w:rsidP="00E972AF">
            <w:pPr>
              <w:pStyle w:val="TableText0"/>
              <w:keepNext w:val="0"/>
              <w:keepLines/>
            </w:pPr>
            <w:r w:rsidRPr="00CD4FAB">
              <w:t>Opdivo</w:t>
            </w:r>
          </w:p>
          <w:p w14:paraId="4CFF1733" w14:textId="5E6A0843" w:rsidR="00C61A59" w:rsidRPr="00CD4FAB" w:rsidRDefault="00F72489" w:rsidP="00E972AF">
            <w:pPr>
              <w:pStyle w:val="TableText0"/>
              <w:keepNext w:val="0"/>
              <w:keepLines/>
            </w:pPr>
            <w:r w:rsidRPr="00CD4FAB">
              <w:t xml:space="preserve">(nivolumab 40mg/4mL injection , 4mL) </w:t>
            </w:r>
          </w:p>
        </w:tc>
      </w:tr>
      <w:tr w:rsidR="00F72489" w:rsidRPr="00CD4FAB" w14:paraId="3DA8EB14" w14:textId="77777777" w:rsidTr="00E972AF">
        <w:trPr>
          <w:trHeight w:val="380"/>
        </w:trPr>
        <w:tc>
          <w:tcPr>
            <w:tcW w:w="5000" w:type="pct"/>
            <w:gridSpan w:val="4"/>
            <w:vAlign w:val="center"/>
          </w:tcPr>
          <w:p w14:paraId="3A6786BE" w14:textId="77777777" w:rsidR="00F72489" w:rsidRPr="00CD4FAB" w:rsidRDefault="00F72489" w:rsidP="00E972AF">
            <w:pPr>
              <w:pStyle w:val="TableText0"/>
              <w:keepNext w:val="0"/>
              <w:keepLines/>
            </w:pPr>
            <w:r w:rsidRPr="00CD4FAB">
              <w:t xml:space="preserve">Opdivo </w:t>
            </w:r>
          </w:p>
          <w:p w14:paraId="69AA19B4" w14:textId="551D0E1F" w:rsidR="00F72489" w:rsidRPr="00CD4FAB" w:rsidRDefault="00F72489" w:rsidP="00E972AF">
            <w:pPr>
              <w:pStyle w:val="TableText0"/>
              <w:keepNext w:val="0"/>
              <w:keepLines/>
            </w:pPr>
            <w:r w:rsidRPr="00CD4FAB">
              <w:t>(nivolumab 100mg/mL injection, 10mL vial)</w:t>
            </w:r>
          </w:p>
        </w:tc>
      </w:tr>
      <w:tr w:rsidR="003A4C14" w:rsidRPr="00CD4FAB" w14:paraId="3EE8ABAE"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tcPr>
          <w:p w14:paraId="3B622315" w14:textId="1EB71F94" w:rsidR="003A4C14" w:rsidRPr="00CD4FAB" w:rsidRDefault="003A4C14" w:rsidP="00E972AF">
            <w:pPr>
              <w:pStyle w:val="TableText0"/>
              <w:keepNext w:val="0"/>
              <w:keepLines/>
            </w:pPr>
            <w:bookmarkStart w:id="13" w:name="_Hlk104809470"/>
            <w:bookmarkEnd w:id="12"/>
            <w:r w:rsidRPr="00CD4FAB">
              <w:rPr>
                <w:b/>
              </w:rPr>
              <w:t xml:space="preserve">Category / Program: </w:t>
            </w:r>
            <w:r w:rsidRPr="00CD4FAB">
              <w:t>Section 100 – Efficient Funding of Chemotherapy</w:t>
            </w:r>
            <w:r w:rsidR="00F72489" w:rsidRPr="00CD4FAB">
              <w:t xml:space="preserve"> Public/Privat</w:t>
            </w:r>
            <w:r w:rsidR="001C53B7" w:rsidRPr="00CD4FAB">
              <w:t>e</w:t>
            </w:r>
            <w:r w:rsidR="00F72489" w:rsidRPr="00CD4FAB">
              <w:t xml:space="preserve"> hospital</w:t>
            </w:r>
          </w:p>
        </w:tc>
      </w:tr>
      <w:tr w:rsidR="003A4C14" w:rsidRPr="00CD4FAB" w14:paraId="070CFDD2"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tcPr>
          <w:p w14:paraId="3320A955" w14:textId="6B2F31A0" w:rsidR="003A4C14" w:rsidRPr="00CD4FAB" w:rsidRDefault="003A4C14" w:rsidP="00E972AF">
            <w:pPr>
              <w:pStyle w:val="TableText0"/>
              <w:keepNext w:val="0"/>
              <w:keepLines/>
              <w:rPr>
                <w:rFonts w:eastAsia="Times New Roman"/>
              </w:rPr>
            </w:pPr>
            <w:r w:rsidRPr="00CD4FAB">
              <w:rPr>
                <w:b/>
              </w:rPr>
              <w:t xml:space="preserve">Restriction type: </w:t>
            </w:r>
            <w:r w:rsidR="000F013B" w:rsidRPr="00CD4FAB">
              <w:rPr>
                <w:rFonts w:eastAsia="Times New Roman"/>
              </w:rPr>
              <w:fldChar w:fldCharType="begin" w:fldLock="1">
                <w:ffData>
                  <w:name w:val=""/>
                  <w:enabled/>
                  <w:calcOnExit w:val="0"/>
                  <w:checkBox>
                    <w:sizeAuto/>
                    <w:default w:val="1"/>
                  </w:checkBox>
                </w:ffData>
              </w:fldChar>
            </w:r>
            <w:r w:rsidR="000F013B" w:rsidRPr="00CD4FAB">
              <w:rPr>
                <w:rFonts w:eastAsia="Times New Roman"/>
              </w:rPr>
              <w:instrText xml:space="preserve"> FORMCHECKBOX </w:instrText>
            </w:r>
            <w:r w:rsidR="006E162D">
              <w:rPr>
                <w:rFonts w:eastAsia="Times New Roman"/>
              </w:rPr>
            </w:r>
            <w:r w:rsidR="006E162D">
              <w:rPr>
                <w:rFonts w:eastAsia="Times New Roman"/>
              </w:rPr>
              <w:fldChar w:fldCharType="separate"/>
            </w:r>
            <w:r w:rsidR="000F013B" w:rsidRPr="00CD4FAB">
              <w:rPr>
                <w:rFonts w:eastAsia="Times New Roman"/>
              </w:rPr>
              <w:fldChar w:fldCharType="end"/>
            </w:r>
            <w:r w:rsidRPr="00CD4FAB">
              <w:rPr>
                <w:rFonts w:eastAsia="Times New Roman"/>
              </w:rPr>
              <w:t xml:space="preserve">Authority Required (STREAMLINED) </w:t>
            </w:r>
          </w:p>
        </w:tc>
      </w:tr>
      <w:tr w:rsidR="003A4C14" w:rsidRPr="00CD4FAB" w14:paraId="5BFE3347"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3296BDDA" w14:textId="321848FD" w:rsidR="003A4C14" w:rsidRPr="00CD4FAB" w:rsidRDefault="003A4C14" w:rsidP="00E972AF">
            <w:pPr>
              <w:pStyle w:val="TableText0"/>
              <w:keepNext w:val="0"/>
              <w:keepLines/>
            </w:pPr>
            <w:r w:rsidRPr="00CD4FAB">
              <w:rPr>
                <w:b/>
              </w:rPr>
              <w:t>Indication:</w:t>
            </w:r>
            <w:r w:rsidRPr="00CD4FAB">
              <w:t xml:space="preserve"> </w:t>
            </w:r>
            <w:r w:rsidR="00A42E57" w:rsidRPr="00CD4FAB">
              <w:t>Resectable non-small cell lung cancer</w:t>
            </w:r>
          </w:p>
        </w:tc>
      </w:tr>
      <w:tr w:rsidR="003A4C14" w:rsidRPr="00CD4FAB" w14:paraId="3ABBD2EC"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5D485398" w14:textId="77777777" w:rsidR="003A4C14" w:rsidRPr="00CD4FAB" w:rsidRDefault="003A4C14" w:rsidP="00E972AF">
            <w:pPr>
              <w:pStyle w:val="TableText0"/>
              <w:keepNext w:val="0"/>
              <w:keepLines/>
            </w:pPr>
            <w:r w:rsidRPr="00CD4FAB">
              <w:rPr>
                <w:b/>
              </w:rPr>
              <w:t>Clinical criteria:</w:t>
            </w:r>
          </w:p>
        </w:tc>
      </w:tr>
      <w:tr w:rsidR="003A4C14" w:rsidRPr="00CD4FAB" w14:paraId="26BA494C"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1A0AADCD" w14:textId="15317EB6" w:rsidR="003A4C14" w:rsidRPr="00CD4FAB" w:rsidRDefault="00A42E57" w:rsidP="00E972AF">
            <w:pPr>
              <w:pStyle w:val="TableText0"/>
              <w:keepNext w:val="0"/>
              <w:keepLines/>
            </w:pPr>
            <w:r w:rsidRPr="00CD4FAB">
              <w:t>The condition must be at least one of: (i) node positive, (ii) at least 4 cm in size</w:t>
            </w:r>
          </w:p>
        </w:tc>
      </w:tr>
      <w:tr w:rsidR="003A4C14" w:rsidRPr="00CD4FAB" w14:paraId="1541981C"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6F3D1453" w14:textId="77777777" w:rsidR="003A4C14" w:rsidRPr="00CD4FAB" w:rsidRDefault="003A4C14" w:rsidP="00E972AF">
            <w:pPr>
              <w:pStyle w:val="TableText0"/>
              <w:keepNext w:val="0"/>
              <w:keepLines/>
            </w:pPr>
            <w:r w:rsidRPr="00CD4FAB">
              <w:rPr>
                <w:b/>
              </w:rPr>
              <w:t>AND</w:t>
            </w:r>
          </w:p>
        </w:tc>
      </w:tr>
      <w:tr w:rsidR="003A4C14" w:rsidRPr="00CD4FAB" w14:paraId="018890B8"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79CB2648" w14:textId="77777777" w:rsidR="003A4C14" w:rsidRPr="00CD4FAB" w:rsidRDefault="003A4C14" w:rsidP="00E972AF">
            <w:pPr>
              <w:pStyle w:val="TableText0"/>
              <w:keepNext w:val="0"/>
              <w:keepLines/>
            </w:pPr>
            <w:r w:rsidRPr="00CD4FAB">
              <w:rPr>
                <w:b/>
              </w:rPr>
              <w:t>Clinical criteria:</w:t>
            </w:r>
          </w:p>
        </w:tc>
      </w:tr>
      <w:tr w:rsidR="003A4C14" w:rsidRPr="00CD4FAB" w14:paraId="1096E289"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16929626" w14:textId="231A5E2A" w:rsidR="008A64C5" w:rsidRPr="00CD4FAB" w:rsidRDefault="008A64C5" w:rsidP="00E972AF">
            <w:pPr>
              <w:pStyle w:val="TableText0"/>
              <w:keepNext w:val="0"/>
              <w:keepLines/>
              <w:rPr>
                <w:color w:val="0066FF"/>
              </w:rPr>
            </w:pPr>
            <w:r w:rsidRPr="00CD4FAB">
              <w:t>The treatment must be for neoadjuvant use in a patient preparing for surgical resection</w:t>
            </w:r>
          </w:p>
        </w:tc>
      </w:tr>
      <w:tr w:rsidR="008A64C5" w:rsidRPr="00CD4FAB" w14:paraId="09FE95AE"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14DD547A" w14:textId="042C95CC" w:rsidR="008A64C5" w:rsidRPr="00CD4FAB" w:rsidRDefault="008A64C5" w:rsidP="00E972AF">
            <w:pPr>
              <w:pStyle w:val="TableText0"/>
              <w:keepNext w:val="0"/>
              <w:keepLines/>
              <w:rPr>
                <w:b/>
                <w:bCs w:val="0"/>
              </w:rPr>
            </w:pPr>
            <w:r w:rsidRPr="00CD4FAB">
              <w:rPr>
                <w:b/>
                <w:bCs w:val="0"/>
              </w:rPr>
              <w:t>AND</w:t>
            </w:r>
          </w:p>
        </w:tc>
      </w:tr>
      <w:tr w:rsidR="008A64C5" w:rsidRPr="00CD4FAB" w14:paraId="462A7045"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411E658C" w14:textId="54BD161B" w:rsidR="008A64C5" w:rsidRPr="00CD4FAB" w:rsidRDefault="008A64C5" w:rsidP="00E972AF">
            <w:pPr>
              <w:pStyle w:val="TableText0"/>
              <w:keepNext w:val="0"/>
              <w:keepLines/>
              <w:rPr>
                <w:b/>
                <w:bCs w:val="0"/>
              </w:rPr>
            </w:pPr>
            <w:r w:rsidRPr="00CD4FAB">
              <w:rPr>
                <w:b/>
              </w:rPr>
              <w:t>Clinical criteria:</w:t>
            </w:r>
          </w:p>
        </w:tc>
      </w:tr>
      <w:tr w:rsidR="008A64C5" w:rsidRPr="00CD4FAB" w14:paraId="2B6BDA8E"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7D547079" w14:textId="567EFA2B" w:rsidR="008A64C5" w:rsidRPr="00CD4FAB" w:rsidRDefault="008A64C5" w:rsidP="00E972AF">
            <w:pPr>
              <w:pStyle w:val="TableText0"/>
              <w:keepNext w:val="0"/>
              <w:keepLines/>
              <w:rPr>
                <w:bCs w:val="0"/>
              </w:rPr>
            </w:pPr>
            <w:r w:rsidRPr="00CD4FAB">
              <w:rPr>
                <w:bCs w:val="0"/>
              </w:rPr>
              <w:t>Patient must have a WHO performance status of 0 or 1</w:t>
            </w:r>
          </w:p>
        </w:tc>
      </w:tr>
      <w:tr w:rsidR="008A64C5" w:rsidRPr="00CD4FAB" w14:paraId="73CFFAAF"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418A5AF3" w14:textId="134311F8" w:rsidR="008A64C5" w:rsidRPr="00CD4FAB" w:rsidRDefault="008A64C5" w:rsidP="00E972AF">
            <w:pPr>
              <w:pStyle w:val="TableText0"/>
              <w:keepNext w:val="0"/>
              <w:keepLines/>
              <w:rPr>
                <w:bCs w:val="0"/>
              </w:rPr>
            </w:pPr>
            <w:r w:rsidRPr="00CD4FAB">
              <w:rPr>
                <w:b/>
                <w:bCs w:val="0"/>
              </w:rPr>
              <w:t>AND</w:t>
            </w:r>
          </w:p>
        </w:tc>
      </w:tr>
      <w:tr w:rsidR="008A64C5" w:rsidRPr="00CD4FAB" w14:paraId="1D70766E"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49FA2BD5" w14:textId="514B2123" w:rsidR="008A64C5" w:rsidRPr="00CD4FAB" w:rsidRDefault="008A64C5" w:rsidP="00E972AF">
            <w:pPr>
              <w:pStyle w:val="TableText0"/>
              <w:keepNext w:val="0"/>
              <w:keepLines/>
              <w:rPr>
                <w:bCs w:val="0"/>
              </w:rPr>
            </w:pPr>
            <w:r w:rsidRPr="00CD4FAB">
              <w:rPr>
                <w:b/>
              </w:rPr>
              <w:t>Clinical criteria:</w:t>
            </w:r>
          </w:p>
        </w:tc>
      </w:tr>
      <w:tr w:rsidR="008A64C5" w:rsidRPr="00CD4FAB" w14:paraId="0BF1DE74"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0C9003E3" w14:textId="37756DDE" w:rsidR="008A64C5" w:rsidRPr="00CD4FAB" w:rsidRDefault="008A64C5" w:rsidP="00E972AF">
            <w:pPr>
              <w:pStyle w:val="TableText0"/>
              <w:keepNext w:val="0"/>
              <w:keepLines/>
              <w:rPr>
                <w:bCs w:val="0"/>
              </w:rPr>
            </w:pPr>
            <w:r w:rsidRPr="00CD4FAB">
              <w:rPr>
                <w:bCs w:val="0"/>
              </w:rPr>
              <w:t>The treatment must be in combination with platinum-based chemotherapy</w:t>
            </w:r>
          </w:p>
        </w:tc>
      </w:tr>
      <w:tr w:rsidR="003A4C14" w:rsidRPr="00CD4FAB" w14:paraId="1E0CC9FB"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6E11057F" w14:textId="77777777" w:rsidR="003A4C14" w:rsidRPr="00CD4FAB" w:rsidRDefault="003A4C14" w:rsidP="00E972AF">
            <w:pPr>
              <w:pStyle w:val="TableText0"/>
              <w:keepNext w:val="0"/>
              <w:keepLines/>
            </w:pPr>
            <w:r w:rsidRPr="00CD4FAB">
              <w:rPr>
                <w:b/>
              </w:rPr>
              <w:t>Treatment criteria:</w:t>
            </w:r>
          </w:p>
        </w:tc>
      </w:tr>
      <w:tr w:rsidR="003A4C14" w:rsidRPr="00CD4FAB" w14:paraId="3FEBA230"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5EECDD1E" w14:textId="043565C1" w:rsidR="008A64C5" w:rsidRPr="00CD4FAB" w:rsidRDefault="008A64C5" w:rsidP="00E972AF">
            <w:pPr>
              <w:pStyle w:val="TableText0"/>
              <w:keepNext w:val="0"/>
              <w:keepLines/>
              <w:rPr>
                <w:i/>
                <w:iCs/>
              </w:rPr>
            </w:pPr>
            <w:r w:rsidRPr="00CD4FAB">
              <w:t>Patient must not be undergoing treatment with more than 3 PBS-subsidised doses of this drug</w:t>
            </w:r>
            <w:r w:rsidRPr="00CD4FAB">
              <w:rPr>
                <w:i/>
                <w:iCs/>
              </w:rPr>
              <w:t xml:space="preserve"> </w:t>
            </w:r>
            <w:r w:rsidRPr="00CD4FAB">
              <w:rPr>
                <w:i/>
                <w:iCs/>
                <w:strike/>
              </w:rPr>
              <w:t>per lifetime for this indication</w:t>
            </w:r>
            <w:r w:rsidRPr="00CD4FAB">
              <w:rPr>
                <w:i/>
                <w:iCs/>
              </w:rPr>
              <w:t xml:space="preserve"> per neoadjuvant course of treatment</w:t>
            </w:r>
          </w:p>
        </w:tc>
      </w:tr>
      <w:tr w:rsidR="003A4C14" w:rsidRPr="00CD4FAB" w14:paraId="36CE7905"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339502B4" w14:textId="77777777" w:rsidR="003A4C14" w:rsidRPr="00CD4FAB" w:rsidRDefault="003A4C14" w:rsidP="00E972AF">
            <w:pPr>
              <w:pStyle w:val="TableText0"/>
              <w:keepNext w:val="0"/>
              <w:keepLines/>
              <w:rPr>
                <w:bCs w:val="0"/>
                <w:color w:val="0066FF"/>
              </w:rPr>
            </w:pPr>
            <w:r w:rsidRPr="00CD4FAB">
              <w:rPr>
                <w:b/>
              </w:rPr>
              <w:t xml:space="preserve">Prescribing Instructions: </w:t>
            </w:r>
          </w:p>
          <w:p w14:paraId="0DD81C9D" w14:textId="38F8E90E" w:rsidR="008A64C5" w:rsidRPr="00CD4FAB" w:rsidRDefault="008A64C5" w:rsidP="00E972AF">
            <w:pPr>
              <w:pStyle w:val="TableText0"/>
              <w:keepNext w:val="0"/>
              <w:keepLines/>
            </w:pPr>
            <w:r w:rsidRPr="00CD4FAB">
              <w:t>In non-squamous type NSCLC where any of the following is known to be present, this drug must not be a PBS-benefit: (i) activating epidermal growth factor receptor (EGFR) gene mutation, (ii) anaplastic lymphoma kinase (ALK) gene rearrangement.</w:t>
            </w:r>
          </w:p>
        </w:tc>
      </w:tr>
      <w:tr w:rsidR="003A4C14" w:rsidRPr="00CD4FAB" w14:paraId="292480CA"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78E5F63D" w14:textId="727EFEC5" w:rsidR="003A4C14" w:rsidRPr="00CD4FAB" w:rsidRDefault="003A4C14" w:rsidP="00E972AF">
            <w:pPr>
              <w:pStyle w:val="TableText0"/>
              <w:keepNext w:val="0"/>
              <w:keepLines/>
            </w:pPr>
            <w:r w:rsidRPr="00CD4FAB">
              <w:rPr>
                <w:b/>
              </w:rPr>
              <w:t xml:space="preserve">Administrative Advice: </w:t>
            </w:r>
            <w:r w:rsidR="008A64C5" w:rsidRPr="00CD4FAB">
              <w:rPr>
                <w:bCs w:val="0"/>
              </w:rPr>
              <w:t>No increase in the maximum number of repeats may be authorised.</w:t>
            </w:r>
          </w:p>
        </w:tc>
      </w:tr>
      <w:tr w:rsidR="003A4C14" w:rsidRPr="00CD4FAB" w14:paraId="4ED37E3E" w14:textId="77777777" w:rsidTr="00E972AF">
        <w:tblPrEx>
          <w:tblCellMar>
            <w:top w:w="15" w:type="dxa"/>
            <w:bottom w:w="15" w:type="dxa"/>
          </w:tblCellMar>
          <w:tblLook w:val="04A0" w:firstRow="1" w:lastRow="0" w:firstColumn="1" w:lastColumn="0" w:noHBand="0" w:noVBand="1"/>
        </w:tblPrEx>
        <w:trPr>
          <w:trHeight w:val="20"/>
        </w:trPr>
        <w:tc>
          <w:tcPr>
            <w:tcW w:w="5000" w:type="pct"/>
            <w:gridSpan w:val="4"/>
            <w:vAlign w:val="center"/>
            <w:hideMark/>
          </w:tcPr>
          <w:p w14:paraId="44DF8A90" w14:textId="426AA827" w:rsidR="003A4C14" w:rsidRPr="00CD4FAB" w:rsidRDefault="008A64C5" w:rsidP="00E972AF">
            <w:pPr>
              <w:pStyle w:val="TableText0"/>
              <w:keepNext w:val="0"/>
              <w:keepLines/>
            </w:pPr>
            <w:r w:rsidRPr="00CD4FAB">
              <w:rPr>
                <w:b/>
              </w:rPr>
              <w:t xml:space="preserve">Administrative Advice: </w:t>
            </w:r>
            <w:r w:rsidRPr="00CD4FAB">
              <w:rPr>
                <w:bCs w:val="0"/>
              </w:rPr>
              <w:t>Special Pricing Arrangements apply.</w:t>
            </w:r>
          </w:p>
        </w:tc>
      </w:tr>
    </w:tbl>
    <w:bookmarkEnd w:id="13"/>
    <w:p w14:paraId="421BC090" w14:textId="14C942EA" w:rsidR="00F9753B" w:rsidRPr="00CD4FAB" w:rsidRDefault="00AA7679" w:rsidP="00F54192">
      <w:pPr>
        <w:pStyle w:val="3-BodyText"/>
        <w:spacing w:before="120"/>
        <w:rPr>
          <w:iCs/>
        </w:rPr>
      </w:pPr>
      <w:r w:rsidRPr="00CD4FAB">
        <w:t xml:space="preserve">The sponsor proposed two PBS listing options, referred to as Option A and Option B. Option A, the sponsor’s preferred option, proposed modifying the recommended restriction to allow IO retreatment. Option B proposed not allowing IO retreatment </w:t>
      </w:r>
      <w:r w:rsidR="00857316" w:rsidRPr="00CD4FAB">
        <w:t>and aligns with the listing recommended by the PBAC in July 2023.</w:t>
      </w:r>
      <w:r w:rsidR="00F54192" w:rsidRPr="00CD4FAB">
        <w:t xml:space="preserve"> </w:t>
      </w:r>
      <w:r w:rsidR="00857316" w:rsidRPr="00CD4FAB">
        <w:t>The submission proposed a special pricing arrangement (SPA)</w:t>
      </w:r>
      <w:r w:rsidR="00711308" w:rsidRPr="00CD4FAB">
        <w:t xml:space="preserve">. For Option A, the submission proposed </w:t>
      </w:r>
      <w:r w:rsidR="00857316" w:rsidRPr="00CD4FAB">
        <w:t xml:space="preserve">an effective public hospital </w:t>
      </w:r>
      <w:r w:rsidR="004B0646" w:rsidRPr="00CD4FAB">
        <w:t>dispensed price for maximum amount (</w:t>
      </w:r>
      <w:r w:rsidR="002478C6" w:rsidRPr="00CD4FAB">
        <w:t>D</w:t>
      </w:r>
      <w:r w:rsidR="004B0646" w:rsidRPr="00CD4FAB">
        <w:t xml:space="preserve">PMA) </w:t>
      </w:r>
      <w:r w:rsidR="00711308" w:rsidRPr="00CD4FAB">
        <w:t>of $</w:t>
      </w:r>
      <w:r w:rsidR="00924D5E" w:rsidRPr="00F5399D">
        <w:rPr>
          <w:color w:val="000000"/>
          <w:w w:val="15"/>
          <w:shd w:val="solid" w:color="000000" w:fill="000000"/>
          <w:fitText w:val="-20" w:id="-961836284"/>
          <w14:textFill>
            <w14:solidFill>
              <w14:srgbClr w14:val="000000">
                <w14:alpha w14:val="100000"/>
              </w14:srgbClr>
            </w14:solidFill>
          </w14:textFill>
        </w:rPr>
        <w:t xml:space="preserve">|  </w:t>
      </w:r>
      <w:r w:rsidR="00924D5E" w:rsidRPr="00F5399D">
        <w:rPr>
          <w:color w:val="000000"/>
          <w:spacing w:val="-69"/>
          <w:w w:val="15"/>
          <w:shd w:val="solid" w:color="000000" w:fill="000000"/>
          <w:fitText w:val="-20" w:id="-961836284"/>
          <w14:textFill>
            <w14:solidFill>
              <w14:srgbClr w14:val="000000">
                <w14:alpha w14:val="100000"/>
              </w14:srgbClr>
            </w14:solidFill>
          </w14:textFill>
        </w:rPr>
        <w:t>|</w:t>
      </w:r>
      <w:r w:rsidR="00711308" w:rsidRPr="00CD4FAB">
        <w:t xml:space="preserve"> (published $7,191.10) and an effective private hospital DPMA of $</w:t>
      </w:r>
      <w:r w:rsidR="00924D5E" w:rsidRPr="00F5399D">
        <w:rPr>
          <w:color w:val="000000"/>
          <w:w w:val="15"/>
          <w:shd w:val="solid" w:color="000000" w:fill="000000"/>
          <w:fitText w:val="-20" w:id="-961836283"/>
          <w14:textFill>
            <w14:solidFill>
              <w14:srgbClr w14:val="000000">
                <w14:alpha w14:val="100000"/>
              </w14:srgbClr>
            </w14:solidFill>
          </w14:textFill>
        </w:rPr>
        <w:t xml:space="preserve">|  </w:t>
      </w:r>
      <w:r w:rsidR="00924D5E" w:rsidRPr="00F5399D">
        <w:rPr>
          <w:color w:val="000000"/>
          <w:spacing w:val="-69"/>
          <w:w w:val="15"/>
          <w:shd w:val="solid" w:color="000000" w:fill="000000"/>
          <w:fitText w:val="-20" w:id="-961836283"/>
          <w14:textFill>
            <w14:solidFill>
              <w14:srgbClr w14:val="000000">
                <w14:alpha w14:val="100000"/>
              </w14:srgbClr>
            </w14:solidFill>
          </w14:textFill>
        </w:rPr>
        <w:t>|</w:t>
      </w:r>
      <w:r w:rsidR="00711308" w:rsidRPr="00CD4FAB">
        <w:t xml:space="preserve"> (published $7,333.82)</w:t>
      </w:r>
      <w:r w:rsidR="00D84658" w:rsidRPr="00CD4FAB">
        <w:t>, updated since the previous submission for changes to applicable fees and mark ups</w:t>
      </w:r>
      <w:r w:rsidR="00556B65" w:rsidRPr="00CD4FAB">
        <w:t>.</w:t>
      </w:r>
      <w:r w:rsidR="00711308" w:rsidRPr="00CD4FAB">
        <w:t xml:space="preserve"> </w:t>
      </w:r>
      <w:r w:rsidR="00520631" w:rsidRPr="00CD4FAB">
        <w:t xml:space="preserve">For Option B, the sponsor </w:t>
      </w:r>
      <w:r w:rsidR="007E22FE" w:rsidRPr="00CD4FAB">
        <w:rPr>
          <w:iCs/>
        </w:rPr>
        <w:t xml:space="preserve">clarified in the </w:t>
      </w:r>
      <w:r w:rsidR="00E91695" w:rsidRPr="00CD4FAB">
        <w:rPr>
          <w:iCs/>
        </w:rPr>
        <w:t>Pre-</w:t>
      </w:r>
      <w:r w:rsidR="00F54192" w:rsidRPr="00CD4FAB">
        <w:rPr>
          <w:iCs/>
        </w:rPr>
        <w:t>S</w:t>
      </w:r>
      <w:r w:rsidR="00E91695" w:rsidRPr="00CD4FAB">
        <w:rPr>
          <w:iCs/>
        </w:rPr>
        <w:t>ub Committee Response (</w:t>
      </w:r>
      <w:r w:rsidR="007E22FE" w:rsidRPr="00CD4FAB">
        <w:rPr>
          <w:iCs/>
        </w:rPr>
        <w:t>PSCR</w:t>
      </w:r>
      <w:r w:rsidR="00E91695" w:rsidRPr="00CD4FAB">
        <w:rPr>
          <w:iCs/>
        </w:rPr>
        <w:t>)</w:t>
      </w:r>
      <w:r w:rsidR="007E22FE" w:rsidRPr="00CD4FAB">
        <w:rPr>
          <w:iCs/>
        </w:rPr>
        <w:t xml:space="preserve"> that the </w:t>
      </w:r>
      <w:r w:rsidR="00520631" w:rsidRPr="00CD4FAB">
        <w:rPr>
          <w:iCs/>
        </w:rPr>
        <w:t xml:space="preserve">proposed effective public hospital DPMA </w:t>
      </w:r>
      <w:r w:rsidR="007E22FE" w:rsidRPr="00CD4FAB">
        <w:rPr>
          <w:iCs/>
        </w:rPr>
        <w:t xml:space="preserve">is </w:t>
      </w:r>
      <w:r w:rsidR="00520631" w:rsidRPr="00CD4FAB">
        <w:rPr>
          <w:iCs/>
        </w:rPr>
        <w:t>$</w:t>
      </w:r>
      <w:r w:rsidR="00924D5E" w:rsidRPr="00F5399D">
        <w:rPr>
          <w:iCs/>
          <w:color w:val="000000"/>
          <w:w w:val="15"/>
          <w:shd w:val="solid" w:color="000000" w:fill="000000"/>
          <w:fitText w:val="-20" w:id="-961836282"/>
          <w14:textFill>
            <w14:solidFill>
              <w14:srgbClr w14:val="000000">
                <w14:alpha w14:val="100000"/>
              </w14:srgbClr>
            </w14:solidFill>
          </w14:textFill>
        </w:rPr>
        <w:t xml:space="preserve">|  </w:t>
      </w:r>
      <w:r w:rsidR="00924D5E" w:rsidRPr="00F5399D">
        <w:rPr>
          <w:iCs/>
          <w:color w:val="000000"/>
          <w:spacing w:val="-69"/>
          <w:w w:val="15"/>
          <w:shd w:val="solid" w:color="000000" w:fill="000000"/>
          <w:fitText w:val="-20" w:id="-961836282"/>
          <w14:textFill>
            <w14:solidFill>
              <w14:srgbClr w14:val="000000">
                <w14:alpha w14:val="100000"/>
              </w14:srgbClr>
            </w14:solidFill>
          </w14:textFill>
        </w:rPr>
        <w:t>|</w:t>
      </w:r>
      <w:r w:rsidR="00520631" w:rsidRPr="00CD4FAB">
        <w:rPr>
          <w:iCs/>
        </w:rPr>
        <w:t xml:space="preserve"> </w:t>
      </w:r>
      <w:r w:rsidR="00752EA1" w:rsidRPr="00CD4FAB">
        <w:rPr>
          <w:iCs/>
        </w:rPr>
        <w:t xml:space="preserve">(published $7,191.10) </w:t>
      </w:r>
      <w:r w:rsidR="00520631" w:rsidRPr="00CD4FAB">
        <w:rPr>
          <w:iCs/>
        </w:rPr>
        <w:lastRenderedPageBreak/>
        <w:t xml:space="preserve">and </w:t>
      </w:r>
      <w:r w:rsidR="00464555" w:rsidRPr="00CD4FAB">
        <w:rPr>
          <w:iCs/>
        </w:rPr>
        <w:t xml:space="preserve">the </w:t>
      </w:r>
      <w:r w:rsidR="00520631" w:rsidRPr="00CD4FAB">
        <w:rPr>
          <w:iCs/>
        </w:rPr>
        <w:t xml:space="preserve">effective private hospital DPMA </w:t>
      </w:r>
      <w:r w:rsidR="00464555" w:rsidRPr="00CD4FAB">
        <w:rPr>
          <w:iCs/>
        </w:rPr>
        <w:t xml:space="preserve">proposed is </w:t>
      </w:r>
      <w:r w:rsidR="00520631" w:rsidRPr="00CD4FAB">
        <w:rPr>
          <w:iCs/>
        </w:rPr>
        <w:t>$</w:t>
      </w:r>
      <w:r w:rsidR="00924D5E" w:rsidRPr="00F5399D">
        <w:rPr>
          <w:iCs/>
          <w:color w:val="000000"/>
          <w:w w:val="15"/>
          <w:shd w:val="solid" w:color="000000" w:fill="000000"/>
          <w:fitText w:val="-20" w:id="-961836281"/>
          <w14:textFill>
            <w14:solidFill>
              <w14:srgbClr w14:val="000000">
                <w14:alpha w14:val="100000"/>
              </w14:srgbClr>
            </w14:solidFill>
          </w14:textFill>
        </w:rPr>
        <w:t xml:space="preserve">|  </w:t>
      </w:r>
      <w:r w:rsidR="00924D5E" w:rsidRPr="00F5399D">
        <w:rPr>
          <w:iCs/>
          <w:color w:val="000000"/>
          <w:spacing w:val="-69"/>
          <w:w w:val="15"/>
          <w:shd w:val="solid" w:color="000000" w:fill="000000"/>
          <w:fitText w:val="-20" w:id="-961836281"/>
          <w14:textFill>
            <w14:solidFill>
              <w14:srgbClr w14:val="000000">
                <w14:alpha w14:val="100000"/>
              </w14:srgbClr>
            </w14:solidFill>
          </w14:textFill>
        </w:rPr>
        <w:t>|</w:t>
      </w:r>
      <w:r w:rsidR="00752EA1" w:rsidRPr="00CD4FAB">
        <w:rPr>
          <w:iCs/>
        </w:rPr>
        <w:t xml:space="preserve"> (published $7,333.82). </w:t>
      </w:r>
      <w:r w:rsidR="00927933" w:rsidRPr="00CD4FAB">
        <w:rPr>
          <w:iCs/>
        </w:rPr>
        <w:t>The ESC noted that the proposed price increase for Option B resulted in effective prices that are higher than the proposed published prices. The ESC advised that this was not in keeping with current pricing procedures and was not appropriate.</w:t>
      </w:r>
    </w:p>
    <w:p w14:paraId="67EEA19F" w14:textId="41C8AE63" w:rsidR="00F9753B" w:rsidRPr="00CD4FAB" w:rsidRDefault="00082602" w:rsidP="00B442E8">
      <w:pPr>
        <w:pStyle w:val="3-BodyText"/>
      </w:pPr>
      <w:r w:rsidRPr="00CD4FAB">
        <w:t>The PBAC advised in July 2023 that repeat use of immunotherapy in those who relapse with metastatic disease could not be supported by the Committee</w:t>
      </w:r>
      <w:r w:rsidR="00B442E8" w:rsidRPr="00CD4FAB">
        <w:t xml:space="preserve"> due to a lack of clinical evidence to support such use</w:t>
      </w:r>
      <w:r w:rsidRPr="00CD4FAB">
        <w:t xml:space="preserve">. The PBAC considered that a treatment criterion stating that a ‘Patient must not be undergoing treatment with more than 3 PBS-subsidised doses of this drug per lifetime for this indication’ would be appropriate to include in the restriction </w:t>
      </w:r>
      <w:r w:rsidRPr="00CD4FAB">
        <w:rPr>
          <w:szCs w:val="20"/>
        </w:rPr>
        <w:t xml:space="preserve">(para 5.3, </w:t>
      </w:r>
      <w:r w:rsidRPr="00CD4FAB">
        <w:rPr>
          <w:bCs/>
          <w:szCs w:val="20"/>
        </w:rPr>
        <w:t xml:space="preserve">nivolumab </w:t>
      </w:r>
      <w:r w:rsidRPr="00CD4FAB">
        <w:rPr>
          <w:szCs w:val="20"/>
        </w:rPr>
        <w:t>PSD</w:t>
      </w:r>
      <w:r w:rsidRPr="00CD4FAB">
        <w:rPr>
          <w:bCs/>
          <w:szCs w:val="20"/>
        </w:rPr>
        <w:t>,</w:t>
      </w:r>
      <w:r w:rsidRPr="00CD4FAB">
        <w:rPr>
          <w:szCs w:val="20"/>
        </w:rPr>
        <w:t xml:space="preserve"> July 2023</w:t>
      </w:r>
      <w:r w:rsidRPr="00CD4FAB">
        <w:rPr>
          <w:bCs/>
          <w:szCs w:val="20"/>
        </w:rPr>
        <w:t xml:space="preserve"> PBAC </w:t>
      </w:r>
      <w:r w:rsidR="002F0548">
        <w:rPr>
          <w:bCs/>
          <w:szCs w:val="20"/>
        </w:rPr>
        <w:t>m</w:t>
      </w:r>
      <w:r w:rsidRPr="00CD4FAB">
        <w:rPr>
          <w:bCs/>
          <w:szCs w:val="20"/>
        </w:rPr>
        <w:t xml:space="preserve">eeting). Option B </w:t>
      </w:r>
      <w:r w:rsidR="001A6789" w:rsidRPr="00CD4FAB">
        <w:rPr>
          <w:bCs/>
          <w:szCs w:val="20"/>
        </w:rPr>
        <w:t>includes the treatment criterion precluding IO retreatment recommended by the PBAC in July 2023</w:t>
      </w:r>
      <w:r w:rsidR="00B442E8" w:rsidRPr="00CD4FAB">
        <w:rPr>
          <w:bCs/>
          <w:szCs w:val="20"/>
        </w:rPr>
        <w:t>.</w:t>
      </w:r>
      <w:r w:rsidR="001A6789" w:rsidRPr="00CD4FAB">
        <w:rPr>
          <w:bCs/>
          <w:szCs w:val="20"/>
        </w:rPr>
        <w:t xml:space="preserve"> However, Option A amends the criterion to state ‘</w:t>
      </w:r>
      <w:r w:rsidR="001A6789" w:rsidRPr="00CD4FAB">
        <w:t>Patient must not be undergoing treatment with more than 3 PBS-subsidised doses of this drug per neoadjuvant course of treatment’, allowing for retreatment in the metastatic setting.</w:t>
      </w:r>
      <w:r w:rsidR="00572CFF" w:rsidRPr="00CD4FAB">
        <w:t xml:space="preserve"> </w:t>
      </w:r>
      <w:r w:rsidR="00572CFF" w:rsidRPr="00CD4FAB">
        <w:rPr>
          <w:iCs/>
        </w:rPr>
        <w:t>The ESC considered the treatment criterion ‘Patient must not be undergoing treatment with more than 3 PBS-subsidised doses of this drug per lifetime for this indication’</w:t>
      </w:r>
      <w:r w:rsidR="00F54192" w:rsidRPr="00CD4FAB">
        <w:t xml:space="preserve"> in Option B</w:t>
      </w:r>
      <w:r w:rsidR="00572CFF" w:rsidRPr="00CD4FAB">
        <w:rPr>
          <w:iCs/>
        </w:rPr>
        <w:t xml:space="preserve"> </w:t>
      </w:r>
      <w:r w:rsidR="00EB0B37" w:rsidRPr="00CD4FAB">
        <w:rPr>
          <w:iCs/>
        </w:rPr>
        <w:t>may</w:t>
      </w:r>
      <w:r w:rsidR="00572CFF" w:rsidRPr="00CD4FAB">
        <w:rPr>
          <w:iCs/>
        </w:rPr>
        <w:t xml:space="preserve"> lead to leakage, as physicians may consider early stage</w:t>
      </w:r>
      <w:r w:rsidR="00EB0B37" w:rsidRPr="00CD4FAB">
        <w:rPr>
          <w:iCs/>
        </w:rPr>
        <w:t xml:space="preserve"> resectable</w:t>
      </w:r>
      <w:r w:rsidR="00572CFF" w:rsidRPr="00CD4FAB">
        <w:rPr>
          <w:iCs/>
        </w:rPr>
        <w:t xml:space="preserve"> NSCLC as one indication and metastatic</w:t>
      </w:r>
      <w:r w:rsidR="00EB0B37" w:rsidRPr="00CD4FAB">
        <w:rPr>
          <w:iCs/>
        </w:rPr>
        <w:t>/unresectable NSCLC</w:t>
      </w:r>
      <w:r w:rsidR="00572CFF" w:rsidRPr="00CD4FAB">
        <w:rPr>
          <w:iCs/>
        </w:rPr>
        <w:t xml:space="preserve"> as </w:t>
      </w:r>
      <w:r w:rsidR="00EB0B37" w:rsidRPr="00CD4FAB">
        <w:rPr>
          <w:iCs/>
        </w:rPr>
        <w:t>another indication</w:t>
      </w:r>
      <w:r w:rsidR="00572CFF" w:rsidRPr="00CD4FAB">
        <w:rPr>
          <w:iCs/>
        </w:rPr>
        <w:t xml:space="preserve">. </w:t>
      </w:r>
    </w:p>
    <w:p w14:paraId="4A83F60F" w14:textId="33DEFA28" w:rsidR="001F3F6C" w:rsidRPr="00CD4FAB" w:rsidRDefault="008A64C5" w:rsidP="001F3F6C">
      <w:pPr>
        <w:pStyle w:val="3-BodyText"/>
        <w:rPr>
          <w:iCs/>
        </w:rPr>
      </w:pPr>
      <w:r w:rsidRPr="00CD4FAB">
        <w:rPr>
          <w:iCs/>
        </w:rPr>
        <w:t>The</w:t>
      </w:r>
      <w:r w:rsidR="00A335B9" w:rsidRPr="00CD4FAB">
        <w:rPr>
          <w:iCs/>
        </w:rPr>
        <w:t xml:space="preserve"> proposed restriction for both Option A and Option B are otherwise aligned with the </w:t>
      </w:r>
      <w:r w:rsidR="00364198" w:rsidRPr="00CD4FAB">
        <w:rPr>
          <w:iCs/>
        </w:rPr>
        <w:t xml:space="preserve">PBS </w:t>
      </w:r>
      <w:r w:rsidR="00A335B9" w:rsidRPr="00CD4FAB">
        <w:rPr>
          <w:iCs/>
        </w:rPr>
        <w:t xml:space="preserve">listing </w:t>
      </w:r>
      <w:r w:rsidR="00F9413A" w:rsidRPr="00CD4FAB">
        <w:rPr>
          <w:iCs/>
        </w:rPr>
        <w:t xml:space="preserve">recommended by the PBAC </w:t>
      </w:r>
      <w:r w:rsidR="00A335B9" w:rsidRPr="00CD4FAB">
        <w:rPr>
          <w:iCs/>
        </w:rPr>
        <w:t>for nivolumab in July 2023</w:t>
      </w:r>
      <w:r w:rsidR="00885F6A" w:rsidRPr="00CD4FAB">
        <w:rPr>
          <w:iCs/>
        </w:rPr>
        <w:t>, i</w:t>
      </w:r>
      <w:r w:rsidR="00F9413A" w:rsidRPr="00CD4FAB">
        <w:rPr>
          <w:iCs/>
        </w:rPr>
        <w:t>ncluding a prescriber instruction stating that</w:t>
      </w:r>
      <w:r w:rsidRPr="00CD4FAB">
        <w:rPr>
          <w:iCs/>
        </w:rPr>
        <w:t xml:space="preserve"> </w:t>
      </w:r>
      <w:r w:rsidR="00F9413A" w:rsidRPr="00CD4FAB">
        <w:rPr>
          <w:iCs/>
        </w:rPr>
        <w:t>i</w:t>
      </w:r>
      <w:r w:rsidRPr="00CD4FAB">
        <w:rPr>
          <w:iCs/>
        </w:rPr>
        <w:t xml:space="preserve">n non-squamous type NSCLC where an activating </w:t>
      </w:r>
      <w:r w:rsidR="00E80038" w:rsidRPr="00CD4FAB">
        <w:t>epidermal growth factor receptor (</w:t>
      </w:r>
      <w:r w:rsidRPr="00CD4FAB">
        <w:rPr>
          <w:iCs/>
        </w:rPr>
        <w:t>EGFR</w:t>
      </w:r>
      <w:r w:rsidR="00E80038" w:rsidRPr="00CD4FAB">
        <w:rPr>
          <w:iCs/>
        </w:rPr>
        <w:t>)</w:t>
      </w:r>
      <w:r w:rsidRPr="00CD4FAB">
        <w:rPr>
          <w:iCs/>
        </w:rPr>
        <w:t xml:space="preserve"> gene mutation or </w:t>
      </w:r>
      <w:r w:rsidR="00E80038" w:rsidRPr="00CD4FAB">
        <w:t>anaplastic lymphoma kinase (</w:t>
      </w:r>
      <w:r w:rsidRPr="00CD4FAB">
        <w:rPr>
          <w:iCs/>
        </w:rPr>
        <w:t>ALK</w:t>
      </w:r>
      <w:r w:rsidR="00E80038" w:rsidRPr="00CD4FAB">
        <w:rPr>
          <w:iCs/>
        </w:rPr>
        <w:t>)</w:t>
      </w:r>
      <w:r w:rsidRPr="00CD4FAB">
        <w:rPr>
          <w:iCs/>
        </w:rPr>
        <w:t xml:space="preserve"> gene rearrangement is detected, nivolumab must not be a PBS-benefit</w:t>
      </w:r>
      <w:r w:rsidR="007952C3" w:rsidRPr="00CD4FAB">
        <w:rPr>
          <w:iCs/>
        </w:rPr>
        <w:t>,</w:t>
      </w:r>
      <w:r w:rsidR="00F9413A" w:rsidRPr="00CD4FAB">
        <w:rPr>
          <w:iCs/>
        </w:rPr>
        <w:t xml:space="preserve"> and a</w:t>
      </w:r>
      <w:r w:rsidRPr="00CD4FAB">
        <w:rPr>
          <w:iCs/>
        </w:rPr>
        <w:t xml:space="preserve"> PBS indication of ‘non-small cell lung cancer</w:t>
      </w:r>
      <w:r w:rsidR="00F9413A" w:rsidRPr="00CD4FAB">
        <w:rPr>
          <w:iCs/>
        </w:rPr>
        <w:t>’</w:t>
      </w:r>
      <w:r w:rsidR="00F9413A" w:rsidRPr="00CD4FAB">
        <w:rPr>
          <w:iCs/>
          <w:szCs w:val="20"/>
        </w:rPr>
        <w:t xml:space="preserve"> (para 5.3, </w:t>
      </w:r>
      <w:r w:rsidR="00F9413A" w:rsidRPr="00CD4FAB">
        <w:rPr>
          <w:bCs/>
          <w:iCs/>
          <w:szCs w:val="20"/>
        </w:rPr>
        <w:t xml:space="preserve">nivolumab </w:t>
      </w:r>
      <w:r w:rsidR="00F9413A" w:rsidRPr="00CD4FAB">
        <w:rPr>
          <w:iCs/>
          <w:szCs w:val="20"/>
        </w:rPr>
        <w:t>PSD</w:t>
      </w:r>
      <w:r w:rsidR="00F9413A" w:rsidRPr="00CD4FAB">
        <w:rPr>
          <w:bCs/>
          <w:iCs/>
          <w:szCs w:val="20"/>
        </w:rPr>
        <w:t>,</w:t>
      </w:r>
      <w:r w:rsidR="00F9413A" w:rsidRPr="00CD4FAB">
        <w:rPr>
          <w:iCs/>
          <w:szCs w:val="20"/>
        </w:rPr>
        <w:t xml:space="preserve"> </w:t>
      </w:r>
      <w:r w:rsidR="00B67E53" w:rsidRPr="00CD4FAB">
        <w:rPr>
          <w:iCs/>
          <w:szCs w:val="20"/>
        </w:rPr>
        <w:t>July</w:t>
      </w:r>
      <w:r w:rsidR="00B67E53">
        <w:rPr>
          <w:iCs/>
          <w:szCs w:val="20"/>
        </w:rPr>
        <w:t> </w:t>
      </w:r>
      <w:r w:rsidR="00F9413A" w:rsidRPr="00CD4FAB">
        <w:rPr>
          <w:iCs/>
          <w:szCs w:val="20"/>
        </w:rPr>
        <w:t>2023</w:t>
      </w:r>
      <w:r w:rsidR="00F9413A" w:rsidRPr="00CD4FAB">
        <w:rPr>
          <w:bCs/>
          <w:iCs/>
          <w:szCs w:val="20"/>
        </w:rPr>
        <w:t xml:space="preserve"> PBAC </w:t>
      </w:r>
      <w:r w:rsidR="002F0548">
        <w:rPr>
          <w:bCs/>
          <w:iCs/>
          <w:szCs w:val="20"/>
        </w:rPr>
        <w:t>m</w:t>
      </w:r>
      <w:r w:rsidR="00F9413A" w:rsidRPr="00CD4FAB">
        <w:rPr>
          <w:bCs/>
          <w:iCs/>
          <w:szCs w:val="20"/>
        </w:rPr>
        <w:t>eeting)</w:t>
      </w:r>
      <w:r w:rsidRPr="00CD4FAB">
        <w:rPr>
          <w:iCs/>
        </w:rPr>
        <w:t>.</w:t>
      </w:r>
    </w:p>
    <w:p w14:paraId="4666308E" w14:textId="3649F7D5" w:rsidR="00FA7EA8" w:rsidRPr="00CD4FAB" w:rsidRDefault="00FC65CF" w:rsidP="002420B8">
      <w:pPr>
        <w:pStyle w:val="3-BodyText"/>
      </w:pPr>
      <w:bookmarkStart w:id="14" w:name="_Ref163743559"/>
      <w:r w:rsidRPr="00CD4FAB">
        <w:t>The</w:t>
      </w:r>
      <w:r w:rsidR="00762657" w:rsidRPr="00CD4FAB">
        <w:t xml:space="preserve"> Pre-PBAC</w:t>
      </w:r>
      <w:r w:rsidRPr="00CD4FAB">
        <w:t xml:space="preserve"> Response proposed flow-on changes to IO listings in the metastatic setting</w:t>
      </w:r>
      <w:r w:rsidR="00EB0098" w:rsidRPr="00CD4FAB">
        <w:t xml:space="preserve"> </w:t>
      </w:r>
      <w:r w:rsidR="00F931CB" w:rsidRPr="00CD4FAB">
        <w:t xml:space="preserve">for Option A </w:t>
      </w:r>
      <w:r w:rsidR="00EB0098" w:rsidRPr="00CD4FAB">
        <w:t>restrict</w:t>
      </w:r>
      <w:r w:rsidR="001C5EE4" w:rsidRPr="00CD4FAB">
        <w:t>ing</w:t>
      </w:r>
      <w:r w:rsidR="00EB0098" w:rsidRPr="00CD4FAB">
        <w:t xml:space="preserve"> retreatment to </w:t>
      </w:r>
      <w:r w:rsidRPr="00CD4FAB">
        <w:t>patients who ha</w:t>
      </w:r>
      <w:r w:rsidR="00EB0098" w:rsidRPr="00CD4FAB">
        <w:t>d</w:t>
      </w:r>
      <w:r w:rsidRPr="00CD4FAB">
        <w:t xml:space="preserve"> not experience</w:t>
      </w:r>
      <w:r w:rsidR="00EB0098" w:rsidRPr="00CD4FAB">
        <w:t>d</w:t>
      </w:r>
      <w:r w:rsidRPr="00CD4FAB">
        <w:t xml:space="preserve"> disease progression while receiving </w:t>
      </w:r>
      <w:r w:rsidR="001D378E" w:rsidRPr="00CD4FAB">
        <w:t xml:space="preserve">neoadjuvant treatment </w:t>
      </w:r>
      <w:r w:rsidR="007D422B" w:rsidRPr="00CD4FAB">
        <w:t>or within 6</w:t>
      </w:r>
      <w:r w:rsidR="00B67E53">
        <w:t> </w:t>
      </w:r>
      <w:r w:rsidR="007D422B" w:rsidRPr="00CD4FAB">
        <w:t xml:space="preserve">months of receiving </w:t>
      </w:r>
      <w:r w:rsidRPr="00CD4FAB">
        <w:t xml:space="preserve">neoadjuvant treatment. </w:t>
      </w:r>
      <w:r w:rsidR="00D15AEB" w:rsidRPr="00CD4FAB">
        <w:t>The Response proposed the inclusion of the following clinical criteria: ‘</w:t>
      </w:r>
      <w:r w:rsidR="00D15AEB" w:rsidRPr="00CD4FAB">
        <w:rPr>
          <w:iCs/>
        </w:rPr>
        <w:t xml:space="preserve">Patient must not have received prior treatment with a programmed cell death-1 (PD-1) inhibitor or a </w:t>
      </w:r>
      <w:r w:rsidR="001D378E" w:rsidRPr="00CD4FAB">
        <w:t>programmed cell death ligand-1 (</w:t>
      </w:r>
      <w:r w:rsidR="00D15AEB" w:rsidRPr="00CD4FAB">
        <w:rPr>
          <w:iCs/>
        </w:rPr>
        <w:t>PD-L1</w:t>
      </w:r>
      <w:r w:rsidR="001D378E" w:rsidRPr="00CD4FAB">
        <w:rPr>
          <w:iCs/>
        </w:rPr>
        <w:t>)</w:t>
      </w:r>
      <w:r w:rsidR="00D15AEB" w:rsidRPr="00CD4FAB">
        <w:rPr>
          <w:iCs/>
        </w:rPr>
        <w:t xml:space="preserve"> inhibitor for treatment of Stage IV (metastatic) non-small cell lung cancer’ AND ‘Patient must not have progressed while receiving nivolumab, or within 6 months of completing a course of nivolumab, for neoadjuvant treatment of resectable non-small cell lung cancer’. </w:t>
      </w:r>
      <w:r w:rsidR="00F931CB" w:rsidRPr="00CD4FAB">
        <w:t>The Response argued that primary resistance to IO + chemotherapy requires adequate drug exposure (e.g. 6</w:t>
      </w:r>
      <w:r w:rsidR="001F3F6C" w:rsidRPr="00CD4FAB">
        <w:rPr>
          <w:rFonts w:cstheme="minorHAnsi"/>
        </w:rPr>
        <w:t>−</w:t>
      </w:r>
      <w:r w:rsidR="00F931CB" w:rsidRPr="00CD4FAB">
        <w:t xml:space="preserve">8 weeks) and disease progression within </w:t>
      </w:r>
      <w:r w:rsidR="00B67E53" w:rsidRPr="00CD4FAB">
        <w:lastRenderedPageBreak/>
        <w:t>6</w:t>
      </w:r>
      <w:r w:rsidR="00B67E53">
        <w:t> </w:t>
      </w:r>
      <w:r w:rsidR="00F931CB" w:rsidRPr="00CD4FAB">
        <w:t>months of initiating therapy (Rizvi et al 2023; Tawbi et al 2023)</w:t>
      </w:r>
      <w:r w:rsidR="001C5EE4" w:rsidRPr="00CD4FAB">
        <w:rPr>
          <w:rStyle w:val="FootnoteReference"/>
        </w:rPr>
        <w:footnoteReference w:id="2"/>
      </w:r>
      <w:r w:rsidR="001C5EE4" w:rsidRPr="00CD4FAB">
        <w:rPr>
          <w:vertAlign w:val="superscript"/>
        </w:rPr>
        <w:t>,</w:t>
      </w:r>
      <w:r w:rsidR="001C5EE4" w:rsidRPr="00CD4FAB">
        <w:rPr>
          <w:rStyle w:val="FootnoteReference"/>
        </w:rPr>
        <w:footnoteReference w:id="3"/>
      </w:r>
      <w:r w:rsidR="001F3F6C" w:rsidRPr="00CD4FAB">
        <w:t>, and the proposed flow-on changes to IO listings in the metastatic setting</w:t>
      </w:r>
      <w:r w:rsidR="001F3F6C" w:rsidRPr="00CD4FAB">
        <w:rPr>
          <w:iCs/>
        </w:rPr>
        <w:t xml:space="preserve"> would </w:t>
      </w:r>
      <w:r w:rsidR="001F3F6C" w:rsidRPr="00CD4FAB">
        <w:t>ensure cost-effectiveness of this regimen across the NSCLC treatment paradigm.</w:t>
      </w:r>
      <w:bookmarkEnd w:id="14"/>
      <w:r w:rsidR="001C5EE4" w:rsidRPr="00CD4FAB">
        <w:t xml:space="preserve"> </w:t>
      </w:r>
    </w:p>
    <w:p w14:paraId="4BA0D40D" w14:textId="7BDB51F1" w:rsidR="005A6B83" w:rsidRPr="00CD4FAB" w:rsidRDefault="005A6B83" w:rsidP="005A6B83">
      <w:pPr>
        <w:pStyle w:val="3-BodyText"/>
        <w:numPr>
          <w:ilvl w:val="0"/>
          <w:numId w:val="0"/>
        </w:numPr>
        <w:ind w:left="720"/>
        <w:rPr>
          <w:i/>
        </w:rPr>
      </w:pPr>
      <w:r w:rsidRPr="00CD4FAB">
        <w:rPr>
          <w:i/>
        </w:rPr>
        <w:t xml:space="preserve">For more detail on PBAC’s view, see section </w:t>
      </w:r>
      <w:r w:rsidR="00AB61C8">
        <w:rPr>
          <w:i/>
        </w:rPr>
        <w:t>5</w:t>
      </w:r>
      <w:r w:rsidR="00AB61C8" w:rsidRPr="00CD4FAB">
        <w:rPr>
          <w:i/>
        </w:rPr>
        <w:t xml:space="preserve"> </w:t>
      </w:r>
      <w:r w:rsidRPr="00CD4FAB">
        <w:rPr>
          <w:i/>
        </w:rPr>
        <w:t>PBAC outcome.</w:t>
      </w:r>
    </w:p>
    <w:p w14:paraId="7F9C27C8" w14:textId="207498FE" w:rsidR="00223D5A" w:rsidRPr="00CD4FAB" w:rsidRDefault="00223D5A" w:rsidP="00223D5A">
      <w:pPr>
        <w:pStyle w:val="2-SectionHeading"/>
        <w:numPr>
          <w:ilvl w:val="0"/>
          <w:numId w:val="1"/>
        </w:numPr>
      </w:pPr>
      <w:bookmarkStart w:id="15" w:name="_Toc156979616"/>
      <w:bookmarkStart w:id="16" w:name="_Toc22897640"/>
      <w:r w:rsidRPr="00CD4FAB">
        <w:t>Consideration of the evidence</w:t>
      </w:r>
      <w:r w:rsidR="00E01CEC" w:rsidRPr="00CD4FAB">
        <w:t xml:space="preserve"> for Option A (</w:t>
      </w:r>
      <w:r w:rsidR="00D00FAC" w:rsidRPr="00CD4FAB">
        <w:t xml:space="preserve">IO </w:t>
      </w:r>
      <w:r w:rsidR="00E01CEC" w:rsidRPr="00CD4FAB">
        <w:t>retreatment)</w:t>
      </w:r>
      <w:bookmarkEnd w:id="15"/>
    </w:p>
    <w:p w14:paraId="35F6ED99" w14:textId="77777777" w:rsidR="007347B0" w:rsidRPr="00CD4FAB" w:rsidRDefault="007347B0" w:rsidP="007347B0">
      <w:pPr>
        <w:pStyle w:val="3-SubsectionHeading"/>
        <w:rPr>
          <w:lang w:eastAsia="en-AU"/>
        </w:rPr>
      </w:pPr>
      <w:bookmarkStart w:id="17" w:name="_Hlk76375935"/>
      <w:bookmarkStart w:id="18" w:name="_Toc156979617"/>
      <w:r w:rsidRPr="00CD4FAB">
        <w:rPr>
          <w:lang w:eastAsia="en-AU"/>
        </w:rPr>
        <w:t>Sponsor hearing</w:t>
      </w:r>
    </w:p>
    <w:p w14:paraId="658D8BE4" w14:textId="57E610DF" w:rsidR="009F513A" w:rsidRPr="00CD4FAB" w:rsidRDefault="009F513A" w:rsidP="009F513A">
      <w:pPr>
        <w:widowControl w:val="0"/>
        <w:numPr>
          <w:ilvl w:val="1"/>
          <w:numId w:val="1"/>
        </w:numPr>
        <w:spacing w:after="120"/>
        <w:jc w:val="both"/>
        <w:rPr>
          <w:rFonts w:cs="Arial"/>
          <w:bCs/>
          <w:iCs/>
          <w:snapToGrid w:val="0"/>
        </w:rPr>
      </w:pPr>
      <w:r w:rsidRPr="00CD4FAB">
        <w:rPr>
          <w:rFonts w:cs="Arial"/>
          <w:bCs/>
          <w:iCs/>
          <w:snapToGrid w:val="0"/>
        </w:rPr>
        <w:t>There was no hearing for this item.</w:t>
      </w:r>
    </w:p>
    <w:p w14:paraId="1B0D7C04" w14:textId="71FBD7AA" w:rsidR="007347B0" w:rsidRPr="00CD4FAB" w:rsidRDefault="007347B0" w:rsidP="007347B0">
      <w:pPr>
        <w:pStyle w:val="3-SubsectionHeading"/>
        <w:rPr>
          <w:lang w:eastAsia="en-AU"/>
        </w:rPr>
      </w:pPr>
      <w:r w:rsidRPr="00CD4FAB">
        <w:rPr>
          <w:lang w:eastAsia="en-AU"/>
        </w:rPr>
        <w:t>Consumer comments</w:t>
      </w:r>
    </w:p>
    <w:p w14:paraId="40400601" w14:textId="249A630F" w:rsidR="009F513A" w:rsidRPr="00CD4FAB" w:rsidRDefault="009F513A" w:rsidP="009F513A">
      <w:pPr>
        <w:widowControl w:val="0"/>
        <w:numPr>
          <w:ilvl w:val="1"/>
          <w:numId w:val="24"/>
        </w:numPr>
        <w:spacing w:after="120"/>
        <w:jc w:val="both"/>
        <w:rPr>
          <w:rFonts w:cs="Arial"/>
          <w:bCs/>
          <w:snapToGrid w:val="0"/>
        </w:rPr>
      </w:pPr>
      <w:bookmarkStart w:id="19" w:name="_Hlk76382618"/>
      <w:bookmarkEnd w:id="17"/>
      <w:r w:rsidRPr="00CD4FAB">
        <w:rPr>
          <w:bCs/>
        </w:rPr>
        <w:t xml:space="preserve">In addition to the input noted by the PBAC </w:t>
      </w:r>
      <w:r w:rsidR="002166FA" w:rsidRPr="00CD4FAB">
        <w:rPr>
          <w:bCs/>
        </w:rPr>
        <w:t>at the March 2024 meeting (paras 6.2</w:t>
      </w:r>
      <w:r w:rsidR="002F0548">
        <w:rPr>
          <w:rFonts w:cstheme="minorHAnsi"/>
          <w:bCs/>
        </w:rPr>
        <w:t xml:space="preserve">, </w:t>
      </w:r>
      <w:r w:rsidR="002166FA" w:rsidRPr="00CD4FAB">
        <w:rPr>
          <w:bCs/>
        </w:rPr>
        <w:t xml:space="preserve">6.3, </w:t>
      </w:r>
      <w:r w:rsidR="002F0548">
        <w:rPr>
          <w:bCs/>
        </w:rPr>
        <w:t xml:space="preserve">nivolumab </w:t>
      </w:r>
      <w:r w:rsidR="002166FA" w:rsidRPr="00CD4FAB">
        <w:rPr>
          <w:bCs/>
        </w:rPr>
        <w:t xml:space="preserve">PSD, </w:t>
      </w:r>
      <w:r w:rsidR="00633585">
        <w:rPr>
          <w:bCs/>
        </w:rPr>
        <w:t>March</w:t>
      </w:r>
      <w:r w:rsidR="002166FA" w:rsidRPr="00CD4FAB">
        <w:rPr>
          <w:bCs/>
        </w:rPr>
        <w:t xml:space="preserve"> 2023 PBAC </w:t>
      </w:r>
      <w:r w:rsidR="002F0548">
        <w:rPr>
          <w:bCs/>
        </w:rPr>
        <w:t>m</w:t>
      </w:r>
      <w:r w:rsidR="002166FA" w:rsidRPr="00CD4FAB">
        <w:rPr>
          <w:bCs/>
        </w:rPr>
        <w:t>eeting) and the July 2023 meeting (</w:t>
      </w:r>
      <w:r w:rsidR="002166FA" w:rsidRPr="00CD4FAB">
        <w:t>paras 4.2</w:t>
      </w:r>
      <w:r w:rsidR="002F0548">
        <w:rPr>
          <w:rFonts w:cstheme="minorHAnsi"/>
        </w:rPr>
        <w:t xml:space="preserve">, </w:t>
      </w:r>
      <w:r w:rsidR="002166FA" w:rsidRPr="00CD4FAB">
        <w:t xml:space="preserve">4.3, </w:t>
      </w:r>
      <w:r w:rsidR="002F0548">
        <w:t xml:space="preserve">nivolumab </w:t>
      </w:r>
      <w:r w:rsidR="002166FA" w:rsidRPr="00CD4FAB">
        <w:t xml:space="preserve">PSD, July 2023 PBAC </w:t>
      </w:r>
      <w:r w:rsidR="002F0548">
        <w:t>m</w:t>
      </w:r>
      <w:r w:rsidR="002166FA" w:rsidRPr="00CD4FAB">
        <w:t>eeting</w:t>
      </w:r>
      <w:r w:rsidR="002166FA" w:rsidRPr="00CD4FAB">
        <w:rPr>
          <w:bCs/>
        </w:rPr>
        <w:t>),</w:t>
      </w:r>
      <w:r w:rsidRPr="00CD4FAB">
        <w:rPr>
          <w:bCs/>
        </w:rPr>
        <w:t xml:space="preserve"> t</w:t>
      </w:r>
      <w:r w:rsidRPr="00CD4FAB">
        <w:rPr>
          <w:rFonts w:cs="Arial"/>
          <w:bCs/>
          <w:snapToGrid w:val="0"/>
        </w:rPr>
        <w:t>he PBAC noted and welcomed the input from health care professionals (12) and organisations (2) via the Consumer Comments facility on the PBS website. The comments described a range of benefits of treatment with nivolumab for neoadjuvant treatment of NSCLC</w:t>
      </w:r>
      <w:bookmarkStart w:id="20" w:name="_Hlk97141379"/>
      <w:r w:rsidRPr="00CD4FAB">
        <w:rPr>
          <w:rFonts w:cs="Arial"/>
          <w:bCs/>
          <w:snapToGrid w:val="0"/>
        </w:rPr>
        <w:t>.</w:t>
      </w:r>
      <w:bookmarkEnd w:id="20"/>
    </w:p>
    <w:p w14:paraId="733339BD" w14:textId="733858A2" w:rsidR="009F513A" w:rsidRPr="00CD4FAB" w:rsidRDefault="009F513A" w:rsidP="009F513A">
      <w:pPr>
        <w:widowControl w:val="0"/>
        <w:numPr>
          <w:ilvl w:val="1"/>
          <w:numId w:val="24"/>
        </w:numPr>
        <w:spacing w:after="120"/>
        <w:jc w:val="both"/>
        <w:rPr>
          <w:rFonts w:cs="Arial"/>
          <w:bCs/>
          <w:snapToGrid w:val="0"/>
        </w:rPr>
      </w:pPr>
      <w:r w:rsidRPr="00CD4FAB">
        <w:rPr>
          <w:rFonts w:cs="Arial"/>
          <w:bCs/>
          <w:snapToGrid w:val="0"/>
        </w:rPr>
        <w:t xml:space="preserve">Comments from health care professionals described </w:t>
      </w:r>
      <w:r w:rsidR="006A2005">
        <w:rPr>
          <w:rFonts w:cs="Arial"/>
          <w:bCs/>
          <w:snapToGrid w:val="0"/>
        </w:rPr>
        <w:t xml:space="preserve">support for the listing of </w:t>
      </w:r>
      <w:r w:rsidR="006A2005" w:rsidRPr="00F74B62">
        <w:rPr>
          <w:rFonts w:cs="Arial"/>
          <w:snapToGrid w:val="0"/>
          <w:lang w:val="en-GB"/>
        </w:rPr>
        <w:t xml:space="preserve">nivolumab </w:t>
      </w:r>
      <w:r w:rsidR="00C3159F">
        <w:rPr>
          <w:rFonts w:cs="Arial"/>
          <w:snapToGrid w:val="0"/>
          <w:lang w:val="en-GB"/>
        </w:rPr>
        <w:t>for</w:t>
      </w:r>
      <w:r w:rsidR="006A2005" w:rsidRPr="00F74B62">
        <w:rPr>
          <w:rFonts w:cs="Arial"/>
          <w:snapToGrid w:val="0"/>
          <w:lang w:val="en-GB"/>
        </w:rPr>
        <w:t xml:space="preserve"> neoadjuvant treatment of resectable NSCLC. </w:t>
      </w:r>
      <w:r w:rsidR="006A2005">
        <w:rPr>
          <w:rFonts w:cs="Arial"/>
          <w:snapToGrid w:val="0"/>
          <w:lang w:val="en-GB"/>
        </w:rPr>
        <w:t>The PBAC noted such a listing was recommended at the July 2023 meeting.</w:t>
      </w:r>
    </w:p>
    <w:p w14:paraId="0F3AFEA6" w14:textId="6C75F3C1" w:rsidR="009F513A" w:rsidRPr="00CD4FAB" w:rsidRDefault="009F513A" w:rsidP="009F513A">
      <w:pPr>
        <w:widowControl w:val="0"/>
        <w:numPr>
          <w:ilvl w:val="1"/>
          <w:numId w:val="24"/>
        </w:numPr>
        <w:spacing w:after="120"/>
        <w:jc w:val="both"/>
        <w:rPr>
          <w:rFonts w:cs="Arial"/>
          <w:bCs/>
          <w:snapToGrid w:val="0"/>
        </w:rPr>
      </w:pPr>
      <w:r w:rsidRPr="00CD4FAB">
        <w:rPr>
          <w:rFonts w:cs="Arial"/>
          <w:bCs/>
          <w:snapToGrid w:val="0"/>
        </w:rPr>
        <w:t>The comments from health care professionals further focused on access and equity, expressing concern for those patients who may be ineligible for later immunotherapy should they not respond to treatment or relapse. The comments stated that three cycles should not constitute a ‘course’ of immunotherapy, and thus a lifetime restriction should not be applied to those who undergo treatment.</w:t>
      </w:r>
    </w:p>
    <w:p w14:paraId="6547EADD" w14:textId="7C6ECDAF" w:rsidR="009F513A" w:rsidRPr="00CD4FAB" w:rsidRDefault="009F513A" w:rsidP="009F513A">
      <w:pPr>
        <w:widowControl w:val="0"/>
        <w:numPr>
          <w:ilvl w:val="1"/>
          <w:numId w:val="24"/>
        </w:numPr>
        <w:spacing w:after="120"/>
        <w:jc w:val="both"/>
        <w:rPr>
          <w:rFonts w:cs="Arial"/>
          <w:bCs/>
          <w:snapToGrid w:val="0"/>
        </w:rPr>
      </w:pPr>
      <w:r w:rsidRPr="00CD4FAB">
        <w:rPr>
          <w:rFonts w:cs="Arial"/>
          <w:bCs/>
          <w:snapToGrid w:val="0"/>
        </w:rPr>
        <w:t>The</w:t>
      </w:r>
      <w:r w:rsidR="00887D37" w:rsidRPr="00CD4FAB">
        <w:rPr>
          <w:rFonts w:cs="Arial"/>
          <w:bCs/>
          <w:snapToGrid w:val="0"/>
        </w:rPr>
        <w:t xml:space="preserve"> input from</w:t>
      </w:r>
      <w:r w:rsidRPr="00CD4FAB">
        <w:rPr>
          <w:rFonts w:cs="Arial"/>
          <w:bCs/>
          <w:snapToGrid w:val="0"/>
        </w:rPr>
        <w:t xml:space="preserve"> Lung Foundation Australia describ</w:t>
      </w:r>
      <w:r w:rsidR="00887D37" w:rsidRPr="00CD4FAB">
        <w:rPr>
          <w:rFonts w:cs="Arial"/>
          <w:bCs/>
          <w:snapToGrid w:val="0"/>
        </w:rPr>
        <w:t>ed</w:t>
      </w:r>
      <w:r w:rsidRPr="00CD4FAB">
        <w:rPr>
          <w:rFonts w:cs="Arial"/>
          <w:bCs/>
          <w:snapToGrid w:val="0"/>
        </w:rPr>
        <w:t xml:space="preserve"> the burdens that lung cancer places on Australian society</w:t>
      </w:r>
      <w:r w:rsidR="00887D37" w:rsidRPr="00CD4FAB">
        <w:rPr>
          <w:rFonts w:cs="Arial"/>
          <w:bCs/>
          <w:snapToGrid w:val="0"/>
        </w:rPr>
        <w:t xml:space="preserve"> and stated </w:t>
      </w:r>
      <w:r w:rsidRPr="00CD4FAB">
        <w:rPr>
          <w:rFonts w:cs="Arial"/>
          <w:bCs/>
          <w:snapToGrid w:val="0"/>
        </w:rPr>
        <w:t xml:space="preserve">it supported a nivolumab listing that allows </w:t>
      </w:r>
      <w:r w:rsidR="00887D37" w:rsidRPr="00CD4FAB">
        <w:rPr>
          <w:rFonts w:cs="Arial"/>
          <w:bCs/>
          <w:snapToGrid w:val="0"/>
        </w:rPr>
        <w:t xml:space="preserve">IO </w:t>
      </w:r>
      <w:r w:rsidRPr="00CD4FAB">
        <w:rPr>
          <w:rFonts w:cs="Arial"/>
          <w:bCs/>
          <w:snapToGrid w:val="0"/>
        </w:rPr>
        <w:t>retreatment.</w:t>
      </w:r>
    </w:p>
    <w:p w14:paraId="130A01D8" w14:textId="4C47B814" w:rsidR="009F513A" w:rsidRPr="00CD4FAB" w:rsidRDefault="009F513A" w:rsidP="009F513A">
      <w:pPr>
        <w:widowControl w:val="0"/>
        <w:numPr>
          <w:ilvl w:val="1"/>
          <w:numId w:val="24"/>
        </w:numPr>
        <w:spacing w:after="120"/>
        <w:jc w:val="both"/>
        <w:rPr>
          <w:rFonts w:cs="Arial"/>
          <w:bCs/>
          <w:snapToGrid w:val="0"/>
        </w:rPr>
      </w:pPr>
      <w:r w:rsidRPr="00CD4FAB">
        <w:rPr>
          <w:rFonts w:cs="Arial"/>
          <w:bCs/>
          <w:snapToGrid w:val="0"/>
        </w:rPr>
        <w:t xml:space="preserve">The Medical Oncology Group of Australia (MOGA) also expressed its strong support for the nivolumab submission. MOGA stated that it strongly supported the amendment to the requested listing to ensure patients with recurrent lung cancer, who have received immunotherapy for curative intent, are able to have access to </w:t>
      </w:r>
      <w:r w:rsidR="0023714A" w:rsidRPr="00CD4FAB">
        <w:rPr>
          <w:rFonts w:cs="Arial"/>
          <w:bCs/>
          <w:snapToGrid w:val="0"/>
        </w:rPr>
        <w:t>nivolumab</w:t>
      </w:r>
      <w:r w:rsidRPr="00CD4FAB">
        <w:rPr>
          <w:rFonts w:cs="Arial"/>
          <w:bCs/>
          <w:snapToGrid w:val="0"/>
        </w:rPr>
        <w:t xml:space="preserve"> at the time of recurrence.</w:t>
      </w:r>
      <w:bookmarkEnd w:id="19"/>
    </w:p>
    <w:p w14:paraId="609C0765" w14:textId="4D2F7E9F" w:rsidR="00B60939" w:rsidRPr="00CD4FAB" w:rsidRDefault="00B60939" w:rsidP="002E4F02">
      <w:pPr>
        <w:pStyle w:val="4-SubsectionHeading"/>
      </w:pPr>
      <w:r w:rsidRPr="00CD4FAB">
        <w:lastRenderedPageBreak/>
        <w:t xml:space="preserve">Clinical </w:t>
      </w:r>
      <w:r w:rsidR="00D5243B" w:rsidRPr="00CD4FAB">
        <w:t>studies</w:t>
      </w:r>
      <w:bookmarkEnd w:id="16"/>
      <w:bookmarkEnd w:id="18"/>
    </w:p>
    <w:p w14:paraId="03A69FA0" w14:textId="54AAAA1D" w:rsidR="00544356" w:rsidRPr="00CD4FAB" w:rsidRDefault="00544356" w:rsidP="002E4F02">
      <w:pPr>
        <w:pStyle w:val="3-BodyText"/>
        <w:rPr>
          <w:color w:val="0066FF"/>
        </w:rPr>
      </w:pPr>
      <w:r w:rsidRPr="006A2005">
        <w:rPr>
          <w:snapToGrid/>
        </w:rPr>
        <w:t>The submission s</w:t>
      </w:r>
      <w:r w:rsidR="00F167F0" w:rsidRPr="006A2005">
        <w:rPr>
          <w:snapToGrid/>
        </w:rPr>
        <w:t>ought</w:t>
      </w:r>
      <w:r w:rsidRPr="006A2005">
        <w:rPr>
          <w:snapToGrid/>
        </w:rPr>
        <w:t xml:space="preserve"> to provide evidence supporting IO retreatment. </w:t>
      </w:r>
      <w:r w:rsidR="00CE7231" w:rsidRPr="006A2005">
        <w:rPr>
          <w:snapToGrid/>
        </w:rPr>
        <w:t>It provided a clinical rationale for retreatment and publications from a literature search (see para</w:t>
      </w:r>
      <w:r w:rsidR="00D00FAC" w:rsidRPr="006A2005">
        <w:rPr>
          <w:snapToGrid/>
        </w:rPr>
        <w:t>graph</w:t>
      </w:r>
      <w:r w:rsidR="00CE7231" w:rsidRPr="006A2005">
        <w:rPr>
          <w:snapToGrid/>
        </w:rPr>
        <w:t xml:space="preserve"> </w:t>
      </w:r>
      <w:r w:rsidR="00A202B9" w:rsidRPr="006A2005">
        <w:rPr>
          <w:snapToGrid/>
        </w:rPr>
        <w:fldChar w:fldCharType="begin" w:fldLock="1"/>
      </w:r>
      <w:r w:rsidR="00A202B9" w:rsidRPr="006A2005">
        <w:rPr>
          <w:snapToGrid/>
        </w:rPr>
        <w:instrText xml:space="preserve"> REF _Ref159474385 \r \h </w:instrText>
      </w:r>
      <w:r w:rsidR="00A202B9" w:rsidRPr="006A2005">
        <w:rPr>
          <w:snapToGrid/>
        </w:rPr>
      </w:r>
      <w:r w:rsidR="00A202B9" w:rsidRPr="006A2005">
        <w:rPr>
          <w:snapToGrid/>
        </w:rPr>
        <w:fldChar w:fldCharType="separate"/>
      </w:r>
      <w:r w:rsidR="00885DA7">
        <w:rPr>
          <w:snapToGrid/>
        </w:rPr>
        <w:t>4.10</w:t>
      </w:r>
      <w:r w:rsidR="00A202B9" w:rsidRPr="006A2005">
        <w:rPr>
          <w:snapToGrid/>
        </w:rPr>
        <w:fldChar w:fldCharType="end"/>
      </w:r>
      <w:r w:rsidR="00A202B9" w:rsidRPr="006A2005">
        <w:rPr>
          <w:snapToGrid/>
        </w:rPr>
        <w:t xml:space="preserve"> </w:t>
      </w:r>
      <w:r w:rsidR="00CE7231" w:rsidRPr="006A2005">
        <w:rPr>
          <w:snapToGrid/>
        </w:rPr>
        <w:t>onwards below)</w:t>
      </w:r>
      <w:r w:rsidR="00AE2CAB" w:rsidRPr="006A2005">
        <w:rPr>
          <w:snapToGrid/>
        </w:rPr>
        <w:t>.</w:t>
      </w:r>
      <w:r w:rsidR="00CE7231" w:rsidRPr="006A2005">
        <w:rPr>
          <w:snapToGrid/>
        </w:rPr>
        <w:t xml:space="preserve"> </w:t>
      </w:r>
    </w:p>
    <w:p w14:paraId="377AD8B3" w14:textId="27E394A5" w:rsidR="00544356" w:rsidRPr="00CD4FAB" w:rsidRDefault="00544356" w:rsidP="002E4F02">
      <w:pPr>
        <w:pStyle w:val="3-BodyText"/>
        <w:rPr>
          <w:color w:val="0066FF"/>
        </w:rPr>
      </w:pPr>
      <w:r w:rsidRPr="006A2005">
        <w:rPr>
          <w:iCs/>
          <w:snapToGrid/>
        </w:rPr>
        <w:t>The</w:t>
      </w:r>
      <w:r w:rsidR="007903AB" w:rsidRPr="006A2005">
        <w:rPr>
          <w:iCs/>
          <w:snapToGrid/>
        </w:rPr>
        <w:t xml:space="preserve"> evaluation considered that the</w:t>
      </w:r>
      <w:r w:rsidRPr="006A2005">
        <w:rPr>
          <w:iCs/>
          <w:snapToGrid/>
        </w:rPr>
        <w:t xml:space="preserve"> </w:t>
      </w:r>
      <w:r w:rsidR="00401EB7" w:rsidRPr="006A2005">
        <w:rPr>
          <w:iCs/>
          <w:snapToGrid/>
        </w:rPr>
        <w:t>best</w:t>
      </w:r>
      <w:r w:rsidRPr="006A2005">
        <w:rPr>
          <w:iCs/>
          <w:snapToGrid/>
        </w:rPr>
        <w:t xml:space="preserve"> source of </w:t>
      </w:r>
      <w:r w:rsidR="0055195F" w:rsidRPr="006A2005">
        <w:rPr>
          <w:iCs/>
          <w:snapToGrid/>
        </w:rPr>
        <w:t xml:space="preserve">evidence to support retreatment </w:t>
      </w:r>
      <w:r w:rsidR="00E66533" w:rsidRPr="006A2005">
        <w:rPr>
          <w:iCs/>
          <w:snapToGrid/>
        </w:rPr>
        <w:t>with</w:t>
      </w:r>
      <w:r w:rsidR="0055195F" w:rsidRPr="006A2005">
        <w:rPr>
          <w:iCs/>
          <w:snapToGrid/>
        </w:rPr>
        <w:t xml:space="preserve"> IO in the metastatic setting </w:t>
      </w:r>
      <w:r w:rsidR="00401EB7" w:rsidRPr="006A2005">
        <w:rPr>
          <w:iCs/>
          <w:snapToGrid/>
        </w:rPr>
        <w:t>would</w:t>
      </w:r>
      <w:r w:rsidRPr="006A2005">
        <w:rPr>
          <w:iCs/>
          <w:snapToGrid/>
        </w:rPr>
        <w:t xml:space="preserve"> </w:t>
      </w:r>
      <w:r w:rsidR="00401EB7" w:rsidRPr="006A2005">
        <w:rPr>
          <w:iCs/>
          <w:snapToGrid/>
        </w:rPr>
        <w:t xml:space="preserve">be </w:t>
      </w:r>
      <w:r w:rsidR="0055195F" w:rsidRPr="006A2005">
        <w:rPr>
          <w:iCs/>
          <w:snapToGrid/>
        </w:rPr>
        <w:t xml:space="preserve">long-term follow up data from the </w:t>
      </w:r>
      <w:r w:rsidRPr="006A2005">
        <w:rPr>
          <w:iCs/>
          <w:snapToGrid/>
        </w:rPr>
        <w:t>trial</w:t>
      </w:r>
      <w:r w:rsidR="001E3CFF" w:rsidRPr="006A2005">
        <w:rPr>
          <w:iCs/>
          <w:snapToGrid/>
        </w:rPr>
        <w:t xml:space="preserve">, Checkmate 816, </w:t>
      </w:r>
      <w:r w:rsidRPr="006A2005">
        <w:rPr>
          <w:iCs/>
          <w:snapToGrid/>
        </w:rPr>
        <w:t>on which the decision to list nivolumab as neoadjuvant treatment was based, which allow</w:t>
      </w:r>
      <w:r w:rsidR="00401EB7" w:rsidRPr="006A2005">
        <w:rPr>
          <w:iCs/>
          <w:snapToGrid/>
        </w:rPr>
        <w:t>ed</w:t>
      </w:r>
      <w:r w:rsidRPr="006A2005">
        <w:rPr>
          <w:iCs/>
          <w:snapToGrid/>
        </w:rPr>
        <w:t xml:space="preserve"> patients who received nivolumab</w:t>
      </w:r>
      <w:r w:rsidR="00E66533" w:rsidRPr="006A2005">
        <w:rPr>
          <w:iCs/>
          <w:snapToGrid/>
        </w:rPr>
        <w:t xml:space="preserve"> or placebo</w:t>
      </w:r>
      <w:r w:rsidRPr="006A2005">
        <w:rPr>
          <w:iCs/>
          <w:snapToGrid/>
        </w:rPr>
        <w:t xml:space="preserve"> and whose tumours recur</w:t>
      </w:r>
      <w:r w:rsidR="00401EB7" w:rsidRPr="006A2005">
        <w:rPr>
          <w:iCs/>
          <w:snapToGrid/>
        </w:rPr>
        <w:t>red</w:t>
      </w:r>
      <w:r w:rsidRPr="006A2005">
        <w:rPr>
          <w:iCs/>
          <w:snapToGrid/>
        </w:rPr>
        <w:t xml:space="preserve"> to receive immunotherapy.</w:t>
      </w:r>
      <w:r w:rsidRPr="006A2005">
        <w:rPr>
          <w:snapToGrid/>
        </w:rPr>
        <w:t xml:space="preserve"> </w:t>
      </w:r>
      <w:r w:rsidR="0055195F" w:rsidRPr="006A2005">
        <w:rPr>
          <w:snapToGrid/>
        </w:rPr>
        <w:t>However, t</w:t>
      </w:r>
      <w:r w:rsidRPr="006A2005">
        <w:rPr>
          <w:snapToGrid/>
        </w:rPr>
        <w:t>he submission state</w:t>
      </w:r>
      <w:r w:rsidR="000B654D" w:rsidRPr="006A2005">
        <w:rPr>
          <w:snapToGrid/>
        </w:rPr>
        <w:t>d</w:t>
      </w:r>
      <w:r w:rsidRPr="006A2005">
        <w:rPr>
          <w:snapToGrid/>
        </w:rPr>
        <w:t xml:space="preserve"> that of 179 patients treated with neo</w:t>
      </w:r>
      <w:r w:rsidR="00563B2F" w:rsidRPr="006A2005">
        <w:rPr>
          <w:snapToGrid/>
        </w:rPr>
        <w:t>N</w:t>
      </w:r>
      <w:r w:rsidR="005E61A7" w:rsidRPr="006A2005">
        <w:rPr>
          <w:snapToGrid/>
        </w:rPr>
        <w:t>IVO</w:t>
      </w:r>
      <w:r w:rsidRPr="006A2005">
        <w:rPr>
          <w:snapToGrid/>
        </w:rPr>
        <w:t>, 15 ha</w:t>
      </w:r>
      <w:r w:rsidR="00401EB7" w:rsidRPr="006A2005">
        <w:rPr>
          <w:snapToGrid/>
        </w:rPr>
        <w:t>d</w:t>
      </w:r>
      <w:r w:rsidRPr="006A2005">
        <w:rPr>
          <w:snapToGrid/>
        </w:rPr>
        <w:t xml:space="preserve"> received IO retreatment for recurrence, but that </w:t>
      </w:r>
      <w:r w:rsidR="0055195F" w:rsidRPr="006A2005">
        <w:rPr>
          <w:snapToGrid/>
        </w:rPr>
        <w:t>‘</w:t>
      </w:r>
      <w:r w:rsidRPr="00CD4FAB">
        <w:t>[e]fficacy data on these retreated patients is immature at this time and not available to the Sponsor</w:t>
      </w:r>
      <w:r w:rsidR="0055195F" w:rsidRPr="00CD4FAB">
        <w:t>’</w:t>
      </w:r>
      <w:r w:rsidRPr="00C3159F">
        <w:rPr>
          <w:snapToGrid/>
        </w:rPr>
        <w:t xml:space="preserve">. </w:t>
      </w:r>
    </w:p>
    <w:p w14:paraId="544B0ECD" w14:textId="7955202B" w:rsidR="007903AB" w:rsidRPr="00CD4FAB" w:rsidRDefault="0001028A" w:rsidP="007903AB">
      <w:pPr>
        <w:pStyle w:val="3-BodyText"/>
        <w:rPr>
          <w:iCs/>
        </w:rPr>
      </w:pPr>
      <w:r w:rsidRPr="00CD4FAB">
        <w:t>Given that data from a study of similar design</w:t>
      </w:r>
      <w:r w:rsidR="002D1C65" w:rsidRPr="00CD4FAB">
        <w:t xml:space="preserve"> is relevant to</w:t>
      </w:r>
      <w:r w:rsidR="002F198B" w:rsidRPr="00CD4FAB">
        <w:t xml:space="preserve"> </w:t>
      </w:r>
      <w:r w:rsidRPr="00CD4FAB">
        <w:t>the use of PD-L1</w:t>
      </w:r>
      <w:r w:rsidR="00D00FAC" w:rsidRPr="00CD4FAB">
        <w:t xml:space="preserve"> inhibitor</w:t>
      </w:r>
      <w:r w:rsidRPr="00CD4FAB">
        <w:t xml:space="preserve"> retreatment in melanoma,</w:t>
      </w:r>
      <w:r w:rsidR="002F198B" w:rsidRPr="00CD4FAB">
        <w:rPr>
          <w:rStyle w:val="FootnoteReference"/>
          <w:iCs/>
        </w:rPr>
        <w:footnoteReference w:id="4"/>
      </w:r>
      <w:r w:rsidRPr="00CD4FAB">
        <w:t xml:space="preserve"> the PBAC may wish to consider whether awaiting the outcome of this data from Checkmate 816 would be appropriate. </w:t>
      </w:r>
      <w:r w:rsidR="007903AB" w:rsidRPr="00CD4FAB">
        <w:rPr>
          <w:iCs/>
        </w:rPr>
        <w:t>The ESC agreed with the evaluation that long-term follow up data from the trial would be an ideal source of evidence to support retreatment with IO in the metastatic setting.</w:t>
      </w:r>
    </w:p>
    <w:p w14:paraId="0200C262" w14:textId="10C786F1" w:rsidR="00544356" w:rsidRPr="00CD4FAB" w:rsidRDefault="00544356" w:rsidP="002E4F02">
      <w:pPr>
        <w:pStyle w:val="3-BodyText"/>
        <w:rPr>
          <w:color w:val="0066FF"/>
        </w:rPr>
      </w:pPr>
      <w:bookmarkStart w:id="21" w:name="_Ref152855852"/>
      <w:r w:rsidRPr="00C3159F">
        <w:rPr>
          <w:snapToGrid/>
        </w:rPr>
        <w:t>The submission present</w:t>
      </w:r>
      <w:r w:rsidR="00F167F0" w:rsidRPr="00C3159F">
        <w:rPr>
          <w:snapToGrid/>
        </w:rPr>
        <w:t>ed</w:t>
      </w:r>
      <w:r w:rsidRPr="00C3159F">
        <w:rPr>
          <w:snapToGrid/>
        </w:rPr>
        <w:t xml:space="preserve"> data obtained by a</w:t>
      </w:r>
      <w:r w:rsidR="00B6168A" w:rsidRPr="00C3159F">
        <w:rPr>
          <w:snapToGrid/>
        </w:rPr>
        <w:t xml:space="preserve"> targeted</w:t>
      </w:r>
      <w:r w:rsidRPr="00C3159F">
        <w:rPr>
          <w:snapToGrid/>
        </w:rPr>
        <w:t xml:space="preserve"> literature search</w:t>
      </w:r>
      <w:r w:rsidR="00B6168A" w:rsidRPr="00C3159F">
        <w:rPr>
          <w:snapToGrid/>
        </w:rPr>
        <w:t xml:space="preserve"> in Embase</w:t>
      </w:r>
      <w:r w:rsidRPr="00C3159F">
        <w:rPr>
          <w:snapToGrid/>
        </w:rPr>
        <w:t xml:space="preserve">. The search terms were 1: </w:t>
      </w:r>
      <w:r w:rsidR="00E80038" w:rsidRPr="00C3159F">
        <w:rPr>
          <w:snapToGrid/>
        </w:rPr>
        <w:t>‘</w:t>
      </w:r>
      <w:r w:rsidRPr="00C3159F">
        <w:rPr>
          <w:snapToGrid/>
        </w:rPr>
        <w:t>immunotherapy OR nivolumab OR pembrolizumab</w:t>
      </w:r>
      <w:r w:rsidR="00E80038" w:rsidRPr="00C3159F">
        <w:rPr>
          <w:snapToGrid/>
        </w:rPr>
        <w:t>’</w:t>
      </w:r>
      <w:r w:rsidRPr="00C3159F">
        <w:rPr>
          <w:snapToGrid/>
        </w:rPr>
        <w:t xml:space="preserve"> 2: </w:t>
      </w:r>
      <w:r w:rsidR="00E80038" w:rsidRPr="00C3159F">
        <w:rPr>
          <w:snapToGrid/>
        </w:rPr>
        <w:t>‘</w:t>
      </w:r>
      <w:r w:rsidRPr="00C3159F">
        <w:rPr>
          <w:snapToGrid/>
        </w:rPr>
        <w:t>retreatment OR rechallenge</w:t>
      </w:r>
      <w:r w:rsidR="00E80038" w:rsidRPr="00C3159F">
        <w:rPr>
          <w:snapToGrid/>
        </w:rPr>
        <w:t>’</w:t>
      </w:r>
      <w:r w:rsidRPr="00C3159F">
        <w:rPr>
          <w:snapToGrid/>
        </w:rPr>
        <w:t xml:space="preserve">, 3: </w:t>
      </w:r>
      <w:r w:rsidR="00E80038" w:rsidRPr="00C3159F">
        <w:rPr>
          <w:snapToGrid/>
        </w:rPr>
        <w:t>‘</w:t>
      </w:r>
      <w:r w:rsidRPr="00C3159F">
        <w:rPr>
          <w:snapToGrid/>
        </w:rPr>
        <w:t>NSCLC OR non-small cell lung cancer</w:t>
      </w:r>
      <w:r w:rsidR="00E80038" w:rsidRPr="00C3159F">
        <w:rPr>
          <w:snapToGrid/>
        </w:rPr>
        <w:t>’</w:t>
      </w:r>
      <w:r w:rsidRPr="00C3159F">
        <w:rPr>
          <w:snapToGrid/>
        </w:rPr>
        <w:t xml:space="preserve">, with studies reviewed being </w:t>
      </w:r>
      <w:r w:rsidR="00E80038" w:rsidRPr="00C3159F">
        <w:rPr>
          <w:snapToGrid/>
        </w:rPr>
        <w:t>‘</w:t>
      </w:r>
      <w:r w:rsidRPr="00C3159F">
        <w:rPr>
          <w:snapToGrid/>
        </w:rPr>
        <w:t>1 AND 2 AND 3</w:t>
      </w:r>
      <w:r w:rsidR="00E80038" w:rsidRPr="00C3159F">
        <w:rPr>
          <w:snapToGrid/>
        </w:rPr>
        <w:t>’</w:t>
      </w:r>
      <w:r w:rsidRPr="00C3159F">
        <w:rPr>
          <w:snapToGrid/>
        </w:rPr>
        <w:t xml:space="preserve">. This </w:t>
      </w:r>
      <w:r w:rsidR="00F167F0" w:rsidRPr="00C3159F">
        <w:rPr>
          <w:snapToGrid/>
        </w:rPr>
        <w:t xml:space="preserve">search </w:t>
      </w:r>
      <w:r w:rsidRPr="00C3159F">
        <w:rPr>
          <w:snapToGrid/>
        </w:rPr>
        <w:t>identified 242</w:t>
      </w:r>
      <w:r w:rsidR="00F167F0" w:rsidRPr="00C3159F">
        <w:rPr>
          <w:snapToGrid/>
        </w:rPr>
        <w:t xml:space="preserve"> </w:t>
      </w:r>
      <w:r w:rsidRPr="00C3159F">
        <w:rPr>
          <w:snapToGrid/>
        </w:rPr>
        <w:t>studies, of which 53 were included in the submission.</w:t>
      </w:r>
      <w:bookmarkEnd w:id="21"/>
      <w:r w:rsidRPr="00C3159F">
        <w:rPr>
          <w:snapToGrid/>
        </w:rPr>
        <w:t xml:space="preserve"> </w:t>
      </w:r>
    </w:p>
    <w:p w14:paraId="11914F83" w14:textId="7CC79A2C" w:rsidR="00544356" w:rsidRPr="00CD4FAB" w:rsidRDefault="00544356" w:rsidP="00544356">
      <w:pPr>
        <w:pStyle w:val="3-BodyText"/>
        <w:rPr>
          <w:color w:val="0066FF"/>
        </w:rPr>
      </w:pPr>
      <w:bookmarkStart w:id="22" w:name="_Ref159474385"/>
      <w:r w:rsidRPr="00C3159F">
        <w:rPr>
          <w:snapToGrid/>
        </w:rPr>
        <w:t xml:space="preserve">The included studies </w:t>
      </w:r>
      <w:r w:rsidR="007E5A1D" w:rsidRPr="00C3159F">
        <w:rPr>
          <w:snapToGrid/>
        </w:rPr>
        <w:t xml:space="preserve">were briefly detailed </w:t>
      </w:r>
      <w:r w:rsidRPr="00C3159F">
        <w:rPr>
          <w:snapToGrid/>
        </w:rPr>
        <w:t>in the submission. None of the</w:t>
      </w:r>
      <w:r w:rsidR="007E5A1D" w:rsidRPr="00C3159F">
        <w:rPr>
          <w:snapToGrid/>
        </w:rPr>
        <w:t xml:space="preserve"> </w:t>
      </w:r>
      <w:r w:rsidRPr="00C3159F">
        <w:rPr>
          <w:snapToGrid/>
        </w:rPr>
        <w:t xml:space="preserve">studies included patients receiving nivolumab as neoadjuvant treatment for resectable disease and then relapsing. </w:t>
      </w:r>
      <w:r w:rsidR="00226646" w:rsidRPr="00C3159F">
        <w:rPr>
          <w:snapToGrid/>
        </w:rPr>
        <w:t>T</w:t>
      </w:r>
      <w:r w:rsidRPr="00C3159F">
        <w:rPr>
          <w:snapToGrid/>
        </w:rPr>
        <w:t xml:space="preserve">he submission nominated 18 studies as representing the </w:t>
      </w:r>
      <w:r w:rsidR="007E5A1D" w:rsidRPr="00C3159F">
        <w:rPr>
          <w:snapToGrid/>
        </w:rPr>
        <w:t xml:space="preserve">primary </w:t>
      </w:r>
      <w:r w:rsidRPr="00C3159F">
        <w:rPr>
          <w:snapToGrid/>
        </w:rPr>
        <w:t>evidence for IO retreatment. These studies are shown in</w:t>
      </w:r>
      <w:r w:rsidR="00480350" w:rsidRPr="00C3159F">
        <w:rPr>
          <w:snapToGrid/>
        </w:rPr>
        <w:t xml:space="preserve"> </w:t>
      </w:r>
      <w:r w:rsidR="005B7D0D" w:rsidRPr="00C3159F">
        <w:rPr>
          <w:snapToGrid/>
        </w:rPr>
        <w:fldChar w:fldCharType="begin" w:fldLock="1"/>
      </w:r>
      <w:r w:rsidR="005B7D0D" w:rsidRPr="00C3159F">
        <w:rPr>
          <w:snapToGrid/>
        </w:rPr>
        <w:instrText xml:space="preserve"> REF _Ref156553565 \h </w:instrText>
      </w:r>
      <w:r w:rsidR="005B7D0D" w:rsidRPr="00C3159F">
        <w:rPr>
          <w:snapToGrid/>
        </w:rPr>
      </w:r>
      <w:r w:rsidR="005B7D0D" w:rsidRPr="00C3159F">
        <w:rPr>
          <w:snapToGrid/>
        </w:rPr>
        <w:fldChar w:fldCharType="separate"/>
      </w:r>
      <w:r w:rsidR="00885DA7" w:rsidRPr="00CD4FAB">
        <w:t xml:space="preserve">Table </w:t>
      </w:r>
      <w:r w:rsidR="00885DA7">
        <w:rPr>
          <w:noProof/>
        </w:rPr>
        <w:t>3</w:t>
      </w:r>
      <w:r w:rsidR="005B7D0D" w:rsidRPr="00C3159F">
        <w:rPr>
          <w:snapToGrid/>
        </w:rPr>
        <w:fldChar w:fldCharType="end"/>
      </w:r>
      <w:r w:rsidR="008F10C8" w:rsidRPr="00C3159F">
        <w:rPr>
          <w:snapToGrid/>
        </w:rPr>
        <w:t xml:space="preserve"> </w:t>
      </w:r>
      <w:r w:rsidRPr="00C3159F">
        <w:rPr>
          <w:snapToGrid/>
        </w:rPr>
        <w:t>below.</w:t>
      </w:r>
      <w:bookmarkEnd w:id="22"/>
      <w:r w:rsidRPr="00C3159F">
        <w:rPr>
          <w:snapToGrid/>
        </w:rPr>
        <w:t xml:space="preserve"> </w:t>
      </w:r>
    </w:p>
    <w:p w14:paraId="33CD411D" w14:textId="3E2896F0" w:rsidR="00544356" w:rsidRPr="00CD4FAB" w:rsidRDefault="00544356" w:rsidP="002E4F02">
      <w:pPr>
        <w:pStyle w:val="3-BodyText"/>
        <w:rPr>
          <w:color w:val="0066FF"/>
        </w:rPr>
      </w:pPr>
      <w:r w:rsidRPr="00CD4FAB">
        <w:t xml:space="preserve">Eleven of the 18 studies were retrospective case series, and </w:t>
      </w:r>
      <w:r w:rsidR="00F167F0" w:rsidRPr="00CD4FAB">
        <w:t xml:space="preserve">therefore </w:t>
      </w:r>
      <w:r w:rsidRPr="00CD4FAB">
        <w:t>ha</w:t>
      </w:r>
      <w:r w:rsidR="00401EB7" w:rsidRPr="00CD4FAB">
        <w:t>d</w:t>
      </w:r>
      <w:r w:rsidRPr="00CD4FAB">
        <w:t xml:space="preserve"> a high risk of bias. One was a Phase II, single arm trial, </w:t>
      </w:r>
      <w:r w:rsidR="00401EB7" w:rsidRPr="00CD4FAB">
        <w:t>and also had</w:t>
      </w:r>
      <w:r w:rsidRPr="00CD4FAB">
        <w:t xml:space="preserve"> a high risk of bias. Five</w:t>
      </w:r>
      <w:r w:rsidR="00F167F0" w:rsidRPr="00CD4FAB">
        <w:t xml:space="preserve"> studies </w:t>
      </w:r>
      <w:r w:rsidRPr="00CD4FAB">
        <w:t>were described as systematic reviews or meta-analyses. Three</w:t>
      </w:r>
      <w:r w:rsidR="00226646" w:rsidRPr="00CD4FAB">
        <w:t xml:space="preserve"> studies</w:t>
      </w:r>
      <w:r w:rsidRPr="00CD4FAB">
        <w:t xml:space="preserve"> (Bozorgmehr 2023</w:t>
      </w:r>
      <w:r w:rsidR="00226646" w:rsidRPr="00CD4FAB">
        <w:t>;</w:t>
      </w:r>
      <w:r w:rsidRPr="00CD4FAB">
        <w:t xml:space="preserve"> Giaj Levra 2020</w:t>
      </w:r>
      <w:r w:rsidR="00226646" w:rsidRPr="00CD4FAB">
        <w:t>;</w:t>
      </w:r>
      <w:r w:rsidRPr="00CD4FAB">
        <w:t xml:space="preserve"> Rodriguez-Abreu 2022) were analyses of selected</w:t>
      </w:r>
      <w:r w:rsidRPr="00CD4FAB">
        <w:rPr>
          <w:iCs/>
        </w:rPr>
        <w:t xml:space="preserve"> </w:t>
      </w:r>
      <w:r w:rsidRPr="00CD4FAB">
        <w:t>trials and database records; Bozorgmehr</w:t>
      </w:r>
      <w:r w:rsidR="00226646" w:rsidRPr="00CD4FAB">
        <w:t xml:space="preserve"> 2023</w:t>
      </w:r>
      <w:r w:rsidRPr="00CD4FAB">
        <w:t xml:space="preserve"> include</w:t>
      </w:r>
      <w:r w:rsidR="00F167F0" w:rsidRPr="00CD4FAB">
        <w:t>d</w:t>
      </w:r>
      <w:r w:rsidRPr="00CD4FAB">
        <w:t xml:space="preserve"> the data from Giaj Levra</w:t>
      </w:r>
      <w:r w:rsidR="00226646" w:rsidRPr="00CD4FAB">
        <w:t xml:space="preserve"> 2020</w:t>
      </w:r>
      <w:r w:rsidRPr="00CD4FAB">
        <w:t xml:space="preserve"> and some of the data from Rodriguez-Abreu</w:t>
      </w:r>
      <w:r w:rsidR="00226646" w:rsidRPr="00CD4FAB">
        <w:t xml:space="preserve"> 2022</w:t>
      </w:r>
      <w:r w:rsidRPr="00CD4FAB">
        <w:t>. The data reported in Rodriguez-Abreu</w:t>
      </w:r>
      <w:r w:rsidR="00226646" w:rsidRPr="00CD4FAB">
        <w:t xml:space="preserve"> 2022</w:t>
      </w:r>
      <w:r w:rsidRPr="00CD4FAB">
        <w:t>, and most of the data reported by Bozorgmehr</w:t>
      </w:r>
      <w:r w:rsidR="00226646" w:rsidRPr="00CD4FAB">
        <w:t xml:space="preserve"> 2023</w:t>
      </w:r>
      <w:r w:rsidRPr="00CD4FAB">
        <w:t xml:space="preserve"> when that of Giaj Levra</w:t>
      </w:r>
      <w:r w:rsidR="00226646" w:rsidRPr="00CD4FAB">
        <w:t xml:space="preserve"> 2020</w:t>
      </w:r>
      <w:r w:rsidRPr="00CD4FAB">
        <w:t xml:space="preserve"> is excluded, </w:t>
      </w:r>
      <w:r w:rsidR="00F167F0" w:rsidRPr="00CD4FAB">
        <w:t>w</w:t>
      </w:r>
      <w:r w:rsidR="00401EB7" w:rsidRPr="00CD4FAB">
        <w:t>ere</w:t>
      </w:r>
      <w:r w:rsidR="00F167F0" w:rsidRPr="00CD4FAB">
        <w:t xml:space="preserve"> </w:t>
      </w:r>
      <w:r w:rsidRPr="00CD4FAB">
        <w:t xml:space="preserve">for pembrolizumab. </w:t>
      </w:r>
    </w:p>
    <w:p w14:paraId="7B4EDD7F" w14:textId="6AD5C0EB" w:rsidR="00544356" w:rsidRPr="00CD4FAB" w:rsidRDefault="00544356" w:rsidP="00544356">
      <w:pPr>
        <w:pStyle w:val="3-BodyText"/>
      </w:pPr>
      <w:r w:rsidRPr="00CD4FAB">
        <w:t xml:space="preserve">The </w:t>
      </w:r>
      <w:r w:rsidR="00BA7B67" w:rsidRPr="00CD4FAB">
        <w:t xml:space="preserve">evaluation considered that the </w:t>
      </w:r>
      <w:r w:rsidRPr="00CD4FAB">
        <w:t xml:space="preserve">most salient data </w:t>
      </w:r>
      <w:r w:rsidR="00F167F0" w:rsidRPr="00CD4FAB">
        <w:t>was</w:t>
      </w:r>
      <w:r w:rsidRPr="00CD4FAB">
        <w:t xml:space="preserve"> that reported in Giaj Levra 2020. This study report</w:t>
      </w:r>
      <w:r w:rsidR="00F167F0" w:rsidRPr="00CD4FAB">
        <w:t>ed</w:t>
      </w:r>
      <w:r w:rsidRPr="00CD4FAB">
        <w:t xml:space="preserve"> data from 10,452 patients recorded in a French national </w:t>
      </w:r>
      <w:r w:rsidRPr="00CD4FAB">
        <w:lastRenderedPageBreak/>
        <w:t xml:space="preserve">database as starting nivolumab for locally advanced or metastatic lung cancer </w:t>
      </w:r>
      <w:r w:rsidR="00AA6703" w:rsidRPr="00CD4FAB">
        <w:t>during</w:t>
      </w:r>
      <w:r w:rsidRPr="00CD4FAB">
        <w:t xml:space="preserve"> 2015</w:t>
      </w:r>
      <w:r w:rsidR="00AA6703" w:rsidRPr="00CD4FAB">
        <w:rPr>
          <w:rFonts w:cstheme="minorHAnsi"/>
        </w:rPr>
        <w:t>−</w:t>
      </w:r>
      <w:r w:rsidRPr="00CD4FAB">
        <w:t xml:space="preserve">2016. Nivolumab was discontinued in </w:t>
      </w:r>
      <w:r w:rsidRPr="00D9197C">
        <w:t>9593 (91.8%) patients, of whom 5118 (53.3%) subsequently received systemic treatment, which was chemotherapy only in 3607 (70.4%), nivolumab in 1499 (29.3%) and pembrolizumab in 18</w:t>
      </w:r>
      <w:r w:rsidRPr="00CD4FAB">
        <w:t xml:space="preserve"> (0.4%). Median survival on retreatment with </w:t>
      </w:r>
      <w:r w:rsidR="00AA6703" w:rsidRPr="00CD4FAB">
        <w:t xml:space="preserve">a </w:t>
      </w:r>
      <w:r w:rsidRPr="00CD4FAB">
        <w:t>PD-</w:t>
      </w:r>
      <w:r w:rsidR="00BB6A22" w:rsidRPr="00CD4FAB">
        <w:t>L</w:t>
      </w:r>
      <w:r w:rsidRPr="00CD4FAB">
        <w:t>1</w:t>
      </w:r>
      <w:r w:rsidR="00E57D0A" w:rsidRPr="00CD4FAB">
        <w:t xml:space="preserve"> inhibitor</w:t>
      </w:r>
      <w:r w:rsidRPr="00CD4FAB">
        <w:t xml:space="preserve"> was longer than in the cohort as a whole</w:t>
      </w:r>
      <w:r w:rsidR="00C91BE5" w:rsidRPr="00CD4FAB">
        <w:t xml:space="preserve"> (IO resumption group = </w:t>
      </w:r>
      <w:r w:rsidR="009E58C6" w:rsidRPr="00CD4FAB">
        <w:t>1</w:t>
      </w:r>
      <w:r w:rsidR="00563B2F" w:rsidRPr="00CD4FAB">
        <w:t>4.8</w:t>
      </w:r>
      <w:r w:rsidR="00C91BE5" w:rsidRPr="00CD4FAB">
        <w:t xml:space="preserve"> months</w:t>
      </w:r>
      <w:r w:rsidR="00563B2F" w:rsidRPr="00CD4FAB">
        <w:t xml:space="preserve"> </w:t>
      </w:r>
      <w:r w:rsidR="00E531FD" w:rsidRPr="00CD4FAB">
        <w:t>[</w:t>
      </w:r>
      <w:r w:rsidR="00563B2F" w:rsidRPr="00CD4FAB">
        <w:t xml:space="preserve">95% </w:t>
      </w:r>
      <w:r w:rsidR="00BA7B67" w:rsidRPr="00CD4FAB">
        <w:t>confidence interval [</w:t>
      </w:r>
      <w:r w:rsidR="00563B2F" w:rsidRPr="00CD4FAB">
        <w:t>CI</w:t>
      </w:r>
      <w:r w:rsidR="00BA7B67" w:rsidRPr="00CD4FAB">
        <w:t>]</w:t>
      </w:r>
      <w:r w:rsidR="00563B2F" w:rsidRPr="00CD4FAB">
        <w:t xml:space="preserve"> 13.4, 16.5</w:t>
      </w:r>
      <w:r w:rsidR="00E531FD" w:rsidRPr="00CD4FAB">
        <w:t>]</w:t>
      </w:r>
      <w:r w:rsidR="00C91BE5" w:rsidRPr="00CD4FAB">
        <w:t>, IO rechallenge group = 18</w:t>
      </w:r>
      <w:r w:rsidR="00FD175B" w:rsidRPr="00CD4FAB">
        <w:t xml:space="preserve">.1 months </w:t>
      </w:r>
      <w:r w:rsidR="00E531FD" w:rsidRPr="00CD4FAB">
        <w:t>[</w:t>
      </w:r>
      <w:r w:rsidR="00FD175B" w:rsidRPr="00CD4FAB">
        <w:t>95%</w:t>
      </w:r>
      <w:r w:rsidR="00E531FD" w:rsidRPr="00CD4FAB">
        <w:t xml:space="preserve"> </w:t>
      </w:r>
      <w:r w:rsidR="00FD175B" w:rsidRPr="00CD4FAB">
        <w:t>CI: 14.6, 21.6</w:t>
      </w:r>
      <w:r w:rsidR="00E531FD" w:rsidRPr="00CD4FAB">
        <w:t>]</w:t>
      </w:r>
      <w:r w:rsidR="00FD175B" w:rsidRPr="00CD4FAB">
        <w:t>, versus overall group = 11.5</w:t>
      </w:r>
      <w:r w:rsidR="005155E6">
        <w:t> </w:t>
      </w:r>
      <w:r w:rsidR="00FD175B" w:rsidRPr="00CD4FAB">
        <w:t xml:space="preserve">months </w:t>
      </w:r>
      <w:r w:rsidR="00E531FD" w:rsidRPr="00CD4FAB">
        <w:t>[</w:t>
      </w:r>
      <w:r w:rsidR="00FD175B" w:rsidRPr="00CD4FAB">
        <w:t>95%</w:t>
      </w:r>
      <w:r w:rsidR="00951DFB" w:rsidRPr="00CD4FAB">
        <w:t xml:space="preserve"> </w:t>
      </w:r>
      <w:r w:rsidR="00FD175B" w:rsidRPr="00CD4FAB">
        <w:t>CI: 11.1, 11.9</w:t>
      </w:r>
      <w:r w:rsidR="00E531FD" w:rsidRPr="00CD4FAB">
        <w:t>])</w:t>
      </w:r>
      <w:r w:rsidR="00FD175B" w:rsidRPr="00CD4FAB">
        <w:t xml:space="preserve">, </w:t>
      </w:r>
      <w:r w:rsidR="00BA7B67" w:rsidRPr="00CD4FAB">
        <w:t xml:space="preserve">however </w:t>
      </w:r>
      <w:r w:rsidR="00FD175B" w:rsidRPr="00CD4FAB">
        <w:t>survival of patients retreated with chemotherapy</w:t>
      </w:r>
      <w:r w:rsidRPr="00CD4FAB">
        <w:t xml:space="preserve"> only was not reported. There was a strong association between survival on </w:t>
      </w:r>
      <w:r w:rsidR="0097576D" w:rsidRPr="00CD4FAB">
        <w:t xml:space="preserve">IO </w:t>
      </w:r>
      <w:r w:rsidRPr="00CD4FAB">
        <w:t>retreatment and the duration of initial nivolumab treatment</w:t>
      </w:r>
      <w:r w:rsidR="0097576D" w:rsidRPr="00CD4FAB">
        <w:t xml:space="preserve">. </w:t>
      </w:r>
      <w:r w:rsidR="0017030F" w:rsidRPr="00CD4FAB">
        <w:t>For the IO resumption group, t</w:t>
      </w:r>
      <w:r w:rsidR="0097576D" w:rsidRPr="00CD4FAB">
        <w:t>he</w:t>
      </w:r>
      <w:r w:rsidR="0017030F" w:rsidRPr="00CD4FAB">
        <w:t xml:space="preserve"> </w:t>
      </w:r>
      <w:r w:rsidRPr="00CD4FAB">
        <w:t>hazard ratio for death was 0.19 (95% CI 0.14, 0.25) for initial</w:t>
      </w:r>
      <w:r w:rsidR="00D376F8" w:rsidRPr="00CD4FAB">
        <w:t xml:space="preserve"> IO</w:t>
      </w:r>
      <w:r w:rsidRPr="00CD4FAB">
        <w:t xml:space="preserve"> treatment greater than 6 months compared to</w:t>
      </w:r>
      <w:r w:rsidR="00D376F8" w:rsidRPr="00CD4FAB">
        <w:t xml:space="preserve"> 0.56 (95% CI 0.46, 0.70) for patients initially treated with IO for</w:t>
      </w:r>
      <w:r w:rsidRPr="00CD4FAB">
        <w:t xml:space="preserve"> less than 3 months</w:t>
      </w:r>
      <w:r w:rsidR="00D376F8" w:rsidRPr="00CD4FAB">
        <w:t>.</w:t>
      </w:r>
      <w:r w:rsidRPr="00CD4FAB">
        <w:t xml:space="preserve"> </w:t>
      </w:r>
      <w:r w:rsidR="00721391" w:rsidRPr="00CD4FAB">
        <w:rPr>
          <w:iCs/>
        </w:rPr>
        <w:t xml:space="preserve">The duration of proposed adjuvant use of nivolumab is less than three months, but in the locally advanced or metastatic setting a short duration of initial treatment may be </w:t>
      </w:r>
      <w:r w:rsidR="004E0428" w:rsidRPr="00CD4FAB">
        <w:rPr>
          <w:iCs/>
        </w:rPr>
        <w:t xml:space="preserve">a </w:t>
      </w:r>
      <w:r w:rsidR="00721391" w:rsidRPr="00CD4FAB">
        <w:rPr>
          <w:iCs/>
        </w:rPr>
        <w:t>marker for poor response or intolerance.</w:t>
      </w:r>
      <w:r w:rsidR="00721391" w:rsidRPr="00CD4FAB">
        <w:t xml:space="preserve"> </w:t>
      </w:r>
    </w:p>
    <w:p w14:paraId="1E5BE98E" w14:textId="187354E8" w:rsidR="00057AF7" w:rsidRPr="00CD4FAB" w:rsidRDefault="008F6CFC" w:rsidP="00BE050B">
      <w:pPr>
        <w:pStyle w:val="3-BodyText"/>
        <w:rPr>
          <w:b/>
        </w:rPr>
      </w:pPr>
      <w:r>
        <w:t>E</w:t>
      </w:r>
      <w:r w:rsidR="00544356" w:rsidRPr="00CD4FAB">
        <w:t>xpert opinion presented to the PBAC in March 2023</w:t>
      </w:r>
      <w:r>
        <w:t xml:space="preserve"> stated</w:t>
      </w:r>
      <w:r w:rsidR="00544356" w:rsidRPr="00CD4FAB">
        <w:t xml:space="preserve"> that </w:t>
      </w:r>
      <w:r w:rsidR="00721391" w:rsidRPr="00CD4FAB">
        <w:t>the use of PD-</w:t>
      </w:r>
      <w:r w:rsidR="004E0428" w:rsidRPr="00CD4FAB">
        <w:t>L</w:t>
      </w:r>
      <w:r w:rsidR="00721391" w:rsidRPr="00CD4FAB">
        <w:t>1 inhibitors in patients with recurrence is reasonable in patients who have received</w:t>
      </w:r>
      <w:r w:rsidR="00544356" w:rsidRPr="00CD4FAB">
        <w:t xml:space="preserve"> nivolumab as neoadjuvant treatment for resectable NSCLC (</w:t>
      </w:r>
      <w:r w:rsidR="001818D1" w:rsidRPr="00CD4FAB">
        <w:t xml:space="preserve">para </w:t>
      </w:r>
      <w:r w:rsidR="00544356" w:rsidRPr="00CD4FAB">
        <w:t>6.1</w:t>
      </w:r>
      <w:r w:rsidR="00F10698" w:rsidRPr="00CD4FAB">
        <w:t>,</w:t>
      </w:r>
      <w:r w:rsidR="001818D1" w:rsidRPr="00CD4FAB">
        <w:t xml:space="preserve"> nivolumab PSD, March 2023 PBAC meeting</w:t>
      </w:r>
      <w:r w:rsidR="00544356" w:rsidRPr="00CD4FAB">
        <w:t xml:space="preserve">). </w:t>
      </w:r>
      <w:r>
        <w:rPr>
          <w:iCs/>
        </w:rPr>
        <w:t>The</w:t>
      </w:r>
      <w:r w:rsidRPr="00CD4FAB">
        <w:rPr>
          <w:iCs/>
        </w:rPr>
        <w:t xml:space="preserve"> </w:t>
      </w:r>
      <w:r w:rsidR="00B42FBB" w:rsidRPr="00CD4FAB">
        <w:rPr>
          <w:iCs/>
        </w:rPr>
        <w:t xml:space="preserve">data </w:t>
      </w:r>
      <w:r>
        <w:rPr>
          <w:iCs/>
        </w:rPr>
        <w:t xml:space="preserve">provided in the submission </w:t>
      </w:r>
      <w:r w:rsidR="00B42FBB" w:rsidRPr="00CD4FAB">
        <w:rPr>
          <w:iCs/>
        </w:rPr>
        <w:t>did not include patients receiving neoadjuvant treatment for resectable disease and</w:t>
      </w:r>
      <w:r w:rsidR="00F167F0" w:rsidRPr="00CD4FAB">
        <w:t xml:space="preserve"> </w:t>
      </w:r>
      <w:r w:rsidR="00544356" w:rsidRPr="00CD4FAB">
        <w:t>d</w:t>
      </w:r>
      <w:r w:rsidR="00F167F0" w:rsidRPr="00CD4FAB">
        <w:t>id</w:t>
      </w:r>
      <w:r w:rsidR="00544356" w:rsidRPr="00CD4FAB">
        <w:t xml:space="preserve"> not </w:t>
      </w:r>
      <w:r w:rsidR="002F7682" w:rsidRPr="00CD4FAB">
        <w:t xml:space="preserve">report an </w:t>
      </w:r>
      <w:r w:rsidR="00544356" w:rsidRPr="00CD4FAB">
        <w:t xml:space="preserve">estimate </w:t>
      </w:r>
      <w:r w:rsidR="002F7682" w:rsidRPr="00CD4FAB">
        <w:t>for</w:t>
      </w:r>
      <w:r w:rsidR="00544356" w:rsidRPr="00CD4FAB">
        <w:t xml:space="preserve"> the magnitude of benefit associated with IO retreatment</w:t>
      </w:r>
      <w:r w:rsidR="002F7682" w:rsidRPr="00CD4FAB">
        <w:t>, therefore</w:t>
      </w:r>
      <w:r w:rsidR="00544356" w:rsidRPr="00CD4FAB">
        <w:t xml:space="preserve"> the </w:t>
      </w:r>
      <w:r w:rsidR="00F10698" w:rsidRPr="00CD4FAB">
        <w:t xml:space="preserve">evaluation considered that the </w:t>
      </w:r>
      <w:r w:rsidR="00544356" w:rsidRPr="00CD4FAB">
        <w:t xml:space="preserve">PBAC’s </w:t>
      </w:r>
      <w:r w:rsidR="004C6785" w:rsidRPr="00CD4FAB">
        <w:t>view</w:t>
      </w:r>
      <w:r w:rsidR="002F7682" w:rsidRPr="00CD4FAB">
        <w:t xml:space="preserve"> </w:t>
      </w:r>
      <w:r w:rsidR="00544356" w:rsidRPr="00CD4FAB">
        <w:t xml:space="preserve">in March 2023 that </w:t>
      </w:r>
      <w:r w:rsidR="002F7682" w:rsidRPr="00CD4FAB">
        <w:t>‘</w:t>
      </w:r>
      <w:r w:rsidR="00544356" w:rsidRPr="00CD4FAB">
        <w:t>it would be appropriate to manage the uncertainties associated with retreatment with immunotherapy in metastatic disease within the RSA, given there is no clinical data to support such use</w:t>
      </w:r>
      <w:r w:rsidR="00A202B9" w:rsidRPr="00CD4FAB">
        <w:t>’</w:t>
      </w:r>
      <w:r w:rsidR="00544356" w:rsidRPr="00CD4FAB">
        <w:t xml:space="preserve"> (</w:t>
      </w:r>
      <w:r w:rsidR="001818D1" w:rsidRPr="00CD4FAB">
        <w:t xml:space="preserve">para </w:t>
      </w:r>
      <w:r w:rsidR="00544356" w:rsidRPr="00CD4FAB">
        <w:t>7.20</w:t>
      </w:r>
      <w:r w:rsidR="00F10698" w:rsidRPr="00CD4FAB">
        <w:t>,</w:t>
      </w:r>
      <w:r w:rsidR="001818D1" w:rsidRPr="00CD4FAB">
        <w:t xml:space="preserve"> nivolumab PSD, March 2023 PBAC meeting</w:t>
      </w:r>
      <w:r w:rsidR="00544356" w:rsidRPr="00CD4FAB">
        <w:t xml:space="preserve">) </w:t>
      </w:r>
      <w:bookmarkStart w:id="23" w:name="_Ref148988857"/>
      <w:bookmarkStart w:id="24" w:name="_Toc149569430"/>
      <w:r w:rsidR="00544356" w:rsidRPr="00CD4FAB">
        <w:t xml:space="preserve">remains relevant. </w:t>
      </w:r>
    </w:p>
    <w:p w14:paraId="6B2308C3" w14:textId="113FB85D" w:rsidR="00544356" w:rsidRPr="00CD4FAB" w:rsidRDefault="00582CF5" w:rsidP="00BE050B">
      <w:pPr>
        <w:pStyle w:val="3-BodyText"/>
        <w:rPr>
          <w:b/>
        </w:rPr>
      </w:pPr>
      <w:r w:rsidRPr="00CD4FAB">
        <w:rPr>
          <w:iCs/>
        </w:rPr>
        <w:t xml:space="preserve">The PSCR </w:t>
      </w:r>
      <w:r w:rsidR="00057AF7" w:rsidRPr="00CD4FAB">
        <w:rPr>
          <w:iCs/>
        </w:rPr>
        <w:t xml:space="preserve">acknowledged that </w:t>
      </w:r>
      <w:r w:rsidR="0081522F" w:rsidRPr="00CD4FAB">
        <w:rPr>
          <w:iCs/>
        </w:rPr>
        <w:t xml:space="preserve">the clinical data presented in the submission was not specific to patients receiving nivolumab as neoadjuvant treatment for resectable disease and then relapsing and receiving metastatic IO. However, the sponsor considered that the available clinical evidence in combination with a strong biological rationale and </w:t>
      </w:r>
      <w:r w:rsidR="00A50D9D" w:rsidRPr="00CD4FAB">
        <w:rPr>
          <w:iCs/>
        </w:rPr>
        <w:t xml:space="preserve">a </w:t>
      </w:r>
      <w:r w:rsidR="0081522F" w:rsidRPr="00CD4FAB">
        <w:rPr>
          <w:iCs/>
        </w:rPr>
        <w:t>limited proportion of patients who progressed on treatment in the CheckMate 816 trial support</w:t>
      </w:r>
      <w:r w:rsidR="00A50D9D" w:rsidRPr="00CD4FAB">
        <w:rPr>
          <w:iCs/>
        </w:rPr>
        <w:t>ed</w:t>
      </w:r>
      <w:r w:rsidR="0081522F" w:rsidRPr="00CD4FAB">
        <w:rPr>
          <w:iCs/>
        </w:rPr>
        <w:t xml:space="preserve"> retreatment in this circumstance.</w:t>
      </w:r>
    </w:p>
    <w:p w14:paraId="7C4CC433" w14:textId="77777777" w:rsidR="00806806" w:rsidRPr="00CD4FAB" w:rsidRDefault="002A26A7" w:rsidP="00806806">
      <w:pPr>
        <w:pStyle w:val="3-BodyText"/>
        <w:rPr>
          <w:iCs/>
        </w:rPr>
      </w:pPr>
      <w:r w:rsidRPr="00CD4FAB">
        <w:t xml:space="preserve">The ESC considered that, overall, the newly presented studies were not reliable for decision-making. </w:t>
      </w:r>
      <w:r w:rsidR="007D4786" w:rsidRPr="00CD4FAB">
        <w:t>The studies</w:t>
      </w:r>
      <w:r w:rsidRPr="00CD4FAB">
        <w:t xml:space="preserve"> were considered inadequate to support the sponsor’s preferred restriction (‘Option A’).</w:t>
      </w:r>
      <w:r w:rsidR="002755F0" w:rsidRPr="00CD4FAB">
        <w:t xml:space="preserve"> </w:t>
      </w:r>
    </w:p>
    <w:p w14:paraId="65628080" w14:textId="4F2FD567" w:rsidR="007347B0" w:rsidRPr="00C3159F" w:rsidRDefault="002D7AA4" w:rsidP="00D221AB">
      <w:pPr>
        <w:pStyle w:val="3-BodyText"/>
        <w:rPr>
          <w:iCs/>
        </w:rPr>
      </w:pPr>
      <w:r w:rsidRPr="00CD4FAB">
        <w:rPr>
          <w:iCs/>
        </w:rPr>
        <w:t xml:space="preserve">The </w:t>
      </w:r>
      <w:r w:rsidR="000923D5" w:rsidRPr="00CD4FAB">
        <w:t xml:space="preserve">Pre-PBAC Response </w:t>
      </w:r>
      <w:r w:rsidRPr="00CD4FAB">
        <w:rPr>
          <w:iCs/>
        </w:rPr>
        <w:t xml:space="preserve">argued that there is biological rationale </w:t>
      </w:r>
      <w:r w:rsidR="000923D5" w:rsidRPr="00CD4FAB">
        <w:rPr>
          <w:iCs/>
        </w:rPr>
        <w:t xml:space="preserve">and clinical evidence </w:t>
      </w:r>
      <w:r w:rsidRPr="00CD4FAB">
        <w:rPr>
          <w:iCs/>
        </w:rPr>
        <w:t xml:space="preserve">to support that patients </w:t>
      </w:r>
      <w:r w:rsidR="000A0410">
        <w:rPr>
          <w:iCs/>
        </w:rPr>
        <w:t>who</w:t>
      </w:r>
      <w:r w:rsidRPr="00CD4FAB">
        <w:rPr>
          <w:iCs/>
        </w:rPr>
        <w:t xml:space="preserve"> do not progress on treatment or within 6</w:t>
      </w:r>
      <w:r w:rsidR="00D9197C">
        <w:rPr>
          <w:iCs/>
        </w:rPr>
        <w:t> </w:t>
      </w:r>
      <w:r w:rsidRPr="00CD4FAB">
        <w:rPr>
          <w:iCs/>
        </w:rPr>
        <w:t xml:space="preserve">months of completing treatment will remain sensitive to future treatment with IO (Gonzalez et </w:t>
      </w:r>
      <w:r w:rsidRPr="00CD4FAB">
        <w:rPr>
          <w:iCs/>
        </w:rPr>
        <w:lastRenderedPageBreak/>
        <w:t>al., 2018; McGranahan et al., 2016)</w:t>
      </w:r>
      <w:r w:rsidRPr="00CD4FAB">
        <w:rPr>
          <w:rStyle w:val="FootnoteReference"/>
          <w:iCs/>
        </w:rPr>
        <w:footnoteReference w:id="5"/>
      </w:r>
      <w:r w:rsidRPr="00CD4FAB">
        <w:rPr>
          <w:iCs/>
          <w:vertAlign w:val="superscript"/>
        </w:rPr>
        <w:t>,</w:t>
      </w:r>
      <w:r w:rsidRPr="00CD4FAB">
        <w:rPr>
          <w:rStyle w:val="FootnoteReference"/>
          <w:iCs/>
        </w:rPr>
        <w:footnoteReference w:id="6"/>
      </w:r>
      <w:r w:rsidRPr="00CD4FAB">
        <w:rPr>
          <w:iCs/>
        </w:rPr>
        <w:t xml:space="preserve">. </w:t>
      </w:r>
      <w:r w:rsidRPr="00CD4FAB">
        <w:t>The Response noted that the evidence included in the submission primarily supported IO retreatment for patients who have stopped initial IO therapy for one of three reasons: 1) completion of course of therapy</w:t>
      </w:r>
      <w:r w:rsidR="0023714A" w:rsidRPr="00CD4FAB">
        <w:t>;</w:t>
      </w:r>
      <w:r w:rsidRPr="00CD4FAB">
        <w:t xml:space="preserve"> 2) cessation of treatment due to adverse events</w:t>
      </w:r>
      <w:r w:rsidR="0023714A" w:rsidRPr="00CD4FAB">
        <w:t>;</w:t>
      </w:r>
      <w:r w:rsidRPr="00CD4FAB">
        <w:t xml:space="preserve"> </w:t>
      </w:r>
      <w:r w:rsidR="002420B8" w:rsidRPr="00CD4FAB">
        <w:t>or</w:t>
      </w:r>
      <w:r w:rsidRPr="00CD4FAB">
        <w:t xml:space="preserve"> 3) a personal decision to stop treatment.</w:t>
      </w:r>
      <w:r w:rsidRPr="00CD4FAB">
        <w:rPr>
          <w:iCs/>
        </w:rPr>
        <w:t xml:space="preserve"> The </w:t>
      </w:r>
      <w:r w:rsidR="002755F0" w:rsidRPr="00CD4FAB">
        <w:rPr>
          <w:iCs/>
        </w:rPr>
        <w:t>Response</w:t>
      </w:r>
      <w:r w:rsidRPr="00CD4FAB">
        <w:rPr>
          <w:iCs/>
        </w:rPr>
        <w:t xml:space="preserve"> therefore</w:t>
      </w:r>
      <w:r w:rsidR="007D422B" w:rsidRPr="00CD4FAB">
        <w:rPr>
          <w:iCs/>
        </w:rPr>
        <w:t xml:space="preserve"> </w:t>
      </w:r>
      <w:r w:rsidR="007D422B" w:rsidRPr="00CD4FAB">
        <w:t>proposed flow-on changes to IO listings in the metastatic setting for Option A restricting retreatment to patients who had not experienced disease progression while receiving or within 6 months of receiving neoadjuvant treatment</w:t>
      </w:r>
      <w:r w:rsidR="002420B8" w:rsidRPr="00CD4FAB">
        <w:t xml:space="preserve"> (see paragraph </w:t>
      </w:r>
      <w:r w:rsidR="002420B8" w:rsidRPr="00CD4FAB">
        <w:fldChar w:fldCharType="begin" w:fldLock="1"/>
      </w:r>
      <w:r w:rsidR="002420B8" w:rsidRPr="00CD4FAB">
        <w:instrText xml:space="preserve"> REF _Ref163743559 \r \h </w:instrText>
      </w:r>
      <w:r w:rsidR="002420B8" w:rsidRPr="00CD4FAB">
        <w:fldChar w:fldCharType="separate"/>
      </w:r>
      <w:r w:rsidR="00885DA7">
        <w:t>3.5</w:t>
      </w:r>
      <w:r w:rsidR="002420B8" w:rsidRPr="00CD4FAB">
        <w:fldChar w:fldCharType="end"/>
      </w:r>
      <w:r w:rsidR="002420B8" w:rsidRPr="00CD4FAB">
        <w:t>)</w:t>
      </w:r>
      <w:r w:rsidR="007D422B" w:rsidRPr="00CD4FAB">
        <w:t xml:space="preserve">. </w:t>
      </w:r>
      <w:r w:rsidR="000923D5" w:rsidRPr="00CD4FAB">
        <w:t xml:space="preserve">The Response considered the proposed changes to the restriction wording </w:t>
      </w:r>
      <w:r w:rsidR="002420B8" w:rsidRPr="00CD4FAB">
        <w:t>in the metastatic setting would</w:t>
      </w:r>
      <w:r w:rsidR="000923D5" w:rsidRPr="00CD4FAB">
        <w:t xml:space="preserve"> support the use of IO retreatment in patient groups likely to achieve the best possible clinical outcomes.</w:t>
      </w:r>
    </w:p>
    <w:p w14:paraId="25C7C2B2" w14:textId="043D5978" w:rsidR="00544356" w:rsidRPr="00CD4FAB" w:rsidRDefault="005B7D0D" w:rsidP="00D221AB">
      <w:pPr>
        <w:pStyle w:val="Caption"/>
        <w:keepNext w:val="0"/>
        <w:keepLines w:val="0"/>
      </w:pPr>
      <w:bookmarkStart w:id="25" w:name="_Ref156553565"/>
      <w:bookmarkEnd w:id="23"/>
      <w:r w:rsidRPr="00CD4FAB">
        <w:t xml:space="preserve">Table </w:t>
      </w:r>
      <w:fldSimple w:instr=" SEQ Table \* ARABIC " w:fldLock="1">
        <w:r w:rsidR="00885DA7">
          <w:rPr>
            <w:noProof/>
          </w:rPr>
          <w:t>3</w:t>
        </w:r>
      </w:fldSimple>
      <w:bookmarkEnd w:id="25"/>
      <w:r w:rsidRPr="00CD4FAB">
        <w:t xml:space="preserve">: </w:t>
      </w:r>
      <w:r w:rsidR="00544356" w:rsidRPr="00CD4FAB">
        <w:t xml:space="preserve">Summary table of cited evidence for immunotherapy retreatment </w:t>
      </w:r>
      <w:r w:rsidR="004C6785" w:rsidRPr="00CD4FAB">
        <w:t>or</w:t>
      </w:r>
      <w:r w:rsidR="00544356" w:rsidRPr="00CD4FAB">
        <w:t xml:space="preserve"> rechallenge in NSCLC</w:t>
      </w:r>
      <w:bookmarkEnd w:id="24"/>
    </w:p>
    <w:tbl>
      <w:tblPr>
        <w:tblStyle w:val="TableGrid"/>
        <w:tblW w:w="9136" w:type="dxa"/>
        <w:tblLook w:val="04A0" w:firstRow="1" w:lastRow="0" w:firstColumn="1" w:lastColumn="0" w:noHBand="0" w:noVBand="1"/>
        <w:tblCaption w:val="Table 3: Summary table of cited evidence for immunotherapy retreatment or rechallenge in NSCLC"/>
      </w:tblPr>
      <w:tblGrid>
        <w:gridCol w:w="1110"/>
        <w:gridCol w:w="1100"/>
        <w:gridCol w:w="718"/>
        <w:gridCol w:w="1219"/>
        <w:gridCol w:w="4989"/>
      </w:tblGrid>
      <w:tr w:rsidR="006A704D" w:rsidRPr="00CD4FAB" w14:paraId="3D5C39FC" w14:textId="77777777" w:rsidTr="00F5399D">
        <w:trPr>
          <w:tblHeader/>
        </w:trPr>
        <w:tc>
          <w:tcPr>
            <w:tcW w:w="1110" w:type="dxa"/>
            <w:shd w:val="clear" w:color="auto" w:fill="auto"/>
          </w:tcPr>
          <w:p w14:paraId="7B84FDA7" w14:textId="77777777" w:rsidR="00544356" w:rsidRPr="00CD4FAB" w:rsidRDefault="00544356" w:rsidP="00D221AB">
            <w:pPr>
              <w:pStyle w:val="TableText0"/>
              <w:keepNext w:val="0"/>
              <w:rPr>
                <w:b/>
                <w:bCs w:val="0"/>
              </w:rPr>
            </w:pPr>
            <w:r w:rsidRPr="00CD4FAB">
              <w:rPr>
                <w:b/>
                <w:bCs w:val="0"/>
              </w:rPr>
              <w:t>Author</w:t>
            </w:r>
          </w:p>
        </w:tc>
        <w:tc>
          <w:tcPr>
            <w:tcW w:w="1100" w:type="dxa"/>
            <w:shd w:val="clear" w:color="auto" w:fill="auto"/>
          </w:tcPr>
          <w:p w14:paraId="3803EB73" w14:textId="77777777" w:rsidR="00544356" w:rsidRPr="00CD4FAB" w:rsidRDefault="00544356" w:rsidP="00D221AB">
            <w:pPr>
              <w:pStyle w:val="TableText0"/>
              <w:keepNext w:val="0"/>
              <w:rPr>
                <w:b/>
                <w:bCs w:val="0"/>
              </w:rPr>
            </w:pPr>
            <w:r w:rsidRPr="00CD4FAB">
              <w:rPr>
                <w:b/>
                <w:bCs w:val="0"/>
              </w:rPr>
              <w:t>Publication</w:t>
            </w:r>
          </w:p>
        </w:tc>
        <w:tc>
          <w:tcPr>
            <w:tcW w:w="718" w:type="dxa"/>
            <w:shd w:val="clear" w:color="auto" w:fill="auto"/>
          </w:tcPr>
          <w:p w14:paraId="096C7751" w14:textId="77777777" w:rsidR="00544356" w:rsidRPr="00CD4FAB" w:rsidRDefault="00544356" w:rsidP="00D221AB">
            <w:pPr>
              <w:pStyle w:val="TableText0"/>
              <w:keepNext w:val="0"/>
              <w:rPr>
                <w:b/>
                <w:bCs w:val="0"/>
              </w:rPr>
            </w:pPr>
            <w:r w:rsidRPr="00CD4FAB">
              <w:rPr>
                <w:b/>
                <w:bCs w:val="0"/>
              </w:rPr>
              <w:t>N</w:t>
            </w:r>
          </w:p>
        </w:tc>
        <w:tc>
          <w:tcPr>
            <w:tcW w:w="1219" w:type="dxa"/>
            <w:shd w:val="clear" w:color="auto" w:fill="auto"/>
          </w:tcPr>
          <w:p w14:paraId="212A1E6B" w14:textId="77777777" w:rsidR="00544356" w:rsidRPr="00CD4FAB" w:rsidRDefault="00544356" w:rsidP="00D221AB">
            <w:pPr>
              <w:pStyle w:val="TableText0"/>
              <w:keepNext w:val="0"/>
              <w:rPr>
                <w:b/>
                <w:bCs w:val="0"/>
              </w:rPr>
            </w:pPr>
            <w:r w:rsidRPr="00CD4FAB">
              <w:rPr>
                <w:b/>
                <w:bCs w:val="0"/>
              </w:rPr>
              <w:t>Study</w:t>
            </w:r>
          </w:p>
        </w:tc>
        <w:tc>
          <w:tcPr>
            <w:tcW w:w="4989" w:type="dxa"/>
            <w:shd w:val="clear" w:color="auto" w:fill="auto"/>
          </w:tcPr>
          <w:p w14:paraId="67DDA6FE" w14:textId="77777777" w:rsidR="00544356" w:rsidRPr="00CD4FAB" w:rsidRDefault="00544356" w:rsidP="00D221AB">
            <w:pPr>
              <w:pStyle w:val="TableText0"/>
              <w:keepNext w:val="0"/>
              <w:rPr>
                <w:b/>
                <w:bCs w:val="0"/>
              </w:rPr>
            </w:pPr>
            <w:r w:rsidRPr="00CD4FAB">
              <w:rPr>
                <w:b/>
                <w:bCs w:val="0"/>
              </w:rPr>
              <w:t>Data Summary</w:t>
            </w:r>
          </w:p>
        </w:tc>
      </w:tr>
      <w:tr w:rsidR="00544356" w:rsidRPr="00CD4FAB" w14:paraId="04C10730" w14:textId="77777777" w:rsidTr="00F5399D">
        <w:tc>
          <w:tcPr>
            <w:tcW w:w="1110" w:type="dxa"/>
            <w:shd w:val="clear" w:color="auto" w:fill="auto"/>
          </w:tcPr>
          <w:p w14:paraId="66231A4D" w14:textId="77777777" w:rsidR="00544356" w:rsidRPr="00CD4FAB" w:rsidRDefault="00544356" w:rsidP="00D221AB">
            <w:pPr>
              <w:pStyle w:val="TableText0"/>
              <w:keepNext w:val="0"/>
            </w:pPr>
            <w:r w:rsidRPr="00CD4FAB">
              <w:t xml:space="preserve">Bozorgmehr et al </w:t>
            </w:r>
            <w:r w:rsidRPr="00CD4FAB">
              <w:fldChar w:fldCharType="begin" w:fldLock="1"/>
            </w:r>
            <w:r w:rsidRPr="00CD4FAB">
              <w:instrText>ADDIN CSL_CITATION {"citationItems":[{"id":"ITEM-1","itemData":{"DOI":"10.1016/j.lungcan.2023.107340","ISSN":"18728332","PMID":"37657237","abstract":"Over the last years, the emergence of immune checkpoint inhibitors (ICI) has revolutionized the treatment of non-small cell lung cancer (NSCLC). Patients in a palliative setting with previously very poor prognosis may now show remarkable responses over years. Yet, ICI therapy is very cost-intensive and involves frequent contacts with healthcare resources. Some of the early trial protocols restricted ICI treatment duration to two years. Now follow-up data of these studies is available and reveal the possibility of a persistent response after two or more years without further treatment for patients having successfully completed two years of therapy. May we now dare to think (and speak) of cure in the palliative setting? Does it mean we can stop ICI therapy after an initial two-year treatment? In this review, we try to improve confidence in clinical decision-making for this patient group. To this end, trials with a restricted treatment duration of two years and other data considering potential ICI discontinuation in responding patients were evaluated. Up to 25% of patients successfully complete an initial two-year course of ICI. Within this group about 40–46% of patients are alive at five years without further treatment with five-year survival rates of up to 83%. Data on ICI rechallenge are scarce, yet it does not seem to provide the same level of efficacy as at first exposure. At present there are no established biomarkers to help with decision-making. Possible future (bio-)markers, such as PD-L1, mutations, circulating tumor DNA (ctDNA) or Positron emission tomography (PET) need to be evaluated further in a prospective setting. In conclusion, we propose that the concept of discontinuing ICI therapy in patients with tumor response has to be seriously taken into consideration as it may be of benefit to our patients and health care systems.","author":[{"dropping-particle":"","family":"Bozorgmehr","given":"Farastuk","non-dropping-particle":"","parse-names":false,"suffix":""},{"dropping-particle":"","family":"Müller","given":"Annette","non-dropping-particle":"","parse-names":false,"suffix":""},{"dropping-particle":"","family":"Rawluk","given":"Justyna","non-dropping-particle":"","parse-names":false,"suffix":""},{"dropping-particle":"","family":"Sianidou","given":"Maria","non-dropping-particle":"","parse-names":false,"suffix":""},{"dropping-particle":"","family":"Chung","given":"Inn","non-dropping-particle":"","parse-names":false,"suffix":""},{"dropping-particle":"","family":"Kropf-Sanchen","given":"Cornelia","non-dropping-particle":"","parse-names":false,"suffix":""}],"container-title":"Lung Cancer","id":"ITEM-1","issued":{"date-parts":[["2023","10","1"]]},"publisher":"Elsevier Ireland Ltd","title":"Immune checkpoint inhibitors in non-small cell lung cancer – When should we dare to stop treatment?","type":"article","volume":"184"},"suppress-author":1,"uris":["http://www.mendeley.com/documents/?uuid=dcac3df4-11cd-321e-a328-3a4d6e5bd77e"]}],"mendeley":{"formattedCitation":"(2023)","plainTextFormattedCitation":"(2023)","previouslyFormattedCitation":"(2023)"},"properties":{"noteIndex":0},"schema":"https://github.com/citation-style-language/schema/raw/master/csl-citation.json"}</w:instrText>
            </w:r>
            <w:r w:rsidRPr="00CD4FAB">
              <w:fldChar w:fldCharType="separate"/>
            </w:r>
            <w:r w:rsidRPr="00CD4FAB">
              <w:t>(2023)</w:t>
            </w:r>
            <w:r w:rsidRPr="00CD4FAB">
              <w:fldChar w:fldCharType="end"/>
            </w:r>
          </w:p>
        </w:tc>
        <w:tc>
          <w:tcPr>
            <w:tcW w:w="1100" w:type="dxa"/>
            <w:shd w:val="clear" w:color="auto" w:fill="auto"/>
          </w:tcPr>
          <w:p w14:paraId="6BB4DDC0" w14:textId="77777777" w:rsidR="00544356" w:rsidRPr="00CD4FAB" w:rsidRDefault="00544356" w:rsidP="00D221AB">
            <w:pPr>
              <w:pStyle w:val="TableText0"/>
              <w:keepNext w:val="0"/>
            </w:pPr>
            <w:r w:rsidRPr="00CD4FAB">
              <w:t>Review</w:t>
            </w:r>
          </w:p>
        </w:tc>
        <w:tc>
          <w:tcPr>
            <w:tcW w:w="718" w:type="dxa"/>
            <w:shd w:val="clear" w:color="auto" w:fill="auto"/>
          </w:tcPr>
          <w:p w14:paraId="14AC1087" w14:textId="77777777" w:rsidR="00544356" w:rsidRPr="00CD4FAB" w:rsidRDefault="00544356" w:rsidP="00D221AB">
            <w:pPr>
              <w:pStyle w:val="TableText0"/>
              <w:keepNext w:val="0"/>
            </w:pPr>
            <w:r w:rsidRPr="00CD4FAB">
              <w:t>-</w:t>
            </w:r>
          </w:p>
        </w:tc>
        <w:tc>
          <w:tcPr>
            <w:tcW w:w="1219" w:type="dxa"/>
            <w:shd w:val="clear" w:color="auto" w:fill="auto"/>
          </w:tcPr>
          <w:p w14:paraId="2802D599" w14:textId="77777777" w:rsidR="00544356" w:rsidRPr="00CD4FAB" w:rsidRDefault="00544356" w:rsidP="00D221AB">
            <w:pPr>
              <w:pStyle w:val="TableText0"/>
              <w:keepNext w:val="0"/>
            </w:pPr>
            <w:r w:rsidRPr="00CD4FAB">
              <w:t>Summary of 17 studies</w:t>
            </w:r>
          </w:p>
        </w:tc>
        <w:tc>
          <w:tcPr>
            <w:tcW w:w="4989" w:type="dxa"/>
            <w:shd w:val="clear" w:color="auto" w:fill="auto"/>
          </w:tcPr>
          <w:p w14:paraId="0FC91E29" w14:textId="034AE348" w:rsidR="00544356" w:rsidRPr="00CD4FAB" w:rsidRDefault="00544356" w:rsidP="00D221AB">
            <w:pPr>
              <w:pStyle w:val="TableText0"/>
              <w:keepNext w:val="0"/>
            </w:pPr>
            <w:r w:rsidRPr="00CD4FAB">
              <w:t xml:space="preserve">Trials with a restricted treatment duration of 2 years were summarised with </w:t>
            </w:r>
            <w:r w:rsidR="003E2364" w:rsidRPr="00CD4FAB">
              <w:t xml:space="preserve">a </w:t>
            </w:r>
            <w:r w:rsidRPr="00CD4FAB">
              <w:t xml:space="preserve">focus on those who completed 2 years </w:t>
            </w:r>
            <w:r w:rsidR="003E2364" w:rsidRPr="00CD4FAB">
              <w:t xml:space="preserve">with </w:t>
            </w:r>
            <w:r w:rsidRPr="00CD4FAB">
              <w:t>either pembro or nivo (+/- chemo), then were rechallenged after progression. Up to 25% patients successfully completed 2 years</w:t>
            </w:r>
            <w:r w:rsidR="00E349DD" w:rsidRPr="00CD4FAB">
              <w:t xml:space="preserve"> of initial IO therapy</w:t>
            </w:r>
            <w:r w:rsidRPr="00CD4FAB">
              <w:t>.</w:t>
            </w:r>
          </w:p>
          <w:p w14:paraId="3196BAA0" w14:textId="3B9C64E9" w:rsidR="00544356" w:rsidRPr="00CD4FAB" w:rsidRDefault="00544356" w:rsidP="00D221AB">
            <w:pPr>
              <w:pStyle w:val="TableText0"/>
              <w:keepNext w:val="0"/>
            </w:pPr>
            <w:r w:rsidRPr="00CD4FAB">
              <w:t xml:space="preserve">KN010: 79 patients completed 2 years of pembro. 21/79 received </w:t>
            </w:r>
            <w:r w:rsidR="009A2456" w:rsidRPr="00CD4FAB">
              <w:t xml:space="preserve">a </w:t>
            </w:r>
            <w:r w:rsidRPr="00CD4FAB">
              <w:t>second course</w:t>
            </w:r>
            <w:r w:rsidR="003E2364" w:rsidRPr="00CD4FAB">
              <w:t xml:space="preserve"> of</w:t>
            </w:r>
            <w:r w:rsidRPr="00CD4FAB">
              <w:t xml:space="preserve"> pembro, DCR 81% (1 achieving CR, 10 receiving PR, 6 with SD).</w:t>
            </w:r>
          </w:p>
          <w:p w14:paraId="7E825AA5" w14:textId="7C6F24A8" w:rsidR="00544356" w:rsidRPr="00CD4FAB" w:rsidRDefault="00544356" w:rsidP="00D221AB">
            <w:pPr>
              <w:pStyle w:val="TableText0"/>
              <w:keepNext w:val="0"/>
            </w:pPr>
            <w:r w:rsidRPr="00CD4FAB">
              <w:t>KN024: 39 patients completed 2 years</w:t>
            </w:r>
            <w:r w:rsidR="009A2456" w:rsidRPr="00CD4FAB">
              <w:t xml:space="preserve"> of</w:t>
            </w:r>
            <w:r w:rsidRPr="00CD4FAB">
              <w:t xml:space="preserve"> pembro. 12 patients received </w:t>
            </w:r>
            <w:r w:rsidR="009A2456" w:rsidRPr="00CD4FAB">
              <w:t xml:space="preserve">a </w:t>
            </w:r>
            <w:r w:rsidRPr="00CD4FAB">
              <w:t xml:space="preserve">second course </w:t>
            </w:r>
            <w:r w:rsidR="009A2456" w:rsidRPr="00CD4FAB">
              <w:t xml:space="preserve">of </w:t>
            </w:r>
            <w:r w:rsidRPr="00CD4FAB">
              <w:t xml:space="preserve">pembro. DCR 83.3% (4 PRs and 6 SDs). </w:t>
            </w:r>
          </w:p>
          <w:p w14:paraId="69DC79EE" w14:textId="0E91B51A" w:rsidR="00544356" w:rsidRPr="00CD4FAB" w:rsidRDefault="00544356" w:rsidP="00D221AB">
            <w:pPr>
              <w:pStyle w:val="TableText0"/>
              <w:keepNext w:val="0"/>
            </w:pPr>
            <w:r w:rsidRPr="00CD4FAB">
              <w:t xml:space="preserve">KN042: 33 patients received </w:t>
            </w:r>
            <w:r w:rsidR="009A2456" w:rsidRPr="00CD4FAB">
              <w:t xml:space="preserve">a </w:t>
            </w:r>
            <w:r w:rsidRPr="00CD4FAB">
              <w:t xml:space="preserve">second course </w:t>
            </w:r>
            <w:r w:rsidR="009A2456" w:rsidRPr="00CD4FAB">
              <w:t xml:space="preserve">of </w:t>
            </w:r>
            <w:r w:rsidRPr="00CD4FAB">
              <w:t xml:space="preserve">pembro. DCR 76.0% (5 PRs and 20 SDs). </w:t>
            </w:r>
          </w:p>
          <w:p w14:paraId="4A3E8164" w14:textId="125E9171" w:rsidR="00544356" w:rsidRPr="00CD4FAB" w:rsidRDefault="00544356" w:rsidP="00D221AB">
            <w:pPr>
              <w:pStyle w:val="TableText0"/>
              <w:keepNext w:val="0"/>
            </w:pPr>
            <w:r w:rsidRPr="00CD4FAB">
              <w:t>Bernard-Tessier 2018: PR for 2 patients and SD for 6</w:t>
            </w:r>
            <w:r w:rsidR="009A2456" w:rsidRPr="00CD4FAB">
              <w:t xml:space="preserve"> patients</w:t>
            </w:r>
            <w:r w:rsidRPr="00CD4FAB">
              <w:t xml:space="preserve"> after rechallenge.</w:t>
            </w:r>
          </w:p>
          <w:p w14:paraId="5AF6C2AD" w14:textId="6979AF2D" w:rsidR="00544356" w:rsidRPr="00CD4FAB" w:rsidRDefault="00544356" w:rsidP="00D221AB">
            <w:pPr>
              <w:pStyle w:val="TableText0"/>
              <w:keepNext w:val="0"/>
            </w:pPr>
            <w:r w:rsidRPr="00CD4FAB">
              <w:t>Sheth et al: 168 patients completed 12 months</w:t>
            </w:r>
            <w:r w:rsidR="009A2456" w:rsidRPr="00CD4FAB">
              <w:t xml:space="preserve"> of</w:t>
            </w:r>
            <w:r w:rsidRPr="00CD4FAB">
              <w:t xml:space="preserve"> durva treatment (various solid tumours). 70 patients were rechallenged on progression. 21 NSCLC patients received a DCR of 52.4% (3 PRs, 14%). 70% overall experienced clinical benefit.</w:t>
            </w:r>
          </w:p>
          <w:p w14:paraId="47974F86" w14:textId="557743D7" w:rsidR="00544356" w:rsidRPr="00CD4FAB" w:rsidRDefault="00544356" w:rsidP="00D221AB">
            <w:pPr>
              <w:pStyle w:val="TableText0"/>
              <w:keepNext w:val="0"/>
            </w:pPr>
            <w:r w:rsidRPr="00CD4FAB">
              <w:t>Gobbini 2020: Retrospectively explored 144 NSCLC patients with ICI rechallenge, 16% ORR on second course, PFS was 5.1 or 6.5 months for patients discontinuing first ICI due to toxicity or clinical decision, reactively.</w:t>
            </w:r>
          </w:p>
          <w:p w14:paraId="12D29802" w14:textId="77777777" w:rsidR="00544356" w:rsidRPr="00CD4FAB" w:rsidRDefault="00544356" w:rsidP="00D221AB">
            <w:pPr>
              <w:pStyle w:val="TableText0"/>
              <w:keepNext w:val="0"/>
            </w:pPr>
            <w:r w:rsidRPr="00CD4FAB">
              <w:t>Levra et al: 10,452 nivolumab treated patients from a national database were identified. 1,517 had received a second course of ICI. The outcome was significantly better in patients with a long initial nivo duration of treatment.</w:t>
            </w:r>
          </w:p>
          <w:p w14:paraId="341E2D6A" w14:textId="3412FD15" w:rsidR="00544356" w:rsidRPr="00CD4FAB" w:rsidRDefault="00544356" w:rsidP="00D221AB">
            <w:pPr>
              <w:pStyle w:val="TableText0"/>
              <w:keepNext w:val="0"/>
            </w:pPr>
            <w:r w:rsidRPr="00CD4FAB">
              <w:t xml:space="preserve">DICIPLE: first trial to systematically evaluate ICI resumption after treatment discontinuation. 6 months </w:t>
            </w:r>
            <w:r w:rsidR="009A2456" w:rsidRPr="00CD4FAB">
              <w:t xml:space="preserve">of </w:t>
            </w:r>
            <w:r w:rsidRPr="00CD4FAB">
              <w:t xml:space="preserve">NIVO+Ipi followed by ICI resumption in case of progression (stop and go) was compared to continuous NIVO+Ipi. Lower PFS in the continuation group compared with stop and go (20.8 vs 35.2 months) although not statistically significant due to small </w:t>
            </w:r>
            <w:r w:rsidR="009A2456" w:rsidRPr="00CD4FAB">
              <w:t xml:space="preserve">patient </w:t>
            </w:r>
            <w:r w:rsidRPr="00CD4FAB">
              <w:t>numbers (n=32).</w:t>
            </w:r>
          </w:p>
        </w:tc>
      </w:tr>
      <w:tr w:rsidR="00544356" w:rsidRPr="00CD4FAB" w14:paraId="564D9A1C" w14:textId="77777777" w:rsidTr="00F5399D">
        <w:tc>
          <w:tcPr>
            <w:tcW w:w="1110" w:type="dxa"/>
            <w:shd w:val="clear" w:color="auto" w:fill="auto"/>
          </w:tcPr>
          <w:p w14:paraId="7C3D8171" w14:textId="77777777" w:rsidR="00544356" w:rsidRPr="00CD4FAB" w:rsidRDefault="00544356" w:rsidP="00D9197C">
            <w:pPr>
              <w:pStyle w:val="TableText0"/>
              <w:keepNext w:val="0"/>
            </w:pPr>
            <w:r w:rsidRPr="00CD4FAB">
              <w:lastRenderedPageBreak/>
              <w:t xml:space="preserve">Cai et al </w:t>
            </w:r>
            <w:r w:rsidRPr="00CD4FAB">
              <w:fldChar w:fldCharType="begin" w:fldLock="1"/>
            </w:r>
            <w:r w:rsidRPr="00CD4FAB">
              <w:instrText>ADDIN CSL_CITATION {"citationItems":[{"id":"ITEM-1","itemData":{"DOI":"10.21037/tlcr-22-140","ISSN":"22264477","abstract":"Background: Retreatment with immune checkpoint inhibitors (ICIs) might be a subsequent therapeutic option for patients with non-small cell lung cancer (NSCLC) who discontinued initial ICIs treatment because of disease progression, immune-related adverse events (irAEs) or completion of a fixed course, yet little evidence exists on the safety and efficacy of ICIs retreatment to support this strategy. Methods: We searched PubMed, Web of Science, Embase, Cochrane and major meeting libraries for articles about ICIs retreatment in NSCLC for systematic review and meta-analysis. The outcomes included objective response rate (ORR) and disease control rate (DCR) for efficacy and the incidence of all-grade and high-grade irAEs for safety. ICIs rechallenge implies retreatment that can be applied to patients who progressed, while ICIs resumption refers to retreatment for patients who discontinued prior treatment due to an irAE or completion of a fixed course of immunotherapy. Results: Eighteen studies were enrolled in our analysis. The pooled ORR and DCR of ICIs retreatment were respectively 20% and 54%. ICIs retreatment was associated with a decrease in ORR and DCR compared to prior ICIs treatment (ORR: OR, 0.29, 95% CI: 0.14, 0.63, P=0.002; DCR: OR, 0.53, 95% CI: 0.28-0.99, P=0.05). The pooled ORR and DCR of ICIs rechallenge were 8% and 39%. ICIs rechallenge showed a lower ORR compared with initial ICIs treatment (P&lt;0.05). ICIs resumption presented an ORR of 34% and a DCR of 71%, showing no significant difference in ORR and DCR compared with initial ICIs treatment (P&gt;0.05). Retreated with the same type of ICIs as before showed no difference in ORR and DCR (P&gt;0.05), while with different ICIs was associated with a decrease in ORR and DCR in contrast to initial treatment (P&lt;0.05). The pooled incidence of all-grade and high-grade irAEs after ICIs retreatment in patients with NSCLC were separately 41% and 13% which showed a similar incidence compared with initial ICIs treatment (P&gt;0.05). Discussion: Retreatment with ICIs is feasible for patients with NSCLC in consideration of its encouraging efficacy and tolerable safety, especially in resumption with ICIs. When it comes to ICIs rechallenge, it is necessary to accurately identify the potential targeted beneficiary population. More large-scale prospective studies are warranted to confirm our discoveries. More attention could be paid to further exploring the efficacy and safety of retreatment concurrently with ICIs and c…","author":[{"dropping-particle":"","family":"Cai","given":"Zijing","non-dropping-particle":"","parse-names":false,"suffix":""},{"dropping-particle":"","family":"Zhan","given":"Ping","non-dropping-particle":"","parse-names":false,"suffix":""},{"dropping-particle":"","family":"Song","given":"Yong","non-dropping-particle":"","parse-names":false,"suffix":""},{"dropping-particle":"","family":"Liu","given":"Hongbing","non-dropping-particle":"","parse-names":false,"suffix":""},{"dropping-particle":"","family":"Lv","given":"Tangfeng","non-dropping-particle":"","parse-names":false,"suffix":""}],"container-title":"Translational Lung Cancer Research","id":"ITEM-1","issue":"8","issued":{"date-parts":[["2022","8","1"]]},"page":"1555-1566","publisher":"AME Publishing Company","title":"Safety and efficacy of retreatment with immune checkpoint inhibitors in non-small cell lung cancer: a systematic review and meta-analysis","type":"article","volume":"11"},"suppress-author":1,"uris":["http://www.mendeley.com/documents/?uuid=7fa38ab6-60b9-3ed5-a670-5eda4a2c0963"]}],"mendeley":{"formattedCitation":"(2022)","plainTextFormattedCitation":"(2022)","previouslyFormattedCitation":"(2022)"},"properties":{"noteIndex":0},"schema":"https://github.com/citation-style-language/schema/raw/master/csl-citation.json"}</w:instrText>
            </w:r>
            <w:r w:rsidRPr="00CD4FAB">
              <w:fldChar w:fldCharType="separate"/>
            </w:r>
            <w:r w:rsidRPr="00CD4FAB">
              <w:t>(2022)</w:t>
            </w:r>
            <w:r w:rsidRPr="00CD4FAB">
              <w:fldChar w:fldCharType="end"/>
            </w:r>
          </w:p>
        </w:tc>
        <w:tc>
          <w:tcPr>
            <w:tcW w:w="1100" w:type="dxa"/>
            <w:shd w:val="clear" w:color="auto" w:fill="auto"/>
          </w:tcPr>
          <w:p w14:paraId="5E9BD76A" w14:textId="77777777" w:rsidR="00544356" w:rsidRPr="00CD4FAB" w:rsidRDefault="00544356" w:rsidP="00D9197C">
            <w:pPr>
              <w:pStyle w:val="TableText0"/>
              <w:keepNext w:val="0"/>
            </w:pPr>
            <w:r w:rsidRPr="00CD4FAB">
              <w:t>Article</w:t>
            </w:r>
          </w:p>
        </w:tc>
        <w:tc>
          <w:tcPr>
            <w:tcW w:w="718" w:type="dxa"/>
            <w:shd w:val="clear" w:color="auto" w:fill="auto"/>
          </w:tcPr>
          <w:p w14:paraId="1BA3F805" w14:textId="77777777" w:rsidR="00544356" w:rsidRPr="00CD4FAB" w:rsidRDefault="00544356" w:rsidP="00D9197C">
            <w:pPr>
              <w:pStyle w:val="TableText0"/>
              <w:keepNext w:val="0"/>
            </w:pPr>
            <w:r w:rsidRPr="00CD4FAB">
              <w:t>-</w:t>
            </w:r>
          </w:p>
        </w:tc>
        <w:tc>
          <w:tcPr>
            <w:tcW w:w="1219" w:type="dxa"/>
            <w:shd w:val="clear" w:color="auto" w:fill="auto"/>
          </w:tcPr>
          <w:p w14:paraId="7C6E8A9D" w14:textId="77777777" w:rsidR="00544356" w:rsidRPr="00CD4FAB" w:rsidRDefault="00544356" w:rsidP="00D9197C">
            <w:pPr>
              <w:pStyle w:val="TableText0"/>
              <w:keepNext w:val="0"/>
            </w:pPr>
            <w:r w:rsidRPr="00CD4FAB">
              <w:t>Meta-analysis</w:t>
            </w:r>
          </w:p>
        </w:tc>
        <w:tc>
          <w:tcPr>
            <w:tcW w:w="4989" w:type="dxa"/>
            <w:shd w:val="clear" w:color="auto" w:fill="auto"/>
          </w:tcPr>
          <w:p w14:paraId="37C8AF15" w14:textId="370C322C" w:rsidR="00544356" w:rsidRPr="00CD4FAB" w:rsidRDefault="00544356" w:rsidP="00D9197C">
            <w:pPr>
              <w:pStyle w:val="TableText0"/>
              <w:keepNext w:val="0"/>
            </w:pPr>
            <w:r w:rsidRPr="00CD4FAB">
              <w:t>18 studies were enrolled. The pooled ORR and DCR of ICI retreatment were 20% and 54%</w:t>
            </w:r>
            <w:r w:rsidR="00803FF2" w:rsidRPr="00CD4FAB">
              <w:t>, respectively</w:t>
            </w:r>
            <w:r w:rsidRPr="00CD4FAB">
              <w:t xml:space="preserve">. The pooled ORR and DCR of ICIs rechallenge (classified as retreatment upon progression) </w:t>
            </w:r>
            <w:r w:rsidR="00735734" w:rsidRPr="00CD4FAB">
              <w:t xml:space="preserve">were </w:t>
            </w:r>
            <w:r w:rsidRPr="00CD4FAB">
              <w:t>8% and 39%</w:t>
            </w:r>
            <w:r w:rsidR="00735734" w:rsidRPr="00CD4FAB">
              <w:t>, respectively</w:t>
            </w:r>
            <w:r w:rsidRPr="00CD4FAB">
              <w:t xml:space="preserve">. ICIs resumption presented an ORR of 34% and a DCR of 71%. </w:t>
            </w:r>
          </w:p>
          <w:p w14:paraId="28F190D2" w14:textId="69ED8F75" w:rsidR="00544356" w:rsidRPr="00CD4FAB" w:rsidRDefault="00DE7CDF" w:rsidP="00D9197C">
            <w:pPr>
              <w:pStyle w:val="TableText0"/>
              <w:keepNext w:val="0"/>
            </w:pPr>
            <w:r w:rsidRPr="00CD4FAB">
              <w:t>The meta-analysis suggested r</w:t>
            </w:r>
            <w:r w:rsidR="00544356" w:rsidRPr="00CD4FAB">
              <w:t>etreatment with ICIs is feasible for patients with NSCLC in consideration of encouraging efficacy and safety, especially in resumption with ICIs (patients who discontinued prior treatment due to irAE or completion of a fixed dose of ICI).</w:t>
            </w:r>
          </w:p>
        </w:tc>
      </w:tr>
      <w:tr w:rsidR="00544356" w:rsidRPr="00CD4FAB" w14:paraId="17E65CAF" w14:textId="77777777" w:rsidTr="00F5399D">
        <w:tc>
          <w:tcPr>
            <w:tcW w:w="1110" w:type="dxa"/>
            <w:shd w:val="clear" w:color="auto" w:fill="auto"/>
          </w:tcPr>
          <w:p w14:paraId="76A0C394" w14:textId="77777777" w:rsidR="00544356" w:rsidRPr="00CD4FAB" w:rsidRDefault="00544356" w:rsidP="00D221AB">
            <w:pPr>
              <w:pStyle w:val="TableText0"/>
              <w:keepNext w:val="0"/>
            </w:pPr>
            <w:r w:rsidRPr="00CD4FAB">
              <w:t xml:space="preserve">Giaj Levra et al </w:t>
            </w:r>
            <w:r w:rsidRPr="00CD4FAB">
              <w:fldChar w:fldCharType="begin" w:fldLock="1"/>
            </w:r>
            <w:r w:rsidRPr="00CD4FAB">
              <w:instrText>ADDIN CSL_CITATION {"citationItems":[{"id":"ITEM-1","itemData":{"DOI":"10.1016/j.lungcan.2019.12.017","ISSN":"18728332","PMID":"31911324","abstract":"Objectives: Nivolumab is now a reference treatment for patients with advanced non-small cell lung cancer (NSCLC) after failure of prior platinum-based chemotherapy. Little data are available on treatment approaches following discontinuation of nivolumab and on the interest of a second course of immunotherapy after nivolumab discontinuation. The aims of this study were to describe treatment pathways following nivolumab discontinuation and to describe survival following retreatment with immunotherapy. Materials and methods: The analysis includes all patients with NSCLC recorded in a national hospital database, starting nivolumab in 2015-2016. Nivolumab treatment was considered discontinued if ≥3 infusions were missed. Patients starting a second course of PD-1 inhibitor following nivolumab discontinuation were analysed according to the duration of their initial nivolumab treatment course. Results: 10,452 patients were included (71 % men; mean age: 63.8 ± 9.6 years; squamous histology: 44 %). Median nivolumab treatment duration was 2.8 months [IQR :1.4–6.9]. Median OS was 11.5 months [95 %CI: 11.1–11.9]; 5118 (53.4 %) patients received post nivolumab therapy lines: 1517 (29.6 %) of these received a second course of PD-1 inhibitor, either after a treatment-free interval (resumption: n = 1127) or after intervening chemotherapy (rechallenge: n = 390). Median OS after nivolumab discontinuation was 15.0 months [13.9–16.7] in the resumption group and 18.4 months [14.8–21.9] in the rechallenge group. Median OS was significantly longer in patients with an initial nivolumab treatment duration ≥3 months. Conclusion: In this real-world setting, outcome after retreatment with a PD-1 inhibitor following a first course of nivolumab was significantly better in patients with a longer duration of initial nivolumab treatment.","author":[{"dropping-particle":"","family":"Giaj Levra","given":"Matteo","non-dropping-particle":"","parse-names":false,"suffix":""},{"dropping-particle":"","family":"Cotté","given":"François Emery","non-dropping-particle":"","parse-names":false,"suffix":""},{"dropping-particle":"","family":"Corre","given":"Romain","non-dropping-particle":"","parse-names":false,"suffix":""},{"dropping-particle":"","family":"Calvet","given":"Christophe","non-dropping-particle":"","parse-names":false,"suffix":""},{"dropping-particle":"","family":"Gaudin","given":"Anne Françoise","non-dropping-particle":"","parse-names":false,"suffix":""},{"dropping-particle":"","family":"Penrod","given":"John R.","non-dropping-particle":"","parse-names":false,"suffix":""},{"dropping-particle":"","family":"Grumberg","given":"Valentine","non-dropping-particle":"","parse-names":false,"suffix":""},{"dropping-particle":"","family":"Jouaneton","given":"Baptiste","non-dropping-particle":"","parse-names":false,"suffix":""},{"dropping-particle":"","family":"Jolivel","given":"Ronan","non-dropping-particle":"","parse-names":false,"suffix":""},{"dropping-particle":"","family":"Assié","given":"Jean Baptiste","non-dropping-particle":"","parse-names":false,"suffix":""},{"dropping-particle":"","family":"Chouaïd","given":"Christos","non-dropping-particle":"","parse-names":false,"suffix":""}],"container-title":"Lung Cancer","id":"ITEM-1","issued":{"date-parts":[["2020","2","1"]]},"page":"99-106","publisher":"Elsevier Ireland Ltd","title":"Immunotherapy rechallenge after nivolumab treatment in advanced non-small cell lung cancer in the real-world setting: A national data base analysis","type":"article-journal","volume":"140"},"suppress-author":1,"uris":["http://www.mendeley.com/documents/?uuid=9841fb0a-76b1-3c3a-9549-6121f8c4ab08"]}],"mendeley":{"formattedCitation":"(2020)","plainTextFormattedCitation":"(2020)","previouslyFormattedCitation":"(2020)"},"properties":{"noteIndex":0},"schema":"https://github.com/citation-style-language/schema/raw/master/csl-citation.json"}</w:instrText>
            </w:r>
            <w:r w:rsidRPr="00CD4FAB">
              <w:fldChar w:fldCharType="separate"/>
            </w:r>
            <w:r w:rsidRPr="00CD4FAB">
              <w:t>(2020)</w:t>
            </w:r>
            <w:r w:rsidRPr="00CD4FAB">
              <w:fldChar w:fldCharType="end"/>
            </w:r>
          </w:p>
        </w:tc>
        <w:tc>
          <w:tcPr>
            <w:tcW w:w="1100" w:type="dxa"/>
            <w:shd w:val="clear" w:color="auto" w:fill="auto"/>
          </w:tcPr>
          <w:p w14:paraId="107C001A" w14:textId="77777777" w:rsidR="00544356" w:rsidRPr="00CD4FAB" w:rsidRDefault="00544356" w:rsidP="00D221AB">
            <w:pPr>
              <w:pStyle w:val="TableText0"/>
              <w:keepNext w:val="0"/>
            </w:pPr>
            <w:r w:rsidRPr="00CD4FAB">
              <w:t xml:space="preserve">Article </w:t>
            </w:r>
          </w:p>
        </w:tc>
        <w:tc>
          <w:tcPr>
            <w:tcW w:w="718" w:type="dxa"/>
            <w:shd w:val="clear" w:color="auto" w:fill="auto"/>
          </w:tcPr>
          <w:p w14:paraId="001C982D" w14:textId="77777777" w:rsidR="00544356" w:rsidRPr="00CD4FAB" w:rsidRDefault="00544356" w:rsidP="00D221AB">
            <w:pPr>
              <w:pStyle w:val="TableText0"/>
              <w:keepNext w:val="0"/>
            </w:pPr>
            <w:r w:rsidRPr="00CD4FAB">
              <w:t>10,452</w:t>
            </w:r>
          </w:p>
        </w:tc>
        <w:tc>
          <w:tcPr>
            <w:tcW w:w="1219" w:type="dxa"/>
            <w:shd w:val="clear" w:color="auto" w:fill="auto"/>
          </w:tcPr>
          <w:p w14:paraId="6406A8B3" w14:textId="77777777" w:rsidR="00544356" w:rsidRPr="00CD4FAB" w:rsidRDefault="00544356" w:rsidP="00D221AB">
            <w:pPr>
              <w:pStyle w:val="TableText0"/>
              <w:keepNext w:val="0"/>
            </w:pPr>
            <w:r w:rsidRPr="00CD4FAB">
              <w:t>Retrospective analysis of database</w:t>
            </w:r>
          </w:p>
        </w:tc>
        <w:tc>
          <w:tcPr>
            <w:tcW w:w="4989" w:type="dxa"/>
            <w:shd w:val="clear" w:color="auto" w:fill="auto"/>
          </w:tcPr>
          <w:p w14:paraId="6E82B743" w14:textId="3BE38BD3" w:rsidR="00544356" w:rsidRPr="00CD4FAB" w:rsidRDefault="00544356" w:rsidP="00D221AB">
            <w:pPr>
              <w:pStyle w:val="TableText0"/>
              <w:keepNext w:val="0"/>
            </w:pPr>
            <w:r w:rsidRPr="00CD4FAB">
              <w:t xml:space="preserve">10,452 patients were identified who had received nivo treatment. During initial treatment with nivo, median DoT was 2.8 months. Median OS was 11.5 months. Following discontinuation with nivo, 5118 received at least one other systemic therapy; 1517 received a further course of nivo or pembro. This was started without any intervening chemo in 1127 patients or following an intervening chemo group (390 patients). </w:t>
            </w:r>
          </w:p>
          <w:p w14:paraId="27BD8492" w14:textId="6E9E8D5D" w:rsidR="00544356" w:rsidRPr="00CD4FAB" w:rsidRDefault="00544356" w:rsidP="00D221AB">
            <w:pPr>
              <w:pStyle w:val="TableText0"/>
              <w:keepNext w:val="0"/>
            </w:pPr>
            <w:r w:rsidRPr="00CD4FAB">
              <w:t xml:space="preserve">Of 1127 patients in the ‘resumption’ group, median DoT was 4 months and median OS2 </w:t>
            </w:r>
            <w:r w:rsidR="0061137F" w:rsidRPr="00CD4FAB">
              <w:t xml:space="preserve">(OS from the start of retreatment with a PD-1 inhibitor) </w:t>
            </w:r>
            <w:r w:rsidRPr="00CD4FAB">
              <w:t xml:space="preserve">was 14.8 months. </w:t>
            </w:r>
          </w:p>
          <w:p w14:paraId="2C9398DA" w14:textId="77777777" w:rsidR="00544356" w:rsidRPr="00CD4FAB" w:rsidRDefault="00544356" w:rsidP="00D221AB">
            <w:pPr>
              <w:pStyle w:val="TableText0"/>
              <w:keepNext w:val="0"/>
            </w:pPr>
            <w:r w:rsidRPr="00CD4FAB">
              <w:t>Of 390 patients in the ‘rechallenge’ group, median DoT was 3.0 months and median OS2 was 18.1 months.</w:t>
            </w:r>
          </w:p>
          <w:p w14:paraId="355BA56F" w14:textId="77777777" w:rsidR="00544356" w:rsidRPr="00CD4FAB" w:rsidRDefault="00544356" w:rsidP="00D221AB">
            <w:pPr>
              <w:pStyle w:val="TableText0"/>
              <w:keepNext w:val="0"/>
            </w:pPr>
            <w:r w:rsidRPr="00CD4FAB">
              <w:t>For all patients who had a second course of ICI, OS2 was longest in patients who had been treated the longest during the initial nivo course.</w:t>
            </w:r>
          </w:p>
        </w:tc>
      </w:tr>
      <w:tr w:rsidR="00544356" w:rsidRPr="00CD4FAB" w14:paraId="47A72078" w14:textId="77777777" w:rsidTr="00F5399D">
        <w:tc>
          <w:tcPr>
            <w:tcW w:w="1110" w:type="dxa"/>
            <w:shd w:val="clear" w:color="auto" w:fill="auto"/>
          </w:tcPr>
          <w:p w14:paraId="3FAF5423" w14:textId="77777777" w:rsidR="00544356" w:rsidRPr="00CD4FAB" w:rsidRDefault="00544356" w:rsidP="00D9197C">
            <w:pPr>
              <w:pStyle w:val="TableText0"/>
              <w:keepNext w:val="0"/>
            </w:pPr>
            <w:r w:rsidRPr="00CD4FAB">
              <w:t xml:space="preserve">Gobbini et al </w:t>
            </w:r>
            <w:r w:rsidRPr="00CD4FAB">
              <w:fldChar w:fldCharType="begin" w:fldLock="1"/>
            </w:r>
            <w:r w:rsidRPr="00CD4FAB">
              <w:instrText>ADDIN CSL_CITATION {"citationItems":[{"id":"ITEM-1","itemData":{"DOI":"10.1016/j.bulcan.2020.07.009","ISSN":"17696917","PMID":"33032816","abstract":"Introduction: Immune checkpoint inhibitor (ICPis) re-challenge could be an attractive therapeutic option considering its good safety profile. However, little data is available regarding anti-PD-1/anti-PD-L1 retreatment. We conducted a meta-analysis focusing on outcomes of solid cancer patients performing this strategy. Methods: Fourteen full papers involving 74 patients were included. Individual data about best response or progression-free survival (PFS) upon the first and second course of anti-PD-1/anti-PD-L1 were collected. Results: Non-small-cell lung cancer (53%) and melanoma (34%) were the most represented cancers. Higher objective response (46% versus 24%, P = 4.10−4) and disease control rates (73% versus 52%, P = 7.10−3) were obtained upon the first ICPi course compared to re-challenge. No association between responses obtained with the two ICPis courses was found (P = 3.10−1). The PFS upon the first ICPi (PFS1) was longer than after re-challenge (PFSR) (6.6 versus 2.8 months, hazard ratio (HR) 0.57, P = 2.10−3). A longer PFSR was obtained in patients with a longer PFS1 (P = 6.10−3), in those who discontinued the first ICPi due to toxicity or per protocol (8.8 versus 2.1 months if disease progression occurs, P = 2.10−3), and in those not receiving intercalated treatment between the two ICPis (6.6 versus 2.1 months for the treated ones, P = 1.10−3). Discussion: Anti-PD-1/anti-PD-L1 re-challenge showed interesting clinical activity in selected patients, mainly in those achieving a long-term response upon the first ICPi course, that do not discontinue therapy because of disease progression, or that are able to keep a treatment-free period.","author":[{"dropping-particle":"","family":"Gobbini","given":"Elisa","non-dropping-particle":"","parse-names":false,"suffix":""},{"dropping-particle":"","family":"Charles","given":"Julie","non-dropping-particle":"","parse-names":false,"suffix":""},{"dropping-particle":"","family":"Toffart","given":"Anne Claire","non-dropping-particle":"","parse-names":false,"suffix":""},{"dropping-particle":"","family":"Leccia","given":"Marie Thérèse","non-dropping-particle":"","parse-names":false,"suffix":""},{"dropping-particle":"","family":"Moro-Sibilot","given":"Denis","non-dropping-particle":"","parse-names":false,"suffix":""},{"dropping-particle":"","family":"Levra","given":"Matteo Giaj","non-dropping-particle":"","parse-names":false,"suffix":""}],"container-title":"Bulletin du Cancer","id":"ITEM-1","issue":"11","issued":{"date-parts":[["2020","11","1"]]},"page":"1098-1107","publisher":"Elsevier Masson","title":"Literature meta-analysis about the efficacy of re-challenge with PD-1 and PD-L1 inhibitors in cancer patients","type":"article-journal","volume":"107"},"suppress-author":1,"uris":["http://www.mendeley.com/documents/?uuid=02fe2ca6-340a-39ab-bd07-1f1cf3684c7b"]}],"mendeley":{"formattedCitation":"(2020)","plainTextFormattedCitation":"(2020)","previouslyFormattedCitation":"(2020)"},"properties":{"noteIndex":0},"schema":"https://github.com/citation-style-language/schema/raw/master/csl-citation.json"}</w:instrText>
            </w:r>
            <w:r w:rsidRPr="00CD4FAB">
              <w:fldChar w:fldCharType="separate"/>
            </w:r>
            <w:r w:rsidRPr="00CD4FAB">
              <w:t>(2020a)</w:t>
            </w:r>
            <w:r w:rsidRPr="00CD4FAB">
              <w:fldChar w:fldCharType="end"/>
            </w:r>
          </w:p>
        </w:tc>
        <w:tc>
          <w:tcPr>
            <w:tcW w:w="1100" w:type="dxa"/>
            <w:shd w:val="clear" w:color="auto" w:fill="auto"/>
          </w:tcPr>
          <w:p w14:paraId="443BA339" w14:textId="77777777" w:rsidR="00544356" w:rsidRPr="00CD4FAB" w:rsidRDefault="00544356" w:rsidP="00D9197C">
            <w:pPr>
              <w:pStyle w:val="TableText0"/>
              <w:keepNext w:val="0"/>
            </w:pPr>
            <w:r w:rsidRPr="00CD4FAB">
              <w:t xml:space="preserve">Article </w:t>
            </w:r>
          </w:p>
        </w:tc>
        <w:tc>
          <w:tcPr>
            <w:tcW w:w="718" w:type="dxa"/>
            <w:shd w:val="clear" w:color="auto" w:fill="auto"/>
          </w:tcPr>
          <w:p w14:paraId="3EF199C0" w14:textId="77777777" w:rsidR="00544356" w:rsidRPr="00CD4FAB" w:rsidRDefault="00544356" w:rsidP="00D9197C">
            <w:pPr>
              <w:pStyle w:val="TableText0"/>
              <w:keepNext w:val="0"/>
            </w:pPr>
            <w:r w:rsidRPr="00CD4FAB">
              <w:t>144</w:t>
            </w:r>
          </w:p>
        </w:tc>
        <w:tc>
          <w:tcPr>
            <w:tcW w:w="1219" w:type="dxa"/>
            <w:shd w:val="clear" w:color="auto" w:fill="auto"/>
          </w:tcPr>
          <w:p w14:paraId="55A41EA2" w14:textId="77777777" w:rsidR="00544356" w:rsidRPr="00CD4FAB" w:rsidRDefault="00544356" w:rsidP="00D9197C">
            <w:pPr>
              <w:pStyle w:val="TableText0"/>
              <w:keepNext w:val="0"/>
            </w:pPr>
            <w:r w:rsidRPr="00CD4FAB">
              <w:t>Retrospective observational multicentre study</w:t>
            </w:r>
          </w:p>
        </w:tc>
        <w:tc>
          <w:tcPr>
            <w:tcW w:w="4989" w:type="dxa"/>
            <w:shd w:val="clear" w:color="auto" w:fill="auto"/>
          </w:tcPr>
          <w:p w14:paraId="14381C6C" w14:textId="1AE8FA54" w:rsidR="00544356" w:rsidRPr="00CD4FAB" w:rsidRDefault="00544356" w:rsidP="00D9197C">
            <w:pPr>
              <w:pStyle w:val="TableText0"/>
              <w:keepNext w:val="0"/>
            </w:pPr>
            <w:r w:rsidRPr="00CD4FAB">
              <w:t>This study reports on 144 advanced NSCLC patients whose disease was rechallenged with ICIs after more than 12 weeks of discontinuation. PFS on rechallenge was 4.4 (</w:t>
            </w:r>
            <w:r w:rsidR="00E94CD2" w:rsidRPr="00CD4FAB">
              <w:t xml:space="preserve">95% CI: </w:t>
            </w:r>
            <w:r w:rsidRPr="00CD4FAB">
              <w:t>3</w:t>
            </w:r>
            <w:r w:rsidR="00E94CD2" w:rsidRPr="00CD4FAB">
              <w:t>−</w:t>
            </w:r>
            <w:r w:rsidRPr="00CD4FAB">
              <w:t xml:space="preserve">6.5) months and OS on rechallenge </w:t>
            </w:r>
            <w:r w:rsidR="00E45BA5" w:rsidRPr="00CD4FAB">
              <w:t xml:space="preserve">was </w:t>
            </w:r>
            <w:r w:rsidRPr="00CD4FAB">
              <w:t>1.5  (</w:t>
            </w:r>
            <w:r w:rsidR="00E94CD2" w:rsidRPr="00CD4FAB">
              <w:t xml:space="preserve">95% CI: </w:t>
            </w:r>
            <w:r w:rsidRPr="00CD4FAB">
              <w:t>1.0</w:t>
            </w:r>
            <w:r w:rsidR="00E94CD2" w:rsidRPr="00CD4FAB">
              <w:t>−</w:t>
            </w:r>
            <w:r w:rsidRPr="00CD4FAB">
              <w:t xml:space="preserve">2.1) years. Longer PFS and OS on rechallenge </w:t>
            </w:r>
            <w:r w:rsidR="00E45BA5" w:rsidRPr="00CD4FAB">
              <w:t>was observed for</w:t>
            </w:r>
            <w:r w:rsidRPr="00CD4FAB">
              <w:t xml:space="preserve"> patients who discontinued their first ICI </w:t>
            </w:r>
            <w:r w:rsidR="00E45BA5" w:rsidRPr="00CD4FAB">
              <w:t>due to</w:t>
            </w:r>
            <w:r w:rsidRPr="00CD4FAB">
              <w:t xml:space="preserve"> toxicity or clinical decision (i.e. not progression), those not receiving systemic treatment between ICIs and those with</w:t>
            </w:r>
            <w:r w:rsidR="00E45BA5" w:rsidRPr="00CD4FAB">
              <w:t xml:space="preserve"> a</w:t>
            </w:r>
            <w:r w:rsidRPr="00CD4FAB">
              <w:t xml:space="preserve"> good ECOG</w:t>
            </w:r>
            <w:r w:rsidR="00E45BA5" w:rsidRPr="00CD4FAB">
              <w:t xml:space="preserve"> score</w:t>
            </w:r>
            <w:r w:rsidRPr="00CD4FAB">
              <w:t xml:space="preserve"> at</w:t>
            </w:r>
            <w:r w:rsidR="00E45BA5" w:rsidRPr="00CD4FAB">
              <w:t xml:space="preserve"> the time of</w:t>
            </w:r>
            <w:r w:rsidRPr="00CD4FAB">
              <w:t xml:space="preserve"> rechallenge.</w:t>
            </w:r>
          </w:p>
        </w:tc>
      </w:tr>
      <w:tr w:rsidR="00544356" w:rsidRPr="00CD4FAB" w14:paraId="05DB3CA1" w14:textId="77777777" w:rsidTr="00F5399D">
        <w:tc>
          <w:tcPr>
            <w:tcW w:w="1110" w:type="dxa"/>
            <w:shd w:val="clear" w:color="auto" w:fill="auto"/>
          </w:tcPr>
          <w:p w14:paraId="71956F23" w14:textId="77777777" w:rsidR="00544356" w:rsidRPr="00CD4FAB" w:rsidRDefault="00544356" w:rsidP="00D9197C">
            <w:pPr>
              <w:pStyle w:val="TableText0"/>
              <w:keepNext w:val="0"/>
            </w:pPr>
            <w:r w:rsidRPr="00CD4FAB">
              <w:t xml:space="preserve">Gobbini et al </w:t>
            </w:r>
            <w:r w:rsidRPr="00CD4FAB">
              <w:fldChar w:fldCharType="begin" w:fldLock="1"/>
            </w:r>
            <w:r w:rsidRPr="00CD4FAB">
              <w:instrText>ADDIN CSL_CITATION {"citationItems":[{"id":"ITEM-1","itemData":{"DOI":"10.1016/j.cllc.2020.04.013","ISSN":"19380690","PMID":"32605892","abstract":"Immune checkpoint inhibitor (ICPi) rechallenge could represent an attractive option in non–small-cell lung cancer (NSCLC), yet no sufficient data support this strategy. Our retrospective study explored the efficacy of ICPi rechallenge in 144 advanced NSCLC patients. It might be an option in patients discontinuing the first ICPi for toxicity or clinical reasons, those able to maintain a treatment-free period, and those with a good Eastern Cooperative Oncology Group performance status score.","author":[{"dropping-particle":"","family":"Gobbini","given":"Elisa","non-dropping-particle":"","parse-names":false,"suffix":""},{"dropping-particle":"","family":"Toffart","given":"Anne Claire","non-dropping-particle":"","parse-names":false,"suffix":""},{"dropping-particle":"","family":"Pérol","given":"Maurice","non-dropping-particle":"","parse-names":false,"suffix":""},{"dropping-particle":"","family":"Assié","given":"Jean Baptiste","non-dropping-particle":"","parse-names":false,"suffix":""},{"dropping-particle":"","family":"Duruisseaux","given":"Michaël","non-dropping-particle":"","parse-names":false,"suffix":""},{"dropping-particle":"","family":"Coupez","given":"Dahna","non-dropping-particle":"","parse-names":false,"suffix":""},{"dropping-particle":"","family":"Dubos","given":"Catherine","non-dropping-particle":"","parse-names":false,"suffix":""},{"dropping-particle":"","family":"Westeel","given":"Virginie","non-dropping-particle":"","parse-names":false,"suffix":""},{"dropping-particle":"","family":"Delaunay","given":"Myriam","non-dropping-particle":"","parse-names":false,"suffix":""},{"dropping-particle":"","family":"Guisier","given":"Florian","non-dropping-particle":"","parse-names":false,"suffix":""},{"dropping-particle":"","family":"Veillon","given":"Rémi","non-dropping-particle":"","parse-names":false,"suffix":""},{"dropping-particle":"","family":"Gounant","given":"Valérie","non-dropping-particle":"","parse-names":false,"suffix":""},{"dropping-particle":"","family":"Giroux Leprieur","given":"Etienne","non-dropping-particle":"","parse-names":false,"suffix":""},{"dropping-particle":"","family":"Vanel","given":"François Roger","non-dropping-particle":"","parse-names":false,"suffix":""},{"dropping-particle":"","family":"Chaabane","given":"Nouha","non-dropping-particle":"","parse-names":false,"suffix":""},{"dropping-particle":"","family":"Dansin","given":"Eric","non-dropping-particle":"","parse-names":false,"suffix":""},{"dropping-particle":"","family":"Babey","given":"Hélène","non-dropping-particle":"","parse-names":false,"suffix":""},{"dropping-particle":"","family":"Decroisette","given":"Chantal","non-dropping-particle":"","parse-names":false,"suffix":""},{"dropping-particle":"","family":"Barlesi","given":"Fabrice","non-dropping-particle":"","parse-names":false,"suffix":""},{"dropping-particle":"","family":"Daniel","given":"Catherine","non-dropping-particle":"","parse-names":false,"suffix":""},{"dropping-particle":"","family":"Fournel","given":"Pierre","non-dropping-particle":"","parse-names":false,"suffix":""},{"dropping-particle":"","family":"Mezquita","given":"Laura","non-dropping-particle":"","parse-names":false,"suffix":""},{"dropping-particle":"","family":"Oulkhouir","given":"Youssef","non-dropping-particle":"","parse-names":false,"suffix":""},{"dropping-particle":"","family":"Canellas","given":"Anthony","non-dropping-particle":"","parse-names":false,"suffix":""},{"dropping-particle":"","family":"Duchemann","given":"Boris","non-dropping-particle":"","parse-names":false,"suffix":""},{"dropping-particle":"","family":"Molinier","given":"Olivier","non-dropping-particle":"","parse-names":false,"suffix":""},{"dropping-particle":"","family":"Alcazer","given":"Vincent","non-dropping-particle":"","parse-names":false,"suffix":""},{"dropping-particle":"","family":"Moro-Sibilot","given":"Denis","non-dropping-particle":"","parse-names":false,"suffix":""},{"dropping-particle":"","family":"Levra","given":"Matteo Giaj","non-dropping-particle":"","parse-names":false,"suffix":""}],"container-title":"Clinical Lung Cancer","id":"ITEM-1","issue":"5","issued":{"date-parts":[["2020","9","1"]]},"page":"e497-e510","publisher":"Elsevier Inc.","title":"Immune Checkpoint Inhibitors Rechallenge Efficacy in Non–Small-Cell Lung Cancer Patients","type":"article-journal","volume":"21"},"suppress-author":1,"uris":["http://www.mendeley.com/documents/?uuid=b8a85ea9-91b4-3497-bd05-134444125507"]}],"mendeley":{"formattedCitation":"(2020)","plainTextFormattedCitation":"(2020)","previouslyFormattedCitation":"(2020)"},"properties":{"noteIndex":0},"schema":"https://github.com/citation-style-language/schema/raw/master/csl-citation.json"}</w:instrText>
            </w:r>
            <w:r w:rsidRPr="00CD4FAB">
              <w:fldChar w:fldCharType="separate"/>
            </w:r>
            <w:r w:rsidRPr="00CD4FAB">
              <w:t>(2020b)</w:t>
            </w:r>
            <w:r w:rsidRPr="00CD4FAB">
              <w:fldChar w:fldCharType="end"/>
            </w:r>
          </w:p>
        </w:tc>
        <w:tc>
          <w:tcPr>
            <w:tcW w:w="1100" w:type="dxa"/>
            <w:shd w:val="clear" w:color="auto" w:fill="auto"/>
          </w:tcPr>
          <w:p w14:paraId="0CD57FDD" w14:textId="77777777" w:rsidR="00544356" w:rsidRPr="00CD4FAB" w:rsidRDefault="00544356" w:rsidP="00D9197C">
            <w:pPr>
              <w:pStyle w:val="TableText0"/>
              <w:keepNext w:val="0"/>
            </w:pPr>
            <w:r w:rsidRPr="00CD4FAB">
              <w:t>Article</w:t>
            </w:r>
          </w:p>
        </w:tc>
        <w:tc>
          <w:tcPr>
            <w:tcW w:w="718" w:type="dxa"/>
            <w:shd w:val="clear" w:color="auto" w:fill="auto"/>
          </w:tcPr>
          <w:p w14:paraId="7596F535" w14:textId="77777777" w:rsidR="00544356" w:rsidRPr="00CD4FAB" w:rsidRDefault="00544356" w:rsidP="00D9197C">
            <w:pPr>
              <w:pStyle w:val="TableText0"/>
              <w:keepNext w:val="0"/>
            </w:pPr>
            <w:r w:rsidRPr="00CD4FAB">
              <w:t>74</w:t>
            </w:r>
          </w:p>
        </w:tc>
        <w:tc>
          <w:tcPr>
            <w:tcW w:w="1219" w:type="dxa"/>
            <w:shd w:val="clear" w:color="auto" w:fill="auto"/>
          </w:tcPr>
          <w:p w14:paraId="3B49EDBD" w14:textId="77777777" w:rsidR="00544356" w:rsidRPr="00CD4FAB" w:rsidRDefault="00544356" w:rsidP="00D9197C">
            <w:pPr>
              <w:pStyle w:val="TableText0"/>
              <w:keepNext w:val="0"/>
            </w:pPr>
            <w:r w:rsidRPr="00CD4FAB">
              <w:t>Meta-analysis</w:t>
            </w:r>
          </w:p>
        </w:tc>
        <w:tc>
          <w:tcPr>
            <w:tcW w:w="4989" w:type="dxa"/>
            <w:shd w:val="clear" w:color="auto" w:fill="auto"/>
          </w:tcPr>
          <w:p w14:paraId="1E322C53" w14:textId="584B5687" w:rsidR="00544356" w:rsidRPr="00CD4FAB" w:rsidRDefault="00544356" w:rsidP="00D9197C">
            <w:pPr>
              <w:pStyle w:val="TableText0"/>
              <w:keepNext w:val="0"/>
            </w:pPr>
            <w:r w:rsidRPr="00CD4FAB">
              <w:t xml:space="preserve">14 papers including 74 patients were included. 39 (53%) of </w:t>
            </w:r>
            <w:r w:rsidR="001605EF" w:rsidRPr="00CD4FAB">
              <w:t xml:space="preserve">the </w:t>
            </w:r>
            <w:r w:rsidRPr="00CD4FAB">
              <w:t>patients had NSCLC. Higher objective response and DCR</w:t>
            </w:r>
            <w:r w:rsidR="001605EF" w:rsidRPr="00CD4FAB">
              <w:t>s</w:t>
            </w:r>
            <w:r w:rsidRPr="00CD4FAB">
              <w:t xml:space="preserve"> were obtained upon first ICI treatment compared to rechallenge. 15% of patients with NSCLC had a PR on rechallenge and 23% had SD. A longer PFS was </w:t>
            </w:r>
            <w:r w:rsidR="001605EF" w:rsidRPr="00CD4FAB">
              <w:t xml:space="preserve">observed </w:t>
            </w:r>
            <w:r w:rsidRPr="00CD4FAB">
              <w:t>in patients who discontinued the first ICI due to toxicity or per protocol and in those not receiving intercalated treatment between the two ICIs.</w:t>
            </w:r>
          </w:p>
        </w:tc>
      </w:tr>
      <w:tr w:rsidR="00544356" w:rsidRPr="00CD4FAB" w14:paraId="32BEABB9" w14:textId="77777777" w:rsidTr="00F5399D">
        <w:tc>
          <w:tcPr>
            <w:tcW w:w="1110" w:type="dxa"/>
            <w:shd w:val="clear" w:color="auto" w:fill="auto"/>
          </w:tcPr>
          <w:p w14:paraId="3E3987CA" w14:textId="77777777" w:rsidR="00544356" w:rsidRPr="00CD4FAB" w:rsidRDefault="00544356" w:rsidP="00091851">
            <w:pPr>
              <w:pStyle w:val="TableText0"/>
              <w:keepNext w:val="0"/>
            </w:pPr>
            <w:r w:rsidRPr="00CD4FAB">
              <w:t xml:space="preserve">Miura et al </w:t>
            </w:r>
            <w:r w:rsidRPr="00CD4FAB">
              <w:fldChar w:fldCharType="begin" w:fldLock="1"/>
            </w:r>
            <w:r w:rsidRPr="00CD4FAB">
              <w:instrText>ADDIN CSL_CITATION {"citationItems":[{"id":"ITEM-1","itemData":{"DOI":"10.1016/j.annonc.2022.05.212","ISSN":"09237534","abstract":"Background: Although rechallenge with anti-cancer drugs that showed efficacy in prior lines of therapy has been broadly accepted in lung cancer, evidence of rechallenge with ICIs has been limited. Methods: Advanced NSCLC patients who had clinical benefit (CR, PR, or SD over 6 months) from prior ICI (or Chemo/ICI) were prospectively enrolled. All patients had to complete prior ICI over 60 days before registration. Patients were treated with nivolumab (240 mg/body) every 2 weeks until progression. Primary endpoint was ORR. Secondary endpoints consisted of PFS, OS and safety. Based on the hypothesis that this treatment will improve ORR from 10 to 20% (0.05 of one-sided α and power of 0.79), 60 patients are required (Trial Identifier, UMIN000028561). Results: Between Oct 2017 and Feb 2020, 61 patients were enrolled and 59 were analyzed for efficacy. Regarding prior ICI, 41 had CR or PR, median treatment duration was 8.1 months and median ICI-free interval was 9.2 months. Twenty patients had history of immune-related adverse events that required discontinuation of ICI. Rechallenge nivolumab showed 8.5% (95%CI, 2.8-18.7%) of ORR and 2.6 months (95%CI, 1.6 to 2.8 months) of median PFS. On the other hand, five responders demonstrated 11.1 months of median PFS. In the multivariate analysis, ICI-free interval was the only factor to predict PFS (HR 2.02, 95%CI, 1.10-3.73, p = 0.02). Common adverse events were skin disorders (23%), malaise (20%) and hypoalbuminemia (15%). No treatment-related deaths occurred. Conclusion: Nivolumab rechallenge did not work in advanced NSCLC patients who responded to prior anti-PD-1/L1 inhibitors and acquired resistance. On the other hand, small fraction of patients had durable response. Development of predictive biomarker is warranted.","author":[{"dropping-particle":"","family":"Miura","given":"Satoru","non-dropping-particle":"","parse-names":false,"suffix":""},{"dropping-particle":"","family":"Akamatsu","given":"Hiroaki","non-dropping-particle":"","parse-names":false,"suffix":""},{"dropping-particle":"","family":"Teraoka","given":"Shunsuke","non-dropping-particle":"","parse-names":false,"suffix":""},{"dropping-particle":"","family":"Takamori","given":"Shinkichi","non-dropping-particle":"","parse-names":false,"suffix":""},{"dropping-particle":"","family":"Hayashi","given":"Hidetoshi","non-dropping-particle":"","parse-names":false,"suffix":""},{"dropping-particle":"","family":"Hata","given":"Akito","non-dropping-particle":"","parse-names":false,"suffix":""},{"dropping-particle":"","family":"Toi","given":"Yukihiro","non-dropping-particle":"","parse-names":false,"suffix":""},{"dropping-particle":"","family":"Shiraishi","given":"Yoshimasa","non-dropping-particle":"","parse-names":false,"suffix":""},{"dropping-particle":"","family":"Mamesaya","given":"Nobuaki","non-dropping-particle":"","parse-names":false,"suffix":""},{"dropping-particle":"","family":"Sato","given":"Yuki","non-dropping-particle":"","parse-names":false,"suffix":""},{"dropping-particle":"","family":"Furuya","given":"Naoki","non-dropping-particle":"","parse-names":false,"suffix":""},{"dropping-particle":"","family":"Koh","given":"Yasuhiro","non-dropping-particle":"","parse-names":false,"suffix":""},{"dropping-particle":"","family":"Misumi","given":"Toshihiro","non-dropping-particle":"","parse-names":false,"suffix":""},{"dropping-particle":"","family":"Yamamoto","given":"Nobuyuki","non-dropping-particle":"","parse-names":false,"suffix":""},{"dropping-particle":"","family":"Nakagawa","given":"Kazuhiko","non-dropping-particle":"","parse-names":false,"suffix":""}],"container-title":"Annals of Oncology","id":"ITEM-1","issued":{"date-parts":[["2022","7","1"]]},"page":"S510","publisher":"Elsevier BV","title":"MO44-4 Phase II study of nivolumab rechallenge in advanced NSCLC pts who responded to prior anti-PD-1/L1 inhibitors; WJOG 9616L","type":"article-journal","volume":"33"},"suppress-author":1,"uris":["http://www.mendeley.com/documents/?uuid=dae25fd9-ce43-390f-997f-9931366b7eae"]}],"mendeley":{"formattedCitation":"(2022)","plainTextFormattedCitation":"(2022)","previouslyFormattedCitation":"(2022)"},"properties":{"noteIndex":0},"schema":"https://github.com/citation-style-language/schema/raw/master/csl-citation.json"}</w:instrText>
            </w:r>
            <w:r w:rsidRPr="00CD4FAB">
              <w:fldChar w:fldCharType="separate"/>
            </w:r>
            <w:r w:rsidRPr="00CD4FAB">
              <w:t>(2022)</w:t>
            </w:r>
            <w:r w:rsidRPr="00CD4FAB">
              <w:fldChar w:fldCharType="end"/>
            </w:r>
          </w:p>
        </w:tc>
        <w:tc>
          <w:tcPr>
            <w:tcW w:w="1100" w:type="dxa"/>
            <w:shd w:val="clear" w:color="auto" w:fill="auto"/>
          </w:tcPr>
          <w:p w14:paraId="401B2A13" w14:textId="77777777" w:rsidR="00544356" w:rsidRPr="00CD4FAB" w:rsidRDefault="00544356" w:rsidP="00091851">
            <w:pPr>
              <w:pStyle w:val="TableText0"/>
              <w:keepNext w:val="0"/>
            </w:pPr>
            <w:r w:rsidRPr="00CD4FAB">
              <w:t>Abstract</w:t>
            </w:r>
          </w:p>
        </w:tc>
        <w:tc>
          <w:tcPr>
            <w:tcW w:w="718" w:type="dxa"/>
            <w:shd w:val="clear" w:color="auto" w:fill="auto"/>
          </w:tcPr>
          <w:p w14:paraId="6D29DEA3" w14:textId="77777777" w:rsidR="00544356" w:rsidRPr="00CD4FAB" w:rsidRDefault="00544356" w:rsidP="00091851">
            <w:pPr>
              <w:pStyle w:val="TableText0"/>
              <w:keepNext w:val="0"/>
            </w:pPr>
            <w:r w:rsidRPr="00CD4FAB">
              <w:t>61</w:t>
            </w:r>
          </w:p>
        </w:tc>
        <w:tc>
          <w:tcPr>
            <w:tcW w:w="1219" w:type="dxa"/>
            <w:shd w:val="clear" w:color="auto" w:fill="auto"/>
          </w:tcPr>
          <w:p w14:paraId="7A4EF4D8" w14:textId="77777777" w:rsidR="00544356" w:rsidRPr="00CD4FAB" w:rsidRDefault="00544356" w:rsidP="00091851">
            <w:pPr>
              <w:pStyle w:val="TableText0"/>
              <w:keepNext w:val="0"/>
            </w:pPr>
            <w:r w:rsidRPr="00CD4FAB">
              <w:t>Phase II trial single-arm</w:t>
            </w:r>
          </w:p>
        </w:tc>
        <w:tc>
          <w:tcPr>
            <w:tcW w:w="4989" w:type="dxa"/>
            <w:shd w:val="clear" w:color="auto" w:fill="auto"/>
          </w:tcPr>
          <w:p w14:paraId="4213F662" w14:textId="77777777" w:rsidR="00544356" w:rsidRPr="00CD4FAB" w:rsidRDefault="00544356" w:rsidP="00091851">
            <w:pPr>
              <w:pStyle w:val="TableText0"/>
              <w:keepNext w:val="0"/>
            </w:pPr>
            <w:r w:rsidRPr="00CD4FAB">
              <w:t>Advanced NSCLC patients who had previous clinical benefit (CR/PR/SD over 6 months) from previous ICI (+/- chemo) received nivo 240mg q2w until progression.</w:t>
            </w:r>
          </w:p>
          <w:p w14:paraId="12DFE772" w14:textId="40610179" w:rsidR="00544356" w:rsidRPr="00CD4FAB" w:rsidRDefault="00544356" w:rsidP="00091851">
            <w:pPr>
              <w:pStyle w:val="TableText0"/>
              <w:keepNext w:val="0"/>
            </w:pPr>
            <w:r w:rsidRPr="00CD4FAB">
              <w:t>Overall nivo had</w:t>
            </w:r>
            <w:r w:rsidR="00084A9D" w:rsidRPr="00CD4FAB">
              <w:t xml:space="preserve"> a</w:t>
            </w:r>
            <w:r w:rsidRPr="00CD4FAB">
              <w:t xml:space="preserve"> 8.5% ORR (95% CI</w:t>
            </w:r>
            <w:r w:rsidR="00084A9D" w:rsidRPr="00CD4FAB">
              <w:t>:</w:t>
            </w:r>
            <w:r w:rsidRPr="00CD4FAB">
              <w:t xml:space="preserve"> 2.8</w:t>
            </w:r>
            <w:r w:rsidR="00084A9D" w:rsidRPr="00CD4FAB">
              <w:t>−</w:t>
            </w:r>
            <w:r w:rsidRPr="00CD4FAB">
              <w:t>18.7%) and 2.6 months median PFS (95%</w:t>
            </w:r>
            <w:r w:rsidR="00084A9D" w:rsidRPr="00CD4FAB">
              <w:t xml:space="preserve"> </w:t>
            </w:r>
            <w:r w:rsidRPr="00CD4FAB">
              <w:t>CI</w:t>
            </w:r>
            <w:r w:rsidR="00084A9D" w:rsidRPr="00CD4FAB">
              <w:t>:</w:t>
            </w:r>
            <w:r w:rsidRPr="00CD4FAB">
              <w:t xml:space="preserve"> 1.6</w:t>
            </w:r>
            <w:r w:rsidR="00084A9D" w:rsidRPr="00CD4FAB">
              <w:t>−</w:t>
            </w:r>
            <w:r w:rsidRPr="00CD4FAB">
              <w:t xml:space="preserve">2.8). A small group of 5 responders demonstrated durable 11.1 months of median PFS. </w:t>
            </w:r>
          </w:p>
        </w:tc>
      </w:tr>
      <w:tr w:rsidR="00544356" w:rsidRPr="00CD4FAB" w14:paraId="503A08AD" w14:textId="77777777" w:rsidTr="00F5399D">
        <w:tc>
          <w:tcPr>
            <w:tcW w:w="1110" w:type="dxa"/>
            <w:shd w:val="clear" w:color="auto" w:fill="auto"/>
          </w:tcPr>
          <w:p w14:paraId="57CEB198" w14:textId="77777777" w:rsidR="00544356" w:rsidRPr="00CD4FAB" w:rsidRDefault="00544356" w:rsidP="00091851">
            <w:pPr>
              <w:pStyle w:val="TableText0"/>
              <w:keepNext w:val="0"/>
            </w:pPr>
            <w:r w:rsidRPr="00CD4FAB">
              <w:t xml:space="preserve">Mouri et al </w:t>
            </w:r>
            <w:r w:rsidRPr="00CD4FAB">
              <w:fldChar w:fldCharType="begin" w:fldLock="1"/>
            </w:r>
            <w:r w:rsidRPr="00CD4FAB">
              <w:instrText>ADDIN CSL_CITATION {"citationItems":[{"id":"ITEM-1","itemData":{"DOI":"10.1007/s00280-019-03926-y","ISSN":"14320843","PMID":"31444618","abstract":"Background: After the cessation of immune checkpoint inhibitor (ICI) therapy due to an immune-related adverse event (irAE), it remains unclear whether retreatment with ICI is more effective than its discontinuation. To explore the clinical significance of its retreatment, patients with non-small cell lung cancer (NSCLC) who had treatment interruption of nivolumab due to irAEs were identified and the clinical differences between discontinuation and retreatment with nivolumab were retrospectively reviewed. Methods: 49 (26%) of 187 patients treated with nivolumab experienced the cessation of treatment due to a serious irAE. Retreatment was chosen in 21 patients (retreatment cohort), while 28 patients discontinued treatment (discontinuation cohort). Results: The most common irAEs requiring treatment cessation in 49 patients included pneumonitis (59.2%), adrenal insufficiency (8.2%), liver dysfunction (8.2%) renal dysfunction (8.2%), colitis (6.1%), hypothyroidism (4.1%), and rash (2.0%). The frequency of grade 3 or 4 initial irAEs did not differ between the retreatment and discontinuation cohorts; however, the incidence of renal dysfunction and colitis was higher in the retreatment cohort than in the discontinuation cohort. Retreatment with nivolumab displayed an overall response rate of 15%, without a significant increase in irAEs. The median overall survival and progression-free survival did not differ significantly between the retreatment and discontinuation cohorts, irrespective of the efficacy of prior nivolumab. Conclusions: Retreatment exhibited a slightly higher efficacy without a significant increase in irAEs; however, the clinical significance of retreatment and discontinuation was similar in NSCLC patients that led to treatment interruption due to any irAE after initial nivolumab.","author":[{"dropping-particle":"","family":"Mouri","given":"Atsuto","non-dropping-particle":"","parse-names":false,"suffix":""},{"dropping-particle":"","family":"Kaira","given":"Kyoichi","non-dropping-particle":"","parse-names":false,"suffix":""},{"dropping-particle":"","family":"Yamaguchi","given":"Ou","non-dropping-particle":"","parse-names":false,"suffix":""},{"dropping-particle":"","family":"Shiono","given":"Ayako","non-dropping-particle":"","parse-names":false,"suffix":""},{"dropping-particle":"","family":"Miura","given":"Yu","non-dropping-particle":"","parse-names":false,"suffix":""},{"dropping-particle":"","family":"Hashimoto","given":"Kosuke","non-dropping-particle":"","parse-names":false,"suffix":""},{"dropping-particle":"","family":"Nishihara","given":"Fuyumi","non-dropping-particle":"","parse-names":false,"suffix":""},{"dropping-particle":"","family":"Murayama","given":"Yoshitake","non-dropping-particle":"","parse-names":false,"suffix":""},{"dropping-particle":"","family":"Kobayashi","given":"Kunihiko","non-dropping-particle":"","parse-names":false,"suffix":""},{"dropping-particle":"","family":"Kagamu","given":"Hiroshi","non-dropping-particle":"","parse-names":false,"suffix":""}],"container-title":"Cancer Chemotherapy and Pharmacology","id":"ITEM-1","issue":"4","issued":{"date-parts":[["2019","10","1"]]},"page":"873-880","publisher":"Springer Verlag","title":"Clinical difference between discontinuation and retreatment with nivolumab after immune-related adverse events in patients with lung cancer","type":"article-journal","volume":"84"},"suppress-author":1,"uris":["http://www.mendeley.com/documents/?uuid=5717334d-ff14-371c-8a54-3811d72266ea"]}],"mendeley":{"formattedCitation":"(2019)","plainTextFormattedCitation":"(2019)","previouslyFormattedCitation":"(2019)"},"properties":{"noteIndex":0},"schema":"https://github.com/citation-style-language/schema/raw/master/csl-citation.json"}</w:instrText>
            </w:r>
            <w:r w:rsidRPr="00CD4FAB">
              <w:fldChar w:fldCharType="separate"/>
            </w:r>
            <w:r w:rsidRPr="00CD4FAB">
              <w:t>(2019)</w:t>
            </w:r>
            <w:r w:rsidRPr="00CD4FAB">
              <w:fldChar w:fldCharType="end"/>
            </w:r>
          </w:p>
        </w:tc>
        <w:tc>
          <w:tcPr>
            <w:tcW w:w="1100" w:type="dxa"/>
            <w:shd w:val="clear" w:color="auto" w:fill="auto"/>
          </w:tcPr>
          <w:p w14:paraId="2F8008CF" w14:textId="77777777" w:rsidR="00544356" w:rsidRPr="00CD4FAB" w:rsidRDefault="00544356" w:rsidP="00091851">
            <w:pPr>
              <w:pStyle w:val="TableText0"/>
              <w:keepNext w:val="0"/>
            </w:pPr>
            <w:r w:rsidRPr="00CD4FAB">
              <w:t xml:space="preserve">Article </w:t>
            </w:r>
          </w:p>
        </w:tc>
        <w:tc>
          <w:tcPr>
            <w:tcW w:w="718" w:type="dxa"/>
            <w:shd w:val="clear" w:color="auto" w:fill="auto"/>
          </w:tcPr>
          <w:p w14:paraId="5DDEB8F3" w14:textId="77777777" w:rsidR="00544356" w:rsidRPr="00CD4FAB" w:rsidRDefault="00544356" w:rsidP="00091851">
            <w:pPr>
              <w:pStyle w:val="TableText0"/>
              <w:keepNext w:val="0"/>
            </w:pPr>
            <w:r w:rsidRPr="00CD4FAB">
              <w:t>21</w:t>
            </w:r>
          </w:p>
        </w:tc>
        <w:tc>
          <w:tcPr>
            <w:tcW w:w="1219" w:type="dxa"/>
            <w:shd w:val="clear" w:color="auto" w:fill="auto"/>
          </w:tcPr>
          <w:p w14:paraId="446A349E" w14:textId="77777777" w:rsidR="00544356" w:rsidRPr="00CD4FAB" w:rsidRDefault="00544356" w:rsidP="00091851">
            <w:pPr>
              <w:pStyle w:val="TableText0"/>
              <w:keepNext w:val="0"/>
            </w:pPr>
            <w:r w:rsidRPr="00CD4FAB">
              <w:t>Retrospective single centre analysis</w:t>
            </w:r>
          </w:p>
        </w:tc>
        <w:tc>
          <w:tcPr>
            <w:tcW w:w="4989" w:type="dxa"/>
            <w:shd w:val="clear" w:color="auto" w:fill="auto"/>
          </w:tcPr>
          <w:p w14:paraId="39717248" w14:textId="77777777" w:rsidR="00544356" w:rsidRPr="00CD4FAB" w:rsidRDefault="00544356" w:rsidP="00091851">
            <w:pPr>
              <w:pStyle w:val="TableText0"/>
              <w:keepNext w:val="0"/>
            </w:pPr>
            <w:r w:rsidRPr="00CD4FAB">
              <w:t>49 out of 187 patients treated with nivo experienced an irAE. Retreatment was chosen in 21 patients while 28 patients discontinued. Retreatment with nivo showed an overall response rate of 15%. Retreatment exhibited a slightly higher efficacy without a significant increase in irAEs.</w:t>
            </w:r>
          </w:p>
        </w:tc>
      </w:tr>
      <w:tr w:rsidR="00544356" w:rsidRPr="00CD4FAB" w14:paraId="08FF5906" w14:textId="77777777" w:rsidTr="00F5399D">
        <w:tc>
          <w:tcPr>
            <w:tcW w:w="1110" w:type="dxa"/>
            <w:shd w:val="clear" w:color="auto" w:fill="auto"/>
          </w:tcPr>
          <w:p w14:paraId="5E2C0EC8" w14:textId="77777777" w:rsidR="00544356" w:rsidRPr="00CD4FAB" w:rsidRDefault="00544356" w:rsidP="00091851">
            <w:pPr>
              <w:pStyle w:val="TableText0"/>
              <w:keepNext w:val="0"/>
            </w:pPr>
            <w:r w:rsidRPr="00CD4FAB">
              <w:lastRenderedPageBreak/>
              <w:t xml:space="preserve">Nan et al </w:t>
            </w:r>
            <w:r w:rsidRPr="00CD4FAB">
              <w:fldChar w:fldCharType="begin" w:fldLock="1"/>
            </w:r>
            <w:r w:rsidRPr="00CD4FAB">
              <w:instrText>ADDIN CSL_CITATION {"citationItems":[{"id":"ITEM-1","itemData":{"DOI":"10.1200/jco.2020.38.15_suppl.e19355","ISSN":"0732-183X","abstract":"e19355Background: Immune checkpoint inhibitors (CIs) have been shown to improve overall survival in lung cancer and are FDA approved in multiple settings, both as single agents and in combination with chemotherapy. Immune related adverse events (irAEs) are common and frequently manifest as dermatitis, pneumonitis, colitis, and hepatitis, among others. Managing grade 2 or higher irAEs often requires multiple outpatient visits and sometimes inpatient admissions, which can significantly increase patient morbidity and healthcare cost. There is limited evidence on the safety of restarting CIs after moderate to severe irAE. Identifying high-risk factors for developing severe irAEs again after re-challenge can improve patient care and cost efficiency. Methods: We searched our electronic medical records to identify patients with NSCLC and SCLC treated with one or more PD-1, PD-L1, or CTLA-4 CIs at our institution between 2013 and 2019. We reviewed 452 patients and identified 44 patients who developed irAE requiring treatment discontinuation. Of these 44 patients, 19 were re-challenged with same or different CIs. The primary end point of this study is to assess the rate of grade 2 or higher irAE after CI re-challenge. Secondary endpoints are mortality rate, overall survival, and disease status. Results: Median follow up for the 19 patients who were re-challenged with CI was 15 months. Median duration of CI treatment after re-challenge was 6 months (range 0.5 to 25 months). 7 patients (37%) developed irAEs (grade 2 or above) again (5 pts with same irAE as prior). Multivariate logistic regression analysis revealed that age≥70 and requirement of steroid for initial irAEs were associated with a higher risk of recurrent irAEs. Median overall survival has not yet been reached; 32% of patients have died. No deaths were related to irAE. After re-challenge with CIs, 42% of the patients had partial response or stable disease, and 58% had progression of disease. Conclusions: Our study demonstrated that re-challenge with immunotherapy is feasible in some patients who had treatment held due to irAEs, though recurrent irAEs were common. Caution should be taken when restarting CIs after moderate to severe toxicities, especially in older adults.","author":[{"dropping-particle":"","family":"Nan","given":"Xinyu","non-dropping-particle":"","parse-names":false,"suffix":""},{"dropping-particle":"","family":"Gabbai-Saldate","given":"Paulette","non-dropping-particle":"","parse-names":false,"suffix":""},{"dropping-particle":"","family":"Patel","given":"Sandip Pravin","non-dropping-particle":"","parse-names":false,"suffix":""},{"dropping-particle":"","family":"Bazhenova","given":"Lyudmila","non-dropping-particle":"","parse-names":false,"suffix":""},{"dropping-particle":"","family":"Mitchell","given":"William M.","non-dropping-particle":"","parse-names":false,"suffix":""},{"dropping-particle":"","family":"Gold","given":"Kathryn A.","non-dropping-particle":"","parse-names":false,"suffix":""}],"container-title":"Journal of Clinical Oncology","id":"ITEM-1","issue":"15_suppl","issued":{"date-parts":[["2020","5","25"]]},"page":"e19355-e19355","publisher":"American Society of Clinical Oncology","title":"Safety and outcomes of immunotherapy re-challenge in lung cancer.","type":"article-journal","volume":"38"},"suppress-author":1,"uris":["http://www.mendeley.com/documents/?uuid=388c4f05-e2cd-30ab-837d-5ffc19274e29"]}],"mendeley":{"formattedCitation":"(2020)","plainTextFormattedCitation":"(2020)","previouslyFormattedCitation":"(2020)"},"properties":{"noteIndex":0},"schema":"https://github.com/citation-style-language/schema/raw/master/csl-citation.json"}</w:instrText>
            </w:r>
            <w:r w:rsidRPr="00CD4FAB">
              <w:fldChar w:fldCharType="separate"/>
            </w:r>
            <w:r w:rsidRPr="00CD4FAB">
              <w:t>(2020)</w:t>
            </w:r>
            <w:r w:rsidRPr="00CD4FAB">
              <w:fldChar w:fldCharType="end"/>
            </w:r>
          </w:p>
        </w:tc>
        <w:tc>
          <w:tcPr>
            <w:tcW w:w="1100" w:type="dxa"/>
            <w:shd w:val="clear" w:color="auto" w:fill="auto"/>
          </w:tcPr>
          <w:p w14:paraId="5B3FFE26" w14:textId="77777777" w:rsidR="00544356" w:rsidRPr="00CD4FAB" w:rsidRDefault="00544356" w:rsidP="00091851">
            <w:pPr>
              <w:pStyle w:val="TableText0"/>
              <w:keepNext w:val="0"/>
            </w:pPr>
            <w:r w:rsidRPr="00CD4FAB">
              <w:t>Abstract</w:t>
            </w:r>
          </w:p>
        </w:tc>
        <w:tc>
          <w:tcPr>
            <w:tcW w:w="718" w:type="dxa"/>
            <w:shd w:val="clear" w:color="auto" w:fill="auto"/>
          </w:tcPr>
          <w:p w14:paraId="4105DC6F" w14:textId="77777777" w:rsidR="00544356" w:rsidRPr="00CD4FAB" w:rsidRDefault="00544356" w:rsidP="00091851">
            <w:pPr>
              <w:pStyle w:val="TableText0"/>
              <w:keepNext w:val="0"/>
            </w:pPr>
            <w:r w:rsidRPr="00CD4FAB">
              <w:t>19</w:t>
            </w:r>
          </w:p>
        </w:tc>
        <w:tc>
          <w:tcPr>
            <w:tcW w:w="1219" w:type="dxa"/>
            <w:shd w:val="clear" w:color="auto" w:fill="auto"/>
          </w:tcPr>
          <w:p w14:paraId="18E665FE" w14:textId="77777777" w:rsidR="00544356" w:rsidRPr="00CD4FAB" w:rsidRDefault="00544356" w:rsidP="00091851">
            <w:pPr>
              <w:pStyle w:val="TableText0"/>
              <w:keepNext w:val="0"/>
            </w:pPr>
            <w:r w:rsidRPr="00CD4FAB">
              <w:t xml:space="preserve">Retrospective single centre study </w:t>
            </w:r>
          </w:p>
        </w:tc>
        <w:tc>
          <w:tcPr>
            <w:tcW w:w="4989" w:type="dxa"/>
            <w:shd w:val="clear" w:color="auto" w:fill="auto"/>
          </w:tcPr>
          <w:p w14:paraId="59E388AE" w14:textId="69D5DEAB" w:rsidR="00544356" w:rsidRPr="00CD4FAB" w:rsidRDefault="00544356" w:rsidP="00091851">
            <w:pPr>
              <w:pStyle w:val="TableText0"/>
              <w:keepNext w:val="0"/>
            </w:pPr>
            <w:r w:rsidRPr="00CD4FAB">
              <w:t>44 patients discontinued due to</w:t>
            </w:r>
            <w:r w:rsidR="00B25E87" w:rsidRPr="00CD4FAB">
              <w:t xml:space="preserve"> an</w:t>
            </w:r>
            <w:r w:rsidRPr="00CD4FAB">
              <w:t xml:space="preserve"> irAE, of which 19 were rechallenged with</w:t>
            </w:r>
            <w:r w:rsidR="00B25E87" w:rsidRPr="00CD4FAB">
              <w:t xml:space="preserve"> the</w:t>
            </w:r>
            <w:r w:rsidRPr="00CD4FAB">
              <w:t xml:space="preserve"> same or </w:t>
            </w:r>
            <w:r w:rsidR="00B25E87" w:rsidRPr="00CD4FAB">
              <w:t xml:space="preserve">a </w:t>
            </w:r>
            <w:r w:rsidRPr="00CD4FAB">
              <w:t xml:space="preserve">different ICI. 42% of patients had </w:t>
            </w:r>
            <w:r w:rsidR="00B25E87" w:rsidRPr="00CD4FAB">
              <w:t>PR</w:t>
            </w:r>
            <w:r w:rsidRPr="00CD4FAB">
              <w:t xml:space="preserve"> or </w:t>
            </w:r>
            <w:r w:rsidR="00B25E87" w:rsidRPr="00CD4FAB">
              <w:t>SD</w:t>
            </w:r>
            <w:r w:rsidRPr="00CD4FAB">
              <w:t xml:space="preserve"> upon rechallenge, 58% had progression of disease.</w:t>
            </w:r>
          </w:p>
        </w:tc>
      </w:tr>
      <w:tr w:rsidR="00544356" w:rsidRPr="00CD4FAB" w14:paraId="0B2C479A" w14:textId="77777777" w:rsidTr="00F5399D">
        <w:tc>
          <w:tcPr>
            <w:tcW w:w="1110" w:type="dxa"/>
            <w:shd w:val="clear" w:color="auto" w:fill="auto"/>
          </w:tcPr>
          <w:p w14:paraId="4706FE8A" w14:textId="77777777" w:rsidR="00544356" w:rsidRPr="00CD4FAB" w:rsidRDefault="00544356" w:rsidP="00330227">
            <w:pPr>
              <w:pStyle w:val="TableText0"/>
              <w:keepLines/>
            </w:pPr>
            <w:r w:rsidRPr="00CD4FAB">
              <w:t xml:space="preserve">Park et al </w:t>
            </w:r>
            <w:r w:rsidRPr="00CD4FAB">
              <w:fldChar w:fldCharType="begin" w:fldLock="1"/>
            </w:r>
            <w:r w:rsidRPr="00CD4FAB">
              <w:instrText>ADDIN CSL_CITATION {"citationItems":[{"id":"ITEM-1","itemData":{"DOI":"10.2217/imt-2020-0103","ISSN":"17507448","PMID":"32878511","abstract":"Background: Given the inconclusive evidence behind the safety and efficacy of immune checkpoint inhibitors re-challenge, herein, we have conducted a systematic review and meta-analysis to synthesize available data. Results/methodology: PubMed, Embase, Cochrane Database, and ASCO and ESMO were searched for studies published from conception to March 2020. Pooled incidence of recurrent immune-related adverse events (irAEs), objective response rates, and odds ratios for irAEs at initial versus re-treatment were calculated. Overall, 437 patients (ten studies) were included. Incidence of any grade, grade 3/4, and steroid-requiring recurrent irAEs were 47%, 13.2%, and 26% respectively. Objective response rate in previous non-responders was 12.5% (5.8-24.8%). Odds ratio for severe irAEs was 0.28 (0.11-0.72) and steroid-requiring irAEs 0.19 (0.06-0.56). Discussion/conclusion: This analysis suggests that immune checkpoint inhibitors re-challenge is safe and potentially efficacious.","author":[{"dropping-particle":"","family":"Park","given":"Robin","non-dropping-particle":"","parse-names":false,"suffix":""},{"dropping-particle":"","family":"Lopes","given":"Laercio","non-dropping-particle":"","parse-names":false,"suffix":""},{"dropping-particle":"","family":"Saeed","given":"Anwaar","non-dropping-particle":"","parse-names":false,"suffix":""}],"container-title":"Immunotherapy","id":"ITEM-1","issue":"16","issued":{"date-parts":[["2020","11","1"]]},"page":"1183-1193","publisher":"Future Medicine Ltd.","title":"Outcomes following immunotherapy re-challenge after immune-related adverse event: Systematic review and meta-analysis","type":"article","volume":"12"},"suppress-author":1,"uris":["http://www.mendeley.com/documents/?uuid=70d8fdc9-0634-30ac-8144-53be5c5133fa"]}],"mendeley":{"formattedCitation":"(2020)","plainTextFormattedCitation":"(2020)","previouslyFormattedCitation":"(2020)"},"properties":{"noteIndex":0},"schema":"https://github.com/citation-style-language/schema/raw/master/csl-citation.json"}</w:instrText>
            </w:r>
            <w:r w:rsidRPr="00CD4FAB">
              <w:fldChar w:fldCharType="separate"/>
            </w:r>
            <w:r w:rsidRPr="00CD4FAB">
              <w:t>(2020)</w:t>
            </w:r>
            <w:r w:rsidRPr="00CD4FAB">
              <w:fldChar w:fldCharType="end"/>
            </w:r>
          </w:p>
        </w:tc>
        <w:tc>
          <w:tcPr>
            <w:tcW w:w="1100" w:type="dxa"/>
            <w:shd w:val="clear" w:color="auto" w:fill="auto"/>
          </w:tcPr>
          <w:p w14:paraId="725FD949" w14:textId="77777777" w:rsidR="00544356" w:rsidRPr="00CD4FAB" w:rsidRDefault="00544356" w:rsidP="00330227">
            <w:pPr>
              <w:pStyle w:val="TableText0"/>
              <w:keepLines/>
            </w:pPr>
            <w:r w:rsidRPr="00CD4FAB">
              <w:t>Article</w:t>
            </w:r>
          </w:p>
        </w:tc>
        <w:tc>
          <w:tcPr>
            <w:tcW w:w="718" w:type="dxa"/>
            <w:shd w:val="clear" w:color="auto" w:fill="auto"/>
          </w:tcPr>
          <w:p w14:paraId="621FA799" w14:textId="77777777" w:rsidR="00544356" w:rsidRPr="00CD4FAB" w:rsidRDefault="00544356" w:rsidP="00330227">
            <w:pPr>
              <w:pStyle w:val="TableText0"/>
              <w:keepLines/>
            </w:pPr>
            <w:r w:rsidRPr="00CD4FAB">
              <w:t>-</w:t>
            </w:r>
          </w:p>
        </w:tc>
        <w:tc>
          <w:tcPr>
            <w:tcW w:w="1219" w:type="dxa"/>
            <w:shd w:val="clear" w:color="auto" w:fill="auto"/>
          </w:tcPr>
          <w:p w14:paraId="736D8FF1" w14:textId="77777777" w:rsidR="00544356" w:rsidRPr="00CD4FAB" w:rsidRDefault="00544356" w:rsidP="00330227">
            <w:pPr>
              <w:pStyle w:val="TableText0"/>
              <w:keepLines/>
            </w:pPr>
            <w:r w:rsidRPr="00CD4FAB">
              <w:t>Systematic review and meta-analysis</w:t>
            </w:r>
          </w:p>
        </w:tc>
        <w:tc>
          <w:tcPr>
            <w:tcW w:w="4989" w:type="dxa"/>
            <w:shd w:val="clear" w:color="auto" w:fill="auto"/>
          </w:tcPr>
          <w:p w14:paraId="4D37F7F4" w14:textId="1CC89DC4" w:rsidR="00544356" w:rsidRPr="00CD4FAB" w:rsidRDefault="00544356" w:rsidP="00330227">
            <w:pPr>
              <w:pStyle w:val="TableText0"/>
              <w:keepLines/>
            </w:pPr>
            <w:r w:rsidRPr="00CD4FAB">
              <w:t>Th</w:t>
            </w:r>
            <w:r w:rsidR="00BB36E8" w:rsidRPr="00CD4FAB">
              <w:t>e</w:t>
            </w:r>
            <w:r w:rsidRPr="00CD4FAB">
              <w:t xml:space="preserve"> meta-analysis </w:t>
            </w:r>
            <w:r w:rsidR="00BB36E8" w:rsidRPr="00CD4FAB">
              <w:t xml:space="preserve">assessed </w:t>
            </w:r>
            <w:r w:rsidRPr="00CD4FAB">
              <w:t xml:space="preserve">rechallenge after </w:t>
            </w:r>
            <w:r w:rsidR="00BB36E8" w:rsidRPr="00CD4FAB">
              <w:t xml:space="preserve">patients experienced an </w:t>
            </w:r>
            <w:r w:rsidRPr="00CD4FAB">
              <w:t>irAE. In total, 10 studies comprising</w:t>
            </w:r>
            <w:r w:rsidR="00BB36E8" w:rsidRPr="00CD4FAB">
              <w:t xml:space="preserve"> of</w:t>
            </w:r>
            <w:r w:rsidRPr="00CD4FAB">
              <w:t xml:space="preserve"> 649 patients and 437 patients who had subsequent rechallenge were identified. NSCLC consisted of 33% of these studies. </w:t>
            </w:r>
          </w:p>
          <w:p w14:paraId="77301897" w14:textId="1EE4E4CE" w:rsidR="00544356" w:rsidRPr="00CD4FAB" w:rsidRDefault="00544356" w:rsidP="00330227">
            <w:pPr>
              <w:pStyle w:val="TableText0"/>
              <w:keepLines/>
            </w:pPr>
            <w:r w:rsidRPr="00CD4FAB">
              <w:t>Overall</w:t>
            </w:r>
            <w:r w:rsidR="00BB36E8" w:rsidRPr="00CD4FAB">
              <w:t>,</w:t>
            </w:r>
            <w:r w:rsidRPr="00CD4FAB">
              <w:t xml:space="preserve"> </w:t>
            </w:r>
            <w:r w:rsidR="00BB36E8" w:rsidRPr="00CD4FAB">
              <w:t xml:space="preserve">the </w:t>
            </w:r>
            <w:r w:rsidRPr="00CD4FAB">
              <w:t>meta-analysis suggest</w:t>
            </w:r>
            <w:r w:rsidR="00BB36E8" w:rsidRPr="00CD4FAB">
              <w:t>ed</w:t>
            </w:r>
            <w:r w:rsidRPr="00CD4FAB">
              <w:t xml:space="preserve"> rechallenge following treatment cessation due to irAEs is safe and efficacious. The </w:t>
            </w:r>
            <w:r w:rsidR="00BB36E8" w:rsidRPr="00CD4FAB">
              <w:t xml:space="preserve">evaluation considered that the </w:t>
            </w:r>
            <w:r w:rsidRPr="00CD4FAB">
              <w:t xml:space="preserve">evidence </w:t>
            </w:r>
            <w:r w:rsidR="00BB36E8" w:rsidRPr="00CD4FAB">
              <w:t xml:space="preserve">appeared </w:t>
            </w:r>
            <w:r w:rsidRPr="00CD4FAB">
              <w:t>to be strongest for rechallenge with monotherapy ICI in the setting of irAE due to initial combination therapy.</w:t>
            </w:r>
          </w:p>
        </w:tc>
      </w:tr>
      <w:tr w:rsidR="00544356" w:rsidRPr="00CD4FAB" w14:paraId="7E6C06B8" w14:textId="77777777" w:rsidTr="00F5399D">
        <w:tc>
          <w:tcPr>
            <w:tcW w:w="1110" w:type="dxa"/>
            <w:shd w:val="clear" w:color="auto" w:fill="auto"/>
          </w:tcPr>
          <w:p w14:paraId="3CC3A441" w14:textId="77777777" w:rsidR="00544356" w:rsidRPr="00CD4FAB" w:rsidRDefault="00544356" w:rsidP="00091851">
            <w:pPr>
              <w:pStyle w:val="TableText0"/>
              <w:keepNext w:val="0"/>
            </w:pPr>
            <w:r w:rsidRPr="00CD4FAB">
              <w:t xml:space="preserve">Perdyan et al </w:t>
            </w:r>
            <w:r w:rsidRPr="00CD4FAB">
              <w:fldChar w:fldCharType="begin" w:fldLock="1"/>
            </w:r>
            <w:r w:rsidRPr="00CD4FAB">
              <w:instrText>ADDIN CSL_CITATION {"citationItems":[{"id":"ITEM-1","itemData":{"DOI":"10.3390/cancers15133490","ISSN":"20726694","abstract":"Despite a great success of immunotherapy in cancer treatment, a great number of patients will become resistant. This review summarizes recent reports on immune checkpoint inhibitor retreatment or rechallenge in order to overcome primary resistance. The systematic review was performed according to PRISMA (Preferred Reporting Items for Systematic Reviews and Meta-Analyses) guidelines. The search was performed using PubMed, Web of Science and Scopus. In total, 31 articles were included with a total of 812 patients. There were 16 retreatment studies and 13 rechallenge studies. We identified 15 studies in which at least one parameter (overall response rate or disease control rate) improved or was stable at secondary treatment. Interval treatment, primary response to and the cause of cessation for the first immune checkpoint inhibitors seem to be promising predictors of secondary response. However, high heterogeneity of investigated cohorts and lack of reporting guidelines are limiting factors for current in-depth analysis.","author":[{"dropping-particle":"","family":"Perdyan","given":"Adrian","non-dropping-particle":"","parse-names":false,"suffix":""},{"dropping-particle":"","family":"Sobocki","given":"Bartosz Kamil","non-dropping-particle":"","parse-names":false,"suffix":""},{"dropping-particle":"","family":"Balihodzic","given":"Amar","non-dropping-particle":"","parse-names":false,"suffix":""},{"dropping-particle":"","family":"Dąbrowska","given":"Anna","non-dropping-particle":"","parse-names":false,"suffix":""},{"dropping-particle":"","family":"Kacperczyk","given":"Justyna","non-dropping-particle":"","parse-names":false,"suffix":""},{"dropping-particle":"","family":"Rutkowski","given":"Jacek","non-dropping-particle":"","parse-names":false,"suffix":""}],"container-title":"Cancers","id":"ITEM-1","issue":"13","issued":{"date-parts":[["2023","7","4"]]},"page":"3490","publisher":"Multidisciplinary Digital Publishing Institute","title":"The Effectiveness of Cancer Immune Checkpoint Inhibitor Retreatment and Rechallenge—A Systematic Review","type":"article","volume":"15"},"suppress-author":1,"uris":["http://www.mendeley.com/documents/?uuid=dcadde32-1cc9-35a2-a553-492251ebc811"]}],"mendeley":{"formattedCitation":"(2023)","plainTextFormattedCitation":"(2023)","previouslyFormattedCitation":"(2023)"},"properties":{"noteIndex":0},"schema":"https://github.com/citation-style-language/schema/raw/master/csl-citation.json"}</w:instrText>
            </w:r>
            <w:r w:rsidRPr="00CD4FAB">
              <w:fldChar w:fldCharType="separate"/>
            </w:r>
            <w:r w:rsidRPr="00CD4FAB">
              <w:t>(2023)</w:t>
            </w:r>
            <w:r w:rsidRPr="00CD4FAB">
              <w:fldChar w:fldCharType="end"/>
            </w:r>
          </w:p>
        </w:tc>
        <w:tc>
          <w:tcPr>
            <w:tcW w:w="1100" w:type="dxa"/>
            <w:shd w:val="clear" w:color="auto" w:fill="auto"/>
          </w:tcPr>
          <w:p w14:paraId="38812C21" w14:textId="77777777" w:rsidR="00544356" w:rsidRPr="00CD4FAB" w:rsidRDefault="00544356" w:rsidP="00091851">
            <w:pPr>
              <w:pStyle w:val="TableText0"/>
              <w:keepNext w:val="0"/>
            </w:pPr>
            <w:r w:rsidRPr="00CD4FAB">
              <w:t>Article</w:t>
            </w:r>
          </w:p>
        </w:tc>
        <w:tc>
          <w:tcPr>
            <w:tcW w:w="718" w:type="dxa"/>
            <w:shd w:val="clear" w:color="auto" w:fill="auto"/>
          </w:tcPr>
          <w:p w14:paraId="4E86B1A6" w14:textId="77777777" w:rsidR="00544356" w:rsidRPr="00CD4FAB" w:rsidRDefault="00544356" w:rsidP="00091851">
            <w:pPr>
              <w:pStyle w:val="TableText0"/>
              <w:keepNext w:val="0"/>
            </w:pPr>
            <w:r w:rsidRPr="00CD4FAB">
              <w:t>-</w:t>
            </w:r>
          </w:p>
        </w:tc>
        <w:tc>
          <w:tcPr>
            <w:tcW w:w="1219" w:type="dxa"/>
            <w:shd w:val="clear" w:color="auto" w:fill="auto"/>
          </w:tcPr>
          <w:p w14:paraId="205A07F8" w14:textId="77777777" w:rsidR="00544356" w:rsidRPr="00CD4FAB" w:rsidRDefault="00544356" w:rsidP="00091851">
            <w:pPr>
              <w:pStyle w:val="TableText0"/>
              <w:keepNext w:val="0"/>
            </w:pPr>
            <w:r w:rsidRPr="00CD4FAB">
              <w:t>Systematic review</w:t>
            </w:r>
          </w:p>
        </w:tc>
        <w:tc>
          <w:tcPr>
            <w:tcW w:w="4989" w:type="dxa"/>
            <w:shd w:val="clear" w:color="auto" w:fill="auto"/>
          </w:tcPr>
          <w:p w14:paraId="38F086B1" w14:textId="23E29374" w:rsidR="00544356" w:rsidRPr="00CD4FAB" w:rsidRDefault="00544356" w:rsidP="00091851">
            <w:pPr>
              <w:pStyle w:val="TableText0"/>
              <w:keepNext w:val="0"/>
            </w:pPr>
            <w:r w:rsidRPr="00CD4FAB">
              <w:t xml:space="preserve">In total, 31 articles were included with a total of 812 cancer patients. There were 16 retreatment and 13 rechallenge studies. Fifteen studies reported improvement or maintenance of overall response or disease control rate at the secondary treatment. </w:t>
            </w:r>
            <w:r w:rsidR="001847E8" w:rsidRPr="00CD4FAB">
              <w:t xml:space="preserve">The </w:t>
            </w:r>
            <w:r w:rsidR="00DE7CDF" w:rsidRPr="00CD4FAB">
              <w:t>study suggested</w:t>
            </w:r>
            <w:r w:rsidR="001847E8" w:rsidRPr="00CD4FAB">
              <w:t xml:space="preserve"> i</w:t>
            </w:r>
            <w:r w:rsidRPr="00CD4FAB">
              <w:t xml:space="preserve">nterval treatment, primary response to ICIs and the cause of cessation from the primary ICI </w:t>
            </w:r>
            <w:r w:rsidR="001847E8" w:rsidRPr="00CD4FAB">
              <w:t>were likely to be</w:t>
            </w:r>
            <w:r w:rsidRPr="00CD4FAB">
              <w:t xml:space="preserve"> predictors of secondary response to ICIs.</w:t>
            </w:r>
          </w:p>
        </w:tc>
      </w:tr>
      <w:tr w:rsidR="00544356" w:rsidRPr="00CD4FAB" w14:paraId="2880D5E1" w14:textId="77777777" w:rsidTr="00F5399D">
        <w:tc>
          <w:tcPr>
            <w:tcW w:w="1110" w:type="dxa"/>
            <w:shd w:val="clear" w:color="auto" w:fill="auto"/>
          </w:tcPr>
          <w:p w14:paraId="114AB98E" w14:textId="77777777" w:rsidR="00544356" w:rsidRPr="00CD4FAB" w:rsidRDefault="00544356" w:rsidP="00091851">
            <w:pPr>
              <w:pStyle w:val="TableText0"/>
              <w:keepNext w:val="0"/>
            </w:pPr>
            <w:r w:rsidRPr="00CD4FAB">
              <w:t xml:space="preserve">Plazy et al </w:t>
            </w:r>
            <w:r w:rsidRPr="00CD4FAB">
              <w:fldChar w:fldCharType="begin" w:fldLock="1"/>
            </w:r>
            <w:r w:rsidRPr="00CD4FAB">
              <w:instrText>ADDIN CSL_CITATION {"citationItems":[{"id":"ITEM-1","itemData":{"DOI":"10.1007/s11912-022-01241-z","ISSN":"15346269","PMID":"35389138","abstract":"Purpose of the Review: The reintroduction of immune checkpoint inhibitors (ICIs) after disease progression (rechallenge) or immune-related adverse events (irAEs) recovering (resumption) raises questions in terms of efficacy and safety. Recent Findings: Here, we reviewed literature data about ICIs rechallenge/resumption in cancer patients along with their clinical characteristics to explore those factors associated with better outcomes. Summary: Heterogenous results were pointed out across rechallenge studies with an overall response rate between 0 and 54%, and a progression free survival ranged from 1.5 to 12.9 months and an overall survival between 6.5 and 23.8 months. Better outcomes have been recorded in patients with good ECOG PS, longer duration of initial ICI, discontinuation reason of initial ICI other than progression, and those who received ICI sequence other than the switch between anti-PD1 and anti-PDL1. Studies about ICI resumption highlighted that certain types of irAEs were more likely to relapse at retreatment. These results suggest that ICI rechallenge/resumption can be an interesting strategy for selected patients. Graphical abstract: [Figure not available: see fulltext.]","author":[{"dropping-particle":"","family":"Plazy","given":"Caroline","non-dropping-particle":"","parse-names":false,"suffix":""},{"dropping-particle":"","family":"Hannani","given":"Dalil","non-dropping-particle":"","parse-names":false,"suffix":""},{"dropping-particle":"","family":"Gobbini","given":"Elisa","non-dropping-particle":"","parse-names":false,"suffix":""}],"container-title":"Current Oncology Reports","id":"ITEM-1","issue":"9","issued":{"date-parts":[["2022","9","1"]]},"page":"1095-1106","publisher":"Springer","title":"Immune Checkpoint Inhibitor Rechallenge and Resumption: a Systematic Review","type":"article","volume":"24"},"suppress-author":1,"uris":["http://www.mendeley.com/documents/?uuid=9a51047b-7ca8-3994-b413-5fd2ef002bb4"]}],"mendeley":{"formattedCitation":"(2022)","plainTextFormattedCitation":"(2022)","previouslyFormattedCitation":"(2022)"},"properties":{"noteIndex":0},"schema":"https://github.com/citation-style-language/schema/raw/master/csl-citation.json"}</w:instrText>
            </w:r>
            <w:r w:rsidRPr="00CD4FAB">
              <w:fldChar w:fldCharType="separate"/>
            </w:r>
            <w:r w:rsidRPr="00CD4FAB">
              <w:t>(2022a)</w:t>
            </w:r>
            <w:r w:rsidRPr="00CD4FAB">
              <w:fldChar w:fldCharType="end"/>
            </w:r>
          </w:p>
        </w:tc>
        <w:tc>
          <w:tcPr>
            <w:tcW w:w="1100" w:type="dxa"/>
            <w:shd w:val="clear" w:color="auto" w:fill="auto"/>
          </w:tcPr>
          <w:p w14:paraId="7ABD4809" w14:textId="77777777" w:rsidR="00544356" w:rsidRPr="00CD4FAB" w:rsidRDefault="00544356" w:rsidP="00091851">
            <w:pPr>
              <w:pStyle w:val="TableText0"/>
              <w:keepNext w:val="0"/>
            </w:pPr>
            <w:r w:rsidRPr="00CD4FAB">
              <w:t>Article</w:t>
            </w:r>
          </w:p>
        </w:tc>
        <w:tc>
          <w:tcPr>
            <w:tcW w:w="718" w:type="dxa"/>
            <w:shd w:val="clear" w:color="auto" w:fill="auto"/>
          </w:tcPr>
          <w:p w14:paraId="4A817E1A" w14:textId="77777777" w:rsidR="00544356" w:rsidRPr="00CD4FAB" w:rsidRDefault="00544356" w:rsidP="00091851">
            <w:pPr>
              <w:pStyle w:val="TableText0"/>
              <w:keepNext w:val="0"/>
            </w:pPr>
            <w:r w:rsidRPr="00CD4FAB">
              <w:t>-</w:t>
            </w:r>
          </w:p>
        </w:tc>
        <w:tc>
          <w:tcPr>
            <w:tcW w:w="1219" w:type="dxa"/>
            <w:shd w:val="clear" w:color="auto" w:fill="auto"/>
          </w:tcPr>
          <w:p w14:paraId="64CF7672" w14:textId="77777777" w:rsidR="00544356" w:rsidRPr="00CD4FAB" w:rsidRDefault="00544356" w:rsidP="00091851">
            <w:pPr>
              <w:pStyle w:val="TableText0"/>
              <w:keepNext w:val="0"/>
            </w:pPr>
            <w:r w:rsidRPr="00CD4FAB">
              <w:t>Systematic review</w:t>
            </w:r>
          </w:p>
        </w:tc>
        <w:tc>
          <w:tcPr>
            <w:tcW w:w="4989" w:type="dxa"/>
            <w:shd w:val="clear" w:color="auto" w:fill="auto"/>
          </w:tcPr>
          <w:p w14:paraId="05FFECCD" w14:textId="77777777" w:rsidR="00544356" w:rsidRPr="00CD4FAB" w:rsidRDefault="00544356" w:rsidP="00091851">
            <w:pPr>
              <w:pStyle w:val="TableText0"/>
              <w:keepNext w:val="0"/>
            </w:pPr>
            <w:r w:rsidRPr="00CD4FAB">
              <w:t>Not NSCLC specific; investigated reintroduction of ICIs after disease progression (rechallenge) or irAEs (resumption).</w:t>
            </w:r>
          </w:p>
          <w:p w14:paraId="462C31D7" w14:textId="3517FEEC" w:rsidR="00544356" w:rsidRPr="00CD4FAB" w:rsidRDefault="00544356" w:rsidP="00091851">
            <w:pPr>
              <w:pStyle w:val="TableText0"/>
              <w:keepNext w:val="0"/>
            </w:pPr>
            <w:r w:rsidRPr="00CD4FAB">
              <w:t>Heterogenous results across rechallenge studies with overall response rate 0</w:t>
            </w:r>
            <w:r w:rsidR="001847E8" w:rsidRPr="00CD4FAB">
              <w:t>−</w:t>
            </w:r>
            <w:r w:rsidRPr="00CD4FAB">
              <w:t>54%, PFS 1.5</w:t>
            </w:r>
            <w:r w:rsidR="001847E8" w:rsidRPr="00CD4FAB">
              <w:t>−</w:t>
            </w:r>
            <w:r w:rsidRPr="00CD4FAB">
              <w:t>12.9 months and OS 6.5</w:t>
            </w:r>
            <w:r w:rsidR="001847E8" w:rsidRPr="00CD4FAB">
              <w:t>−</w:t>
            </w:r>
            <w:r w:rsidRPr="00CD4FAB">
              <w:t xml:space="preserve">23.8 months. Better outcomes </w:t>
            </w:r>
            <w:r w:rsidR="001847E8" w:rsidRPr="00CD4FAB">
              <w:t>were</w:t>
            </w:r>
            <w:r w:rsidRPr="00CD4FAB">
              <w:t xml:space="preserve"> recorded in patients with good ECOG PS, longer duration of initial ICI, discontinuation reason of initial ICI other than progression and those who received ICI sequence other than switch between anti-PD-1 and anti-PD</w:t>
            </w:r>
            <w:r w:rsidR="00EA379A" w:rsidRPr="00CD4FAB">
              <w:t>-</w:t>
            </w:r>
            <w:r w:rsidRPr="00CD4FAB">
              <w:t>L1.</w:t>
            </w:r>
          </w:p>
        </w:tc>
      </w:tr>
      <w:tr w:rsidR="00544356" w:rsidRPr="00CD4FAB" w14:paraId="31E9496F" w14:textId="77777777" w:rsidTr="00F5399D">
        <w:tc>
          <w:tcPr>
            <w:tcW w:w="1110" w:type="dxa"/>
            <w:shd w:val="clear" w:color="auto" w:fill="auto"/>
          </w:tcPr>
          <w:p w14:paraId="7199EB3B" w14:textId="77777777" w:rsidR="00544356" w:rsidRPr="00CD4FAB" w:rsidRDefault="00544356" w:rsidP="00A32F4A">
            <w:pPr>
              <w:pStyle w:val="TableText0"/>
              <w:keepNext w:val="0"/>
            </w:pPr>
            <w:r w:rsidRPr="00CD4FAB">
              <w:t xml:space="preserve">Plazy et al </w:t>
            </w:r>
            <w:r w:rsidRPr="00CD4FAB">
              <w:fldChar w:fldCharType="begin" w:fldLock="1"/>
            </w:r>
            <w:r w:rsidRPr="00CD4FAB">
              <w:instrText>ADDIN CSL_CITATION {"citationItems":[{"id":"ITEM-1","itemData":{"DOI":"10.1016/j.annonc.2022.07.1188","ISSN":"09237534","abstract":", LRP1B, STK11 and KEAP1-mutated patients were balanced, with the G12C were co-occurred most in KEAP1-mutated group (58.2%), G12D were co-occurred most in STK11-mutated group (19.6%). Compared to other KRAS-mutated cases, G12-mutated had similar TMB levels. In 546 cases with TPS data, 62% in G12C-mutated group were TPS&gt;1% while only 45% in G12V-mutated group were TPS&gt;1%. According to the TCGA NSCLC cohort, there was no significant difference in overall survival between these subtypes, whether co-mutated with TP53/LRP1B/STK11/ KEAP1 or not. Conclusions: In Chinese NSCLC, the main KRAS G12 subtypes were G12C/D/V/A and G12C was the most frequent. KRAS G12C-mutated NSCLC were most probable to co-mutate with KEAP1 gene, and have relative high PD-L1 expression. G12C/D/V/A had little effect on TMB and had no effect on OS of early lung cancer.","author":[{"dropping-particle":"","family":"Plazy","given":"C.","non-dropping-particle":"","parse-names":false,"suffix":""},{"dropping-particle":"","family":"Toffart","given":"A.C.","non-dropping-particle":"","parse-names":false,"suffix":""},{"dropping-particle":"","family":"Moro-Sibilot","given":"D.","non-dropping-particle":"","parse-names":false,"suffix":""},{"dropping-particle":"","family":"Gobbini","given":"E.","non-dropping-particle":"","parse-names":false,"suffix":""}],"container-title":"Annals of Oncology","id":"ITEM-1","issued":{"date-parts":[["2022","9","1"]]},"page":"S1039-S1040","publisher":"Elsevier BV","title":"1062P Predictive impact of inflammation scores in non-small cell lung cancer patients treated with immunotherapy rechallenge","type":"article-journal","volume":"33"},"suppress-author":1,"uris":["http://www.mendeley.com/documents/?uuid=8db29afb-997e-311b-831a-5947566078d8"]}],"mendeley":{"formattedCitation":"(2022)","plainTextFormattedCitation":"(2022)","previouslyFormattedCitation":"(2022)"},"properties":{"noteIndex":0},"schema":"https://github.com/citation-style-language/schema/raw/master/csl-citation.json"}</w:instrText>
            </w:r>
            <w:r w:rsidRPr="00CD4FAB">
              <w:fldChar w:fldCharType="separate"/>
            </w:r>
            <w:r w:rsidRPr="00CD4FAB">
              <w:t>(2022b)</w:t>
            </w:r>
            <w:r w:rsidRPr="00CD4FAB">
              <w:fldChar w:fldCharType="end"/>
            </w:r>
          </w:p>
        </w:tc>
        <w:tc>
          <w:tcPr>
            <w:tcW w:w="1100" w:type="dxa"/>
            <w:shd w:val="clear" w:color="auto" w:fill="auto"/>
          </w:tcPr>
          <w:p w14:paraId="38E2361D" w14:textId="77777777" w:rsidR="00544356" w:rsidRPr="00CD4FAB" w:rsidRDefault="00544356" w:rsidP="00A32F4A">
            <w:pPr>
              <w:pStyle w:val="TableText0"/>
              <w:keepNext w:val="0"/>
            </w:pPr>
            <w:r w:rsidRPr="00CD4FAB">
              <w:t>Abstract</w:t>
            </w:r>
          </w:p>
        </w:tc>
        <w:tc>
          <w:tcPr>
            <w:tcW w:w="718" w:type="dxa"/>
            <w:shd w:val="clear" w:color="auto" w:fill="auto"/>
          </w:tcPr>
          <w:p w14:paraId="5942BDCA" w14:textId="77777777" w:rsidR="00544356" w:rsidRPr="00CD4FAB" w:rsidRDefault="00544356" w:rsidP="00A32F4A">
            <w:pPr>
              <w:pStyle w:val="TableText0"/>
              <w:keepNext w:val="0"/>
            </w:pPr>
            <w:r w:rsidRPr="00CD4FAB">
              <w:t>81</w:t>
            </w:r>
          </w:p>
        </w:tc>
        <w:tc>
          <w:tcPr>
            <w:tcW w:w="1219" w:type="dxa"/>
            <w:shd w:val="clear" w:color="auto" w:fill="auto"/>
          </w:tcPr>
          <w:p w14:paraId="7077E49E" w14:textId="77777777" w:rsidR="00544356" w:rsidRPr="00CD4FAB" w:rsidRDefault="00544356" w:rsidP="00A32F4A">
            <w:pPr>
              <w:pStyle w:val="TableText0"/>
              <w:keepNext w:val="0"/>
            </w:pPr>
            <w:r w:rsidRPr="00CD4FAB">
              <w:t>Retrospective single centre study</w:t>
            </w:r>
          </w:p>
        </w:tc>
        <w:tc>
          <w:tcPr>
            <w:tcW w:w="4989" w:type="dxa"/>
            <w:shd w:val="clear" w:color="auto" w:fill="auto"/>
          </w:tcPr>
          <w:p w14:paraId="428A735D" w14:textId="2BE14544" w:rsidR="00544356" w:rsidRPr="00CD4FAB" w:rsidRDefault="00544356" w:rsidP="00A32F4A">
            <w:pPr>
              <w:pStyle w:val="TableText0"/>
              <w:keepNext w:val="0"/>
            </w:pPr>
            <w:r w:rsidRPr="00CD4FAB">
              <w:t xml:space="preserve">187 patients received at least 1 line of ICI. Patients were divided into rechallenge (n=81) and not rechallenged (n=106). Reason for first discontinuation </w:t>
            </w:r>
            <w:r w:rsidR="001847E8" w:rsidRPr="00CD4FAB">
              <w:t xml:space="preserve">was </w:t>
            </w:r>
            <w:r w:rsidRPr="00CD4FAB">
              <w:t>not clear.</w:t>
            </w:r>
          </w:p>
          <w:p w14:paraId="54789B43" w14:textId="454BC592" w:rsidR="00544356" w:rsidRPr="00CD4FAB" w:rsidRDefault="00544356" w:rsidP="00A32F4A">
            <w:pPr>
              <w:pStyle w:val="TableText0"/>
              <w:keepNext w:val="0"/>
            </w:pPr>
            <w:r w:rsidRPr="00CD4FAB">
              <w:t xml:space="preserve">Patients in the rechallenged group had </w:t>
            </w:r>
            <w:r w:rsidR="00D8617D" w:rsidRPr="00CD4FAB">
              <w:t xml:space="preserve">a </w:t>
            </w:r>
            <w:r w:rsidRPr="00CD4FAB">
              <w:t>higher OS since first ICI compared to</w:t>
            </w:r>
            <w:r w:rsidR="00D8617D" w:rsidRPr="00CD4FAB">
              <w:t xml:space="preserve"> the</w:t>
            </w:r>
            <w:r w:rsidRPr="00CD4FAB">
              <w:t xml:space="preserve"> not rechallenged group (39.7 months vs 13.3 months), p&lt;0.0001).</w:t>
            </w:r>
          </w:p>
        </w:tc>
      </w:tr>
      <w:tr w:rsidR="00544356" w:rsidRPr="00CD4FAB" w14:paraId="35A75E4F" w14:textId="77777777" w:rsidTr="00F5399D">
        <w:tc>
          <w:tcPr>
            <w:tcW w:w="1110" w:type="dxa"/>
            <w:shd w:val="clear" w:color="auto" w:fill="auto"/>
          </w:tcPr>
          <w:p w14:paraId="5DB2F6F9" w14:textId="77777777" w:rsidR="00544356" w:rsidRPr="00CD4FAB" w:rsidRDefault="00544356" w:rsidP="00A32F4A">
            <w:pPr>
              <w:pStyle w:val="TableText0"/>
              <w:keepNext w:val="0"/>
            </w:pPr>
            <w:r w:rsidRPr="00CD4FAB">
              <w:t xml:space="preserve">Rodriguez-Abreu et al </w:t>
            </w:r>
            <w:r w:rsidRPr="00CD4FAB">
              <w:fldChar w:fldCharType="begin" w:fldLock="1"/>
            </w:r>
            <w:r w:rsidRPr="00CD4FAB">
              <w:instrText>ADDIN CSL_CITATION {"citationItems":[{"id":"ITEM-1","itemData":{"DOI":"10.1016/j.jtho.2022.07.075","ISSN":"15560864","abstract":"Introduction: Pembrolizumab as monotherapy and in combination with chemotherapy substantially prolongs OS and PFS compared with chemotherapy alone in patients with advanced or metastatic NSCLC without EGFR/ALK alterations. In the clinical trial setting, patients whose disease progressed after completing 35 cycles (</w:instrText>
            </w:r>
            <w:r w:rsidRPr="00CD4FAB">
              <w:rPr>
                <w:rFonts w:ascii="Segoe UI Symbol" w:hAnsi="Segoe UI Symbol" w:cs="Segoe UI Symbol"/>
              </w:rPr>
              <w:instrText>⁓</w:instrText>
            </w:r>
            <w:r w:rsidRPr="00CD4FAB">
              <w:instrText>2 years) of pembrolizumab were eligible to receive a second course of pembrolizumab. We present outcomes from an exploratory pooled analysis of patients who began second-course pembrolizumab monotherapy. Methods: This analysis pooled patients with advanced or metastatic NSCLC treated with pembrolizumab monotherapy (cohort 1) in the KEYNOTE-024, KEYNOTE-042, and KEYNOTE-598 studies, and pembrolizumab plus chemotherapy (cohort 2) in the KEYNOTE-189 and KEYNOTE-407 studies (global studies, NCT02142738, 02220894, 03302234, 02578680, 02775435; extension studies, NCT03850444, 03950674, 03875092). Patients included in this analysis received second-course pembrolizumab (up to 17 cycles) following PD after either completing 35 cycles of pembrolizumab (with/without chemotherapy) with SD or better or stopping pembrolizumab before 35 cycles due to CR. Efficacy was analyzed in the ITT population and safety in the as-treated population. Results: In cohort 1, among 148 patients who completed 35 cycles of pembrolizumab and experienced PD, 58 patients received second-course pembrolizumab and were included in this analysis. Cohort 2 included 16 of 55 patients who completed 35 cycles of pembrolizumab (as part of pembrolizumab plus chemotherapy), experienced PD, and received second-course pembrolizumab. 18/58 patients (31%) in cohort 1 and 7/16 (44%) in cohort 2 had squamous histology, and 47/58 (81%) and 7/16 (44%), respectively, had PD-L1 TPS ≥50%. Median (range) time from stopping first-course pembrolizumab to starting second course was 11.7 (3.8-35.6) months in cohort 1 and 6.3 (0.9-18.2) months in cohort 2. Median duration on second course was 8.3 months in cohort 1 and 7.6 months in cohort 2, with an estimated 62% and 59%, respectively, remaining on second course at 6 months. ORR by investigator review during second-course pembrolizumab was 19% in cohort 1 and 6% in cohort 2 (Table). 14 patients (24%) in cohort 1 and 4 (25%) in cohort 2 experienced treatment-related AEs on or after second course, of which 3 (5%) and 1 (6%) were grade 3-4, respectively; none were grade 5. Conclusions: A second course of pembrolizumab monotherapy was feasible, associated wit…","author":[{"dropping-particle":"","family":"Rodriguez-Abreu","given":"D.","non-dropping-particle":"","parse-names":false,"suffix":""},{"dropping-particle":"","family":"Wu","given":"Y.-L.","non-dropping-particle":"","parse-names":false,"suffix":""},{"dropping-particle":"","family":"Boyer","given":"M.","non-dropping-particle":"","parse-names":false,"suffix":""},{"dropping-particle":"","family":"Garassino","given":"M.C.","non-dropping-particle":"","parse-names":false,"suffix":""},{"dropping-particle":"","family":"Mok","given":"T.S.K.","non-dropping-particle":"","parse-names":false,"suffix":""},{"dropping-particle":"","family":"Cheng","given":"Y.","non-dropping-particle":"","parse-names":false,"suffix":""},{"dropping-particle":"","family":"Hui","given":"R.","non-dropping-particle":"","parse-names":false,"suffix":""},{"dropping-particle":"","family":"Kowalski","given":"D.M.","non-dropping-particle":"","parse-names":false,"suffix":""},{"dropping-particle":"","family":"Robinson","given":"A.G.","non-dropping-particle":"","parse-names":false,"suffix":""},{"dropping-particle":"","family":"Brahmer","given":"J.R.","non-dropping-particle":"","parse-names":false,"suffix":""},{"dropping-particle":"","family":"Leal","given":"T.A.","non-dropping-particle":"","parse-names":false,"suffix":""},{"dropping-particle":"","family":"Lopes","given":"G.","non-dropping-particle":"","parse-names":false,"suffix":""},{"dropping-particle":"","family":"Cho","given":"B.C.","non-dropping-particle":"","parse-names":false,"suffix":""},{"dropping-particle":"","family":"Nogami","given":"N.","non-dropping-particle":"","parse-names":false,"suffix":""},{"dropping-particle":"","family":"Novello","given":"S.","non-dropping-particle":"","parse-names":false,"suffix":""},{"dropping-particle":"","family":"Peled","given":"N.","non-dropping-particle":"","parse-names":false,"suffix":""},{"dropping-particle":"","family":"Castro","given":"G.","non-dropping-particle":"de","parse-names":false,"suffix":""},{"dropping-particle":"","family":"Leiby","given":"M.A.","non-dropping-particle":"","parse-names":false,"suffix":""},{"dropping-particle":"","family":"Chirovsky","given":"D.","non-dropping-particle":"","parse-names":false,"suffix":""},{"dropping-particle":"","family":"Lin","given":"J.","non-dropping-particle":"","parse-names":false,"suffix":""},{"dropping-particle":"","family":"Pietanza","given":"M.C.","non-dropping-particle":"","parse-names":false,"suffix":""},{"dropping-particle":"","family":"Reck","given":"M.","non-dropping-particle":"","parse-names":false,"suffix":""}],"container-title":"Journal of Thoracic Oncology","id":"ITEM-1","issue":"9","issued":{"date-parts":[["2022","9","1"]]},"page":"S42-S43","publisher":"Elsevier BV","title":"OA15.06 Pooled Analysis of Outcomes with Second-Course Pembrolizumab Across 5 Phase 3 Studies of Non-Small-Cell Lung Cancer","type":"article-journal","volume":"17"},"suppress-author":1,"uris":["http://www.mendeley.com/documents/?uuid=c35819ee-8d0d-3647-a1ae-2bdaa063dbf9"]}],"mendeley":{"formattedCitation":"(2022)","plainTextFormattedCitation":"(2022)","previouslyFormattedCitation":"(2022)"},"properties":{"noteIndex":0},"schema":"https://github.com/citation-style-language/schema/raw/master/csl-citation.json"}</w:instrText>
            </w:r>
            <w:r w:rsidRPr="00CD4FAB">
              <w:fldChar w:fldCharType="separate"/>
            </w:r>
            <w:r w:rsidRPr="00CD4FAB">
              <w:t>(2022)</w:t>
            </w:r>
            <w:r w:rsidRPr="00CD4FAB">
              <w:fldChar w:fldCharType="end"/>
            </w:r>
          </w:p>
        </w:tc>
        <w:tc>
          <w:tcPr>
            <w:tcW w:w="1100" w:type="dxa"/>
            <w:shd w:val="clear" w:color="auto" w:fill="auto"/>
          </w:tcPr>
          <w:p w14:paraId="35B98B85" w14:textId="77777777" w:rsidR="00544356" w:rsidRPr="00CD4FAB" w:rsidRDefault="00544356" w:rsidP="00A32F4A">
            <w:pPr>
              <w:pStyle w:val="TableText0"/>
              <w:keepNext w:val="0"/>
            </w:pPr>
            <w:r w:rsidRPr="00CD4FAB">
              <w:t>Abstract</w:t>
            </w:r>
          </w:p>
        </w:tc>
        <w:tc>
          <w:tcPr>
            <w:tcW w:w="718" w:type="dxa"/>
            <w:shd w:val="clear" w:color="auto" w:fill="auto"/>
          </w:tcPr>
          <w:p w14:paraId="2A2A37B9" w14:textId="77777777" w:rsidR="00544356" w:rsidRPr="00CD4FAB" w:rsidRDefault="00544356" w:rsidP="00A32F4A">
            <w:pPr>
              <w:pStyle w:val="TableText0"/>
              <w:keepNext w:val="0"/>
            </w:pPr>
          </w:p>
        </w:tc>
        <w:tc>
          <w:tcPr>
            <w:tcW w:w="1219" w:type="dxa"/>
            <w:shd w:val="clear" w:color="auto" w:fill="auto"/>
          </w:tcPr>
          <w:p w14:paraId="30A875D8" w14:textId="77777777" w:rsidR="00544356" w:rsidRPr="00CD4FAB" w:rsidRDefault="00544356" w:rsidP="00A32F4A">
            <w:pPr>
              <w:pStyle w:val="TableText0"/>
              <w:keepNext w:val="0"/>
            </w:pPr>
            <w:r w:rsidRPr="00CD4FAB">
              <w:t>Pooled analysis</w:t>
            </w:r>
          </w:p>
        </w:tc>
        <w:tc>
          <w:tcPr>
            <w:tcW w:w="4989" w:type="dxa"/>
            <w:shd w:val="clear" w:color="auto" w:fill="auto"/>
          </w:tcPr>
          <w:p w14:paraId="49BDBDCE" w14:textId="77777777" w:rsidR="00544356" w:rsidRPr="00CD4FAB" w:rsidRDefault="00544356" w:rsidP="00A32F4A">
            <w:pPr>
              <w:pStyle w:val="TableText0"/>
              <w:keepNext w:val="0"/>
            </w:pPr>
            <w:r w:rsidRPr="00CD4FAB">
              <w:t xml:space="preserve">Patients whose disease progressed after completing 2 years of pembro were eligible to receive a second course of pembro. </w:t>
            </w:r>
          </w:p>
          <w:p w14:paraId="0F27559D" w14:textId="5F7321E0" w:rsidR="00544356" w:rsidRPr="00CD4FAB" w:rsidRDefault="00544356" w:rsidP="00A32F4A">
            <w:pPr>
              <w:pStyle w:val="TableText0"/>
              <w:keepNext w:val="0"/>
            </w:pPr>
            <w:r w:rsidRPr="00CD4FAB">
              <w:t>This analysis pooled patients with pembro mono</w:t>
            </w:r>
            <w:r w:rsidR="00D8617D" w:rsidRPr="00CD4FAB">
              <w:t>therapy</w:t>
            </w:r>
            <w:r w:rsidRPr="00CD4FAB">
              <w:t xml:space="preserve"> (cohort 1) in KN024, KN042 and KN598 and also pembro plus chemo in KN189 and KN407 (cohort 2). Patients included received up to 1 year of pembro mono</w:t>
            </w:r>
            <w:r w:rsidR="00D8617D" w:rsidRPr="00CD4FAB">
              <w:t>therapy</w:t>
            </w:r>
            <w:r w:rsidRPr="00CD4FAB">
              <w:t xml:space="preserve"> after either receiving 2 years of pembro initially or stopping due to CR.</w:t>
            </w:r>
          </w:p>
          <w:p w14:paraId="730C3057" w14:textId="5BE9354F" w:rsidR="00544356" w:rsidRPr="00CD4FAB" w:rsidRDefault="00544356" w:rsidP="00A32F4A">
            <w:pPr>
              <w:pStyle w:val="TableText0"/>
              <w:keepNext w:val="0"/>
            </w:pPr>
            <w:r w:rsidRPr="00CD4FAB">
              <w:t>In cohort 1, 58/148 received</w:t>
            </w:r>
            <w:r w:rsidR="00D8617D" w:rsidRPr="00CD4FAB">
              <w:t xml:space="preserve"> a</w:t>
            </w:r>
            <w:r w:rsidRPr="00CD4FAB">
              <w:t xml:space="preserve"> second course</w:t>
            </w:r>
            <w:r w:rsidR="00D8617D" w:rsidRPr="00CD4FAB">
              <w:t xml:space="preserve"> of</w:t>
            </w:r>
            <w:r w:rsidRPr="00CD4FAB">
              <w:t xml:space="preserve"> pembro. 16/55 patients were in cohort 2. ORR during second course pembro was 19% in cohort 1 and 6% in cohort 2. Overall</w:t>
            </w:r>
            <w:r w:rsidR="00D8617D" w:rsidRPr="00CD4FAB">
              <w:t>, the evaluation considered that</w:t>
            </w:r>
            <w:r w:rsidRPr="00CD4FAB">
              <w:t xml:space="preserve"> the data support</w:t>
            </w:r>
            <w:r w:rsidR="00D8617D" w:rsidRPr="00CD4FAB">
              <w:t>ed</w:t>
            </w:r>
            <w:r w:rsidRPr="00CD4FAB">
              <w:t xml:space="preserve"> pembro retreatment upon PD.</w:t>
            </w:r>
          </w:p>
        </w:tc>
      </w:tr>
      <w:tr w:rsidR="00544356" w:rsidRPr="00CD4FAB" w14:paraId="659775CF" w14:textId="77777777" w:rsidTr="00F5399D">
        <w:tc>
          <w:tcPr>
            <w:tcW w:w="1110" w:type="dxa"/>
            <w:shd w:val="clear" w:color="auto" w:fill="auto"/>
          </w:tcPr>
          <w:p w14:paraId="70D9DB55" w14:textId="77777777" w:rsidR="00544356" w:rsidRPr="00CD4FAB" w:rsidRDefault="00544356" w:rsidP="00330227">
            <w:pPr>
              <w:pStyle w:val="TableText0"/>
              <w:keepLines/>
            </w:pPr>
            <w:r w:rsidRPr="00CD4FAB">
              <w:t xml:space="preserve">Santini et al </w:t>
            </w:r>
            <w:r w:rsidRPr="00CD4FAB">
              <w:fldChar w:fldCharType="begin" w:fldLock="1"/>
            </w:r>
            <w:r w:rsidRPr="00CD4FAB">
              <w:instrText>ADDIN CSL_CITATION {"citationItems":[{"id":"ITEM-1","itemData":{"DOI":"10.1158/2326-6066.CIR-17-0755","ISSN":"23266074","PMID":"29991499","abstract":"Considering retreatment following recovery from an immune-related adverse event (irAE) is a common clinical scenario, but the safety and benefit of retreatment is unknown. We identified patients with advanced non–small cell lung cancer (NSCLC) treated with anti-PD-(L)1 who had treatment held due to irAEs and divided them into two groups: those retreated with anti-PD-(L)1 (retreatment cohort) or those who had treatment stopped (discontinuation cohort). Out of 482 NSCLC patients treated with anti-PD-(L)1, 68 (14%) developed a serious irAE requiring treatment interruption. Of these, 38 (56%) were retreated and 30 (44%) had treatment discontinued. In the retreatment cohort, 18 (48%) patients had no subsequent irAEs, 10 (26%) had recurrence of the initial irAE, and 10 (26%) had a new irAE. Most recurrent/new irAEs were mild (58% grade 1–2) and manageable (84% resolved or improved to grade 1). Two treatment-related deaths occurred. Recurrent/ new irAEs were more likely if the initial irAE required hospitalization, but the initial grade and time to retreatment did not influence risk. Among those with no observed partial responses prior to the irAE, progression-free survival (PFS) and overall survival (OS) were longer in the retreatment cohort. Conversely, for those with objective responses prior to the irAE, PFS and OS were similar in the retreatment and discontinuation cohorts. Among patients with early objective responses prior to a serious irAE, outcomes were similar, whether or not they were retreated. Together, data suggest that benefit may occur with retreatment in patients with irAEs who had no treatment response prior to irAE onset.","author":[{"dropping-particle":"","family":"Santini","given":"Fernando C.","non-dropping-particle":"","parse-names":false,"suffix":""},{"dropping-particle":"","family":"Rizvi","given":"Hira","non-dropping-particle":"","parse-names":false,"suffix":""},{"dropping-particle":"","family":"Plodkowski","given":"Andrew J.","non-dropping-particle":"","parse-names":false,"suffix":""},{"dropping-particle":"","family":"Ni","given":"Andy","non-dropping-particle":"","parse-names":false,"suffix":""},{"dropping-particle":"","family":"Lacouture","given":"Mario E.","non-dropping-particle":"","parse-names":false,"suffix":""},{"dropping-particle":"","family":"Gambarin-Gelwan","given":"Maya","non-dropping-particle":"","parse-names":false,"suffix":""},{"dropping-particle":"","family":"Wilkins","given":"Olivia","non-dropping-particle":"","parse-names":false,"suffix":""},{"dropping-particle":"","family":"Panora","given":"Elizabeth","non-dropping-particle":"","parse-names":false,"suffix":""},{"dropping-particle":"","family":"Halpenny","given":"Darragh F.","non-dropping-particle":"","parse-names":false,"suffix":""},{"dropping-particle":"","family":"Long","given":"Niamh M.","non-dropping-particle":"","parse-names":false,"suffix":""},{"dropping-particle":"","family":"Kris","given":"Mark G.","non-dropping-particle":"","parse-names":false,"suffix":""},{"dropping-particle":"","family":"Rudin","given":"Charles M.","non-dropping-particle":"","parse-names":false,"suffix":""},{"dropping-particle":"","family":"Chaft","given":"Jamie E.","non-dropping-particle":"","parse-names":false,"suffix":""},{"dropping-particle":"","family":"Hellmann","given":"Matthew D.","non-dropping-particle":"","parse-names":false,"suffix":""}],"container-title":"Cancer Immunology Research","id":"ITEM-1","issue":"9","issued":{"date-parts":[["2018","9","1"]]},"page":"1093-1099","publisher":"American Association for Cancer Research Inc.","title":"Safety and efficacy of re-treating with immunotherapy after immune-related adverse events in patients with NSCLC","type":"article-journal","volume":"6"},"suppress-author":1,"uris":["http://www.mendeley.com/documents/?uuid=accd1a9e-c9b4-3277-a199-b72754cd164e"]}],"mendeley":{"formattedCitation":"(2018)","plainTextFormattedCitation":"(2018)","previouslyFormattedCitation":"(2018)"},"properties":{"noteIndex":0},"schema":"https://github.com/citation-style-language/schema/raw/master/csl-citation.json"}</w:instrText>
            </w:r>
            <w:r w:rsidRPr="00CD4FAB">
              <w:fldChar w:fldCharType="separate"/>
            </w:r>
            <w:r w:rsidRPr="00CD4FAB">
              <w:t>(2018)</w:t>
            </w:r>
            <w:r w:rsidRPr="00CD4FAB">
              <w:fldChar w:fldCharType="end"/>
            </w:r>
          </w:p>
        </w:tc>
        <w:tc>
          <w:tcPr>
            <w:tcW w:w="1100" w:type="dxa"/>
            <w:shd w:val="clear" w:color="auto" w:fill="auto"/>
          </w:tcPr>
          <w:p w14:paraId="70C03586" w14:textId="77777777" w:rsidR="00544356" w:rsidRPr="00CD4FAB" w:rsidRDefault="00544356" w:rsidP="00330227">
            <w:pPr>
              <w:pStyle w:val="TableText0"/>
              <w:keepLines/>
            </w:pPr>
            <w:r w:rsidRPr="00CD4FAB">
              <w:t>Article</w:t>
            </w:r>
          </w:p>
        </w:tc>
        <w:tc>
          <w:tcPr>
            <w:tcW w:w="718" w:type="dxa"/>
            <w:shd w:val="clear" w:color="auto" w:fill="auto"/>
          </w:tcPr>
          <w:p w14:paraId="18D25A3B" w14:textId="77777777" w:rsidR="00544356" w:rsidRPr="00CD4FAB" w:rsidRDefault="00544356" w:rsidP="00330227">
            <w:pPr>
              <w:pStyle w:val="TableText0"/>
              <w:keepLines/>
            </w:pPr>
            <w:r w:rsidRPr="00CD4FAB">
              <w:t>38</w:t>
            </w:r>
          </w:p>
        </w:tc>
        <w:tc>
          <w:tcPr>
            <w:tcW w:w="1219" w:type="dxa"/>
            <w:shd w:val="clear" w:color="auto" w:fill="auto"/>
          </w:tcPr>
          <w:p w14:paraId="58DC4959" w14:textId="77777777" w:rsidR="00544356" w:rsidRPr="00CD4FAB" w:rsidRDefault="00544356" w:rsidP="00330227">
            <w:pPr>
              <w:pStyle w:val="TableText0"/>
              <w:keepLines/>
            </w:pPr>
            <w:r w:rsidRPr="00CD4FAB">
              <w:t>Retrospective single centre analysis</w:t>
            </w:r>
          </w:p>
        </w:tc>
        <w:tc>
          <w:tcPr>
            <w:tcW w:w="4989" w:type="dxa"/>
            <w:shd w:val="clear" w:color="auto" w:fill="auto"/>
          </w:tcPr>
          <w:p w14:paraId="15F6B2DA" w14:textId="77777777" w:rsidR="00544356" w:rsidRPr="00CD4FAB" w:rsidRDefault="00544356" w:rsidP="00330227">
            <w:pPr>
              <w:pStyle w:val="TableText0"/>
              <w:keepLines/>
            </w:pPr>
            <w:r w:rsidRPr="00CD4FAB">
              <w:t>Out of 482 NSCLC patients treated with anti-PD-L1, 68 (14%) developed a serious irAE requiring treatment interruption.</w:t>
            </w:r>
          </w:p>
          <w:p w14:paraId="34380EAB" w14:textId="16857721" w:rsidR="00544356" w:rsidRPr="00CD4FAB" w:rsidRDefault="00544356" w:rsidP="00330227">
            <w:pPr>
              <w:pStyle w:val="TableText0"/>
              <w:keepLines/>
            </w:pPr>
            <w:r w:rsidRPr="00CD4FAB">
              <w:t xml:space="preserve">Of these, 38 (56%) were retreated and 30 (44%) had treatment discontinued. Among those with no </w:t>
            </w:r>
            <w:r w:rsidR="00D8617D" w:rsidRPr="00CD4FAB">
              <w:t>PR</w:t>
            </w:r>
            <w:r w:rsidRPr="00CD4FAB">
              <w:t>s prior to the irAE, PFS and OS were longer in the retreatment cohort. Conversely, for those with objective responses prior to the irAE, PFS and OS were similar in the retreatment and discontinuation cohorts.</w:t>
            </w:r>
          </w:p>
        </w:tc>
      </w:tr>
      <w:tr w:rsidR="00544356" w:rsidRPr="00CD4FAB" w14:paraId="0DB46988" w14:textId="77777777" w:rsidTr="00F5399D">
        <w:tc>
          <w:tcPr>
            <w:tcW w:w="1110" w:type="dxa"/>
            <w:shd w:val="clear" w:color="auto" w:fill="auto"/>
          </w:tcPr>
          <w:p w14:paraId="45D88BC9" w14:textId="77777777" w:rsidR="00544356" w:rsidRPr="00CD4FAB" w:rsidRDefault="00544356" w:rsidP="00A32F4A">
            <w:pPr>
              <w:pStyle w:val="TableText0"/>
              <w:keepNext w:val="0"/>
            </w:pPr>
            <w:r w:rsidRPr="00CD4FAB">
              <w:t xml:space="preserve">Takahara et al </w:t>
            </w:r>
            <w:r w:rsidRPr="00CD4FAB">
              <w:fldChar w:fldCharType="begin" w:fldLock="1"/>
            </w:r>
            <w:r w:rsidRPr="00CD4FAB">
              <w:instrText>ADDIN CSL_CITATION {"citationItems":[{"id":"ITEM-1","itemData":{"DOI":"10.1111/1759-7714.14309","ISSN":"17597714","PMID":"34989146","abstract":"Background: The efficacy of rechallenge with immune checkpoint inhibitors (ICIs) in non-small cell lung cancer (NSCLC) patients has not yet been fully clarified. This study aimed to identify the clinical characteristics of patients with NSCLC who benefited from rechallenge with ICIs. Methods: We retrospectively reviewed the clinical records of 24 patients who were diagnosed with NSCLC and rechallenged with ICIs between August 2016 and July 2021. Results: Of the 24 patients included in the study, 11 were in the responder group (45.8%) and 13 in the nonresponder group (54.2%). The number of patients who used a different ICI from that used in the initial therapy was significantly higher in the responder group than in the nonresponder group (p = 0.006). Multivariate analysis identified lung metastasis and female sex as significant independent risk factors for nonresponse to rechallenge with ICIs. Compared to the nonresponder group, the duration of treatment after rechallenge with ICIs was significantly longer in the responder group (p = 0.016), and there was a trend toward longer overall survival (p = 0.059). Conclusions: Patients with lung cancer who were rechallenged with ICIs and without progressive disease after initial ICI therapy were able to continue ICI therapy for a longer period of time. This may be associated with longer survival. Patients with lung metastases and female patients are more likely to be nonresponsive to rechallenge with ICIs. Administration of a different type of ICI from that used in the initial ICI therapy may result in disease control.","author":[{"dropping-particle":"","family":"Takahara","given":"Yutaka","non-dropping-particle":"","parse-names":false,"suffix":""},{"dropping-particle":"","family":"Tanaka","given":"Takuya","non-dropping-particle":"","parse-names":false,"suffix":""},{"dropping-particle":"","family":"Ishige","given":"Yoko","non-dropping-particle":"","parse-names":false,"suffix":""},{"dropping-particle":"","family":"Shionoya","given":"Ikuyo","non-dropping-particle":"","parse-names":false,"suffix":""},{"dropping-particle":"","family":"Yamamura","given":"Kouichi","non-dropping-particle":"","parse-names":false,"suffix":""},{"dropping-particle":"","family":"Sakuma","given":"Takashi","non-dropping-particle":"","parse-names":false,"suffix":""},{"dropping-particle":"","family":"Nishiki","given":"Kazuaki","non-dropping-particle":"","parse-names":false,"suffix":""},{"dropping-particle":"","family":"Nakase","given":"Keisuke","non-dropping-particle":"","parse-names":false,"suffix":""},{"dropping-particle":"","family":"Nojiri","given":"Masafumi","non-dropping-particle":"","parse-names":false,"suffix":""},{"dropping-particle":"","family":"Kato","given":"Ryo","non-dropping-particle":"","parse-names":false,"suffix":""},{"dropping-particle":"","family":"Shinomiya","given":"Shohei","non-dropping-particle":"","parse-names":false,"suffix":""},{"dropping-particle":"","family":"Fujimoto","given":"Yuki","non-dropping-particle":"","parse-names":false,"suffix":""},{"dropping-particle":"","family":"Oikawa","given":"Taku","non-dropping-particle":"","parse-names":false,"suffix":""},{"dropping-particle":"","family":"Mizuno","given":"Shiro","non-dropping-particle":"","parse-names":false,"suffix":""}],"container-title":"Thoracic Cancer","id":"ITEM-1","issue":"4","issued":{"date-parts":[["2022","2","1"]]},"page":"624-630","publisher":"John Wiley &amp; Sons, Ltd","title":"Efficacy and predictors of rechallenge with immune checkpoint inhibitors in non-small cell lung cancer","type":"article-journal","volume":"13"},"suppress-author":1,"uris":["http://www.mendeley.com/documents/?uuid=37021882-5d46-3f64-84d8-861b0fbb8965"]}],"mendeley":{"formattedCitation":"(2022)","plainTextFormattedCitation":"(2022)","previouslyFormattedCitation":"(2022)"},"properties":{"noteIndex":0},"schema":"https://github.com/citation-style-language/schema/raw/master/csl-citation.json"}</w:instrText>
            </w:r>
            <w:r w:rsidRPr="00CD4FAB">
              <w:fldChar w:fldCharType="separate"/>
            </w:r>
            <w:r w:rsidRPr="00CD4FAB">
              <w:t>(2022)</w:t>
            </w:r>
            <w:r w:rsidRPr="00CD4FAB">
              <w:fldChar w:fldCharType="end"/>
            </w:r>
          </w:p>
        </w:tc>
        <w:tc>
          <w:tcPr>
            <w:tcW w:w="1100" w:type="dxa"/>
            <w:shd w:val="clear" w:color="auto" w:fill="auto"/>
          </w:tcPr>
          <w:p w14:paraId="1F776E0C" w14:textId="77777777" w:rsidR="00544356" w:rsidRPr="00CD4FAB" w:rsidRDefault="00544356" w:rsidP="00A32F4A">
            <w:pPr>
              <w:pStyle w:val="TableText0"/>
              <w:keepNext w:val="0"/>
            </w:pPr>
            <w:r w:rsidRPr="00CD4FAB">
              <w:t xml:space="preserve">Article </w:t>
            </w:r>
          </w:p>
        </w:tc>
        <w:tc>
          <w:tcPr>
            <w:tcW w:w="718" w:type="dxa"/>
            <w:shd w:val="clear" w:color="auto" w:fill="auto"/>
          </w:tcPr>
          <w:p w14:paraId="43C57589" w14:textId="77777777" w:rsidR="00544356" w:rsidRPr="00CD4FAB" w:rsidRDefault="00544356" w:rsidP="00A32F4A">
            <w:pPr>
              <w:pStyle w:val="TableText0"/>
              <w:keepNext w:val="0"/>
            </w:pPr>
            <w:r w:rsidRPr="00CD4FAB">
              <w:t>24</w:t>
            </w:r>
          </w:p>
        </w:tc>
        <w:tc>
          <w:tcPr>
            <w:tcW w:w="1219" w:type="dxa"/>
            <w:shd w:val="clear" w:color="auto" w:fill="auto"/>
          </w:tcPr>
          <w:p w14:paraId="093AE4EF" w14:textId="77777777" w:rsidR="00544356" w:rsidRPr="00CD4FAB" w:rsidRDefault="00544356" w:rsidP="00A32F4A">
            <w:pPr>
              <w:pStyle w:val="TableText0"/>
              <w:keepNext w:val="0"/>
            </w:pPr>
            <w:r w:rsidRPr="00CD4FAB">
              <w:t>Retrospective observational study</w:t>
            </w:r>
          </w:p>
        </w:tc>
        <w:tc>
          <w:tcPr>
            <w:tcW w:w="4989" w:type="dxa"/>
            <w:shd w:val="clear" w:color="auto" w:fill="auto"/>
          </w:tcPr>
          <w:p w14:paraId="336D6856" w14:textId="515C5417" w:rsidR="00544356" w:rsidRPr="00CD4FAB" w:rsidRDefault="00544356" w:rsidP="00A32F4A">
            <w:pPr>
              <w:pStyle w:val="TableText0"/>
              <w:keepNext w:val="0"/>
            </w:pPr>
            <w:r w:rsidRPr="00CD4FAB">
              <w:t xml:space="preserve">24 patients diagnosed with NSCLC and rechallenged with ICIs were followed. With regard to reason for discontinuation of initial ICIs: responder group 8 patients had PD and 4 had irAE; non </w:t>
            </w:r>
            <w:r w:rsidRPr="00CD4FAB">
              <w:lastRenderedPageBreak/>
              <w:t>responder group 9 patients had PD, 3 irAEs and one due to clinician discretion.</w:t>
            </w:r>
          </w:p>
          <w:p w14:paraId="074877F9" w14:textId="77777777" w:rsidR="00544356" w:rsidRPr="00CD4FAB" w:rsidRDefault="00544356" w:rsidP="00A32F4A">
            <w:pPr>
              <w:pStyle w:val="TableText0"/>
              <w:keepNext w:val="0"/>
            </w:pPr>
            <w:r w:rsidRPr="00CD4FAB">
              <w:t xml:space="preserve">11 were in the responder group (those who had CR, PR or SD) and 13 in the </w:t>
            </w:r>
            <w:proofErr w:type="spellStart"/>
            <w:r w:rsidRPr="00CD4FAB">
              <w:t>non responder</w:t>
            </w:r>
            <w:proofErr w:type="spellEnd"/>
            <w:r w:rsidRPr="00CD4FAB">
              <w:t xml:space="preserve"> group (those who had PD). </w:t>
            </w:r>
          </w:p>
          <w:p w14:paraId="022F3EF0" w14:textId="77777777" w:rsidR="00544356" w:rsidRPr="00CD4FAB" w:rsidRDefault="00544356" w:rsidP="00A32F4A">
            <w:pPr>
              <w:pStyle w:val="TableText0"/>
              <w:keepNext w:val="0"/>
            </w:pPr>
            <w:r w:rsidRPr="00CD4FAB">
              <w:t>In the responder group, 2 patients had PR and 9 had SD. The response rate was 8.3% and DCR was 45.8%.</w:t>
            </w:r>
          </w:p>
          <w:p w14:paraId="698E287E" w14:textId="2A5B7A31" w:rsidR="00544356" w:rsidRPr="00CD4FAB" w:rsidRDefault="00544356" w:rsidP="00A32F4A">
            <w:pPr>
              <w:pStyle w:val="TableText0"/>
              <w:keepNext w:val="0"/>
            </w:pPr>
            <w:r w:rsidRPr="00CD4FAB">
              <w:t>The study suggest</w:t>
            </w:r>
            <w:r w:rsidR="00FD215A" w:rsidRPr="00CD4FAB">
              <w:t>ed</w:t>
            </w:r>
            <w:r w:rsidRPr="00CD4FAB">
              <w:t xml:space="preserve"> that rechallenge with ICIs can provide long-term disease control and prolonged prognosis with continued treatment, even if tumour growth within the SD range is observed in the initial response assessment. Additionally, rechallenge with ICIs should be a treatment option, even in patients with characteristics that might cause non-response to ICIs.</w:t>
            </w:r>
          </w:p>
        </w:tc>
      </w:tr>
      <w:tr w:rsidR="00544356" w:rsidRPr="00CD4FAB" w14:paraId="04F566CC" w14:textId="77777777" w:rsidTr="00F5399D">
        <w:tc>
          <w:tcPr>
            <w:tcW w:w="1110" w:type="dxa"/>
            <w:shd w:val="clear" w:color="auto" w:fill="auto"/>
          </w:tcPr>
          <w:p w14:paraId="5D414545" w14:textId="77777777" w:rsidR="00544356" w:rsidRPr="00CD4FAB" w:rsidRDefault="00544356" w:rsidP="00A32F4A">
            <w:pPr>
              <w:pStyle w:val="TableText0"/>
              <w:keepNext w:val="0"/>
            </w:pPr>
            <w:r w:rsidRPr="00CD4FAB">
              <w:lastRenderedPageBreak/>
              <w:t xml:space="preserve">Tam et al </w:t>
            </w:r>
            <w:r w:rsidRPr="00CD4FAB">
              <w:fldChar w:fldCharType="begin" w:fldLock="1"/>
            </w:r>
            <w:r w:rsidRPr="00CD4FAB">
              <w:instrText>ADDIN CSL_CITATION {"citationItems":[{"id":"ITEM-1","itemData":{"DOI":"10.1111/ajco.13089","ISSN":"1743-7555","author":[{"dropping-particle":"","family":"Tam","given":"Laura","non-dropping-particle":"","parse-names":false,"suffix":""},{"dropping-particle":"","family":"Matos","given":"Marcos","non-dropping-particle":"","parse-names":false,"suffix":""},{"dropping-particle":"","family":"Dzienis","given":"Marcin","non-dropping-particle":"","parse-names":false,"suffix":""}],"container-title":"Asia-Pacific Journal of Clinical Oncology","id":"ITEM-1","issue":"S7","issued":{"date-parts":[["2018","11"]]},"page":"170-171","publisher":"John Wiley &amp; Sons, Ltd","title":"Exploring the feasibility of rechallenging immunotherapy in lung and melanoma patients following a grade 3–4 immunotherapy-related adverse event","type":"article-journal","volume":"14"},"suppress-author":1,"uris":["http://www.mendeley.com/documents/?uuid=33d8a59f-6b22-3ed4-a20b-c9b92d415642"]}],"mendeley":{"formattedCitation":"(2018)","plainTextFormattedCitation":"(2018)","previouslyFormattedCitation":"(2018)"},"properties":{"noteIndex":0},"schema":"https://github.com/citation-style-language/schema/raw/master/csl-citation.json"}</w:instrText>
            </w:r>
            <w:r w:rsidRPr="00CD4FAB">
              <w:fldChar w:fldCharType="separate"/>
            </w:r>
            <w:r w:rsidRPr="00CD4FAB">
              <w:t>(2018)</w:t>
            </w:r>
            <w:r w:rsidRPr="00CD4FAB">
              <w:fldChar w:fldCharType="end"/>
            </w:r>
          </w:p>
        </w:tc>
        <w:tc>
          <w:tcPr>
            <w:tcW w:w="1100" w:type="dxa"/>
            <w:shd w:val="clear" w:color="auto" w:fill="auto"/>
          </w:tcPr>
          <w:p w14:paraId="2C0B511E" w14:textId="77777777" w:rsidR="00544356" w:rsidRPr="00CD4FAB" w:rsidRDefault="00544356" w:rsidP="00A32F4A">
            <w:pPr>
              <w:pStyle w:val="TableText0"/>
              <w:keepNext w:val="0"/>
            </w:pPr>
            <w:r w:rsidRPr="00CD4FAB">
              <w:t xml:space="preserve">Abstract </w:t>
            </w:r>
          </w:p>
        </w:tc>
        <w:tc>
          <w:tcPr>
            <w:tcW w:w="718" w:type="dxa"/>
            <w:shd w:val="clear" w:color="auto" w:fill="auto"/>
          </w:tcPr>
          <w:p w14:paraId="4933B8B3" w14:textId="77777777" w:rsidR="00544356" w:rsidRPr="00CD4FAB" w:rsidRDefault="00544356" w:rsidP="00A32F4A">
            <w:pPr>
              <w:pStyle w:val="TableText0"/>
              <w:keepNext w:val="0"/>
            </w:pPr>
            <w:r w:rsidRPr="00CD4FAB">
              <w:t>16</w:t>
            </w:r>
          </w:p>
        </w:tc>
        <w:tc>
          <w:tcPr>
            <w:tcW w:w="1219" w:type="dxa"/>
            <w:shd w:val="clear" w:color="auto" w:fill="auto"/>
          </w:tcPr>
          <w:p w14:paraId="60418BD5" w14:textId="77777777" w:rsidR="00544356" w:rsidRPr="00CD4FAB" w:rsidRDefault="00544356" w:rsidP="00A32F4A">
            <w:pPr>
              <w:pStyle w:val="TableText0"/>
              <w:keepNext w:val="0"/>
            </w:pPr>
            <w:r w:rsidRPr="00CD4FAB">
              <w:t xml:space="preserve">Retrospective cross-sectional study </w:t>
            </w:r>
          </w:p>
        </w:tc>
        <w:tc>
          <w:tcPr>
            <w:tcW w:w="4989" w:type="dxa"/>
            <w:shd w:val="clear" w:color="auto" w:fill="auto"/>
          </w:tcPr>
          <w:p w14:paraId="4D9E5E4B" w14:textId="056C6EC9" w:rsidR="00544356" w:rsidRPr="00CD4FAB" w:rsidRDefault="00544356" w:rsidP="00A32F4A">
            <w:pPr>
              <w:pStyle w:val="TableText0"/>
              <w:keepNext w:val="0"/>
            </w:pPr>
            <w:r w:rsidRPr="00CD4FAB">
              <w:t xml:space="preserve">176 eligible patients with metastatic melanoma </w:t>
            </w:r>
            <w:r w:rsidR="00FD36DB" w:rsidRPr="00CD4FAB">
              <w:t>or</w:t>
            </w:r>
            <w:r w:rsidRPr="00CD4FAB">
              <w:t xml:space="preserve"> NSCLC, 25 patients experienced an irAE and 16 were rechallenged upon resolution. Post rechallenge</w:t>
            </w:r>
            <w:r w:rsidR="00FD36DB" w:rsidRPr="00CD4FAB">
              <w:t>,</w:t>
            </w:r>
            <w:r w:rsidRPr="00CD4FAB">
              <w:t xml:space="preserve"> 25% progressed on subsequent scan, 6.3% demonstrated regression, 25.0% remained stable with ongoing ICI; 31.3% </w:t>
            </w:r>
            <w:r w:rsidR="00FD36DB" w:rsidRPr="00CD4FAB">
              <w:t xml:space="preserve">were </w:t>
            </w:r>
            <w:r w:rsidRPr="00CD4FAB">
              <w:t xml:space="preserve">stable on surveillance and 12.5% died prior to repeat scans. </w:t>
            </w:r>
          </w:p>
          <w:p w14:paraId="4F943D02" w14:textId="5C836ECE" w:rsidR="00544356" w:rsidRPr="00CD4FAB" w:rsidRDefault="00544356" w:rsidP="00A32F4A">
            <w:pPr>
              <w:pStyle w:val="TableText0"/>
              <w:keepNext w:val="0"/>
            </w:pPr>
            <w:r w:rsidRPr="00CD4FAB">
              <w:t xml:space="preserve">This study </w:t>
            </w:r>
            <w:r w:rsidR="00FD36DB" w:rsidRPr="00CD4FAB">
              <w:t xml:space="preserve">suggested </w:t>
            </w:r>
            <w:r w:rsidRPr="00CD4FAB">
              <w:t xml:space="preserve">that rechallenge with ICI post-grade III/IV irAE may not be associated with recurrence of irAE. Durability of response post-rechallenge </w:t>
            </w:r>
            <w:r w:rsidR="00FD36DB" w:rsidRPr="00CD4FAB">
              <w:t>wa</w:t>
            </w:r>
            <w:r w:rsidRPr="00CD4FAB">
              <w:t xml:space="preserve">s demonstrated in 64.2% </w:t>
            </w:r>
            <w:r w:rsidR="00FE3BE6" w:rsidRPr="00CD4FAB">
              <w:t xml:space="preserve">of patients </w:t>
            </w:r>
            <w:r w:rsidRPr="00CD4FAB">
              <w:t xml:space="preserve">with </w:t>
            </w:r>
            <w:r w:rsidR="00FD36DB" w:rsidRPr="00CD4FAB">
              <w:t>SD</w:t>
            </w:r>
            <w:r w:rsidRPr="00CD4FAB">
              <w:t xml:space="preserve"> on </w:t>
            </w:r>
            <w:r w:rsidR="00FD36DB" w:rsidRPr="00CD4FAB">
              <w:t xml:space="preserve">an </w:t>
            </w:r>
            <w:r w:rsidRPr="00CD4FAB">
              <w:t>ICI or surveillance.</w:t>
            </w:r>
          </w:p>
        </w:tc>
      </w:tr>
      <w:tr w:rsidR="00544356" w:rsidRPr="00CD4FAB" w14:paraId="050B2F99" w14:textId="77777777" w:rsidTr="00F5399D">
        <w:tc>
          <w:tcPr>
            <w:tcW w:w="1110" w:type="dxa"/>
            <w:shd w:val="clear" w:color="auto" w:fill="auto"/>
          </w:tcPr>
          <w:p w14:paraId="43A7BC25" w14:textId="77777777" w:rsidR="00544356" w:rsidRPr="00CD4FAB" w:rsidRDefault="00544356" w:rsidP="00A32F4A">
            <w:pPr>
              <w:pStyle w:val="TableText0"/>
              <w:keepNext w:val="0"/>
            </w:pPr>
            <w:r w:rsidRPr="00CD4FAB">
              <w:t xml:space="preserve">Torasawa et al </w:t>
            </w:r>
            <w:r w:rsidRPr="00CD4FAB">
              <w:fldChar w:fldCharType="begin" w:fldLock="1"/>
            </w:r>
            <w:r w:rsidRPr="00CD4FAB">
              <w:instrText>ADDIN CSL_CITATION {"citationItems":[{"id":"ITEM-1","itemData":{"DOI":"10.1002/cam4.5939","ISSN":"20457634","PMID":"37062059","abstract":"Background: It is still unclear whether patients with advanced non-small cell lung cancer (NSCLC), with disease progression after initial immune checkpoint inhibitor (ICI) therapy, would benefit from ICIs readministration. Patients and Methods: We retrospectively collected data from patients with advanced NSCLC who received ICI retreatment. Depending on the disease status at the discontinuation of the initial ICI therapy, the patients were divided into two groups: with disease progression (PD group) and without disease progression (Without PD group). Patients in the Without PD group were required to experience disease progression during the treatment-free period. Efficacy was assessed by measuring the objective response rate (ORR) and progression-free survival in retreatment (PFS-R), while safety was assessed using the incidence of immune-related adverse events (irAEs). Results: 30 (46.7%) of 64 eligible patients were included in the PD group and 34 (53.1%) in the Without PD group. Patients in the Without PD group had better clinical outcomes than those in the PD group (ORR, 29.4% vs. 6.7%; p = 0.03, median PFS-R, 4.1 months vs. 2.2 months, hazard ratio [HR], 0.61; 95% confidence interval [CI], 0.36–1.04; p = 0.07). Multivariate Cox regression analysis showed that patients in the Without PD group had significantly longer PFS-R than those in the PD group (HR 0.42, 95% CI, 0.21–0.85; p = 0.015). In terms of safety, 28.1% of patients observed irAEs during ICI retreatment, and the incidence rate of grade 3 or higher irAEs was 7.8%. Specifically, of the 28 patients who discontinued their initial ICI treatment because of irAEs, 35.7% developed irAEs, and 28.6% experienced relapsed irAEs during ICI retreatment. Conclusion: Immune checkpoint inhibitor retreatment demonstrated efficacy in patients who discontinued initial ICI therapy for reasons other than disease progression. However, ICI retreatment was ineffective in patients with disease progression during the initial ICI treatment.","author":[{"dropping-particle":"","family":"Torasawa","given":"Masahiro","non-dropping-particle":"","parse-names":false,"suffix":""},{"dropping-particle":"","family":"Yoshida","given":"Tatsuya","non-dropping-particle":"","parse-names":false,"suffix":""},{"dropping-particle":"","family":"Takeyasu","given":"Yuki","non-dropping-particle":"","parse-names":false,"suffix":""},{"dropping-particle":"","family":"Shimoda","given":"Yukiko","non-dropping-particle":"","parse-names":false,"suffix":""},{"dropping-particle":"","family":"Tateishi","given":"Akiko","non-dropping-particle":"","parse-names":false,"suffix":""},{"dropping-particle":"","family":"Matsumoto","given":"Yuji","non-dropping-particle":"","parse-names":false,"suffix":""},{"dropping-particle":"","family":"Masuda","given":"Ken","non-dropping-particle":"","parse-names":false,"suffix":""},{"dropping-particle":"","family":"Shinno","given":"Yuki","non-dropping-particle":"","parse-names":false,"suffix":""},{"dropping-particle":"","family":"Okuma","given":"Yusuke","non-dropping-particle":"","parse-names":false,"suffix":""},{"dropping-particle":"","family":"Goto","given":"Yasushi","non-dropping-particle":"","parse-names":false,"suffix":""},{"dropping-particle":"","family":"Horinouchi","given":"Hidehito","non-dropping-particle":"","parse-names":false,"suffix":""},{"dropping-particle":"","family":"Yamamoto","given":"Noboru","non-dropping-particle":"","parse-names":false,"suffix":""},{"dropping-particle":"","family":"Takahashi","given":"Kazuhisa","non-dropping-particle":"","parse-names":false,"suffix":""},{"dropping-particle":"","family":"Ohe","given":"Yuichiro","non-dropping-particle":"","parse-names":false,"suffix":""}],"container-title":"Cancer Medicine","id":"ITEM-1","issue":"11","issued":{"date-parts":[["2023","6","1"]]},"page":"12388-12401","publisher":"John Wiley &amp; Sons, Ltd","title":"Disease progression status during initial immune checkpoint inhibitor (ICI) affects the clinical outcome of ICI retreatment in advanced non-small cell lung cancer patients","type":"article-journal","volume":"12"},"suppress-author":1,"uris":["http://www.mendeley.com/documents/?uuid=de4662d7-4468-3efb-a094-5891d99ff278"]}],"mendeley":{"formattedCitation":"(2023)","plainTextFormattedCitation":"(2023)","previouslyFormattedCitation":"(2023)"},"properties":{"noteIndex":0},"schema":"https://github.com/citation-style-language/schema/raw/master/csl-citation.json"}</w:instrText>
            </w:r>
            <w:r w:rsidRPr="00CD4FAB">
              <w:fldChar w:fldCharType="separate"/>
            </w:r>
            <w:r w:rsidRPr="00CD4FAB">
              <w:t>(2023)</w:t>
            </w:r>
            <w:r w:rsidRPr="00CD4FAB">
              <w:fldChar w:fldCharType="end"/>
            </w:r>
          </w:p>
        </w:tc>
        <w:tc>
          <w:tcPr>
            <w:tcW w:w="1100" w:type="dxa"/>
            <w:shd w:val="clear" w:color="auto" w:fill="auto"/>
          </w:tcPr>
          <w:p w14:paraId="14E9B93A" w14:textId="77777777" w:rsidR="00544356" w:rsidRPr="00CD4FAB" w:rsidRDefault="00544356" w:rsidP="00A32F4A">
            <w:pPr>
              <w:pStyle w:val="TableText0"/>
              <w:keepNext w:val="0"/>
            </w:pPr>
            <w:r w:rsidRPr="00CD4FAB">
              <w:t>Article</w:t>
            </w:r>
          </w:p>
        </w:tc>
        <w:tc>
          <w:tcPr>
            <w:tcW w:w="718" w:type="dxa"/>
            <w:shd w:val="clear" w:color="auto" w:fill="auto"/>
          </w:tcPr>
          <w:p w14:paraId="65739B1E" w14:textId="77777777" w:rsidR="00544356" w:rsidRPr="00CD4FAB" w:rsidRDefault="00544356" w:rsidP="00A32F4A">
            <w:pPr>
              <w:pStyle w:val="TableText0"/>
              <w:keepNext w:val="0"/>
            </w:pPr>
            <w:r w:rsidRPr="00CD4FAB">
              <w:t>64</w:t>
            </w:r>
          </w:p>
        </w:tc>
        <w:tc>
          <w:tcPr>
            <w:tcW w:w="1219" w:type="dxa"/>
            <w:shd w:val="clear" w:color="auto" w:fill="auto"/>
          </w:tcPr>
          <w:p w14:paraId="1F12BED1" w14:textId="77777777" w:rsidR="00544356" w:rsidRPr="00CD4FAB" w:rsidRDefault="00544356" w:rsidP="00A32F4A">
            <w:pPr>
              <w:pStyle w:val="TableText0"/>
              <w:keepNext w:val="0"/>
            </w:pPr>
            <w:r w:rsidRPr="00CD4FAB">
              <w:t>Retrospective analysis from single centre</w:t>
            </w:r>
          </w:p>
        </w:tc>
        <w:tc>
          <w:tcPr>
            <w:tcW w:w="4989" w:type="dxa"/>
            <w:shd w:val="clear" w:color="auto" w:fill="auto"/>
          </w:tcPr>
          <w:p w14:paraId="2D2F2780" w14:textId="024EE48D" w:rsidR="00544356" w:rsidRPr="00CD4FAB" w:rsidRDefault="00544356" w:rsidP="00A32F4A">
            <w:pPr>
              <w:pStyle w:val="TableText0"/>
              <w:keepNext w:val="0"/>
            </w:pPr>
            <w:r w:rsidRPr="00CD4FAB">
              <w:t xml:space="preserve">Patients who received ICI retreatment were divided into two groups – those who had disease progression while on ICI treatment and those without PD (i.e. progressed afterwards). 30 of 64 patients were in the PD group and 34 in the no PD group. Patients in the </w:t>
            </w:r>
            <w:r w:rsidR="00FE3BE6" w:rsidRPr="00CD4FAB">
              <w:t>n</w:t>
            </w:r>
            <w:r w:rsidRPr="00CD4FAB">
              <w:t>o PD group had better clinical outcomes than those in the PD group (ORR 29.4% vs 6.7%, p =0.03; median PFS 4.1 vs 2.2</w:t>
            </w:r>
            <w:r w:rsidR="00FE3BE6" w:rsidRPr="00CD4FAB">
              <w:t xml:space="preserve"> </w:t>
            </w:r>
            <w:r w:rsidRPr="00CD4FAB">
              <w:t>months, p=0.07)</w:t>
            </w:r>
            <w:r w:rsidR="00CD4FAB">
              <w:t xml:space="preserve">. </w:t>
            </w:r>
            <w:r w:rsidRPr="00CD4FAB">
              <w:t>ICI rechallenge was more successful than retreatment in those who had progressed on therapy previously.</w:t>
            </w:r>
          </w:p>
        </w:tc>
      </w:tr>
      <w:tr w:rsidR="00544356" w:rsidRPr="00CD4FAB" w14:paraId="191D87DA" w14:textId="77777777" w:rsidTr="00F5399D">
        <w:tc>
          <w:tcPr>
            <w:tcW w:w="1110" w:type="dxa"/>
            <w:shd w:val="clear" w:color="auto" w:fill="auto"/>
          </w:tcPr>
          <w:p w14:paraId="53CAD1B2" w14:textId="77777777" w:rsidR="00544356" w:rsidRPr="00CD4FAB" w:rsidRDefault="00544356" w:rsidP="00330227">
            <w:pPr>
              <w:pStyle w:val="TableText0"/>
              <w:keepLines/>
            </w:pPr>
            <w:r w:rsidRPr="00CD4FAB">
              <w:t xml:space="preserve">Xu et al </w:t>
            </w:r>
            <w:r w:rsidRPr="00CD4FAB">
              <w:fldChar w:fldCharType="begin" w:fldLock="1"/>
            </w:r>
            <w:r w:rsidRPr="00CD4FAB">
              <w:instrText>ADDIN CSL_CITATION {"citationItems":[{"id":"ITEM-1","itemData":{"DOI":"10.1007/s00432-021-03901-2","ISSN":"14321335","PMID":"34982222","abstract":"Purpose: After progression to immunotherapy, the standard of care for non-small cell lung cancer (NSCLC) was limited. Administration of the same or different immune checkpoint inhibitors (i.e., ICI rechallenge) may serve as a novel option. The present study aimed to evaluate the efficacy of ICI rechallenge for NSCLC and explore prognostic factors. Methods: In this retrospective cohort study, data of advanced or metastatic NSCLC patients rechallenged with ICI at the Cancer Hospital, Chinese Academy of Medical Sciences, and Peking Union Medical College between December 2018 and June 2021 were retrieved. Progression-free, overall survivals (PFS; OS), etc. were calculated. Subgroup analyses were conducted according to baseline characteristics, prior treatment results, etc. for prognostic factor exploration using the Cox model. Results: Forty patients were included. Median age was 59 years. Thirty-one (78%) were male. Twenty-seven (68%) were smokers. Adenocarcinoma (28 [70%]) was the major histological subtype. Median PFS of patients receiving initial ICI was 5.7 months. The most common rechallenge regimens were ICI plus chemotherapy and/or angiogenesis inhibitor (93%). Seventeen (43%) were rechallenged with another ICI. Median PFS for ICI rechallenge was 6.8 months (95% CI 5.8–7.8). OS was immature. Tendencies for longer PFS were observed in nonsmoker or patients with adenocarcinoma, response of stable/progressive disease in initial immunotherapy, or whose treatment lines prior to ICI rechallenge were one/two. However, all results of prognostic factors were nonsignificant. Conclusion: ICI rechallenge may be an option for NSCLC after progress to immunotherapy. Further studies to confirm the efficacy and investigate prognostic factors are warranted.","author":[{"dropping-particle":"","family":"Xu","given":"Ziyi","non-dropping-particle":"","parse-names":false,"suffix":""},{"dropping-particle":"","family":"Hao","given":"Xuezhi","non-dropping-particle":"","parse-names":false,"suffix":""},{"dropping-particle":"","family":"Yang","given":"Ke","non-dropping-particle":"","parse-names":false,"suffix":""},{"dropping-particle":"","family":"Wang","given":"Qi","non-dropping-particle":"","parse-names":false,"suffix":""},{"dropping-particle":"","family":"Wang","given":"Jing","non-dropping-particle":"","parse-names":false,"suffix":""},{"dropping-particle":"","family":"Lin","given":"Lin","non-dropping-particle":"","parse-names":false,"suffix":""},{"dropping-particle":"","family":"Teng","given":"Fei","non-dropping-particle":"","parse-names":false,"suffix":""},{"dropping-particle":"","family":"Li","given":"Junling","non-dropping-particle":"","parse-names":false,"suffix":""},{"dropping-particle":"","family":"Xing","given":"Puyuan","non-dropping-particle":"","parse-names":false,"suffix":""}],"container-title":"Journal of Cancer Research and Clinical Oncology","id":"ITEM-1","issue":"11","issued":{"date-parts":[["2022","11","1"]]},"page":"3081-3089","publisher":"Springer Science and Business Media Deutschland GmbH","title":"Immune checkpoint inhibitor rechallenge in advanced or metastatic non-small cell lung cancer: a retrospective cohort study","type":"article-journal","volume":"148"},"suppress-author":1,"uris":["http://www.mendeley.com/documents/?uuid=cbcf3168-eed0-33bd-8d51-57c96b48964a"]}],"mendeley":{"formattedCitation":"(2022)","plainTextFormattedCitation":"(2022)","previouslyFormattedCitation":"(2022)"},"properties":{"noteIndex":0},"schema":"https://github.com/citation-style-language/schema/raw/master/csl-citation.json"}</w:instrText>
            </w:r>
            <w:r w:rsidRPr="00CD4FAB">
              <w:fldChar w:fldCharType="separate"/>
            </w:r>
            <w:r w:rsidRPr="00CD4FAB">
              <w:t>(2022)</w:t>
            </w:r>
            <w:r w:rsidRPr="00CD4FAB">
              <w:fldChar w:fldCharType="end"/>
            </w:r>
          </w:p>
        </w:tc>
        <w:tc>
          <w:tcPr>
            <w:tcW w:w="1100" w:type="dxa"/>
            <w:shd w:val="clear" w:color="auto" w:fill="auto"/>
          </w:tcPr>
          <w:p w14:paraId="26DB86E9" w14:textId="77777777" w:rsidR="00544356" w:rsidRPr="00CD4FAB" w:rsidRDefault="00544356" w:rsidP="00330227">
            <w:pPr>
              <w:pStyle w:val="TableText0"/>
              <w:keepLines/>
            </w:pPr>
            <w:r w:rsidRPr="00CD4FAB">
              <w:t>Article</w:t>
            </w:r>
          </w:p>
        </w:tc>
        <w:tc>
          <w:tcPr>
            <w:tcW w:w="718" w:type="dxa"/>
            <w:shd w:val="clear" w:color="auto" w:fill="auto"/>
          </w:tcPr>
          <w:p w14:paraId="4ED36C0A" w14:textId="77777777" w:rsidR="00544356" w:rsidRPr="00CD4FAB" w:rsidRDefault="00544356" w:rsidP="00330227">
            <w:pPr>
              <w:pStyle w:val="TableText0"/>
              <w:keepLines/>
            </w:pPr>
            <w:r w:rsidRPr="00CD4FAB">
              <w:t>40</w:t>
            </w:r>
          </w:p>
        </w:tc>
        <w:tc>
          <w:tcPr>
            <w:tcW w:w="1219" w:type="dxa"/>
            <w:shd w:val="clear" w:color="auto" w:fill="auto"/>
          </w:tcPr>
          <w:p w14:paraId="1FE49BD8" w14:textId="77777777" w:rsidR="00544356" w:rsidRPr="00CD4FAB" w:rsidRDefault="00544356" w:rsidP="00330227">
            <w:pPr>
              <w:pStyle w:val="TableText0"/>
              <w:keepLines/>
            </w:pPr>
            <w:r w:rsidRPr="00CD4FAB">
              <w:t>Retrospective cohort study</w:t>
            </w:r>
          </w:p>
        </w:tc>
        <w:tc>
          <w:tcPr>
            <w:tcW w:w="4989" w:type="dxa"/>
            <w:shd w:val="clear" w:color="auto" w:fill="auto"/>
          </w:tcPr>
          <w:p w14:paraId="203B69A3" w14:textId="01F07D8E" w:rsidR="00544356" w:rsidRPr="00CD4FAB" w:rsidRDefault="00FE3BE6" w:rsidP="00330227">
            <w:pPr>
              <w:pStyle w:val="TableText0"/>
              <w:keepLines/>
            </w:pPr>
            <w:r w:rsidRPr="00CD4FAB">
              <w:t>The study o</w:t>
            </w:r>
            <w:r w:rsidR="00544356" w:rsidRPr="00CD4FAB">
              <w:t>nly</w:t>
            </w:r>
            <w:r w:rsidRPr="00CD4FAB">
              <w:t xml:space="preserve"> included</w:t>
            </w:r>
            <w:r w:rsidR="00544356" w:rsidRPr="00CD4FAB">
              <w:t xml:space="preserve"> patients who</w:t>
            </w:r>
            <w:r w:rsidRPr="00CD4FAB">
              <w:t xml:space="preserve"> had</w:t>
            </w:r>
            <w:r w:rsidR="00544356" w:rsidRPr="00CD4FAB">
              <w:t xml:space="preserve"> discontinued initial ICI </w:t>
            </w:r>
            <w:r w:rsidRPr="00CD4FAB">
              <w:t xml:space="preserve">treatment </w:t>
            </w:r>
            <w:r w:rsidR="00544356" w:rsidRPr="00CD4FAB">
              <w:t xml:space="preserve">due to </w:t>
            </w:r>
            <w:r w:rsidRPr="00CD4FAB">
              <w:t>PD</w:t>
            </w:r>
            <w:r w:rsidR="00544356" w:rsidRPr="00CD4FAB">
              <w:t xml:space="preserve"> and </w:t>
            </w:r>
            <w:r w:rsidRPr="00CD4FAB">
              <w:t xml:space="preserve">were </w:t>
            </w:r>
            <w:r w:rsidR="00544356" w:rsidRPr="00CD4FAB">
              <w:t>retreated. Median PFS of patients receiving</w:t>
            </w:r>
            <w:r w:rsidR="00DE7CDF" w:rsidRPr="00CD4FAB">
              <w:t xml:space="preserve"> an</w:t>
            </w:r>
            <w:r w:rsidR="00544356" w:rsidRPr="00CD4FAB">
              <w:t xml:space="preserve"> initial ICI was 5.7 months. Median PFS for retreatment was 6.8 months.</w:t>
            </w:r>
          </w:p>
          <w:p w14:paraId="22506696" w14:textId="48B5B373" w:rsidR="00544356" w:rsidRPr="00CD4FAB" w:rsidRDefault="00544356" w:rsidP="00330227">
            <w:pPr>
              <w:pStyle w:val="TableText0"/>
              <w:keepLines/>
            </w:pPr>
            <w:r w:rsidRPr="00CD4FAB">
              <w:t>Tendencies for longer PFS were observed in non-smoker</w:t>
            </w:r>
            <w:r w:rsidR="00DE7CDF" w:rsidRPr="00CD4FAB">
              <w:t>s</w:t>
            </w:r>
            <w:r w:rsidRPr="00CD4FAB">
              <w:t xml:space="preserve"> or patients with adenocarcinoma, response of stable/progressive disease in initial immunotherapy, or whose treatment lines prior to ICI rechallenge were one/two.</w:t>
            </w:r>
          </w:p>
          <w:p w14:paraId="017C5034" w14:textId="020D5FB8" w:rsidR="00544356" w:rsidRPr="00CD4FAB" w:rsidRDefault="00DE7CDF" w:rsidP="00330227">
            <w:pPr>
              <w:pStyle w:val="TableText0"/>
              <w:keepLines/>
            </w:pPr>
            <w:r w:rsidRPr="00CD4FAB">
              <w:t xml:space="preserve">The study suggested that </w:t>
            </w:r>
            <w:r w:rsidR="00544356" w:rsidRPr="00CD4FAB">
              <w:t>retreatment may be an option for NSCLC after progression on first ICI.</w:t>
            </w:r>
          </w:p>
        </w:tc>
      </w:tr>
      <w:tr w:rsidR="00544356" w:rsidRPr="00CD4FAB" w14:paraId="6B2FA84B" w14:textId="77777777" w:rsidTr="00F5399D">
        <w:tc>
          <w:tcPr>
            <w:tcW w:w="1110" w:type="dxa"/>
            <w:shd w:val="clear" w:color="auto" w:fill="auto"/>
          </w:tcPr>
          <w:p w14:paraId="6AA30ED7" w14:textId="77777777" w:rsidR="00544356" w:rsidRPr="00CD4FAB" w:rsidRDefault="00544356" w:rsidP="00A32F4A">
            <w:pPr>
              <w:pStyle w:val="TableText0"/>
              <w:keepNext w:val="0"/>
            </w:pPr>
            <w:r w:rsidRPr="00CD4FAB">
              <w:t xml:space="preserve">Yang et al </w:t>
            </w:r>
            <w:r w:rsidRPr="00CD4FAB">
              <w:fldChar w:fldCharType="begin" w:fldLock="1"/>
            </w:r>
            <w:r w:rsidRPr="00CD4FAB">
              <w:instrText>ADDIN CSL_CITATION {"citationItems":[{"id":"ITEM-1","itemData":{"DOI":"10.21037/tlcr-22-360","ISSN":"22264477","abstract":"Background: The rechallenge of immune checkpoint inhibitors (ICI) is now an optional strategy for patients who discontinued ICI due to immune-related adverse events (irAEs) or disease progression. However, little data is available for the prognosis and prognostic factors of patients receiving ICI rechallenge treatment in advanced lung cancer patients. Our study aimed to explore the efficacy, prognosis and safety of patients who received anti-programmed cell death-1/programmed cell death ligand 1 (anti-PD-1/PD-L1) inhibitor rechallenge. Methods: In our retrospective cohort study, data of advanced lung cancer patients who received anti-PD-1/PD-L1 inhibitor and discontinued due to irAEs or disease progression were collected from December 2016 to August 2021. Enrolled patients were categorized into two groups: rechallenge group (R group) and non-rechallenge group (NR group). Progression-free survival (PFS), overall survival (OS), disease control rate (DCR) and safety data were analyzed. Cox model and subgroup analysis were analyzed according to baseline characteristics, ICI type, the reason for discontinuing ICI, etc. According to Response Evaluation Criteria in Solid Tumors Version 1.1 (RECIST 1.1), evaluation was performed routinely every 6-8 weeks after initiating treatment with the PD-1/PD-L1 inhibitor. The last follow-up in the study was on September 20, 2021. Results: Eighty-one patients who met our inclusion criteria were enrolled. In the whole cohort, the R group achieved better OS than the NR group [hazard ratio (HR) =0.176; 95% confidence interval (CI): 0.065-0.477; P=0.001). In the irAEs group, the survival analyses showed a trend toward improved OS in the rechallenge subgroup (HR =0.287; 95% CI: 0.081-1.025; P=0.055), and a promising DCR of 75% after an ICI rechallenge. Additionally, the exploration of safety outcomes indicated an acceptable recurrence rate (22.5%) of irAEs and an early onset of irAEs after an ICI rechallenge. In the disease progression group, the rechallenge subgroup did not improve OS (HR =0.214; 95% CI: 0.027-1.695; P=0.144), and the DCR of the rechallenge subgroup was 40% after ICI rechallenge. Conclusions: ICI rechallenge might be an attractive option for patients who discontinue treatment due to irAEs. For patients with disease progression, further research should be conducted. The recurrence of irAEs and their early onset during the second round of ICI should be considered.","author":[{"dropping-particle":"","family":"Yang","given":"Jin","non-dropping-particle":"","parse-names":false,"suffix":""},{"dropping-particle":"","family":"Zeng","given":"Ran","non-dropping-particle":"","parse-names":false,"suffix":""},{"dropping-particle":"","family":"Zhou","given":"Jianping","non-dropping-particle":"","parse-names":false,"suffix":""},{"dropping-particle":"","family":"Luo","given":"Lifeng","non-dropping-particle":"","parse-names":false,"suffix":""},{"dropping-particle":"","family":"Lyu","given":"Mengchen","non-dropping-particle":"","parse-names":false,"suffix":""},{"dropping-particle":"","family":"Liu","given":"Fang","non-dropping-particle":"","parse-names":false,"suffix":""},{"dropping-particle":"","family":"Sun","given":"Xianwen","non-dropping-particle":"","parse-names":false,"suffix":""},{"dropping-particle":"","family":"Zhou","given":"Ling","non-dropping-particle":"","parse-names":false,"suffix":""},{"dropping-particle":"","family":"Wang","given":"Xiaofei","non-dropping-particle":"","parse-names":false,"suffix":""},{"dropping-particle":"","family":"Bao","given":"Zhiyao","non-dropping-particle":"","parse-names":false,"suffix":""},{"dropping-particle":"","family":"Chen","given":"Wei","non-dropping-particle":"","parse-names":false,"suffix":""},{"dropping-particle":"","family":"Dumoulin","given":"Daphne W.","non-dropping-particle":"","parse-names":false,"suffix":""},{"dropping-particle":"","family":"Gao","given":"Beili","non-dropping-particle":"","parse-names":false,"suffix":""},{"dropping-particle":"","family":"Xiang","given":"Yi","non-dropping-particle":"","parse-names":false,"suffix":""}],"container-title":"Translational Lung Cancer Research","id":"ITEM-1","issue":"6","issued":{"date-parts":[["2022","6","1"]]},"page":"1038-1050","publisher":"AME Publishing Company","title":"Efficacy, prognosis and safety analysis of anti-PD-1/PD-L1 inhibitor rechallenge in advanced lung cancer patients: a cohort study","type":"article-journal","volume":"11"},"suppress-author":1,"uris":["http://www.mendeley.com/documents/?uuid=f1bd971f-c7eb-3bfe-9c2c-acc0fcf00a27"]}],"mendeley":{"formattedCitation":"(2022)","plainTextFormattedCitation":"(2022)","previouslyFormattedCitation":"(2022)"},"properties":{"noteIndex":0},"schema":"https://github.com/citation-style-language/schema/raw/master/csl-citation.json"}</w:instrText>
            </w:r>
            <w:r w:rsidRPr="00CD4FAB">
              <w:fldChar w:fldCharType="separate"/>
            </w:r>
            <w:r w:rsidRPr="00CD4FAB">
              <w:t>(2022)</w:t>
            </w:r>
            <w:r w:rsidRPr="00CD4FAB">
              <w:fldChar w:fldCharType="end"/>
            </w:r>
          </w:p>
        </w:tc>
        <w:tc>
          <w:tcPr>
            <w:tcW w:w="1100" w:type="dxa"/>
            <w:shd w:val="clear" w:color="auto" w:fill="auto"/>
          </w:tcPr>
          <w:p w14:paraId="0C7D5129" w14:textId="77777777" w:rsidR="00544356" w:rsidRPr="00CD4FAB" w:rsidRDefault="00544356" w:rsidP="00A32F4A">
            <w:pPr>
              <w:pStyle w:val="TableText0"/>
              <w:keepNext w:val="0"/>
            </w:pPr>
            <w:r w:rsidRPr="00CD4FAB">
              <w:t xml:space="preserve">Article </w:t>
            </w:r>
          </w:p>
        </w:tc>
        <w:tc>
          <w:tcPr>
            <w:tcW w:w="718" w:type="dxa"/>
            <w:shd w:val="clear" w:color="auto" w:fill="auto"/>
          </w:tcPr>
          <w:p w14:paraId="3E9F3975" w14:textId="77777777" w:rsidR="00544356" w:rsidRPr="00CD4FAB" w:rsidRDefault="00544356" w:rsidP="00A32F4A">
            <w:pPr>
              <w:pStyle w:val="TableText0"/>
              <w:keepNext w:val="0"/>
            </w:pPr>
            <w:r w:rsidRPr="00CD4FAB">
              <w:t>81</w:t>
            </w:r>
          </w:p>
        </w:tc>
        <w:tc>
          <w:tcPr>
            <w:tcW w:w="1219" w:type="dxa"/>
            <w:shd w:val="clear" w:color="auto" w:fill="auto"/>
          </w:tcPr>
          <w:p w14:paraId="7D6C13BE" w14:textId="77777777" w:rsidR="00544356" w:rsidRPr="00CD4FAB" w:rsidRDefault="00544356" w:rsidP="00A32F4A">
            <w:pPr>
              <w:pStyle w:val="TableText0"/>
              <w:keepNext w:val="0"/>
            </w:pPr>
            <w:r w:rsidRPr="00CD4FAB">
              <w:t>Retrospective cohort study</w:t>
            </w:r>
          </w:p>
        </w:tc>
        <w:tc>
          <w:tcPr>
            <w:tcW w:w="4989" w:type="dxa"/>
            <w:shd w:val="clear" w:color="auto" w:fill="auto"/>
          </w:tcPr>
          <w:p w14:paraId="363E62D9" w14:textId="5369E034" w:rsidR="00544356" w:rsidRPr="00CD4FAB" w:rsidRDefault="00544356" w:rsidP="00A32F4A">
            <w:pPr>
              <w:pStyle w:val="TableText0"/>
              <w:keepNext w:val="0"/>
            </w:pPr>
            <w:r w:rsidRPr="00CD4FAB">
              <w:t xml:space="preserve">Patients were enrolled with advanced NSCLC who received </w:t>
            </w:r>
            <w:r w:rsidR="00DE7CDF" w:rsidRPr="00CD4FAB">
              <w:t xml:space="preserve">an </w:t>
            </w:r>
            <w:r w:rsidRPr="00CD4FAB">
              <w:t>ICI and discontinued due to irAEs or disease progression.</w:t>
            </w:r>
          </w:p>
          <w:p w14:paraId="7ABF6695" w14:textId="53F4CE71" w:rsidR="00544356" w:rsidRPr="00CD4FAB" w:rsidRDefault="00544356" w:rsidP="00A32F4A">
            <w:pPr>
              <w:pStyle w:val="TableText0"/>
              <w:keepNext w:val="0"/>
            </w:pPr>
            <w:r w:rsidRPr="00CD4FAB">
              <w:t xml:space="preserve">The R group achieved better OS than the NR group (HR=0.176, p=0.001). In the irAEs group, survival analysis showed a trend toward improved OS in the rechallenge subgroup (HR=0.287, p=0.055) and a DCR of 75% after an ICI rechallenge. </w:t>
            </w:r>
          </w:p>
          <w:p w14:paraId="1BCF63D5" w14:textId="77777777" w:rsidR="00544356" w:rsidRPr="00CD4FAB" w:rsidRDefault="00544356" w:rsidP="00A32F4A">
            <w:pPr>
              <w:pStyle w:val="TableText0"/>
              <w:keepNext w:val="0"/>
            </w:pPr>
            <w:r w:rsidRPr="00CD4FAB">
              <w:t xml:space="preserve">In the disease progression group, the rechallenge subgroup did not improve OS (HR=0.214, p=0.144) and the DCR of the rechallenge subgroup was 40% after ICI rechallenge. </w:t>
            </w:r>
          </w:p>
          <w:p w14:paraId="7E35A609" w14:textId="3C9464A0" w:rsidR="00544356" w:rsidRPr="00CD4FAB" w:rsidRDefault="00DE7CDF" w:rsidP="00A32F4A">
            <w:pPr>
              <w:pStyle w:val="TableText0"/>
              <w:keepNext w:val="0"/>
            </w:pPr>
            <w:r w:rsidRPr="00CD4FAB">
              <w:t xml:space="preserve">The study suggested that an </w:t>
            </w:r>
            <w:r w:rsidR="00544356" w:rsidRPr="00CD4FAB">
              <w:t xml:space="preserve">ICI rechallenge may be an </w:t>
            </w:r>
            <w:r w:rsidRPr="00CD4FAB">
              <w:t xml:space="preserve">clinically beneficial </w:t>
            </w:r>
            <w:r w:rsidR="00544356" w:rsidRPr="00CD4FAB">
              <w:t xml:space="preserve">option for patients who discontinue treatment due to irAEs. </w:t>
            </w:r>
          </w:p>
        </w:tc>
      </w:tr>
    </w:tbl>
    <w:p w14:paraId="1E583D35" w14:textId="3E2D89B5" w:rsidR="00544356" w:rsidRPr="00CD4FAB" w:rsidRDefault="00544356" w:rsidP="00D221AB">
      <w:pPr>
        <w:pStyle w:val="TableFooter"/>
        <w:jc w:val="both"/>
      </w:pPr>
      <w:r w:rsidRPr="00CD4FAB">
        <w:t>Source: modified</w:t>
      </w:r>
      <w:r w:rsidR="00BD2921" w:rsidRPr="00CD4FAB">
        <w:t xml:space="preserve"> during the evaluation</w:t>
      </w:r>
      <w:r w:rsidRPr="00CD4FAB">
        <w:t xml:space="preserve"> from </w:t>
      </w:r>
      <w:r w:rsidR="00BD2921" w:rsidRPr="00CD4FAB">
        <w:t xml:space="preserve">the </w:t>
      </w:r>
      <w:r w:rsidRPr="00CD4FAB">
        <w:t xml:space="preserve">submission </w:t>
      </w:r>
    </w:p>
    <w:p w14:paraId="3A30ECC0" w14:textId="7408B719" w:rsidR="00544356" w:rsidRPr="00CD4FAB" w:rsidRDefault="003E2364" w:rsidP="00D221AB">
      <w:pPr>
        <w:pStyle w:val="TableFooter"/>
        <w:jc w:val="both"/>
      </w:pPr>
      <w:r w:rsidRPr="00CD4FAB">
        <w:lastRenderedPageBreak/>
        <w:t xml:space="preserve">chemo = chemotherapy; </w:t>
      </w:r>
      <w:r w:rsidR="00E94CD2" w:rsidRPr="00CD4FAB">
        <w:t xml:space="preserve">CI = confidence interval; </w:t>
      </w:r>
      <w:r w:rsidR="00544356" w:rsidRPr="00CD4FAB">
        <w:t xml:space="preserve">CR = complete response; DCR = disease control rate; </w:t>
      </w:r>
      <w:r w:rsidR="00E94CD2" w:rsidRPr="00CD4FAB">
        <w:t>DoT = duration of treatment;</w:t>
      </w:r>
      <w:r w:rsidR="0061137F" w:rsidRPr="00CD4FAB">
        <w:t xml:space="preserve"> ECOG = Eastern Cooperative Oncology Group;</w:t>
      </w:r>
      <w:r w:rsidR="00E94CD2" w:rsidRPr="00CD4FAB">
        <w:t xml:space="preserve"> </w:t>
      </w:r>
      <w:r w:rsidR="00544356" w:rsidRPr="00CD4FAB">
        <w:t xml:space="preserve">HIV </w:t>
      </w:r>
      <w:r w:rsidR="00E94CD2" w:rsidRPr="00CD4FAB">
        <w:t>=</w:t>
      </w:r>
      <w:r w:rsidR="00544356" w:rsidRPr="00CD4FAB">
        <w:t xml:space="preserve"> human immunodeficiency virus; ICI = immune checkpoint inhibitor; </w:t>
      </w:r>
      <w:r w:rsidR="009A2456" w:rsidRPr="00CD4FAB">
        <w:t xml:space="preserve">Ipi = ipilimumab; </w:t>
      </w:r>
      <w:r w:rsidR="00544356" w:rsidRPr="00CD4FAB">
        <w:t>IO = immunotherapy; irAE = immune-related Adverse Event; NSCLC = non-small cell lung cancer; nivo = nivolumab; NR = non-rechallenge; ORR = objective response rate; OS = overall survival; PR = partial response; pembro = pembrolizumab;</w:t>
      </w:r>
      <w:r w:rsidR="00FD215A" w:rsidRPr="00CD4FAB">
        <w:t xml:space="preserve"> PD = progressive disease;</w:t>
      </w:r>
      <w:r w:rsidR="00544356" w:rsidRPr="00CD4FAB">
        <w:t xml:space="preserve"> PFS = progression free survival; PFS1 =</w:t>
      </w:r>
      <w:r w:rsidRPr="00CD4FAB">
        <w:t xml:space="preserve"> progression free survival 1</w:t>
      </w:r>
      <w:r w:rsidR="00544356" w:rsidRPr="00CD4FAB">
        <w:t xml:space="preserve"> </w:t>
      </w:r>
      <w:r w:rsidRPr="00CD4FAB">
        <w:t>(</w:t>
      </w:r>
      <w:r w:rsidR="00544356" w:rsidRPr="00CD4FAB">
        <w:t>time to first progression</w:t>
      </w:r>
      <w:r w:rsidRPr="00CD4FAB">
        <w:t>)</w:t>
      </w:r>
      <w:r w:rsidR="00544356" w:rsidRPr="00CD4FAB">
        <w:t xml:space="preserve">; PFS2 = </w:t>
      </w:r>
      <w:r w:rsidRPr="00CD4FAB">
        <w:t>progression free survival 2 (</w:t>
      </w:r>
      <w:r w:rsidR="00544356" w:rsidRPr="00CD4FAB">
        <w:t>time to second progression</w:t>
      </w:r>
      <w:r w:rsidRPr="00CD4FAB">
        <w:t>)</w:t>
      </w:r>
      <w:r w:rsidR="00544356" w:rsidRPr="00CD4FAB">
        <w:t>;</w:t>
      </w:r>
      <w:r w:rsidR="00084A9D" w:rsidRPr="00CD4FAB">
        <w:t xml:space="preserve"> </w:t>
      </w:r>
      <w:r w:rsidR="001847E8" w:rsidRPr="00CD4FAB">
        <w:t xml:space="preserve">PS = performance status; </w:t>
      </w:r>
      <w:r w:rsidR="00084A9D" w:rsidRPr="00CD4FAB">
        <w:t>q2w = once every two weeks;</w:t>
      </w:r>
      <w:r w:rsidR="00544356" w:rsidRPr="00CD4FAB">
        <w:t xml:space="preserve"> R = rechallenge; SD = stable disease; TTF = time to treatment failure.</w:t>
      </w:r>
    </w:p>
    <w:p w14:paraId="4A4FE085" w14:textId="49C5692A" w:rsidR="00B60939" w:rsidRPr="00CD4FAB" w:rsidRDefault="00B60939" w:rsidP="00EC5836">
      <w:pPr>
        <w:pStyle w:val="4-SubsectionHeading"/>
      </w:pPr>
      <w:bookmarkStart w:id="26" w:name="_Toc22897641"/>
      <w:bookmarkStart w:id="27" w:name="_Toc156979618"/>
      <w:r w:rsidRPr="00CD4FAB">
        <w:t>Comparative effectiveness</w:t>
      </w:r>
      <w:bookmarkEnd w:id="26"/>
      <w:r w:rsidR="00401EB7" w:rsidRPr="00CD4FAB">
        <w:t xml:space="preserve"> and safety</w:t>
      </w:r>
      <w:bookmarkEnd w:id="27"/>
    </w:p>
    <w:p w14:paraId="7A1772B6" w14:textId="1C0E9F42" w:rsidR="00B60939" w:rsidRPr="00CD4FAB" w:rsidRDefault="00401EB7" w:rsidP="0046417F">
      <w:pPr>
        <w:pStyle w:val="3-BodyText"/>
        <w:rPr>
          <w:iCs/>
        </w:rPr>
      </w:pPr>
      <w:r w:rsidRPr="00CD4FAB">
        <w:rPr>
          <w:iCs/>
        </w:rPr>
        <w:t xml:space="preserve">No </w:t>
      </w:r>
      <w:r w:rsidR="00E01CEC" w:rsidRPr="00CD4FAB">
        <w:rPr>
          <w:iCs/>
        </w:rPr>
        <w:t xml:space="preserve">comparative evidence was presented to support retreatment with </w:t>
      </w:r>
      <w:r w:rsidR="008D73B9" w:rsidRPr="00CD4FAB">
        <w:rPr>
          <w:iCs/>
        </w:rPr>
        <w:t xml:space="preserve">a PD-L1 </w:t>
      </w:r>
      <w:r w:rsidR="0046417F" w:rsidRPr="00CD4FAB">
        <w:rPr>
          <w:iCs/>
        </w:rPr>
        <w:t xml:space="preserve">inhibitor </w:t>
      </w:r>
      <w:r w:rsidR="008D73B9" w:rsidRPr="00CD4FAB">
        <w:rPr>
          <w:iCs/>
        </w:rPr>
        <w:t>versus an alternative treatment.</w:t>
      </w:r>
      <w:r w:rsidR="0046417F" w:rsidRPr="00CD4FAB">
        <w:rPr>
          <w:iCs/>
        </w:rPr>
        <w:t xml:space="preserve"> </w:t>
      </w:r>
    </w:p>
    <w:p w14:paraId="74A1172E" w14:textId="3D8B5039" w:rsidR="00B60939" w:rsidRPr="00CD4FAB" w:rsidRDefault="00B60939" w:rsidP="00E9094A">
      <w:pPr>
        <w:pStyle w:val="4-SubsectionHeading"/>
      </w:pPr>
      <w:bookmarkStart w:id="28" w:name="_Toc22897645"/>
      <w:bookmarkStart w:id="29" w:name="_Toc156979619"/>
      <w:r w:rsidRPr="00CD4FAB">
        <w:t>Economic analysis</w:t>
      </w:r>
      <w:bookmarkEnd w:id="28"/>
      <w:r w:rsidR="00605071" w:rsidRPr="00CD4FAB">
        <w:t xml:space="preserve"> for Option B (no </w:t>
      </w:r>
      <w:r w:rsidR="0046417F" w:rsidRPr="00CD4FAB">
        <w:t xml:space="preserve">IO </w:t>
      </w:r>
      <w:r w:rsidR="00605071" w:rsidRPr="00CD4FAB">
        <w:t>retreatment, price increase)</w:t>
      </w:r>
      <w:bookmarkEnd w:id="29"/>
      <w:r w:rsidR="00491B3A" w:rsidRPr="00CD4FAB">
        <w:t xml:space="preserve"> </w:t>
      </w:r>
    </w:p>
    <w:p w14:paraId="2C7CB0FB" w14:textId="7057977B" w:rsidR="008E52BD" w:rsidRPr="00CD4FAB" w:rsidRDefault="008E52BD" w:rsidP="008E52BD">
      <w:pPr>
        <w:pStyle w:val="3-BodyText"/>
        <w:rPr>
          <w:color w:val="0066FF"/>
        </w:rPr>
      </w:pPr>
      <w:r w:rsidRPr="00CD4FAB">
        <w:t xml:space="preserve">The PBAC previously </w:t>
      </w:r>
      <w:r w:rsidR="0045470F">
        <w:t>considered</w:t>
      </w:r>
      <w:r w:rsidR="00873D76" w:rsidRPr="00CD4FAB">
        <w:t xml:space="preserve"> </w:t>
      </w:r>
      <w:r w:rsidRPr="00CD4FAB">
        <w:t xml:space="preserve">nivolumab </w:t>
      </w:r>
      <w:r w:rsidR="00DA3F77">
        <w:t>to be</w:t>
      </w:r>
      <w:r w:rsidR="00DA3F77" w:rsidRPr="00CD4FAB">
        <w:t xml:space="preserve"> </w:t>
      </w:r>
      <w:r w:rsidRPr="00CD4FAB">
        <w:t xml:space="preserve">acceptably cost-effective, based on the economic model included in the July 2023 resubmission. The PBAC considered the re-specified base case </w:t>
      </w:r>
      <w:r w:rsidR="0045470F">
        <w:t>was accep</w:t>
      </w:r>
      <w:r w:rsidR="002B563F">
        <w:t xml:space="preserve">table which </w:t>
      </w:r>
      <w:r w:rsidRPr="00CD4FAB">
        <w:t xml:space="preserve">incorporated a 15 year time horizon, </w:t>
      </w:r>
      <w:r w:rsidR="0046417F" w:rsidRPr="00CD4FAB">
        <w:t>event</w:t>
      </w:r>
      <w:r w:rsidR="004B5C6D" w:rsidRPr="00CD4FAB">
        <w:t>-</w:t>
      </w:r>
      <w:r w:rsidR="0046417F" w:rsidRPr="00CD4FAB">
        <w:t>free survival (</w:t>
      </w:r>
      <w:r w:rsidRPr="00CD4FAB">
        <w:t>EFS</w:t>
      </w:r>
      <w:r w:rsidR="0046417F" w:rsidRPr="00CD4FAB">
        <w:t>)</w:t>
      </w:r>
      <w:r w:rsidRPr="00CD4FAB">
        <w:t xml:space="preserve"> and locoregional recurrence (LR) health state utilities from Grutters et al 2010</w:t>
      </w:r>
      <w:r w:rsidR="0046417F" w:rsidRPr="00CD4FAB">
        <w:t>,</w:t>
      </w:r>
      <w:r w:rsidRPr="00CD4FAB">
        <w:t xml:space="preserve"> and a price reduction that resulted in an ICER of $</w:t>
      </w:r>
      <w:r w:rsidR="00CE4F63" w:rsidRPr="00CE4F63">
        <w:t>25,000</w:t>
      </w:r>
      <w:r w:rsidR="001055AD">
        <w:t> </w:t>
      </w:r>
      <w:r w:rsidR="00CE4F63" w:rsidRPr="00CE4F63">
        <w:t>to &lt;</w:t>
      </w:r>
      <w:r w:rsidR="00D9197C">
        <w:t> </w:t>
      </w:r>
      <w:r w:rsidR="00CE4F63" w:rsidRPr="00CE4F63">
        <w:t>$35,000</w:t>
      </w:r>
      <w:r w:rsidR="00CE4F63">
        <w:t xml:space="preserve"> </w:t>
      </w:r>
      <w:r w:rsidRPr="00CD4FAB">
        <w:t xml:space="preserve">per QALY gained, in line with previous PBAC advice. The PBAC previously noted that the re-specified base case did not incorporate an onset of cure of 6 years in the </w:t>
      </w:r>
      <w:r w:rsidR="00CC6F99" w:rsidRPr="00CD4FAB">
        <w:t>nivolumab + chemotherapy</w:t>
      </w:r>
      <w:r w:rsidRPr="00CD4FAB">
        <w:t xml:space="preserve"> arm and 5 years in the </w:t>
      </w:r>
      <w:r w:rsidR="00CC6F99" w:rsidRPr="00CD4FAB">
        <w:t>chemotherapy</w:t>
      </w:r>
      <w:r w:rsidRPr="00CD4FAB">
        <w:t xml:space="preserve"> arm, however the PBAC considered that the data from Interim analysis 2 of the </w:t>
      </w:r>
      <w:r w:rsidR="00CC6F99" w:rsidRPr="00CD4FAB">
        <w:t xml:space="preserve">Checkmate </w:t>
      </w:r>
      <w:r w:rsidRPr="00CD4FAB">
        <w:t xml:space="preserve">816 trial increased certainty in the trial effects and the resulting modelled benefits. The PBAC therefore advised that the re-specified base case and price proposed in the July 2023 resubmission addressed previous concerns regarding the cost-effectiveness of nivolumab (para 5.7, nivolumab PSD, July 2023 PBAC </w:t>
      </w:r>
      <w:r w:rsidR="002F0548">
        <w:t>m</w:t>
      </w:r>
      <w:r w:rsidRPr="00CD4FAB">
        <w:t>eeting).</w:t>
      </w:r>
    </w:p>
    <w:p w14:paraId="4D19CBB3" w14:textId="0DE8312A" w:rsidR="00FB1E53" w:rsidRPr="00CD4FAB" w:rsidRDefault="00000D2F" w:rsidP="00A74CE5">
      <w:pPr>
        <w:pStyle w:val="3-BodyText"/>
        <w:rPr>
          <w:iCs/>
        </w:rPr>
      </w:pPr>
      <w:r w:rsidRPr="00CD4FAB">
        <w:t>The current submission stated that while immunotherapy retreatment was not supported by the PBAC in July 2023, the accepted economic model included immunotherapy retreatment. The current submission therefore argued that if the economic model was to align with the recommended PBS restriction precluding IO retreatment that ‘the recommended price for nivolumab would not reflect cost-effectiveness of use in this setting’. The submission stated that if IO retreatment is precluded then the unit price for nivolumab should be higher to maintain an ICER of $</w:t>
      </w:r>
      <w:r w:rsidR="000739B6" w:rsidRPr="00CE4F63">
        <w:t>25,000</w:t>
      </w:r>
      <w:r w:rsidR="001055AD">
        <w:t> </w:t>
      </w:r>
      <w:r w:rsidR="000739B6" w:rsidRPr="00CE4F63">
        <w:t>to</w:t>
      </w:r>
      <w:r w:rsidR="001055AD">
        <w:t> </w:t>
      </w:r>
      <w:r w:rsidR="000739B6" w:rsidRPr="00CE4F63">
        <w:t>&lt;</w:t>
      </w:r>
      <w:r w:rsidR="001055AD">
        <w:t> </w:t>
      </w:r>
      <w:r w:rsidR="000739B6" w:rsidRPr="00CE4F63">
        <w:t>$35,000</w:t>
      </w:r>
      <w:r w:rsidR="000739B6">
        <w:t xml:space="preserve"> </w:t>
      </w:r>
      <w:r w:rsidRPr="00CD4FAB">
        <w:t>per QALY gained. The current submission therefore presented two economic models. The economic model for Option A include</w:t>
      </w:r>
      <w:r w:rsidR="00091314" w:rsidRPr="00CD4FAB">
        <w:t>d</w:t>
      </w:r>
      <w:r w:rsidRPr="00CD4FAB">
        <w:t xml:space="preserve"> IO retreatment and </w:t>
      </w:r>
      <w:r w:rsidR="00091314" w:rsidRPr="00CD4FAB">
        <w:t xml:space="preserve">was </w:t>
      </w:r>
      <w:r w:rsidRPr="00CD4FAB">
        <w:t xml:space="preserve">unchanged from the model </w:t>
      </w:r>
      <w:r w:rsidR="00CC6F99" w:rsidRPr="00CD4FAB">
        <w:t xml:space="preserve">considered </w:t>
      </w:r>
      <w:r w:rsidRPr="00CD4FAB">
        <w:t>by the PBAC in July 2023 (</w:t>
      </w:r>
      <w:r w:rsidRPr="00CD4FAB">
        <w:fldChar w:fldCharType="begin" w:fldLock="1"/>
      </w:r>
      <w:r w:rsidRPr="00CD4FAB">
        <w:instrText xml:space="preserve"> REF _Ref153191798 \h  \* MERGEFORMAT </w:instrText>
      </w:r>
      <w:r w:rsidRPr="00CD4FAB">
        <w:fldChar w:fldCharType="separate"/>
      </w:r>
      <w:r w:rsidR="00885DA7" w:rsidRPr="00885DA7">
        <w:t>Table 5</w:t>
      </w:r>
      <w:r w:rsidRPr="00CD4FAB">
        <w:fldChar w:fldCharType="end"/>
      </w:r>
      <w:r w:rsidRPr="00CD4FAB">
        <w:t>). The economic model for Option B preclude</w:t>
      </w:r>
      <w:r w:rsidR="00091314" w:rsidRPr="00CD4FAB">
        <w:t>d</w:t>
      </w:r>
      <w:r w:rsidRPr="00CD4FAB">
        <w:t xml:space="preserve"> IO retreatment and increase</w:t>
      </w:r>
      <w:r w:rsidR="00091314" w:rsidRPr="00CD4FAB">
        <w:t>d</w:t>
      </w:r>
      <w:r w:rsidRPr="00CD4FAB">
        <w:t xml:space="preserve"> the price of nivolumab from $</w:t>
      </w:r>
      <w:r w:rsidR="00924D5E" w:rsidRPr="006E162D">
        <w:rPr>
          <w:color w:val="000000"/>
          <w:w w:val="15"/>
          <w:shd w:val="solid" w:color="000000" w:fill="000000"/>
          <w:fitText w:val="-20" w:id="-961836280"/>
          <w14:textFill>
            <w14:solidFill>
              <w14:srgbClr w14:val="000000">
                <w14:alpha w14:val="100000"/>
              </w14:srgbClr>
            </w14:solidFill>
          </w14:textFill>
        </w:rPr>
        <w:t xml:space="preserve">|  </w:t>
      </w:r>
      <w:r w:rsidR="00924D5E" w:rsidRPr="006E162D">
        <w:rPr>
          <w:color w:val="000000"/>
          <w:spacing w:val="-69"/>
          <w:w w:val="15"/>
          <w:shd w:val="solid" w:color="000000" w:fill="000000"/>
          <w:fitText w:val="-20" w:id="-961836280"/>
          <w14:textFill>
            <w14:solidFill>
              <w14:srgbClr w14:val="000000">
                <w14:alpha w14:val="100000"/>
              </w14:srgbClr>
            </w14:solidFill>
          </w14:textFill>
        </w:rPr>
        <w:t>|</w:t>
      </w:r>
      <w:r w:rsidRPr="00CD4FAB">
        <w:t xml:space="preserve"> per 100</w:t>
      </w:r>
      <w:r w:rsidR="00D9197C">
        <w:t> </w:t>
      </w:r>
      <w:r w:rsidRPr="00CD4FAB">
        <w:t>mg vial to $</w:t>
      </w:r>
      <w:r w:rsidR="00924D5E" w:rsidRPr="006E162D">
        <w:rPr>
          <w:color w:val="000000"/>
          <w:w w:val="15"/>
          <w:shd w:val="solid" w:color="000000" w:fill="000000"/>
          <w:fitText w:val="-20" w:id="-961836279"/>
          <w14:textFill>
            <w14:solidFill>
              <w14:srgbClr w14:val="000000">
                <w14:alpha w14:val="100000"/>
              </w14:srgbClr>
            </w14:solidFill>
          </w14:textFill>
        </w:rPr>
        <w:t xml:space="preserve">|  </w:t>
      </w:r>
      <w:r w:rsidR="00924D5E" w:rsidRPr="006E162D">
        <w:rPr>
          <w:color w:val="000000"/>
          <w:spacing w:val="-69"/>
          <w:w w:val="15"/>
          <w:shd w:val="solid" w:color="000000" w:fill="000000"/>
          <w:fitText w:val="-20" w:id="-961836279"/>
          <w14:textFill>
            <w14:solidFill>
              <w14:srgbClr w14:val="000000">
                <w14:alpha w14:val="100000"/>
              </w14:srgbClr>
            </w14:solidFill>
          </w14:textFill>
        </w:rPr>
        <w:t>|</w:t>
      </w:r>
      <w:r w:rsidRPr="00CD4FAB">
        <w:t xml:space="preserve"> per 100</w:t>
      </w:r>
      <w:r w:rsidR="00D9197C">
        <w:t> </w:t>
      </w:r>
      <w:r w:rsidRPr="00CD4FAB">
        <w:t>mg vial, resulting in an ICER of $</w:t>
      </w:r>
      <w:r w:rsidR="00CE4F63" w:rsidRPr="00CE4F63">
        <w:t>25,000</w:t>
      </w:r>
      <w:r w:rsidR="00F5399D">
        <w:t> </w:t>
      </w:r>
      <w:r w:rsidR="00CE4F63" w:rsidRPr="00CE4F63">
        <w:t>to</w:t>
      </w:r>
      <w:r w:rsidR="00F5399D">
        <w:t> </w:t>
      </w:r>
      <w:r w:rsidR="00CE4F63" w:rsidRPr="00CE4F63">
        <w:t>&lt;</w:t>
      </w:r>
      <w:r w:rsidR="00F5399D">
        <w:t> </w:t>
      </w:r>
      <w:r w:rsidR="00CE4F63" w:rsidRPr="00CE4F63">
        <w:t>$35,000</w:t>
      </w:r>
      <w:r w:rsidR="00CE4F63">
        <w:t xml:space="preserve"> </w:t>
      </w:r>
      <w:r w:rsidRPr="00CD4FAB">
        <w:t>per QALY gained.</w:t>
      </w:r>
      <w:r w:rsidR="00165FF9" w:rsidRPr="00CD4FAB">
        <w:t xml:space="preserve"> </w:t>
      </w:r>
      <w:r w:rsidR="00A74CE5" w:rsidRPr="00CD4FAB">
        <w:rPr>
          <w:iCs/>
        </w:rPr>
        <w:t xml:space="preserve">The ESC advised that the </w:t>
      </w:r>
      <w:r w:rsidR="00B42FBB" w:rsidRPr="00CD4FAB">
        <w:rPr>
          <w:iCs/>
        </w:rPr>
        <w:t>ICER</w:t>
      </w:r>
      <w:r w:rsidR="00A74CE5" w:rsidRPr="00CD4FAB">
        <w:rPr>
          <w:iCs/>
        </w:rPr>
        <w:t xml:space="preserve"> of $</w:t>
      </w:r>
      <w:r w:rsidR="00CE4F63" w:rsidRPr="00CE4F63">
        <w:rPr>
          <w:iCs/>
        </w:rPr>
        <w:t>25,000</w:t>
      </w:r>
      <w:r w:rsidR="001055AD">
        <w:rPr>
          <w:iCs/>
        </w:rPr>
        <w:t> </w:t>
      </w:r>
      <w:r w:rsidR="00CE4F63" w:rsidRPr="00CE4F63">
        <w:rPr>
          <w:iCs/>
        </w:rPr>
        <w:t>to</w:t>
      </w:r>
      <w:r w:rsidR="001055AD">
        <w:rPr>
          <w:iCs/>
        </w:rPr>
        <w:t> </w:t>
      </w:r>
      <w:r w:rsidR="00CE4F63" w:rsidRPr="00CE4F63">
        <w:rPr>
          <w:iCs/>
        </w:rPr>
        <w:t>&lt;</w:t>
      </w:r>
      <w:r w:rsidR="001055AD">
        <w:rPr>
          <w:iCs/>
        </w:rPr>
        <w:t> </w:t>
      </w:r>
      <w:r w:rsidR="00CE4F63" w:rsidRPr="00CE4F63">
        <w:rPr>
          <w:iCs/>
        </w:rPr>
        <w:t>$35,000</w:t>
      </w:r>
      <w:r w:rsidR="00CE4F63">
        <w:rPr>
          <w:iCs/>
        </w:rPr>
        <w:t xml:space="preserve"> </w:t>
      </w:r>
      <w:r w:rsidR="00A74CE5" w:rsidRPr="00CD4FAB">
        <w:rPr>
          <w:iCs/>
        </w:rPr>
        <w:t xml:space="preserve">per QALY gained was accepted by the PBAC in July 2023 under the assumption that IO retreatment would be precluded. </w:t>
      </w:r>
      <w:r w:rsidR="00B42FBB" w:rsidRPr="00CD4FAB">
        <w:rPr>
          <w:iCs/>
        </w:rPr>
        <w:t>In consideration of the cost-effectiveness of neoadjuvant nivolumab and IO retreatment, given the uncertainty related to the clinical and modelled benefits associated with IO retreatment, a lower ICER may be more appropriate</w:t>
      </w:r>
      <w:r w:rsidR="00CD4FAB">
        <w:rPr>
          <w:iCs/>
        </w:rPr>
        <w:t xml:space="preserve">. </w:t>
      </w:r>
    </w:p>
    <w:p w14:paraId="16C8653C" w14:textId="77B2CFD2" w:rsidR="008C5739" w:rsidRPr="00CD4FAB" w:rsidRDefault="00D90CEE" w:rsidP="00D90CEE">
      <w:pPr>
        <w:pStyle w:val="3-BodyText"/>
        <w:rPr>
          <w:color w:val="0066FF"/>
        </w:rPr>
      </w:pPr>
      <w:r w:rsidRPr="00CD4FAB">
        <w:lastRenderedPageBreak/>
        <w:t>The key inputs to the economic models previously considered by the PBAC and the updated changes in this resubmission are summarised in</w:t>
      </w:r>
      <w:r w:rsidR="00885B14" w:rsidRPr="00CD4FAB">
        <w:t xml:space="preserve"> </w:t>
      </w:r>
      <w:r w:rsidR="005B7D0D" w:rsidRPr="00CD4FAB">
        <w:fldChar w:fldCharType="begin" w:fldLock="1"/>
      </w:r>
      <w:r w:rsidR="005B7D0D" w:rsidRPr="00CD4FAB">
        <w:instrText xml:space="preserve"> REF _Ref152327316 \h </w:instrText>
      </w:r>
      <w:r w:rsidR="005B7D0D" w:rsidRPr="00CD4FAB">
        <w:fldChar w:fldCharType="separate"/>
      </w:r>
      <w:r w:rsidR="00885DA7" w:rsidRPr="00CD4FAB">
        <w:t xml:space="preserve">Table </w:t>
      </w:r>
      <w:r w:rsidR="00885DA7">
        <w:rPr>
          <w:noProof/>
        </w:rPr>
        <w:t>4</w:t>
      </w:r>
      <w:r w:rsidR="005B7D0D" w:rsidRPr="00CD4FAB">
        <w:fldChar w:fldCharType="end"/>
      </w:r>
      <w:r w:rsidRPr="00CD4FAB">
        <w:t xml:space="preserve"> below.</w:t>
      </w:r>
    </w:p>
    <w:p w14:paraId="7382C90C" w14:textId="27C22F77" w:rsidR="00784E01" w:rsidRPr="00CD4FAB" w:rsidRDefault="00885B14" w:rsidP="00B108F8">
      <w:pPr>
        <w:pStyle w:val="Caption"/>
        <w:rPr>
          <w:rStyle w:val="CommentReference"/>
          <w:b/>
          <w:szCs w:val="24"/>
        </w:rPr>
      </w:pPr>
      <w:bookmarkStart w:id="30" w:name="_Ref152327316"/>
      <w:r w:rsidRPr="00CD4FAB">
        <w:t xml:space="preserve">Table </w:t>
      </w:r>
      <w:fldSimple w:instr=" SEQ Table \* ARABIC " w:fldLock="1">
        <w:r w:rsidR="00885DA7">
          <w:rPr>
            <w:noProof/>
          </w:rPr>
          <w:t>4</w:t>
        </w:r>
      </w:fldSimple>
      <w:bookmarkEnd w:id="30"/>
      <w:r w:rsidR="00784E01" w:rsidRPr="00CD4FAB">
        <w:rPr>
          <w:rStyle w:val="CommentReference"/>
          <w:b/>
          <w:szCs w:val="24"/>
        </w:rPr>
        <w:t>: Summary of changes to the economic model.</w:t>
      </w:r>
    </w:p>
    <w:tbl>
      <w:tblPr>
        <w:tblStyle w:val="TableGrid"/>
        <w:tblW w:w="0" w:type="auto"/>
        <w:tblInd w:w="-5" w:type="dxa"/>
        <w:tblLook w:val="04A0" w:firstRow="1" w:lastRow="0" w:firstColumn="1" w:lastColumn="0" w:noHBand="0" w:noVBand="1"/>
        <w:tblCaption w:val="Table 4: Summary of changes to the economic model."/>
      </w:tblPr>
      <w:tblGrid>
        <w:gridCol w:w="2827"/>
        <w:gridCol w:w="1568"/>
        <w:gridCol w:w="1701"/>
        <w:gridCol w:w="1559"/>
        <w:gridCol w:w="1367"/>
      </w:tblGrid>
      <w:tr w:rsidR="00784E01" w:rsidRPr="00CD4FAB" w14:paraId="44DC21A0" w14:textId="77777777" w:rsidTr="00D221AB">
        <w:trPr>
          <w:tblHeader/>
        </w:trPr>
        <w:tc>
          <w:tcPr>
            <w:tcW w:w="2827" w:type="dxa"/>
            <w:vAlign w:val="center"/>
          </w:tcPr>
          <w:p w14:paraId="3CFBE71B" w14:textId="5DED8A6C" w:rsidR="00D90CEE" w:rsidRPr="00D9197C" w:rsidRDefault="00CA141B" w:rsidP="00D221AB">
            <w:pPr>
              <w:pStyle w:val="In-tableHeading"/>
              <w:jc w:val="center"/>
              <w:rPr>
                <w:szCs w:val="20"/>
                <w:lang w:val="en-AU"/>
              </w:rPr>
            </w:pPr>
            <w:r w:rsidRPr="00D9197C">
              <w:rPr>
                <w:szCs w:val="20"/>
                <w:lang w:val="en-AU"/>
              </w:rPr>
              <w:t>P</w:t>
            </w:r>
            <w:r w:rsidR="00D90CEE" w:rsidRPr="00D9197C">
              <w:rPr>
                <w:szCs w:val="20"/>
                <w:lang w:val="en-AU"/>
              </w:rPr>
              <w:t>arameter</w:t>
            </w:r>
          </w:p>
        </w:tc>
        <w:tc>
          <w:tcPr>
            <w:tcW w:w="1568" w:type="dxa"/>
            <w:vAlign w:val="center"/>
          </w:tcPr>
          <w:p w14:paraId="26DDBFF1" w14:textId="288D4CE4" w:rsidR="00D90CEE" w:rsidRPr="00D9197C" w:rsidRDefault="00D90CEE" w:rsidP="00D221AB">
            <w:pPr>
              <w:pStyle w:val="In-tableHeading"/>
              <w:jc w:val="center"/>
              <w:rPr>
                <w:szCs w:val="20"/>
                <w:lang w:val="en-AU"/>
              </w:rPr>
            </w:pPr>
            <w:r w:rsidRPr="00D9197C">
              <w:rPr>
                <w:szCs w:val="20"/>
                <w:lang w:val="en-AU"/>
              </w:rPr>
              <w:t>March 2023 Submission</w:t>
            </w:r>
          </w:p>
        </w:tc>
        <w:tc>
          <w:tcPr>
            <w:tcW w:w="1701" w:type="dxa"/>
            <w:vAlign w:val="center"/>
          </w:tcPr>
          <w:p w14:paraId="24193ED1" w14:textId="09704AC5" w:rsidR="00D90CEE" w:rsidRPr="00D9197C" w:rsidRDefault="00D90CEE" w:rsidP="00D221AB">
            <w:pPr>
              <w:pStyle w:val="In-tableHeading"/>
              <w:jc w:val="center"/>
              <w:rPr>
                <w:szCs w:val="20"/>
                <w:lang w:val="en-AU"/>
              </w:rPr>
            </w:pPr>
            <w:r w:rsidRPr="00D9197C">
              <w:rPr>
                <w:szCs w:val="20"/>
                <w:lang w:val="en-AU"/>
              </w:rPr>
              <w:t>July 2023 submission</w:t>
            </w:r>
          </w:p>
        </w:tc>
        <w:tc>
          <w:tcPr>
            <w:tcW w:w="2926" w:type="dxa"/>
            <w:gridSpan w:val="2"/>
            <w:vAlign w:val="center"/>
          </w:tcPr>
          <w:p w14:paraId="778BAF97" w14:textId="0676B72A" w:rsidR="00D90CEE" w:rsidRPr="00D9197C" w:rsidRDefault="00D90CEE" w:rsidP="00D221AB">
            <w:pPr>
              <w:pStyle w:val="In-tableHeading"/>
              <w:jc w:val="center"/>
              <w:rPr>
                <w:szCs w:val="20"/>
                <w:lang w:val="en-AU"/>
              </w:rPr>
            </w:pPr>
            <w:r w:rsidRPr="00D9197C">
              <w:rPr>
                <w:szCs w:val="20"/>
                <w:lang w:val="en-AU"/>
              </w:rPr>
              <w:t>March 202</w:t>
            </w:r>
            <w:r w:rsidR="00784E01" w:rsidRPr="00D9197C">
              <w:rPr>
                <w:szCs w:val="20"/>
                <w:lang w:val="en-AU"/>
              </w:rPr>
              <w:t xml:space="preserve">4 </w:t>
            </w:r>
            <w:r w:rsidRPr="00D9197C">
              <w:rPr>
                <w:szCs w:val="20"/>
                <w:lang w:val="en-AU"/>
              </w:rPr>
              <w:t>submission</w:t>
            </w:r>
          </w:p>
        </w:tc>
      </w:tr>
      <w:tr w:rsidR="00784E01" w:rsidRPr="00CD4FAB" w14:paraId="0EAEB70F" w14:textId="77777777" w:rsidTr="00630660">
        <w:tc>
          <w:tcPr>
            <w:tcW w:w="6096" w:type="dxa"/>
            <w:gridSpan w:val="3"/>
          </w:tcPr>
          <w:p w14:paraId="0F8F99EE" w14:textId="77777777" w:rsidR="00784E01" w:rsidRPr="00D9197C" w:rsidRDefault="00784E01" w:rsidP="00D9197C">
            <w:pPr>
              <w:pStyle w:val="In-tableHeading"/>
              <w:rPr>
                <w:szCs w:val="20"/>
                <w:lang w:val="en-AU"/>
              </w:rPr>
            </w:pPr>
          </w:p>
        </w:tc>
        <w:tc>
          <w:tcPr>
            <w:tcW w:w="1559" w:type="dxa"/>
          </w:tcPr>
          <w:p w14:paraId="685EA82F" w14:textId="47EFD9A5" w:rsidR="00784E01" w:rsidRPr="00D9197C" w:rsidRDefault="00784E01" w:rsidP="00D9197C">
            <w:pPr>
              <w:pStyle w:val="In-tableHeading"/>
              <w:rPr>
                <w:szCs w:val="20"/>
                <w:lang w:val="en-AU"/>
              </w:rPr>
            </w:pPr>
            <w:r w:rsidRPr="00D9197C">
              <w:rPr>
                <w:szCs w:val="20"/>
                <w:lang w:val="en-AU"/>
              </w:rPr>
              <w:t>Option A</w:t>
            </w:r>
          </w:p>
        </w:tc>
        <w:tc>
          <w:tcPr>
            <w:tcW w:w="1367" w:type="dxa"/>
          </w:tcPr>
          <w:p w14:paraId="1311030D" w14:textId="04270D24" w:rsidR="00784E01" w:rsidRPr="00D9197C" w:rsidRDefault="00784E01" w:rsidP="00D9197C">
            <w:pPr>
              <w:pStyle w:val="In-tableHeading"/>
              <w:rPr>
                <w:szCs w:val="20"/>
                <w:lang w:val="en-AU"/>
              </w:rPr>
            </w:pPr>
            <w:r w:rsidRPr="00D9197C">
              <w:rPr>
                <w:szCs w:val="20"/>
                <w:lang w:val="en-AU"/>
              </w:rPr>
              <w:t>Option B</w:t>
            </w:r>
          </w:p>
        </w:tc>
      </w:tr>
      <w:tr w:rsidR="00784E01" w:rsidRPr="00CD4FAB" w14:paraId="7901B746" w14:textId="77777777" w:rsidTr="00630660">
        <w:tc>
          <w:tcPr>
            <w:tcW w:w="2827" w:type="dxa"/>
          </w:tcPr>
          <w:p w14:paraId="4C02D502" w14:textId="4B08345B" w:rsidR="00784E01" w:rsidRPr="00D9197C" w:rsidRDefault="00784E01" w:rsidP="00D221AB">
            <w:pPr>
              <w:pStyle w:val="PBACTableText"/>
              <w:keepNext/>
              <w:spacing w:before="0" w:after="0"/>
            </w:pPr>
            <w:r w:rsidRPr="00D9197C">
              <w:t>Time horizon</w:t>
            </w:r>
          </w:p>
        </w:tc>
        <w:tc>
          <w:tcPr>
            <w:tcW w:w="1568" w:type="dxa"/>
          </w:tcPr>
          <w:p w14:paraId="23B29E6C" w14:textId="0D93AA54" w:rsidR="00784E01" w:rsidRPr="00D9197C" w:rsidRDefault="00784E01" w:rsidP="00D221AB">
            <w:pPr>
              <w:pStyle w:val="PBACTableText"/>
              <w:keepNext/>
              <w:spacing w:before="0" w:after="0"/>
            </w:pPr>
            <w:r w:rsidRPr="00D9197C">
              <w:t>25 years</w:t>
            </w:r>
          </w:p>
        </w:tc>
        <w:tc>
          <w:tcPr>
            <w:tcW w:w="1701" w:type="dxa"/>
          </w:tcPr>
          <w:p w14:paraId="16744FE8" w14:textId="296BAC31" w:rsidR="00784E01" w:rsidRPr="00D9197C" w:rsidRDefault="00784E01" w:rsidP="00D221AB">
            <w:pPr>
              <w:pStyle w:val="PBACTableText"/>
              <w:keepNext/>
              <w:spacing w:before="0" w:after="0"/>
            </w:pPr>
            <w:r w:rsidRPr="00D9197C">
              <w:t>15 years</w:t>
            </w:r>
          </w:p>
        </w:tc>
        <w:tc>
          <w:tcPr>
            <w:tcW w:w="2926" w:type="dxa"/>
            <w:gridSpan w:val="2"/>
          </w:tcPr>
          <w:p w14:paraId="072A3361" w14:textId="1ABD6A29" w:rsidR="00784E01" w:rsidRPr="00D9197C" w:rsidRDefault="00784E01" w:rsidP="00D221AB">
            <w:pPr>
              <w:pStyle w:val="PBACTableText"/>
              <w:keepNext/>
              <w:spacing w:before="0" w:after="0"/>
            </w:pPr>
            <w:r w:rsidRPr="00D9197C">
              <w:t>15 years</w:t>
            </w:r>
          </w:p>
        </w:tc>
      </w:tr>
      <w:tr w:rsidR="00784E01" w:rsidRPr="00CD4FAB" w14:paraId="3ACB26F4" w14:textId="77777777" w:rsidTr="00630660">
        <w:tc>
          <w:tcPr>
            <w:tcW w:w="2827" w:type="dxa"/>
          </w:tcPr>
          <w:p w14:paraId="51E0EA9F" w14:textId="589FAB5F" w:rsidR="00784E01" w:rsidRPr="00D9197C" w:rsidRDefault="00784E01" w:rsidP="00D221AB">
            <w:pPr>
              <w:pStyle w:val="PBACTableText"/>
              <w:keepNext/>
              <w:spacing w:before="0" w:after="0"/>
            </w:pPr>
            <w:r w:rsidRPr="00D9197C">
              <w:t>Onset of cure</w:t>
            </w:r>
          </w:p>
        </w:tc>
        <w:tc>
          <w:tcPr>
            <w:tcW w:w="1568" w:type="dxa"/>
          </w:tcPr>
          <w:p w14:paraId="3C95A8B5" w14:textId="3EE96580" w:rsidR="00784E01" w:rsidRPr="00D9197C" w:rsidRDefault="00784E01" w:rsidP="00D221AB">
            <w:pPr>
              <w:pStyle w:val="PBACTableText"/>
              <w:keepNext/>
              <w:spacing w:before="0" w:after="0"/>
            </w:pPr>
            <w:r w:rsidRPr="00D9197C">
              <w:t>5 years (both treatment arms)</w:t>
            </w:r>
          </w:p>
        </w:tc>
        <w:tc>
          <w:tcPr>
            <w:tcW w:w="1701" w:type="dxa"/>
          </w:tcPr>
          <w:p w14:paraId="54760484" w14:textId="17966581" w:rsidR="00784E01" w:rsidRPr="00D9197C" w:rsidRDefault="00784E01" w:rsidP="00D221AB">
            <w:pPr>
              <w:pStyle w:val="PBACTableText"/>
              <w:keepNext/>
              <w:spacing w:before="0" w:after="0"/>
            </w:pPr>
            <w:r w:rsidRPr="00D9197C">
              <w:t>6 years (both treatment arms)</w:t>
            </w:r>
          </w:p>
        </w:tc>
        <w:tc>
          <w:tcPr>
            <w:tcW w:w="2926" w:type="dxa"/>
            <w:gridSpan w:val="2"/>
          </w:tcPr>
          <w:p w14:paraId="4E9810D9" w14:textId="39578FCA" w:rsidR="00784E01" w:rsidRPr="00D9197C" w:rsidRDefault="00784E01" w:rsidP="00D221AB">
            <w:pPr>
              <w:pStyle w:val="PBACTableText"/>
              <w:keepNext/>
              <w:spacing w:before="0" w:after="0"/>
            </w:pPr>
            <w:r w:rsidRPr="00D9197C">
              <w:t>6 years (both treatment arms)</w:t>
            </w:r>
          </w:p>
        </w:tc>
      </w:tr>
      <w:tr w:rsidR="00784E01" w:rsidRPr="00CD4FAB" w14:paraId="457F8EE0" w14:textId="77777777" w:rsidTr="00630660">
        <w:tc>
          <w:tcPr>
            <w:tcW w:w="2827" w:type="dxa"/>
          </w:tcPr>
          <w:p w14:paraId="1EA23B7B" w14:textId="5602774D" w:rsidR="00784E01" w:rsidRPr="00D9197C" w:rsidRDefault="00784E01" w:rsidP="00D221AB">
            <w:pPr>
              <w:pStyle w:val="PBACTableText"/>
              <w:keepNext/>
              <w:spacing w:before="0" w:after="0"/>
            </w:pPr>
            <w:r w:rsidRPr="00D9197C">
              <w:t>Utility values</w:t>
            </w:r>
          </w:p>
        </w:tc>
        <w:tc>
          <w:tcPr>
            <w:tcW w:w="1568" w:type="dxa"/>
          </w:tcPr>
          <w:p w14:paraId="50D0932F" w14:textId="2DE00028" w:rsidR="00784E01" w:rsidRPr="00D9197C" w:rsidRDefault="00784E01" w:rsidP="00D221AB">
            <w:pPr>
              <w:pStyle w:val="PBACTableText"/>
              <w:keepNext/>
              <w:spacing w:before="0" w:after="0"/>
            </w:pPr>
            <w:r w:rsidRPr="00D9197C">
              <w:t>Trial-based utilities from CheckMate 816</w:t>
            </w:r>
          </w:p>
        </w:tc>
        <w:tc>
          <w:tcPr>
            <w:tcW w:w="1701" w:type="dxa"/>
          </w:tcPr>
          <w:p w14:paraId="6CAB4012" w14:textId="58A6D5E3" w:rsidR="00784E01" w:rsidRPr="00D9197C" w:rsidRDefault="00784E01" w:rsidP="00D221AB">
            <w:pPr>
              <w:pStyle w:val="PBACTableText"/>
              <w:keepNext/>
              <w:spacing w:before="0" w:after="0"/>
            </w:pPr>
            <w:r w:rsidRPr="00D9197C">
              <w:t xml:space="preserve">EFS and LR health state utilities from Grutters et al </w:t>
            </w:r>
            <w:r w:rsidRPr="00D9197C">
              <w:fldChar w:fldCharType="begin" w:fldLock="1"/>
            </w:r>
            <w:r w:rsidRPr="00D9197C">
              <w:instrText>ADDIN CSL_CITATION {"citationItems":[{"id":"ITEM-1","itemData":{"DOI":"10.1016/j.radonc.2009.08.003","ISSN":"01678140","PMID":"19733410","abstract":"Purpose: To provide a comparison between radiotherapy with photons, protons and carbon-ions in the treatment of Non-Small-Cell Lung Cancer (NSCLC), performing a meta-analysis of observational studies. Methods: Eligible studies on conventional radiotherapy (CRT), stereotactic radiotherapy (SBRT), concurrent chemoradiation (CCR), proton therapy and carbon-ion therapy were searched through a systematic review. To obtain pooled estimates of 2- and 5-year disease-specific and overall survival and the occurrence of severe adverse events for each treatment modality, a random effects meta-analysis was carried out. Pooled estimates were corrected for effect modifiers. Results: Corrected pooled estimates for 2-year overall survival in stage I inoperable NSCLC ranged from 53% for CRT to 74% for carbon-ion therapy. Five-year overall survival for CRT (20%) was statistically significantly lower than that for SBRT (42%), proton therapy (40%) and carbon-ion therapy (42%). However, caution is warranted due to the limited number of patients and limited length of follow-up of the particle studies. Conclusion: Survival rates for particle therapy were higher than those for CRT, but similar to SBRT in stage I inoperable NSCLC. Particle therapy may be more beneficial in stage III NSCLC, especially in reducing adverse events. © 2009 Elsevier Ireland Ltd. All rights reserved.","author":[{"dropping-particle":"","family":"Grutters","given":"Janneke PC","non-dropping-particle":"","parse-names":false,"suffix":""},{"dropping-particle":"","family":"Kessels","given":"Alfons GH","non-dropping-particle":"","parse-names":false,"suffix":""},{"dropping-particle":"","family":"Pijls-Johannesma","given":"Madelon","non-dropping-particle":"","parse-names":false,"suffix":""},{"dropping-particle":"","family":"Ruysscher","given":"Dirk","non-dropping-particle":"De","parse-names":false,"suffix":""},{"dropping-particle":"","family":"Joore","given":"Manuela A","non-dropping-particle":"","parse-names":false,"suffix":""},{"dropping-particle":"","family":"Lambin","given":"Philippe","non-dropping-particle":"","parse-names":false,"suffix":""}],"container-title":"Radiotherapy and Oncology","id":"ITEM-1","issue":"1","issued":{"date-parts":[["2010"]]},"page":"32-40","title":"Comparison of the effectiveness of radiotherapy with photons, protons and carbon-ions for non-small cell lung cancer: A meta-analysis","type":"article","volume":"95"},"suppress-author":1,"uris":["http://www.mendeley.com/documents/?uuid=0d1caf9f-a599-3882-8bbe-c0eea28062c7"]}],"mendeley":{"formattedCitation":"(2010)","plainTextFormattedCitation":"(2010)","previouslyFormattedCitation":"(2010)"},"properties":{"noteIndex":0},"schema":"https://github.com/citation-style-language/schema/raw/master/csl-citation.json"}</w:instrText>
            </w:r>
            <w:r w:rsidRPr="00D9197C">
              <w:fldChar w:fldCharType="separate"/>
            </w:r>
            <w:r w:rsidRPr="00D9197C">
              <w:t>(2010)</w:t>
            </w:r>
            <w:r w:rsidRPr="00D9197C">
              <w:fldChar w:fldCharType="end"/>
            </w:r>
          </w:p>
        </w:tc>
        <w:tc>
          <w:tcPr>
            <w:tcW w:w="2926" w:type="dxa"/>
            <w:gridSpan w:val="2"/>
          </w:tcPr>
          <w:p w14:paraId="00C5F61E" w14:textId="12055CC7" w:rsidR="00784E01" w:rsidRPr="00D9197C" w:rsidRDefault="00784E01" w:rsidP="00D221AB">
            <w:pPr>
              <w:pStyle w:val="PBACTableText"/>
              <w:keepNext/>
              <w:spacing w:before="0" w:after="0"/>
            </w:pPr>
            <w:r w:rsidRPr="00D9197C">
              <w:t xml:space="preserve">EFS and LR health state utilities from Grutters et al </w:t>
            </w:r>
            <w:r w:rsidRPr="00D9197C">
              <w:fldChar w:fldCharType="begin" w:fldLock="1"/>
            </w:r>
            <w:r w:rsidRPr="00D9197C">
              <w:instrText>ADDIN CSL_CITATION {"citationItems":[{"id":"ITEM-1","itemData":{"DOI":"10.1016/j.radonc.2009.08.003","ISSN":"01678140","PMID":"19733410","abstract":"Purpose: To provide a comparison between radiotherapy with photons, protons and carbon-ions in the treatment of Non-Small-Cell Lung Cancer (NSCLC), performing a meta-analysis of observational studies. Methods: Eligible studies on conventional radiotherapy (CRT), stereotactic radiotherapy (SBRT), concurrent chemoradiation (CCR), proton therapy and carbon-ion therapy were searched through a systematic review. To obtain pooled estimates of 2- and 5-year disease-specific and overall survival and the occurrence of severe adverse events for each treatment modality, a random effects meta-analysis was carried out. Pooled estimates were corrected for effect modifiers. Results: Corrected pooled estimates for 2-year overall survival in stage I inoperable NSCLC ranged from 53% for CRT to 74% for carbon-ion therapy. Five-year overall survival for CRT (20%) was statistically significantly lower than that for SBRT (42%), proton therapy (40%) and carbon-ion therapy (42%). However, caution is warranted due to the limited number of patients and limited length of follow-up of the particle studies. Conclusion: Survival rates for particle therapy were higher than those for CRT, but similar to SBRT in stage I inoperable NSCLC. Particle therapy may be more beneficial in stage III NSCLC, especially in reducing adverse events. © 2009 Elsevier Ireland Ltd. All rights reserved.","author":[{"dropping-particle":"","family":"Grutters","given":"Janneke PC","non-dropping-particle":"","parse-names":false,"suffix":""},{"dropping-particle":"","family":"Kessels","given":"Alfons GH","non-dropping-particle":"","parse-names":false,"suffix":""},{"dropping-particle":"","family":"Pijls-Johannesma","given":"Madelon","non-dropping-particle":"","parse-names":false,"suffix":""},{"dropping-particle":"","family":"Ruysscher","given":"Dirk","non-dropping-particle":"De","parse-names":false,"suffix":""},{"dropping-particle":"","family":"Joore","given":"Manuela A","non-dropping-particle":"","parse-names":false,"suffix":""},{"dropping-particle":"","family":"Lambin","given":"Philippe","non-dropping-particle":"","parse-names":false,"suffix":""}],"container-title":"Radiotherapy and Oncology","id":"ITEM-1","issue":"1","issued":{"date-parts":[["2010"]]},"page":"32-40","title":"Comparison of the effectiveness of radiotherapy with photons, protons and carbon-ions for non-small cell lung cancer: A meta-analysis","type":"article","volume":"95"},"suppress-author":1,"uris":["http://www.mendeley.com/documents/?uuid=0d1caf9f-a599-3882-8bbe-c0eea28062c7"]}],"mendeley":{"formattedCitation":"(2010)","plainTextFormattedCitation":"(2010)","previouslyFormattedCitation":"(2010)"},"properties":{"noteIndex":0},"schema":"https://github.com/citation-style-language/schema/raw/master/csl-citation.json"}</w:instrText>
            </w:r>
            <w:r w:rsidRPr="00D9197C">
              <w:fldChar w:fldCharType="separate"/>
            </w:r>
            <w:r w:rsidRPr="00D9197C">
              <w:t>(2010)</w:t>
            </w:r>
            <w:r w:rsidRPr="00D9197C">
              <w:fldChar w:fldCharType="end"/>
            </w:r>
          </w:p>
        </w:tc>
      </w:tr>
      <w:tr w:rsidR="00784E01" w:rsidRPr="00CD4FAB" w14:paraId="3459D2C6" w14:textId="77777777" w:rsidTr="00630660">
        <w:tc>
          <w:tcPr>
            <w:tcW w:w="2827" w:type="dxa"/>
          </w:tcPr>
          <w:p w14:paraId="49990722" w14:textId="2E0C8432" w:rsidR="00784E01" w:rsidRPr="00D9197C" w:rsidRDefault="00DF54E0" w:rsidP="00D221AB">
            <w:pPr>
              <w:pStyle w:val="PBACTableText"/>
              <w:keepNext/>
              <w:spacing w:before="0" w:after="0"/>
            </w:pPr>
            <w:r w:rsidRPr="00D9197C">
              <w:t xml:space="preserve">Nivolumab </w:t>
            </w:r>
            <w:r w:rsidR="00784E01" w:rsidRPr="00D9197C">
              <w:t>ex-manufacturer price (100</w:t>
            </w:r>
            <w:r w:rsidR="00D9197C" w:rsidRPr="00D9197C">
              <w:t> </w:t>
            </w:r>
            <w:r w:rsidR="00784E01" w:rsidRPr="00D9197C">
              <w:t>mg)</w:t>
            </w:r>
          </w:p>
        </w:tc>
        <w:tc>
          <w:tcPr>
            <w:tcW w:w="1568" w:type="dxa"/>
          </w:tcPr>
          <w:p w14:paraId="0EB38DE7" w14:textId="6056CD87" w:rsidR="00784E01" w:rsidRPr="00D9197C" w:rsidRDefault="00784E01" w:rsidP="00D221AB">
            <w:pPr>
              <w:pStyle w:val="PBACTableText"/>
              <w:keepNext/>
              <w:spacing w:before="0" w:after="0"/>
            </w:pPr>
            <w:r w:rsidRPr="00D9197C">
              <w:t>$</w:t>
            </w:r>
            <w:r w:rsidR="00924D5E" w:rsidRPr="00924D5E">
              <w:rPr>
                <w:color w:val="000000"/>
                <w:spacing w:val="51"/>
                <w:shd w:val="solid" w:color="000000" w:fill="000000"/>
                <w:fitText w:val="326" w:id="-961836278"/>
                <w14:textFill>
                  <w14:solidFill>
                    <w14:srgbClr w14:val="000000">
                      <w14:alpha w14:val="100000"/>
                    </w14:srgbClr>
                  </w14:solidFill>
                </w14:textFill>
              </w:rPr>
              <w:t>|||</w:t>
            </w:r>
            <w:r w:rsidR="00924D5E" w:rsidRPr="00924D5E">
              <w:rPr>
                <w:color w:val="000000"/>
                <w:spacing w:val="3"/>
                <w:shd w:val="solid" w:color="000000" w:fill="000000"/>
                <w:fitText w:val="326" w:id="-961836278"/>
                <w14:textFill>
                  <w14:solidFill>
                    <w14:srgbClr w14:val="000000">
                      <w14:alpha w14:val="100000"/>
                    </w14:srgbClr>
                  </w14:solidFill>
                </w14:textFill>
              </w:rPr>
              <w:t>|</w:t>
            </w:r>
          </w:p>
        </w:tc>
        <w:tc>
          <w:tcPr>
            <w:tcW w:w="1701" w:type="dxa"/>
          </w:tcPr>
          <w:p w14:paraId="195795A3" w14:textId="5D2CE6B4" w:rsidR="00784E01" w:rsidRPr="00D9197C" w:rsidRDefault="00784E01" w:rsidP="00D221AB">
            <w:pPr>
              <w:pStyle w:val="PBACTableText"/>
              <w:keepNext/>
              <w:spacing w:before="0" w:after="0"/>
            </w:pPr>
            <w:r w:rsidRPr="00D9197C">
              <w:t>$</w:t>
            </w:r>
            <w:r w:rsidR="00924D5E" w:rsidRPr="00924D5E">
              <w:rPr>
                <w:color w:val="000000"/>
                <w:spacing w:val="51"/>
                <w:shd w:val="solid" w:color="000000" w:fill="000000"/>
                <w:fitText w:val="326" w:id="-961836277"/>
                <w14:textFill>
                  <w14:solidFill>
                    <w14:srgbClr w14:val="000000">
                      <w14:alpha w14:val="100000"/>
                    </w14:srgbClr>
                  </w14:solidFill>
                </w14:textFill>
              </w:rPr>
              <w:t>|||</w:t>
            </w:r>
            <w:r w:rsidR="00924D5E" w:rsidRPr="00924D5E">
              <w:rPr>
                <w:color w:val="000000"/>
                <w:spacing w:val="3"/>
                <w:shd w:val="solid" w:color="000000" w:fill="000000"/>
                <w:fitText w:val="326" w:id="-961836277"/>
                <w14:textFill>
                  <w14:solidFill>
                    <w14:srgbClr w14:val="000000">
                      <w14:alpha w14:val="100000"/>
                    </w14:srgbClr>
                  </w14:solidFill>
                </w14:textFill>
              </w:rPr>
              <w:t>|</w:t>
            </w:r>
          </w:p>
        </w:tc>
        <w:tc>
          <w:tcPr>
            <w:tcW w:w="1559" w:type="dxa"/>
          </w:tcPr>
          <w:p w14:paraId="4E1FC557" w14:textId="060F63B9" w:rsidR="00784E01" w:rsidRPr="00D9197C" w:rsidRDefault="00784E01" w:rsidP="00D221AB">
            <w:pPr>
              <w:pStyle w:val="PBACTableText"/>
              <w:keepNext/>
              <w:spacing w:before="0" w:after="0"/>
            </w:pPr>
            <w:r w:rsidRPr="00D9197C">
              <w:t>$</w:t>
            </w:r>
            <w:r w:rsidR="00924D5E" w:rsidRPr="00924D5E">
              <w:rPr>
                <w:color w:val="000000"/>
                <w:spacing w:val="51"/>
                <w:shd w:val="solid" w:color="000000" w:fill="000000"/>
                <w:fitText w:val="325" w:id="-961836276"/>
                <w14:textFill>
                  <w14:solidFill>
                    <w14:srgbClr w14:val="000000">
                      <w14:alpha w14:val="100000"/>
                    </w14:srgbClr>
                  </w14:solidFill>
                </w14:textFill>
              </w:rPr>
              <w:t>|||</w:t>
            </w:r>
            <w:r w:rsidR="00924D5E" w:rsidRPr="00924D5E">
              <w:rPr>
                <w:color w:val="000000"/>
                <w:spacing w:val="2"/>
                <w:shd w:val="solid" w:color="000000" w:fill="000000"/>
                <w:fitText w:val="325" w:id="-961836276"/>
                <w14:textFill>
                  <w14:solidFill>
                    <w14:srgbClr w14:val="000000">
                      <w14:alpha w14:val="100000"/>
                    </w14:srgbClr>
                  </w14:solidFill>
                </w14:textFill>
              </w:rPr>
              <w:t>|</w:t>
            </w:r>
          </w:p>
        </w:tc>
        <w:tc>
          <w:tcPr>
            <w:tcW w:w="1367" w:type="dxa"/>
          </w:tcPr>
          <w:p w14:paraId="501442F7" w14:textId="2944D07E" w:rsidR="00784E01" w:rsidRPr="00D9197C" w:rsidRDefault="00784E01" w:rsidP="00D221AB">
            <w:pPr>
              <w:pStyle w:val="PBACTableText"/>
              <w:keepNext/>
              <w:spacing w:before="0" w:after="0"/>
            </w:pPr>
            <w:r w:rsidRPr="00D9197C">
              <w:t>$</w:t>
            </w:r>
            <w:r w:rsidR="00924D5E" w:rsidRPr="00924D5E">
              <w:rPr>
                <w:color w:val="000000"/>
                <w:spacing w:val="51"/>
                <w:shd w:val="solid" w:color="000000" w:fill="000000"/>
                <w:fitText w:val="325" w:id="-961836275"/>
                <w14:textFill>
                  <w14:solidFill>
                    <w14:srgbClr w14:val="000000">
                      <w14:alpha w14:val="100000"/>
                    </w14:srgbClr>
                  </w14:solidFill>
                </w14:textFill>
              </w:rPr>
              <w:t>|||</w:t>
            </w:r>
            <w:r w:rsidR="00924D5E" w:rsidRPr="00924D5E">
              <w:rPr>
                <w:color w:val="000000"/>
                <w:spacing w:val="2"/>
                <w:shd w:val="solid" w:color="000000" w:fill="000000"/>
                <w:fitText w:val="325" w:id="-961836275"/>
                <w14:textFill>
                  <w14:solidFill>
                    <w14:srgbClr w14:val="000000">
                      <w14:alpha w14:val="100000"/>
                    </w14:srgbClr>
                  </w14:solidFill>
                </w14:textFill>
              </w:rPr>
              <w:t>|</w:t>
            </w:r>
          </w:p>
        </w:tc>
      </w:tr>
      <w:tr w:rsidR="00784E01" w:rsidRPr="00CD4FAB" w14:paraId="3AC96F0C" w14:textId="77777777" w:rsidTr="00630660">
        <w:tc>
          <w:tcPr>
            <w:tcW w:w="2827" w:type="dxa"/>
          </w:tcPr>
          <w:p w14:paraId="74F7D5FC" w14:textId="3A579C6E" w:rsidR="00784E01" w:rsidRPr="00D9197C" w:rsidRDefault="00784E01" w:rsidP="00D221AB">
            <w:pPr>
              <w:pStyle w:val="PBACTableText"/>
              <w:keepNext/>
              <w:spacing w:before="0" w:after="0"/>
            </w:pPr>
            <w:r w:rsidRPr="00D9197C">
              <w:t>Immunotherapy retreatment</w:t>
            </w:r>
          </w:p>
        </w:tc>
        <w:tc>
          <w:tcPr>
            <w:tcW w:w="1568" w:type="dxa"/>
          </w:tcPr>
          <w:p w14:paraId="62D91F81" w14:textId="1F2731B3" w:rsidR="00784E01" w:rsidRPr="00D9197C" w:rsidRDefault="00784E01" w:rsidP="00D221AB">
            <w:pPr>
              <w:pStyle w:val="PBACTableText"/>
              <w:keepNext/>
              <w:spacing w:before="0" w:after="0"/>
            </w:pPr>
            <w:r w:rsidRPr="00D9197C">
              <w:t xml:space="preserve">Permitted </w:t>
            </w:r>
          </w:p>
        </w:tc>
        <w:tc>
          <w:tcPr>
            <w:tcW w:w="1701" w:type="dxa"/>
          </w:tcPr>
          <w:p w14:paraId="3E9A748D" w14:textId="513BAD57" w:rsidR="00784E01" w:rsidRPr="00D9197C" w:rsidRDefault="00784E01" w:rsidP="00D221AB">
            <w:pPr>
              <w:pStyle w:val="PBACTableText"/>
              <w:keepNext/>
              <w:spacing w:before="0" w:after="0"/>
            </w:pPr>
            <w:r w:rsidRPr="00D9197C">
              <w:t xml:space="preserve">Permitted </w:t>
            </w:r>
          </w:p>
        </w:tc>
        <w:tc>
          <w:tcPr>
            <w:tcW w:w="1559" w:type="dxa"/>
          </w:tcPr>
          <w:p w14:paraId="66BEC5F3" w14:textId="58ADC153" w:rsidR="00784E01" w:rsidRPr="00D9197C" w:rsidRDefault="00784E01" w:rsidP="00D221AB">
            <w:pPr>
              <w:pStyle w:val="PBACTableText"/>
              <w:keepNext/>
              <w:spacing w:before="0" w:after="0"/>
            </w:pPr>
            <w:r w:rsidRPr="00D9197C">
              <w:t>Permitted</w:t>
            </w:r>
          </w:p>
        </w:tc>
        <w:tc>
          <w:tcPr>
            <w:tcW w:w="1367" w:type="dxa"/>
          </w:tcPr>
          <w:p w14:paraId="46761326" w14:textId="56A6C166" w:rsidR="00784E01" w:rsidRPr="00D9197C" w:rsidRDefault="00784E01" w:rsidP="00D221AB">
            <w:pPr>
              <w:pStyle w:val="PBACTableText"/>
              <w:keepNext/>
              <w:spacing w:before="0" w:after="0"/>
            </w:pPr>
            <w:r w:rsidRPr="00D9197C">
              <w:t>Not permitted</w:t>
            </w:r>
          </w:p>
        </w:tc>
      </w:tr>
      <w:tr w:rsidR="00784E01" w:rsidRPr="00CD4FAB" w14:paraId="24622E6C" w14:textId="77777777" w:rsidTr="00630660">
        <w:tc>
          <w:tcPr>
            <w:tcW w:w="2827" w:type="dxa"/>
          </w:tcPr>
          <w:p w14:paraId="073D59D8" w14:textId="23ADA3E9" w:rsidR="00784E01" w:rsidRPr="00D9197C" w:rsidRDefault="00784E01" w:rsidP="00D221AB">
            <w:pPr>
              <w:pStyle w:val="PBACTableText"/>
              <w:keepNext/>
              <w:spacing w:before="0" w:after="0"/>
            </w:pPr>
            <w:r w:rsidRPr="00D9197C">
              <w:t>ICER/QALY gained</w:t>
            </w:r>
          </w:p>
        </w:tc>
        <w:tc>
          <w:tcPr>
            <w:tcW w:w="1568" w:type="dxa"/>
          </w:tcPr>
          <w:p w14:paraId="57AC6CDD" w14:textId="0C159C37" w:rsidR="00784E01" w:rsidRPr="00D9197C" w:rsidRDefault="00784E01" w:rsidP="00D221AB">
            <w:pPr>
              <w:pStyle w:val="PBACTableText"/>
              <w:keepNext/>
              <w:spacing w:before="0" w:after="0"/>
            </w:pPr>
            <w:r w:rsidRPr="00D9197C">
              <w:t>$</w:t>
            </w:r>
            <w:r w:rsidR="00924D5E" w:rsidRPr="00924D5E">
              <w:rPr>
                <w:color w:val="000000"/>
                <w:spacing w:val="51"/>
                <w:shd w:val="solid" w:color="000000" w:fill="000000"/>
                <w:fitText w:val="326" w:id="-961836274"/>
                <w14:textFill>
                  <w14:solidFill>
                    <w14:srgbClr w14:val="000000">
                      <w14:alpha w14:val="100000"/>
                    </w14:srgbClr>
                  </w14:solidFill>
                </w14:textFill>
              </w:rPr>
              <w:t>|||</w:t>
            </w:r>
            <w:r w:rsidR="00924D5E" w:rsidRPr="00924D5E">
              <w:rPr>
                <w:color w:val="000000"/>
                <w:spacing w:val="3"/>
                <w:shd w:val="solid" w:color="000000" w:fill="000000"/>
                <w:fitText w:val="326" w:id="-961836274"/>
                <w14:textFill>
                  <w14:solidFill>
                    <w14:srgbClr w14:val="000000">
                      <w14:alpha w14:val="100000"/>
                    </w14:srgbClr>
                  </w14:solidFill>
                </w14:textFill>
              </w:rPr>
              <w:t>|</w:t>
            </w:r>
            <w:r w:rsidR="002335D2" w:rsidRPr="00D221AB">
              <w:rPr>
                <w:vertAlign w:val="superscript"/>
              </w:rPr>
              <w:t>1</w:t>
            </w:r>
          </w:p>
        </w:tc>
        <w:tc>
          <w:tcPr>
            <w:tcW w:w="1701" w:type="dxa"/>
          </w:tcPr>
          <w:p w14:paraId="0CD9395F" w14:textId="2DB9D824" w:rsidR="00784E01" w:rsidRPr="00D9197C" w:rsidRDefault="00784E01" w:rsidP="00D221AB">
            <w:pPr>
              <w:pStyle w:val="PBACTableText"/>
              <w:keepNext/>
              <w:spacing w:before="0" w:after="0"/>
            </w:pPr>
            <w:r w:rsidRPr="00D9197C">
              <w:t>$</w:t>
            </w:r>
            <w:r w:rsidR="00924D5E" w:rsidRPr="00924D5E">
              <w:rPr>
                <w:color w:val="000000"/>
                <w:spacing w:val="51"/>
                <w:shd w:val="solid" w:color="000000" w:fill="000000"/>
                <w:fitText w:val="326" w:id="-961836273"/>
                <w14:textFill>
                  <w14:solidFill>
                    <w14:srgbClr w14:val="000000">
                      <w14:alpha w14:val="100000"/>
                    </w14:srgbClr>
                  </w14:solidFill>
                </w14:textFill>
              </w:rPr>
              <w:t>|||</w:t>
            </w:r>
            <w:r w:rsidR="00924D5E" w:rsidRPr="00924D5E">
              <w:rPr>
                <w:color w:val="000000"/>
                <w:spacing w:val="3"/>
                <w:shd w:val="solid" w:color="000000" w:fill="000000"/>
                <w:fitText w:val="326" w:id="-961836273"/>
                <w14:textFill>
                  <w14:solidFill>
                    <w14:srgbClr w14:val="000000">
                      <w14:alpha w14:val="100000"/>
                    </w14:srgbClr>
                  </w14:solidFill>
                </w14:textFill>
              </w:rPr>
              <w:t>|</w:t>
            </w:r>
            <w:r w:rsidR="002335D2" w:rsidRPr="00162C9D">
              <w:rPr>
                <w:vertAlign w:val="superscript"/>
              </w:rPr>
              <w:t>1</w:t>
            </w:r>
          </w:p>
        </w:tc>
        <w:tc>
          <w:tcPr>
            <w:tcW w:w="1559" w:type="dxa"/>
          </w:tcPr>
          <w:p w14:paraId="047AB83F" w14:textId="315F2FCC" w:rsidR="00784E01" w:rsidRPr="00D9197C" w:rsidRDefault="00784E01" w:rsidP="00D221AB">
            <w:pPr>
              <w:pStyle w:val="PBACTableText"/>
              <w:keepNext/>
              <w:spacing w:before="0" w:after="0"/>
            </w:pPr>
            <w:r w:rsidRPr="00D9197C">
              <w:t>$</w:t>
            </w:r>
            <w:r w:rsidR="00924D5E" w:rsidRPr="00924D5E">
              <w:rPr>
                <w:color w:val="000000"/>
                <w:spacing w:val="51"/>
                <w:shd w:val="solid" w:color="000000" w:fill="000000"/>
                <w:fitText w:val="325" w:id="-961836272"/>
                <w14:textFill>
                  <w14:solidFill>
                    <w14:srgbClr w14:val="000000">
                      <w14:alpha w14:val="100000"/>
                    </w14:srgbClr>
                  </w14:solidFill>
                </w14:textFill>
              </w:rPr>
              <w:t>|||</w:t>
            </w:r>
            <w:r w:rsidR="00924D5E" w:rsidRPr="00924D5E">
              <w:rPr>
                <w:color w:val="000000"/>
                <w:spacing w:val="2"/>
                <w:shd w:val="solid" w:color="000000" w:fill="000000"/>
                <w:fitText w:val="325" w:id="-961836272"/>
                <w14:textFill>
                  <w14:solidFill>
                    <w14:srgbClr w14:val="000000">
                      <w14:alpha w14:val="100000"/>
                    </w14:srgbClr>
                  </w14:solidFill>
                </w14:textFill>
              </w:rPr>
              <w:t>|</w:t>
            </w:r>
            <w:r w:rsidR="002335D2" w:rsidRPr="00162C9D">
              <w:rPr>
                <w:vertAlign w:val="superscript"/>
              </w:rPr>
              <w:t>1</w:t>
            </w:r>
          </w:p>
        </w:tc>
        <w:tc>
          <w:tcPr>
            <w:tcW w:w="1367" w:type="dxa"/>
          </w:tcPr>
          <w:p w14:paraId="72FB0E58" w14:textId="06D1DF04" w:rsidR="00784E01" w:rsidRPr="00D9197C" w:rsidRDefault="00784E01" w:rsidP="00D221AB">
            <w:pPr>
              <w:pStyle w:val="PBACTableText"/>
              <w:keepNext/>
              <w:spacing w:before="0" w:after="0"/>
            </w:pPr>
            <w:r w:rsidRPr="00D9197C">
              <w:t>$</w:t>
            </w:r>
            <w:r w:rsidR="00924D5E" w:rsidRPr="00924D5E">
              <w:rPr>
                <w:color w:val="000000"/>
                <w:spacing w:val="51"/>
                <w:shd w:val="solid" w:color="000000" w:fill="000000"/>
                <w:fitText w:val="325" w:id="-961836288"/>
                <w14:textFill>
                  <w14:solidFill>
                    <w14:srgbClr w14:val="000000">
                      <w14:alpha w14:val="100000"/>
                    </w14:srgbClr>
                  </w14:solidFill>
                </w14:textFill>
              </w:rPr>
              <w:t>|||</w:t>
            </w:r>
            <w:r w:rsidR="00924D5E" w:rsidRPr="00924D5E">
              <w:rPr>
                <w:color w:val="000000"/>
                <w:spacing w:val="2"/>
                <w:shd w:val="solid" w:color="000000" w:fill="000000"/>
                <w:fitText w:val="325" w:id="-961836288"/>
                <w14:textFill>
                  <w14:solidFill>
                    <w14:srgbClr w14:val="000000">
                      <w14:alpha w14:val="100000"/>
                    </w14:srgbClr>
                  </w14:solidFill>
                </w14:textFill>
              </w:rPr>
              <w:t>|</w:t>
            </w:r>
            <w:r w:rsidR="002335D2" w:rsidRPr="00162C9D">
              <w:rPr>
                <w:vertAlign w:val="superscript"/>
              </w:rPr>
              <w:t>1</w:t>
            </w:r>
          </w:p>
        </w:tc>
      </w:tr>
    </w:tbl>
    <w:p w14:paraId="43976E89" w14:textId="75C3B588" w:rsidR="00C02D52" w:rsidRPr="00CD4FAB" w:rsidRDefault="00784E01" w:rsidP="00B108F8">
      <w:pPr>
        <w:pStyle w:val="FooterTableFigure"/>
        <w:keepNext/>
      </w:pPr>
      <w:r w:rsidRPr="00CD4FAB">
        <w:t xml:space="preserve">Source: Tables 4 and </w:t>
      </w:r>
      <w:r w:rsidR="00D86D91" w:rsidRPr="00CD4FAB">
        <w:t>5</w:t>
      </w:r>
      <w:r w:rsidRPr="00CD4FAB">
        <w:t xml:space="preserve"> pp, 22 and 23 of the submission.</w:t>
      </w:r>
      <w:r w:rsidR="00E97E7B" w:rsidRPr="00CD4FAB">
        <w:t xml:space="preserve"> </w:t>
      </w:r>
    </w:p>
    <w:p w14:paraId="21CA320A" w14:textId="62006109" w:rsidR="00D90CEE" w:rsidRDefault="00E97E7B" w:rsidP="00D221AB">
      <w:pPr>
        <w:pStyle w:val="FooterTableFigure"/>
        <w:keepNext/>
        <w:spacing w:after="0"/>
      </w:pPr>
      <w:r w:rsidRPr="00CD4FAB">
        <w:t>EFS  = event free survival; LR  = locoregional</w:t>
      </w:r>
    </w:p>
    <w:p w14:paraId="6F907A5A" w14:textId="77777777" w:rsidR="002335D2" w:rsidRPr="009A6D58" w:rsidRDefault="002335D2" w:rsidP="002335D2">
      <w:pPr>
        <w:rPr>
          <w:rFonts w:ascii="Arial Narrow" w:hAnsi="Arial Narrow" w:cs="Arial"/>
          <w:i/>
          <w:sz w:val="18"/>
          <w:szCs w:val="18"/>
          <w:lang w:eastAsia="en-AU"/>
        </w:rPr>
      </w:pPr>
      <w:r w:rsidRPr="009A6D58">
        <w:rPr>
          <w:rFonts w:ascii="Arial Narrow" w:hAnsi="Arial Narrow" w:cs="Arial"/>
          <w:i/>
          <w:sz w:val="18"/>
          <w:szCs w:val="18"/>
          <w:lang w:eastAsia="en-AU"/>
        </w:rPr>
        <w:t xml:space="preserve">The redacted values correspond to the following ranges: </w:t>
      </w:r>
    </w:p>
    <w:p w14:paraId="1BC855CE" w14:textId="721AAE14" w:rsidR="002335D2" w:rsidRPr="00CD4FAB" w:rsidRDefault="002335D2" w:rsidP="00D221AB">
      <w:pPr>
        <w:spacing w:after="120"/>
      </w:pPr>
      <w:r>
        <w:rPr>
          <w:rFonts w:ascii="Arial Narrow" w:hAnsi="Arial Narrow" w:cs="Arial"/>
          <w:i/>
          <w:sz w:val="18"/>
          <w:szCs w:val="18"/>
          <w:vertAlign w:val="superscript"/>
          <w:lang w:eastAsia="en-AU"/>
        </w:rPr>
        <w:t>1</w:t>
      </w:r>
      <w:r w:rsidRPr="00D221AB">
        <w:rPr>
          <w:rFonts w:ascii="Arial Narrow" w:hAnsi="Arial Narrow" w:cs="Arial"/>
          <w:i/>
          <w:sz w:val="18"/>
          <w:szCs w:val="18"/>
          <w:lang w:eastAsia="en-AU"/>
        </w:rPr>
        <w:t>$25,000 to &lt; $35,000</w:t>
      </w:r>
    </w:p>
    <w:p w14:paraId="1F41B91A" w14:textId="5DCFEFE6" w:rsidR="001A619C" w:rsidRPr="00CD4FAB" w:rsidRDefault="00CD68D0" w:rsidP="00D3474F">
      <w:pPr>
        <w:pStyle w:val="3-BodyText"/>
        <w:rPr>
          <w:color w:val="0066FF"/>
        </w:rPr>
      </w:pPr>
      <w:r w:rsidRPr="00CD4FAB">
        <w:rPr>
          <w:bCs/>
          <w:iCs/>
        </w:rPr>
        <w:t xml:space="preserve">It was noted during the evaluation that the economic models presented </w:t>
      </w:r>
      <w:r w:rsidR="00AF2C7B" w:rsidRPr="00CD4FAB">
        <w:rPr>
          <w:bCs/>
          <w:iCs/>
        </w:rPr>
        <w:t xml:space="preserve">in the submission </w:t>
      </w:r>
      <w:r w:rsidRPr="00CD4FAB">
        <w:rPr>
          <w:bCs/>
          <w:iCs/>
        </w:rPr>
        <w:t>did not include updated pharmacy fees and mark-ups. When correcting the models for these costs, the ICER increases</w:t>
      </w:r>
      <w:r w:rsidR="0081387B" w:rsidRPr="00CD4FAB">
        <w:rPr>
          <w:bCs/>
          <w:iCs/>
        </w:rPr>
        <w:t xml:space="preserve"> from </w:t>
      </w:r>
      <w:r w:rsidR="00150B1C" w:rsidRPr="00150B1C">
        <w:rPr>
          <w:bCs/>
          <w:iCs/>
        </w:rPr>
        <w:t>$25,000 to &lt; $35,000</w:t>
      </w:r>
      <w:r w:rsidR="00150B1C">
        <w:rPr>
          <w:bCs/>
          <w:iCs/>
        </w:rPr>
        <w:t xml:space="preserve"> </w:t>
      </w:r>
      <w:r w:rsidRPr="00CD4FAB">
        <w:rPr>
          <w:bCs/>
          <w:iCs/>
        </w:rPr>
        <w:t>per QALY gained</w:t>
      </w:r>
      <w:r w:rsidR="0081387B" w:rsidRPr="00CD4FAB">
        <w:rPr>
          <w:bCs/>
          <w:iCs/>
        </w:rPr>
        <w:t xml:space="preserve"> in the Option A model and </w:t>
      </w:r>
      <w:r w:rsidR="00150B1C" w:rsidRPr="00150B1C">
        <w:rPr>
          <w:bCs/>
          <w:iCs/>
        </w:rPr>
        <w:t>$25,000 to &lt; $35,000</w:t>
      </w:r>
      <w:r w:rsidR="0081387B" w:rsidRPr="00CD4FAB">
        <w:rPr>
          <w:bCs/>
          <w:iCs/>
        </w:rPr>
        <w:t xml:space="preserve"> per QALY gained in the Option B model</w:t>
      </w:r>
      <w:r w:rsidRPr="00CD4FAB">
        <w:rPr>
          <w:bCs/>
          <w:iCs/>
        </w:rPr>
        <w:t>.</w:t>
      </w:r>
    </w:p>
    <w:p w14:paraId="149E6AD0" w14:textId="6033A1DF" w:rsidR="00C03A63" w:rsidRPr="00CD4FAB" w:rsidRDefault="00C03A63" w:rsidP="00D3474F">
      <w:pPr>
        <w:pStyle w:val="3-BodyText"/>
        <w:rPr>
          <w:color w:val="0066FF"/>
        </w:rPr>
      </w:pPr>
      <w:r w:rsidRPr="00CD4FAB">
        <w:fldChar w:fldCharType="begin" w:fldLock="1"/>
      </w:r>
      <w:r w:rsidRPr="00CD4FAB">
        <w:instrText xml:space="preserve"> REF _Ref153191798 \h  \* MERGEFORMAT </w:instrText>
      </w:r>
      <w:r w:rsidRPr="00CD4FAB">
        <w:fldChar w:fldCharType="separate"/>
      </w:r>
      <w:r w:rsidR="00885DA7" w:rsidRPr="00885DA7">
        <w:t>Table 5</w:t>
      </w:r>
      <w:r w:rsidRPr="00CD4FAB">
        <w:fldChar w:fldCharType="end"/>
      </w:r>
      <w:r w:rsidRPr="00CD4FAB">
        <w:rPr>
          <w:color w:val="0066FF"/>
        </w:rPr>
        <w:t xml:space="preserve"> </w:t>
      </w:r>
      <w:r w:rsidRPr="00CD4FAB">
        <w:t>summarises the stepped changes made to the economic models.</w:t>
      </w:r>
    </w:p>
    <w:p w14:paraId="0D71F945" w14:textId="13741ED7" w:rsidR="000A2C6C" w:rsidRPr="00CD4FAB" w:rsidRDefault="000A2C6C" w:rsidP="00A32F4A">
      <w:pPr>
        <w:pStyle w:val="Caption"/>
        <w:rPr>
          <w:rStyle w:val="CommentReference"/>
          <w:b/>
          <w:szCs w:val="24"/>
        </w:rPr>
      </w:pPr>
      <w:bookmarkStart w:id="31" w:name="_Ref153191798"/>
      <w:r w:rsidRPr="00CD4FAB">
        <w:rPr>
          <w:rStyle w:val="CommentReference"/>
          <w:b/>
          <w:szCs w:val="24"/>
        </w:rPr>
        <w:t xml:space="preserve">Table </w:t>
      </w:r>
      <w:r w:rsidRPr="00CD4FAB">
        <w:rPr>
          <w:rStyle w:val="CommentReference"/>
          <w:b/>
          <w:szCs w:val="24"/>
        </w:rPr>
        <w:fldChar w:fldCharType="begin" w:fldLock="1"/>
      </w:r>
      <w:r w:rsidRPr="00CD4FAB">
        <w:rPr>
          <w:rStyle w:val="CommentReference"/>
          <w:b/>
          <w:szCs w:val="24"/>
        </w:rPr>
        <w:instrText xml:space="preserve"> SEQ Table \* ARABIC </w:instrText>
      </w:r>
      <w:r w:rsidRPr="00CD4FAB">
        <w:rPr>
          <w:rStyle w:val="CommentReference"/>
          <w:b/>
          <w:szCs w:val="24"/>
        </w:rPr>
        <w:fldChar w:fldCharType="separate"/>
      </w:r>
      <w:r w:rsidR="00885DA7">
        <w:rPr>
          <w:rStyle w:val="CommentReference"/>
          <w:b/>
          <w:noProof/>
          <w:szCs w:val="24"/>
        </w:rPr>
        <w:t>5</w:t>
      </w:r>
      <w:r w:rsidRPr="00CD4FAB">
        <w:rPr>
          <w:rStyle w:val="CommentReference"/>
          <w:b/>
          <w:szCs w:val="24"/>
        </w:rPr>
        <w:fldChar w:fldCharType="end"/>
      </w:r>
      <w:bookmarkEnd w:id="31"/>
      <w:r w:rsidRPr="00CD4FAB">
        <w:rPr>
          <w:rStyle w:val="CommentReference"/>
          <w:b/>
          <w:szCs w:val="24"/>
        </w:rPr>
        <w:t xml:space="preserve">: Stepped changes made to the economic model: </w:t>
      </w:r>
      <w:r w:rsidR="00D3474F" w:rsidRPr="00CD4FAB">
        <w:rPr>
          <w:rStyle w:val="CommentReference"/>
          <w:b/>
          <w:szCs w:val="24"/>
        </w:rPr>
        <w:t xml:space="preserve">Option A/July 2023 to </w:t>
      </w:r>
      <w:r w:rsidRPr="00CD4FAB">
        <w:rPr>
          <w:rStyle w:val="CommentReference"/>
          <w:b/>
          <w:szCs w:val="24"/>
        </w:rPr>
        <w:t>Option B</w:t>
      </w:r>
      <w:r w:rsidR="007D7811" w:rsidRPr="00CD4FAB">
        <w:rPr>
          <w:rStyle w:val="CommentReference"/>
          <w:b/>
          <w:szCs w:val="24"/>
        </w:rPr>
        <w:t xml:space="preserve"> model</w:t>
      </w:r>
    </w:p>
    <w:tbl>
      <w:tblPr>
        <w:tblStyle w:val="TableGrid"/>
        <w:tblW w:w="4977" w:type="pct"/>
        <w:tblLook w:val="04A0" w:firstRow="1" w:lastRow="0" w:firstColumn="1" w:lastColumn="0" w:noHBand="0" w:noVBand="1"/>
        <w:tblCaption w:val="Table 5: Stepped changes made to the economic model: Option A/July 2023 to Option B model"/>
      </w:tblPr>
      <w:tblGrid>
        <w:gridCol w:w="575"/>
        <w:gridCol w:w="2267"/>
        <w:gridCol w:w="901"/>
        <w:gridCol w:w="810"/>
        <w:gridCol w:w="673"/>
        <w:gridCol w:w="772"/>
        <w:gridCol w:w="810"/>
        <w:gridCol w:w="752"/>
        <w:gridCol w:w="1416"/>
      </w:tblGrid>
      <w:tr w:rsidR="007D7811" w:rsidRPr="00CD4FAB" w14:paraId="0693301A" w14:textId="77777777" w:rsidTr="00F5399D">
        <w:tc>
          <w:tcPr>
            <w:tcW w:w="320" w:type="pct"/>
            <w:tcBorders>
              <w:top w:val="single" w:sz="4" w:space="0" w:color="auto"/>
              <w:left w:val="single" w:sz="4" w:space="0" w:color="auto"/>
              <w:bottom w:val="single" w:sz="4" w:space="0" w:color="auto"/>
              <w:right w:val="single" w:sz="4" w:space="0" w:color="auto"/>
            </w:tcBorders>
            <w:hideMark/>
          </w:tcPr>
          <w:p w14:paraId="15E316C2" w14:textId="77777777" w:rsidR="00D3474F" w:rsidRPr="00CD4FAB" w:rsidRDefault="00D3474F" w:rsidP="00303217">
            <w:pPr>
              <w:pStyle w:val="TableText0"/>
              <w:rPr>
                <w:b/>
                <w:iCs/>
              </w:rPr>
            </w:pPr>
            <w:r w:rsidRPr="00CD4FAB">
              <w:rPr>
                <w:b/>
                <w:iCs/>
              </w:rPr>
              <w:t>Step</w:t>
            </w:r>
          </w:p>
        </w:tc>
        <w:tc>
          <w:tcPr>
            <w:tcW w:w="1263" w:type="pct"/>
            <w:tcBorders>
              <w:top w:val="single" w:sz="4" w:space="0" w:color="auto"/>
              <w:left w:val="single" w:sz="4" w:space="0" w:color="auto"/>
              <w:bottom w:val="single" w:sz="4" w:space="0" w:color="auto"/>
              <w:right w:val="single" w:sz="4" w:space="0" w:color="auto"/>
            </w:tcBorders>
          </w:tcPr>
          <w:p w14:paraId="43ECC946" w14:textId="77777777" w:rsidR="00D3474F" w:rsidRPr="00CD4FAB" w:rsidRDefault="00D3474F" w:rsidP="00303217">
            <w:pPr>
              <w:pStyle w:val="TableText0"/>
              <w:rPr>
                <w:b/>
              </w:rPr>
            </w:pPr>
          </w:p>
        </w:tc>
        <w:tc>
          <w:tcPr>
            <w:tcW w:w="502" w:type="pct"/>
            <w:tcBorders>
              <w:top w:val="single" w:sz="4" w:space="0" w:color="auto"/>
              <w:left w:val="single" w:sz="4" w:space="0" w:color="auto"/>
              <w:bottom w:val="single" w:sz="4" w:space="0" w:color="auto"/>
              <w:right w:val="single" w:sz="4" w:space="0" w:color="auto"/>
            </w:tcBorders>
          </w:tcPr>
          <w:p w14:paraId="5D0EBD65" w14:textId="294309D8" w:rsidR="00D3474F" w:rsidRPr="00CD4FAB" w:rsidRDefault="00D3474F" w:rsidP="00303217">
            <w:pPr>
              <w:pStyle w:val="TableText0"/>
              <w:jc w:val="center"/>
              <w:rPr>
                <w:b/>
                <w:iCs/>
              </w:rPr>
            </w:pPr>
            <w:r w:rsidRPr="00CD4FAB">
              <w:rPr>
                <w:b/>
                <w:iCs/>
              </w:rPr>
              <w:t>Nivo</w:t>
            </w:r>
          </w:p>
          <w:p w14:paraId="5CC9AA6D" w14:textId="697CB28D" w:rsidR="00D3474F" w:rsidRPr="00CD4FAB" w:rsidRDefault="00D3474F" w:rsidP="00303217">
            <w:pPr>
              <w:pStyle w:val="TableText0"/>
              <w:jc w:val="center"/>
              <w:rPr>
                <w:b/>
                <w:iCs/>
              </w:rPr>
            </w:pPr>
            <w:r w:rsidRPr="00CD4FAB">
              <w:rPr>
                <w:b/>
                <w:iCs/>
              </w:rPr>
              <w:t>cost</w:t>
            </w:r>
          </w:p>
        </w:tc>
        <w:tc>
          <w:tcPr>
            <w:tcW w:w="451" w:type="pct"/>
            <w:tcBorders>
              <w:top w:val="single" w:sz="4" w:space="0" w:color="auto"/>
              <w:left w:val="single" w:sz="4" w:space="0" w:color="auto"/>
              <w:bottom w:val="single" w:sz="4" w:space="0" w:color="auto"/>
              <w:right w:val="single" w:sz="4" w:space="0" w:color="auto"/>
            </w:tcBorders>
          </w:tcPr>
          <w:p w14:paraId="175233EA" w14:textId="589ACCF4" w:rsidR="00D3474F" w:rsidRPr="00CD4FAB" w:rsidRDefault="007D7811" w:rsidP="00303217">
            <w:pPr>
              <w:pStyle w:val="TableText0"/>
              <w:jc w:val="center"/>
              <w:rPr>
                <w:b/>
                <w:iCs/>
              </w:rPr>
            </w:pPr>
            <w:r w:rsidRPr="00CD4FAB">
              <w:rPr>
                <w:b/>
                <w:iCs/>
              </w:rPr>
              <w:t>Chemo</w:t>
            </w:r>
          </w:p>
          <w:p w14:paraId="454D9E72" w14:textId="13AF76FC" w:rsidR="007D7811" w:rsidRPr="00CD4FAB" w:rsidRDefault="007D7811" w:rsidP="00303217">
            <w:pPr>
              <w:pStyle w:val="TableText0"/>
              <w:jc w:val="center"/>
              <w:rPr>
                <w:b/>
                <w:iCs/>
              </w:rPr>
            </w:pPr>
            <w:r w:rsidRPr="00CD4FAB">
              <w:rPr>
                <w:b/>
                <w:iCs/>
              </w:rPr>
              <w:t>cost</w:t>
            </w:r>
          </w:p>
        </w:tc>
        <w:tc>
          <w:tcPr>
            <w:tcW w:w="375" w:type="pct"/>
            <w:tcBorders>
              <w:top w:val="single" w:sz="4" w:space="0" w:color="auto"/>
              <w:left w:val="single" w:sz="4" w:space="0" w:color="auto"/>
              <w:bottom w:val="single" w:sz="4" w:space="0" w:color="auto"/>
              <w:right w:val="single" w:sz="4" w:space="0" w:color="auto"/>
            </w:tcBorders>
          </w:tcPr>
          <w:p w14:paraId="577EBFE7" w14:textId="34839D70" w:rsidR="00D3474F" w:rsidRPr="00CD4FAB" w:rsidRDefault="00D3474F" w:rsidP="00303217">
            <w:pPr>
              <w:pStyle w:val="TableText0"/>
              <w:jc w:val="center"/>
              <w:rPr>
                <w:b/>
                <w:iCs/>
              </w:rPr>
            </w:pPr>
            <w:r w:rsidRPr="00CD4FAB">
              <w:rPr>
                <w:b/>
                <w:iCs/>
              </w:rPr>
              <w:t>Nivo QALY</w:t>
            </w:r>
          </w:p>
        </w:tc>
        <w:tc>
          <w:tcPr>
            <w:tcW w:w="430" w:type="pct"/>
            <w:tcBorders>
              <w:top w:val="single" w:sz="4" w:space="0" w:color="auto"/>
              <w:left w:val="single" w:sz="4" w:space="0" w:color="auto"/>
              <w:bottom w:val="single" w:sz="4" w:space="0" w:color="auto"/>
              <w:right w:val="single" w:sz="4" w:space="0" w:color="auto"/>
            </w:tcBorders>
          </w:tcPr>
          <w:p w14:paraId="365D98C3" w14:textId="77777777" w:rsidR="00D3474F" w:rsidRPr="00CD4FAB" w:rsidRDefault="007D7811" w:rsidP="00303217">
            <w:pPr>
              <w:pStyle w:val="TableText0"/>
              <w:jc w:val="center"/>
              <w:rPr>
                <w:b/>
                <w:iCs/>
              </w:rPr>
            </w:pPr>
            <w:r w:rsidRPr="00CD4FAB">
              <w:rPr>
                <w:b/>
                <w:iCs/>
              </w:rPr>
              <w:t>Chemo</w:t>
            </w:r>
          </w:p>
          <w:p w14:paraId="3494F6D2" w14:textId="670A5CF2" w:rsidR="007D7811" w:rsidRPr="00CD4FAB" w:rsidRDefault="007D7811" w:rsidP="00303217">
            <w:pPr>
              <w:pStyle w:val="TableText0"/>
              <w:jc w:val="center"/>
              <w:rPr>
                <w:b/>
                <w:iCs/>
              </w:rPr>
            </w:pPr>
            <w:r w:rsidRPr="00CD4FAB">
              <w:rPr>
                <w:b/>
                <w:iCs/>
              </w:rPr>
              <w:t>QALY</w:t>
            </w:r>
          </w:p>
        </w:tc>
        <w:tc>
          <w:tcPr>
            <w:tcW w:w="451" w:type="pct"/>
            <w:tcBorders>
              <w:top w:val="single" w:sz="4" w:space="0" w:color="auto"/>
              <w:left w:val="single" w:sz="4" w:space="0" w:color="auto"/>
              <w:bottom w:val="single" w:sz="4" w:space="0" w:color="auto"/>
              <w:right w:val="single" w:sz="4" w:space="0" w:color="auto"/>
            </w:tcBorders>
            <w:vAlign w:val="center"/>
            <w:hideMark/>
          </w:tcPr>
          <w:p w14:paraId="6DF25021" w14:textId="15FE4A8D" w:rsidR="00D3474F" w:rsidRPr="00CD4FAB" w:rsidRDefault="00D3474F" w:rsidP="00303217">
            <w:pPr>
              <w:pStyle w:val="TableText0"/>
              <w:jc w:val="center"/>
              <w:rPr>
                <w:b/>
                <w:iCs/>
              </w:rPr>
            </w:pPr>
            <w:r w:rsidRPr="00CD4FAB">
              <w:rPr>
                <w:b/>
                <w:iCs/>
              </w:rPr>
              <w:t>Inc. cost</w:t>
            </w:r>
          </w:p>
        </w:tc>
        <w:tc>
          <w:tcPr>
            <w:tcW w:w="419" w:type="pct"/>
            <w:tcBorders>
              <w:top w:val="single" w:sz="4" w:space="0" w:color="auto"/>
              <w:left w:val="single" w:sz="4" w:space="0" w:color="auto"/>
              <w:bottom w:val="single" w:sz="4" w:space="0" w:color="auto"/>
              <w:right w:val="single" w:sz="4" w:space="0" w:color="auto"/>
            </w:tcBorders>
            <w:vAlign w:val="center"/>
            <w:hideMark/>
          </w:tcPr>
          <w:p w14:paraId="03F8E9B1" w14:textId="6BACFA4A" w:rsidR="00D3474F" w:rsidRPr="00CD4FAB" w:rsidRDefault="00D3474F" w:rsidP="00303217">
            <w:pPr>
              <w:pStyle w:val="TableText0"/>
              <w:jc w:val="center"/>
              <w:rPr>
                <w:b/>
                <w:iCs/>
              </w:rPr>
            </w:pPr>
            <w:r w:rsidRPr="00CD4FAB">
              <w:rPr>
                <w:b/>
                <w:iCs/>
              </w:rPr>
              <w:t>Inc. QALY</w:t>
            </w:r>
          </w:p>
        </w:tc>
        <w:tc>
          <w:tcPr>
            <w:tcW w:w="789" w:type="pct"/>
            <w:tcBorders>
              <w:top w:val="single" w:sz="4" w:space="0" w:color="auto"/>
              <w:left w:val="single" w:sz="4" w:space="0" w:color="auto"/>
              <w:bottom w:val="single" w:sz="4" w:space="0" w:color="auto"/>
              <w:right w:val="single" w:sz="4" w:space="0" w:color="auto"/>
            </w:tcBorders>
            <w:vAlign w:val="center"/>
            <w:hideMark/>
          </w:tcPr>
          <w:p w14:paraId="7F29EDC2" w14:textId="4F73C076" w:rsidR="00D3474F" w:rsidRPr="00CD4FAB" w:rsidRDefault="00D3474F" w:rsidP="00303217">
            <w:pPr>
              <w:pStyle w:val="TableText0"/>
              <w:jc w:val="center"/>
              <w:rPr>
                <w:b/>
                <w:iCs/>
              </w:rPr>
            </w:pPr>
            <w:r w:rsidRPr="00CD4FAB">
              <w:rPr>
                <w:b/>
                <w:iCs/>
              </w:rPr>
              <w:t>ICER</w:t>
            </w:r>
            <w:r w:rsidR="002335D2">
              <w:rPr>
                <w:b/>
                <w:iCs/>
              </w:rPr>
              <w:t>($)</w:t>
            </w:r>
          </w:p>
        </w:tc>
      </w:tr>
      <w:tr w:rsidR="007D7811" w:rsidRPr="00CD4FAB" w14:paraId="611A2B6D" w14:textId="77777777" w:rsidTr="00F5399D">
        <w:tc>
          <w:tcPr>
            <w:tcW w:w="320" w:type="pct"/>
            <w:tcBorders>
              <w:top w:val="single" w:sz="4" w:space="0" w:color="auto"/>
              <w:left w:val="single" w:sz="4" w:space="0" w:color="auto"/>
              <w:bottom w:val="single" w:sz="4" w:space="0" w:color="auto"/>
              <w:right w:val="single" w:sz="4" w:space="0" w:color="auto"/>
            </w:tcBorders>
            <w:vAlign w:val="center"/>
          </w:tcPr>
          <w:p w14:paraId="63537B84" w14:textId="77777777" w:rsidR="007D7811" w:rsidRPr="00F2156B" w:rsidRDefault="007D7811" w:rsidP="007D7811">
            <w:pPr>
              <w:pStyle w:val="TableText0"/>
              <w:jc w:val="center"/>
              <w:rPr>
                <w:iCs/>
                <w:szCs w:val="20"/>
              </w:rPr>
            </w:pPr>
          </w:p>
        </w:tc>
        <w:tc>
          <w:tcPr>
            <w:tcW w:w="12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B65D3C" w14:textId="23E43354" w:rsidR="007D7811" w:rsidRPr="00F2156B" w:rsidRDefault="007D7811" w:rsidP="007D7811">
            <w:pPr>
              <w:pStyle w:val="TableText0"/>
              <w:rPr>
                <w:iCs/>
                <w:szCs w:val="20"/>
              </w:rPr>
            </w:pPr>
            <w:r w:rsidRPr="00F2156B">
              <w:rPr>
                <w:iCs/>
                <w:szCs w:val="20"/>
              </w:rPr>
              <w:t xml:space="preserve">Base case ICER </w:t>
            </w:r>
            <w:r w:rsidR="00E93608" w:rsidRPr="00F2156B">
              <w:rPr>
                <w:iCs/>
                <w:szCs w:val="20"/>
              </w:rPr>
              <w:t xml:space="preserve">of the </w:t>
            </w:r>
            <w:r w:rsidRPr="00F2156B">
              <w:rPr>
                <w:iCs/>
                <w:szCs w:val="20"/>
              </w:rPr>
              <w:t>July 2023 resubmission model (Option A)</w:t>
            </w:r>
          </w:p>
        </w:tc>
        <w:tc>
          <w:tcPr>
            <w:tcW w:w="5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D1AD1B" w14:textId="7779B003" w:rsidR="007D7811" w:rsidRPr="00F2156B" w:rsidRDefault="007D7811" w:rsidP="007D7811">
            <w:pPr>
              <w:pStyle w:val="TableText0"/>
              <w:jc w:val="center"/>
              <w:rPr>
                <w:iCs/>
                <w:szCs w:val="20"/>
              </w:rPr>
            </w:pPr>
            <w:r w:rsidRPr="00F2156B">
              <w:rPr>
                <w:szCs w:val="20"/>
              </w:rPr>
              <w:t>$</w:t>
            </w:r>
            <w:r w:rsidR="00924D5E" w:rsidRPr="00924D5E">
              <w:rPr>
                <w:color w:val="000000"/>
                <w:spacing w:val="164"/>
                <w:szCs w:val="20"/>
                <w:shd w:val="solid" w:color="000000" w:fill="000000"/>
                <w:fitText w:val="250" w:id="-961836287"/>
                <w14:textFill>
                  <w14:solidFill>
                    <w14:srgbClr w14:val="000000">
                      <w14:alpha w14:val="100000"/>
                    </w14:srgbClr>
                  </w14:solidFill>
                </w14:textFill>
              </w:rPr>
              <w:t>|</w:t>
            </w:r>
            <w:r w:rsidR="00924D5E" w:rsidRPr="00924D5E">
              <w:rPr>
                <w:color w:val="000000"/>
                <w:spacing w:val="1"/>
                <w:szCs w:val="20"/>
                <w:shd w:val="solid" w:color="000000" w:fill="000000"/>
                <w:fitText w:val="250" w:id="-961836287"/>
                <w14:textFill>
                  <w14:solidFill>
                    <w14:srgbClr w14:val="000000">
                      <w14:alpha w14:val="100000"/>
                    </w14:srgbClr>
                  </w14:solidFill>
                </w14:textFill>
              </w:rPr>
              <w:t>|</w:t>
            </w:r>
          </w:p>
        </w:tc>
        <w:tc>
          <w:tcPr>
            <w:tcW w:w="451" w:type="pct"/>
            <w:tcBorders>
              <w:top w:val="single" w:sz="4" w:space="0" w:color="auto"/>
              <w:left w:val="single" w:sz="4" w:space="0" w:color="auto"/>
              <w:bottom w:val="single" w:sz="4" w:space="0" w:color="auto"/>
              <w:right w:val="single" w:sz="4" w:space="0" w:color="auto"/>
            </w:tcBorders>
            <w:shd w:val="solid" w:color="000000" w:fill="000000"/>
            <w:vAlign w:val="center"/>
          </w:tcPr>
          <w:p w14:paraId="02B95140" w14:textId="2933989C" w:rsidR="007D7811" w:rsidRPr="00924D5E" w:rsidRDefault="00924D5E" w:rsidP="007D7811">
            <w:pPr>
              <w:pStyle w:val="TableText0"/>
              <w:jc w:val="center"/>
              <w:rPr>
                <w:iCs/>
                <w:szCs w:val="20"/>
              </w:rPr>
            </w:pPr>
            <w:r w:rsidRPr="00924D5E">
              <w:rPr>
                <w:color w:val="000000"/>
                <w:spacing w:val="165"/>
                <w:szCs w:val="20"/>
                <w:fitText w:val="251" w:id="-961836286"/>
                <w14:textFill>
                  <w14:solidFill>
                    <w14:srgbClr w14:val="000000">
                      <w14:alpha w14:val="100000"/>
                    </w14:srgbClr>
                  </w14:solidFill>
                </w14:textFill>
              </w:rPr>
              <w:t>|</w:t>
            </w:r>
            <w:r w:rsidRPr="00924D5E">
              <w:rPr>
                <w:color w:val="000000"/>
                <w:szCs w:val="20"/>
                <w:fitText w:val="251" w:id="-961836286"/>
                <w14:textFill>
                  <w14:solidFill>
                    <w14:srgbClr w14:val="000000">
                      <w14:alpha w14:val="100000"/>
                    </w14:srgbClr>
                  </w14:solidFill>
                </w14:textFill>
              </w:rPr>
              <w:t>|</w:t>
            </w:r>
          </w:p>
        </w:tc>
        <w:tc>
          <w:tcPr>
            <w:tcW w:w="3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6F40150" w14:textId="688DCF0C" w:rsidR="007D7811" w:rsidRPr="00F2156B" w:rsidRDefault="007D7811" w:rsidP="007D7811">
            <w:pPr>
              <w:pStyle w:val="TableText0"/>
              <w:jc w:val="center"/>
              <w:rPr>
                <w:iCs/>
                <w:szCs w:val="20"/>
              </w:rPr>
            </w:pPr>
            <w:r w:rsidRPr="00F2156B">
              <w:rPr>
                <w:szCs w:val="20"/>
              </w:rPr>
              <w:t>4.18</w:t>
            </w:r>
          </w:p>
        </w:tc>
        <w:tc>
          <w:tcPr>
            <w:tcW w:w="43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9E33061" w14:textId="234CE1E4" w:rsidR="007D7811" w:rsidRPr="00F2156B" w:rsidRDefault="007D7811" w:rsidP="007D7811">
            <w:pPr>
              <w:pStyle w:val="TableText0"/>
              <w:jc w:val="center"/>
              <w:rPr>
                <w:iCs/>
                <w:szCs w:val="20"/>
              </w:rPr>
            </w:pPr>
            <w:r w:rsidRPr="00F2156B">
              <w:rPr>
                <w:szCs w:val="20"/>
              </w:rPr>
              <w:t>3.52</w:t>
            </w:r>
          </w:p>
        </w:tc>
        <w:tc>
          <w:tcPr>
            <w:tcW w:w="45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2377F3" w14:textId="648D43E9" w:rsidR="007D7811" w:rsidRPr="00F2156B" w:rsidRDefault="007D7811" w:rsidP="007D7811">
            <w:pPr>
              <w:pStyle w:val="TableText0"/>
              <w:jc w:val="center"/>
              <w:rPr>
                <w:iCs/>
                <w:szCs w:val="20"/>
              </w:rPr>
            </w:pPr>
            <w:r w:rsidRPr="00F2156B">
              <w:rPr>
                <w:iCs/>
                <w:szCs w:val="20"/>
              </w:rPr>
              <w:t>$</w:t>
            </w:r>
            <w:r w:rsidR="00924D5E" w:rsidRPr="00924D5E">
              <w:rPr>
                <w:iCs/>
                <w:color w:val="000000"/>
                <w:spacing w:val="202"/>
                <w:szCs w:val="20"/>
                <w:shd w:val="solid" w:color="000000" w:fill="000000"/>
                <w:fitText w:val="288" w:id="-961836285"/>
                <w14:textFill>
                  <w14:solidFill>
                    <w14:srgbClr w14:val="000000">
                      <w14:alpha w14:val="100000"/>
                    </w14:srgbClr>
                  </w14:solidFill>
                </w14:textFill>
              </w:rPr>
              <w:t>|</w:t>
            </w:r>
            <w:r w:rsidR="00924D5E" w:rsidRPr="00924D5E">
              <w:rPr>
                <w:iCs/>
                <w:color w:val="000000"/>
                <w:spacing w:val="1"/>
                <w:szCs w:val="20"/>
                <w:shd w:val="solid" w:color="000000" w:fill="000000"/>
                <w:fitText w:val="288" w:id="-961836285"/>
                <w14:textFill>
                  <w14:solidFill>
                    <w14:srgbClr w14:val="000000">
                      <w14:alpha w14:val="100000"/>
                    </w14:srgbClr>
                  </w14:solidFill>
                </w14:textFill>
              </w:rPr>
              <w:t>|</w:t>
            </w:r>
          </w:p>
        </w:tc>
        <w:tc>
          <w:tcPr>
            <w:tcW w:w="4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2BD851C" w14:textId="3B4C4037" w:rsidR="007D7811" w:rsidRPr="00F2156B" w:rsidRDefault="007D7811" w:rsidP="007D7811">
            <w:pPr>
              <w:pStyle w:val="TableText0"/>
              <w:jc w:val="center"/>
              <w:rPr>
                <w:iCs/>
                <w:szCs w:val="20"/>
              </w:rPr>
            </w:pPr>
            <w:r w:rsidRPr="00F2156B">
              <w:rPr>
                <w:iCs/>
                <w:szCs w:val="20"/>
              </w:rPr>
              <w:t>0.66</w:t>
            </w:r>
          </w:p>
        </w:tc>
        <w:tc>
          <w:tcPr>
            <w:tcW w:w="78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A86939" w14:textId="45255C19" w:rsidR="007D7811" w:rsidRPr="00D221AB" w:rsidRDefault="00924D5E" w:rsidP="007D7811">
            <w:pPr>
              <w:pStyle w:val="TableText0"/>
              <w:jc w:val="center"/>
              <w:rPr>
                <w:iCs/>
                <w:szCs w:val="20"/>
                <w:highlight w:val="lightGray"/>
              </w:rPr>
            </w:pPr>
            <w:r w:rsidRPr="00924D5E">
              <w:rPr>
                <w:iCs/>
                <w:color w:val="000000"/>
                <w:szCs w:val="20"/>
                <w:shd w:val="solid" w:color="000000" w:fill="000000"/>
                <w14:textFill>
                  <w14:solidFill>
                    <w14:srgbClr w14:val="000000">
                      <w14:alpha w14:val="100000"/>
                    </w14:srgbClr>
                  </w14:solidFill>
                </w14:textFill>
              </w:rPr>
              <w:t>|</w:t>
            </w:r>
            <w:r w:rsidR="002335D2" w:rsidRPr="001055AD">
              <w:rPr>
                <w:iCs/>
                <w:szCs w:val="20"/>
              </w:rPr>
              <w:t xml:space="preserve"> </w:t>
            </w:r>
            <w:r w:rsidR="002335D2" w:rsidRPr="00D221AB">
              <w:rPr>
                <w:iCs/>
                <w:szCs w:val="20"/>
                <w:vertAlign w:val="superscript"/>
              </w:rPr>
              <w:t>1</w:t>
            </w:r>
          </w:p>
        </w:tc>
      </w:tr>
      <w:tr w:rsidR="007D7811" w:rsidRPr="00CD4FAB" w14:paraId="297E9956" w14:textId="77777777" w:rsidTr="00F5399D">
        <w:tc>
          <w:tcPr>
            <w:tcW w:w="320" w:type="pct"/>
            <w:tcBorders>
              <w:top w:val="single" w:sz="4" w:space="0" w:color="auto"/>
              <w:left w:val="single" w:sz="4" w:space="0" w:color="auto"/>
              <w:bottom w:val="single" w:sz="4" w:space="0" w:color="auto"/>
              <w:right w:val="single" w:sz="4" w:space="0" w:color="auto"/>
            </w:tcBorders>
            <w:vAlign w:val="center"/>
            <w:hideMark/>
          </w:tcPr>
          <w:p w14:paraId="54C8F739" w14:textId="77777777" w:rsidR="007D7811" w:rsidRPr="00F2156B" w:rsidRDefault="007D7811" w:rsidP="007D7811">
            <w:pPr>
              <w:pStyle w:val="TableText0"/>
              <w:jc w:val="center"/>
              <w:rPr>
                <w:iCs/>
                <w:szCs w:val="20"/>
              </w:rPr>
            </w:pPr>
            <w:r w:rsidRPr="00F2156B">
              <w:rPr>
                <w:iCs/>
                <w:szCs w:val="20"/>
              </w:rPr>
              <w:t>1</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CC1295D" w14:textId="055E616E" w:rsidR="007D7811" w:rsidRPr="00F2156B" w:rsidRDefault="00CD68D0" w:rsidP="007D7811">
            <w:pPr>
              <w:pStyle w:val="TableText0"/>
              <w:rPr>
                <w:iCs/>
                <w:szCs w:val="20"/>
              </w:rPr>
            </w:pPr>
            <w:r w:rsidRPr="00F2156B">
              <w:rPr>
                <w:iCs/>
                <w:szCs w:val="20"/>
              </w:rPr>
              <w:t>+ Removal of immunotherapy retreatment</w:t>
            </w:r>
          </w:p>
        </w:tc>
        <w:tc>
          <w:tcPr>
            <w:tcW w:w="502" w:type="pct"/>
            <w:tcBorders>
              <w:top w:val="single" w:sz="4" w:space="0" w:color="auto"/>
              <w:left w:val="single" w:sz="4" w:space="0" w:color="auto"/>
              <w:bottom w:val="single" w:sz="4" w:space="0" w:color="auto"/>
              <w:right w:val="single" w:sz="4" w:space="0" w:color="auto"/>
            </w:tcBorders>
            <w:vAlign w:val="center"/>
          </w:tcPr>
          <w:p w14:paraId="45AC0BF3" w14:textId="0A6430FF" w:rsidR="007D7811" w:rsidRPr="00F2156B" w:rsidRDefault="007D7811" w:rsidP="007D7811">
            <w:pPr>
              <w:pStyle w:val="TableText0"/>
              <w:jc w:val="center"/>
              <w:rPr>
                <w:iCs/>
                <w:szCs w:val="20"/>
              </w:rPr>
            </w:pPr>
            <w:r w:rsidRPr="00F2156B">
              <w:rPr>
                <w:szCs w:val="20"/>
              </w:rPr>
              <w:t>$</w:t>
            </w:r>
            <w:r w:rsidR="00924D5E" w:rsidRPr="00924D5E">
              <w:rPr>
                <w:color w:val="000000"/>
                <w:spacing w:val="164"/>
                <w:szCs w:val="20"/>
                <w:shd w:val="solid" w:color="000000" w:fill="000000"/>
                <w:fitText w:val="250" w:id="-961836284"/>
                <w14:textFill>
                  <w14:solidFill>
                    <w14:srgbClr w14:val="000000">
                      <w14:alpha w14:val="100000"/>
                    </w14:srgbClr>
                  </w14:solidFill>
                </w14:textFill>
              </w:rPr>
              <w:t>|</w:t>
            </w:r>
            <w:r w:rsidR="00924D5E" w:rsidRPr="00924D5E">
              <w:rPr>
                <w:color w:val="000000"/>
                <w:spacing w:val="1"/>
                <w:szCs w:val="20"/>
                <w:shd w:val="solid" w:color="000000" w:fill="000000"/>
                <w:fitText w:val="250" w:id="-961836284"/>
                <w14:textFill>
                  <w14:solidFill>
                    <w14:srgbClr w14:val="000000">
                      <w14:alpha w14:val="100000"/>
                    </w14:srgbClr>
                  </w14:solidFill>
                </w14:textFill>
              </w:rPr>
              <w:t>|</w:t>
            </w:r>
          </w:p>
        </w:tc>
        <w:tc>
          <w:tcPr>
            <w:tcW w:w="451" w:type="pct"/>
            <w:tcBorders>
              <w:top w:val="single" w:sz="4" w:space="0" w:color="auto"/>
              <w:left w:val="single" w:sz="4" w:space="0" w:color="auto"/>
              <w:bottom w:val="single" w:sz="4" w:space="0" w:color="auto"/>
              <w:right w:val="single" w:sz="4" w:space="0" w:color="auto"/>
            </w:tcBorders>
            <w:shd w:val="solid" w:color="000000" w:fill="000000"/>
            <w:vAlign w:val="center"/>
          </w:tcPr>
          <w:p w14:paraId="25BBDE8A" w14:textId="5F1D2769" w:rsidR="007D7811" w:rsidRPr="00924D5E" w:rsidRDefault="00924D5E" w:rsidP="007D7811">
            <w:pPr>
              <w:pStyle w:val="TableText0"/>
              <w:jc w:val="center"/>
              <w:rPr>
                <w:iCs/>
                <w:szCs w:val="20"/>
              </w:rPr>
            </w:pPr>
            <w:r w:rsidRPr="00924D5E">
              <w:rPr>
                <w:color w:val="000000"/>
                <w:spacing w:val="165"/>
                <w:szCs w:val="20"/>
                <w:fitText w:val="251" w:id="-961836283"/>
                <w14:textFill>
                  <w14:solidFill>
                    <w14:srgbClr w14:val="000000">
                      <w14:alpha w14:val="100000"/>
                    </w14:srgbClr>
                  </w14:solidFill>
                </w14:textFill>
              </w:rPr>
              <w:t>|</w:t>
            </w:r>
            <w:r w:rsidRPr="00924D5E">
              <w:rPr>
                <w:color w:val="000000"/>
                <w:szCs w:val="20"/>
                <w:fitText w:val="251" w:id="-961836283"/>
                <w14:textFill>
                  <w14:solidFill>
                    <w14:srgbClr w14:val="000000">
                      <w14:alpha w14:val="100000"/>
                    </w14:srgbClr>
                  </w14:solidFill>
                </w14:textFill>
              </w:rPr>
              <w:t>|</w:t>
            </w:r>
          </w:p>
        </w:tc>
        <w:tc>
          <w:tcPr>
            <w:tcW w:w="375" w:type="pct"/>
            <w:tcBorders>
              <w:top w:val="single" w:sz="4" w:space="0" w:color="auto"/>
              <w:left w:val="single" w:sz="4" w:space="0" w:color="auto"/>
              <w:bottom w:val="single" w:sz="4" w:space="0" w:color="auto"/>
              <w:right w:val="single" w:sz="4" w:space="0" w:color="auto"/>
            </w:tcBorders>
            <w:vAlign w:val="center"/>
          </w:tcPr>
          <w:p w14:paraId="33F56763" w14:textId="2BA66F76" w:rsidR="007D7811" w:rsidRPr="00F2156B" w:rsidRDefault="007D7811" w:rsidP="007D7811">
            <w:pPr>
              <w:pStyle w:val="TableText0"/>
              <w:jc w:val="center"/>
              <w:rPr>
                <w:iCs/>
                <w:szCs w:val="20"/>
              </w:rPr>
            </w:pPr>
            <w:r w:rsidRPr="00F2156B">
              <w:rPr>
                <w:szCs w:val="20"/>
              </w:rPr>
              <w:t>4.02</w:t>
            </w:r>
          </w:p>
        </w:tc>
        <w:tc>
          <w:tcPr>
            <w:tcW w:w="430" w:type="pct"/>
            <w:tcBorders>
              <w:top w:val="single" w:sz="4" w:space="0" w:color="auto"/>
              <w:left w:val="single" w:sz="4" w:space="0" w:color="auto"/>
              <w:bottom w:val="single" w:sz="4" w:space="0" w:color="auto"/>
              <w:right w:val="single" w:sz="4" w:space="0" w:color="auto"/>
            </w:tcBorders>
            <w:vAlign w:val="center"/>
          </w:tcPr>
          <w:p w14:paraId="688BFD94" w14:textId="2B0ECF7F" w:rsidR="007D7811" w:rsidRPr="00F2156B" w:rsidRDefault="007D7811" w:rsidP="007D7811">
            <w:pPr>
              <w:pStyle w:val="TableText0"/>
              <w:jc w:val="center"/>
              <w:rPr>
                <w:iCs/>
                <w:szCs w:val="20"/>
              </w:rPr>
            </w:pPr>
            <w:r w:rsidRPr="00F2156B">
              <w:rPr>
                <w:szCs w:val="20"/>
              </w:rPr>
              <w:t>3.52</w:t>
            </w:r>
          </w:p>
        </w:tc>
        <w:tc>
          <w:tcPr>
            <w:tcW w:w="451" w:type="pct"/>
            <w:tcBorders>
              <w:top w:val="single" w:sz="4" w:space="0" w:color="auto"/>
              <w:left w:val="single" w:sz="4" w:space="0" w:color="auto"/>
              <w:bottom w:val="single" w:sz="4" w:space="0" w:color="auto"/>
              <w:right w:val="single" w:sz="4" w:space="0" w:color="auto"/>
            </w:tcBorders>
            <w:vAlign w:val="center"/>
          </w:tcPr>
          <w:p w14:paraId="595C9E97" w14:textId="19340B7D" w:rsidR="007D7811" w:rsidRPr="00F2156B" w:rsidRDefault="007D7811" w:rsidP="007D7811">
            <w:pPr>
              <w:pStyle w:val="TableText0"/>
              <w:jc w:val="center"/>
              <w:rPr>
                <w:iCs/>
                <w:szCs w:val="20"/>
              </w:rPr>
            </w:pPr>
            <w:r w:rsidRPr="00F2156B">
              <w:rPr>
                <w:iCs/>
                <w:szCs w:val="20"/>
              </w:rPr>
              <w:t>$</w:t>
            </w:r>
            <w:r w:rsidR="00924D5E" w:rsidRPr="00924D5E">
              <w:rPr>
                <w:iCs/>
                <w:color w:val="000000"/>
                <w:spacing w:val="202"/>
                <w:szCs w:val="20"/>
                <w:shd w:val="solid" w:color="000000" w:fill="000000"/>
                <w:fitText w:val="288" w:id="-961836282"/>
                <w14:textFill>
                  <w14:solidFill>
                    <w14:srgbClr w14:val="000000">
                      <w14:alpha w14:val="100000"/>
                    </w14:srgbClr>
                  </w14:solidFill>
                </w14:textFill>
              </w:rPr>
              <w:t>|</w:t>
            </w:r>
            <w:r w:rsidR="00924D5E" w:rsidRPr="00924D5E">
              <w:rPr>
                <w:iCs/>
                <w:color w:val="000000"/>
                <w:spacing w:val="1"/>
                <w:szCs w:val="20"/>
                <w:shd w:val="solid" w:color="000000" w:fill="000000"/>
                <w:fitText w:val="288" w:id="-961836282"/>
                <w14:textFill>
                  <w14:solidFill>
                    <w14:srgbClr w14:val="000000">
                      <w14:alpha w14:val="100000"/>
                    </w14:srgbClr>
                  </w14:solidFill>
                </w14:textFill>
              </w:rPr>
              <w:t>|</w:t>
            </w:r>
          </w:p>
        </w:tc>
        <w:tc>
          <w:tcPr>
            <w:tcW w:w="419" w:type="pct"/>
            <w:tcBorders>
              <w:top w:val="single" w:sz="4" w:space="0" w:color="auto"/>
              <w:left w:val="single" w:sz="4" w:space="0" w:color="auto"/>
              <w:bottom w:val="single" w:sz="4" w:space="0" w:color="auto"/>
              <w:right w:val="single" w:sz="4" w:space="0" w:color="auto"/>
            </w:tcBorders>
            <w:vAlign w:val="center"/>
          </w:tcPr>
          <w:p w14:paraId="513CDD79" w14:textId="1FF6C6CE" w:rsidR="007D7811" w:rsidRPr="00F2156B" w:rsidRDefault="007D7811" w:rsidP="007D7811">
            <w:pPr>
              <w:pStyle w:val="TableText0"/>
              <w:jc w:val="center"/>
              <w:rPr>
                <w:iCs/>
                <w:szCs w:val="20"/>
              </w:rPr>
            </w:pPr>
            <w:r w:rsidRPr="00F2156B">
              <w:rPr>
                <w:iCs/>
                <w:szCs w:val="20"/>
              </w:rPr>
              <w:t>0.51</w:t>
            </w:r>
          </w:p>
        </w:tc>
        <w:tc>
          <w:tcPr>
            <w:tcW w:w="789" w:type="pct"/>
            <w:tcBorders>
              <w:top w:val="single" w:sz="4" w:space="0" w:color="auto"/>
              <w:left w:val="single" w:sz="4" w:space="0" w:color="auto"/>
              <w:bottom w:val="single" w:sz="4" w:space="0" w:color="auto"/>
              <w:right w:val="single" w:sz="4" w:space="0" w:color="auto"/>
            </w:tcBorders>
            <w:vAlign w:val="center"/>
          </w:tcPr>
          <w:p w14:paraId="270943E6" w14:textId="7352A4F3" w:rsidR="007D7811" w:rsidRPr="00D221AB" w:rsidRDefault="00924D5E" w:rsidP="007D7811">
            <w:pPr>
              <w:pStyle w:val="TableText0"/>
              <w:jc w:val="center"/>
              <w:rPr>
                <w:iCs/>
                <w:szCs w:val="20"/>
                <w:highlight w:val="lightGray"/>
              </w:rPr>
            </w:pPr>
            <w:r w:rsidRPr="00924D5E">
              <w:rPr>
                <w:iCs/>
                <w:color w:val="000000"/>
                <w:szCs w:val="20"/>
                <w:shd w:val="solid" w:color="000000" w:fill="000000"/>
                <w14:textFill>
                  <w14:solidFill>
                    <w14:srgbClr w14:val="000000">
                      <w14:alpha w14:val="100000"/>
                    </w14:srgbClr>
                  </w14:solidFill>
                </w14:textFill>
              </w:rPr>
              <w:t>|</w:t>
            </w:r>
            <w:r w:rsidR="005155E6">
              <w:rPr>
                <w:iCs/>
                <w:szCs w:val="20"/>
                <w:vertAlign w:val="superscript"/>
              </w:rPr>
              <w:t>2</w:t>
            </w:r>
          </w:p>
        </w:tc>
      </w:tr>
      <w:tr w:rsidR="007D7811" w:rsidRPr="00CD4FAB" w14:paraId="6578151A" w14:textId="77777777" w:rsidTr="00F5399D">
        <w:tc>
          <w:tcPr>
            <w:tcW w:w="320" w:type="pct"/>
            <w:tcBorders>
              <w:top w:val="single" w:sz="4" w:space="0" w:color="auto"/>
              <w:left w:val="single" w:sz="4" w:space="0" w:color="auto"/>
              <w:bottom w:val="single" w:sz="4" w:space="0" w:color="auto"/>
              <w:right w:val="single" w:sz="4" w:space="0" w:color="auto"/>
            </w:tcBorders>
            <w:vAlign w:val="center"/>
            <w:hideMark/>
          </w:tcPr>
          <w:p w14:paraId="78CD365B" w14:textId="77777777" w:rsidR="007D7811" w:rsidRPr="00F2156B" w:rsidRDefault="007D7811" w:rsidP="007D7811">
            <w:pPr>
              <w:pStyle w:val="TableText0"/>
              <w:jc w:val="center"/>
              <w:rPr>
                <w:b/>
                <w:bCs w:val="0"/>
                <w:iCs/>
                <w:szCs w:val="20"/>
              </w:rPr>
            </w:pPr>
            <w:r w:rsidRPr="00F2156B">
              <w:rPr>
                <w:b/>
                <w:bCs w:val="0"/>
                <w:iCs/>
                <w:szCs w:val="20"/>
              </w:rPr>
              <w:t>2</w:t>
            </w:r>
          </w:p>
        </w:tc>
        <w:tc>
          <w:tcPr>
            <w:tcW w:w="1263" w:type="pct"/>
            <w:tcBorders>
              <w:top w:val="single" w:sz="4" w:space="0" w:color="auto"/>
              <w:left w:val="single" w:sz="4" w:space="0" w:color="auto"/>
              <w:bottom w:val="single" w:sz="4" w:space="0" w:color="auto"/>
              <w:right w:val="single" w:sz="4" w:space="0" w:color="auto"/>
            </w:tcBorders>
            <w:vAlign w:val="center"/>
            <w:hideMark/>
          </w:tcPr>
          <w:p w14:paraId="0845003F" w14:textId="69DD7E1D" w:rsidR="007D7811" w:rsidRPr="00F2156B" w:rsidRDefault="007D7811" w:rsidP="007D7811">
            <w:pPr>
              <w:pStyle w:val="TableText0"/>
              <w:rPr>
                <w:b/>
                <w:bCs w:val="0"/>
                <w:szCs w:val="20"/>
              </w:rPr>
            </w:pPr>
            <w:r w:rsidRPr="00F2156B">
              <w:rPr>
                <w:b/>
                <w:bCs w:val="0"/>
                <w:iCs/>
                <w:szCs w:val="20"/>
              </w:rPr>
              <w:t xml:space="preserve">+ Nivolumab price increased to </w:t>
            </w:r>
            <w:r w:rsidRPr="00F2156B">
              <w:rPr>
                <w:b/>
                <w:bCs w:val="0"/>
                <w:szCs w:val="20"/>
              </w:rPr>
              <w:t>$</w:t>
            </w:r>
            <w:r w:rsidR="00924D5E" w:rsidRPr="00924D5E">
              <w:rPr>
                <w:b/>
                <w:bCs w:val="0"/>
                <w:color w:val="000000"/>
                <w:spacing w:val="55"/>
                <w:szCs w:val="20"/>
                <w:shd w:val="solid" w:color="000000" w:fill="000000"/>
                <w:fitText w:val="350" w:id="-961836281"/>
                <w14:textFill>
                  <w14:solidFill>
                    <w14:srgbClr w14:val="000000">
                      <w14:alpha w14:val="100000"/>
                    </w14:srgbClr>
                  </w14:solidFill>
                </w14:textFill>
              </w:rPr>
              <w:t>|||</w:t>
            </w:r>
            <w:r w:rsidR="00924D5E" w:rsidRPr="00924D5E">
              <w:rPr>
                <w:b/>
                <w:bCs w:val="0"/>
                <w:color w:val="000000"/>
                <w:spacing w:val="2"/>
                <w:szCs w:val="20"/>
                <w:shd w:val="solid" w:color="000000" w:fill="000000"/>
                <w:fitText w:val="350" w:id="-961836281"/>
                <w14:textFill>
                  <w14:solidFill>
                    <w14:srgbClr w14:val="000000">
                      <w14:alpha w14:val="100000"/>
                    </w14:srgbClr>
                  </w14:solidFill>
                </w14:textFill>
              </w:rPr>
              <w:t>|</w:t>
            </w:r>
            <w:r w:rsidRPr="00F2156B">
              <w:rPr>
                <w:b/>
                <w:bCs w:val="0"/>
                <w:szCs w:val="20"/>
              </w:rPr>
              <w:t xml:space="preserve"> per 100 mg vial </w:t>
            </w:r>
          </w:p>
          <w:p w14:paraId="73AB3126" w14:textId="160CE8A0" w:rsidR="007D7811" w:rsidRPr="00F2156B" w:rsidRDefault="007D7811" w:rsidP="007D7811">
            <w:pPr>
              <w:pStyle w:val="TableText0"/>
              <w:rPr>
                <w:b/>
                <w:bCs w:val="0"/>
                <w:iCs/>
                <w:szCs w:val="20"/>
              </w:rPr>
            </w:pPr>
            <w:r w:rsidRPr="00F2156B">
              <w:rPr>
                <w:b/>
                <w:bCs w:val="0"/>
                <w:szCs w:val="20"/>
              </w:rPr>
              <w:t>(Option B)</w:t>
            </w:r>
          </w:p>
        </w:tc>
        <w:tc>
          <w:tcPr>
            <w:tcW w:w="502" w:type="pct"/>
            <w:tcBorders>
              <w:top w:val="single" w:sz="4" w:space="0" w:color="auto"/>
              <w:left w:val="single" w:sz="4" w:space="0" w:color="auto"/>
              <w:bottom w:val="single" w:sz="4" w:space="0" w:color="auto"/>
              <w:right w:val="single" w:sz="4" w:space="0" w:color="auto"/>
            </w:tcBorders>
            <w:vAlign w:val="center"/>
          </w:tcPr>
          <w:p w14:paraId="393FC7B3" w14:textId="71D75AFD" w:rsidR="007D7811" w:rsidRPr="00F2156B" w:rsidRDefault="007D7811" w:rsidP="007D7811">
            <w:pPr>
              <w:pStyle w:val="TableText0"/>
              <w:jc w:val="center"/>
              <w:rPr>
                <w:b/>
                <w:bCs w:val="0"/>
                <w:iCs/>
                <w:szCs w:val="20"/>
              </w:rPr>
            </w:pPr>
            <w:r w:rsidRPr="00F2156B">
              <w:rPr>
                <w:b/>
                <w:bCs w:val="0"/>
                <w:szCs w:val="20"/>
              </w:rPr>
              <w:t>$</w:t>
            </w:r>
            <w:r w:rsidR="00924D5E" w:rsidRPr="00924D5E">
              <w:rPr>
                <w:b/>
                <w:bCs w:val="0"/>
                <w:color w:val="000000"/>
                <w:spacing w:val="196"/>
                <w:szCs w:val="20"/>
                <w:shd w:val="solid" w:color="000000" w:fill="000000"/>
                <w:fitText w:val="288" w:id="-961836280"/>
                <w14:textFill>
                  <w14:solidFill>
                    <w14:srgbClr w14:val="000000">
                      <w14:alpha w14:val="100000"/>
                    </w14:srgbClr>
                  </w14:solidFill>
                </w14:textFill>
              </w:rPr>
              <w:t>|</w:t>
            </w:r>
            <w:r w:rsidR="00924D5E" w:rsidRPr="00924D5E">
              <w:rPr>
                <w:b/>
                <w:bCs w:val="0"/>
                <w:color w:val="000000"/>
                <w:spacing w:val="1"/>
                <w:szCs w:val="20"/>
                <w:shd w:val="solid" w:color="000000" w:fill="000000"/>
                <w:fitText w:val="288" w:id="-961836280"/>
                <w14:textFill>
                  <w14:solidFill>
                    <w14:srgbClr w14:val="000000">
                      <w14:alpha w14:val="100000"/>
                    </w14:srgbClr>
                  </w14:solidFill>
                </w14:textFill>
              </w:rPr>
              <w:t>|</w:t>
            </w:r>
          </w:p>
        </w:tc>
        <w:tc>
          <w:tcPr>
            <w:tcW w:w="451" w:type="pct"/>
            <w:tcBorders>
              <w:top w:val="single" w:sz="4" w:space="0" w:color="auto"/>
              <w:left w:val="single" w:sz="4" w:space="0" w:color="auto"/>
              <w:bottom w:val="single" w:sz="4" w:space="0" w:color="auto"/>
              <w:right w:val="single" w:sz="4" w:space="0" w:color="auto"/>
            </w:tcBorders>
            <w:shd w:val="solid" w:color="000000" w:fill="000000"/>
            <w:vAlign w:val="center"/>
          </w:tcPr>
          <w:p w14:paraId="6139D005" w14:textId="1E758119" w:rsidR="007D7811" w:rsidRPr="00924D5E" w:rsidRDefault="00924D5E" w:rsidP="007D7811">
            <w:pPr>
              <w:pStyle w:val="TableText0"/>
              <w:jc w:val="center"/>
              <w:rPr>
                <w:b/>
                <w:bCs w:val="0"/>
                <w:iCs/>
                <w:szCs w:val="20"/>
              </w:rPr>
            </w:pPr>
            <w:r w:rsidRPr="00924D5E">
              <w:rPr>
                <w:b/>
                <w:bCs w:val="0"/>
                <w:color w:val="000000"/>
                <w:spacing w:val="208"/>
                <w:szCs w:val="20"/>
                <w:fitText w:val="300" w:id="-961836279"/>
                <w14:textFill>
                  <w14:solidFill>
                    <w14:srgbClr w14:val="000000">
                      <w14:alpha w14:val="100000"/>
                    </w14:srgbClr>
                  </w14:solidFill>
                </w14:textFill>
              </w:rPr>
              <w:t>|</w:t>
            </w:r>
            <w:r w:rsidRPr="00924D5E">
              <w:rPr>
                <w:b/>
                <w:bCs w:val="0"/>
                <w:color w:val="000000"/>
                <w:szCs w:val="20"/>
                <w:fitText w:val="300" w:id="-961836279"/>
                <w14:textFill>
                  <w14:solidFill>
                    <w14:srgbClr w14:val="000000">
                      <w14:alpha w14:val="100000"/>
                    </w14:srgbClr>
                  </w14:solidFill>
                </w14:textFill>
              </w:rPr>
              <w:t>|</w:t>
            </w:r>
          </w:p>
        </w:tc>
        <w:tc>
          <w:tcPr>
            <w:tcW w:w="375" w:type="pct"/>
            <w:tcBorders>
              <w:top w:val="single" w:sz="4" w:space="0" w:color="auto"/>
              <w:left w:val="single" w:sz="4" w:space="0" w:color="auto"/>
              <w:bottom w:val="single" w:sz="4" w:space="0" w:color="auto"/>
              <w:right w:val="single" w:sz="4" w:space="0" w:color="auto"/>
            </w:tcBorders>
            <w:vAlign w:val="center"/>
          </w:tcPr>
          <w:p w14:paraId="620C5D41" w14:textId="33959761" w:rsidR="007D7811" w:rsidRPr="00F2156B" w:rsidRDefault="007D7811" w:rsidP="007D7811">
            <w:pPr>
              <w:pStyle w:val="TableText0"/>
              <w:jc w:val="center"/>
              <w:rPr>
                <w:b/>
                <w:bCs w:val="0"/>
                <w:iCs/>
                <w:szCs w:val="20"/>
              </w:rPr>
            </w:pPr>
            <w:r w:rsidRPr="00F2156B">
              <w:rPr>
                <w:b/>
                <w:bCs w:val="0"/>
                <w:szCs w:val="20"/>
              </w:rPr>
              <w:t>4.02</w:t>
            </w:r>
          </w:p>
        </w:tc>
        <w:tc>
          <w:tcPr>
            <w:tcW w:w="430" w:type="pct"/>
            <w:tcBorders>
              <w:top w:val="single" w:sz="4" w:space="0" w:color="auto"/>
              <w:left w:val="single" w:sz="4" w:space="0" w:color="auto"/>
              <w:bottom w:val="single" w:sz="4" w:space="0" w:color="auto"/>
              <w:right w:val="single" w:sz="4" w:space="0" w:color="auto"/>
            </w:tcBorders>
            <w:vAlign w:val="center"/>
          </w:tcPr>
          <w:p w14:paraId="0F62828C" w14:textId="0CDD29A0" w:rsidR="007D7811" w:rsidRPr="00F2156B" w:rsidRDefault="007D7811" w:rsidP="007D7811">
            <w:pPr>
              <w:pStyle w:val="TableText0"/>
              <w:jc w:val="center"/>
              <w:rPr>
                <w:b/>
                <w:bCs w:val="0"/>
                <w:iCs/>
                <w:szCs w:val="20"/>
              </w:rPr>
            </w:pPr>
            <w:r w:rsidRPr="00F2156B">
              <w:rPr>
                <w:b/>
                <w:bCs w:val="0"/>
                <w:szCs w:val="20"/>
              </w:rPr>
              <w:t>3.52</w:t>
            </w:r>
          </w:p>
        </w:tc>
        <w:tc>
          <w:tcPr>
            <w:tcW w:w="451" w:type="pct"/>
            <w:tcBorders>
              <w:top w:val="single" w:sz="4" w:space="0" w:color="auto"/>
              <w:left w:val="single" w:sz="4" w:space="0" w:color="auto"/>
              <w:bottom w:val="single" w:sz="4" w:space="0" w:color="auto"/>
              <w:right w:val="single" w:sz="4" w:space="0" w:color="auto"/>
            </w:tcBorders>
            <w:vAlign w:val="center"/>
          </w:tcPr>
          <w:p w14:paraId="098974D2" w14:textId="63D85401" w:rsidR="007D7811" w:rsidRPr="00F2156B" w:rsidRDefault="007D7811" w:rsidP="007D7811">
            <w:pPr>
              <w:pStyle w:val="TableText0"/>
              <w:jc w:val="center"/>
              <w:rPr>
                <w:b/>
                <w:bCs w:val="0"/>
                <w:iCs/>
                <w:szCs w:val="20"/>
              </w:rPr>
            </w:pPr>
            <w:r w:rsidRPr="00F2156B">
              <w:rPr>
                <w:b/>
                <w:bCs w:val="0"/>
                <w:iCs/>
                <w:szCs w:val="20"/>
              </w:rPr>
              <w:t>$</w:t>
            </w:r>
            <w:r w:rsidR="00924D5E" w:rsidRPr="00924D5E">
              <w:rPr>
                <w:b/>
                <w:bCs w:val="0"/>
                <w:iCs/>
                <w:color w:val="000000"/>
                <w:spacing w:val="51"/>
                <w:szCs w:val="20"/>
                <w:shd w:val="solid" w:color="000000" w:fill="000000"/>
                <w:fitText w:val="338" w:id="-961836278"/>
                <w14:textFill>
                  <w14:solidFill>
                    <w14:srgbClr w14:val="000000">
                      <w14:alpha w14:val="100000"/>
                    </w14:srgbClr>
                  </w14:solidFill>
                </w14:textFill>
              </w:rPr>
              <w:t>|||</w:t>
            </w:r>
            <w:r w:rsidR="00924D5E" w:rsidRPr="00924D5E">
              <w:rPr>
                <w:b/>
                <w:bCs w:val="0"/>
                <w:iCs/>
                <w:color w:val="000000"/>
                <w:spacing w:val="2"/>
                <w:szCs w:val="20"/>
                <w:shd w:val="solid" w:color="000000" w:fill="000000"/>
                <w:fitText w:val="338" w:id="-961836278"/>
                <w14:textFill>
                  <w14:solidFill>
                    <w14:srgbClr w14:val="000000">
                      <w14:alpha w14:val="100000"/>
                    </w14:srgbClr>
                  </w14:solidFill>
                </w14:textFill>
              </w:rPr>
              <w:t>|</w:t>
            </w:r>
          </w:p>
        </w:tc>
        <w:tc>
          <w:tcPr>
            <w:tcW w:w="419" w:type="pct"/>
            <w:tcBorders>
              <w:top w:val="single" w:sz="4" w:space="0" w:color="auto"/>
              <w:left w:val="single" w:sz="4" w:space="0" w:color="auto"/>
              <w:bottom w:val="single" w:sz="4" w:space="0" w:color="auto"/>
              <w:right w:val="single" w:sz="4" w:space="0" w:color="auto"/>
            </w:tcBorders>
            <w:vAlign w:val="center"/>
          </w:tcPr>
          <w:p w14:paraId="7953530F" w14:textId="151ED0A0" w:rsidR="007D7811" w:rsidRPr="00F2156B" w:rsidRDefault="007D7811" w:rsidP="007D7811">
            <w:pPr>
              <w:pStyle w:val="TableText0"/>
              <w:jc w:val="center"/>
              <w:rPr>
                <w:b/>
                <w:bCs w:val="0"/>
                <w:iCs/>
                <w:szCs w:val="20"/>
              </w:rPr>
            </w:pPr>
            <w:r w:rsidRPr="00F2156B">
              <w:rPr>
                <w:b/>
                <w:bCs w:val="0"/>
                <w:iCs/>
                <w:szCs w:val="20"/>
              </w:rPr>
              <w:t>0.51</w:t>
            </w:r>
          </w:p>
        </w:tc>
        <w:tc>
          <w:tcPr>
            <w:tcW w:w="789" w:type="pct"/>
            <w:tcBorders>
              <w:top w:val="single" w:sz="4" w:space="0" w:color="auto"/>
              <w:left w:val="single" w:sz="4" w:space="0" w:color="auto"/>
              <w:bottom w:val="single" w:sz="4" w:space="0" w:color="auto"/>
              <w:right w:val="single" w:sz="4" w:space="0" w:color="auto"/>
            </w:tcBorders>
            <w:vAlign w:val="center"/>
          </w:tcPr>
          <w:p w14:paraId="0CA65E30" w14:textId="7DCBB3F7" w:rsidR="007D7811" w:rsidRPr="00D221AB" w:rsidRDefault="00924D5E" w:rsidP="007D7811">
            <w:pPr>
              <w:pStyle w:val="TableText0"/>
              <w:jc w:val="center"/>
              <w:rPr>
                <w:b/>
                <w:bCs w:val="0"/>
                <w:iCs/>
                <w:szCs w:val="20"/>
                <w:highlight w:val="lightGray"/>
              </w:rPr>
            </w:pPr>
            <w:r w:rsidRPr="00924D5E">
              <w:rPr>
                <w:b/>
                <w:bCs w:val="0"/>
                <w:iCs/>
                <w:color w:val="000000"/>
                <w:szCs w:val="20"/>
                <w:shd w:val="solid" w:color="000000" w:fill="000000"/>
                <w14:textFill>
                  <w14:solidFill>
                    <w14:srgbClr w14:val="000000">
                      <w14:alpha w14:val="100000"/>
                    </w14:srgbClr>
                  </w14:solidFill>
                </w14:textFill>
              </w:rPr>
              <w:t>|</w:t>
            </w:r>
            <w:r w:rsidR="002335D2" w:rsidRPr="00162C9D">
              <w:rPr>
                <w:iCs/>
                <w:szCs w:val="20"/>
                <w:vertAlign w:val="superscript"/>
              </w:rPr>
              <w:t>1</w:t>
            </w:r>
          </w:p>
        </w:tc>
      </w:tr>
      <w:tr w:rsidR="00A32F4A" w:rsidRPr="00CD4FAB" w14:paraId="59D60A0B" w14:textId="77777777" w:rsidTr="00F5399D">
        <w:tc>
          <w:tcPr>
            <w:tcW w:w="320" w:type="pct"/>
            <w:tcBorders>
              <w:top w:val="single" w:sz="4" w:space="0" w:color="auto"/>
              <w:left w:val="single" w:sz="4" w:space="0" w:color="auto"/>
              <w:bottom w:val="single" w:sz="4" w:space="0" w:color="auto"/>
              <w:right w:val="single" w:sz="4" w:space="0" w:color="auto"/>
            </w:tcBorders>
            <w:vAlign w:val="center"/>
          </w:tcPr>
          <w:p w14:paraId="60DAC9EB" w14:textId="185BECBD" w:rsidR="00A32F4A" w:rsidRPr="00F2156B" w:rsidRDefault="00A32F4A" w:rsidP="00A32F4A">
            <w:pPr>
              <w:pStyle w:val="TableText0"/>
              <w:jc w:val="center"/>
              <w:rPr>
                <w:szCs w:val="20"/>
              </w:rPr>
            </w:pPr>
            <w:r w:rsidRPr="00F2156B">
              <w:rPr>
                <w:szCs w:val="20"/>
              </w:rPr>
              <w:t>3</w:t>
            </w:r>
          </w:p>
        </w:tc>
        <w:tc>
          <w:tcPr>
            <w:tcW w:w="1263" w:type="pct"/>
            <w:tcBorders>
              <w:top w:val="single" w:sz="4" w:space="0" w:color="auto"/>
              <w:left w:val="single" w:sz="4" w:space="0" w:color="auto"/>
              <w:bottom w:val="single" w:sz="4" w:space="0" w:color="auto"/>
              <w:right w:val="single" w:sz="4" w:space="0" w:color="auto"/>
            </w:tcBorders>
            <w:vAlign w:val="center"/>
          </w:tcPr>
          <w:p w14:paraId="44811EFA" w14:textId="4990B92D" w:rsidR="00A32F4A" w:rsidRPr="00F2156B" w:rsidRDefault="00A32F4A" w:rsidP="00A32F4A">
            <w:pPr>
              <w:pStyle w:val="TableText0"/>
              <w:rPr>
                <w:szCs w:val="20"/>
              </w:rPr>
            </w:pPr>
            <w:r w:rsidRPr="00F2156B">
              <w:rPr>
                <w:szCs w:val="20"/>
              </w:rPr>
              <w:t xml:space="preserve">+ Updated </w:t>
            </w:r>
            <w:r w:rsidR="00D40AE4" w:rsidRPr="00F2156B">
              <w:rPr>
                <w:szCs w:val="20"/>
              </w:rPr>
              <w:t xml:space="preserve">pharmacy </w:t>
            </w:r>
            <w:r w:rsidRPr="00F2156B">
              <w:rPr>
                <w:szCs w:val="20"/>
              </w:rPr>
              <w:t>mark-up</w:t>
            </w:r>
            <w:r w:rsidR="00CD68D0" w:rsidRPr="00F2156B">
              <w:rPr>
                <w:szCs w:val="20"/>
              </w:rPr>
              <w:t>s</w:t>
            </w:r>
            <w:r w:rsidRPr="00F2156B">
              <w:rPr>
                <w:szCs w:val="20"/>
              </w:rPr>
              <w:t xml:space="preserve"> and fees (aligned with</w:t>
            </w:r>
            <w:r w:rsidR="00CD68D0" w:rsidRPr="00F2156B">
              <w:rPr>
                <w:szCs w:val="20"/>
              </w:rPr>
              <w:t xml:space="preserve"> the</w:t>
            </w:r>
            <w:r w:rsidRPr="00F2156B">
              <w:rPr>
                <w:szCs w:val="20"/>
              </w:rPr>
              <w:t xml:space="preserve"> financial estimates model)</w:t>
            </w:r>
          </w:p>
        </w:tc>
        <w:tc>
          <w:tcPr>
            <w:tcW w:w="502" w:type="pct"/>
            <w:tcBorders>
              <w:top w:val="single" w:sz="4" w:space="0" w:color="auto"/>
              <w:left w:val="single" w:sz="4" w:space="0" w:color="auto"/>
              <w:bottom w:val="single" w:sz="4" w:space="0" w:color="auto"/>
              <w:right w:val="single" w:sz="4" w:space="0" w:color="auto"/>
            </w:tcBorders>
            <w:vAlign w:val="center"/>
          </w:tcPr>
          <w:p w14:paraId="288E3829" w14:textId="5452F256" w:rsidR="00A32F4A" w:rsidRPr="00F2156B" w:rsidRDefault="00A32F4A" w:rsidP="00A32F4A">
            <w:pPr>
              <w:pStyle w:val="TableText0"/>
              <w:jc w:val="center"/>
              <w:rPr>
                <w:iCs/>
                <w:szCs w:val="20"/>
              </w:rPr>
            </w:pPr>
            <w:r w:rsidRPr="00F2156B">
              <w:rPr>
                <w:iCs/>
                <w:szCs w:val="20"/>
              </w:rPr>
              <w:t>$</w:t>
            </w:r>
            <w:r w:rsidR="00924D5E" w:rsidRPr="00924D5E">
              <w:rPr>
                <w:iCs/>
                <w:color w:val="000000"/>
                <w:spacing w:val="164"/>
                <w:szCs w:val="20"/>
                <w:shd w:val="solid" w:color="000000" w:fill="000000"/>
                <w:fitText w:val="250" w:id="-961836277"/>
                <w14:textFill>
                  <w14:solidFill>
                    <w14:srgbClr w14:val="000000">
                      <w14:alpha w14:val="100000"/>
                    </w14:srgbClr>
                  </w14:solidFill>
                </w14:textFill>
              </w:rPr>
              <w:t>|</w:t>
            </w:r>
            <w:r w:rsidR="00924D5E" w:rsidRPr="00924D5E">
              <w:rPr>
                <w:iCs/>
                <w:color w:val="000000"/>
                <w:spacing w:val="1"/>
                <w:szCs w:val="20"/>
                <w:shd w:val="solid" w:color="000000" w:fill="000000"/>
                <w:fitText w:val="250" w:id="-961836277"/>
                <w14:textFill>
                  <w14:solidFill>
                    <w14:srgbClr w14:val="000000">
                      <w14:alpha w14:val="100000"/>
                    </w14:srgbClr>
                  </w14:solidFill>
                </w14:textFill>
              </w:rPr>
              <w:t>|</w:t>
            </w:r>
          </w:p>
        </w:tc>
        <w:tc>
          <w:tcPr>
            <w:tcW w:w="451" w:type="pct"/>
            <w:tcBorders>
              <w:top w:val="single" w:sz="4" w:space="0" w:color="auto"/>
              <w:left w:val="single" w:sz="4" w:space="0" w:color="auto"/>
              <w:bottom w:val="single" w:sz="4" w:space="0" w:color="auto"/>
              <w:right w:val="single" w:sz="4" w:space="0" w:color="auto"/>
            </w:tcBorders>
            <w:shd w:val="solid" w:color="000000" w:fill="000000"/>
            <w:vAlign w:val="center"/>
          </w:tcPr>
          <w:p w14:paraId="730D407A" w14:textId="08EEA345" w:rsidR="00A32F4A" w:rsidRPr="00924D5E" w:rsidRDefault="00924D5E" w:rsidP="00A32F4A">
            <w:pPr>
              <w:pStyle w:val="TableText0"/>
              <w:jc w:val="center"/>
              <w:rPr>
                <w:iCs/>
                <w:szCs w:val="20"/>
              </w:rPr>
            </w:pPr>
            <w:r w:rsidRPr="00924D5E">
              <w:rPr>
                <w:iCs/>
                <w:color w:val="000000"/>
                <w:spacing w:val="165"/>
                <w:szCs w:val="20"/>
                <w:fitText w:val="251" w:id="-961836276"/>
                <w14:textFill>
                  <w14:solidFill>
                    <w14:srgbClr w14:val="000000">
                      <w14:alpha w14:val="100000"/>
                    </w14:srgbClr>
                  </w14:solidFill>
                </w14:textFill>
              </w:rPr>
              <w:t>|</w:t>
            </w:r>
            <w:r w:rsidRPr="00924D5E">
              <w:rPr>
                <w:iCs/>
                <w:color w:val="000000"/>
                <w:szCs w:val="20"/>
                <w:fitText w:val="251" w:id="-961836276"/>
                <w14:textFill>
                  <w14:solidFill>
                    <w14:srgbClr w14:val="000000">
                      <w14:alpha w14:val="100000"/>
                    </w14:srgbClr>
                  </w14:solidFill>
                </w14:textFill>
              </w:rPr>
              <w:t>|</w:t>
            </w:r>
          </w:p>
        </w:tc>
        <w:tc>
          <w:tcPr>
            <w:tcW w:w="375" w:type="pct"/>
            <w:tcBorders>
              <w:top w:val="single" w:sz="4" w:space="0" w:color="auto"/>
              <w:left w:val="single" w:sz="4" w:space="0" w:color="auto"/>
              <w:bottom w:val="single" w:sz="4" w:space="0" w:color="auto"/>
              <w:right w:val="single" w:sz="4" w:space="0" w:color="auto"/>
            </w:tcBorders>
            <w:vAlign w:val="center"/>
          </w:tcPr>
          <w:p w14:paraId="5E6F8261" w14:textId="6BE765FF" w:rsidR="00A32F4A" w:rsidRPr="00F2156B" w:rsidRDefault="00A32F4A" w:rsidP="00A32F4A">
            <w:pPr>
              <w:pStyle w:val="TableText0"/>
              <w:jc w:val="center"/>
              <w:rPr>
                <w:iCs/>
                <w:szCs w:val="20"/>
              </w:rPr>
            </w:pPr>
            <w:r w:rsidRPr="00F2156B">
              <w:rPr>
                <w:iCs/>
                <w:szCs w:val="20"/>
              </w:rPr>
              <w:t>4.02</w:t>
            </w:r>
          </w:p>
        </w:tc>
        <w:tc>
          <w:tcPr>
            <w:tcW w:w="430" w:type="pct"/>
            <w:tcBorders>
              <w:top w:val="single" w:sz="4" w:space="0" w:color="auto"/>
              <w:left w:val="single" w:sz="4" w:space="0" w:color="auto"/>
              <w:bottom w:val="single" w:sz="4" w:space="0" w:color="auto"/>
              <w:right w:val="single" w:sz="4" w:space="0" w:color="auto"/>
            </w:tcBorders>
            <w:vAlign w:val="center"/>
          </w:tcPr>
          <w:p w14:paraId="76E99907" w14:textId="2740E72B" w:rsidR="00A32F4A" w:rsidRPr="00F2156B" w:rsidRDefault="00A32F4A" w:rsidP="00A32F4A">
            <w:pPr>
              <w:pStyle w:val="TableText0"/>
              <w:jc w:val="center"/>
              <w:rPr>
                <w:iCs/>
                <w:szCs w:val="20"/>
              </w:rPr>
            </w:pPr>
            <w:r w:rsidRPr="00F2156B">
              <w:rPr>
                <w:iCs/>
                <w:szCs w:val="20"/>
              </w:rPr>
              <w:t>3.52</w:t>
            </w:r>
          </w:p>
        </w:tc>
        <w:tc>
          <w:tcPr>
            <w:tcW w:w="451" w:type="pct"/>
            <w:tcBorders>
              <w:top w:val="single" w:sz="4" w:space="0" w:color="auto"/>
              <w:left w:val="single" w:sz="4" w:space="0" w:color="auto"/>
              <w:bottom w:val="single" w:sz="4" w:space="0" w:color="auto"/>
              <w:right w:val="single" w:sz="4" w:space="0" w:color="auto"/>
            </w:tcBorders>
            <w:vAlign w:val="center"/>
          </w:tcPr>
          <w:p w14:paraId="7AA0A0EB" w14:textId="4532966D" w:rsidR="00A32F4A" w:rsidRPr="00F2156B" w:rsidRDefault="00A32F4A" w:rsidP="00A32F4A">
            <w:pPr>
              <w:pStyle w:val="TableText0"/>
              <w:jc w:val="center"/>
              <w:rPr>
                <w:iCs/>
                <w:szCs w:val="20"/>
              </w:rPr>
            </w:pPr>
            <w:r w:rsidRPr="00F2156B">
              <w:rPr>
                <w:iCs/>
                <w:szCs w:val="20"/>
              </w:rPr>
              <w:t>$</w:t>
            </w:r>
            <w:r w:rsidR="00924D5E" w:rsidRPr="00924D5E">
              <w:rPr>
                <w:iCs/>
                <w:color w:val="000000"/>
                <w:spacing w:val="202"/>
                <w:szCs w:val="20"/>
                <w:shd w:val="solid" w:color="000000" w:fill="000000"/>
                <w:fitText w:val="288" w:id="-961836275"/>
                <w14:textFill>
                  <w14:solidFill>
                    <w14:srgbClr w14:val="000000">
                      <w14:alpha w14:val="100000"/>
                    </w14:srgbClr>
                  </w14:solidFill>
                </w14:textFill>
              </w:rPr>
              <w:t>|</w:t>
            </w:r>
            <w:r w:rsidR="00924D5E" w:rsidRPr="00924D5E">
              <w:rPr>
                <w:iCs/>
                <w:color w:val="000000"/>
                <w:spacing w:val="1"/>
                <w:szCs w:val="20"/>
                <w:shd w:val="solid" w:color="000000" w:fill="000000"/>
                <w:fitText w:val="288" w:id="-961836275"/>
                <w14:textFill>
                  <w14:solidFill>
                    <w14:srgbClr w14:val="000000">
                      <w14:alpha w14:val="100000"/>
                    </w14:srgbClr>
                  </w14:solidFill>
                </w14:textFill>
              </w:rPr>
              <w:t>|</w:t>
            </w:r>
          </w:p>
        </w:tc>
        <w:tc>
          <w:tcPr>
            <w:tcW w:w="419" w:type="pct"/>
            <w:tcBorders>
              <w:top w:val="single" w:sz="4" w:space="0" w:color="auto"/>
              <w:left w:val="single" w:sz="4" w:space="0" w:color="auto"/>
              <w:bottom w:val="single" w:sz="4" w:space="0" w:color="auto"/>
              <w:right w:val="single" w:sz="4" w:space="0" w:color="auto"/>
            </w:tcBorders>
            <w:vAlign w:val="center"/>
          </w:tcPr>
          <w:p w14:paraId="7F4A4F7A" w14:textId="5E7CC764" w:rsidR="00A32F4A" w:rsidRPr="00F2156B" w:rsidRDefault="00A32F4A" w:rsidP="00A32F4A">
            <w:pPr>
              <w:pStyle w:val="TableText0"/>
              <w:jc w:val="center"/>
              <w:rPr>
                <w:iCs/>
                <w:szCs w:val="20"/>
              </w:rPr>
            </w:pPr>
            <w:r w:rsidRPr="00F2156B">
              <w:rPr>
                <w:iCs/>
                <w:szCs w:val="20"/>
              </w:rPr>
              <w:t>0.51</w:t>
            </w:r>
          </w:p>
        </w:tc>
        <w:tc>
          <w:tcPr>
            <w:tcW w:w="789" w:type="pct"/>
            <w:tcBorders>
              <w:top w:val="single" w:sz="4" w:space="0" w:color="auto"/>
              <w:left w:val="single" w:sz="4" w:space="0" w:color="auto"/>
              <w:bottom w:val="single" w:sz="4" w:space="0" w:color="auto"/>
              <w:right w:val="single" w:sz="4" w:space="0" w:color="auto"/>
            </w:tcBorders>
            <w:vAlign w:val="center"/>
          </w:tcPr>
          <w:p w14:paraId="60D8021D" w14:textId="5FE0D74E" w:rsidR="00A32F4A" w:rsidRPr="00D221AB" w:rsidRDefault="00924D5E" w:rsidP="00A32F4A">
            <w:pPr>
              <w:pStyle w:val="TableText0"/>
              <w:jc w:val="center"/>
              <w:rPr>
                <w:iCs/>
                <w:szCs w:val="20"/>
                <w:highlight w:val="lightGray"/>
              </w:rPr>
            </w:pPr>
            <w:r w:rsidRPr="00924D5E">
              <w:rPr>
                <w:iCs/>
                <w:color w:val="000000"/>
                <w:szCs w:val="20"/>
                <w:shd w:val="solid" w:color="000000" w:fill="000000"/>
                <w14:textFill>
                  <w14:solidFill>
                    <w14:srgbClr w14:val="000000">
                      <w14:alpha w14:val="100000"/>
                    </w14:srgbClr>
                  </w14:solidFill>
                </w14:textFill>
              </w:rPr>
              <w:t>|</w:t>
            </w:r>
            <w:r w:rsidR="002335D2" w:rsidRPr="00162C9D">
              <w:rPr>
                <w:iCs/>
                <w:szCs w:val="20"/>
                <w:vertAlign w:val="superscript"/>
              </w:rPr>
              <w:t>1</w:t>
            </w:r>
          </w:p>
        </w:tc>
      </w:tr>
    </w:tbl>
    <w:p w14:paraId="3D92321D" w14:textId="77777777" w:rsidR="00C02D52" w:rsidRPr="00CD4FAB" w:rsidRDefault="00C06246" w:rsidP="005B7D0D">
      <w:pPr>
        <w:pStyle w:val="FooterTableFigure"/>
      </w:pPr>
      <w:r w:rsidRPr="00CD4FAB">
        <w:t xml:space="preserve">Source: </w:t>
      </w:r>
      <w:r w:rsidR="005B7D0D" w:rsidRPr="00CD4FAB">
        <w:t xml:space="preserve">constructed during the evaluation. </w:t>
      </w:r>
    </w:p>
    <w:p w14:paraId="42AD3254" w14:textId="0C325DE2" w:rsidR="00C06246" w:rsidRDefault="005B7D0D" w:rsidP="00D221AB">
      <w:pPr>
        <w:pStyle w:val="FooterTableFigure"/>
        <w:spacing w:after="0"/>
        <w:contextualSpacing w:val="0"/>
      </w:pPr>
      <w:r w:rsidRPr="00CD4FAB">
        <w:t>chemo= chemotherapy</w:t>
      </w:r>
      <w:r w:rsidR="00452585" w:rsidRPr="00CD4FAB">
        <w:t>; ICER = incremental cost-effectiveness ratio; inc. = incremental; nivo = nivolumab</w:t>
      </w:r>
    </w:p>
    <w:p w14:paraId="4AACF3EF" w14:textId="77777777" w:rsidR="002335D2" w:rsidRPr="009A6D58" w:rsidRDefault="002335D2" w:rsidP="002335D2">
      <w:pPr>
        <w:rPr>
          <w:rFonts w:ascii="Arial Narrow" w:hAnsi="Arial Narrow" w:cs="Arial"/>
          <w:i/>
          <w:sz w:val="18"/>
          <w:szCs w:val="18"/>
          <w:lang w:eastAsia="en-AU"/>
        </w:rPr>
      </w:pPr>
      <w:r w:rsidRPr="009A6D58">
        <w:rPr>
          <w:rFonts w:ascii="Arial Narrow" w:hAnsi="Arial Narrow" w:cs="Arial"/>
          <w:i/>
          <w:sz w:val="18"/>
          <w:szCs w:val="18"/>
          <w:lang w:eastAsia="en-AU"/>
        </w:rPr>
        <w:t xml:space="preserve">The redacted values correspond to the following ranges: </w:t>
      </w:r>
    </w:p>
    <w:p w14:paraId="7AF935A1" w14:textId="77777777" w:rsidR="005155E6" w:rsidRDefault="002335D2" w:rsidP="00D221AB">
      <w:pPr>
        <w:rPr>
          <w:rFonts w:ascii="Arial Narrow" w:hAnsi="Arial Narrow" w:cs="Arial"/>
          <w:i/>
          <w:sz w:val="18"/>
          <w:szCs w:val="18"/>
          <w:lang w:eastAsia="en-AU"/>
        </w:rPr>
      </w:pPr>
      <w:r>
        <w:rPr>
          <w:rFonts w:ascii="Arial Narrow" w:hAnsi="Arial Narrow" w:cs="Arial"/>
          <w:i/>
          <w:sz w:val="18"/>
          <w:szCs w:val="18"/>
          <w:vertAlign w:val="superscript"/>
          <w:lang w:eastAsia="en-AU"/>
        </w:rPr>
        <w:t>1</w:t>
      </w:r>
      <w:r w:rsidR="005155E6">
        <w:rPr>
          <w:rFonts w:ascii="Arial Narrow" w:hAnsi="Arial Narrow" w:cs="Arial"/>
          <w:i/>
          <w:sz w:val="18"/>
          <w:szCs w:val="18"/>
          <w:vertAlign w:val="superscript"/>
          <w:lang w:eastAsia="en-AU"/>
        </w:rPr>
        <w:t xml:space="preserve"> </w:t>
      </w:r>
      <w:r w:rsidRPr="00162C9D">
        <w:rPr>
          <w:rFonts w:ascii="Arial Narrow" w:hAnsi="Arial Narrow" w:cs="Arial"/>
          <w:i/>
          <w:sz w:val="18"/>
          <w:szCs w:val="18"/>
          <w:lang w:eastAsia="en-AU"/>
        </w:rPr>
        <w:t>$25,000 to &lt; $35,000</w:t>
      </w:r>
    </w:p>
    <w:p w14:paraId="3CC773A9" w14:textId="37D247CE" w:rsidR="002335D2" w:rsidRPr="00CD4FAB" w:rsidRDefault="005155E6" w:rsidP="00D221AB">
      <w:pPr>
        <w:spacing w:after="120"/>
      </w:pPr>
      <w:r>
        <w:rPr>
          <w:rFonts w:ascii="Arial Narrow" w:hAnsi="Arial Narrow" w:cs="Arial"/>
          <w:i/>
          <w:sz w:val="18"/>
          <w:szCs w:val="18"/>
          <w:vertAlign w:val="superscript"/>
          <w:lang w:eastAsia="en-AU"/>
        </w:rPr>
        <w:t xml:space="preserve">2 </w:t>
      </w:r>
      <w:r w:rsidRPr="00162C9D">
        <w:rPr>
          <w:rFonts w:ascii="Arial Narrow" w:hAnsi="Arial Narrow" w:cs="Arial"/>
          <w:i/>
          <w:sz w:val="18"/>
          <w:szCs w:val="18"/>
          <w:lang w:eastAsia="en-AU"/>
        </w:rPr>
        <w:t>$</w:t>
      </w:r>
      <w:r>
        <w:rPr>
          <w:rFonts w:ascii="Arial Narrow" w:hAnsi="Arial Narrow" w:cs="Arial"/>
          <w:i/>
          <w:sz w:val="18"/>
          <w:szCs w:val="18"/>
          <w:lang w:eastAsia="en-AU"/>
        </w:rPr>
        <w:t>1</w:t>
      </w:r>
      <w:r w:rsidRPr="00162C9D">
        <w:rPr>
          <w:rFonts w:ascii="Arial Narrow" w:hAnsi="Arial Narrow" w:cs="Arial"/>
          <w:i/>
          <w:sz w:val="18"/>
          <w:szCs w:val="18"/>
          <w:lang w:eastAsia="en-AU"/>
        </w:rPr>
        <w:t>5,000 to &lt; $</w:t>
      </w:r>
      <w:r>
        <w:rPr>
          <w:rFonts w:ascii="Arial Narrow" w:hAnsi="Arial Narrow" w:cs="Arial"/>
          <w:i/>
          <w:sz w:val="18"/>
          <w:szCs w:val="18"/>
          <w:lang w:eastAsia="en-AU"/>
        </w:rPr>
        <w:t>2</w:t>
      </w:r>
      <w:r w:rsidRPr="00162C9D">
        <w:rPr>
          <w:rFonts w:ascii="Arial Narrow" w:hAnsi="Arial Narrow" w:cs="Arial"/>
          <w:i/>
          <w:sz w:val="18"/>
          <w:szCs w:val="18"/>
          <w:lang w:eastAsia="en-AU"/>
        </w:rPr>
        <w:t>5,000</w:t>
      </w:r>
    </w:p>
    <w:p w14:paraId="6CED6DA5" w14:textId="2DF82017" w:rsidR="00F43B74" w:rsidRPr="00CD4FAB" w:rsidRDefault="00F43B74" w:rsidP="00D221AB">
      <w:pPr>
        <w:pStyle w:val="3-BodyText"/>
        <w:rPr>
          <w:iCs/>
        </w:rPr>
      </w:pPr>
      <w:r w:rsidRPr="00CD4FAB">
        <w:rPr>
          <w:iCs/>
        </w:rPr>
        <w:t xml:space="preserve">Sensitivity analyses were not provided in the submission. Key </w:t>
      </w:r>
      <w:r w:rsidR="00B33BE9" w:rsidRPr="00CD4FAB">
        <w:rPr>
          <w:iCs/>
        </w:rPr>
        <w:t xml:space="preserve">sensitivity </w:t>
      </w:r>
      <w:r w:rsidRPr="00CD4FAB">
        <w:rPr>
          <w:iCs/>
        </w:rPr>
        <w:t>analyses were conducted during the evaluation</w:t>
      </w:r>
      <w:r w:rsidR="00630660" w:rsidRPr="00CD4FAB">
        <w:rPr>
          <w:iCs/>
        </w:rPr>
        <w:t xml:space="preserve"> for the Option B model</w:t>
      </w:r>
      <w:r w:rsidRPr="00CD4FAB">
        <w:rPr>
          <w:iCs/>
        </w:rPr>
        <w:t xml:space="preserve"> and </w:t>
      </w:r>
      <w:r w:rsidR="00B33BE9" w:rsidRPr="00CD4FAB">
        <w:rPr>
          <w:iCs/>
        </w:rPr>
        <w:t>are shown</w:t>
      </w:r>
      <w:r w:rsidRPr="00CD4FAB">
        <w:rPr>
          <w:iCs/>
        </w:rPr>
        <w:t xml:space="preserve"> in </w:t>
      </w:r>
      <w:r w:rsidR="00C03A63" w:rsidRPr="00CD4FAB">
        <w:rPr>
          <w:iCs/>
        </w:rPr>
        <w:fldChar w:fldCharType="begin" w:fldLock="1"/>
      </w:r>
      <w:r w:rsidR="00C03A63" w:rsidRPr="00CD4FAB">
        <w:rPr>
          <w:iCs/>
        </w:rPr>
        <w:instrText xml:space="preserve"> REF _Ref104804865 \h  \* MERGEFORMAT </w:instrText>
      </w:r>
      <w:r w:rsidR="00C03A63" w:rsidRPr="00CD4FAB">
        <w:rPr>
          <w:iCs/>
        </w:rPr>
      </w:r>
      <w:r w:rsidR="00C03A63" w:rsidRPr="00CD4FAB">
        <w:rPr>
          <w:iCs/>
        </w:rPr>
        <w:fldChar w:fldCharType="separate"/>
      </w:r>
      <w:r w:rsidR="00885DA7" w:rsidRPr="00885DA7">
        <w:rPr>
          <w:iCs/>
        </w:rPr>
        <w:t>Table 7</w:t>
      </w:r>
      <w:r w:rsidR="00C03A63" w:rsidRPr="00CD4FAB">
        <w:rPr>
          <w:iCs/>
        </w:rPr>
        <w:fldChar w:fldCharType="end"/>
      </w:r>
      <w:r w:rsidR="00C03A63" w:rsidRPr="00CD4FAB">
        <w:rPr>
          <w:iCs/>
        </w:rPr>
        <w:t>.</w:t>
      </w:r>
    </w:p>
    <w:p w14:paraId="4F215522" w14:textId="7A79017A" w:rsidR="00CA1D9B" w:rsidRPr="00CD4FAB" w:rsidRDefault="007B2851" w:rsidP="00D221AB">
      <w:pPr>
        <w:pStyle w:val="3-BodyText"/>
      </w:pPr>
      <w:r w:rsidRPr="00CD4FAB">
        <w:lastRenderedPageBreak/>
        <w:t xml:space="preserve">The economic model included four health states: </w:t>
      </w:r>
      <w:r w:rsidR="001736C3" w:rsidRPr="00CD4FAB">
        <w:t xml:space="preserve">EFS, LR, </w:t>
      </w:r>
      <w:bookmarkStart w:id="32" w:name="_Hlk163563523"/>
      <w:r w:rsidR="001736C3" w:rsidRPr="00CD4FAB">
        <w:t xml:space="preserve">distant metastasis </w:t>
      </w:r>
      <w:bookmarkEnd w:id="32"/>
      <w:r w:rsidR="001736C3" w:rsidRPr="00CD4FAB">
        <w:t xml:space="preserve">(DM) and death. </w:t>
      </w:r>
      <w:r w:rsidR="00AF2C7B" w:rsidRPr="00CD4FAB">
        <w:t>The DM health state was modelled as an absorbing health state</w:t>
      </w:r>
      <w:r w:rsidR="0046572C" w:rsidRPr="00CD4FAB">
        <w:t>, where</w:t>
      </w:r>
      <w:r w:rsidR="00CA1D9B" w:rsidRPr="00CD4FAB">
        <w:t xml:space="preserve"> o</w:t>
      </w:r>
      <w:r w:rsidR="00AF2C7B" w:rsidRPr="00CD4FAB">
        <w:t xml:space="preserve">ne-off costs, life years (LYs) and QALYs </w:t>
      </w:r>
      <w:r w:rsidR="00CA1D9B" w:rsidRPr="00CD4FAB">
        <w:t xml:space="preserve">assumed to be associated with developing a distant metastasis </w:t>
      </w:r>
      <w:r w:rsidR="00AF2C7B" w:rsidRPr="00CD4FAB">
        <w:t>were applied on transition</w:t>
      </w:r>
      <w:r w:rsidR="00CA1D9B" w:rsidRPr="00CD4FAB">
        <w:t xml:space="preserve"> into the health state</w:t>
      </w:r>
      <w:r w:rsidR="00AF2C7B" w:rsidRPr="00CD4FAB">
        <w:t>.</w:t>
      </w:r>
      <w:r w:rsidR="00CA1D9B" w:rsidRPr="00CD4FAB">
        <w:t xml:space="preserve"> In the economic model </w:t>
      </w:r>
      <w:r w:rsidR="00E93608" w:rsidRPr="00CD4FAB">
        <w:t>considered</w:t>
      </w:r>
      <w:r w:rsidR="00CA1D9B" w:rsidRPr="00CD4FAB">
        <w:t xml:space="preserve"> by the PBAC in July 2023 (also Option A model),</w:t>
      </w:r>
      <w:r w:rsidR="00AF2C7B" w:rsidRPr="00CD4FAB">
        <w:t xml:space="preserve"> </w:t>
      </w:r>
      <w:r w:rsidR="00CA1D9B" w:rsidRPr="00CD4FAB">
        <w:t>the h</w:t>
      </w:r>
      <w:r w:rsidR="00AF2C7B" w:rsidRPr="00CD4FAB">
        <w:t xml:space="preserve">ealth outcomes associated with various treatments for metastatic NSCLC </w:t>
      </w:r>
      <w:r w:rsidR="00CA1D9B" w:rsidRPr="00CD4FAB">
        <w:t>applied to the DM health</w:t>
      </w:r>
      <w:r w:rsidR="00630660" w:rsidRPr="00CD4FAB">
        <w:t xml:space="preserve"> state</w:t>
      </w:r>
      <w:r w:rsidR="00CA1D9B" w:rsidRPr="00CD4FAB">
        <w:t xml:space="preserve"> were based</w:t>
      </w:r>
      <w:r w:rsidR="00AF2C7B" w:rsidRPr="00CD4FAB">
        <w:t xml:space="preserve"> on the previous PBAC submissions of pembrolizumab combination therapy (</w:t>
      </w:r>
      <w:r w:rsidR="00CA1D9B" w:rsidRPr="00CD4FAB">
        <w:t>p</w:t>
      </w:r>
      <w:r w:rsidR="00AF2C7B" w:rsidRPr="00CD4FAB">
        <w:t>embrolizumab PSDs, November 2018 and July 2019 PBAC meetings), and then weighted by the proportion of patients receiving each therapy</w:t>
      </w:r>
      <w:r w:rsidR="002856B5" w:rsidRPr="00CD4FAB">
        <w:t xml:space="preserve"> (</w:t>
      </w:r>
      <w:r w:rsidR="002856B5" w:rsidRPr="00CD4FAB">
        <w:fldChar w:fldCharType="begin" w:fldLock="1"/>
      </w:r>
      <w:r w:rsidR="002856B5" w:rsidRPr="00CD4FAB">
        <w:instrText xml:space="preserve"> REF _Ref156555387 \h </w:instrText>
      </w:r>
      <w:r w:rsidR="002856B5" w:rsidRPr="00CD4FAB">
        <w:fldChar w:fldCharType="separate"/>
      </w:r>
      <w:r w:rsidR="00885DA7" w:rsidRPr="00CD4FAB">
        <w:t xml:space="preserve">Table </w:t>
      </w:r>
      <w:r w:rsidR="00885DA7">
        <w:rPr>
          <w:noProof/>
        </w:rPr>
        <w:t>6</w:t>
      </w:r>
      <w:r w:rsidR="002856B5" w:rsidRPr="00CD4FAB">
        <w:fldChar w:fldCharType="end"/>
      </w:r>
      <w:r w:rsidR="002856B5" w:rsidRPr="00CD4FAB">
        <w:t>)</w:t>
      </w:r>
      <w:r w:rsidR="00AF2C7B" w:rsidRPr="00CD4FAB">
        <w:t xml:space="preserve">. </w:t>
      </w:r>
      <w:r w:rsidR="00332FC5" w:rsidRPr="00CD4FAB">
        <w:rPr>
          <w:iCs/>
        </w:rPr>
        <w:t xml:space="preserve">In the Option A model, patients in the DM health state that previously received nivolumab were assumed to receive pembrolizumab (28%), pembrolizumab + platinum doublet chemotherapy (PDC) (42%), PDC alone (15%) or best supportive care (15%). The same </w:t>
      </w:r>
      <w:r w:rsidR="006D6953" w:rsidRPr="00CD4FAB">
        <w:rPr>
          <w:iCs/>
        </w:rPr>
        <w:t>percentages</w:t>
      </w:r>
      <w:r w:rsidR="00332FC5" w:rsidRPr="00CD4FAB">
        <w:rPr>
          <w:iCs/>
        </w:rPr>
        <w:t xml:space="preserve"> were assumed for patients progressing in the neoChemo arm of both models.</w:t>
      </w:r>
      <w:r w:rsidR="00332FC5" w:rsidRPr="00CD4FAB">
        <w:t xml:space="preserve"> In the Option B model, patients in the DM health state that previously received nivolumab were assumed to receive PDC (85%) and best supportive care (15%) (</w:t>
      </w:r>
      <w:r w:rsidR="00332FC5" w:rsidRPr="00CD4FAB">
        <w:fldChar w:fldCharType="begin" w:fldLock="1"/>
      </w:r>
      <w:r w:rsidR="00332FC5" w:rsidRPr="00CD4FAB">
        <w:instrText xml:space="preserve"> REF _Ref156555387 \h </w:instrText>
      </w:r>
      <w:r w:rsidR="00332FC5" w:rsidRPr="00CD4FAB">
        <w:fldChar w:fldCharType="separate"/>
      </w:r>
      <w:r w:rsidR="00885DA7" w:rsidRPr="00CD4FAB">
        <w:t xml:space="preserve">Table </w:t>
      </w:r>
      <w:r w:rsidR="00885DA7">
        <w:rPr>
          <w:noProof/>
        </w:rPr>
        <w:t>6</w:t>
      </w:r>
      <w:r w:rsidR="00332FC5" w:rsidRPr="00CD4FAB">
        <w:fldChar w:fldCharType="end"/>
      </w:r>
      <w:r w:rsidR="00332FC5" w:rsidRPr="00CD4FAB">
        <w:t>)</w:t>
      </w:r>
      <w:r w:rsidR="00CD4FAB">
        <w:t xml:space="preserve">. </w:t>
      </w:r>
      <w:r w:rsidR="002856B5" w:rsidRPr="00CD4FAB">
        <w:rPr>
          <w:iCs/>
        </w:rPr>
        <w:t xml:space="preserve">The ESC recalled </w:t>
      </w:r>
      <w:r w:rsidR="00DF6452" w:rsidRPr="00CD4FAB">
        <w:rPr>
          <w:iCs/>
        </w:rPr>
        <w:t xml:space="preserve">that </w:t>
      </w:r>
      <w:r w:rsidR="002856B5" w:rsidRPr="00CD4FAB">
        <w:rPr>
          <w:iCs/>
        </w:rPr>
        <w:t>the previous November 2018 and July 2019</w:t>
      </w:r>
      <w:r w:rsidR="002856B5" w:rsidRPr="00CD4FAB">
        <w:t xml:space="preserve"> </w:t>
      </w:r>
      <w:r w:rsidR="002856B5" w:rsidRPr="00CD4FAB">
        <w:rPr>
          <w:iCs/>
        </w:rPr>
        <w:t xml:space="preserve">PBAC submissions for pembrolizumab were for the consideration of treatment for IO naïve patients. Therefore, the ESC considered that while these data may be applicable to the DM health state for the neoChemo arm, there remained uncertainty related to whether the same benefit </w:t>
      </w:r>
      <w:r w:rsidR="00332FC5" w:rsidRPr="00CD4FAB">
        <w:rPr>
          <w:iCs/>
        </w:rPr>
        <w:t xml:space="preserve">observed in these data </w:t>
      </w:r>
      <w:r w:rsidR="002856B5" w:rsidRPr="00CD4FAB">
        <w:rPr>
          <w:iCs/>
        </w:rPr>
        <w:t>would be observed for patients subsequent to receiving nivolumab.</w:t>
      </w:r>
    </w:p>
    <w:p w14:paraId="307B70B8" w14:textId="3DB9291C" w:rsidR="00C03A63" w:rsidRPr="00CD4FAB" w:rsidRDefault="0041095F" w:rsidP="00D221AB">
      <w:pPr>
        <w:pStyle w:val="3-BodyText"/>
      </w:pPr>
      <w:r w:rsidRPr="00CD4FAB">
        <w:rPr>
          <w:iCs/>
        </w:rPr>
        <w:t xml:space="preserve">The ESC </w:t>
      </w:r>
      <w:r w:rsidR="00476FC3" w:rsidRPr="00CD4FAB">
        <w:rPr>
          <w:iCs/>
        </w:rPr>
        <w:t>recalled it had previously</w:t>
      </w:r>
      <w:r w:rsidR="00476FC3" w:rsidRPr="00CD4FAB">
        <w:t xml:space="preserve"> </w:t>
      </w:r>
      <w:r w:rsidR="00F6114A" w:rsidRPr="00CD4FAB">
        <w:t xml:space="preserve">considered </w:t>
      </w:r>
      <w:r w:rsidR="00AB3E5C" w:rsidRPr="00CD4FAB">
        <w:t>that</w:t>
      </w:r>
      <w:r w:rsidR="00F6114A" w:rsidRPr="00CD4FAB">
        <w:t xml:space="preserve"> </w:t>
      </w:r>
      <w:r w:rsidR="00AB3E5C" w:rsidRPr="00CD4FAB">
        <w:t>applying one-off discounted LYs, QALYs and costs on transition into the</w:t>
      </w:r>
      <w:r w:rsidR="00F6114A" w:rsidRPr="00CD4FAB">
        <w:t xml:space="preserve"> DM</w:t>
      </w:r>
      <w:r w:rsidR="00AB3E5C" w:rsidRPr="00CD4FAB">
        <w:t xml:space="preserve"> health state may be oversimplistic </w:t>
      </w:r>
      <w:bookmarkStart w:id="33" w:name="_Hlk127385702"/>
      <w:r w:rsidR="00AB3E5C" w:rsidRPr="00CD4FAB">
        <w:t>as it does not account for the relationship between transitions, costs, and the health outcomes associated with metastatic disease.</w:t>
      </w:r>
      <w:bookmarkEnd w:id="33"/>
      <w:r w:rsidR="00AB3E5C" w:rsidRPr="00CD4FAB">
        <w:t xml:space="preserve"> The </w:t>
      </w:r>
      <w:r w:rsidR="00AB3E5C" w:rsidRPr="00CD4FAB">
        <w:rPr>
          <w:iCs/>
        </w:rPr>
        <w:t>ESC</w:t>
      </w:r>
      <w:r w:rsidR="002856B5" w:rsidRPr="00CD4FAB">
        <w:rPr>
          <w:iCs/>
        </w:rPr>
        <w:t xml:space="preserve"> recalled it had also</w:t>
      </w:r>
      <w:r w:rsidR="00F6114A" w:rsidRPr="00CD4FAB">
        <w:t xml:space="preserve"> previously</w:t>
      </w:r>
      <w:r w:rsidR="00AB3E5C" w:rsidRPr="00CD4FAB">
        <w:t xml:space="preserve"> expressed concern that the one-off costs and outcomes are predominately independent to the time horizon, so that if the time horizon is reduced it has little impact on the cost and health outcomes associated with the DM health state. The ESC </w:t>
      </w:r>
      <w:r w:rsidR="002856B5" w:rsidRPr="00CD4FAB">
        <w:rPr>
          <w:iCs/>
        </w:rPr>
        <w:t>reiterated</w:t>
      </w:r>
      <w:r w:rsidR="002856B5" w:rsidRPr="00CD4FAB">
        <w:t xml:space="preserve"> </w:t>
      </w:r>
      <w:r w:rsidR="00AB3E5C" w:rsidRPr="00CD4FAB">
        <w:t xml:space="preserve">that a model structure that incorporates transitions from a distant metastasis health state to death is the preferred modelling approach. The PBAC </w:t>
      </w:r>
      <w:r w:rsidR="002856B5" w:rsidRPr="00CD4FAB">
        <w:t xml:space="preserve">also </w:t>
      </w:r>
      <w:r w:rsidR="00F6114A" w:rsidRPr="00CD4FAB">
        <w:t>previously considered that modelling the DM health state as an absorbing state in which cost-ineffective therapies were applied contributed to the structural uncertainty of the model</w:t>
      </w:r>
      <w:r w:rsidR="0039617E" w:rsidRPr="00CD4FAB">
        <w:t xml:space="preserve"> </w:t>
      </w:r>
      <w:r w:rsidRPr="00CD4FAB">
        <w:t>(para</w:t>
      </w:r>
      <w:r w:rsidR="00216D7A" w:rsidRPr="00CD4FAB">
        <w:t>s</w:t>
      </w:r>
      <w:r w:rsidRPr="00CD4FAB">
        <w:t xml:space="preserve"> 6.77,</w:t>
      </w:r>
      <w:r w:rsidR="00216D7A" w:rsidRPr="00CD4FAB">
        <w:t xml:space="preserve"> 7.13,</w:t>
      </w:r>
      <w:r w:rsidRPr="00CD4FAB">
        <w:t xml:space="preserve"> nivolumab PSD, </w:t>
      </w:r>
      <w:r w:rsidR="00007497" w:rsidRPr="00CD4FAB">
        <w:t xml:space="preserve">March </w:t>
      </w:r>
      <w:r w:rsidRPr="00CD4FAB">
        <w:t xml:space="preserve">2023 PBAC </w:t>
      </w:r>
      <w:r w:rsidR="002F0548">
        <w:t>m</w:t>
      </w:r>
      <w:r w:rsidRPr="00CD4FAB">
        <w:t>eeting)</w:t>
      </w:r>
      <w:r w:rsidR="004B5C6D" w:rsidRPr="00CD4FAB">
        <w:t>.</w:t>
      </w:r>
      <w:r w:rsidRPr="00CD4FAB">
        <w:t xml:space="preserve"> </w:t>
      </w:r>
    </w:p>
    <w:p w14:paraId="2C824067" w14:textId="25FB2BA7" w:rsidR="00F64070" w:rsidRPr="00CD4FAB" w:rsidRDefault="0041095F" w:rsidP="00D221AB">
      <w:pPr>
        <w:pStyle w:val="3-BodyText"/>
      </w:pPr>
      <w:r w:rsidRPr="00CD4FAB">
        <w:t>Th</w:t>
      </w:r>
      <w:r w:rsidR="0000255C" w:rsidRPr="00CD4FAB">
        <w:t xml:space="preserve">e ESC </w:t>
      </w:r>
      <w:r w:rsidR="006D6953" w:rsidRPr="00CD4FAB">
        <w:t>noted</w:t>
      </w:r>
      <w:r w:rsidR="0000255C" w:rsidRPr="00CD4FAB">
        <w:t xml:space="preserve"> that th</w:t>
      </w:r>
      <w:r w:rsidRPr="00CD4FAB">
        <w:t xml:space="preserve">is aspect of the model </w:t>
      </w:r>
      <w:r w:rsidR="005F0544" w:rsidRPr="00CD4FAB">
        <w:t>continue</w:t>
      </w:r>
      <w:r w:rsidR="006D6953" w:rsidRPr="00CD4FAB">
        <w:t>d</w:t>
      </w:r>
      <w:r w:rsidR="005F0544" w:rsidRPr="00CD4FAB">
        <w:t xml:space="preserve"> to be</w:t>
      </w:r>
      <w:r w:rsidR="0000255C" w:rsidRPr="00CD4FAB">
        <w:t xml:space="preserve"> a key driver of</w:t>
      </w:r>
      <w:r w:rsidR="0000255C" w:rsidRPr="00CD4FAB">
        <w:rPr>
          <w:iCs/>
        </w:rPr>
        <w:t xml:space="preserve"> uncertainty in the model</w:t>
      </w:r>
      <w:r w:rsidRPr="00CD4FAB">
        <w:rPr>
          <w:iCs/>
        </w:rPr>
        <w:t xml:space="preserve">. </w:t>
      </w:r>
      <w:r w:rsidR="0000255C" w:rsidRPr="00CD4FAB">
        <w:rPr>
          <w:iCs/>
        </w:rPr>
        <w:t>A</w:t>
      </w:r>
      <w:r w:rsidR="00F64070" w:rsidRPr="00CD4FAB">
        <w:rPr>
          <w:iCs/>
        </w:rPr>
        <w:t xml:space="preserve">side from the cost of nivolumab, the chief difference between the economic model for Option A and B relies on the assumed difference in one-off costs and health outcomes associated with metastatic treatment options (IO vs no IO; see </w:t>
      </w:r>
      <w:r w:rsidR="00F64070" w:rsidRPr="00CD4FAB">
        <w:rPr>
          <w:iCs/>
        </w:rPr>
        <w:fldChar w:fldCharType="begin" w:fldLock="1"/>
      </w:r>
      <w:r w:rsidR="00F64070" w:rsidRPr="00CD4FAB">
        <w:rPr>
          <w:iCs/>
        </w:rPr>
        <w:instrText xml:space="preserve"> REF _Ref156555387 \h  \* MERGEFORMAT </w:instrText>
      </w:r>
      <w:r w:rsidR="00F64070" w:rsidRPr="00CD4FAB">
        <w:rPr>
          <w:iCs/>
        </w:rPr>
      </w:r>
      <w:r w:rsidR="00F64070" w:rsidRPr="00CD4FAB">
        <w:rPr>
          <w:iCs/>
        </w:rPr>
        <w:fldChar w:fldCharType="separate"/>
      </w:r>
      <w:r w:rsidR="00885DA7" w:rsidRPr="00885DA7">
        <w:rPr>
          <w:iCs/>
        </w:rPr>
        <w:t>Table 6</w:t>
      </w:r>
      <w:r w:rsidR="00F64070" w:rsidRPr="00CD4FAB">
        <w:rPr>
          <w:iCs/>
        </w:rPr>
        <w:fldChar w:fldCharType="end"/>
      </w:r>
      <w:r w:rsidR="00F64070" w:rsidRPr="00CD4FAB">
        <w:rPr>
          <w:iCs/>
        </w:rPr>
        <w:t xml:space="preserve"> below) applied on transition to the DM health state. The </w:t>
      </w:r>
      <w:r w:rsidR="00671381" w:rsidRPr="00CD4FAB">
        <w:t xml:space="preserve">ESC reiterated </w:t>
      </w:r>
      <w:r w:rsidR="00A74CE5" w:rsidRPr="00CD4FAB">
        <w:t>its previous advice</w:t>
      </w:r>
      <w:r w:rsidR="00671381" w:rsidRPr="00CD4FAB">
        <w:t xml:space="preserve"> and the</w:t>
      </w:r>
      <w:r w:rsidR="00A74CE5" w:rsidRPr="00CD4FAB">
        <w:t xml:space="preserve"> advice of the</w:t>
      </w:r>
      <w:r w:rsidR="00671381" w:rsidRPr="00CD4FAB">
        <w:t xml:space="preserve"> PBAC that the</w:t>
      </w:r>
      <w:r w:rsidR="0000255C" w:rsidRPr="00CD4FAB">
        <w:t xml:space="preserve"> </w:t>
      </w:r>
      <w:r w:rsidR="00F64070" w:rsidRPr="00CD4FAB">
        <w:t xml:space="preserve">assumed cost-effectiveness of these treatments and </w:t>
      </w:r>
      <w:r w:rsidR="00DF6452" w:rsidRPr="00CD4FAB">
        <w:t xml:space="preserve">their </w:t>
      </w:r>
      <w:r w:rsidR="00F64070" w:rsidRPr="00CD4FAB">
        <w:t xml:space="preserve">application in the model </w:t>
      </w:r>
      <w:r w:rsidR="00A74CE5" w:rsidRPr="00CD4FAB">
        <w:t xml:space="preserve">were not appropriate. </w:t>
      </w:r>
    </w:p>
    <w:p w14:paraId="475F02EA" w14:textId="1291A632" w:rsidR="00A74CE5" w:rsidRPr="00CD4FAB" w:rsidRDefault="00E3219A" w:rsidP="00D221AB">
      <w:pPr>
        <w:pStyle w:val="3-BodyText"/>
      </w:pPr>
      <w:r w:rsidRPr="00CD4FAB">
        <w:t>R</w:t>
      </w:r>
      <w:r w:rsidR="00665D8D" w:rsidRPr="00CD4FAB">
        <w:t xml:space="preserve">emoving IO retreatment for metastatic disease in the </w:t>
      </w:r>
      <w:r w:rsidR="00941F03" w:rsidRPr="00CD4FAB">
        <w:t xml:space="preserve">Option B </w:t>
      </w:r>
      <w:r w:rsidR="00665D8D" w:rsidRPr="00CD4FAB">
        <w:t xml:space="preserve">model </w:t>
      </w:r>
      <w:r w:rsidR="0054654D" w:rsidRPr="00CD4FAB">
        <w:t xml:space="preserve">is assumed to </w:t>
      </w:r>
      <w:r w:rsidR="00665D8D" w:rsidRPr="00CD4FAB">
        <w:t>reduce</w:t>
      </w:r>
      <w:r w:rsidR="0054654D" w:rsidRPr="00CD4FAB">
        <w:t xml:space="preserve"> the </w:t>
      </w:r>
      <w:r w:rsidR="00665D8D" w:rsidRPr="00CD4FAB">
        <w:t xml:space="preserve">quality adjusted life years </w:t>
      </w:r>
      <w:r w:rsidR="0054654D" w:rsidRPr="00CD4FAB">
        <w:t>applied to</w:t>
      </w:r>
      <w:r w:rsidR="00665D8D" w:rsidRPr="00CD4FAB">
        <w:t xml:space="preserve"> patients compared to neoC</w:t>
      </w:r>
      <w:r w:rsidR="00941F03" w:rsidRPr="00CD4FAB">
        <w:t>hemo</w:t>
      </w:r>
      <w:r w:rsidR="00665D8D" w:rsidRPr="00CD4FAB">
        <w:t xml:space="preserve"> </w:t>
      </w:r>
      <w:r w:rsidR="00665D8D" w:rsidRPr="00CD4FAB">
        <w:lastRenderedPageBreak/>
        <w:t>patients who recur with distant metastases</w:t>
      </w:r>
      <w:r w:rsidRPr="00CD4FAB">
        <w:t xml:space="preserve"> and </w:t>
      </w:r>
      <w:r w:rsidR="00665D8D" w:rsidRPr="00CD4FAB">
        <w:t>receive IO</w:t>
      </w:r>
      <w:r w:rsidRPr="00CD4FAB">
        <w:t>.</w:t>
      </w:r>
      <w:r w:rsidR="00665D8D" w:rsidRPr="00CD4FAB">
        <w:t xml:space="preserve"> In the base case, </w:t>
      </w:r>
      <w:r w:rsidR="00666DE8" w:rsidRPr="00CD4FAB">
        <w:t xml:space="preserve">the </w:t>
      </w:r>
      <w:r w:rsidR="00665D8D" w:rsidRPr="00CD4FAB">
        <w:t xml:space="preserve">QALYs </w:t>
      </w:r>
      <w:r w:rsidR="00666DE8" w:rsidRPr="00CD4FAB">
        <w:t>assigned to</w:t>
      </w:r>
      <w:r w:rsidR="00665D8D" w:rsidRPr="00CD4FAB">
        <w:t xml:space="preserve"> </w:t>
      </w:r>
      <w:r w:rsidR="004151F2" w:rsidRPr="00CD4FAB">
        <w:t>these patients</w:t>
      </w:r>
      <w:r w:rsidR="0054654D" w:rsidRPr="00CD4FAB">
        <w:t xml:space="preserve"> on transition to the DM health state</w:t>
      </w:r>
      <w:r w:rsidR="00D53896" w:rsidRPr="00CD4FAB">
        <w:t xml:space="preserve"> </w:t>
      </w:r>
      <w:r w:rsidR="00665D8D" w:rsidRPr="00CD4FAB">
        <w:t>reduces from 1.357 to 0.887. Similarly, the cost associated with this treatment is reduced, from $</w:t>
      </w:r>
      <w:r w:rsidR="00924D5E" w:rsidRPr="006E162D">
        <w:rPr>
          <w:color w:val="000000"/>
          <w:w w:val="15"/>
          <w:shd w:val="solid" w:color="000000" w:fill="000000"/>
          <w:fitText w:val="-20" w:id="-961836274"/>
          <w14:textFill>
            <w14:solidFill>
              <w14:srgbClr w14:val="000000">
                <w14:alpha w14:val="100000"/>
              </w14:srgbClr>
            </w14:solidFill>
          </w14:textFill>
        </w:rPr>
        <w:t xml:space="preserve">|  </w:t>
      </w:r>
      <w:r w:rsidR="00924D5E" w:rsidRPr="006E162D">
        <w:rPr>
          <w:color w:val="000000"/>
          <w:spacing w:val="-69"/>
          <w:w w:val="15"/>
          <w:shd w:val="solid" w:color="000000" w:fill="000000"/>
          <w:fitText w:val="-20" w:id="-961836274"/>
          <w14:textFill>
            <w14:solidFill>
              <w14:srgbClr w14:val="000000">
                <w14:alpha w14:val="100000"/>
              </w14:srgbClr>
            </w14:solidFill>
          </w14:textFill>
        </w:rPr>
        <w:t>|</w:t>
      </w:r>
      <w:r w:rsidR="00665D8D" w:rsidRPr="00CD4FAB">
        <w:t xml:space="preserve"> to $</w:t>
      </w:r>
      <w:r w:rsidR="00924D5E" w:rsidRPr="006E162D">
        <w:rPr>
          <w:color w:val="000000"/>
          <w:w w:val="15"/>
          <w:shd w:val="solid" w:color="000000" w:fill="000000"/>
          <w:fitText w:val="-20" w:id="-961836273"/>
          <w14:textFill>
            <w14:solidFill>
              <w14:srgbClr w14:val="000000">
                <w14:alpha w14:val="100000"/>
              </w14:srgbClr>
            </w14:solidFill>
          </w14:textFill>
        </w:rPr>
        <w:t xml:space="preserve">|  </w:t>
      </w:r>
      <w:r w:rsidR="00924D5E" w:rsidRPr="006E162D">
        <w:rPr>
          <w:color w:val="000000"/>
          <w:spacing w:val="-69"/>
          <w:w w:val="15"/>
          <w:shd w:val="solid" w:color="000000" w:fill="000000"/>
          <w:fitText w:val="-20" w:id="-961836273"/>
          <w14:textFill>
            <w14:solidFill>
              <w14:srgbClr w14:val="000000">
                <w14:alpha w14:val="100000"/>
              </w14:srgbClr>
            </w14:solidFill>
          </w14:textFill>
        </w:rPr>
        <w:t>|</w:t>
      </w:r>
      <w:r w:rsidR="00665D8D" w:rsidRPr="00CD4FAB">
        <w:t>.</w:t>
      </w:r>
      <w:r w:rsidR="00D53896" w:rsidRPr="00CD4FAB">
        <w:t xml:space="preserve"> </w:t>
      </w:r>
      <w:r w:rsidR="006E7516" w:rsidRPr="00CD4FAB">
        <w:rPr>
          <w:iCs/>
        </w:rPr>
        <w:t>These differences are large</w:t>
      </w:r>
      <w:r w:rsidR="00941F03" w:rsidRPr="00CD4FAB">
        <w:rPr>
          <w:iCs/>
        </w:rPr>
        <w:t xml:space="preserve"> and represent the difference </w:t>
      </w:r>
      <w:r w:rsidR="00DD2A5E" w:rsidRPr="00CD4FAB">
        <w:rPr>
          <w:iCs/>
        </w:rPr>
        <w:t xml:space="preserve">in </w:t>
      </w:r>
      <w:r w:rsidR="00941F03" w:rsidRPr="00CD4FAB">
        <w:rPr>
          <w:iCs/>
        </w:rPr>
        <w:t>QALYs and costs</w:t>
      </w:r>
      <w:r w:rsidR="006D4962" w:rsidRPr="00CD4FAB">
        <w:rPr>
          <w:iCs/>
        </w:rPr>
        <w:t xml:space="preserve"> for each first line metastatic treatment</w:t>
      </w:r>
      <w:r w:rsidR="00941F03" w:rsidRPr="00CD4FAB">
        <w:rPr>
          <w:iCs/>
        </w:rPr>
        <w:t xml:space="preserve"> and </w:t>
      </w:r>
      <w:r w:rsidR="006D4962" w:rsidRPr="00CD4FAB">
        <w:rPr>
          <w:iCs/>
        </w:rPr>
        <w:t>their</w:t>
      </w:r>
      <w:r w:rsidR="004242B7" w:rsidRPr="00CD4FAB">
        <w:rPr>
          <w:iCs/>
        </w:rPr>
        <w:t xml:space="preserve"> assumed</w:t>
      </w:r>
      <w:r w:rsidR="00941F03" w:rsidRPr="00CD4FAB">
        <w:rPr>
          <w:iCs/>
        </w:rPr>
        <w:t xml:space="preserve"> </w:t>
      </w:r>
      <w:r w:rsidR="006D4962" w:rsidRPr="00CD4FAB">
        <w:rPr>
          <w:iCs/>
        </w:rPr>
        <w:t xml:space="preserve">market share across the treatment arms for the DM health state (see </w:t>
      </w:r>
      <w:r w:rsidR="00343DE4" w:rsidRPr="00CD4FAB">
        <w:rPr>
          <w:iCs/>
        </w:rPr>
        <w:fldChar w:fldCharType="begin" w:fldLock="1"/>
      </w:r>
      <w:r w:rsidR="00343DE4" w:rsidRPr="00CD4FAB">
        <w:rPr>
          <w:iCs/>
        </w:rPr>
        <w:instrText xml:space="preserve"> REF _Ref156555387 \h  \* MERGEFORMAT </w:instrText>
      </w:r>
      <w:r w:rsidR="00343DE4" w:rsidRPr="00CD4FAB">
        <w:rPr>
          <w:iCs/>
        </w:rPr>
      </w:r>
      <w:r w:rsidR="00343DE4" w:rsidRPr="00CD4FAB">
        <w:rPr>
          <w:iCs/>
        </w:rPr>
        <w:fldChar w:fldCharType="separate"/>
      </w:r>
      <w:r w:rsidR="00885DA7" w:rsidRPr="00885DA7">
        <w:rPr>
          <w:iCs/>
        </w:rPr>
        <w:t>Table 6</w:t>
      </w:r>
      <w:r w:rsidR="00343DE4" w:rsidRPr="00CD4FAB">
        <w:rPr>
          <w:iCs/>
        </w:rPr>
        <w:fldChar w:fldCharType="end"/>
      </w:r>
      <w:r w:rsidR="00343DE4" w:rsidRPr="00CD4FAB">
        <w:rPr>
          <w:iCs/>
        </w:rPr>
        <w:t xml:space="preserve"> </w:t>
      </w:r>
      <w:r w:rsidR="006D4962" w:rsidRPr="00CD4FAB">
        <w:rPr>
          <w:iCs/>
        </w:rPr>
        <w:t>below). The cost and health outcomes assumed for each first line metastatic treatment has</w:t>
      </w:r>
      <w:r w:rsidR="00941F03" w:rsidRPr="00CD4FAB">
        <w:rPr>
          <w:iCs/>
        </w:rPr>
        <w:t xml:space="preserve"> previously been considered </w:t>
      </w:r>
      <w:r w:rsidR="00F81773" w:rsidRPr="00CD4FAB">
        <w:rPr>
          <w:iCs/>
        </w:rPr>
        <w:t xml:space="preserve">by the ESC </w:t>
      </w:r>
      <w:r w:rsidR="00941F03" w:rsidRPr="00CD4FAB">
        <w:rPr>
          <w:iCs/>
        </w:rPr>
        <w:t>to not</w:t>
      </w:r>
      <w:r w:rsidR="00F81773" w:rsidRPr="00CD4FAB">
        <w:rPr>
          <w:iCs/>
        </w:rPr>
        <w:t xml:space="preserve"> be</w:t>
      </w:r>
      <w:r w:rsidR="00941F03" w:rsidRPr="00CD4FAB">
        <w:rPr>
          <w:iCs/>
        </w:rPr>
        <w:t xml:space="preserve"> well justified (para</w:t>
      </w:r>
      <w:r w:rsidR="00F81773" w:rsidRPr="00CD4FAB">
        <w:rPr>
          <w:iCs/>
        </w:rPr>
        <w:t>s</w:t>
      </w:r>
      <w:r w:rsidR="00941F03" w:rsidRPr="00CD4FAB">
        <w:rPr>
          <w:iCs/>
        </w:rPr>
        <w:t xml:space="preserve"> 6.73</w:t>
      </w:r>
      <w:r w:rsidR="0054654D" w:rsidRPr="00CD4FAB">
        <w:rPr>
          <w:rFonts w:cstheme="minorHAnsi"/>
          <w:iCs/>
        </w:rPr>
        <w:t>−</w:t>
      </w:r>
      <w:r w:rsidR="00F81773" w:rsidRPr="00CD4FAB">
        <w:rPr>
          <w:iCs/>
        </w:rPr>
        <w:t>6.75,</w:t>
      </w:r>
      <w:r w:rsidR="00941F03" w:rsidRPr="00CD4FAB">
        <w:rPr>
          <w:iCs/>
        </w:rPr>
        <w:t xml:space="preserve"> Table 18</w:t>
      </w:r>
      <w:r w:rsidR="00F81773" w:rsidRPr="00CD4FAB">
        <w:rPr>
          <w:iCs/>
        </w:rPr>
        <w:t xml:space="preserve">, nivolumab PSD, March 2023 PBAC </w:t>
      </w:r>
      <w:r w:rsidR="002F0548">
        <w:rPr>
          <w:iCs/>
        </w:rPr>
        <w:t>m</w:t>
      </w:r>
      <w:r w:rsidR="00F81773" w:rsidRPr="00CD4FAB">
        <w:rPr>
          <w:iCs/>
        </w:rPr>
        <w:t>eeting).</w:t>
      </w:r>
      <w:r w:rsidR="00F14052" w:rsidRPr="00CD4FAB">
        <w:rPr>
          <w:iCs/>
        </w:rPr>
        <w:t xml:space="preserve"> These assumptions are tested in sensitivity analyses</w:t>
      </w:r>
      <w:r w:rsidR="00953B7A" w:rsidRPr="00CD4FAB">
        <w:rPr>
          <w:iCs/>
        </w:rPr>
        <w:t xml:space="preserve"> (</w:t>
      </w:r>
      <w:r w:rsidR="00953B7A" w:rsidRPr="00CD4FAB">
        <w:rPr>
          <w:iCs/>
        </w:rPr>
        <w:fldChar w:fldCharType="begin" w:fldLock="1"/>
      </w:r>
      <w:r w:rsidR="00953B7A" w:rsidRPr="00CD4FAB">
        <w:rPr>
          <w:iCs/>
        </w:rPr>
        <w:instrText xml:space="preserve"> REF _Ref104804865 \h  \* MERGEFORMAT </w:instrText>
      </w:r>
      <w:r w:rsidR="00953B7A" w:rsidRPr="00CD4FAB">
        <w:rPr>
          <w:iCs/>
        </w:rPr>
      </w:r>
      <w:r w:rsidR="00953B7A" w:rsidRPr="00CD4FAB">
        <w:rPr>
          <w:iCs/>
        </w:rPr>
        <w:fldChar w:fldCharType="separate"/>
      </w:r>
      <w:r w:rsidR="00885DA7" w:rsidRPr="00885DA7">
        <w:rPr>
          <w:iCs/>
        </w:rPr>
        <w:t>Table 7</w:t>
      </w:r>
      <w:r w:rsidR="00953B7A" w:rsidRPr="00CD4FAB">
        <w:rPr>
          <w:iCs/>
        </w:rPr>
        <w:fldChar w:fldCharType="end"/>
      </w:r>
      <w:r w:rsidR="00953B7A" w:rsidRPr="00CD4FAB">
        <w:rPr>
          <w:iCs/>
        </w:rPr>
        <w:t>).</w:t>
      </w:r>
      <w:r w:rsidR="00397256" w:rsidRPr="00CD4FAB">
        <w:rPr>
          <w:iCs/>
        </w:rPr>
        <w:t xml:space="preserve"> </w:t>
      </w:r>
      <w:r w:rsidR="005214CB" w:rsidRPr="00CD4FAB">
        <w:t xml:space="preserve">The ESC noted that the </w:t>
      </w:r>
      <w:r w:rsidR="00F70C8B" w:rsidRPr="00CD4FAB">
        <w:t xml:space="preserve">Option B </w:t>
      </w:r>
      <w:r w:rsidR="005214CB" w:rsidRPr="00CD4FAB">
        <w:t xml:space="preserve">model </w:t>
      </w:r>
      <w:r w:rsidR="00F70C8B" w:rsidRPr="00CD4FAB">
        <w:t xml:space="preserve">(no IO retreatment) </w:t>
      </w:r>
      <w:r w:rsidR="005214CB" w:rsidRPr="00CD4FAB">
        <w:t>was sensitive t</w:t>
      </w:r>
      <w:r w:rsidR="00F70C8B" w:rsidRPr="00CD4FAB">
        <w:t xml:space="preserve">o changes to the assumptions associated with the assumed one-off costs and health benefits </w:t>
      </w:r>
      <w:r w:rsidR="00694C82" w:rsidRPr="00CD4FAB">
        <w:t>of</w:t>
      </w:r>
      <w:r w:rsidR="00F70C8B" w:rsidRPr="00CD4FAB">
        <w:t xml:space="preserve"> IO treatment </w:t>
      </w:r>
      <w:r w:rsidR="00694C82" w:rsidRPr="00CD4FAB">
        <w:t>assigned to</w:t>
      </w:r>
      <w:r w:rsidR="00F70C8B" w:rsidRPr="00CD4FAB">
        <w:t xml:space="preserve"> the neoChemo arm</w:t>
      </w:r>
      <w:r w:rsidR="00694C82" w:rsidRPr="00CD4FAB">
        <w:t xml:space="preserve"> of the model</w:t>
      </w:r>
      <w:r w:rsidR="00F70C8B" w:rsidRPr="00CD4FAB">
        <w:t xml:space="preserve">. </w:t>
      </w:r>
      <w:r w:rsidR="000556C5" w:rsidRPr="00CD4FAB">
        <w:t xml:space="preserve">The ESC noted plausible changes in either the assumed costs or benefits resulted in ICERs of approximately </w:t>
      </w:r>
      <w:r w:rsidR="00CE4F63" w:rsidRPr="00CE4F63">
        <w:t>$45,000 to &lt;</w:t>
      </w:r>
      <w:r w:rsidR="00F2156B">
        <w:t> </w:t>
      </w:r>
      <w:r w:rsidR="00CE4F63" w:rsidRPr="00CE4F63">
        <w:t>$55,000</w:t>
      </w:r>
      <w:r w:rsidR="00CE4F63">
        <w:t xml:space="preserve"> </w:t>
      </w:r>
      <w:r w:rsidR="000556C5" w:rsidRPr="00CD4FAB">
        <w:t>per QALY gained.</w:t>
      </w:r>
    </w:p>
    <w:p w14:paraId="77FD4E47" w14:textId="51AA0505" w:rsidR="006E7516" w:rsidRPr="00CD4FAB" w:rsidRDefault="005B7D0D" w:rsidP="005B7D0D">
      <w:pPr>
        <w:pStyle w:val="Caption"/>
      </w:pPr>
      <w:bookmarkStart w:id="34" w:name="_Ref156555387"/>
      <w:r w:rsidRPr="00CD4FAB">
        <w:t xml:space="preserve">Table </w:t>
      </w:r>
      <w:fldSimple w:instr=" SEQ Table \* ARABIC " w:fldLock="1">
        <w:r w:rsidR="00885DA7">
          <w:rPr>
            <w:noProof/>
          </w:rPr>
          <w:t>6</w:t>
        </w:r>
      </w:fldSimple>
      <w:bookmarkEnd w:id="34"/>
      <w:r w:rsidRPr="00CD4FAB">
        <w:t xml:space="preserve">: </w:t>
      </w:r>
      <w:r w:rsidR="00343DE4" w:rsidRPr="00CD4FAB">
        <w:t>D</w:t>
      </w:r>
      <w:r w:rsidR="00A17DCA" w:rsidRPr="00CD4FAB">
        <w:t xml:space="preserve">istribution </w:t>
      </w:r>
      <w:r w:rsidR="00343DE4" w:rsidRPr="00CD4FAB">
        <w:t>of different NSCLC therapies</w:t>
      </w:r>
      <w:r w:rsidR="00AE441B">
        <w:t xml:space="preserve"> for </w:t>
      </w:r>
      <w:r w:rsidR="0033345D">
        <w:t>metastatic disease</w:t>
      </w:r>
      <w:r w:rsidR="00343DE4" w:rsidRPr="00CD4FAB">
        <w:t xml:space="preserve">, </w:t>
      </w:r>
      <w:r w:rsidR="00A17DCA" w:rsidRPr="00CD4FAB">
        <w:t xml:space="preserve">with weighting differences </w:t>
      </w:r>
      <w:r w:rsidR="004242B7" w:rsidRPr="00CD4FAB">
        <w:t>between the options</w:t>
      </w:r>
    </w:p>
    <w:tbl>
      <w:tblPr>
        <w:tblStyle w:val="TableGrid1"/>
        <w:tblW w:w="5000" w:type="pct"/>
        <w:shd w:val="clear" w:color="auto" w:fill="FFFFFF" w:themeFill="background1"/>
        <w:tblLayout w:type="fixed"/>
        <w:tblLook w:val="0620" w:firstRow="1" w:lastRow="0" w:firstColumn="0" w:lastColumn="0" w:noHBand="1" w:noVBand="1"/>
        <w:tblCaption w:val="Table 6: Distribution of different NSCLC therapies for metastatic disease, with weighting differences between the options"/>
      </w:tblPr>
      <w:tblGrid>
        <w:gridCol w:w="1271"/>
        <w:gridCol w:w="1558"/>
        <w:gridCol w:w="1481"/>
        <w:gridCol w:w="1497"/>
        <w:gridCol w:w="992"/>
        <w:gridCol w:w="1134"/>
        <w:gridCol w:w="1084"/>
      </w:tblGrid>
      <w:tr w:rsidR="00DE38A2" w:rsidRPr="00CD4FAB" w14:paraId="4A624A9C" w14:textId="77777777" w:rsidTr="00F5399D">
        <w:trPr>
          <w:trHeight w:val="426"/>
        </w:trPr>
        <w:tc>
          <w:tcPr>
            <w:tcW w:w="705" w:type="pct"/>
            <w:shd w:val="clear" w:color="auto" w:fill="FFFFFF" w:themeFill="background1"/>
            <w:noWrap/>
            <w:hideMark/>
          </w:tcPr>
          <w:p w14:paraId="5AD3175E" w14:textId="77777777" w:rsidR="00DE38A2" w:rsidRPr="00A13809" w:rsidRDefault="00DE38A2" w:rsidP="003C5D4F">
            <w:pPr>
              <w:pStyle w:val="TableText0"/>
              <w:ind w:right="-57"/>
              <w:rPr>
                <w:b/>
                <w:bCs w:val="0"/>
                <w:sz w:val="20"/>
                <w:szCs w:val="20"/>
              </w:rPr>
            </w:pPr>
          </w:p>
        </w:tc>
        <w:tc>
          <w:tcPr>
            <w:tcW w:w="864" w:type="pct"/>
            <w:shd w:val="clear" w:color="auto" w:fill="FFFFFF" w:themeFill="background1"/>
          </w:tcPr>
          <w:p w14:paraId="6F3449AC" w14:textId="77777777" w:rsidR="00DE38A2" w:rsidRPr="00A13809" w:rsidRDefault="00DE38A2" w:rsidP="003C5D4F">
            <w:pPr>
              <w:pStyle w:val="TableText0"/>
              <w:ind w:left="-57" w:right="-57"/>
              <w:rPr>
                <w:b/>
                <w:bCs w:val="0"/>
                <w:sz w:val="20"/>
                <w:szCs w:val="20"/>
              </w:rPr>
            </w:pPr>
            <w:r w:rsidRPr="00A13809">
              <w:rPr>
                <w:b/>
                <w:szCs w:val="20"/>
              </w:rPr>
              <w:t>Pembrolizumab</w:t>
            </w:r>
          </w:p>
        </w:tc>
        <w:tc>
          <w:tcPr>
            <w:tcW w:w="821" w:type="pct"/>
            <w:shd w:val="clear" w:color="auto" w:fill="FFFFFF" w:themeFill="background1"/>
            <w:noWrap/>
          </w:tcPr>
          <w:p w14:paraId="43FB3BBA" w14:textId="77777777" w:rsidR="00DE38A2" w:rsidRPr="00A13809" w:rsidRDefault="00DE38A2" w:rsidP="003C5D4F">
            <w:pPr>
              <w:pStyle w:val="TableText0"/>
              <w:ind w:left="-57" w:right="-57"/>
              <w:rPr>
                <w:b/>
                <w:bCs w:val="0"/>
                <w:sz w:val="20"/>
                <w:szCs w:val="20"/>
              </w:rPr>
            </w:pPr>
            <w:r w:rsidRPr="00A13809">
              <w:rPr>
                <w:b/>
                <w:szCs w:val="20"/>
              </w:rPr>
              <w:t>Pembrolizumab + PDC (squamous)</w:t>
            </w:r>
          </w:p>
        </w:tc>
        <w:tc>
          <w:tcPr>
            <w:tcW w:w="830" w:type="pct"/>
            <w:shd w:val="clear" w:color="auto" w:fill="FFFFFF" w:themeFill="background1"/>
            <w:noWrap/>
          </w:tcPr>
          <w:p w14:paraId="182F2C4F" w14:textId="77777777" w:rsidR="00DE38A2" w:rsidRPr="00A13809" w:rsidRDefault="00DE38A2" w:rsidP="003C5D4F">
            <w:pPr>
              <w:pStyle w:val="TableText0"/>
              <w:ind w:left="-57" w:right="-57"/>
              <w:rPr>
                <w:b/>
                <w:bCs w:val="0"/>
                <w:sz w:val="20"/>
                <w:szCs w:val="20"/>
              </w:rPr>
            </w:pPr>
            <w:r w:rsidRPr="00A13809">
              <w:rPr>
                <w:b/>
                <w:szCs w:val="20"/>
              </w:rPr>
              <w:t>Pembrolizumab + PDC (non-squamous)</w:t>
            </w:r>
          </w:p>
        </w:tc>
        <w:tc>
          <w:tcPr>
            <w:tcW w:w="550" w:type="pct"/>
            <w:shd w:val="clear" w:color="auto" w:fill="FFFFFF" w:themeFill="background1"/>
            <w:noWrap/>
          </w:tcPr>
          <w:p w14:paraId="64C38F17" w14:textId="77777777" w:rsidR="00DE38A2" w:rsidRPr="00A13809" w:rsidRDefault="00DE38A2" w:rsidP="003C5D4F">
            <w:pPr>
              <w:pStyle w:val="TableText0"/>
              <w:ind w:right="-57"/>
              <w:rPr>
                <w:b/>
                <w:bCs w:val="0"/>
                <w:sz w:val="20"/>
                <w:szCs w:val="20"/>
              </w:rPr>
            </w:pPr>
            <w:r w:rsidRPr="00A13809">
              <w:rPr>
                <w:b/>
                <w:szCs w:val="20"/>
              </w:rPr>
              <w:t>PDC</w:t>
            </w:r>
          </w:p>
        </w:tc>
        <w:tc>
          <w:tcPr>
            <w:tcW w:w="629" w:type="pct"/>
            <w:shd w:val="clear" w:color="auto" w:fill="FFFFFF" w:themeFill="background1"/>
            <w:noWrap/>
          </w:tcPr>
          <w:p w14:paraId="3D554EA1" w14:textId="77777777" w:rsidR="00DE38A2" w:rsidRPr="00A13809" w:rsidRDefault="00DE38A2" w:rsidP="003C5D4F">
            <w:pPr>
              <w:pStyle w:val="TableText0"/>
              <w:ind w:right="-57"/>
              <w:rPr>
                <w:b/>
                <w:bCs w:val="0"/>
                <w:sz w:val="20"/>
                <w:szCs w:val="20"/>
              </w:rPr>
            </w:pPr>
            <w:r w:rsidRPr="00A13809">
              <w:rPr>
                <w:b/>
                <w:szCs w:val="20"/>
              </w:rPr>
              <w:t>BSC</w:t>
            </w:r>
          </w:p>
        </w:tc>
        <w:tc>
          <w:tcPr>
            <w:tcW w:w="601" w:type="pct"/>
            <w:shd w:val="clear" w:color="auto" w:fill="FFFFFF" w:themeFill="background1"/>
          </w:tcPr>
          <w:p w14:paraId="0CB65833" w14:textId="77777777" w:rsidR="00DE38A2" w:rsidRPr="00A13809" w:rsidRDefault="00DE38A2" w:rsidP="003C5D4F">
            <w:pPr>
              <w:pStyle w:val="TableText0"/>
              <w:ind w:right="-57"/>
              <w:rPr>
                <w:b/>
                <w:sz w:val="20"/>
                <w:szCs w:val="20"/>
              </w:rPr>
            </w:pPr>
            <w:r w:rsidRPr="00A13809">
              <w:rPr>
                <w:b/>
                <w:szCs w:val="20"/>
              </w:rPr>
              <w:t>Weighted</w:t>
            </w:r>
          </w:p>
        </w:tc>
      </w:tr>
      <w:tr w:rsidR="00F15453" w:rsidRPr="00CD4FAB" w14:paraId="01934800" w14:textId="77777777" w:rsidTr="00F5399D">
        <w:trPr>
          <w:trHeight w:val="209"/>
        </w:trPr>
        <w:tc>
          <w:tcPr>
            <w:tcW w:w="705" w:type="pct"/>
            <w:shd w:val="clear" w:color="auto" w:fill="FFFFFF" w:themeFill="background1"/>
            <w:noWrap/>
          </w:tcPr>
          <w:p w14:paraId="59F7C3DC" w14:textId="53980581" w:rsidR="00F15453" w:rsidRPr="00A13809" w:rsidRDefault="00F15453" w:rsidP="00F15453">
            <w:pPr>
              <w:pStyle w:val="TableText0"/>
              <w:ind w:right="-57"/>
              <w:rPr>
                <w:b/>
                <w:bCs w:val="0"/>
                <w:sz w:val="20"/>
                <w:szCs w:val="20"/>
              </w:rPr>
            </w:pPr>
            <w:r w:rsidRPr="00A13809">
              <w:rPr>
                <w:szCs w:val="20"/>
              </w:rPr>
              <w:t>Total cost</w:t>
            </w:r>
          </w:p>
        </w:tc>
        <w:tc>
          <w:tcPr>
            <w:tcW w:w="864" w:type="pct"/>
            <w:shd w:val="clear" w:color="auto" w:fill="FFFFFF" w:themeFill="background1"/>
          </w:tcPr>
          <w:p w14:paraId="1121A937" w14:textId="23D8BBC0" w:rsidR="00F15453" w:rsidRPr="00A13809" w:rsidRDefault="00F15453" w:rsidP="00F15453">
            <w:pPr>
              <w:pStyle w:val="TableText0"/>
              <w:ind w:left="-57" w:right="-57"/>
              <w:rPr>
                <w:b/>
                <w:sz w:val="20"/>
                <w:szCs w:val="20"/>
              </w:rPr>
            </w:pPr>
            <w:r w:rsidRPr="00A13809">
              <w:rPr>
                <w:rFonts w:eastAsia="Calibri Light"/>
                <w:szCs w:val="20"/>
              </w:rPr>
              <w:t>$</w:t>
            </w:r>
            <w:r w:rsidR="00924D5E" w:rsidRPr="00924D5E">
              <w:rPr>
                <w:rFonts w:eastAsia="Calibri Light"/>
                <w:color w:val="000000"/>
                <w:spacing w:val="28"/>
                <w:szCs w:val="20"/>
                <w:shd w:val="solid" w:color="000000" w:fill="000000"/>
                <w:fitText w:val="426" w:id="-961836272"/>
                <w14:textFill>
                  <w14:solidFill>
                    <w14:srgbClr w14:val="000000">
                      <w14:alpha w14:val="100000"/>
                    </w14:srgbClr>
                  </w14:solidFill>
                </w14:textFill>
              </w:rPr>
              <w:t>|||||</w:t>
            </w:r>
            <w:r w:rsidR="00924D5E" w:rsidRPr="00924D5E">
              <w:rPr>
                <w:rFonts w:eastAsia="Calibri Light"/>
                <w:color w:val="000000"/>
                <w:spacing w:val="5"/>
                <w:szCs w:val="20"/>
                <w:shd w:val="solid" w:color="000000" w:fill="000000"/>
                <w:fitText w:val="426" w:id="-961836272"/>
                <w14:textFill>
                  <w14:solidFill>
                    <w14:srgbClr w14:val="000000">
                      <w14:alpha w14:val="100000"/>
                    </w14:srgbClr>
                  </w14:solidFill>
                </w14:textFill>
              </w:rPr>
              <w:t>|</w:t>
            </w:r>
          </w:p>
        </w:tc>
        <w:tc>
          <w:tcPr>
            <w:tcW w:w="821" w:type="pct"/>
            <w:shd w:val="clear" w:color="auto" w:fill="FFFFFF" w:themeFill="background1"/>
            <w:noWrap/>
          </w:tcPr>
          <w:p w14:paraId="536551BC" w14:textId="1C9C0A3D" w:rsidR="00F15453" w:rsidRPr="00A13809" w:rsidRDefault="00F15453" w:rsidP="00F15453">
            <w:pPr>
              <w:pStyle w:val="TableText0"/>
              <w:ind w:left="-57" w:right="-57"/>
              <w:rPr>
                <w:b/>
                <w:sz w:val="20"/>
                <w:szCs w:val="20"/>
              </w:rPr>
            </w:pPr>
            <w:r w:rsidRPr="00A13809">
              <w:rPr>
                <w:rFonts w:eastAsia="Calibri Light"/>
                <w:szCs w:val="20"/>
              </w:rPr>
              <w:t>$</w:t>
            </w:r>
            <w:r w:rsidR="00924D5E" w:rsidRPr="00924D5E">
              <w:rPr>
                <w:rFonts w:eastAsia="Calibri Light"/>
                <w:color w:val="000000"/>
                <w:spacing w:val="28"/>
                <w:szCs w:val="20"/>
                <w:shd w:val="solid" w:color="000000" w:fill="000000"/>
                <w:fitText w:val="426" w:id="-961836288"/>
                <w14:textFill>
                  <w14:solidFill>
                    <w14:srgbClr w14:val="000000">
                      <w14:alpha w14:val="100000"/>
                    </w14:srgbClr>
                  </w14:solidFill>
                </w14:textFill>
              </w:rPr>
              <w:t>|||||</w:t>
            </w:r>
            <w:r w:rsidR="00924D5E" w:rsidRPr="00924D5E">
              <w:rPr>
                <w:rFonts w:eastAsia="Calibri Light"/>
                <w:color w:val="000000"/>
                <w:spacing w:val="5"/>
                <w:szCs w:val="20"/>
                <w:shd w:val="solid" w:color="000000" w:fill="000000"/>
                <w:fitText w:val="426" w:id="-961836288"/>
                <w14:textFill>
                  <w14:solidFill>
                    <w14:srgbClr w14:val="000000">
                      <w14:alpha w14:val="100000"/>
                    </w14:srgbClr>
                  </w14:solidFill>
                </w14:textFill>
              </w:rPr>
              <w:t>|</w:t>
            </w:r>
          </w:p>
        </w:tc>
        <w:tc>
          <w:tcPr>
            <w:tcW w:w="830" w:type="pct"/>
            <w:shd w:val="clear" w:color="auto" w:fill="FFFFFF" w:themeFill="background1"/>
            <w:noWrap/>
          </w:tcPr>
          <w:p w14:paraId="70FD8052" w14:textId="492FB5DA" w:rsidR="00F15453" w:rsidRPr="00A13809" w:rsidRDefault="00F15453" w:rsidP="00F15453">
            <w:pPr>
              <w:pStyle w:val="TableText0"/>
              <w:ind w:left="-57" w:right="-57"/>
              <w:rPr>
                <w:b/>
                <w:sz w:val="20"/>
                <w:szCs w:val="20"/>
              </w:rPr>
            </w:pPr>
            <w:r w:rsidRPr="00A13809">
              <w:rPr>
                <w:rFonts w:eastAsia="Calibri Light"/>
                <w:szCs w:val="20"/>
              </w:rPr>
              <w:t>$</w:t>
            </w:r>
            <w:r w:rsidR="00924D5E" w:rsidRPr="00924D5E">
              <w:rPr>
                <w:rFonts w:eastAsia="Calibri Light"/>
                <w:color w:val="000000"/>
                <w:spacing w:val="28"/>
                <w:szCs w:val="20"/>
                <w:shd w:val="solid" w:color="000000" w:fill="000000"/>
                <w:fitText w:val="426" w:id="-961836287"/>
                <w14:textFill>
                  <w14:solidFill>
                    <w14:srgbClr w14:val="000000">
                      <w14:alpha w14:val="100000"/>
                    </w14:srgbClr>
                  </w14:solidFill>
                </w14:textFill>
              </w:rPr>
              <w:t>|||||</w:t>
            </w:r>
            <w:r w:rsidR="00924D5E" w:rsidRPr="00924D5E">
              <w:rPr>
                <w:rFonts w:eastAsia="Calibri Light"/>
                <w:color w:val="000000"/>
                <w:spacing w:val="5"/>
                <w:szCs w:val="20"/>
                <w:shd w:val="solid" w:color="000000" w:fill="000000"/>
                <w:fitText w:val="426" w:id="-961836287"/>
                <w14:textFill>
                  <w14:solidFill>
                    <w14:srgbClr w14:val="000000">
                      <w14:alpha w14:val="100000"/>
                    </w14:srgbClr>
                  </w14:solidFill>
                </w14:textFill>
              </w:rPr>
              <w:t>|</w:t>
            </w:r>
          </w:p>
        </w:tc>
        <w:tc>
          <w:tcPr>
            <w:tcW w:w="550" w:type="pct"/>
            <w:shd w:val="clear" w:color="auto" w:fill="auto"/>
            <w:noWrap/>
          </w:tcPr>
          <w:p w14:paraId="4830C0A0" w14:textId="629BFEF5" w:rsidR="00F15453" w:rsidRPr="00F15453" w:rsidRDefault="00F15453" w:rsidP="00F15453">
            <w:pPr>
              <w:pStyle w:val="TableText0"/>
              <w:ind w:right="-57"/>
              <w:rPr>
                <w:b/>
                <w:sz w:val="20"/>
                <w:szCs w:val="20"/>
              </w:rPr>
            </w:pPr>
            <w:r w:rsidRPr="00D221AB">
              <w:rPr>
                <w:rFonts w:eastAsia="Calibri Light"/>
                <w:szCs w:val="20"/>
              </w:rPr>
              <w:t>$50,157</w:t>
            </w:r>
          </w:p>
        </w:tc>
        <w:tc>
          <w:tcPr>
            <w:tcW w:w="629" w:type="pct"/>
            <w:shd w:val="clear" w:color="auto" w:fill="auto"/>
            <w:noWrap/>
          </w:tcPr>
          <w:p w14:paraId="115A9744" w14:textId="1590ECE0" w:rsidR="00F15453" w:rsidRPr="00F15453" w:rsidRDefault="00F15453" w:rsidP="00F15453">
            <w:pPr>
              <w:pStyle w:val="TableText0"/>
              <w:ind w:right="-57"/>
              <w:rPr>
                <w:b/>
                <w:sz w:val="20"/>
                <w:szCs w:val="20"/>
              </w:rPr>
            </w:pPr>
            <w:r w:rsidRPr="00D221AB">
              <w:rPr>
                <w:rFonts w:eastAsia="Calibri Light"/>
                <w:szCs w:val="20"/>
              </w:rPr>
              <w:t>$26,028</w:t>
            </w:r>
          </w:p>
        </w:tc>
        <w:tc>
          <w:tcPr>
            <w:tcW w:w="601" w:type="pct"/>
            <w:shd w:val="clear" w:color="auto" w:fill="FFFFFF" w:themeFill="background1"/>
          </w:tcPr>
          <w:p w14:paraId="5B69B6B6" w14:textId="77777777" w:rsidR="00F15453" w:rsidRPr="00A13809" w:rsidRDefault="00F15453" w:rsidP="00F15453">
            <w:pPr>
              <w:pStyle w:val="TableText0"/>
              <w:ind w:right="-57"/>
              <w:rPr>
                <w:b/>
                <w:sz w:val="20"/>
                <w:szCs w:val="20"/>
              </w:rPr>
            </w:pPr>
          </w:p>
        </w:tc>
      </w:tr>
      <w:tr w:rsidR="00941F03" w:rsidRPr="00CD4FAB" w14:paraId="474710B7" w14:textId="77777777" w:rsidTr="00F5399D">
        <w:trPr>
          <w:trHeight w:val="187"/>
        </w:trPr>
        <w:tc>
          <w:tcPr>
            <w:tcW w:w="705" w:type="pct"/>
            <w:shd w:val="clear" w:color="auto" w:fill="FFFFFF" w:themeFill="background1"/>
            <w:noWrap/>
          </w:tcPr>
          <w:p w14:paraId="7FC58C72" w14:textId="652403AB" w:rsidR="00941F03" w:rsidRPr="00A13809" w:rsidRDefault="00941F03" w:rsidP="00941F03">
            <w:pPr>
              <w:pStyle w:val="TableText0"/>
              <w:ind w:right="-57"/>
              <w:rPr>
                <w:b/>
                <w:bCs w:val="0"/>
                <w:sz w:val="20"/>
                <w:szCs w:val="20"/>
              </w:rPr>
            </w:pPr>
            <w:r w:rsidRPr="00A13809">
              <w:rPr>
                <w:szCs w:val="20"/>
              </w:rPr>
              <w:t>QALYs</w:t>
            </w:r>
          </w:p>
        </w:tc>
        <w:tc>
          <w:tcPr>
            <w:tcW w:w="864" w:type="pct"/>
            <w:shd w:val="clear" w:color="auto" w:fill="FFFFFF" w:themeFill="background1"/>
          </w:tcPr>
          <w:p w14:paraId="58A9E241" w14:textId="31ADAF15" w:rsidR="00941F03" w:rsidRPr="00A13809" w:rsidRDefault="00941F03" w:rsidP="00941F03">
            <w:pPr>
              <w:pStyle w:val="TableText0"/>
              <w:ind w:left="-57" w:right="-57"/>
              <w:rPr>
                <w:b/>
                <w:sz w:val="20"/>
                <w:szCs w:val="20"/>
              </w:rPr>
            </w:pPr>
            <w:r w:rsidRPr="00A13809">
              <w:rPr>
                <w:sz w:val="20"/>
                <w:szCs w:val="20"/>
              </w:rPr>
              <w:t>1.81</w:t>
            </w:r>
          </w:p>
        </w:tc>
        <w:tc>
          <w:tcPr>
            <w:tcW w:w="821" w:type="pct"/>
            <w:shd w:val="clear" w:color="auto" w:fill="FFFFFF" w:themeFill="background1"/>
            <w:noWrap/>
          </w:tcPr>
          <w:p w14:paraId="0859C6BC" w14:textId="6F228B0C" w:rsidR="00941F03" w:rsidRPr="00A13809" w:rsidRDefault="00941F03" w:rsidP="00941F03">
            <w:pPr>
              <w:pStyle w:val="TableText0"/>
              <w:ind w:left="-57" w:right="-57"/>
              <w:rPr>
                <w:b/>
                <w:sz w:val="20"/>
                <w:szCs w:val="20"/>
              </w:rPr>
            </w:pPr>
            <w:r w:rsidRPr="00A13809">
              <w:rPr>
                <w:sz w:val="20"/>
                <w:szCs w:val="20"/>
              </w:rPr>
              <w:t>0.84</w:t>
            </w:r>
          </w:p>
        </w:tc>
        <w:tc>
          <w:tcPr>
            <w:tcW w:w="830" w:type="pct"/>
            <w:shd w:val="clear" w:color="auto" w:fill="FFFFFF" w:themeFill="background1"/>
            <w:noWrap/>
          </w:tcPr>
          <w:p w14:paraId="7729DC15" w14:textId="1B3D4412" w:rsidR="00941F03" w:rsidRPr="00A13809" w:rsidRDefault="00941F03" w:rsidP="00941F03">
            <w:pPr>
              <w:pStyle w:val="TableText0"/>
              <w:ind w:left="-57" w:right="-57"/>
              <w:rPr>
                <w:b/>
                <w:sz w:val="20"/>
                <w:szCs w:val="20"/>
              </w:rPr>
            </w:pPr>
            <w:r w:rsidRPr="00A13809">
              <w:rPr>
                <w:sz w:val="20"/>
                <w:szCs w:val="20"/>
              </w:rPr>
              <w:t>1.57</w:t>
            </w:r>
          </w:p>
        </w:tc>
        <w:tc>
          <w:tcPr>
            <w:tcW w:w="550" w:type="pct"/>
            <w:shd w:val="clear" w:color="auto" w:fill="FFFFFF" w:themeFill="background1"/>
            <w:noWrap/>
          </w:tcPr>
          <w:p w14:paraId="1BECFDE7" w14:textId="378B77C9" w:rsidR="00941F03" w:rsidRPr="00A13809" w:rsidRDefault="00941F03" w:rsidP="00941F03">
            <w:pPr>
              <w:pStyle w:val="TableText0"/>
              <w:ind w:right="-57"/>
              <w:rPr>
                <w:b/>
                <w:sz w:val="20"/>
                <w:szCs w:val="20"/>
              </w:rPr>
            </w:pPr>
            <w:r w:rsidRPr="00A13809">
              <w:rPr>
                <w:sz w:val="20"/>
                <w:szCs w:val="20"/>
              </w:rPr>
              <w:t>0.9</w:t>
            </w:r>
            <w:r w:rsidR="00666DE8" w:rsidRPr="00A13809">
              <w:rPr>
                <w:sz w:val="20"/>
                <w:szCs w:val="20"/>
              </w:rPr>
              <w:t>0</w:t>
            </w:r>
          </w:p>
        </w:tc>
        <w:tc>
          <w:tcPr>
            <w:tcW w:w="629" w:type="pct"/>
            <w:shd w:val="clear" w:color="auto" w:fill="FFFFFF" w:themeFill="background1"/>
            <w:noWrap/>
          </w:tcPr>
          <w:p w14:paraId="6DD54C86" w14:textId="16AFB3BE" w:rsidR="00941F03" w:rsidRPr="00A13809" w:rsidRDefault="00941F03" w:rsidP="00941F03">
            <w:pPr>
              <w:pStyle w:val="TableText0"/>
              <w:ind w:right="-57"/>
              <w:rPr>
                <w:b/>
                <w:sz w:val="20"/>
                <w:szCs w:val="20"/>
              </w:rPr>
            </w:pPr>
            <w:r w:rsidRPr="00A13809">
              <w:rPr>
                <w:sz w:val="20"/>
                <w:szCs w:val="20"/>
              </w:rPr>
              <w:t>0.81</w:t>
            </w:r>
          </w:p>
        </w:tc>
        <w:tc>
          <w:tcPr>
            <w:tcW w:w="601" w:type="pct"/>
            <w:shd w:val="clear" w:color="auto" w:fill="FFFFFF" w:themeFill="background1"/>
          </w:tcPr>
          <w:p w14:paraId="2AE5A711" w14:textId="77777777" w:rsidR="00941F03" w:rsidRPr="00A13809" w:rsidRDefault="00941F03" w:rsidP="00941F03">
            <w:pPr>
              <w:pStyle w:val="TableText0"/>
              <w:ind w:right="-57"/>
              <w:rPr>
                <w:b/>
                <w:sz w:val="20"/>
                <w:szCs w:val="20"/>
              </w:rPr>
            </w:pPr>
          </w:p>
        </w:tc>
      </w:tr>
      <w:tr w:rsidR="00941F03" w:rsidRPr="00CD4FAB" w14:paraId="66CABDC7" w14:textId="77777777" w:rsidTr="00F5399D">
        <w:trPr>
          <w:trHeight w:val="103"/>
        </w:trPr>
        <w:tc>
          <w:tcPr>
            <w:tcW w:w="705" w:type="pct"/>
            <w:shd w:val="clear" w:color="auto" w:fill="FFFFFF" w:themeFill="background1"/>
            <w:noWrap/>
          </w:tcPr>
          <w:p w14:paraId="6B71771B" w14:textId="6D8F4B06" w:rsidR="00941F03" w:rsidRPr="00A13809" w:rsidRDefault="00941F03" w:rsidP="00941F03">
            <w:pPr>
              <w:pStyle w:val="TableText0"/>
              <w:ind w:right="-57"/>
              <w:rPr>
                <w:sz w:val="20"/>
                <w:szCs w:val="20"/>
              </w:rPr>
            </w:pPr>
            <w:r w:rsidRPr="00A13809">
              <w:rPr>
                <w:szCs w:val="20"/>
              </w:rPr>
              <w:t>LYs</w:t>
            </w:r>
          </w:p>
        </w:tc>
        <w:tc>
          <w:tcPr>
            <w:tcW w:w="864" w:type="pct"/>
            <w:shd w:val="clear" w:color="auto" w:fill="FFFFFF" w:themeFill="background1"/>
            <w:vAlign w:val="bottom"/>
          </w:tcPr>
          <w:p w14:paraId="7AF33A0C" w14:textId="2D3E1E91" w:rsidR="00941F03" w:rsidRPr="00A13809" w:rsidRDefault="00941F03" w:rsidP="0039617E">
            <w:pPr>
              <w:pStyle w:val="TableText0"/>
              <w:ind w:right="-57"/>
              <w:rPr>
                <w:b/>
                <w:sz w:val="20"/>
                <w:szCs w:val="20"/>
              </w:rPr>
            </w:pPr>
            <w:r w:rsidRPr="00A13809">
              <w:rPr>
                <w:rFonts w:eastAsia="Calibri Light"/>
                <w:szCs w:val="20"/>
              </w:rPr>
              <w:t>2.55</w:t>
            </w:r>
          </w:p>
        </w:tc>
        <w:tc>
          <w:tcPr>
            <w:tcW w:w="821" w:type="pct"/>
            <w:shd w:val="clear" w:color="auto" w:fill="FFFFFF" w:themeFill="background1"/>
            <w:noWrap/>
            <w:vAlign w:val="bottom"/>
          </w:tcPr>
          <w:p w14:paraId="6006C649" w14:textId="43275E0B" w:rsidR="00941F03" w:rsidRPr="00A13809" w:rsidRDefault="00941F03" w:rsidP="00941F03">
            <w:pPr>
              <w:pStyle w:val="TableText0"/>
              <w:ind w:left="-57" w:right="-57"/>
              <w:rPr>
                <w:b/>
                <w:sz w:val="20"/>
                <w:szCs w:val="20"/>
              </w:rPr>
            </w:pPr>
            <w:r w:rsidRPr="00A13809">
              <w:rPr>
                <w:rFonts w:eastAsia="Calibri Light"/>
                <w:szCs w:val="20"/>
              </w:rPr>
              <w:t>1.15</w:t>
            </w:r>
          </w:p>
        </w:tc>
        <w:tc>
          <w:tcPr>
            <w:tcW w:w="830" w:type="pct"/>
            <w:shd w:val="clear" w:color="auto" w:fill="FFFFFF" w:themeFill="background1"/>
            <w:noWrap/>
            <w:vAlign w:val="bottom"/>
          </w:tcPr>
          <w:p w14:paraId="7EF1B5F5" w14:textId="584F9CC5" w:rsidR="00941F03" w:rsidRPr="00A13809" w:rsidRDefault="00941F03" w:rsidP="00941F03">
            <w:pPr>
              <w:pStyle w:val="TableText0"/>
              <w:ind w:left="-57" w:right="-57"/>
              <w:rPr>
                <w:b/>
                <w:sz w:val="20"/>
                <w:szCs w:val="20"/>
              </w:rPr>
            </w:pPr>
            <w:r w:rsidRPr="00A13809">
              <w:rPr>
                <w:rFonts w:eastAsia="Calibri Light"/>
                <w:szCs w:val="20"/>
              </w:rPr>
              <w:t>2.1</w:t>
            </w:r>
          </w:p>
        </w:tc>
        <w:tc>
          <w:tcPr>
            <w:tcW w:w="550" w:type="pct"/>
            <w:shd w:val="clear" w:color="auto" w:fill="FFFFFF" w:themeFill="background1"/>
            <w:noWrap/>
            <w:vAlign w:val="bottom"/>
          </w:tcPr>
          <w:p w14:paraId="19DE773C" w14:textId="013E0411" w:rsidR="00941F03" w:rsidRPr="00A13809" w:rsidRDefault="00941F03" w:rsidP="00941F03">
            <w:pPr>
              <w:pStyle w:val="TableText0"/>
              <w:ind w:right="-57"/>
              <w:rPr>
                <w:b/>
                <w:sz w:val="20"/>
                <w:szCs w:val="20"/>
              </w:rPr>
            </w:pPr>
            <w:r w:rsidRPr="00A13809">
              <w:rPr>
                <w:rFonts w:eastAsia="Calibri Light"/>
                <w:szCs w:val="20"/>
              </w:rPr>
              <w:t>1.24</w:t>
            </w:r>
          </w:p>
        </w:tc>
        <w:tc>
          <w:tcPr>
            <w:tcW w:w="629" w:type="pct"/>
            <w:shd w:val="clear" w:color="auto" w:fill="FFFFFF" w:themeFill="background1"/>
            <w:noWrap/>
            <w:vAlign w:val="bottom"/>
          </w:tcPr>
          <w:p w14:paraId="0690FCC3" w14:textId="432EB321" w:rsidR="00941F03" w:rsidRPr="00A13809" w:rsidRDefault="00941F03" w:rsidP="00941F03">
            <w:pPr>
              <w:pStyle w:val="TableText0"/>
              <w:ind w:right="-57"/>
              <w:rPr>
                <w:b/>
                <w:sz w:val="20"/>
                <w:szCs w:val="20"/>
              </w:rPr>
            </w:pPr>
            <w:r w:rsidRPr="00A13809">
              <w:rPr>
                <w:rFonts w:eastAsia="Calibri Light"/>
                <w:szCs w:val="20"/>
              </w:rPr>
              <w:t>1.12</w:t>
            </w:r>
          </w:p>
        </w:tc>
        <w:tc>
          <w:tcPr>
            <w:tcW w:w="601" w:type="pct"/>
            <w:shd w:val="clear" w:color="auto" w:fill="FFFFFF" w:themeFill="background1"/>
          </w:tcPr>
          <w:p w14:paraId="033D6EA7" w14:textId="77777777" w:rsidR="00941F03" w:rsidRPr="00A13809" w:rsidRDefault="00941F03" w:rsidP="00941F03">
            <w:pPr>
              <w:pStyle w:val="TableText0"/>
              <w:ind w:right="-57"/>
              <w:rPr>
                <w:b/>
                <w:sz w:val="20"/>
                <w:szCs w:val="20"/>
              </w:rPr>
            </w:pPr>
          </w:p>
        </w:tc>
      </w:tr>
      <w:tr w:rsidR="00DE38A2" w:rsidRPr="00CD4FAB" w14:paraId="03D2C3C5" w14:textId="77777777" w:rsidTr="00DE38A2">
        <w:trPr>
          <w:trHeight w:val="212"/>
        </w:trPr>
        <w:tc>
          <w:tcPr>
            <w:tcW w:w="5000" w:type="pct"/>
            <w:gridSpan w:val="7"/>
            <w:shd w:val="clear" w:color="auto" w:fill="FFFFFF" w:themeFill="background1"/>
            <w:noWrap/>
          </w:tcPr>
          <w:p w14:paraId="4D9EC1C8" w14:textId="7FB21CF9" w:rsidR="00DE38A2" w:rsidRPr="00A13809" w:rsidRDefault="00DE38A2" w:rsidP="00343DE4">
            <w:pPr>
              <w:pStyle w:val="In-tableHeading"/>
              <w:rPr>
                <w:sz w:val="20"/>
                <w:szCs w:val="20"/>
                <w:lang w:val="en-AU"/>
              </w:rPr>
            </w:pPr>
            <w:r w:rsidRPr="00A13809">
              <w:rPr>
                <w:szCs w:val="20"/>
                <w:lang w:val="en-AU"/>
              </w:rPr>
              <w:t>Option A</w:t>
            </w:r>
            <w:r w:rsidR="00343DE4" w:rsidRPr="00A13809">
              <w:rPr>
                <w:szCs w:val="20"/>
                <w:lang w:val="en-AU"/>
              </w:rPr>
              <w:t xml:space="preserve">: </w:t>
            </w:r>
            <w:r w:rsidRPr="00A13809">
              <w:rPr>
                <w:szCs w:val="20"/>
                <w:lang w:val="en-AU"/>
              </w:rPr>
              <w:t>NeoNIVO+NeoChemo and NeoChemo treatment arms</w:t>
            </w:r>
          </w:p>
          <w:p w14:paraId="3EEF77C6" w14:textId="7294D0D0" w:rsidR="00941F03" w:rsidRPr="00A13809" w:rsidRDefault="00941F03" w:rsidP="00343DE4">
            <w:pPr>
              <w:pStyle w:val="In-tableHeading"/>
              <w:rPr>
                <w:rFonts w:eastAsia="Calibri Light"/>
                <w:bCs/>
                <w:sz w:val="20"/>
                <w:szCs w:val="20"/>
                <w:lang w:val="en-AU"/>
              </w:rPr>
            </w:pPr>
            <w:r w:rsidRPr="00A13809">
              <w:rPr>
                <w:szCs w:val="20"/>
                <w:lang w:val="en-AU"/>
              </w:rPr>
              <w:t>Option B</w:t>
            </w:r>
            <w:r w:rsidR="00343DE4" w:rsidRPr="00A13809">
              <w:rPr>
                <w:szCs w:val="20"/>
                <w:lang w:val="en-AU"/>
              </w:rPr>
              <w:t xml:space="preserve">: </w:t>
            </w:r>
            <w:r w:rsidRPr="00A13809">
              <w:rPr>
                <w:szCs w:val="20"/>
                <w:lang w:val="en-AU"/>
              </w:rPr>
              <w:t>NeoChemo treatment arm</w:t>
            </w:r>
          </w:p>
        </w:tc>
      </w:tr>
      <w:tr w:rsidR="00DE38A2" w:rsidRPr="00CD4FAB" w14:paraId="3E984B9C" w14:textId="77777777" w:rsidTr="00F5399D">
        <w:trPr>
          <w:trHeight w:val="212"/>
        </w:trPr>
        <w:tc>
          <w:tcPr>
            <w:tcW w:w="705" w:type="pct"/>
            <w:shd w:val="clear" w:color="auto" w:fill="FFFFFF" w:themeFill="background1"/>
            <w:noWrap/>
          </w:tcPr>
          <w:p w14:paraId="37D51159" w14:textId="5D00D810" w:rsidR="00DE38A2" w:rsidRPr="00A13809" w:rsidRDefault="00DE38A2" w:rsidP="003C5D4F">
            <w:pPr>
              <w:pStyle w:val="TableText0"/>
              <w:rPr>
                <w:sz w:val="20"/>
                <w:szCs w:val="20"/>
              </w:rPr>
            </w:pPr>
            <w:r w:rsidRPr="00A13809">
              <w:rPr>
                <w:szCs w:val="20"/>
              </w:rPr>
              <w:t>Distribution</w:t>
            </w:r>
          </w:p>
        </w:tc>
        <w:tc>
          <w:tcPr>
            <w:tcW w:w="864" w:type="pct"/>
            <w:shd w:val="clear" w:color="auto" w:fill="FFFFFF" w:themeFill="background1"/>
          </w:tcPr>
          <w:p w14:paraId="04075289" w14:textId="77777777" w:rsidR="00DE38A2" w:rsidRPr="00A13809" w:rsidRDefault="00DE38A2" w:rsidP="003C5D4F">
            <w:pPr>
              <w:pStyle w:val="TableText0"/>
              <w:rPr>
                <w:rFonts w:eastAsia="Calibri Light"/>
                <w:sz w:val="20"/>
                <w:szCs w:val="20"/>
              </w:rPr>
            </w:pPr>
            <w:r w:rsidRPr="00A13809">
              <w:rPr>
                <w:rFonts w:eastAsia="Calibri Light"/>
                <w:szCs w:val="20"/>
              </w:rPr>
              <w:t>28.32%</w:t>
            </w:r>
          </w:p>
        </w:tc>
        <w:tc>
          <w:tcPr>
            <w:tcW w:w="821" w:type="pct"/>
            <w:shd w:val="clear" w:color="auto" w:fill="FFFFFF" w:themeFill="background1"/>
            <w:noWrap/>
          </w:tcPr>
          <w:p w14:paraId="27F60506" w14:textId="77777777" w:rsidR="00DE38A2" w:rsidRPr="00A13809" w:rsidRDefault="00DE38A2" w:rsidP="003C5D4F">
            <w:pPr>
              <w:pStyle w:val="TableText0"/>
              <w:rPr>
                <w:rFonts w:eastAsia="Calibri Light"/>
                <w:sz w:val="20"/>
                <w:szCs w:val="20"/>
              </w:rPr>
            </w:pPr>
            <w:r w:rsidRPr="00A13809">
              <w:rPr>
                <w:rFonts w:eastAsia="Calibri Light"/>
                <w:szCs w:val="20"/>
              </w:rPr>
              <w:t>9.42%</w:t>
            </w:r>
          </w:p>
        </w:tc>
        <w:tc>
          <w:tcPr>
            <w:tcW w:w="830" w:type="pct"/>
            <w:shd w:val="clear" w:color="auto" w:fill="FFFFFF" w:themeFill="background1"/>
            <w:noWrap/>
          </w:tcPr>
          <w:p w14:paraId="242B73F3" w14:textId="77777777" w:rsidR="00DE38A2" w:rsidRPr="00A13809" w:rsidRDefault="00DE38A2" w:rsidP="003C5D4F">
            <w:pPr>
              <w:pStyle w:val="TableText0"/>
              <w:rPr>
                <w:rFonts w:eastAsia="Calibri Light"/>
                <w:sz w:val="20"/>
                <w:szCs w:val="20"/>
              </w:rPr>
            </w:pPr>
            <w:r w:rsidRPr="00A13809">
              <w:rPr>
                <w:rFonts w:eastAsia="Calibri Light"/>
                <w:szCs w:val="20"/>
              </w:rPr>
              <w:t>32.62%</w:t>
            </w:r>
          </w:p>
        </w:tc>
        <w:tc>
          <w:tcPr>
            <w:tcW w:w="550" w:type="pct"/>
            <w:shd w:val="clear" w:color="auto" w:fill="FFFFFF" w:themeFill="background1"/>
            <w:noWrap/>
          </w:tcPr>
          <w:p w14:paraId="320BF0AB" w14:textId="77777777" w:rsidR="00DE38A2" w:rsidRPr="00A13809" w:rsidRDefault="00DE38A2" w:rsidP="003C5D4F">
            <w:pPr>
              <w:pStyle w:val="TableText0"/>
              <w:rPr>
                <w:rFonts w:eastAsia="Calibri Light"/>
                <w:sz w:val="20"/>
                <w:szCs w:val="20"/>
              </w:rPr>
            </w:pPr>
            <w:r w:rsidRPr="00A13809">
              <w:rPr>
                <w:rFonts w:eastAsia="Calibri Light"/>
                <w:szCs w:val="20"/>
              </w:rPr>
              <w:t>14.64%</w:t>
            </w:r>
          </w:p>
        </w:tc>
        <w:tc>
          <w:tcPr>
            <w:tcW w:w="629" w:type="pct"/>
            <w:shd w:val="clear" w:color="auto" w:fill="FFFFFF" w:themeFill="background1"/>
            <w:noWrap/>
          </w:tcPr>
          <w:p w14:paraId="0F1C9D3A" w14:textId="77777777" w:rsidR="00DE38A2" w:rsidRPr="00A13809" w:rsidRDefault="00DE38A2" w:rsidP="003C5D4F">
            <w:pPr>
              <w:pStyle w:val="TableText0"/>
              <w:rPr>
                <w:rFonts w:eastAsia="Calibri Light"/>
                <w:sz w:val="20"/>
                <w:szCs w:val="20"/>
              </w:rPr>
            </w:pPr>
            <w:r w:rsidRPr="00A13809">
              <w:rPr>
                <w:rFonts w:eastAsia="Calibri Light"/>
                <w:szCs w:val="20"/>
              </w:rPr>
              <w:t>15%</w:t>
            </w:r>
          </w:p>
        </w:tc>
        <w:tc>
          <w:tcPr>
            <w:tcW w:w="601" w:type="pct"/>
            <w:shd w:val="clear" w:color="auto" w:fill="FFFFFF" w:themeFill="background1"/>
          </w:tcPr>
          <w:p w14:paraId="57C86A06" w14:textId="77777777" w:rsidR="00DE38A2" w:rsidRPr="00A13809" w:rsidRDefault="00DE38A2" w:rsidP="003C5D4F">
            <w:pPr>
              <w:pStyle w:val="TableText0"/>
              <w:rPr>
                <w:rFonts w:eastAsia="Calibri Light"/>
                <w:sz w:val="20"/>
                <w:szCs w:val="20"/>
              </w:rPr>
            </w:pPr>
            <w:r w:rsidRPr="00A13809">
              <w:rPr>
                <w:rFonts w:eastAsia="Calibri Light"/>
                <w:szCs w:val="20"/>
              </w:rPr>
              <w:t>–</w:t>
            </w:r>
          </w:p>
        </w:tc>
      </w:tr>
      <w:tr w:rsidR="00941F03" w:rsidRPr="00CD4FAB" w14:paraId="4916AA99" w14:textId="77777777" w:rsidTr="00F5399D">
        <w:trPr>
          <w:trHeight w:val="212"/>
        </w:trPr>
        <w:tc>
          <w:tcPr>
            <w:tcW w:w="705" w:type="pct"/>
            <w:shd w:val="clear" w:color="auto" w:fill="FFFFFF" w:themeFill="background1"/>
            <w:noWrap/>
          </w:tcPr>
          <w:p w14:paraId="73997AEF" w14:textId="77777777" w:rsidR="00941F03" w:rsidRPr="00A13809" w:rsidRDefault="00941F03" w:rsidP="003C5D4F">
            <w:pPr>
              <w:pStyle w:val="TableText0"/>
              <w:rPr>
                <w:sz w:val="20"/>
                <w:szCs w:val="20"/>
              </w:rPr>
            </w:pPr>
            <w:r w:rsidRPr="00A13809">
              <w:rPr>
                <w:szCs w:val="20"/>
              </w:rPr>
              <w:t>Total cost</w:t>
            </w:r>
          </w:p>
        </w:tc>
        <w:tc>
          <w:tcPr>
            <w:tcW w:w="3694" w:type="pct"/>
            <w:gridSpan w:val="5"/>
            <w:shd w:val="clear" w:color="auto" w:fill="FFFFFF" w:themeFill="background1"/>
          </w:tcPr>
          <w:p w14:paraId="549AEEB5" w14:textId="22ABA8B7" w:rsidR="00941F03" w:rsidRPr="00A13809" w:rsidRDefault="00941F03" w:rsidP="003C5D4F">
            <w:pPr>
              <w:pStyle w:val="TableText0"/>
              <w:rPr>
                <w:rFonts w:eastAsia="Calibri Light"/>
                <w:sz w:val="20"/>
                <w:szCs w:val="20"/>
              </w:rPr>
            </w:pPr>
          </w:p>
        </w:tc>
        <w:tc>
          <w:tcPr>
            <w:tcW w:w="601" w:type="pct"/>
            <w:shd w:val="clear" w:color="auto" w:fill="FFFFFF" w:themeFill="background1"/>
          </w:tcPr>
          <w:p w14:paraId="56C47057" w14:textId="796E6BE2" w:rsidR="00941F03" w:rsidRPr="00A13809" w:rsidRDefault="00941F03" w:rsidP="003C5D4F">
            <w:pPr>
              <w:pStyle w:val="TableText0"/>
              <w:rPr>
                <w:rFonts w:eastAsia="Calibri Light"/>
                <w:sz w:val="20"/>
                <w:szCs w:val="20"/>
              </w:rPr>
            </w:pPr>
            <w:r w:rsidRPr="00A13809">
              <w:rPr>
                <w:rFonts w:eastAsia="Calibri Light"/>
                <w:b/>
                <w:szCs w:val="20"/>
              </w:rPr>
              <w:t>$</w:t>
            </w:r>
            <w:r w:rsidR="00924D5E" w:rsidRPr="00924D5E">
              <w:rPr>
                <w:rFonts w:eastAsia="Calibri Light"/>
                <w:b/>
                <w:color w:val="000000"/>
                <w:spacing w:val="66"/>
                <w:szCs w:val="20"/>
                <w:shd w:val="solid" w:color="000000" w:fill="000000"/>
                <w:fitText w:val="401" w:id="-961836286"/>
                <w14:textFill>
                  <w14:solidFill>
                    <w14:srgbClr w14:val="000000">
                      <w14:alpha w14:val="100000"/>
                    </w14:srgbClr>
                  </w14:solidFill>
                </w14:textFill>
              </w:rPr>
              <w:t>|||</w:t>
            </w:r>
            <w:r w:rsidR="00924D5E" w:rsidRPr="00924D5E">
              <w:rPr>
                <w:rFonts w:eastAsia="Calibri Light"/>
                <w:b/>
                <w:color w:val="000000"/>
                <w:spacing w:val="1"/>
                <w:szCs w:val="20"/>
                <w:shd w:val="solid" w:color="000000" w:fill="000000"/>
                <w:fitText w:val="401" w:id="-961836286"/>
                <w14:textFill>
                  <w14:solidFill>
                    <w14:srgbClr w14:val="000000">
                      <w14:alpha w14:val="100000"/>
                    </w14:srgbClr>
                  </w14:solidFill>
                </w14:textFill>
              </w:rPr>
              <w:t>|</w:t>
            </w:r>
          </w:p>
        </w:tc>
      </w:tr>
      <w:tr w:rsidR="00941F03" w:rsidRPr="00CD4FAB" w14:paraId="6A690EA5" w14:textId="77777777" w:rsidTr="00F5399D">
        <w:trPr>
          <w:trHeight w:val="212"/>
        </w:trPr>
        <w:tc>
          <w:tcPr>
            <w:tcW w:w="705" w:type="pct"/>
            <w:shd w:val="clear" w:color="auto" w:fill="FFFFFF" w:themeFill="background1"/>
            <w:noWrap/>
          </w:tcPr>
          <w:p w14:paraId="059B8621" w14:textId="77777777" w:rsidR="00941F03" w:rsidRPr="00A13809" w:rsidRDefault="00941F03" w:rsidP="003C5D4F">
            <w:pPr>
              <w:pStyle w:val="TableText0"/>
              <w:rPr>
                <w:sz w:val="20"/>
                <w:szCs w:val="20"/>
              </w:rPr>
            </w:pPr>
            <w:r w:rsidRPr="00A13809">
              <w:rPr>
                <w:szCs w:val="20"/>
              </w:rPr>
              <w:t>QALYs</w:t>
            </w:r>
          </w:p>
        </w:tc>
        <w:tc>
          <w:tcPr>
            <w:tcW w:w="3694" w:type="pct"/>
            <w:gridSpan w:val="5"/>
            <w:shd w:val="clear" w:color="auto" w:fill="FFFFFF" w:themeFill="background1"/>
          </w:tcPr>
          <w:p w14:paraId="2919FE1B" w14:textId="4D81650A" w:rsidR="00941F03" w:rsidRPr="00A13809" w:rsidRDefault="00941F03" w:rsidP="003C5D4F">
            <w:pPr>
              <w:pStyle w:val="TableText0"/>
              <w:rPr>
                <w:rFonts w:eastAsia="Calibri Light"/>
                <w:sz w:val="20"/>
                <w:szCs w:val="20"/>
              </w:rPr>
            </w:pPr>
          </w:p>
        </w:tc>
        <w:tc>
          <w:tcPr>
            <w:tcW w:w="601" w:type="pct"/>
            <w:shd w:val="clear" w:color="auto" w:fill="FFFFFF" w:themeFill="background1"/>
          </w:tcPr>
          <w:p w14:paraId="65362CFF" w14:textId="77777777" w:rsidR="00941F03" w:rsidRPr="00A13809" w:rsidRDefault="00941F03" w:rsidP="003C5D4F">
            <w:pPr>
              <w:pStyle w:val="TableText0"/>
              <w:rPr>
                <w:rFonts w:eastAsia="Calibri Light"/>
                <w:b/>
                <w:sz w:val="20"/>
                <w:szCs w:val="20"/>
              </w:rPr>
            </w:pPr>
            <w:r w:rsidRPr="00A13809">
              <w:rPr>
                <w:rFonts w:eastAsia="Calibri Light"/>
                <w:b/>
                <w:szCs w:val="20"/>
              </w:rPr>
              <w:t>1.357</w:t>
            </w:r>
          </w:p>
        </w:tc>
      </w:tr>
      <w:tr w:rsidR="00941F03" w:rsidRPr="00CD4FAB" w14:paraId="7FC96237" w14:textId="77777777" w:rsidTr="00F5399D">
        <w:trPr>
          <w:trHeight w:val="212"/>
        </w:trPr>
        <w:tc>
          <w:tcPr>
            <w:tcW w:w="705" w:type="pct"/>
            <w:shd w:val="clear" w:color="auto" w:fill="FFFFFF" w:themeFill="background1"/>
            <w:noWrap/>
          </w:tcPr>
          <w:p w14:paraId="6E48ED29" w14:textId="651BA978" w:rsidR="00941F03" w:rsidRPr="00D221AB" w:rsidRDefault="00941F03" w:rsidP="007A561E">
            <w:pPr>
              <w:pStyle w:val="TableText0"/>
              <w:rPr>
                <w:rFonts w:cs="Calibri"/>
                <w:color w:val="000000"/>
                <w:sz w:val="20"/>
                <w:szCs w:val="20"/>
                <w:lang w:eastAsia="en-AU"/>
              </w:rPr>
            </w:pPr>
            <w:r w:rsidRPr="00A13809">
              <w:rPr>
                <w:szCs w:val="20"/>
              </w:rPr>
              <w:t>LYs</w:t>
            </w:r>
          </w:p>
        </w:tc>
        <w:tc>
          <w:tcPr>
            <w:tcW w:w="3694" w:type="pct"/>
            <w:gridSpan w:val="5"/>
            <w:shd w:val="clear" w:color="auto" w:fill="FFFFFF" w:themeFill="background1"/>
            <w:vAlign w:val="bottom"/>
          </w:tcPr>
          <w:p w14:paraId="28726FFA" w14:textId="684C87A2" w:rsidR="00941F03" w:rsidRPr="00A13809" w:rsidRDefault="00941F03" w:rsidP="00DE38A2">
            <w:pPr>
              <w:pStyle w:val="TableText0"/>
              <w:rPr>
                <w:rFonts w:eastAsia="Calibri Light"/>
                <w:sz w:val="20"/>
                <w:szCs w:val="20"/>
              </w:rPr>
            </w:pPr>
          </w:p>
        </w:tc>
        <w:tc>
          <w:tcPr>
            <w:tcW w:w="601" w:type="pct"/>
            <w:shd w:val="clear" w:color="auto" w:fill="FFFFFF" w:themeFill="background1"/>
          </w:tcPr>
          <w:p w14:paraId="493E8D8E" w14:textId="396219FC" w:rsidR="00941F03" w:rsidRPr="00A13809" w:rsidRDefault="00941F03" w:rsidP="00DE38A2">
            <w:pPr>
              <w:pStyle w:val="TableText0"/>
              <w:rPr>
                <w:rFonts w:eastAsia="Calibri Light"/>
                <w:b/>
                <w:bCs w:val="0"/>
                <w:sz w:val="20"/>
                <w:szCs w:val="20"/>
              </w:rPr>
            </w:pPr>
            <w:r w:rsidRPr="00A13809">
              <w:rPr>
                <w:rFonts w:eastAsia="Calibri Light"/>
                <w:b/>
                <w:bCs w:val="0"/>
                <w:szCs w:val="20"/>
              </w:rPr>
              <w:t>1.87</w:t>
            </w:r>
          </w:p>
        </w:tc>
      </w:tr>
      <w:tr w:rsidR="00DE38A2" w:rsidRPr="00CD4FAB" w14:paraId="43FA02BF" w14:textId="77777777" w:rsidTr="00DE38A2">
        <w:trPr>
          <w:trHeight w:val="212"/>
        </w:trPr>
        <w:tc>
          <w:tcPr>
            <w:tcW w:w="5000" w:type="pct"/>
            <w:gridSpan w:val="7"/>
            <w:shd w:val="clear" w:color="auto" w:fill="FFFFFF" w:themeFill="background1"/>
            <w:noWrap/>
          </w:tcPr>
          <w:p w14:paraId="00A7E49D" w14:textId="517E3123" w:rsidR="00DE38A2" w:rsidRPr="00A13809" w:rsidRDefault="00DE38A2" w:rsidP="00DE38A2">
            <w:pPr>
              <w:pStyle w:val="TableText0"/>
              <w:rPr>
                <w:rFonts w:eastAsia="Calibri Light"/>
                <w:b/>
                <w:bCs w:val="0"/>
                <w:sz w:val="20"/>
                <w:szCs w:val="20"/>
              </w:rPr>
            </w:pPr>
            <w:r w:rsidRPr="00A13809">
              <w:rPr>
                <w:rFonts w:eastAsia="Calibri Light"/>
                <w:b/>
                <w:bCs w:val="0"/>
                <w:szCs w:val="20"/>
              </w:rPr>
              <w:t>Option B</w:t>
            </w:r>
            <w:r w:rsidR="00343DE4" w:rsidRPr="00A13809">
              <w:rPr>
                <w:rFonts w:eastAsia="Calibri Light"/>
                <w:b/>
                <w:bCs w:val="0"/>
                <w:szCs w:val="20"/>
              </w:rPr>
              <w:t xml:space="preserve">: </w:t>
            </w:r>
            <w:r w:rsidRPr="00A13809">
              <w:rPr>
                <w:rFonts w:eastAsia="Calibri Light"/>
                <w:b/>
                <w:bCs w:val="0"/>
                <w:szCs w:val="20"/>
              </w:rPr>
              <w:t>NeoNIVO</w:t>
            </w:r>
          </w:p>
        </w:tc>
      </w:tr>
      <w:tr w:rsidR="00941F03" w:rsidRPr="00CD4FAB" w14:paraId="72FFA5C4" w14:textId="77777777" w:rsidTr="00F5399D">
        <w:trPr>
          <w:trHeight w:val="212"/>
        </w:trPr>
        <w:tc>
          <w:tcPr>
            <w:tcW w:w="705" w:type="pct"/>
            <w:shd w:val="clear" w:color="auto" w:fill="FFFFFF" w:themeFill="background1"/>
            <w:noWrap/>
          </w:tcPr>
          <w:p w14:paraId="6F0B0768" w14:textId="46CE8B00" w:rsidR="00941F03" w:rsidRPr="00A13809" w:rsidRDefault="00941F03" w:rsidP="0039617E">
            <w:pPr>
              <w:pStyle w:val="TableText0"/>
              <w:rPr>
                <w:sz w:val="20"/>
                <w:szCs w:val="20"/>
              </w:rPr>
            </w:pPr>
            <w:r w:rsidRPr="00A13809">
              <w:rPr>
                <w:szCs w:val="20"/>
              </w:rPr>
              <w:t>Distribution</w:t>
            </w:r>
          </w:p>
        </w:tc>
        <w:tc>
          <w:tcPr>
            <w:tcW w:w="864" w:type="pct"/>
            <w:shd w:val="clear" w:color="auto" w:fill="FFFFFF" w:themeFill="background1"/>
          </w:tcPr>
          <w:p w14:paraId="15281107" w14:textId="312821BA" w:rsidR="00941F03" w:rsidRPr="00A13809" w:rsidRDefault="00941F03" w:rsidP="00941F03">
            <w:pPr>
              <w:pStyle w:val="TableText0"/>
              <w:rPr>
                <w:rFonts w:eastAsia="Calibri Light"/>
                <w:sz w:val="20"/>
                <w:szCs w:val="20"/>
              </w:rPr>
            </w:pPr>
            <w:r w:rsidRPr="00A13809">
              <w:rPr>
                <w:rFonts w:eastAsia="Calibri Light"/>
                <w:szCs w:val="20"/>
              </w:rPr>
              <w:t>0.00%</w:t>
            </w:r>
          </w:p>
        </w:tc>
        <w:tc>
          <w:tcPr>
            <w:tcW w:w="821" w:type="pct"/>
            <w:shd w:val="clear" w:color="auto" w:fill="FFFFFF" w:themeFill="background1"/>
            <w:noWrap/>
          </w:tcPr>
          <w:p w14:paraId="3D21F0EA" w14:textId="6BA2A519" w:rsidR="00941F03" w:rsidRPr="00A13809" w:rsidRDefault="00941F03" w:rsidP="00941F03">
            <w:pPr>
              <w:pStyle w:val="TableText0"/>
              <w:rPr>
                <w:rFonts w:eastAsia="Calibri Light"/>
                <w:sz w:val="20"/>
                <w:szCs w:val="20"/>
              </w:rPr>
            </w:pPr>
            <w:r w:rsidRPr="00A13809">
              <w:rPr>
                <w:rFonts w:eastAsia="Calibri Light"/>
                <w:szCs w:val="20"/>
              </w:rPr>
              <w:t>0.00%</w:t>
            </w:r>
          </w:p>
        </w:tc>
        <w:tc>
          <w:tcPr>
            <w:tcW w:w="830" w:type="pct"/>
            <w:shd w:val="clear" w:color="auto" w:fill="FFFFFF" w:themeFill="background1"/>
            <w:noWrap/>
          </w:tcPr>
          <w:p w14:paraId="5A2423C3" w14:textId="59A4A9B0" w:rsidR="00941F03" w:rsidRPr="00A13809" w:rsidRDefault="00941F03" w:rsidP="00941F03">
            <w:pPr>
              <w:pStyle w:val="TableText0"/>
              <w:rPr>
                <w:rFonts w:eastAsia="Calibri Light"/>
                <w:sz w:val="20"/>
                <w:szCs w:val="20"/>
              </w:rPr>
            </w:pPr>
            <w:r w:rsidRPr="00A13809">
              <w:rPr>
                <w:rFonts w:eastAsia="Calibri Light"/>
                <w:szCs w:val="20"/>
              </w:rPr>
              <w:t>0.00%</w:t>
            </w:r>
          </w:p>
        </w:tc>
        <w:tc>
          <w:tcPr>
            <w:tcW w:w="550" w:type="pct"/>
            <w:shd w:val="clear" w:color="auto" w:fill="FFFFFF" w:themeFill="background1"/>
            <w:noWrap/>
          </w:tcPr>
          <w:p w14:paraId="377CD91D" w14:textId="1D0EBDA6" w:rsidR="00941F03" w:rsidRPr="00A13809" w:rsidRDefault="00941F03" w:rsidP="00941F03">
            <w:pPr>
              <w:pStyle w:val="TableText0"/>
              <w:rPr>
                <w:rFonts w:eastAsia="Calibri Light"/>
                <w:sz w:val="20"/>
                <w:szCs w:val="20"/>
              </w:rPr>
            </w:pPr>
            <w:r w:rsidRPr="00A13809">
              <w:rPr>
                <w:rFonts w:eastAsia="Calibri Light"/>
                <w:szCs w:val="20"/>
              </w:rPr>
              <w:t>85.00%</w:t>
            </w:r>
          </w:p>
        </w:tc>
        <w:tc>
          <w:tcPr>
            <w:tcW w:w="629" w:type="pct"/>
            <w:shd w:val="clear" w:color="auto" w:fill="FFFFFF" w:themeFill="background1"/>
            <w:noWrap/>
          </w:tcPr>
          <w:p w14:paraId="4BA20F3E" w14:textId="598E54AE" w:rsidR="00941F03" w:rsidRPr="00A13809" w:rsidRDefault="00941F03" w:rsidP="00941F03">
            <w:pPr>
              <w:pStyle w:val="TableText0"/>
              <w:rPr>
                <w:rFonts w:eastAsia="Calibri Light"/>
                <w:sz w:val="20"/>
                <w:szCs w:val="20"/>
              </w:rPr>
            </w:pPr>
            <w:r w:rsidRPr="00A13809">
              <w:rPr>
                <w:rFonts w:eastAsia="Calibri Light"/>
                <w:szCs w:val="20"/>
              </w:rPr>
              <w:t>15.00%</w:t>
            </w:r>
          </w:p>
        </w:tc>
        <w:tc>
          <w:tcPr>
            <w:tcW w:w="601" w:type="pct"/>
            <w:shd w:val="clear" w:color="auto" w:fill="FFFFFF" w:themeFill="background1"/>
          </w:tcPr>
          <w:p w14:paraId="232F91F8" w14:textId="77777777" w:rsidR="00941F03" w:rsidRPr="00A13809" w:rsidRDefault="00941F03" w:rsidP="00941F03">
            <w:pPr>
              <w:pStyle w:val="TableText0"/>
              <w:rPr>
                <w:rFonts w:eastAsia="Calibri Light"/>
                <w:b/>
                <w:bCs w:val="0"/>
                <w:sz w:val="20"/>
                <w:szCs w:val="20"/>
              </w:rPr>
            </w:pPr>
          </w:p>
        </w:tc>
      </w:tr>
      <w:tr w:rsidR="009309BF" w:rsidRPr="00CD4FAB" w14:paraId="2AD37CC3" w14:textId="77777777" w:rsidTr="00F5399D">
        <w:trPr>
          <w:trHeight w:val="212"/>
        </w:trPr>
        <w:tc>
          <w:tcPr>
            <w:tcW w:w="705" w:type="pct"/>
            <w:shd w:val="clear" w:color="auto" w:fill="FFFFFF" w:themeFill="background1"/>
            <w:noWrap/>
          </w:tcPr>
          <w:p w14:paraId="3D30FBF7" w14:textId="7CB75191" w:rsidR="009309BF" w:rsidRPr="00A13809" w:rsidRDefault="009309BF" w:rsidP="0039617E">
            <w:pPr>
              <w:pStyle w:val="TableText0"/>
              <w:rPr>
                <w:sz w:val="20"/>
                <w:szCs w:val="20"/>
              </w:rPr>
            </w:pPr>
            <w:r w:rsidRPr="00A13809">
              <w:rPr>
                <w:szCs w:val="20"/>
              </w:rPr>
              <w:t>Total cost</w:t>
            </w:r>
          </w:p>
        </w:tc>
        <w:tc>
          <w:tcPr>
            <w:tcW w:w="3694" w:type="pct"/>
            <w:gridSpan w:val="5"/>
            <w:shd w:val="clear" w:color="auto" w:fill="FFFFFF" w:themeFill="background1"/>
            <w:vAlign w:val="bottom"/>
          </w:tcPr>
          <w:p w14:paraId="2EEB54A0" w14:textId="77777777" w:rsidR="009309BF" w:rsidRPr="00A13809" w:rsidRDefault="009309BF" w:rsidP="00941F03">
            <w:pPr>
              <w:pStyle w:val="TableText0"/>
              <w:rPr>
                <w:rFonts w:eastAsia="Calibri Light"/>
                <w:sz w:val="20"/>
                <w:szCs w:val="20"/>
              </w:rPr>
            </w:pPr>
          </w:p>
        </w:tc>
        <w:tc>
          <w:tcPr>
            <w:tcW w:w="601" w:type="pct"/>
            <w:shd w:val="clear" w:color="auto" w:fill="FFFFFF" w:themeFill="background1"/>
          </w:tcPr>
          <w:p w14:paraId="151A3E44" w14:textId="65E0D912" w:rsidR="009309BF" w:rsidRPr="00A13809" w:rsidRDefault="009309BF" w:rsidP="00941F03">
            <w:pPr>
              <w:pStyle w:val="TableText0"/>
              <w:rPr>
                <w:rFonts w:eastAsia="Calibri Light"/>
                <w:b/>
                <w:bCs w:val="0"/>
                <w:sz w:val="20"/>
                <w:szCs w:val="20"/>
              </w:rPr>
            </w:pPr>
            <w:r w:rsidRPr="00A13809">
              <w:rPr>
                <w:rFonts w:eastAsia="Calibri Light"/>
                <w:b/>
                <w:bCs w:val="0"/>
                <w:szCs w:val="20"/>
              </w:rPr>
              <w:t>$</w:t>
            </w:r>
            <w:r w:rsidR="00924D5E" w:rsidRPr="00924D5E">
              <w:rPr>
                <w:rFonts w:eastAsia="Calibri Light"/>
                <w:b/>
                <w:bCs w:val="0"/>
                <w:color w:val="000000"/>
                <w:spacing w:val="66"/>
                <w:szCs w:val="20"/>
                <w:shd w:val="solid" w:color="000000" w:fill="000000"/>
                <w:fitText w:val="401" w:id="-961836285"/>
                <w14:textFill>
                  <w14:solidFill>
                    <w14:srgbClr w14:val="000000">
                      <w14:alpha w14:val="100000"/>
                    </w14:srgbClr>
                  </w14:solidFill>
                </w14:textFill>
              </w:rPr>
              <w:t>|||</w:t>
            </w:r>
            <w:r w:rsidR="00924D5E" w:rsidRPr="00924D5E">
              <w:rPr>
                <w:rFonts w:eastAsia="Calibri Light"/>
                <w:b/>
                <w:bCs w:val="0"/>
                <w:color w:val="000000"/>
                <w:spacing w:val="1"/>
                <w:szCs w:val="20"/>
                <w:shd w:val="solid" w:color="000000" w:fill="000000"/>
                <w:fitText w:val="401" w:id="-961836285"/>
                <w14:textFill>
                  <w14:solidFill>
                    <w14:srgbClr w14:val="000000">
                      <w14:alpha w14:val="100000"/>
                    </w14:srgbClr>
                  </w14:solidFill>
                </w14:textFill>
              </w:rPr>
              <w:t>|</w:t>
            </w:r>
          </w:p>
        </w:tc>
      </w:tr>
      <w:tr w:rsidR="009309BF" w:rsidRPr="00CD4FAB" w14:paraId="20CCE6D2" w14:textId="77777777" w:rsidTr="00F5399D">
        <w:trPr>
          <w:trHeight w:val="212"/>
        </w:trPr>
        <w:tc>
          <w:tcPr>
            <w:tcW w:w="705" w:type="pct"/>
            <w:shd w:val="clear" w:color="auto" w:fill="FFFFFF" w:themeFill="background1"/>
            <w:noWrap/>
          </w:tcPr>
          <w:p w14:paraId="6CAE4951" w14:textId="1FC12E53" w:rsidR="009309BF" w:rsidRPr="00A13809" w:rsidRDefault="009309BF" w:rsidP="0039617E">
            <w:pPr>
              <w:pStyle w:val="TableText0"/>
              <w:rPr>
                <w:sz w:val="20"/>
                <w:szCs w:val="20"/>
              </w:rPr>
            </w:pPr>
            <w:r w:rsidRPr="00A13809">
              <w:rPr>
                <w:szCs w:val="20"/>
              </w:rPr>
              <w:t>QALYs</w:t>
            </w:r>
          </w:p>
        </w:tc>
        <w:tc>
          <w:tcPr>
            <w:tcW w:w="3694" w:type="pct"/>
            <w:gridSpan w:val="5"/>
            <w:shd w:val="clear" w:color="auto" w:fill="FFFFFF" w:themeFill="background1"/>
            <w:vAlign w:val="bottom"/>
          </w:tcPr>
          <w:p w14:paraId="57E24D4E" w14:textId="77777777" w:rsidR="009309BF" w:rsidRPr="00A13809" w:rsidRDefault="009309BF" w:rsidP="00941F03">
            <w:pPr>
              <w:pStyle w:val="TableText0"/>
              <w:rPr>
                <w:rFonts w:eastAsia="Calibri Light"/>
                <w:sz w:val="20"/>
                <w:szCs w:val="20"/>
              </w:rPr>
            </w:pPr>
          </w:p>
        </w:tc>
        <w:tc>
          <w:tcPr>
            <w:tcW w:w="601" w:type="pct"/>
            <w:shd w:val="clear" w:color="auto" w:fill="FFFFFF" w:themeFill="background1"/>
          </w:tcPr>
          <w:p w14:paraId="1FBC95D6" w14:textId="4746A42C" w:rsidR="009309BF" w:rsidRPr="00A13809" w:rsidRDefault="009309BF" w:rsidP="00941F03">
            <w:pPr>
              <w:pStyle w:val="TableText0"/>
              <w:rPr>
                <w:rFonts w:eastAsia="Calibri Light"/>
                <w:b/>
                <w:bCs w:val="0"/>
                <w:sz w:val="20"/>
                <w:szCs w:val="20"/>
              </w:rPr>
            </w:pPr>
            <w:r w:rsidRPr="00A13809">
              <w:rPr>
                <w:rFonts w:eastAsia="Calibri Light"/>
                <w:b/>
                <w:bCs w:val="0"/>
                <w:szCs w:val="20"/>
              </w:rPr>
              <w:t>0.887</w:t>
            </w:r>
          </w:p>
        </w:tc>
      </w:tr>
      <w:tr w:rsidR="009309BF" w:rsidRPr="00CD4FAB" w14:paraId="65325ECF" w14:textId="77777777" w:rsidTr="00F5399D">
        <w:trPr>
          <w:trHeight w:val="212"/>
        </w:trPr>
        <w:tc>
          <w:tcPr>
            <w:tcW w:w="705" w:type="pct"/>
            <w:shd w:val="clear" w:color="auto" w:fill="FFFFFF" w:themeFill="background1"/>
            <w:noWrap/>
          </w:tcPr>
          <w:p w14:paraId="4DEC3F02" w14:textId="511AE95D" w:rsidR="009309BF" w:rsidRPr="00A13809" w:rsidRDefault="009309BF" w:rsidP="0039617E">
            <w:pPr>
              <w:pStyle w:val="TableText0"/>
              <w:rPr>
                <w:sz w:val="20"/>
                <w:szCs w:val="20"/>
              </w:rPr>
            </w:pPr>
            <w:r w:rsidRPr="00A13809">
              <w:rPr>
                <w:szCs w:val="20"/>
              </w:rPr>
              <w:t>LYs</w:t>
            </w:r>
          </w:p>
        </w:tc>
        <w:tc>
          <w:tcPr>
            <w:tcW w:w="3694" w:type="pct"/>
            <w:gridSpan w:val="5"/>
            <w:shd w:val="clear" w:color="auto" w:fill="FFFFFF" w:themeFill="background1"/>
            <w:vAlign w:val="bottom"/>
          </w:tcPr>
          <w:p w14:paraId="6AC217D4" w14:textId="77777777" w:rsidR="009309BF" w:rsidRPr="00A13809" w:rsidRDefault="009309BF" w:rsidP="00941F03">
            <w:pPr>
              <w:pStyle w:val="TableText0"/>
              <w:rPr>
                <w:rFonts w:eastAsia="Calibri Light"/>
                <w:sz w:val="20"/>
                <w:szCs w:val="20"/>
              </w:rPr>
            </w:pPr>
          </w:p>
        </w:tc>
        <w:tc>
          <w:tcPr>
            <w:tcW w:w="601" w:type="pct"/>
            <w:shd w:val="clear" w:color="auto" w:fill="FFFFFF" w:themeFill="background1"/>
          </w:tcPr>
          <w:p w14:paraId="33191B20" w14:textId="0FF007B6" w:rsidR="009309BF" w:rsidRPr="00A13809" w:rsidRDefault="009309BF" w:rsidP="00941F03">
            <w:pPr>
              <w:pStyle w:val="TableText0"/>
              <w:rPr>
                <w:rFonts w:eastAsia="Calibri Light"/>
                <w:b/>
                <w:bCs w:val="0"/>
                <w:sz w:val="20"/>
                <w:szCs w:val="20"/>
              </w:rPr>
            </w:pPr>
            <w:r w:rsidRPr="00A13809">
              <w:rPr>
                <w:rFonts w:eastAsia="Calibri Light"/>
                <w:b/>
                <w:bCs w:val="0"/>
                <w:szCs w:val="20"/>
              </w:rPr>
              <w:t>1.22</w:t>
            </w:r>
          </w:p>
        </w:tc>
      </w:tr>
    </w:tbl>
    <w:p w14:paraId="6C0F88AD" w14:textId="5255686A" w:rsidR="00666DE8" w:rsidRPr="007A561E" w:rsidRDefault="00343DE4" w:rsidP="00D221AB">
      <w:pPr>
        <w:pStyle w:val="TableFooter"/>
        <w:jc w:val="both"/>
      </w:pPr>
      <w:r w:rsidRPr="007A561E">
        <w:t xml:space="preserve">Source: Updated from Table 19, </w:t>
      </w:r>
      <w:r w:rsidRPr="00CD4FAB">
        <w:t>nivolumab PSD, March 2023 PBAC Meeting</w:t>
      </w:r>
      <w:r w:rsidR="0054654D" w:rsidRPr="00CD4FAB">
        <w:t xml:space="preserve"> and ‘Attachment 3 - Nivolumab Neoadjuvant NSCLC Economic Evaluation_No Retreatment_Nov23.xlsm’</w:t>
      </w:r>
    </w:p>
    <w:p w14:paraId="7C3E0323" w14:textId="6E85C29B" w:rsidR="00DE38A2" w:rsidRPr="007A561E" w:rsidRDefault="00DE38A2" w:rsidP="00D221AB">
      <w:pPr>
        <w:pStyle w:val="TableFooter"/>
        <w:jc w:val="both"/>
      </w:pPr>
      <w:r w:rsidRPr="007A561E">
        <w:t xml:space="preserve">BSC = best supportive care; </w:t>
      </w:r>
      <w:r w:rsidR="00DA5935" w:rsidRPr="007A561E">
        <w:t xml:space="preserve">NSCLC = non-small cell lung cancer; LYs = life years; </w:t>
      </w:r>
      <w:r w:rsidRPr="007A561E">
        <w:t>PDC = platinum-doublet chemotherapy; QALY</w:t>
      </w:r>
      <w:r w:rsidR="00DA5935" w:rsidRPr="007A561E">
        <w:t>s</w:t>
      </w:r>
      <w:r w:rsidRPr="007A561E">
        <w:t xml:space="preserve"> = quality-adjusted life year</w:t>
      </w:r>
      <w:r w:rsidR="00DA5935" w:rsidRPr="007A561E">
        <w:t>s</w:t>
      </w:r>
    </w:p>
    <w:p w14:paraId="068DF56A" w14:textId="72171B2C" w:rsidR="00BC4F56" w:rsidRPr="00CD4FAB" w:rsidRDefault="00BC4F56" w:rsidP="00D221AB">
      <w:pPr>
        <w:pStyle w:val="TableFigureHeading"/>
        <w:keepLines/>
        <w:spacing w:before="120"/>
      </w:pPr>
      <w:bookmarkStart w:id="35" w:name="_Ref104804865"/>
      <w:r w:rsidRPr="00CD4FAB">
        <w:lastRenderedPageBreak/>
        <w:t xml:space="preserve">Table </w:t>
      </w:r>
      <w:fldSimple w:instr=" SEQ Table \* ARABIC " w:fldLock="1">
        <w:r w:rsidR="00885DA7">
          <w:rPr>
            <w:noProof/>
          </w:rPr>
          <w:t>7</w:t>
        </w:r>
      </w:fldSimple>
      <w:bookmarkEnd w:id="35"/>
      <w:r w:rsidRPr="00CD4FAB">
        <w:t>: Key sensitivity analyses</w:t>
      </w:r>
      <w:r w:rsidR="00D50084" w:rsidRPr="00CD4FAB">
        <w:t>, Option B</w:t>
      </w:r>
    </w:p>
    <w:tbl>
      <w:tblPr>
        <w:tblStyle w:val="TableGrid1"/>
        <w:tblW w:w="5000" w:type="pct"/>
        <w:shd w:val="clear" w:color="auto" w:fill="FFFFFF" w:themeFill="background1"/>
        <w:tblLook w:val="0620" w:firstRow="1" w:lastRow="0" w:firstColumn="0" w:lastColumn="0" w:noHBand="1" w:noVBand="1"/>
        <w:tblCaption w:val="Table 7: Key sensitivity analyses, Option B"/>
      </w:tblPr>
      <w:tblGrid>
        <w:gridCol w:w="3875"/>
        <w:gridCol w:w="1229"/>
        <w:gridCol w:w="1269"/>
        <w:gridCol w:w="994"/>
        <w:gridCol w:w="1650"/>
      </w:tblGrid>
      <w:tr w:rsidR="00BC4F56" w:rsidRPr="00CD4FAB" w14:paraId="0E88C7FB" w14:textId="77777777" w:rsidTr="00F5399D">
        <w:trPr>
          <w:tblHeader/>
        </w:trPr>
        <w:tc>
          <w:tcPr>
            <w:tcW w:w="2149" w:type="pct"/>
            <w:shd w:val="clear" w:color="auto" w:fill="FFFFFF" w:themeFill="background1"/>
          </w:tcPr>
          <w:p w14:paraId="736D57AB" w14:textId="77777777" w:rsidR="00BC4F56" w:rsidRPr="005A2772" w:rsidRDefault="00BC4F56" w:rsidP="00D221AB">
            <w:pPr>
              <w:pStyle w:val="TableText0"/>
              <w:keepLines/>
              <w:rPr>
                <w:b/>
                <w:bCs w:val="0"/>
                <w:sz w:val="20"/>
                <w:szCs w:val="20"/>
              </w:rPr>
            </w:pPr>
            <w:r w:rsidRPr="005A2772">
              <w:rPr>
                <w:b/>
                <w:bCs w:val="0"/>
                <w:szCs w:val="20"/>
              </w:rPr>
              <w:t>Variables altered in sensitivity analysis</w:t>
            </w:r>
          </w:p>
        </w:tc>
        <w:tc>
          <w:tcPr>
            <w:tcW w:w="681" w:type="pct"/>
            <w:shd w:val="clear" w:color="auto" w:fill="FFFFFF" w:themeFill="background1"/>
            <w:vAlign w:val="center"/>
          </w:tcPr>
          <w:p w14:paraId="44C93F72" w14:textId="77777777" w:rsidR="00BC4F56" w:rsidRPr="005A2772" w:rsidRDefault="00BC4F56" w:rsidP="00D221AB">
            <w:pPr>
              <w:pStyle w:val="TableText0"/>
              <w:keepLines/>
              <w:jc w:val="center"/>
              <w:rPr>
                <w:b/>
                <w:bCs w:val="0"/>
                <w:sz w:val="20"/>
                <w:szCs w:val="20"/>
              </w:rPr>
            </w:pPr>
            <w:r w:rsidRPr="005A2772">
              <w:rPr>
                <w:b/>
                <w:bCs w:val="0"/>
                <w:szCs w:val="20"/>
              </w:rPr>
              <w:t>Incremental costs</w:t>
            </w:r>
          </w:p>
        </w:tc>
        <w:tc>
          <w:tcPr>
            <w:tcW w:w="704" w:type="pct"/>
            <w:shd w:val="clear" w:color="auto" w:fill="FFFFFF" w:themeFill="background1"/>
            <w:vAlign w:val="center"/>
          </w:tcPr>
          <w:p w14:paraId="7793C9DC" w14:textId="77777777" w:rsidR="00BC4F56" w:rsidRPr="005A2772" w:rsidRDefault="00BC4F56" w:rsidP="00D221AB">
            <w:pPr>
              <w:pStyle w:val="TableText0"/>
              <w:keepLines/>
              <w:jc w:val="center"/>
              <w:rPr>
                <w:b/>
                <w:bCs w:val="0"/>
                <w:sz w:val="20"/>
                <w:szCs w:val="20"/>
              </w:rPr>
            </w:pPr>
            <w:r w:rsidRPr="005A2772">
              <w:rPr>
                <w:b/>
                <w:bCs w:val="0"/>
                <w:szCs w:val="20"/>
              </w:rPr>
              <w:t>Incremental QALYs</w:t>
            </w:r>
          </w:p>
        </w:tc>
        <w:tc>
          <w:tcPr>
            <w:tcW w:w="551" w:type="pct"/>
            <w:shd w:val="clear" w:color="auto" w:fill="FFFFFF" w:themeFill="background1"/>
            <w:vAlign w:val="center"/>
          </w:tcPr>
          <w:p w14:paraId="7BB3E7C4" w14:textId="77777777" w:rsidR="00BC4F56" w:rsidRPr="005A2772" w:rsidRDefault="00BC4F56" w:rsidP="00D221AB">
            <w:pPr>
              <w:pStyle w:val="TableText0"/>
              <w:keepLines/>
              <w:jc w:val="center"/>
              <w:rPr>
                <w:b/>
                <w:bCs w:val="0"/>
                <w:sz w:val="20"/>
                <w:szCs w:val="20"/>
              </w:rPr>
            </w:pPr>
            <w:r w:rsidRPr="005A2772">
              <w:rPr>
                <w:b/>
                <w:bCs w:val="0"/>
                <w:szCs w:val="20"/>
              </w:rPr>
              <w:t>ICER</w:t>
            </w:r>
          </w:p>
        </w:tc>
        <w:tc>
          <w:tcPr>
            <w:tcW w:w="915" w:type="pct"/>
            <w:shd w:val="clear" w:color="auto" w:fill="FFFFFF" w:themeFill="background1"/>
            <w:vAlign w:val="center"/>
          </w:tcPr>
          <w:p w14:paraId="3FCF4B4E" w14:textId="77777777" w:rsidR="00BC4F56" w:rsidRPr="005A2772" w:rsidRDefault="00BC4F56" w:rsidP="00F5399D">
            <w:pPr>
              <w:pStyle w:val="TableText0"/>
              <w:keepLines/>
              <w:jc w:val="center"/>
              <w:rPr>
                <w:b/>
                <w:bCs w:val="0"/>
                <w:sz w:val="20"/>
                <w:szCs w:val="20"/>
              </w:rPr>
            </w:pPr>
            <w:r w:rsidRPr="005A2772">
              <w:rPr>
                <w:b/>
                <w:bCs w:val="0"/>
                <w:szCs w:val="20"/>
              </w:rPr>
              <w:t>% change from base case</w:t>
            </w:r>
          </w:p>
        </w:tc>
      </w:tr>
      <w:tr w:rsidR="00BC4F56" w:rsidRPr="00CD4FAB" w14:paraId="69B83B2B" w14:textId="77777777" w:rsidTr="00F5399D">
        <w:tc>
          <w:tcPr>
            <w:tcW w:w="2149" w:type="pct"/>
            <w:shd w:val="clear" w:color="auto" w:fill="FFFFFF" w:themeFill="background1"/>
          </w:tcPr>
          <w:p w14:paraId="306C9717" w14:textId="331F1740" w:rsidR="00BC4F56" w:rsidRPr="005A2772" w:rsidRDefault="00BC4F56" w:rsidP="00D221AB">
            <w:pPr>
              <w:pStyle w:val="TableText0"/>
              <w:keepLines/>
              <w:rPr>
                <w:b/>
                <w:bCs w:val="0"/>
                <w:iCs/>
                <w:sz w:val="20"/>
                <w:szCs w:val="20"/>
                <w:vertAlign w:val="superscript"/>
              </w:rPr>
            </w:pPr>
            <w:r w:rsidRPr="005A2772">
              <w:rPr>
                <w:b/>
                <w:bCs w:val="0"/>
                <w:iCs/>
                <w:szCs w:val="20"/>
              </w:rPr>
              <w:t>Base case results</w:t>
            </w:r>
            <w:r w:rsidR="0042415A" w:rsidRPr="005A2772">
              <w:rPr>
                <w:b/>
                <w:bCs w:val="0"/>
                <w:iCs/>
                <w:szCs w:val="20"/>
                <w:vertAlign w:val="superscript"/>
              </w:rPr>
              <w:t>a</w:t>
            </w:r>
          </w:p>
        </w:tc>
        <w:tc>
          <w:tcPr>
            <w:tcW w:w="681" w:type="pct"/>
            <w:shd w:val="clear" w:color="auto" w:fill="FFFFFF" w:themeFill="background1"/>
          </w:tcPr>
          <w:p w14:paraId="50ED1BF4" w14:textId="0EE5AA70" w:rsidR="00BC4F56" w:rsidRPr="005A2772" w:rsidRDefault="001A1F47" w:rsidP="00D221AB">
            <w:pPr>
              <w:pStyle w:val="TableText0"/>
              <w:keepLines/>
              <w:jc w:val="center"/>
              <w:rPr>
                <w:b/>
                <w:bCs w:val="0"/>
                <w:iCs/>
                <w:sz w:val="20"/>
                <w:szCs w:val="20"/>
              </w:rPr>
            </w:pPr>
            <w:r w:rsidRPr="005A2772">
              <w:rPr>
                <w:b/>
                <w:bCs w:val="0"/>
                <w:iCs/>
                <w:sz w:val="20"/>
                <w:szCs w:val="20"/>
              </w:rPr>
              <w:t>$</w:t>
            </w:r>
            <w:r w:rsidR="00924D5E" w:rsidRPr="00924D5E">
              <w:rPr>
                <w:rFonts w:hint="eastAsia"/>
                <w:b/>
                <w:bCs w:val="0"/>
                <w:iCs/>
                <w:color w:val="000000"/>
                <w:w w:val="29"/>
                <w:sz w:val="20"/>
                <w:szCs w:val="20"/>
                <w:shd w:val="solid" w:color="000000" w:fill="000000"/>
                <w:fitText w:val="138" w:id="-961836284"/>
                <w14:textFill>
                  <w14:solidFill>
                    <w14:srgbClr w14:val="000000">
                      <w14:alpha w14:val="100000"/>
                    </w14:srgbClr>
                  </w14:solidFill>
                </w14:textFill>
              </w:rPr>
              <w:t xml:space="preserve">　</w:t>
            </w:r>
            <w:r w:rsidR="00924D5E" w:rsidRPr="00924D5E">
              <w:rPr>
                <w:b/>
                <w:bCs w:val="0"/>
                <w:iCs/>
                <w:color w:val="000000"/>
                <w:w w:val="29"/>
                <w:szCs w:val="20"/>
                <w:shd w:val="solid" w:color="000000" w:fill="000000"/>
                <w:fitText w:val="138" w:id="-961836284"/>
                <w14:textFill>
                  <w14:solidFill>
                    <w14:srgbClr w14:val="000000">
                      <w14:alpha w14:val="100000"/>
                    </w14:srgbClr>
                  </w14:solidFill>
                </w14:textFill>
              </w:rPr>
              <w:t>|</w:t>
            </w:r>
            <w:r w:rsidR="00924D5E" w:rsidRPr="00924D5E">
              <w:rPr>
                <w:rFonts w:hint="eastAsia"/>
                <w:b/>
                <w:bCs w:val="0"/>
                <w:iCs/>
                <w:color w:val="000000"/>
                <w:spacing w:val="1"/>
                <w:w w:val="29"/>
                <w:szCs w:val="20"/>
                <w:shd w:val="solid" w:color="000000" w:fill="000000"/>
                <w:fitText w:val="138" w:id="-961836284"/>
                <w14:textFill>
                  <w14:solidFill>
                    <w14:srgbClr w14:val="000000">
                      <w14:alpha w14:val="100000"/>
                    </w14:srgbClr>
                  </w14:solidFill>
                </w14:textFill>
              </w:rPr>
              <w:t xml:space="preserve">　</w:t>
            </w:r>
          </w:p>
        </w:tc>
        <w:tc>
          <w:tcPr>
            <w:tcW w:w="704" w:type="pct"/>
            <w:shd w:val="clear" w:color="auto" w:fill="FFFFFF" w:themeFill="background1"/>
          </w:tcPr>
          <w:p w14:paraId="33564E3C" w14:textId="5BEC1AD5" w:rsidR="00BC4F56" w:rsidRPr="005A2772" w:rsidRDefault="001A1F47" w:rsidP="00D221AB">
            <w:pPr>
              <w:pStyle w:val="TableText0"/>
              <w:keepLines/>
              <w:jc w:val="center"/>
              <w:rPr>
                <w:b/>
                <w:bCs w:val="0"/>
                <w:iCs/>
                <w:sz w:val="20"/>
                <w:szCs w:val="20"/>
              </w:rPr>
            </w:pPr>
            <w:r w:rsidRPr="005A2772">
              <w:rPr>
                <w:b/>
                <w:bCs w:val="0"/>
                <w:iCs/>
                <w:sz w:val="20"/>
                <w:szCs w:val="20"/>
              </w:rPr>
              <w:t>0.51</w:t>
            </w:r>
          </w:p>
        </w:tc>
        <w:tc>
          <w:tcPr>
            <w:tcW w:w="551" w:type="pct"/>
            <w:shd w:val="clear" w:color="auto" w:fill="FFFFFF" w:themeFill="background1"/>
          </w:tcPr>
          <w:p w14:paraId="11043189" w14:textId="1F73F284" w:rsidR="00BC4F56" w:rsidRPr="005A2772" w:rsidRDefault="001A1F47" w:rsidP="00D221AB">
            <w:pPr>
              <w:pStyle w:val="TableText0"/>
              <w:keepLines/>
              <w:jc w:val="center"/>
              <w:rPr>
                <w:b/>
                <w:bCs w:val="0"/>
                <w:iCs/>
                <w:sz w:val="20"/>
                <w:szCs w:val="20"/>
              </w:rPr>
            </w:pPr>
            <w:r w:rsidRPr="005A2772">
              <w:rPr>
                <w:b/>
                <w:bCs w:val="0"/>
                <w:iCs/>
                <w:sz w:val="20"/>
                <w:szCs w:val="20"/>
              </w:rPr>
              <w:t>$</w:t>
            </w:r>
            <w:r w:rsidR="00924D5E" w:rsidRPr="00924D5E">
              <w:rPr>
                <w:b/>
                <w:bCs w:val="0"/>
                <w:iCs/>
                <w:color w:val="000000"/>
                <w:spacing w:val="32"/>
                <w:szCs w:val="20"/>
                <w:shd w:val="solid" w:color="000000" w:fill="000000"/>
                <w:fitText w:val="301" w:id="-961836283"/>
                <w14:textFill>
                  <w14:solidFill>
                    <w14:srgbClr w14:val="000000">
                      <w14:alpha w14:val="100000"/>
                    </w14:srgbClr>
                  </w14:solidFill>
                </w14:textFill>
              </w:rPr>
              <w:t>|||</w:t>
            </w:r>
            <w:r w:rsidR="00924D5E" w:rsidRPr="00924D5E">
              <w:rPr>
                <w:b/>
                <w:bCs w:val="0"/>
                <w:iCs/>
                <w:color w:val="000000"/>
                <w:spacing w:val="3"/>
                <w:szCs w:val="20"/>
                <w:shd w:val="solid" w:color="000000" w:fill="000000"/>
                <w:fitText w:val="301" w:id="-961836283"/>
                <w14:textFill>
                  <w14:solidFill>
                    <w14:srgbClr w14:val="000000">
                      <w14:alpha w14:val="100000"/>
                    </w14:srgbClr>
                  </w14:solidFill>
                </w14:textFill>
              </w:rPr>
              <w:t>|</w:t>
            </w:r>
            <w:r w:rsidR="00341BD5" w:rsidRPr="00D221AB">
              <w:rPr>
                <w:b/>
                <w:bCs w:val="0"/>
                <w:iCs/>
                <w:szCs w:val="20"/>
                <w:vertAlign w:val="superscript"/>
              </w:rPr>
              <w:t>1</w:t>
            </w:r>
          </w:p>
        </w:tc>
        <w:tc>
          <w:tcPr>
            <w:tcW w:w="915" w:type="pct"/>
            <w:shd w:val="clear" w:color="auto" w:fill="FFFFFF" w:themeFill="background1"/>
          </w:tcPr>
          <w:p w14:paraId="68ED1129" w14:textId="77777777" w:rsidR="00BC4F56" w:rsidRPr="005A2772" w:rsidRDefault="00BC4F56" w:rsidP="00D221AB">
            <w:pPr>
              <w:pStyle w:val="TableText0"/>
              <w:keepLines/>
              <w:jc w:val="center"/>
              <w:rPr>
                <w:b/>
                <w:bCs w:val="0"/>
                <w:sz w:val="20"/>
                <w:szCs w:val="20"/>
              </w:rPr>
            </w:pPr>
            <w:r w:rsidRPr="005A2772">
              <w:rPr>
                <w:b/>
                <w:bCs w:val="0"/>
                <w:szCs w:val="20"/>
              </w:rPr>
              <w:t>-</w:t>
            </w:r>
          </w:p>
        </w:tc>
      </w:tr>
      <w:tr w:rsidR="00BC4F56" w:rsidRPr="00CD4FAB" w14:paraId="20B1AC87" w14:textId="77777777" w:rsidTr="00AC43A2">
        <w:trPr>
          <w:trHeight w:val="43"/>
        </w:trPr>
        <w:tc>
          <w:tcPr>
            <w:tcW w:w="5000" w:type="pct"/>
            <w:gridSpan w:val="5"/>
            <w:shd w:val="clear" w:color="auto" w:fill="FFFFFF" w:themeFill="background1"/>
          </w:tcPr>
          <w:p w14:paraId="06FC861D" w14:textId="3878A9F4" w:rsidR="00BC4F56" w:rsidRPr="005A2772" w:rsidRDefault="00BC4F56" w:rsidP="00D221AB">
            <w:pPr>
              <w:pStyle w:val="TableText0"/>
              <w:keepLines/>
              <w:rPr>
                <w:iCs/>
                <w:sz w:val="20"/>
                <w:szCs w:val="20"/>
              </w:rPr>
            </w:pPr>
            <w:r w:rsidRPr="005A2772">
              <w:rPr>
                <w:b/>
                <w:bCs w:val="0"/>
                <w:iCs/>
                <w:szCs w:val="20"/>
              </w:rPr>
              <w:t>Discount rate (base case = 5</w:t>
            </w:r>
            <w:r w:rsidR="00B33BE9" w:rsidRPr="005A2772">
              <w:rPr>
                <w:b/>
                <w:bCs w:val="0"/>
                <w:iCs/>
                <w:szCs w:val="20"/>
              </w:rPr>
              <w:t>.0</w:t>
            </w:r>
            <w:r w:rsidRPr="005A2772">
              <w:rPr>
                <w:b/>
                <w:bCs w:val="0"/>
                <w:iCs/>
                <w:szCs w:val="20"/>
              </w:rPr>
              <w:t>%</w:t>
            </w:r>
            <w:r w:rsidR="00B33BE9" w:rsidRPr="005A2772">
              <w:rPr>
                <w:b/>
                <w:bCs w:val="0"/>
                <w:iCs/>
                <w:szCs w:val="20"/>
              </w:rPr>
              <w:t xml:space="preserve"> per annum</w:t>
            </w:r>
            <w:r w:rsidRPr="005A2772">
              <w:rPr>
                <w:b/>
                <w:bCs w:val="0"/>
                <w:iCs/>
                <w:szCs w:val="20"/>
              </w:rPr>
              <w:t>)</w:t>
            </w:r>
          </w:p>
        </w:tc>
      </w:tr>
      <w:tr w:rsidR="00BC4F56" w:rsidRPr="00CD4FAB" w14:paraId="04AC308A" w14:textId="77777777" w:rsidTr="00F5399D">
        <w:tc>
          <w:tcPr>
            <w:tcW w:w="2149" w:type="pct"/>
            <w:shd w:val="clear" w:color="auto" w:fill="FFFFFF" w:themeFill="background1"/>
          </w:tcPr>
          <w:p w14:paraId="056E5BEA" w14:textId="4DE8A6A6" w:rsidR="00BC4F56" w:rsidRPr="005A2772" w:rsidRDefault="00BC4F56" w:rsidP="00D221AB">
            <w:pPr>
              <w:pStyle w:val="TableText0"/>
              <w:keepLines/>
              <w:contextualSpacing/>
              <w:rPr>
                <w:iCs/>
                <w:sz w:val="20"/>
                <w:szCs w:val="20"/>
              </w:rPr>
            </w:pPr>
            <w:r w:rsidRPr="005A2772">
              <w:rPr>
                <w:iCs/>
                <w:szCs w:val="20"/>
              </w:rPr>
              <w:t>0</w:t>
            </w:r>
            <w:r w:rsidR="00B33BE9" w:rsidRPr="005A2772">
              <w:rPr>
                <w:iCs/>
                <w:szCs w:val="20"/>
              </w:rPr>
              <w:t>.0</w:t>
            </w:r>
            <w:r w:rsidRPr="005A2772">
              <w:rPr>
                <w:iCs/>
                <w:szCs w:val="20"/>
              </w:rPr>
              <w:t>%</w:t>
            </w:r>
          </w:p>
        </w:tc>
        <w:tc>
          <w:tcPr>
            <w:tcW w:w="681" w:type="pct"/>
            <w:shd w:val="clear" w:color="auto" w:fill="FFFFFF" w:themeFill="background1"/>
          </w:tcPr>
          <w:p w14:paraId="75C8D128" w14:textId="6E5825F2" w:rsidR="00BC4F56" w:rsidRPr="005A2772" w:rsidRDefault="00C11741" w:rsidP="00D221AB">
            <w:pPr>
              <w:pStyle w:val="TableText0"/>
              <w:keepLines/>
              <w:contextualSpacing/>
              <w:jc w:val="center"/>
              <w:rPr>
                <w:iCs/>
                <w:sz w:val="20"/>
                <w:szCs w:val="20"/>
              </w:rPr>
            </w:pPr>
            <w:r w:rsidRPr="005A2772">
              <w:rPr>
                <w:iCs/>
                <w:szCs w:val="20"/>
              </w:rPr>
              <w:t>$</w:t>
            </w:r>
            <w:r w:rsidR="00924D5E" w:rsidRPr="00924D5E">
              <w:rPr>
                <w:rFonts w:hint="eastAsia"/>
                <w:iCs/>
                <w:color w:val="000000"/>
                <w:w w:val="17"/>
                <w:szCs w:val="20"/>
                <w:shd w:val="solid" w:color="000000" w:fill="000000"/>
                <w:fitText w:val="87" w:id="-961836282"/>
                <w14:textFill>
                  <w14:solidFill>
                    <w14:srgbClr w14:val="000000">
                      <w14:alpha w14:val="100000"/>
                    </w14:srgbClr>
                  </w14:solidFill>
                </w14:textFill>
              </w:rPr>
              <w:t xml:space="preserve">　</w:t>
            </w:r>
            <w:r w:rsidR="00924D5E" w:rsidRPr="00924D5E">
              <w:rPr>
                <w:iCs/>
                <w:color w:val="000000"/>
                <w:w w:val="17"/>
                <w:szCs w:val="20"/>
                <w:shd w:val="solid" w:color="000000" w:fill="000000"/>
                <w:fitText w:val="87" w:id="-961836282"/>
                <w14:textFill>
                  <w14:solidFill>
                    <w14:srgbClr w14:val="000000">
                      <w14:alpha w14:val="100000"/>
                    </w14:srgbClr>
                  </w14:solidFill>
                </w14:textFill>
              </w:rPr>
              <w:t>|</w:t>
            </w:r>
            <w:r w:rsidR="00924D5E" w:rsidRPr="00924D5E">
              <w:rPr>
                <w:rFonts w:hint="eastAsia"/>
                <w:iCs/>
                <w:color w:val="000000"/>
                <w:spacing w:val="6"/>
                <w:w w:val="17"/>
                <w:szCs w:val="20"/>
                <w:shd w:val="solid" w:color="000000" w:fill="000000"/>
                <w:fitText w:val="87" w:id="-961836282"/>
                <w14:textFill>
                  <w14:solidFill>
                    <w14:srgbClr w14:val="000000">
                      <w14:alpha w14:val="100000"/>
                    </w14:srgbClr>
                  </w14:solidFill>
                </w14:textFill>
              </w:rPr>
              <w:t xml:space="preserve">　</w:t>
            </w:r>
          </w:p>
        </w:tc>
        <w:tc>
          <w:tcPr>
            <w:tcW w:w="704" w:type="pct"/>
            <w:shd w:val="clear" w:color="auto" w:fill="FFFFFF" w:themeFill="background1"/>
          </w:tcPr>
          <w:p w14:paraId="340CF1BB" w14:textId="2507DA58" w:rsidR="00BC4F56" w:rsidRPr="005A2772" w:rsidRDefault="00C11741" w:rsidP="00D221AB">
            <w:pPr>
              <w:pStyle w:val="TableText0"/>
              <w:keepLines/>
              <w:contextualSpacing/>
              <w:jc w:val="center"/>
              <w:rPr>
                <w:iCs/>
                <w:sz w:val="20"/>
                <w:szCs w:val="20"/>
              </w:rPr>
            </w:pPr>
            <w:r w:rsidRPr="005A2772">
              <w:rPr>
                <w:iCs/>
                <w:szCs w:val="20"/>
              </w:rPr>
              <w:t>0.78</w:t>
            </w:r>
          </w:p>
        </w:tc>
        <w:tc>
          <w:tcPr>
            <w:tcW w:w="551" w:type="pct"/>
            <w:shd w:val="clear" w:color="auto" w:fill="FFFFFF" w:themeFill="background1"/>
          </w:tcPr>
          <w:p w14:paraId="6FA252B2" w14:textId="551B0143" w:rsidR="00BC4F56" w:rsidRPr="005A2772" w:rsidRDefault="00C11741" w:rsidP="00D221AB">
            <w:pPr>
              <w:pStyle w:val="TableText0"/>
              <w:keepLines/>
              <w:contextualSpacing/>
              <w:jc w:val="center"/>
              <w:rPr>
                <w:iCs/>
                <w:sz w:val="20"/>
                <w:szCs w:val="20"/>
              </w:rPr>
            </w:pPr>
            <w:r w:rsidRPr="005A2772">
              <w:rPr>
                <w:iCs/>
                <w:szCs w:val="20"/>
              </w:rPr>
              <w:t>$</w:t>
            </w:r>
            <w:r w:rsidR="00924D5E" w:rsidRPr="00924D5E">
              <w:rPr>
                <w:iCs/>
                <w:color w:val="000000"/>
                <w:spacing w:val="169"/>
                <w:szCs w:val="20"/>
                <w:shd w:val="solid" w:color="000000" w:fill="000000"/>
                <w:fitText w:val="263" w:id="-961836281"/>
                <w14:textFill>
                  <w14:solidFill>
                    <w14:srgbClr w14:val="000000">
                      <w14:alpha w14:val="100000"/>
                    </w14:srgbClr>
                  </w14:solidFill>
                </w14:textFill>
              </w:rPr>
              <w:t>|</w:t>
            </w:r>
            <w:r w:rsidR="00924D5E" w:rsidRPr="00924D5E">
              <w:rPr>
                <w:iCs/>
                <w:color w:val="000000"/>
                <w:spacing w:val="1"/>
                <w:szCs w:val="20"/>
                <w:shd w:val="solid" w:color="000000" w:fill="000000"/>
                <w:fitText w:val="263" w:id="-961836281"/>
                <w14:textFill>
                  <w14:solidFill>
                    <w14:srgbClr w14:val="000000">
                      <w14:alpha w14:val="100000"/>
                    </w14:srgbClr>
                  </w14:solidFill>
                </w14:textFill>
              </w:rPr>
              <w:t>|</w:t>
            </w:r>
            <w:r w:rsidR="00341BD5">
              <w:rPr>
                <w:b/>
                <w:bCs w:val="0"/>
                <w:iCs/>
                <w:szCs w:val="20"/>
                <w:vertAlign w:val="superscript"/>
              </w:rPr>
              <w:t>2</w:t>
            </w:r>
          </w:p>
        </w:tc>
        <w:tc>
          <w:tcPr>
            <w:tcW w:w="915" w:type="pct"/>
            <w:shd w:val="clear" w:color="auto" w:fill="FFFFFF" w:themeFill="background1"/>
          </w:tcPr>
          <w:p w14:paraId="414B669B" w14:textId="37D0EDC4" w:rsidR="00BC4F56" w:rsidRPr="005A2772" w:rsidRDefault="00100C48" w:rsidP="00D221AB">
            <w:pPr>
              <w:pStyle w:val="TableText0"/>
              <w:keepLines/>
              <w:jc w:val="center"/>
              <w:rPr>
                <w:iCs/>
                <w:sz w:val="20"/>
                <w:szCs w:val="20"/>
              </w:rPr>
            </w:pPr>
            <w:r w:rsidRPr="005A2772">
              <w:rPr>
                <w:bCs w:val="0"/>
                <w:iCs/>
                <w:szCs w:val="20"/>
              </w:rPr>
              <w:t>-</w:t>
            </w:r>
            <w:r w:rsidRPr="005A2772">
              <w:rPr>
                <w:iCs/>
                <w:szCs w:val="20"/>
              </w:rPr>
              <w:t xml:space="preserve"> </w:t>
            </w:r>
            <w:r w:rsidR="00924D5E" w:rsidRPr="00924D5E">
              <w:rPr>
                <w:rFonts w:hint="eastAsia"/>
                <w:iCs/>
                <w:color w:val="000000"/>
                <w:w w:val="28"/>
                <w:szCs w:val="20"/>
                <w:shd w:val="solid" w:color="000000" w:fill="000000"/>
                <w:fitText w:val="137" w:id="-961836280"/>
                <w14:textFill>
                  <w14:solidFill>
                    <w14:srgbClr w14:val="000000">
                      <w14:alpha w14:val="100000"/>
                    </w14:srgbClr>
                  </w14:solidFill>
                </w14:textFill>
              </w:rPr>
              <w:t xml:space="preserve">　</w:t>
            </w:r>
            <w:r w:rsidR="00924D5E" w:rsidRPr="00924D5E">
              <w:rPr>
                <w:iCs/>
                <w:color w:val="000000"/>
                <w:w w:val="28"/>
                <w:szCs w:val="20"/>
                <w:shd w:val="solid" w:color="000000" w:fill="000000"/>
                <w:fitText w:val="137" w:id="-961836280"/>
                <w14:textFill>
                  <w14:solidFill>
                    <w14:srgbClr w14:val="000000">
                      <w14:alpha w14:val="100000"/>
                    </w14:srgbClr>
                  </w14:solidFill>
                </w14:textFill>
              </w:rPr>
              <w:t>|</w:t>
            </w:r>
            <w:r w:rsidR="00924D5E" w:rsidRPr="00924D5E">
              <w:rPr>
                <w:rFonts w:hint="eastAsia"/>
                <w:iCs/>
                <w:color w:val="000000"/>
                <w:spacing w:val="3"/>
                <w:w w:val="28"/>
                <w:szCs w:val="20"/>
                <w:shd w:val="solid" w:color="000000" w:fill="000000"/>
                <w:fitText w:val="137" w:id="-961836280"/>
                <w14:textFill>
                  <w14:solidFill>
                    <w14:srgbClr w14:val="000000">
                      <w14:alpha w14:val="100000"/>
                    </w14:srgbClr>
                  </w14:solidFill>
                </w14:textFill>
              </w:rPr>
              <w:t xml:space="preserve">　</w:t>
            </w:r>
            <w:r w:rsidR="002C3DF5" w:rsidRPr="005A2772">
              <w:rPr>
                <w:iCs/>
                <w:szCs w:val="20"/>
              </w:rPr>
              <w:t>%</w:t>
            </w:r>
          </w:p>
        </w:tc>
      </w:tr>
      <w:tr w:rsidR="00BC4F56" w:rsidRPr="00CD4FAB" w14:paraId="4F5A65C2" w14:textId="77777777" w:rsidTr="00F5399D">
        <w:tc>
          <w:tcPr>
            <w:tcW w:w="2149" w:type="pct"/>
            <w:shd w:val="clear" w:color="auto" w:fill="FFFFFF" w:themeFill="background1"/>
          </w:tcPr>
          <w:p w14:paraId="035AD5B9" w14:textId="77777777" w:rsidR="00BC4F56" w:rsidRPr="005A2772" w:rsidRDefault="00BC4F56" w:rsidP="00D221AB">
            <w:pPr>
              <w:pStyle w:val="TableText0"/>
              <w:keepLines/>
              <w:contextualSpacing/>
              <w:rPr>
                <w:iCs/>
                <w:sz w:val="20"/>
                <w:szCs w:val="20"/>
              </w:rPr>
            </w:pPr>
            <w:r w:rsidRPr="005A2772">
              <w:rPr>
                <w:iCs/>
                <w:szCs w:val="20"/>
              </w:rPr>
              <w:t>3.5%</w:t>
            </w:r>
          </w:p>
        </w:tc>
        <w:tc>
          <w:tcPr>
            <w:tcW w:w="681" w:type="pct"/>
            <w:shd w:val="clear" w:color="auto" w:fill="FFFFFF" w:themeFill="background1"/>
          </w:tcPr>
          <w:p w14:paraId="4EC5BD46" w14:textId="5F4172D8" w:rsidR="00BC4F56" w:rsidRPr="005A2772" w:rsidRDefault="00C11741" w:rsidP="00D221AB">
            <w:pPr>
              <w:pStyle w:val="TableText0"/>
              <w:keepLines/>
              <w:contextualSpacing/>
              <w:jc w:val="center"/>
              <w:rPr>
                <w:iCs/>
                <w:sz w:val="20"/>
                <w:szCs w:val="20"/>
              </w:rPr>
            </w:pPr>
            <w:r w:rsidRPr="005A2772">
              <w:rPr>
                <w:iCs/>
                <w:szCs w:val="20"/>
              </w:rPr>
              <w:t>$</w:t>
            </w:r>
            <w:r w:rsidR="00924D5E" w:rsidRPr="00924D5E">
              <w:rPr>
                <w:rFonts w:hint="eastAsia"/>
                <w:iCs/>
                <w:color w:val="000000"/>
                <w:w w:val="17"/>
                <w:szCs w:val="20"/>
                <w:shd w:val="solid" w:color="000000" w:fill="000000"/>
                <w:fitText w:val="87" w:id="-961836279"/>
                <w14:textFill>
                  <w14:solidFill>
                    <w14:srgbClr w14:val="000000">
                      <w14:alpha w14:val="100000"/>
                    </w14:srgbClr>
                  </w14:solidFill>
                </w14:textFill>
              </w:rPr>
              <w:t xml:space="preserve">　</w:t>
            </w:r>
            <w:r w:rsidR="00924D5E" w:rsidRPr="00924D5E">
              <w:rPr>
                <w:iCs/>
                <w:color w:val="000000"/>
                <w:w w:val="17"/>
                <w:szCs w:val="20"/>
                <w:shd w:val="solid" w:color="000000" w:fill="000000"/>
                <w:fitText w:val="87" w:id="-961836279"/>
                <w14:textFill>
                  <w14:solidFill>
                    <w14:srgbClr w14:val="000000">
                      <w14:alpha w14:val="100000"/>
                    </w14:srgbClr>
                  </w14:solidFill>
                </w14:textFill>
              </w:rPr>
              <w:t>|</w:t>
            </w:r>
            <w:r w:rsidR="00924D5E" w:rsidRPr="00924D5E">
              <w:rPr>
                <w:rFonts w:hint="eastAsia"/>
                <w:iCs/>
                <w:color w:val="000000"/>
                <w:spacing w:val="6"/>
                <w:w w:val="17"/>
                <w:szCs w:val="20"/>
                <w:shd w:val="solid" w:color="000000" w:fill="000000"/>
                <w:fitText w:val="87" w:id="-961836279"/>
                <w14:textFill>
                  <w14:solidFill>
                    <w14:srgbClr w14:val="000000">
                      <w14:alpha w14:val="100000"/>
                    </w14:srgbClr>
                  </w14:solidFill>
                </w14:textFill>
              </w:rPr>
              <w:t xml:space="preserve">　</w:t>
            </w:r>
          </w:p>
        </w:tc>
        <w:tc>
          <w:tcPr>
            <w:tcW w:w="704" w:type="pct"/>
            <w:shd w:val="clear" w:color="auto" w:fill="FFFFFF" w:themeFill="background1"/>
          </w:tcPr>
          <w:p w14:paraId="12FB0092" w14:textId="0916F2CB" w:rsidR="00BC4F56" w:rsidRPr="005A2772" w:rsidRDefault="00C11741" w:rsidP="00D221AB">
            <w:pPr>
              <w:pStyle w:val="TableText0"/>
              <w:keepLines/>
              <w:contextualSpacing/>
              <w:jc w:val="center"/>
              <w:rPr>
                <w:iCs/>
                <w:sz w:val="20"/>
                <w:szCs w:val="20"/>
              </w:rPr>
            </w:pPr>
            <w:r w:rsidRPr="005A2772">
              <w:rPr>
                <w:iCs/>
                <w:szCs w:val="20"/>
              </w:rPr>
              <w:t>0.58</w:t>
            </w:r>
          </w:p>
        </w:tc>
        <w:tc>
          <w:tcPr>
            <w:tcW w:w="551" w:type="pct"/>
            <w:shd w:val="clear" w:color="auto" w:fill="FFFFFF" w:themeFill="background1"/>
          </w:tcPr>
          <w:p w14:paraId="4251A839" w14:textId="34B0C329" w:rsidR="00BC4F56" w:rsidRPr="005A2772" w:rsidRDefault="00C11741" w:rsidP="00D221AB">
            <w:pPr>
              <w:pStyle w:val="TableText0"/>
              <w:keepLines/>
              <w:contextualSpacing/>
              <w:jc w:val="center"/>
              <w:rPr>
                <w:iCs/>
                <w:sz w:val="20"/>
                <w:szCs w:val="20"/>
              </w:rPr>
            </w:pPr>
            <w:r w:rsidRPr="005A2772">
              <w:rPr>
                <w:iCs/>
                <w:szCs w:val="20"/>
              </w:rPr>
              <w:t>$</w:t>
            </w:r>
            <w:r w:rsidR="00924D5E" w:rsidRPr="00924D5E">
              <w:rPr>
                <w:iCs/>
                <w:color w:val="000000"/>
                <w:spacing w:val="169"/>
                <w:szCs w:val="20"/>
                <w:shd w:val="solid" w:color="000000" w:fill="000000"/>
                <w:fitText w:val="263" w:id="-961836278"/>
                <w14:textFill>
                  <w14:solidFill>
                    <w14:srgbClr w14:val="000000">
                      <w14:alpha w14:val="100000"/>
                    </w14:srgbClr>
                  </w14:solidFill>
                </w14:textFill>
              </w:rPr>
              <w:t>|</w:t>
            </w:r>
            <w:r w:rsidR="00924D5E" w:rsidRPr="00924D5E">
              <w:rPr>
                <w:iCs/>
                <w:color w:val="000000"/>
                <w:spacing w:val="1"/>
                <w:szCs w:val="20"/>
                <w:shd w:val="solid" w:color="000000" w:fill="000000"/>
                <w:fitText w:val="263" w:id="-961836278"/>
                <w14:textFill>
                  <w14:solidFill>
                    <w14:srgbClr w14:val="000000">
                      <w14:alpha w14:val="100000"/>
                    </w14:srgbClr>
                  </w14:solidFill>
                </w14:textFill>
              </w:rPr>
              <w:t>|</w:t>
            </w:r>
            <w:r w:rsidR="00341BD5" w:rsidRPr="00162C9D">
              <w:rPr>
                <w:b/>
                <w:bCs w:val="0"/>
                <w:iCs/>
                <w:szCs w:val="20"/>
                <w:vertAlign w:val="superscript"/>
              </w:rPr>
              <w:t>1</w:t>
            </w:r>
          </w:p>
        </w:tc>
        <w:tc>
          <w:tcPr>
            <w:tcW w:w="915" w:type="pct"/>
            <w:shd w:val="clear" w:color="auto" w:fill="FFFFFF" w:themeFill="background1"/>
          </w:tcPr>
          <w:p w14:paraId="51AF5B9D" w14:textId="486D3FAE" w:rsidR="00BC4F56" w:rsidRPr="005A2772" w:rsidRDefault="00100C48" w:rsidP="00D221AB">
            <w:pPr>
              <w:pStyle w:val="TableText0"/>
              <w:keepLines/>
              <w:jc w:val="center"/>
              <w:rPr>
                <w:iCs/>
                <w:sz w:val="20"/>
                <w:szCs w:val="20"/>
              </w:rPr>
            </w:pPr>
            <w:r w:rsidRPr="005A2772">
              <w:rPr>
                <w:bCs w:val="0"/>
                <w:iCs/>
                <w:szCs w:val="20"/>
              </w:rPr>
              <w:t>-</w:t>
            </w:r>
            <w:r w:rsidRPr="005A2772">
              <w:rPr>
                <w:iCs/>
                <w:szCs w:val="20"/>
              </w:rPr>
              <w:t xml:space="preserve"> </w:t>
            </w:r>
            <w:r w:rsidR="00924D5E" w:rsidRPr="00924D5E">
              <w:rPr>
                <w:rFonts w:hint="eastAsia"/>
                <w:iCs/>
                <w:color w:val="000000"/>
                <w:w w:val="28"/>
                <w:szCs w:val="20"/>
                <w:shd w:val="solid" w:color="000000" w:fill="000000"/>
                <w:fitText w:val="137" w:id="-961836277"/>
                <w14:textFill>
                  <w14:solidFill>
                    <w14:srgbClr w14:val="000000">
                      <w14:alpha w14:val="100000"/>
                    </w14:srgbClr>
                  </w14:solidFill>
                </w14:textFill>
              </w:rPr>
              <w:t xml:space="preserve">　</w:t>
            </w:r>
            <w:r w:rsidR="00924D5E" w:rsidRPr="00924D5E">
              <w:rPr>
                <w:iCs/>
                <w:color w:val="000000"/>
                <w:w w:val="28"/>
                <w:szCs w:val="20"/>
                <w:shd w:val="solid" w:color="000000" w:fill="000000"/>
                <w:fitText w:val="137" w:id="-961836277"/>
                <w14:textFill>
                  <w14:solidFill>
                    <w14:srgbClr w14:val="000000">
                      <w14:alpha w14:val="100000"/>
                    </w14:srgbClr>
                  </w14:solidFill>
                </w14:textFill>
              </w:rPr>
              <w:t>|</w:t>
            </w:r>
            <w:r w:rsidR="00924D5E" w:rsidRPr="00924D5E">
              <w:rPr>
                <w:rFonts w:hint="eastAsia"/>
                <w:iCs/>
                <w:color w:val="000000"/>
                <w:spacing w:val="3"/>
                <w:w w:val="28"/>
                <w:szCs w:val="20"/>
                <w:shd w:val="solid" w:color="000000" w:fill="000000"/>
                <w:fitText w:val="137" w:id="-961836277"/>
                <w14:textFill>
                  <w14:solidFill>
                    <w14:srgbClr w14:val="000000">
                      <w14:alpha w14:val="100000"/>
                    </w14:srgbClr>
                  </w14:solidFill>
                </w14:textFill>
              </w:rPr>
              <w:t xml:space="preserve">　</w:t>
            </w:r>
            <w:r w:rsidR="002C3DF5" w:rsidRPr="005A2772">
              <w:rPr>
                <w:iCs/>
                <w:szCs w:val="20"/>
              </w:rPr>
              <w:t>%</w:t>
            </w:r>
          </w:p>
        </w:tc>
      </w:tr>
      <w:tr w:rsidR="00BC4F56" w:rsidRPr="00CD4FAB" w14:paraId="195F4859" w14:textId="77777777" w:rsidTr="001C7F26">
        <w:tc>
          <w:tcPr>
            <w:tcW w:w="5000" w:type="pct"/>
            <w:gridSpan w:val="5"/>
            <w:shd w:val="clear" w:color="auto" w:fill="FFFFFF" w:themeFill="background1"/>
          </w:tcPr>
          <w:p w14:paraId="77B5ED58" w14:textId="3FA1A03D" w:rsidR="00BC4F56" w:rsidRPr="005A2772" w:rsidRDefault="00BC4F56" w:rsidP="00D221AB">
            <w:pPr>
              <w:pStyle w:val="TableText0"/>
              <w:keepLines/>
              <w:rPr>
                <w:b/>
                <w:iCs/>
                <w:sz w:val="20"/>
                <w:szCs w:val="20"/>
              </w:rPr>
            </w:pPr>
            <w:r w:rsidRPr="005A2772">
              <w:rPr>
                <w:b/>
                <w:bCs w:val="0"/>
                <w:iCs/>
                <w:szCs w:val="20"/>
              </w:rPr>
              <w:t>One-off weighted costs applied to DM</w:t>
            </w:r>
            <w:r w:rsidR="00BE0B7D" w:rsidRPr="005A2772">
              <w:rPr>
                <w:b/>
                <w:bCs w:val="0"/>
                <w:iCs/>
                <w:szCs w:val="20"/>
              </w:rPr>
              <w:t xml:space="preserve"> for IO treatment</w:t>
            </w:r>
            <w:r w:rsidR="005513B5" w:rsidRPr="005A2772">
              <w:rPr>
                <w:b/>
                <w:bCs w:val="0"/>
                <w:iCs/>
                <w:szCs w:val="20"/>
              </w:rPr>
              <w:t xml:space="preserve"> in NeoChemo arm</w:t>
            </w:r>
            <w:r w:rsidRPr="005A2772">
              <w:rPr>
                <w:b/>
                <w:bCs w:val="0"/>
                <w:iCs/>
                <w:szCs w:val="20"/>
              </w:rPr>
              <w:t xml:space="preserve"> (base case = $</w:t>
            </w:r>
            <w:r w:rsidR="00924D5E" w:rsidRPr="00924D5E">
              <w:rPr>
                <w:b/>
                <w:bCs w:val="0"/>
                <w:iCs/>
                <w:color w:val="000000"/>
                <w:spacing w:val="61"/>
                <w:szCs w:val="20"/>
                <w:shd w:val="solid" w:color="000000" w:fill="000000"/>
                <w:fitText w:val="388" w:id="-961836276"/>
                <w14:textFill>
                  <w14:solidFill>
                    <w14:srgbClr w14:val="000000">
                      <w14:alpha w14:val="100000"/>
                    </w14:srgbClr>
                  </w14:solidFill>
                </w14:textFill>
              </w:rPr>
              <w:t>|||</w:t>
            </w:r>
            <w:r w:rsidR="00924D5E" w:rsidRPr="00924D5E">
              <w:rPr>
                <w:b/>
                <w:bCs w:val="0"/>
                <w:iCs/>
                <w:color w:val="000000"/>
                <w:spacing w:val="3"/>
                <w:szCs w:val="20"/>
                <w:shd w:val="solid" w:color="000000" w:fill="000000"/>
                <w:fitText w:val="388" w:id="-961836276"/>
                <w14:textFill>
                  <w14:solidFill>
                    <w14:srgbClr w14:val="000000">
                      <w14:alpha w14:val="100000"/>
                    </w14:srgbClr>
                  </w14:solidFill>
                </w14:textFill>
              </w:rPr>
              <w:t>|</w:t>
            </w:r>
            <w:r w:rsidRPr="005A2772">
              <w:rPr>
                <w:b/>
                <w:bCs w:val="0"/>
                <w:iCs/>
                <w:szCs w:val="20"/>
              </w:rPr>
              <w:t>)</w:t>
            </w:r>
          </w:p>
        </w:tc>
      </w:tr>
      <w:tr w:rsidR="00BC4F56" w:rsidRPr="00CD4FAB" w14:paraId="4DA2CEE3" w14:textId="77777777" w:rsidTr="00F5399D">
        <w:tc>
          <w:tcPr>
            <w:tcW w:w="2149" w:type="pct"/>
            <w:shd w:val="clear" w:color="auto" w:fill="FFFFFF" w:themeFill="background1"/>
          </w:tcPr>
          <w:p w14:paraId="5177EF9F" w14:textId="4FAC2CA6" w:rsidR="00BC4F56" w:rsidRPr="005A2772" w:rsidRDefault="00BC4F56" w:rsidP="00D221AB">
            <w:pPr>
              <w:pStyle w:val="TableText0"/>
              <w:keepLines/>
              <w:contextualSpacing/>
              <w:rPr>
                <w:iCs/>
                <w:sz w:val="20"/>
                <w:szCs w:val="20"/>
              </w:rPr>
            </w:pPr>
            <w:r w:rsidRPr="005A2772">
              <w:rPr>
                <w:iCs/>
                <w:szCs w:val="20"/>
              </w:rPr>
              <w:t>$</w:t>
            </w:r>
            <w:r w:rsidR="00924D5E" w:rsidRPr="00924D5E">
              <w:rPr>
                <w:iCs/>
                <w:color w:val="000000"/>
                <w:spacing w:val="54"/>
                <w:szCs w:val="20"/>
                <w:shd w:val="solid" w:color="000000" w:fill="000000"/>
                <w:fitText w:val="351" w:id="-961836275"/>
                <w14:textFill>
                  <w14:solidFill>
                    <w14:srgbClr w14:val="000000">
                      <w14:alpha w14:val="100000"/>
                    </w14:srgbClr>
                  </w14:solidFill>
                </w14:textFill>
              </w:rPr>
              <w:t>|||</w:t>
            </w:r>
            <w:r w:rsidR="00924D5E" w:rsidRPr="00924D5E">
              <w:rPr>
                <w:iCs/>
                <w:color w:val="000000"/>
                <w:spacing w:val="2"/>
                <w:szCs w:val="20"/>
                <w:shd w:val="solid" w:color="000000" w:fill="000000"/>
                <w:fitText w:val="351" w:id="-961836275"/>
                <w14:textFill>
                  <w14:solidFill>
                    <w14:srgbClr w14:val="000000">
                      <w14:alpha w14:val="100000"/>
                    </w14:srgbClr>
                  </w14:solidFill>
                </w14:textFill>
              </w:rPr>
              <w:t>|</w:t>
            </w:r>
          </w:p>
        </w:tc>
        <w:tc>
          <w:tcPr>
            <w:tcW w:w="681" w:type="pct"/>
            <w:shd w:val="clear" w:color="auto" w:fill="FFFFFF" w:themeFill="background1"/>
          </w:tcPr>
          <w:p w14:paraId="01309762" w14:textId="521351AF" w:rsidR="00BC4F56" w:rsidRPr="005A2772" w:rsidRDefault="00B33BE9" w:rsidP="00D221AB">
            <w:pPr>
              <w:pStyle w:val="TableText0"/>
              <w:keepLines/>
              <w:contextualSpacing/>
              <w:jc w:val="center"/>
              <w:rPr>
                <w:iCs/>
                <w:sz w:val="20"/>
                <w:szCs w:val="20"/>
              </w:rPr>
            </w:pPr>
            <w:r w:rsidRPr="005A2772">
              <w:rPr>
                <w:iCs/>
                <w:szCs w:val="20"/>
              </w:rPr>
              <w:t>$</w:t>
            </w:r>
            <w:r w:rsidR="00924D5E" w:rsidRPr="00924D5E">
              <w:rPr>
                <w:rFonts w:hint="eastAsia"/>
                <w:iCs/>
                <w:color w:val="000000"/>
                <w:w w:val="17"/>
                <w:szCs w:val="20"/>
                <w:shd w:val="solid" w:color="000000" w:fill="000000"/>
                <w:fitText w:val="87" w:id="-961836274"/>
                <w14:textFill>
                  <w14:solidFill>
                    <w14:srgbClr w14:val="000000">
                      <w14:alpha w14:val="100000"/>
                    </w14:srgbClr>
                  </w14:solidFill>
                </w14:textFill>
              </w:rPr>
              <w:t xml:space="preserve">　</w:t>
            </w:r>
            <w:r w:rsidR="00924D5E" w:rsidRPr="00924D5E">
              <w:rPr>
                <w:iCs/>
                <w:color w:val="000000"/>
                <w:w w:val="17"/>
                <w:szCs w:val="20"/>
                <w:shd w:val="solid" w:color="000000" w:fill="000000"/>
                <w:fitText w:val="87" w:id="-961836274"/>
                <w14:textFill>
                  <w14:solidFill>
                    <w14:srgbClr w14:val="000000">
                      <w14:alpha w14:val="100000"/>
                    </w14:srgbClr>
                  </w14:solidFill>
                </w14:textFill>
              </w:rPr>
              <w:t>|</w:t>
            </w:r>
            <w:r w:rsidR="00924D5E" w:rsidRPr="00924D5E">
              <w:rPr>
                <w:rFonts w:hint="eastAsia"/>
                <w:iCs/>
                <w:color w:val="000000"/>
                <w:spacing w:val="6"/>
                <w:w w:val="17"/>
                <w:szCs w:val="20"/>
                <w:shd w:val="solid" w:color="000000" w:fill="000000"/>
                <w:fitText w:val="87" w:id="-961836274"/>
                <w14:textFill>
                  <w14:solidFill>
                    <w14:srgbClr w14:val="000000">
                      <w14:alpha w14:val="100000"/>
                    </w14:srgbClr>
                  </w14:solidFill>
                </w14:textFill>
              </w:rPr>
              <w:t xml:space="preserve">　</w:t>
            </w:r>
          </w:p>
        </w:tc>
        <w:tc>
          <w:tcPr>
            <w:tcW w:w="704" w:type="pct"/>
            <w:shd w:val="clear" w:color="auto" w:fill="FFFFFF" w:themeFill="background1"/>
          </w:tcPr>
          <w:p w14:paraId="402C3E4D" w14:textId="59A71BB2" w:rsidR="00BC4F56" w:rsidRPr="005A2772" w:rsidRDefault="00B33BE9" w:rsidP="00D221AB">
            <w:pPr>
              <w:pStyle w:val="TableText0"/>
              <w:keepLines/>
              <w:contextualSpacing/>
              <w:jc w:val="center"/>
              <w:rPr>
                <w:iCs/>
                <w:sz w:val="20"/>
                <w:szCs w:val="20"/>
              </w:rPr>
            </w:pPr>
            <w:r w:rsidRPr="005A2772">
              <w:rPr>
                <w:iCs/>
                <w:szCs w:val="20"/>
              </w:rPr>
              <w:t>0.51</w:t>
            </w:r>
          </w:p>
        </w:tc>
        <w:tc>
          <w:tcPr>
            <w:tcW w:w="551" w:type="pct"/>
            <w:shd w:val="clear" w:color="auto" w:fill="FFFFFF" w:themeFill="background1"/>
          </w:tcPr>
          <w:p w14:paraId="7C5EF68C" w14:textId="6D170BCF" w:rsidR="00BC4F56" w:rsidRPr="005A2772" w:rsidRDefault="00B33BE9" w:rsidP="00D221AB">
            <w:pPr>
              <w:pStyle w:val="TableText0"/>
              <w:keepLines/>
              <w:contextualSpacing/>
              <w:jc w:val="center"/>
              <w:rPr>
                <w:rFonts w:ascii="Calibri" w:hAnsi="Calibri" w:cs="Calibri"/>
                <w:b/>
                <w:iCs/>
                <w:color w:val="000000"/>
                <w:sz w:val="20"/>
                <w:szCs w:val="20"/>
                <w:lang w:eastAsia="en-AU"/>
              </w:rPr>
            </w:pPr>
            <w:r w:rsidRPr="005A2772">
              <w:rPr>
                <w:iCs/>
                <w:szCs w:val="20"/>
              </w:rPr>
              <w:t>$</w:t>
            </w:r>
            <w:r w:rsidR="00924D5E" w:rsidRPr="00924D5E">
              <w:rPr>
                <w:iCs/>
                <w:color w:val="000000"/>
                <w:spacing w:val="169"/>
                <w:szCs w:val="20"/>
                <w:shd w:val="solid" w:color="000000" w:fill="000000"/>
                <w:fitText w:val="263" w:id="-961836273"/>
                <w14:textFill>
                  <w14:solidFill>
                    <w14:srgbClr w14:val="000000">
                      <w14:alpha w14:val="100000"/>
                    </w14:srgbClr>
                  </w14:solidFill>
                </w14:textFill>
              </w:rPr>
              <w:t>|</w:t>
            </w:r>
            <w:r w:rsidR="00924D5E" w:rsidRPr="00924D5E">
              <w:rPr>
                <w:iCs/>
                <w:color w:val="000000"/>
                <w:spacing w:val="1"/>
                <w:szCs w:val="20"/>
                <w:shd w:val="solid" w:color="000000" w:fill="000000"/>
                <w:fitText w:val="263" w:id="-961836273"/>
                <w14:textFill>
                  <w14:solidFill>
                    <w14:srgbClr w14:val="000000">
                      <w14:alpha w14:val="100000"/>
                    </w14:srgbClr>
                  </w14:solidFill>
                </w14:textFill>
              </w:rPr>
              <w:t>|</w:t>
            </w:r>
            <w:r w:rsidR="00341BD5">
              <w:rPr>
                <w:b/>
                <w:bCs w:val="0"/>
                <w:iCs/>
                <w:szCs w:val="20"/>
                <w:vertAlign w:val="superscript"/>
              </w:rPr>
              <w:t>3</w:t>
            </w:r>
          </w:p>
        </w:tc>
        <w:tc>
          <w:tcPr>
            <w:tcW w:w="915" w:type="pct"/>
            <w:shd w:val="clear" w:color="auto" w:fill="FFFFFF" w:themeFill="background1"/>
          </w:tcPr>
          <w:p w14:paraId="622557B6" w14:textId="2EDF048C" w:rsidR="00BC4F56" w:rsidRPr="005A2772" w:rsidRDefault="002C3DF5" w:rsidP="00D221AB">
            <w:pPr>
              <w:pStyle w:val="TableText0"/>
              <w:keepLines/>
              <w:jc w:val="center"/>
              <w:rPr>
                <w:iCs/>
                <w:sz w:val="20"/>
                <w:szCs w:val="20"/>
              </w:rPr>
            </w:pPr>
            <w:r w:rsidRPr="005A2772">
              <w:rPr>
                <w:iCs/>
                <w:szCs w:val="20"/>
              </w:rPr>
              <w:t>+</w:t>
            </w:r>
            <w:r w:rsidR="00100C48" w:rsidRPr="005A2772">
              <w:rPr>
                <w:iCs/>
                <w:szCs w:val="20"/>
              </w:rPr>
              <w:t xml:space="preserve"> </w:t>
            </w:r>
            <w:r w:rsidR="00924D5E" w:rsidRPr="00924D5E">
              <w:rPr>
                <w:iCs/>
                <w:color w:val="000000"/>
                <w:spacing w:val="69"/>
                <w:szCs w:val="20"/>
                <w:shd w:val="solid" w:color="000000" w:fill="000000"/>
                <w:fitText w:val="163" w:id="-961836272"/>
                <w14:textFill>
                  <w14:solidFill>
                    <w14:srgbClr w14:val="000000">
                      <w14:alpha w14:val="100000"/>
                    </w14:srgbClr>
                  </w14:solidFill>
                </w14:textFill>
              </w:rPr>
              <w:t>|</w:t>
            </w:r>
            <w:r w:rsidR="00924D5E" w:rsidRPr="00924D5E">
              <w:rPr>
                <w:iCs/>
                <w:color w:val="000000"/>
                <w:spacing w:val="1"/>
                <w:szCs w:val="20"/>
                <w:shd w:val="solid" w:color="000000" w:fill="000000"/>
                <w:fitText w:val="163" w:id="-961836272"/>
                <w14:textFill>
                  <w14:solidFill>
                    <w14:srgbClr w14:val="000000">
                      <w14:alpha w14:val="100000"/>
                    </w14:srgbClr>
                  </w14:solidFill>
                </w14:textFill>
              </w:rPr>
              <w:t>|</w:t>
            </w:r>
            <w:r w:rsidRPr="005A2772">
              <w:rPr>
                <w:iCs/>
                <w:szCs w:val="20"/>
              </w:rPr>
              <w:t>%</w:t>
            </w:r>
          </w:p>
        </w:tc>
      </w:tr>
      <w:tr w:rsidR="00BC4F56" w:rsidRPr="00CD4FAB" w14:paraId="08F27734" w14:textId="77777777" w:rsidTr="00F5399D">
        <w:tc>
          <w:tcPr>
            <w:tcW w:w="2149" w:type="pct"/>
            <w:shd w:val="clear" w:color="auto" w:fill="FFFFFF" w:themeFill="background1"/>
          </w:tcPr>
          <w:p w14:paraId="49953F27" w14:textId="23AE716F" w:rsidR="00BC4F56" w:rsidRPr="005A2772" w:rsidRDefault="00BC4F56" w:rsidP="00D221AB">
            <w:pPr>
              <w:pStyle w:val="TableText0"/>
              <w:keepLines/>
              <w:contextualSpacing/>
              <w:rPr>
                <w:iCs/>
                <w:sz w:val="20"/>
                <w:szCs w:val="20"/>
              </w:rPr>
            </w:pPr>
            <w:r w:rsidRPr="005A2772">
              <w:rPr>
                <w:iCs/>
                <w:szCs w:val="20"/>
              </w:rPr>
              <w:t>$</w:t>
            </w:r>
            <w:r w:rsidR="00924D5E" w:rsidRPr="00924D5E">
              <w:rPr>
                <w:iCs/>
                <w:color w:val="000000"/>
                <w:spacing w:val="54"/>
                <w:szCs w:val="20"/>
                <w:shd w:val="solid" w:color="000000" w:fill="000000"/>
                <w:fitText w:val="351" w:id="-961836288"/>
                <w14:textFill>
                  <w14:solidFill>
                    <w14:srgbClr w14:val="000000">
                      <w14:alpha w14:val="100000"/>
                    </w14:srgbClr>
                  </w14:solidFill>
                </w14:textFill>
              </w:rPr>
              <w:t>|||</w:t>
            </w:r>
            <w:r w:rsidR="00924D5E" w:rsidRPr="00924D5E">
              <w:rPr>
                <w:iCs/>
                <w:color w:val="000000"/>
                <w:spacing w:val="2"/>
                <w:szCs w:val="20"/>
                <w:shd w:val="solid" w:color="000000" w:fill="000000"/>
                <w:fitText w:val="351" w:id="-961836288"/>
                <w14:textFill>
                  <w14:solidFill>
                    <w14:srgbClr w14:val="000000">
                      <w14:alpha w14:val="100000"/>
                    </w14:srgbClr>
                  </w14:solidFill>
                </w14:textFill>
              </w:rPr>
              <w:t>|</w:t>
            </w:r>
          </w:p>
        </w:tc>
        <w:tc>
          <w:tcPr>
            <w:tcW w:w="681" w:type="pct"/>
            <w:shd w:val="clear" w:color="auto" w:fill="FFFFFF" w:themeFill="background1"/>
          </w:tcPr>
          <w:p w14:paraId="7DA4A065" w14:textId="0B1AF024" w:rsidR="00BC4F56" w:rsidRPr="005A2772" w:rsidRDefault="00B33BE9" w:rsidP="00D221AB">
            <w:pPr>
              <w:pStyle w:val="TableText0"/>
              <w:keepLines/>
              <w:contextualSpacing/>
              <w:jc w:val="center"/>
              <w:rPr>
                <w:iCs/>
                <w:sz w:val="20"/>
                <w:szCs w:val="20"/>
              </w:rPr>
            </w:pPr>
            <w:r w:rsidRPr="005A2772">
              <w:rPr>
                <w:iCs/>
                <w:szCs w:val="20"/>
              </w:rPr>
              <w:t>$</w:t>
            </w:r>
            <w:r w:rsidR="00924D5E" w:rsidRPr="00924D5E">
              <w:rPr>
                <w:rFonts w:hint="eastAsia"/>
                <w:iCs/>
                <w:color w:val="000000"/>
                <w:w w:val="17"/>
                <w:szCs w:val="20"/>
                <w:shd w:val="solid" w:color="000000" w:fill="000000"/>
                <w:fitText w:val="87" w:id="-961836287"/>
                <w14:textFill>
                  <w14:solidFill>
                    <w14:srgbClr w14:val="000000">
                      <w14:alpha w14:val="100000"/>
                    </w14:srgbClr>
                  </w14:solidFill>
                </w14:textFill>
              </w:rPr>
              <w:t xml:space="preserve">　</w:t>
            </w:r>
            <w:r w:rsidR="00924D5E" w:rsidRPr="00924D5E">
              <w:rPr>
                <w:iCs/>
                <w:color w:val="000000"/>
                <w:w w:val="17"/>
                <w:szCs w:val="20"/>
                <w:shd w:val="solid" w:color="000000" w:fill="000000"/>
                <w:fitText w:val="87" w:id="-961836287"/>
                <w14:textFill>
                  <w14:solidFill>
                    <w14:srgbClr w14:val="000000">
                      <w14:alpha w14:val="100000"/>
                    </w14:srgbClr>
                  </w14:solidFill>
                </w14:textFill>
              </w:rPr>
              <w:t>|</w:t>
            </w:r>
            <w:r w:rsidR="00924D5E" w:rsidRPr="00924D5E">
              <w:rPr>
                <w:rFonts w:hint="eastAsia"/>
                <w:iCs/>
                <w:color w:val="000000"/>
                <w:spacing w:val="6"/>
                <w:w w:val="17"/>
                <w:szCs w:val="20"/>
                <w:shd w:val="solid" w:color="000000" w:fill="000000"/>
                <w:fitText w:val="87" w:id="-961836287"/>
                <w14:textFill>
                  <w14:solidFill>
                    <w14:srgbClr w14:val="000000">
                      <w14:alpha w14:val="100000"/>
                    </w14:srgbClr>
                  </w14:solidFill>
                </w14:textFill>
              </w:rPr>
              <w:t xml:space="preserve">　</w:t>
            </w:r>
          </w:p>
        </w:tc>
        <w:tc>
          <w:tcPr>
            <w:tcW w:w="704" w:type="pct"/>
            <w:shd w:val="clear" w:color="auto" w:fill="FFFFFF" w:themeFill="background1"/>
          </w:tcPr>
          <w:p w14:paraId="2FAA2BBE" w14:textId="56E7E7AB" w:rsidR="00BC4F56" w:rsidRPr="005A2772" w:rsidRDefault="00B33BE9" w:rsidP="00D221AB">
            <w:pPr>
              <w:pStyle w:val="TableText0"/>
              <w:keepLines/>
              <w:contextualSpacing/>
              <w:jc w:val="center"/>
              <w:rPr>
                <w:iCs/>
                <w:sz w:val="20"/>
                <w:szCs w:val="20"/>
              </w:rPr>
            </w:pPr>
            <w:r w:rsidRPr="005A2772">
              <w:rPr>
                <w:iCs/>
                <w:szCs w:val="20"/>
              </w:rPr>
              <w:t>0.51</w:t>
            </w:r>
          </w:p>
        </w:tc>
        <w:tc>
          <w:tcPr>
            <w:tcW w:w="551" w:type="pct"/>
            <w:shd w:val="clear" w:color="auto" w:fill="FFFFFF" w:themeFill="background1"/>
          </w:tcPr>
          <w:p w14:paraId="2E5CE4FA" w14:textId="6DFD1A8C" w:rsidR="00BC4F56" w:rsidRPr="005A2772" w:rsidRDefault="00B33BE9" w:rsidP="00D221AB">
            <w:pPr>
              <w:pStyle w:val="TableText0"/>
              <w:keepLines/>
              <w:jc w:val="center"/>
              <w:rPr>
                <w:iCs/>
                <w:sz w:val="20"/>
                <w:szCs w:val="20"/>
              </w:rPr>
            </w:pPr>
            <w:r w:rsidRPr="005A2772">
              <w:rPr>
                <w:iCs/>
                <w:szCs w:val="20"/>
              </w:rPr>
              <w:t>$</w:t>
            </w:r>
            <w:r w:rsidR="00924D5E" w:rsidRPr="00924D5E">
              <w:rPr>
                <w:iCs/>
                <w:color w:val="000000"/>
                <w:spacing w:val="169"/>
                <w:szCs w:val="20"/>
                <w:shd w:val="solid" w:color="000000" w:fill="000000"/>
                <w:fitText w:val="263" w:id="-961836286"/>
                <w14:textFill>
                  <w14:solidFill>
                    <w14:srgbClr w14:val="000000">
                      <w14:alpha w14:val="100000"/>
                    </w14:srgbClr>
                  </w14:solidFill>
                </w14:textFill>
              </w:rPr>
              <w:t>|</w:t>
            </w:r>
            <w:r w:rsidR="00924D5E" w:rsidRPr="00924D5E">
              <w:rPr>
                <w:iCs/>
                <w:color w:val="000000"/>
                <w:spacing w:val="1"/>
                <w:szCs w:val="20"/>
                <w:shd w:val="solid" w:color="000000" w:fill="000000"/>
                <w:fitText w:val="263" w:id="-961836286"/>
                <w14:textFill>
                  <w14:solidFill>
                    <w14:srgbClr w14:val="000000">
                      <w14:alpha w14:val="100000"/>
                    </w14:srgbClr>
                  </w14:solidFill>
                </w14:textFill>
              </w:rPr>
              <w:t>|</w:t>
            </w:r>
            <w:r w:rsidR="00341BD5">
              <w:rPr>
                <w:b/>
                <w:bCs w:val="0"/>
                <w:iCs/>
                <w:szCs w:val="20"/>
                <w:vertAlign w:val="superscript"/>
              </w:rPr>
              <w:t>4</w:t>
            </w:r>
          </w:p>
        </w:tc>
        <w:tc>
          <w:tcPr>
            <w:tcW w:w="915" w:type="pct"/>
            <w:shd w:val="clear" w:color="auto" w:fill="FFFFFF" w:themeFill="background1"/>
          </w:tcPr>
          <w:p w14:paraId="3CC91334" w14:textId="35A73AC3" w:rsidR="00BC4F56" w:rsidRPr="005A2772" w:rsidRDefault="00100C48" w:rsidP="00D221AB">
            <w:pPr>
              <w:pStyle w:val="TableText0"/>
              <w:keepLines/>
              <w:jc w:val="center"/>
              <w:rPr>
                <w:iCs/>
                <w:sz w:val="20"/>
                <w:szCs w:val="20"/>
              </w:rPr>
            </w:pPr>
            <w:r w:rsidRPr="005A2772">
              <w:rPr>
                <w:bCs w:val="0"/>
                <w:iCs/>
                <w:szCs w:val="20"/>
              </w:rPr>
              <w:t>-</w:t>
            </w:r>
            <w:r w:rsidRPr="005A2772">
              <w:rPr>
                <w:iCs/>
                <w:szCs w:val="20"/>
              </w:rPr>
              <w:t xml:space="preserve"> </w:t>
            </w:r>
            <w:r w:rsidR="00924D5E" w:rsidRPr="00924D5E">
              <w:rPr>
                <w:rFonts w:hint="eastAsia"/>
                <w:iCs/>
                <w:color w:val="000000"/>
                <w:w w:val="28"/>
                <w:szCs w:val="20"/>
                <w:shd w:val="solid" w:color="000000" w:fill="000000"/>
                <w:fitText w:val="137" w:id="-961836285"/>
                <w14:textFill>
                  <w14:solidFill>
                    <w14:srgbClr w14:val="000000">
                      <w14:alpha w14:val="100000"/>
                    </w14:srgbClr>
                  </w14:solidFill>
                </w14:textFill>
              </w:rPr>
              <w:t xml:space="preserve">　</w:t>
            </w:r>
            <w:r w:rsidR="00924D5E" w:rsidRPr="00924D5E">
              <w:rPr>
                <w:iCs/>
                <w:color w:val="000000"/>
                <w:w w:val="28"/>
                <w:szCs w:val="20"/>
                <w:shd w:val="solid" w:color="000000" w:fill="000000"/>
                <w:fitText w:val="137" w:id="-961836285"/>
                <w14:textFill>
                  <w14:solidFill>
                    <w14:srgbClr w14:val="000000">
                      <w14:alpha w14:val="100000"/>
                    </w14:srgbClr>
                  </w14:solidFill>
                </w14:textFill>
              </w:rPr>
              <w:t>|</w:t>
            </w:r>
            <w:r w:rsidR="00924D5E" w:rsidRPr="00924D5E">
              <w:rPr>
                <w:rFonts w:hint="eastAsia"/>
                <w:iCs/>
                <w:color w:val="000000"/>
                <w:spacing w:val="3"/>
                <w:w w:val="28"/>
                <w:szCs w:val="20"/>
                <w:shd w:val="solid" w:color="000000" w:fill="000000"/>
                <w:fitText w:val="137" w:id="-961836285"/>
                <w14:textFill>
                  <w14:solidFill>
                    <w14:srgbClr w14:val="000000">
                      <w14:alpha w14:val="100000"/>
                    </w14:srgbClr>
                  </w14:solidFill>
                </w14:textFill>
              </w:rPr>
              <w:t xml:space="preserve">　</w:t>
            </w:r>
            <w:r w:rsidR="002C3DF5" w:rsidRPr="005A2772">
              <w:rPr>
                <w:iCs/>
                <w:szCs w:val="20"/>
              </w:rPr>
              <w:t>%</w:t>
            </w:r>
          </w:p>
        </w:tc>
      </w:tr>
      <w:tr w:rsidR="00BC4F56" w:rsidRPr="00CD4FAB" w14:paraId="4D94FBA8" w14:textId="77777777" w:rsidTr="001C7F26">
        <w:tc>
          <w:tcPr>
            <w:tcW w:w="5000" w:type="pct"/>
            <w:gridSpan w:val="5"/>
            <w:shd w:val="clear" w:color="auto" w:fill="FFFFFF" w:themeFill="background1"/>
          </w:tcPr>
          <w:p w14:paraId="58D3BA0A" w14:textId="5EED25B6" w:rsidR="00BC4F56" w:rsidRPr="005A2772" w:rsidRDefault="00BC4F56" w:rsidP="00D221AB">
            <w:pPr>
              <w:pStyle w:val="TableText0"/>
              <w:keepLines/>
              <w:rPr>
                <w:b/>
                <w:iCs/>
                <w:sz w:val="20"/>
                <w:szCs w:val="20"/>
              </w:rPr>
            </w:pPr>
            <w:r w:rsidRPr="005A2772">
              <w:rPr>
                <w:b/>
                <w:bCs w:val="0"/>
                <w:iCs/>
                <w:szCs w:val="20"/>
              </w:rPr>
              <w:t xml:space="preserve">One-off weighted QALYs applied to DM </w:t>
            </w:r>
            <w:r w:rsidR="00BE0B7D" w:rsidRPr="005A2772">
              <w:rPr>
                <w:b/>
                <w:bCs w:val="0"/>
                <w:iCs/>
                <w:szCs w:val="20"/>
              </w:rPr>
              <w:t>for</w:t>
            </w:r>
            <w:r w:rsidR="005513B5" w:rsidRPr="005A2772">
              <w:rPr>
                <w:b/>
                <w:bCs w:val="0"/>
                <w:iCs/>
                <w:szCs w:val="20"/>
              </w:rPr>
              <w:t xml:space="preserve"> </w:t>
            </w:r>
            <w:r w:rsidR="00BE0B7D" w:rsidRPr="005A2772">
              <w:rPr>
                <w:b/>
                <w:bCs w:val="0"/>
                <w:iCs/>
                <w:szCs w:val="20"/>
              </w:rPr>
              <w:t xml:space="preserve">IO treatment </w:t>
            </w:r>
            <w:r w:rsidR="005513B5" w:rsidRPr="005A2772">
              <w:rPr>
                <w:b/>
                <w:bCs w:val="0"/>
                <w:iCs/>
                <w:szCs w:val="20"/>
              </w:rPr>
              <w:t xml:space="preserve">in NeoChemo arm </w:t>
            </w:r>
            <w:r w:rsidRPr="005A2772">
              <w:rPr>
                <w:b/>
                <w:bCs w:val="0"/>
                <w:iCs/>
                <w:szCs w:val="20"/>
              </w:rPr>
              <w:t>(base case = 1.357)</w:t>
            </w:r>
          </w:p>
        </w:tc>
      </w:tr>
      <w:tr w:rsidR="00C11741" w:rsidRPr="00CD4FAB" w14:paraId="1E917C77" w14:textId="77777777" w:rsidTr="00F5399D">
        <w:tc>
          <w:tcPr>
            <w:tcW w:w="2149" w:type="pct"/>
            <w:shd w:val="clear" w:color="auto" w:fill="FFFFFF" w:themeFill="background1"/>
          </w:tcPr>
          <w:p w14:paraId="494A1C43" w14:textId="73E042D4" w:rsidR="00C11741" w:rsidRPr="005A2772" w:rsidRDefault="00C11741" w:rsidP="00D221AB">
            <w:pPr>
              <w:pStyle w:val="TableText0"/>
              <w:keepLines/>
              <w:contextualSpacing/>
              <w:rPr>
                <w:iCs/>
                <w:sz w:val="20"/>
                <w:szCs w:val="20"/>
              </w:rPr>
            </w:pPr>
            <w:r w:rsidRPr="005A2772">
              <w:rPr>
                <w:iCs/>
                <w:szCs w:val="20"/>
              </w:rPr>
              <w:t>1.00</w:t>
            </w:r>
          </w:p>
        </w:tc>
        <w:tc>
          <w:tcPr>
            <w:tcW w:w="681" w:type="pct"/>
            <w:shd w:val="clear" w:color="auto" w:fill="FFFFFF" w:themeFill="background1"/>
          </w:tcPr>
          <w:p w14:paraId="3B2B08C3" w14:textId="6FEE3791" w:rsidR="00C11741" w:rsidRPr="005A2772" w:rsidRDefault="00AC43A2" w:rsidP="00D221AB">
            <w:pPr>
              <w:pStyle w:val="TableText0"/>
              <w:keepLines/>
              <w:jc w:val="center"/>
              <w:rPr>
                <w:iCs/>
                <w:sz w:val="20"/>
                <w:szCs w:val="20"/>
              </w:rPr>
            </w:pPr>
            <w:r w:rsidRPr="005A2772">
              <w:rPr>
                <w:iCs/>
                <w:szCs w:val="20"/>
              </w:rPr>
              <w:t>$</w:t>
            </w:r>
            <w:r w:rsidR="00924D5E" w:rsidRPr="00924D5E">
              <w:rPr>
                <w:rFonts w:hint="eastAsia"/>
                <w:iCs/>
                <w:color w:val="000000"/>
                <w:w w:val="17"/>
                <w:szCs w:val="20"/>
                <w:shd w:val="solid" w:color="000000" w:fill="000000"/>
                <w:fitText w:val="87" w:id="-961836284"/>
                <w14:textFill>
                  <w14:solidFill>
                    <w14:srgbClr w14:val="000000">
                      <w14:alpha w14:val="100000"/>
                    </w14:srgbClr>
                  </w14:solidFill>
                </w14:textFill>
              </w:rPr>
              <w:t xml:space="preserve">　</w:t>
            </w:r>
            <w:r w:rsidR="00924D5E" w:rsidRPr="00924D5E">
              <w:rPr>
                <w:iCs/>
                <w:color w:val="000000"/>
                <w:w w:val="17"/>
                <w:szCs w:val="20"/>
                <w:shd w:val="solid" w:color="000000" w:fill="000000"/>
                <w:fitText w:val="87" w:id="-961836284"/>
                <w14:textFill>
                  <w14:solidFill>
                    <w14:srgbClr w14:val="000000">
                      <w14:alpha w14:val="100000"/>
                    </w14:srgbClr>
                  </w14:solidFill>
                </w14:textFill>
              </w:rPr>
              <w:t>|</w:t>
            </w:r>
            <w:r w:rsidR="00924D5E" w:rsidRPr="00924D5E">
              <w:rPr>
                <w:rFonts w:hint="eastAsia"/>
                <w:iCs/>
                <w:color w:val="000000"/>
                <w:spacing w:val="6"/>
                <w:w w:val="17"/>
                <w:szCs w:val="20"/>
                <w:shd w:val="solid" w:color="000000" w:fill="000000"/>
                <w:fitText w:val="87" w:id="-961836284"/>
                <w14:textFill>
                  <w14:solidFill>
                    <w14:srgbClr w14:val="000000">
                      <w14:alpha w14:val="100000"/>
                    </w14:srgbClr>
                  </w14:solidFill>
                </w14:textFill>
              </w:rPr>
              <w:t xml:space="preserve">　</w:t>
            </w:r>
          </w:p>
        </w:tc>
        <w:tc>
          <w:tcPr>
            <w:tcW w:w="704" w:type="pct"/>
            <w:shd w:val="clear" w:color="auto" w:fill="FFFFFF" w:themeFill="background1"/>
          </w:tcPr>
          <w:p w14:paraId="7CFBF32F" w14:textId="4D45BC4F" w:rsidR="00C11741" w:rsidRPr="005A2772" w:rsidRDefault="00AC43A2" w:rsidP="00D221AB">
            <w:pPr>
              <w:pStyle w:val="TableText0"/>
              <w:keepLines/>
              <w:jc w:val="center"/>
              <w:rPr>
                <w:iCs/>
                <w:sz w:val="20"/>
                <w:szCs w:val="20"/>
              </w:rPr>
            </w:pPr>
            <w:r w:rsidRPr="005A2772">
              <w:rPr>
                <w:iCs/>
                <w:szCs w:val="20"/>
              </w:rPr>
              <w:t>0.66</w:t>
            </w:r>
          </w:p>
        </w:tc>
        <w:tc>
          <w:tcPr>
            <w:tcW w:w="551" w:type="pct"/>
            <w:shd w:val="clear" w:color="auto" w:fill="FFFFFF" w:themeFill="background1"/>
          </w:tcPr>
          <w:p w14:paraId="68AD43D0" w14:textId="7863B219" w:rsidR="00C11741" w:rsidRPr="005A2772" w:rsidRDefault="00AC43A2" w:rsidP="00D221AB">
            <w:pPr>
              <w:pStyle w:val="TableText0"/>
              <w:keepLines/>
              <w:jc w:val="center"/>
              <w:rPr>
                <w:iCs/>
                <w:sz w:val="20"/>
                <w:szCs w:val="20"/>
              </w:rPr>
            </w:pPr>
            <w:r w:rsidRPr="005A2772">
              <w:rPr>
                <w:iCs/>
                <w:szCs w:val="20"/>
              </w:rPr>
              <w:t>$</w:t>
            </w:r>
            <w:r w:rsidR="00924D5E" w:rsidRPr="00924D5E">
              <w:rPr>
                <w:iCs/>
                <w:color w:val="000000"/>
                <w:spacing w:val="169"/>
                <w:szCs w:val="20"/>
                <w:shd w:val="solid" w:color="000000" w:fill="000000"/>
                <w:fitText w:val="263" w:id="-961836283"/>
                <w14:textFill>
                  <w14:solidFill>
                    <w14:srgbClr w14:val="000000">
                      <w14:alpha w14:val="100000"/>
                    </w14:srgbClr>
                  </w14:solidFill>
                </w14:textFill>
              </w:rPr>
              <w:t>|</w:t>
            </w:r>
            <w:r w:rsidR="00924D5E" w:rsidRPr="00924D5E">
              <w:rPr>
                <w:iCs/>
                <w:color w:val="000000"/>
                <w:spacing w:val="1"/>
                <w:szCs w:val="20"/>
                <w:shd w:val="solid" w:color="000000" w:fill="000000"/>
                <w:fitText w:val="263" w:id="-961836283"/>
                <w14:textFill>
                  <w14:solidFill>
                    <w14:srgbClr w14:val="000000">
                      <w14:alpha w14:val="100000"/>
                    </w14:srgbClr>
                  </w14:solidFill>
                </w14:textFill>
              </w:rPr>
              <w:t>|</w:t>
            </w:r>
            <w:r w:rsidR="00341BD5">
              <w:rPr>
                <w:b/>
                <w:bCs w:val="0"/>
                <w:iCs/>
                <w:szCs w:val="20"/>
                <w:vertAlign w:val="superscript"/>
              </w:rPr>
              <w:t>2</w:t>
            </w:r>
          </w:p>
        </w:tc>
        <w:tc>
          <w:tcPr>
            <w:tcW w:w="915" w:type="pct"/>
            <w:shd w:val="clear" w:color="auto" w:fill="FFFFFF" w:themeFill="background1"/>
          </w:tcPr>
          <w:p w14:paraId="5A0F7893" w14:textId="3F1D40EF" w:rsidR="00C11741" w:rsidRPr="005A2772" w:rsidRDefault="00100C48" w:rsidP="00D221AB">
            <w:pPr>
              <w:pStyle w:val="TableText0"/>
              <w:keepLines/>
              <w:jc w:val="center"/>
              <w:rPr>
                <w:iCs/>
                <w:sz w:val="20"/>
                <w:szCs w:val="20"/>
              </w:rPr>
            </w:pPr>
            <w:r w:rsidRPr="005A2772">
              <w:rPr>
                <w:bCs w:val="0"/>
                <w:iCs/>
                <w:szCs w:val="20"/>
              </w:rPr>
              <w:t>-</w:t>
            </w:r>
            <w:r w:rsidRPr="005A2772">
              <w:rPr>
                <w:iCs/>
                <w:szCs w:val="20"/>
              </w:rPr>
              <w:t xml:space="preserve"> </w:t>
            </w:r>
            <w:r w:rsidR="00924D5E" w:rsidRPr="00924D5E">
              <w:rPr>
                <w:rFonts w:hint="eastAsia"/>
                <w:iCs/>
                <w:color w:val="000000"/>
                <w:w w:val="28"/>
                <w:szCs w:val="20"/>
                <w:shd w:val="solid" w:color="000000" w:fill="000000"/>
                <w:fitText w:val="137" w:id="-961836282"/>
                <w14:textFill>
                  <w14:solidFill>
                    <w14:srgbClr w14:val="000000">
                      <w14:alpha w14:val="100000"/>
                    </w14:srgbClr>
                  </w14:solidFill>
                </w14:textFill>
              </w:rPr>
              <w:t xml:space="preserve">　</w:t>
            </w:r>
            <w:r w:rsidR="00924D5E" w:rsidRPr="00924D5E">
              <w:rPr>
                <w:iCs/>
                <w:color w:val="000000"/>
                <w:w w:val="28"/>
                <w:szCs w:val="20"/>
                <w:shd w:val="solid" w:color="000000" w:fill="000000"/>
                <w:fitText w:val="137" w:id="-961836282"/>
                <w14:textFill>
                  <w14:solidFill>
                    <w14:srgbClr w14:val="000000">
                      <w14:alpha w14:val="100000"/>
                    </w14:srgbClr>
                  </w14:solidFill>
                </w14:textFill>
              </w:rPr>
              <w:t>|</w:t>
            </w:r>
            <w:r w:rsidR="00924D5E" w:rsidRPr="00924D5E">
              <w:rPr>
                <w:rFonts w:hint="eastAsia"/>
                <w:iCs/>
                <w:color w:val="000000"/>
                <w:spacing w:val="3"/>
                <w:w w:val="28"/>
                <w:szCs w:val="20"/>
                <w:shd w:val="solid" w:color="000000" w:fill="000000"/>
                <w:fitText w:val="137" w:id="-961836282"/>
                <w14:textFill>
                  <w14:solidFill>
                    <w14:srgbClr w14:val="000000">
                      <w14:alpha w14:val="100000"/>
                    </w14:srgbClr>
                  </w14:solidFill>
                </w14:textFill>
              </w:rPr>
              <w:t xml:space="preserve">　</w:t>
            </w:r>
            <w:r w:rsidR="002C3DF5" w:rsidRPr="005A2772">
              <w:rPr>
                <w:iCs/>
                <w:szCs w:val="20"/>
              </w:rPr>
              <w:t>%</w:t>
            </w:r>
          </w:p>
        </w:tc>
      </w:tr>
      <w:tr w:rsidR="00C11741" w:rsidRPr="00CD4FAB" w14:paraId="5A7E0747" w14:textId="77777777" w:rsidTr="00F5399D">
        <w:tc>
          <w:tcPr>
            <w:tcW w:w="2149" w:type="pct"/>
            <w:shd w:val="clear" w:color="auto" w:fill="FFFFFF" w:themeFill="background1"/>
          </w:tcPr>
          <w:p w14:paraId="6DA54DD9" w14:textId="3127DA87" w:rsidR="00C11741" w:rsidRPr="005A2772" w:rsidRDefault="00C11741" w:rsidP="00D221AB">
            <w:pPr>
              <w:pStyle w:val="TableText0"/>
              <w:keepLines/>
              <w:contextualSpacing/>
              <w:rPr>
                <w:iCs/>
                <w:sz w:val="20"/>
                <w:szCs w:val="20"/>
              </w:rPr>
            </w:pPr>
            <w:r w:rsidRPr="005A2772">
              <w:rPr>
                <w:iCs/>
                <w:szCs w:val="20"/>
              </w:rPr>
              <w:t>1.80</w:t>
            </w:r>
          </w:p>
        </w:tc>
        <w:tc>
          <w:tcPr>
            <w:tcW w:w="681" w:type="pct"/>
            <w:shd w:val="clear" w:color="auto" w:fill="FFFFFF" w:themeFill="background1"/>
          </w:tcPr>
          <w:p w14:paraId="79A88287" w14:textId="4A6919FD" w:rsidR="00C11741" w:rsidRPr="005A2772" w:rsidRDefault="00AC43A2" w:rsidP="00D221AB">
            <w:pPr>
              <w:pStyle w:val="TableText0"/>
              <w:keepLines/>
              <w:jc w:val="center"/>
              <w:rPr>
                <w:iCs/>
                <w:sz w:val="20"/>
                <w:szCs w:val="20"/>
              </w:rPr>
            </w:pPr>
            <w:r w:rsidRPr="005A2772">
              <w:rPr>
                <w:iCs/>
                <w:szCs w:val="20"/>
              </w:rPr>
              <w:t>$</w:t>
            </w:r>
            <w:r w:rsidR="00924D5E" w:rsidRPr="00924D5E">
              <w:rPr>
                <w:rFonts w:hint="eastAsia"/>
                <w:iCs/>
                <w:color w:val="000000"/>
                <w:w w:val="17"/>
                <w:szCs w:val="20"/>
                <w:shd w:val="solid" w:color="000000" w:fill="000000"/>
                <w:fitText w:val="87" w:id="-961836281"/>
                <w14:textFill>
                  <w14:solidFill>
                    <w14:srgbClr w14:val="000000">
                      <w14:alpha w14:val="100000"/>
                    </w14:srgbClr>
                  </w14:solidFill>
                </w14:textFill>
              </w:rPr>
              <w:t xml:space="preserve">　</w:t>
            </w:r>
            <w:r w:rsidR="00924D5E" w:rsidRPr="00924D5E">
              <w:rPr>
                <w:iCs/>
                <w:color w:val="000000"/>
                <w:w w:val="17"/>
                <w:szCs w:val="20"/>
                <w:shd w:val="solid" w:color="000000" w:fill="000000"/>
                <w:fitText w:val="87" w:id="-961836281"/>
                <w14:textFill>
                  <w14:solidFill>
                    <w14:srgbClr w14:val="000000">
                      <w14:alpha w14:val="100000"/>
                    </w14:srgbClr>
                  </w14:solidFill>
                </w14:textFill>
              </w:rPr>
              <w:t>|</w:t>
            </w:r>
            <w:r w:rsidR="00924D5E" w:rsidRPr="00924D5E">
              <w:rPr>
                <w:rFonts w:hint="eastAsia"/>
                <w:iCs/>
                <w:color w:val="000000"/>
                <w:spacing w:val="6"/>
                <w:w w:val="17"/>
                <w:szCs w:val="20"/>
                <w:shd w:val="solid" w:color="000000" w:fill="000000"/>
                <w:fitText w:val="87" w:id="-961836281"/>
                <w14:textFill>
                  <w14:solidFill>
                    <w14:srgbClr w14:val="000000">
                      <w14:alpha w14:val="100000"/>
                    </w14:srgbClr>
                  </w14:solidFill>
                </w14:textFill>
              </w:rPr>
              <w:t xml:space="preserve">　</w:t>
            </w:r>
          </w:p>
        </w:tc>
        <w:tc>
          <w:tcPr>
            <w:tcW w:w="704" w:type="pct"/>
            <w:shd w:val="clear" w:color="auto" w:fill="FFFFFF" w:themeFill="background1"/>
          </w:tcPr>
          <w:p w14:paraId="50A46942" w14:textId="5525ED50" w:rsidR="00C11741" w:rsidRPr="005A2772" w:rsidRDefault="00AC43A2" w:rsidP="00D221AB">
            <w:pPr>
              <w:pStyle w:val="TableText0"/>
              <w:keepLines/>
              <w:jc w:val="center"/>
              <w:rPr>
                <w:iCs/>
                <w:sz w:val="20"/>
                <w:szCs w:val="20"/>
              </w:rPr>
            </w:pPr>
            <w:r w:rsidRPr="005A2772">
              <w:rPr>
                <w:iCs/>
                <w:szCs w:val="20"/>
              </w:rPr>
              <w:t>0.31</w:t>
            </w:r>
          </w:p>
        </w:tc>
        <w:tc>
          <w:tcPr>
            <w:tcW w:w="551" w:type="pct"/>
            <w:shd w:val="clear" w:color="auto" w:fill="FFFFFF" w:themeFill="background1"/>
          </w:tcPr>
          <w:p w14:paraId="4E66D853" w14:textId="1DEE4737" w:rsidR="00C11741" w:rsidRPr="005A2772" w:rsidRDefault="00AC43A2" w:rsidP="00D221AB">
            <w:pPr>
              <w:pStyle w:val="TableText0"/>
              <w:keepLines/>
              <w:jc w:val="center"/>
              <w:rPr>
                <w:iCs/>
                <w:sz w:val="20"/>
                <w:szCs w:val="20"/>
              </w:rPr>
            </w:pPr>
            <w:r w:rsidRPr="005A2772">
              <w:rPr>
                <w:iCs/>
                <w:szCs w:val="20"/>
              </w:rPr>
              <w:t>$</w:t>
            </w:r>
            <w:r w:rsidR="00924D5E" w:rsidRPr="00924D5E">
              <w:rPr>
                <w:iCs/>
                <w:color w:val="000000"/>
                <w:spacing w:val="169"/>
                <w:szCs w:val="20"/>
                <w:shd w:val="solid" w:color="000000" w:fill="000000"/>
                <w:fitText w:val="263" w:id="-961836280"/>
                <w14:textFill>
                  <w14:solidFill>
                    <w14:srgbClr w14:val="000000">
                      <w14:alpha w14:val="100000"/>
                    </w14:srgbClr>
                  </w14:solidFill>
                </w14:textFill>
              </w:rPr>
              <w:t>|</w:t>
            </w:r>
            <w:r w:rsidR="00924D5E" w:rsidRPr="00924D5E">
              <w:rPr>
                <w:iCs/>
                <w:color w:val="000000"/>
                <w:spacing w:val="1"/>
                <w:szCs w:val="20"/>
                <w:shd w:val="solid" w:color="000000" w:fill="000000"/>
                <w:fitText w:val="263" w:id="-961836280"/>
                <w14:textFill>
                  <w14:solidFill>
                    <w14:srgbClr w14:val="000000">
                      <w14:alpha w14:val="100000"/>
                    </w14:srgbClr>
                  </w14:solidFill>
                </w14:textFill>
              </w:rPr>
              <w:t>|</w:t>
            </w:r>
            <w:r w:rsidR="00341BD5">
              <w:rPr>
                <w:b/>
                <w:bCs w:val="0"/>
                <w:iCs/>
                <w:szCs w:val="20"/>
                <w:vertAlign w:val="superscript"/>
              </w:rPr>
              <w:t>3</w:t>
            </w:r>
          </w:p>
        </w:tc>
        <w:tc>
          <w:tcPr>
            <w:tcW w:w="915" w:type="pct"/>
            <w:shd w:val="clear" w:color="auto" w:fill="FFFFFF" w:themeFill="background1"/>
          </w:tcPr>
          <w:p w14:paraId="5A85CFB4" w14:textId="3C63974D" w:rsidR="00C11741" w:rsidRPr="005A2772" w:rsidRDefault="002C3DF5" w:rsidP="00D221AB">
            <w:pPr>
              <w:pStyle w:val="TableText0"/>
              <w:keepLines/>
              <w:jc w:val="center"/>
              <w:rPr>
                <w:iCs/>
                <w:sz w:val="20"/>
                <w:szCs w:val="20"/>
              </w:rPr>
            </w:pPr>
            <w:r w:rsidRPr="005A2772">
              <w:rPr>
                <w:iCs/>
                <w:szCs w:val="20"/>
              </w:rPr>
              <w:t>+</w:t>
            </w:r>
            <w:r w:rsidR="00100C48" w:rsidRPr="005A2772">
              <w:rPr>
                <w:iCs/>
                <w:szCs w:val="20"/>
              </w:rPr>
              <w:t xml:space="preserve"> </w:t>
            </w:r>
            <w:r w:rsidR="00924D5E" w:rsidRPr="00924D5E">
              <w:rPr>
                <w:iCs/>
                <w:color w:val="000000"/>
                <w:spacing w:val="69"/>
                <w:szCs w:val="20"/>
                <w:shd w:val="solid" w:color="000000" w:fill="000000"/>
                <w:fitText w:val="163" w:id="-961836279"/>
                <w14:textFill>
                  <w14:solidFill>
                    <w14:srgbClr w14:val="000000">
                      <w14:alpha w14:val="100000"/>
                    </w14:srgbClr>
                  </w14:solidFill>
                </w14:textFill>
              </w:rPr>
              <w:t>|</w:t>
            </w:r>
            <w:r w:rsidR="00924D5E" w:rsidRPr="00924D5E">
              <w:rPr>
                <w:iCs/>
                <w:color w:val="000000"/>
                <w:spacing w:val="1"/>
                <w:szCs w:val="20"/>
                <w:shd w:val="solid" w:color="000000" w:fill="000000"/>
                <w:fitText w:val="163" w:id="-961836279"/>
                <w14:textFill>
                  <w14:solidFill>
                    <w14:srgbClr w14:val="000000">
                      <w14:alpha w14:val="100000"/>
                    </w14:srgbClr>
                  </w14:solidFill>
                </w14:textFill>
              </w:rPr>
              <w:t>|</w:t>
            </w:r>
            <w:r w:rsidRPr="005A2772">
              <w:rPr>
                <w:iCs/>
                <w:szCs w:val="20"/>
              </w:rPr>
              <w:t>%</w:t>
            </w:r>
          </w:p>
        </w:tc>
      </w:tr>
      <w:tr w:rsidR="00BC4F56" w:rsidRPr="00CD4FAB" w14:paraId="423FCAAB" w14:textId="77777777" w:rsidTr="00D221AB">
        <w:tc>
          <w:tcPr>
            <w:tcW w:w="5000" w:type="pct"/>
            <w:gridSpan w:val="5"/>
            <w:shd w:val="clear" w:color="auto" w:fill="FFFFFF" w:themeFill="background1"/>
            <w:vAlign w:val="center"/>
          </w:tcPr>
          <w:p w14:paraId="2FEA154C" w14:textId="6E0350A8" w:rsidR="00BC4F56" w:rsidRPr="005A2772" w:rsidRDefault="00B33BE9" w:rsidP="00D221AB">
            <w:pPr>
              <w:pStyle w:val="TableText0"/>
              <w:keepLines/>
              <w:rPr>
                <w:b/>
                <w:bCs w:val="0"/>
                <w:iCs/>
                <w:sz w:val="20"/>
                <w:szCs w:val="20"/>
              </w:rPr>
            </w:pPr>
            <w:r w:rsidRPr="005A2772">
              <w:rPr>
                <w:b/>
                <w:bCs w:val="0"/>
                <w:iCs/>
                <w:szCs w:val="20"/>
              </w:rPr>
              <w:t xml:space="preserve">Cost of nivolumab (base case = </w:t>
            </w:r>
            <w:r w:rsidR="002C3DF5" w:rsidRPr="005A2772">
              <w:rPr>
                <w:b/>
                <w:bCs w:val="0"/>
                <w:iCs/>
                <w:szCs w:val="20"/>
              </w:rPr>
              <w:t>$</w:t>
            </w:r>
            <w:r w:rsidR="00924D5E" w:rsidRPr="00924D5E">
              <w:rPr>
                <w:b/>
                <w:bCs w:val="0"/>
                <w:iCs/>
                <w:color w:val="000000"/>
                <w:spacing w:val="61"/>
                <w:szCs w:val="20"/>
                <w:shd w:val="solid" w:color="000000" w:fill="000000"/>
                <w:fitText w:val="388" w:id="-961836278"/>
                <w14:textFill>
                  <w14:solidFill>
                    <w14:srgbClr w14:val="000000">
                      <w14:alpha w14:val="100000"/>
                    </w14:srgbClr>
                  </w14:solidFill>
                </w14:textFill>
              </w:rPr>
              <w:t>|||</w:t>
            </w:r>
            <w:r w:rsidR="00924D5E" w:rsidRPr="00924D5E">
              <w:rPr>
                <w:b/>
                <w:bCs w:val="0"/>
                <w:iCs/>
                <w:color w:val="000000"/>
                <w:spacing w:val="3"/>
                <w:szCs w:val="20"/>
                <w:shd w:val="solid" w:color="000000" w:fill="000000"/>
                <w:fitText w:val="388" w:id="-961836278"/>
                <w14:textFill>
                  <w14:solidFill>
                    <w14:srgbClr w14:val="000000">
                      <w14:alpha w14:val="100000"/>
                    </w14:srgbClr>
                  </w14:solidFill>
                </w14:textFill>
              </w:rPr>
              <w:t>|</w:t>
            </w:r>
            <w:r w:rsidR="002C3DF5" w:rsidRPr="005A2772">
              <w:rPr>
                <w:b/>
                <w:bCs w:val="0"/>
                <w:iCs/>
                <w:szCs w:val="20"/>
              </w:rPr>
              <w:t xml:space="preserve"> per 100 mg</w:t>
            </w:r>
            <w:r w:rsidR="004C7C7A" w:rsidRPr="005A2772">
              <w:rPr>
                <w:b/>
                <w:bCs w:val="0"/>
                <w:iCs/>
                <w:szCs w:val="20"/>
              </w:rPr>
              <w:t>, ex-manufacturer price</w:t>
            </w:r>
            <w:r w:rsidRPr="005A2772">
              <w:rPr>
                <w:b/>
                <w:bCs w:val="0"/>
                <w:iCs/>
                <w:szCs w:val="20"/>
              </w:rPr>
              <w:t>)</w:t>
            </w:r>
          </w:p>
        </w:tc>
      </w:tr>
      <w:tr w:rsidR="00B33BE9" w:rsidRPr="00CD4FAB" w14:paraId="3B289624" w14:textId="77777777" w:rsidTr="00F5399D">
        <w:tc>
          <w:tcPr>
            <w:tcW w:w="2149" w:type="pct"/>
            <w:shd w:val="clear" w:color="auto" w:fill="FFFFFF" w:themeFill="background1"/>
          </w:tcPr>
          <w:p w14:paraId="7F64E907" w14:textId="5B72823A" w:rsidR="00B33BE9" w:rsidRPr="005A2772" w:rsidRDefault="002C3DF5" w:rsidP="00D221AB">
            <w:pPr>
              <w:pStyle w:val="TableText0"/>
              <w:keepLines/>
              <w:contextualSpacing/>
              <w:rPr>
                <w:iCs/>
                <w:sz w:val="20"/>
                <w:szCs w:val="20"/>
              </w:rPr>
            </w:pPr>
            <w:r w:rsidRPr="005A2772">
              <w:rPr>
                <w:iCs/>
                <w:szCs w:val="20"/>
              </w:rPr>
              <w:t>$</w:t>
            </w:r>
            <w:r w:rsidR="00924D5E" w:rsidRPr="00924D5E">
              <w:rPr>
                <w:iCs/>
                <w:color w:val="000000"/>
                <w:spacing w:val="54"/>
                <w:szCs w:val="20"/>
                <w:shd w:val="solid" w:color="000000" w:fill="000000"/>
                <w:fitText w:val="351" w:id="-961836277"/>
                <w14:textFill>
                  <w14:solidFill>
                    <w14:srgbClr w14:val="000000">
                      <w14:alpha w14:val="100000"/>
                    </w14:srgbClr>
                  </w14:solidFill>
                </w14:textFill>
              </w:rPr>
              <w:t>|||</w:t>
            </w:r>
            <w:r w:rsidR="00924D5E" w:rsidRPr="00924D5E">
              <w:rPr>
                <w:iCs/>
                <w:color w:val="000000"/>
                <w:spacing w:val="2"/>
                <w:szCs w:val="20"/>
                <w:shd w:val="solid" w:color="000000" w:fill="000000"/>
                <w:fitText w:val="351" w:id="-961836277"/>
                <w14:textFill>
                  <w14:solidFill>
                    <w14:srgbClr w14:val="000000">
                      <w14:alpha w14:val="100000"/>
                    </w14:srgbClr>
                  </w14:solidFill>
                </w14:textFill>
              </w:rPr>
              <w:t>|</w:t>
            </w:r>
            <w:r w:rsidRPr="005A2772">
              <w:rPr>
                <w:iCs/>
                <w:szCs w:val="20"/>
              </w:rPr>
              <w:t xml:space="preserve"> per 100 mg</w:t>
            </w:r>
          </w:p>
        </w:tc>
        <w:tc>
          <w:tcPr>
            <w:tcW w:w="681" w:type="pct"/>
            <w:shd w:val="clear" w:color="auto" w:fill="FFFFFF" w:themeFill="background1"/>
          </w:tcPr>
          <w:p w14:paraId="5D4CB650" w14:textId="37BAF06E" w:rsidR="00B33BE9" w:rsidRPr="005A2772" w:rsidRDefault="002C3DF5" w:rsidP="00D221AB">
            <w:pPr>
              <w:pStyle w:val="TableText0"/>
              <w:keepLines/>
              <w:jc w:val="center"/>
              <w:rPr>
                <w:iCs/>
                <w:sz w:val="20"/>
                <w:szCs w:val="20"/>
              </w:rPr>
            </w:pPr>
            <w:r w:rsidRPr="005A2772">
              <w:rPr>
                <w:iCs/>
                <w:szCs w:val="20"/>
              </w:rPr>
              <w:t>$</w:t>
            </w:r>
            <w:r w:rsidR="00924D5E" w:rsidRPr="00924D5E">
              <w:rPr>
                <w:rFonts w:hint="eastAsia"/>
                <w:iCs/>
                <w:color w:val="000000"/>
                <w:w w:val="17"/>
                <w:szCs w:val="20"/>
                <w:shd w:val="solid" w:color="000000" w:fill="000000"/>
                <w:fitText w:val="87" w:id="-961836276"/>
                <w14:textFill>
                  <w14:solidFill>
                    <w14:srgbClr w14:val="000000">
                      <w14:alpha w14:val="100000"/>
                    </w14:srgbClr>
                  </w14:solidFill>
                </w14:textFill>
              </w:rPr>
              <w:t xml:space="preserve">　</w:t>
            </w:r>
            <w:r w:rsidR="00924D5E" w:rsidRPr="00924D5E">
              <w:rPr>
                <w:iCs/>
                <w:color w:val="000000"/>
                <w:w w:val="17"/>
                <w:szCs w:val="20"/>
                <w:shd w:val="solid" w:color="000000" w:fill="000000"/>
                <w:fitText w:val="87" w:id="-961836276"/>
                <w14:textFill>
                  <w14:solidFill>
                    <w14:srgbClr w14:val="000000">
                      <w14:alpha w14:val="100000"/>
                    </w14:srgbClr>
                  </w14:solidFill>
                </w14:textFill>
              </w:rPr>
              <w:t>|</w:t>
            </w:r>
            <w:r w:rsidR="00924D5E" w:rsidRPr="00924D5E">
              <w:rPr>
                <w:rFonts w:hint="eastAsia"/>
                <w:iCs/>
                <w:color w:val="000000"/>
                <w:spacing w:val="6"/>
                <w:w w:val="17"/>
                <w:szCs w:val="20"/>
                <w:shd w:val="solid" w:color="000000" w:fill="000000"/>
                <w:fitText w:val="87" w:id="-961836276"/>
                <w14:textFill>
                  <w14:solidFill>
                    <w14:srgbClr w14:val="000000">
                      <w14:alpha w14:val="100000"/>
                    </w14:srgbClr>
                  </w14:solidFill>
                </w14:textFill>
              </w:rPr>
              <w:t xml:space="preserve">　</w:t>
            </w:r>
          </w:p>
        </w:tc>
        <w:tc>
          <w:tcPr>
            <w:tcW w:w="704" w:type="pct"/>
            <w:shd w:val="clear" w:color="auto" w:fill="FFFFFF" w:themeFill="background1"/>
          </w:tcPr>
          <w:p w14:paraId="62FB162B" w14:textId="64912996" w:rsidR="00B33BE9" w:rsidRPr="005A2772" w:rsidRDefault="002C3DF5" w:rsidP="00D221AB">
            <w:pPr>
              <w:pStyle w:val="TableText0"/>
              <w:keepLines/>
              <w:jc w:val="center"/>
              <w:rPr>
                <w:iCs/>
                <w:sz w:val="20"/>
                <w:szCs w:val="20"/>
              </w:rPr>
            </w:pPr>
            <w:r w:rsidRPr="005A2772">
              <w:rPr>
                <w:iCs/>
                <w:szCs w:val="20"/>
              </w:rPr>
              <w:t>0.51</w:t>
            </w:r>
          </w:p>
        </w:tc>
        <w:tc>
          <w:tcPr>
            <w:tcW w:w="551" w:type="pct"/>
            <w:shd w:val="clear" w:color="auto" w:fill="FFFFFF" w:themeFill="background1"/>
          </w:tcPr>
          <w:p w14:paraId="558E5A2B" w14:textId="257C5116" w:rsidR="00B33BE9" w:rsidRPr="005A2772" w:rsidRDefault="002C3DF5" w:rsidP="00D221AB">
            <w:pPr>
              <w:pStyle w:val="TableText0"/>
              <w:keepLines/>
              <w:jc w:val="center"/>
              <w:rPr>
                <w:iCs/>
                <w:sz w:val="20"/>
                <w:szCs w:val="20"/>
              </w:rPr>
            </w:pPr>
            <w:r w:rsidRPr="005A2772">
              <w:rPr>
                <w:iCs/>
                <w:szCs w:val="20"/>
              </w:rPr>
              <w:t>$</w:t>
            </w:r>
            <w:r w:rsidR="00924D5E" w:rsidRPr="00924D5E">
              <w:rPr>
                <w:iCs/>
                <w:color w:val="000000"/>
                <w:spacing w:val="169"/>
                <w:szCs w:val="20"/>
                <w:shd w:val="solid" w:color="000000" w:fill="000000"/>
                <w:fitText w:val="263" w:id="-961836275"/>
                <w14:textFill>
                  <w14:solidFill>
                    <w14:srgbClr w14:val="000000">
                      <w14:alpha w14:val="100000"/>
                    </w14:srgbClr>
                  </w14:solidFill>
                </w14:textFill>
              </w:rPr>
              <w:t>|</w:t>
            </w:r>
            <w:r w:rsidR="00924D5E" w:rsidRPr="00924D5E">
              <w:rPr>
                <w:iCs/>
                <w:color w:val="000000"/>
                <w:spacing w:val="1"/>
                <w:szCs w:val="20"/>
                <w:shd w:val="solid" w:color="000000" w:fill="000000"/>
                <w:fitText w:val="263" w:id="-961836275"/>
                <w14:textFill>
                  <w14:solidFill>
                    <w14:srgbClr w14:val="000000">
                      <w14:alpha w14:val="100000"/>
                    </w14:srgbClr>
                  </w14:solidFill>
                </w14:textFill>
              </w:rPr>
              <w:t>|</w:t>
            </w:r>
            <w:r w:rsidR="00341BD5">
              <w:rPr>
                <w:b/>
                <w:bCs w:val="0"/>
                <w:iCs/>
                <w:szCs w:val="20"/>
                <w:vertAlign w:val="superscript"/>
              </w:rPr>
              <w:t>2</w:t>
            </w:r>
          </w:p>
        </w:tc>
        <w:tc>
          <w:tcPr>
            <w:tcW w:w="915" w:type="pct"/>
            <w:shd w:val="clear" w:color="auto" w:fill="FFFFFF" w:themeFill="background1"/>
          </w:tcPr>
          <w:p w14:paraId="512608B3" w14:textId="3E62B029" w:rsidR="00B33BE9" w:rsidRPr="005A2772" w:rsidRDefault="00100C48" w:rsidP="00D221AB">
            <w:pPr>
              <w:pStyle w:val="TableText0"/>
              <w:keepLines/>
              <w:jc w:val="center"/>
              <w:rPr>
                <w:iCs/>
                <w:sz w:val="20"/>
                <w:szCs w:val="20"/>
              </w:rPr>
            </w:pPr>
            <w:r w:rsidRPr="005A2772">
              <w:rPr>
                <w:bCs w:val="0"/>
                <w:iCs/>
                <w:szCs w:val="20"/>
              </w:rPr>
              <w:t>-</w:t>
            </w:r>
            <w:r w:rsidRPr="005A2772">
              <w:rPr>
                <w:iCs/>
                <w:szCs w:val="20"/>
              </w:rPr>
              <w:t xml:space="preserve"> </w:t>
            </w:r>
            <w:r w:rsidR="00924D5E" w:rsidRPr="00924D5E">
              <w:rPr>
                <w:rFonts w:hint="eastAsia"/>
                <w:iCs/>
                <w:color w:val="000000"/>
                <w:w w:val="28"/>
                <w:szCs w:val="20"/>
                <w:shd w:val="solid" w:color="000000" w:fill="000000"/>
                <w:fitText w:val="137" w:id="-961836274"/>
                <w14:textFill>
                  <w14:solidFill>
                    <w14:srgbClr w14:val="000000">
                      <w14:alpha w14:val="100000"/>
                    </w14:srgbClr>
                  </w14:solidFill>
                </w14:textFill>
              </w:rPr>
              <w:t xml:space="preserve">　</w:t>
            </w:r>
            <w:r w:rsidR="00924D5E" w:rsidRPr="00924D5E">
              <w:rPr>
                <w:iCs/>
                <w:color w:val="000000"/>
                <w:w w:val="28"/>
                <w:szCs w:val="20"/>
                <w:shd w:val="solid" w:color="000000" w:fill="000000"/>
                <w:fitText w:val="137" w:id="-961836274"/>
                <w14:textFill>
                  <w14:solidFill>
                    <w14:srgbClr w14:val="000000">
                      <w14:alpha w14:val="100000"/>
                    </w14:srgbClr>
                  </w14:solidFill>
                </w14:textFill>
              </w:rPr>
              <w:t>|</w:t>
            </w:r>
            <w:r w:rsidR="00924D5E" w:rsidRPr="00924D5E">
              <w:rPr>
                <w:rFonts w:hint="eastAsia"/>
                <w:iCs/>
                <w:color w:val="000000"/>
                <w:spacing w:val="3"/>
                <w:w w:val="28"/>
                <w:szCs w:val="20"/>
                <w:shd w:val="solid" w:color="000000" w:fill="000000"/>
                <w:fitText w:val="137" w:id="-961836274"/>
                <w14:textFill>
                  <w14:solidFill>
                    <w14:srgbClr w14:val="000000">
                      <w14:alpha w14:val="100000"/>
                    </w14:srgbClr>
                  </w14:solidFill>
                </w14:textFill>
              </w:rPr>
              <w:t xml:space="preserve">　</w:t>
            </w:r>
            <w:r w:rsidR="002C3DF5" w:rsidRPr="005A2772">
              <w:rPr>
                <w:iCs/>
                <w:szCs w:val="20"/>
              </w:rPr>
              <w:t>%</w:t>
            </w:r>
          </w:p>
        </w:tc>
      </w:tr>
    </w:tbl>
    <w:p w14:paraId="7311BED4" w14:textId="64C485C1" w:rsidR="0054654D" w:rsidRPr="00CD4FAB" w:rsidRDefault="00343DE4" w:rsidP="00D221AB">
      <w:pPr>
        <w:pStyle w:val="FooterTableFigure"/>
        <w:keepNext/>
        <w:keepLines/>
        <w:jc w:val="both"/>
      </w:pPr>
      <w:r w:rsidRPr="00CD4FAB">
        <w:t>Source: constructed during the evaluation</w:t>
      </w:r>
      <w:r w:rsidR="00121D38" w:rsidRPr="00CD4FAB">
        <w:t xml:space="preserve"> with</w:t>
      </w:r>
      <w:r w:rsidRPr="00CD4FAB">
        <w:t xml:space="preserve">  </w:t>
      </w:r>
      <w:r w:rsidR="0054654D" w:rsidRPr="00CD4FAB">
        <w:t>‘Attachment 3 - Nivolumab Neoadjuvant NSCLC Economic Evaluation_No Retreatment_Nov23.xlsm’</w:t>
      </w:r>
      <w:r w:rsidR="00121D38" w:rsidRPr="00CD4FAB">
        <w:t xml:space="preserve"> </w:t>
      </w:r>
    </w:p>
    <w:p w14:paraId="6CF3B7D8" w14:textId="0BCA6C43" w:rsidR="00DA5935" w:rsidRPr="00CD4FAB" w:rsidRDefault="00DA5935" w:rsidP="00D221AB">
      <w:pPr>
        <w:pStyle w:val="FooterTableFigure"/>
        <w:keepNext/>
        <w:keepLines/>
        <w:jc w:val="both"/>
      </w:pPr>
      <w:r w:rsidRPr="00CD4FAB">
        <w:t>DM = distant metastasis; ICER = incremental cost-effectiveness ratio; IO = immunotherapy; QALYs = quality adjusted life years</w:t>
      </w:r>
    </w:p>
    <w:p w14:paraId="1731F1F6" w14:textId="1AC0D756" w:rsidR="00F14052" w:rsidRDefault="0042415A" w:rsidP="00D221AB">
      <w:pPr>
        <w:pStyle w:val="FooterTableFigure"/>
        <w:keepNext/>
        <w:keepLines/>
        <w:spacing w:after="0"/>
        <w:jc w:val="both"/>
      </w:pPr>
      <w:r w:rsidRPr="00CD4FAB">
        <w:rPr>
          <w:vertAlign w:val="superscript"/>
        </w:rPr>
        <w:t>a</w:t>
      </w:r>
      <w:r w:rsidRPr="00CD4FAB">
        <w:t xml:space="preserve"> Updated pharmacy mark-ups and fees (aligned with the financial estimates model).</w:t>
      </w:r>
    </w:p>
    <w:p w14:paraId="45A7D3F1" w14:textId="77777777" w:rsidR="00341BD5" w:rsidRPr="009A6D58" w:rsidRDefault="00341BD5" w:rsidP="00D221AB">
      <w:pPr>
        <w:keepNext/>
        <w:keepLines/>
        <w:rPr>
          <w:rFonts w:ascii="Arial Narrow" w:hAnsi="Arial Narrow" w:cs="Arial"/>
          <w:i/>
          <w:sz w:val="18"/>
          <w:szCs w:val="18"/>
          <w:lang w:eastAsia="en-AU"/>
        </w:rPr>
      </w:pPr>
      <w:r w:rsidRPr="009A6D58">
        <w:rPr>
          <w:rFonts w:ascii="Arial Narrow" w:hAnsi="Arial Narrow" w:cs="Arial"/>
          <w:i/>
          <w:sz w:val="18"/>
          <w:szCs w:val="18"/>
          <w:lang w:eastAsia="en-AU"/>
        </w:rPr>
        <w:t xml:space="preserve">The redacted values correspond to the following ranges: </w:t>
      </w:r>
    </w:p>
    <w:p w14:paraId="527A9BEB" w14:textId="32DB0545" w:rsidR="00341BD5" w:rsidRPr="009A6D58" w:rsidRDefault="00341BD5" w:rsidP="00D221AB">
      <w:pPr>
        <w:keepNext/>
        <w:keepLines/>
        <w:rPr>
          <w:rFonts w:ascii="Arial Narrow" w:hAnsi="Arial Narrow" w:cs="Arial"/>
          <w:i/>
          <w:sz w:val="18"/>
          <w:szCs w:val="18"/>
          <w:lang w:eastAsia="en-AU"/>
        </w:rPr>
      </w:pPr>
      <w:r w:rsidRPr="009A6D58">
        <w:rPr>
          <w:rFonts w:ascii="Arial Narrow" w:hAnsi="Arial Narrow" w:cs="Arial"/>
          <w:i/>
          <w:sz w:val="18"/>
          <w:szCs w:val="18"/>
          <w:vertAlign w:val="superscript"/>
          <w:lang w:eastAsia="en-AU"/>
        </w:rPr>
        <w:t>1</w:t>
      </w:r>
      <w:r>
        <w:rPr>
          <w:rFonts w:ascii="Arial Narrow" w:hAnsi="Arial Narrow" w:cs="Arial"/>
          <w:i/>
          <w:sz w:val="18"/>
          <w:szCs w:val="18"/>
          <w:lang w:eastAsia="en-AU"/>
        </w:rPr>
        <w:t xml:space="preserve"> </w:t>
      </w:r>
      <w:r w:rsidRPr="00341BD5">
        <w:rPr>
          <w:rFonts w:ascii="Arial Narrow" w:hAnsi="Arial Narrow" w:cs="Arial"/>
          <w:i/>
          <w:sz w:val="18"/>
          <w:szCs w:val="18"/>
          <w:lang w:eastAsia="en-AU"/>
        </w:rPr>
        <w:t>$25,000 to &lt; $35,000</w:t>
      </w:r>
    </w:p>
    <w:p w14:paraId="44BC5845" w14:textId="7C0FDEF3" w:rsidR="00341BD5" w:rsidRPr="009A6D58" w:rsidRDefault="00341BD5" w:rsidP="00D221AB">
      <w:pPr>
        <w:keepNext/>
        <w:keepLines/>
        <w:rPr>
          <w:rFonts w:ascii="Arial Narrow" w:hAnsi="Arial Narrow" w:cs="Arial"/>
          <w:i/>
          <w:sz w:val="18"/>
          <w:szCs w:val="18"/>
          <w:lang w:eastAsia="en-AU"/>
        </w:rPr>
      </w:pPr>
      <w:r w:rsidRPr="009A6D58">
        <w:rPr>
          <w:rFonts w:ascii="Arial Narrow" w:hAnsi="Arial Narrow" w:cs="Arial"/>
          <w:i/>
          <w:sz w:val="18"/>
          <w:szCs w:val="18"/>
          <w:vertAlign w:val="superscript"/>
          <w:lang w:eastAsia="en-AU"/>
        </w:rPr>
        <w:t>2</w:t>
      </w:r>
      <w:r>
        <w:rPr>
          <w:rFonts w:ascii="Arial Narrow" w:hAnsi="Arial Narrow" w:cs="Arial"/>
          <w:i/>
          <w:sz w:val="18"/>
          <w:szCs w:val="18"/>
          <w:lang w:eastAsia="en-AU"/>
        </w:rPr>
        <w:t xml:space="preserve"> </w:t>
      </w:r>
      <w:r w:rsidRPr="00341BD5">
        <w:rPr>
          <w:rFonts w:ascii="Arial Narrow" w:hAnsi="Arial Narrow" w:cs="Arial"/>
          <w:i/>
          <w:sz w:val="18"/>
          <w:szCs w:val="18"/>
          <w:lang w:eastAsia="en-AU"/>
        </w:rPr>
        <w:t>$15,000 to &lt; $25,000</w:t>
      </w:r>
    </w:p>
    <w:p w14:paraId="08931700" w14:textId="32D7F4B2" w:rsidR="00341BD5" w:rsidRDefault="00341BD5" w:rsidP="00D221AB">
      <w:pPr>
        <w:keepNext/>
        <w:keepLines/>
        <w:rPr>
          <w:rFonts w:ascii="Arial Narrow" w:hAnsi="Arial Narrow" w:cs="Arial"/>
          <w:i/>
          <w:sz w:val="18"/>
          <w:szCs w:val="18"/>
          <w:lang w:eastAsia="en-AU"/>
        </w:rPr>
      </w:pPr>
      <w:r w:rsidRPr="009A6D58">
        <w:rPr>
          <w:rFonts w:ascii="Arial Narrow" w:hAnsi="Arial Narrow" w:cs="Arial"/>
          <w:i/>
          <w:sz w:val="18"/>
          <w:szCs w:val="18"/>
          <w:vertAlign w:val="superscript"/>
          <w:lang w:eastAsia="en-AU"/>
        </w:rPr>
        <w:t>3</w:t>
      </w:r>
      <w:r>
        <w:rPr>
          <w:rFonts w:ascii="Arial Narrow" w:hAnsi="Arial Narrow" w:cs="Arial"/>
          <w:i/>
          <w:sz w:val="18"/>
          <w:szCs w:val="18"/>
          <w:lang w:eastAsia="en-AU"/>
        </w:rPr>
        <w:t xml:space="preserve"> </w:t>
      </w:r>
      <w:r w:rsidRPr="00341BD5">
        <w:rPr>
          <w:rFonts w:ascii="Arial Narrow" w:hAnsi="Arial Narrow" w:cs="Arial"/>
          <w:i/>
          <w:sz w:val="18"/>
          <w:szCs w:val="18"/>
          <w:lang w:eastAsia="en-AU"/>
        </w:rPr>
        <w:t>$</w:t>
      </w:r>
      <w:r>
        <w:rPr>
          <w:rFonts w:ascii="Arial Narrow" w:hAnsi="Arial Narrow" w:cs="Arial"/>
          <w:i/>
          <w:sz w:val="18"/>
          <w:szCs w:val="18"/>
          <w:lang w:eastAsia="en-AU"/>
        </w:rPr>
        <w:t>4</w:t>
      </w:r>
      <w:r w:rsidRPr="00341BD5">
        <w:rPr>
          <w:rFonts w:ascii="Arial Narrow" w:hAnsi="Arial Narrow" w:cs="Arial"/>
          <w:i/>
          <w:sz w:val="18"/>
          <w:szCs w:val="18"/>
          <w:lang w:eastAsia="en-AU"/>
        </w:rPr>
        <w:t>5,000 to &lt; $</w:t>
      </w:r>
      <w:r>
        <w:rPr>
          <w:rFonts w:ascii="Arial Narrow" w:hAnsi="Arial Narrow" w:cs="Arial"/>
          <w:i/>
          <w:sz w:val="18"/>
          <w:szCs w:val="18"/>
          <w:lang w:eastAsia="en-AU"/>
        </w:rPr>
        <w:t>5</w:t>
      </w:r>
      <w:r w:rsidRPr="00341BD5">
        <w:rPr>
          <w:rFonts w:ascii="Arial Narrow" w:hAnsi="Arial Narrow" w:cs="Arial"/>
          <w:i/>
          <w:sz w:val="18"/>
          <w:szCs w:val="18"/>
          <w:lang w:eastAsia="en-AU"/>
        </w:rPr>
        <w:t>5,000</w:t>
      </w:r>
    </w:p>
    <w:p w14:paraId="3F8753D4" w14:textId="1FD303AF" w:rsidR="00341BD5" w:rsidRPr="00D221AB" w:rsidRDefault="00341BD5" w:rsidP="00D221AB">
      <w:pPr>
        <w:spacing w:after="120"/>
        <w:rPr>
          <w:rFonts w:cs="Arial"/>
          <w:i/>
          <w:szCs w:val="18"/>
          <w:lang w:eastAsia="en-AU"/>
        </w:rPr>
      </w:pPr>
      <w:r>
        <w:rPr>
          <w:rFonts w:ascii="Arial Narrow" w:hAnsi="Arial Narrow" w:cs="Arial"/>
          <w:i/>
          <w:sz w:val="18"/>
          <w:szCs w:val="18"/>
          <w:vertAlign w:val="superscript"/>
          <w:lang w:eastAsia="en-AU"/>
        </w:rPr>
        <w:t>4</w:t>
      </w:r>
      <w:r>
        <w:rPr>
          <w:rFonts w:ascii="Arial Narrow" w:hAnsi="Arial Narrow" w:cs="Arial"/>
          <w:i/>
          <w:sz w:val="18"/>
          <w:szCs w:val="18"/>
          <w:lang w:eastAsia="en-AU"/>
        </w:rPr>
        <w:t xml:space="preserve"> </w:t>
      </w:r>
      <w:r w:rsidRPr="00341BD5">
        <w:rPr>
          <w:rFonts w:ascii="Arial Narrow" w:hAnsi="Arial Narrow" w:cs="Arial"/>
          <w:i/>
          <w:sz w:val="18"/>
          <w:szCs w:val="18"/>
          <w:lang w:eastAsia="en-AU"/>
        </w:rPr>
        <w:t>$5,000 to &lt; $</w:t>
      </w:r>
      <w:r>
        <w:rPr>
          <w:rFonts w:ascii="Arial Narrow" w:hAnsi="Arial Narrow" w:cs="Arial"/>
          <w:i/>
          <w:sz w:val="18"/>
          <w:szCs w:val="18"/>
          <w:lang w:eastAsia="en-AU"/>
        </w:rPr>
        <w:t>1</w:t>
      </w:r>
      <w:r w:rsidRPr="00341BD5">
        <w:rPr>
          <w:rFonts w:ascii="Arial Narrow" w:hAnsi="Arial Narrow" w:cs="Arial"/>
          <w:i/>
          <w:sz w:val="18"/>
          <w:szCs w:val="18"/>
          <w:lang w:eastAsia="en-AU"/>
        </w:rPr>
        <w:t>5,000</w:t>
      </w:r>
    </w:p>
    <w:p w14:paraId="75228BBD" w14:textId="2D4B4684" w:rsidR="000F7AB3" w:rsidRPr="00CD4FAB" w:rsidRDefault="000F7AB3" w:rsidP="00121D38">
      <w:pPr>
        <w:pStyle w:val="4-SubsectionHeading"/>
      </w:pPr>
      <w:bookmarkStart w:id="36" w:name="_Toc156979620"/>
      <w:r w:rsidRPr="00CD4FAB">
        <w:lastRenderedPageBreak/>
        <w:t>Cost per patient per course</w:t>
      </w:r>
      <w:bookmarkEnd w:id="36"/>
    </w:p>
    <w:p w14:paraId="56A79BC2" w14:textId="7A882713" w:rsidR="000F7AB3" w:rsidRPr="00CD4FAB" w:rsidRDefault="005B7D0D" w:rsidP="00233CFE">
      <w:pPr>
        <w:pStyle w:val="Caption"/>
      </w:pPr>
      <w:r w:rsidRPr="00CD4FAB">
        <w:t xml:space="preserve">Table </w:t>
      </w:r>
      <w:fldSimple w:instr=" SEQ Table \* ARABIC " w:fldLock="1">
        <w:r w:rsidR="00885DA7">
          <w:rPr>
            <w:noProof/>
          </w:rPr>
          <w:t>8</w:t>
        </w:r>
      </w:fldSimple>
      <w:r w:rsidRPr="00CD4FAB">
        <w:t xml:space="preserve">: </w:t>
      </w:r>
      <w:r w:rsidR="000F7AB3" w:rsidRPr="00CD4FAB">
        <w:t>Drug cost per patient for proposed and comparator drugs</w:t>
      </w:r>
      <w:r w:rsidR="00A66E46" w:rsidRPr="00CD4FAB">
        <w:t xml:space="preserve">, </w:t>
      </w:r>
      <w:r w:rsidR="0048753A" w:rsidRPr="00CD4FAB">
        <w:t>O</w:t>
      </w:r>
      <w:r w:rsidR="00A66E46" w:rsidRPr="00CD4FAB">
        <w:t>ption</w:t>
      </w:r>
      <w:r w:rsidR="00586226" w:rsidRPr="00CD4FAB">
        <w:t xml:space="preserve"> A and</w:t>
      </w:r>
      <w:r w:rsidR="00A66E46" w:rsidRPr="00CD4FAB">
        <w:t xml:space="preserve"> B</w:t>
      </w:r>
    </w:p>
    <w:tbl>
      <w:tblPr>
        <w:tblStyle w:val="TableGrid"/>
        <w:tblW w:w="0" w:type="auto"/>
        <w:tblLayout w:type="fixed"/>
        <w:tblCellMar>
          <w:left w:w="28" w:type="dxa"/>
          <w:right w:w="28" w:type="dxa"/>
        </w:tblCellMar>
        <w:tblLook w:val="04A0" w:firstRow="1" w:lastRow="0" w:firstColumn="1" w:lastColumn="0" w:noHBand="0" w:noVBand="1"/>
        <w:tblCaption w:val="Table 8: Drug cost per patient for proposed and comparator drugs, Option A and B"/>
      </w:tblPr>
      <w:tblGrid>
        <w:gridCol w:w="988"/>
        <w:gridCol w:w="1701"/>
        <w:gridCol w:w="1701"/>
        <w:gridCol w:w="1559"/>
        <w:gridCol w:w="1276"/>
        <w:gridCol w:w="828"/>
        <w:gridCol w:w="964"/>
      </w:tblGrid>
      <w:tr w:rsidR="00121D38" w:rsidRPr="00CD4FAB" w14:paraId="024E6B82" w14:textId="77777777" w:rsidTr="00D221AB">
        <w:tc>
          <w:tcPr>
            <w:tcW w:w="988" w:type="dxa"/>
          </w:tcPr>
          <w:p w14:paraId="60F09BA2" w14:textId="77777777" w:rsidR="00C20E1F" w:rsidRPr="00A13809" w:rsidRDefault="00C20E1F" w:rsidP="00D221AB">
            <w:pPr>
              <w:pStyle w:val="PBACTableText"/>
              <w:keepNext/>
              <w:keepLines/>
              <w:spacing w:before="0" w:after="0"/>
            </w:pPr>
          </w:p>
        </w:tc>
        <w:tc>
          <w:tcPr>
            <w:tcW w:w="4961" w:type="dxa"/>
            <w:gridSpan w:val="3"/>
          </w:tcPr>
          <w:p w14:paraId="60E32CEC" w14:textId="01FFE68F" w:rsidR="00C20E1F" w:rsidRPr="00A13809" w:rsidRDefault="0048753A" w:rsidP="00D221AB">
            <w:pPr>
              <w:pStyle w:val="PBACTableText"/>
              <w:keepNext/>
              <w:keepLines/>
              <w:spacing w:before="0" w:after="0"/>
              <w:rPr>
                <w:b/>
                <w:bCs/>
              </w:rPr>
            </w:pPr>
            <w:r w:rsidRPr="00A13809">
              <w:rPr>
                <w:b/>
                <w:bCs/>
              </w:rPr>
              <w:t>N</w:t>
            </w:r>
            <w:r w:rsidR="00C20E1F" w:rsidRPr="00A13809">
              <w:rPr>
                <w:b/>
                <w:bCs/>
              </w:rPr>
              <w:t>ivolumab</w:t>
            </w:r>
          </w:p>
        </w:tc>
        <w:tc>
          <w:tcPr>
            <w:tcW w:w="3068" w:type="dxa"/>
            <w:gridSpan w:val="3"/>
          </w:tcPr>
          <w:p w14:paraId="16AF6290" w14:textId="250FC92C" w:rsidR="00C20E1F" w:rsidRPr="00A13809" w:rsidRDefault="00C20E1F" w:rsidP="00D221AB">
            <w:pPr>
              <w:pStyle w:val="PBACTableText"/>
              <w:keepNext/>
              <w:keepLines/>
              <w:spacing w:before="0" w:after="0"/>
              <w:rPr>
                <w:b/>
                <w:bCs/>
              </w:rPr>
            </w:pPr>
            <w:r w:rsidRPr="00A13809">
              <w:rPr>
                <w:b/>
                <w:bCs/>
              </w:rPr>
              <w:t>Chemotherapy</w:t>
            </w:r>
          </w:p>
        </w:tc>
      </w:tr>
      <w:tr w:rsidR="008B3BFF" w:rsidRPr="00CD4FAB" w14:paraId="035C7B5A" w14:textId="77777777" w:rsidTr="00D221AB">
        <w:tc>
          <w:tcPr>
            <w:tcW w:w="988" w:type="dxa"/>
          </w:tcPr>
          <w:p w14:paraId="4052248C" w14:textId="77777777" w:rsidR="00C20E1F" w:rsidRPr="00F5399D" w:rsidRDefault="00C20E1F" w:rsidP="00D221AB">
            <w:pPr>
              <w:pStyle w:val="PBACTableText"/>
              <w:keepNext/>
              <w:keepLines/>
              <w:spacing w:before="0" w:after="0"/>
            </w:pPr>
            <w:bookmarkStart w:id="37" w:name="_Toc22897647"/>
          </w:p>
        </w:tc>
        <w:tc>
          <w:tcPr>
            <w:tcW w:w="1701" w:type="dxa"/>
            <w:vAlign w:val="center"/>
          </w:tcPr>
          <w:p w14:paraId="71CDDF86" w14:textId="77777777" w:rsidR="008B3BFF" w:rsidRPr="00F5399D" w:rsidRDefault="00C20E1F" w:rsidP="00D221AB">
            <w:pPr>
              <w:pStyle w:val="PBACTableText"/>
              <w:keepNext/>
              <w:keepLines/>
              <w:spacing w:before="0" w:after="0"/>
              <w:jc w:val="center"/>
              <w:rPr>
                <w:b/>
                <w:bCs/>
              </w:rPr>
            </w:pPr>
            <w:r w:rsidRPr="00F5399D">
              <w:rPr>
                <w:b/>
                <w:bCs/>
              </w:rPr>
              <w:t xml:space="preserve">Trial dose and </w:t>
            </w:r>
          </w:p>
          <w:p w14:paraId="2A50EA0C" w14:textId="58AFF81A" w:rsidR="00C20E1F" w:rsidRPr="00F5399D" w:rsidRDefault="00C20E1F" w:rsidP="00D221AB">
            <w:pPr>
              <w:pStyle w:val="PBACTableText"/>
              <w:keepNext/>
              <w:keepLines/>
              <w:spacing w:before="0" w:after="0"/>
              <w:jc w:val="center"/>
              <w:rPr>
                <w:b/>
                <w:bCs/>
              </w:rPr>
            </w:pPr>
            <w:r w:rsidRPr="00F5399D">
              <w:rPr>
                <w:b/>
                <w:bCs/>
              </w:rPr>
              <w:t>duration</w:t>
            </w:r>
          </w:p>
        </w:tc>
        <w:tc>
          <w:tcPr>
            <w:tcW w:w="1701" w:type="dxa"/>
            <w:vAlign w:val="center"/>
          </w:tcPr>
          <w:p w14:paraId="7D2FAA5E" w14:textId="1C6CD200" w:rsidR="00C20E1F" w:rsidRPr="00F5399D" w:rsidRDefault="00C20E1F" w:rsidP="00D221AB">
            <w:pPr>
              <w:pStyle w:val="PBACTableText"/>
              <w:keepNext/>
              <w:keepLines/>
              <w:spacing w:before="0" w:after="0"/>
              <w:jc w:val="center"/>
              <w:rPr>
                <w:b/>
                <w:bCs/>
              </w:rPr>
            </w:pPr>
            <w:r w:rsidRPr="00F5399D">
              <w:rPr>
                <w:b/>
                <w:bCs/>
              </w:rPr>
              <w:t>Model</w:t>
            </w:r>
          </w:p>
        </w:tc>
        <w:tc>
          <w:tcPr>
            <w:tcW w:w="1559" w:type="dxa"/>
            <w:vAlign w:val="center"/>
          </w:tcPr>
          <w:p w14:paraId="34FFE990" w14:textId="77777777" w:rsidR="008B3BFF" w:rsidRPr="00F5399D" w:rsidRDefault="00C20E1F" w:rsidP="00D221AB">
            <w:pPr>
              <w:pStyle w:val="PBACTableText"/>
              <w:keepNext/>
              <w:keepLines/>
              <w:spacing w:before="0" w:after="0"/>
              <w:jc w:val="center"/>
              <w:rPr>
                <w:b/>
                <w:bCs/>
              </w:rPr>
            </w:pPr>
            <w:r w:rsidRPr="00F5399D">
              <w:rPr>
                <w:b/>
                <w:bCs/>
              </w:rPr>
              <w:t xml:space="preserve">Financial </w:t>
            </w:r>
          </w:p>
          <w:p w14:paraId="28A7DA73" w14:textId="598095CE" w:rsidR="00C20E1F" w:rsidRPr="00F5399D" w:rsidRDefault="00C20E1F" w:rsidP="00D221AB">
            <w:pPr>
              <w:pStyle w:val="PBACTableText"/>
              <w:keepNext/>
              <w:keepLines/>
              <w:spacing w:before="0" w:after="0"/>
              <w:jc w:val="center"/>
              <w:rPr>
                <w:b/>
                <w:bCs/>
              </w:rPr>
            </w:pPr>
            <w:r w:rsidRPr="00F5399D">
              <w:rPr>
                <w:b/>
                <w:bCs/>
              </w:rPr>
              <w:t>estimates</w:t>
            </w:r>
          </w:p>
        </w:tc>
        <w:tc>
          <w:tcPr>
            <w:tcW w:w="1276" w:type="dxa"/>
            <w:vAlign w:val="center"/>
          </w:tcPr>
          <w:p w14:paraId="4A7442D2" w14:textId="07749C2F" w:rsidR="00C20E1F" w:rsidRPr="00F5399D" w:rsidRDefault="00C20E1F" w:rsidP="00D221AB">
            <w:pPr>
              <w:pStyle w:val="PBACTableText"/>
              <w:keepNext/>
              <w:keepLines/>
              <w:spacing w:before="0" w:after="0"/>
              <w:jc w:val="center"/>
              <w:rPr>
                <w:b/>
                <w:bCs/>
              </w:rPr>
            </w:pPr>
            <w:r w:rsidRPr="00F5399D">
              <w:rPr>
                <w:b/>
                <w:bCs/>
              </w:rPr>
              <w:t>Trial dose and duration</w:t>
            </w:r>
          </w:p>
        </w:tc>
        <w:tc>
          <w:tcPr>
            <w:tcW w:w="828" w:type="dxa"/>
            <w:vAlign w:val="center"/>
          </w:tcPr>
          <w:p w14:paraId="69345258" w14:textId="379DD97A" w:rsidR="00C20E1F" w:rsidRPr="00F5399D" w:rsidRDefault="00C20E1F" w:rsidP="00D221AB">
            <w:pPr>
              <w:pStyle w:val="PBACTableText"/>
              <w:keepNext/>
              <w:keepLines/>
              <w:spacing w:before="0" w:after="0"/>
              <w:jc w:val="center"/>
              <w:rPr>
                <w:b/>
                <w:bCs/>
              </w:rPr>
            </w:pPr>
            <w:r w:rsidRPr="00F5399D">
              <w:rPr>
                <w:b/>
                <w:bCs/>
              </w:rPr>
              <w:t>Model</w:t>
            </w:r>
          </w:p>
        </w:tc>
        <w:tc>
          <w:tcPr>
            <w:tcW w:w="964" w:type="dxa"/>
          </w:tcPr>
          <w:p w14:paraId="1747F4EE" w14:textId="30CEE357" w:rsidR="00C20E1F" w:rsidRPr="00F5399D" w:rsidRDefault="00C20E1F" w:rsidP="00D221AB">
            <w:pPr>
              <w:pStyle w:val="PBACTableText"/>
              <w:keepNext/>
              <w:keepLines/>
              <w:spacing w:before="0" w:after="0"/>
              <w:jc w:val="center"/>
              <w:rPr>
                <w:b/>
                <w:bCs/>
              </w:rPr>
            </w:pPr>
            <w:r w:rsidRPr="00F5399D">
              <w:rPr>
                <w:b/>
                <w:bCs/>
              </w:rPr>
              <w:t>Financial estimates</w:t>
            </w:r>
          </w:p>
        </w:tc>
      </w:tr>
      <w:tr w:rsidR="008B3BFF" w:rsidRPr="00CD4FAB" w14:paraId="09CDD5C2" w14:textId="77777777" w:rsidTr="00D221AB">
        <w:tc>
          <w:tcPr>
            <w:tcW w:w="988" w:type="dxa"/>
            <w:vAlign w:val="center"/>
          </w:tcPr>
          <w:p w14:paraId="1C9D8114" w14:textId="14668995" w:rsidR="00C20E1F" w:rsidRPr="00F5399D" w:rsidRDefault="00C20E1F" w:rsidP="00D221AB">
            <w:pPr>
              <w:pStyle w:val="PBACTableText"/>
              <w:keepNext/>
              <w:keepLines/>
              <w:spacing w:before="0" w:after="0"/>
            </w:pPr>
            <w:r w:rsidRPr="00F5399D">
              <w:t>Mean dose</w:t>
            </w:r>
          </w:p>
        </w:tc>
        <w:tc>
          <w:tcPr>
            <w:tcW w:w="1701" w:type="dxa"/>
            <w:vAlign w:val="center"/>
          </w:tcPr>
          <w:p w14:paraId="5295EC3B" w14:textId="74633F1D" w:rsidR="00A61F69" w:rsidRPr="00F5399D" w:rsidRDefault="00C20E1F" w:rsidP="00D221AB">
            <w:pPr>
              <w:pStyle w:val="PBACTableText"/>
              <w:keepNext/>
              <w:keepLines/>
              <w:spacing w:before="0" w:after="0"/>
              <w:jc w:val="center"/>
            </w:pPr>
            <w:r w:rsidRPr="00F5399D">
              <w:t>NIVO 360mg Q3W +</w:t>
            </w:r>
          </w:p>
          <w:p w14:paraId="616D9044" w14:textId="29FC6405" w:rsidR="00C20E1F" w:rsidRPr="00F5399D" w:rsidRDefault="00C20E1F" w:rsidP="00D221AB">
            <w:pPr>
              <w:pStyle w:val="PBACTableText"/>
              <w:keepNext/>
              <w:keepLines/>
              <w:spacing w:before="0" w:after="0"/>
              <w:jc w:val="center"/>
              <w:rPr>
                <w:vertAlign w:val="superscript"/>
              </w:rPr>
            </w:pPr>
            <w:r w:rsidRPr="00F5399D">
              <w:t>chemo Q3W</w:t>
            </w:r>
            <w:r w:rsidRPr="00F5399D">
              <w:rPr>
                <w:vertAlign w:val="superscript"/>
              </w:rPr>
              <w:t>a</w:t>
            </w:r>
          </w:p>
        </w:tc>
        <w:tc>
          <w:tcPr>
            <w:tcW w:w="1701" w:type="dxa"/>
            <w:vAlign w:val="center"/>
          </w:tcPr>
          <w:p w14:paraId="4DC406EB" w14:textId="1E79312D" w:rsidR="00A61F69" w:rsidRPr="00F5399D" w:rsidRDefault="00C20E1F" w:rsidP="00D221AB">
            <w:pPr>
              <w:pStyle w:val="PBACTableText"/>
              <w:keepNext/>
              <w:keepLines/>
              <w:spacing w:before="0" w:after="0"/>
              <w:jc w:val="center"/>
            </w:pPr>
            <w:r w:rsidRPr="00F5399D">
              <w:t>NIVO 360 mg Q3W +</w:t>
            </w:r>
          </w:p>
          <w:p w14:paraId="43445CCA" w14:textId="0BF193E9" w:rsidR="00C20E1F" w:rsidRPr="00F5399D" w:rsidRDefault="00C20E1F" w:rsidP="00D221AB">
            <w:pPr>
              <w:pStyle w:val="PBACTableText"/>
              <w:keepNext/>
              <w:keepLines/>
              <w:spacing w:before="0" w:after="0"/>
              <w:jc w:val="center"/>
            </w:pPr>
            <w:r w:rsidRPr="00F5399D">
              <w:t>chemo Q3W</w:t>
            </w:r>
            <w:r w:rsidRPr="00F5399D">
              <w:rPr>
                <w:vertAlign w:val="superscript"/>
              </w:rPr>
              <w:t>a</w:t>
            </w:r>
          </w:p>
        </w:tc>
        <w:tc>
          <w:tcPr>
            <w:tcW w:w="1559" w:type="dxa"/>
            <w:vAlign w:val="center"/>
          </w:tcPr>
          <w:p w14:paraId="30A8944A" w14:textId="4D735095" w:rsidR="00C20E1F" w:rsidRPr="00F5399D" w:rsidRDefault="00C20E1F" w:rsidP="00D221AB">
            <w:pPr>
              <w:pStyle w:val="PBACTableText"/>
              <w:keepNext/>
              <w:keepLines/>
              <w:spacing w:before="0" w:after="0"/>
              <w:jc w:val="center"/>
            </w:pPr>
            <w:r w:rsidRPr="00F5399D">
              <w:t>NIVO 360 mg Q3W + chemo Q3W</w:t>
            </w:r>
            <w:r w:rsidRPr="00F5399D">
              <w:rPr>
                <w:vertAlign w:val="superscript"/>
              </w:rPr>
              <w:t>a</w:t>
            </w:r>
          </w:p>
        </w:tc>
        <w:tc>
          <w:tcPr>
            <w:tcW w:w="1276" w:type="dxa"/>
            <w:vAlign w:val="center"/>
          </w:tcPr>
          <w:p w14:paraId="4E4DABBB" w14:textId="5BE754AB" w:rsidR="00C20E1F" w:rsidRPr="00F5399D" w:rsidRDefault="00C20E1F" w:rsidP="00D221AB">
            <w:pPr>
              <w:pStyle w:val="PBACTableText"/>
              <w:keepNext/>
              <w:keepLines/>
              <w:spacing w:before="0" w:after="0"/>
              <w:jc w:val="center"/>
            </w:pPr>
            <w:r w:rsidRPr="00F5399D">
              <w:t>chemo Q3W</w:t>
            </w:r>
            <w:r w:rsidRPr="00F5399D">
              <w:rPr>
                <w:vertAlign w:val="superscript"/>
              </w:rPr>
              <w:t>a</w:t>
            </w:r>
          </w:p>
        </w:tc>
        <w:tc>
          <w:tcPr>
            <w:tcW w:w="828" w:type="dxa"/>
            <w:vAlign w:val="center"/>
          </w:tcPr>
          <w:p w14:paraId="14C1FE67" w14:textId="54A81D94" w:rsidR="00C20E1F" w:rsidRPr="00F5399D" w:rsidRDefault="00C20E1F" w:rsidP="00D221AB">
            <w:pPr>
              <w:pStyle w:val="PBACTableText"/>
              <w:keepNext/>
              <w:keepLines/>
              <w:spacing w:before="0" w:after="0"/>
              <w:jc w:val="center"/>
            </w:pPr>
            <w:r w:rsidRPr="00F5399D">
              <w:t>chemo Q3W</w:t>
            </w:r>
            <w:r w:rsidRPr="00F5399D">
              <w:rPr>
                <w:vertAlign w:val="superscript"/>
              </w:rPr>
              <w:t>a</w:t>
            </w:r>
          </w:p>
        </w:tc>
        <w:tc>
          <w:tcPr>
            <w:tcW w:w="964" w:type="dxa"/>
            <w:vAlign w:val="center"/>
          </w:tcPr>
          <w:p w14:paraId="7149643F" w14:textId="5083A176" w:rsidR="00C20E1F" w:rsidRPr="00F5399D" w:rsidRDefault="00C20E1F" w:rsidP="00D221AB">
            <w:pPr>
              <w:pStyle w:val="PBACTableText"/>
              <w:keepNext/>
              <w:keepLines/>
              <w:spacing w:before="0" w:after="0"/>
              <w:jc w:val="center"/>
            </w:pPr>
            <w:r w:rsidRPr="00F5399D">
              <w:t>chemo Q3W</w:t>
            </w:r>
            <w:r w:rsidRPr="00F5399D">
              <w:rPr>
                <w:vertAlign w:val="superscript"/>
              </w:rPr>
              <w:t>a</w:t>
            </w:r>
          </w:p>
        </w:tc>
      </w:tr>
      <w:tr w:rsidR="008B3BFF" w:rsidRPr="00CD4FAB" w14:paraId="52E1E0FD" w14:textId="77777777" w:rsidTr="00D221AB">
        <w:tc>
          <w:tcPr>
            <w:tcW w:w="988" w:type="dxa"/>
            <w:vAlign w:val="center"/>
          </w:tcPr>
          <w:p w14:paraId="3434BE32" w14:textId="77777777" w:rsidR="00586226" w:rsidRPr="00F5399D" w:rsidRDefault="00C20E1F" w:rsidP="00D221AB">
            <w:pPr>
              <w:pStyle w:val="PBACTableText"/>
              <w:keepNext/>
              <w:keepLines/>
              <w:spacing w:before="0" w:after="0"/>
            </w:pPr>
            <w:r w:rsidRPr="00F5399D">
              <w:t xml:space="preserve">Mean number of </w:t>
            </w:r>
          </w:p>
          <w:p w14:paraId="01B65475" w14:textId="7A8DFD20" w:rsidR="00C20E1F" w:rsidRPr="00F5399D" w:rsidRDefault="00C20E1F" w:rsidP="00D221AB">
            <w:pPr>
              <w:pStyle w:val="PBACTableText"/>
              <w:keepNext/>
              <w:keepLines/>
              <w:spacing w:before="0" w:after="0"/>
            </w:pPr>
            <w:r w:rsidRPr="00F5399D">
              <w:t>3-week cycles</w:t>
            </w:r>
          </w:p>
        </w:tc>
        <w:tc>
          <w:tcPr>
            <w:tcW w:w="1701" w:type="dxa"/>
            <w:vAlign w:val="center"/>
          </w:tcPr>
          <w:p w14:paraId="4AD2C380" w14:textId="3CEA8FFA" w:rsidR="00C20E1F" w:rsidRPr="00F5399D" w:rsidRDefault="00C20E1F" w:rsidP="00D221AB">
            <w:pPr>
              <w:pStyle w:val="PBACTableText"/>
              <w:keepNext/>
              <w:keepLines/>
              <w:spacing w:before="0" w:after="0"/>
              <w:jc w:val="center"/>
            </w:pPr>
            <w:r w:rsidRPr="00F5399D">
              <w:t>2.91</w:t>
            </w:r>
            <w:r w:rsidRPr="00F5399D">
              <w:rPr>
                <w:vertAlign w:val="superscript"/>
              </w:rPr>
              <w:t>b</w:t>
            </w:r>
          </w:p>
        </w:tc>
        <w:tc>
          <w:tcPr>
            <w:tcW w:w="1701" w:type="dxa"/>
            <w:vAlign w:val="center"/>
          </w:tcPr>
          <w:p w14:paraId="12A2EBC8" w14:textId="0DA23A72" w:rsidR="00C20E1F" w:rsidRPr="00F5399D" w:rsidRDefault="00C20E1F" w:rsidP="00D221AB">
            <w:pPr>
              <w:pStyle w:val="PBACTableText"/>
              <w:keepNext/>
              <w:keepLines/>
              <w:spacing w:before="0" w:after="0"/>
              <w:jc w:val="center"/>
            </w:pPr>
            <w:r w:rsidRPr="00F5399D">
              <w:t>2.99</w:t>
            </w:r>
          </w:p>
        </w:tc>
        <w:tc>
          <w:tcPr>
            <w:tcW w:w="1559" w:type="dxa"/>
            <w:vAlign w:val="center"/>
          </w:tcPr>
          <w:p w14:paraId="23A8EBFA" w14:textId="77777777" w:rsidR="00C20E1F" w:rsidRPr="00F5399D" w:rsidRDefault="00C20E1F" w:rsidP="00D221AB">
            <w:pPr>
              <w:pStyle w:val="TableText0"/>
              <w:keepLines/>
              <w:jc w:val="center"/>
              <w:rPr>
                <w:szCs w:val="20"/>
              </w:rPr>
            </w:pPr>
            <w:r w:rsidRPr="00F5399D">
              <w:rPr>
                <w:szCs w:val="20"/>
              </w:rPr>
              <w:t>NIVO: 2.91</w:t>
            </w:r>
          </w:p>
          <w:p w14:paraId="0F3C1FD1" w14:textId="7370FE61" w:rsidR="00C20E1F" w:rsidRPr="00F5399D" w:rsidRDefault="00C20E1F" w:rsidP="00D221AB">
            <w:pPr>
              <w:pStyle w:val="PBACTableText"/>
              <w:keepNext/>
              <w:keepLines/>
              <w:spacing w:before="0" w:after="0"/>
              <w:jc w:val="center"/>
            </w:pPr>
            <w:r w:rsidRPr="00F5399D">
              <w:t>Chemo: 2.63</w:t>
            </w:r>
            <w:r w:rsidR="00586226" w:rsidRPr="00F5399D">
              <w:t>−</w:t>
            </w:r>
            <w:r w:rsidRPr="00F5399D">
              <w:t>2.93</w:t>
            </w:r>
          </w:p>
        </w:tc>
        <w:tc>
          <w:tcPr>
            <w:tcW w:w="1276" w:type="dxa"/>
            <w:vAlign w:val="center"/>
          </w:tcPr>
          <w:p w14:paraId="109D4555" w14:textId="79D50CF5" w:rsidR="00C20E1F" w:rsidRPr="00F5399D" w:rsidRDefault="00C20E1F" w:rsidP="00D221AB">
            <w:pPr>
              <w:pStyle w:val="PBACTableText"/>
              <w:keepNext/>
              <w:keepLines/>
              <w:spacing w:before="0" w:after="0"/>
              <w:jc w:val="center"/>
            </w:pPr>
            <w:r w:rsidRPr="00F5399D">
              <w:t>2.71</w:t>
            </w:r>
            <w:r w:rsidRPr="00F5399D">
              <w:rPr>
                <w:vertAlign w:val="superscript"/>
              </w:rPr>
              <w:t>c</w:t>
            </w:r>
          </w:p>
        </w:tc>
        <w:tc>
          <w:tcPr>
            <w:tcW w:w="828" w:type="dxa"/>
            <w:vAlign w:val="center"/>
          </w:tcPr>
          <w:p w14:paraId="7C798E64" w14:textId="7D5F1048" w:rsidR="00C20E1F" w:rsidRPr="00F5399D" w:rsidRDefault="00C20E1F" w:rsidP="00D221AB">
            <w:pPr>
              <w:pStyle w:val="PBACTableText"/>
              <w:keepNext/>
              <w:keepLines/>
              <w:spacing w:before="0" w:after="0"/>
              <w:jc w:val="center"/>
            </w:pPr>
            <w:r w:rsidRPr="00F5399D">
              <w:t>2.99</w:t>
            </w:r>
          </w:p>
        </w:tc>
        <w:tc>
          <w:tcPr>
            <w:tcW w:w="964" w:type="dxa"/>
            <w:vAlign w:val="center"/>
          </w:tcPr>
          <w:p w14:paraId="5E587B3A" w14:textId="381FBA7B" w:rsidR="00C20E1F" w:rsidRPr="00F5399D" w:rsidRDefault="00C20E1F" w:rsidP="00D221AB">
            <w:pPr>
              <w:pStyle w:val="PBACTableText"/>
              <w:keepNext/>
              <w:keepLines/>
              <w:spacing w:before="0" w:after="0"/>
              <w:jc w:val="center"/>
            </w:pPr>
            <w:r w:rsidRPr="00F5399D">
              <w:t>2.48</w:t>
            </w:r>
            <w:r w:rsidR="00586226" w:rsidRPr="00F5399D">
              <w:t>−</w:t>
            </w:r>
            <w:r w:rsidRPr="00F5399D">
              <w:t>2.86</w:t>
            </w:r>
          </w:p>
        </w:tc>
      </w:tr>
      <w:tr w:rsidR="008B3BFF" w:rsidRPr="00CD4FAB" w14:paraId="5BF41915" w14:textId="77777777" w:rsidTr="00D221AB">
        <w:tc>
          <w:tcPr>
            <w:tcW w:w="988" w:type="dxa"/>
            <w:vAlign w:val="center"/>
          </w:tcPr>
          <w:p w14:paraId="517B5DA8" w14:textId="4041E22B" w:rsidR="00C20E1F" w:rsidRPr="00F5399D" w:rsidRDefault="00C20E1F" w:rsidP="00D221AB">
            <w:pPr>
              <w:pStyle w:val="PBACTableText"/>
              <w:keepNext/>
              <w:keepLines/>
              <w:spacing w:before="0" w:after="0"/>
            </w:pPr>
            <w:r w:rsidRPr="00F5399D">
              <w:t>Cost</w:t>
            </w:r>
            <w:r w:rsidR="00B65953" w:rsidRPr="00F5399D">
              <w:t xml:space="preserve"> per 3-week </w:t>
            </w:r>
            <w:r w:rsidRPr="00F5399D">
              <w:t>cycle</w:t>
            </w:r>
          </w:p>
        </w:tc>
        <w:tc>
          <w:tcPr>
            <w:tcW w:w="1701" w:type="dxa"/>
            <w:vAlign w:val="center"/>
          </w:tcPr>
          <w:p w14:paraId="7F12772D" w14:textId="19BC11E4" w:rsidR="00C900D4" w:rsidRPr="00F5399D" w:rsidRDefault="00C900D4" w:rsidP="00D221AB">
            <w:pPr>
              <w:pStyle w:val="PBACTableText"/>
              <w:keepNext/>
              <w:keepLines/>
              <w:spacing w:before="0" w:after="0"/>
              <w:jc w:val="center"/>
            </w:pPr>
            <w:r w:rsidRPr="00F5399D">
              <w:t>Option A</w:t>
            </w:r>
            <w:r w:rsidR="00043676" w:rsidRPr="00F5399D">
              <w:t xml:space="preserve"> neoNIVO+neoChemo</w:t>
            </w:r>
          </w:p>
          <w:p w14:paraId="4E87BE57" w14:textId="29FC2D69" w:rsidR="00C900D4" w:rsidRPr="00F5399D" w:rsidRDefault="00043676" w:rsidP="00D221AB">
            <w:pPr>
              <w:pStyle w:val="PBACTableText"/>
              <w:keepNext/>
              <w:keepLines/>
              <w:spacing w:before="0" w:after="0"/>
              <w:jc w:val="center"/>
            </w:pPr>
            <w:r w:rsidRPr="00F5399D">
              <w:t>=</w:t>
            </w:r>
            <w:r w:rsidR="00121D38" w:rsidRPr="00F5399D">
              <w:t xml:space="preserve"> </w:t>
            </w:r>
            <w:r w:rsidRPr="00F5399D">
              <w:t>$</w:t>
            </w:r>
            <w:r w:rsidR="00924D5E" w:rsidRPr="00F5399D">
              <w:rPr>
                <w:color w:val="000000"/>
                <w:spacing w:val="77"/>
                <w:shd w:val="solid" w:color="000000" w:fill="000000"/>
                <w:fitText w:val="163" w:id="-961836273"/>
                <w14:textFill>
                  <w14:solidFill>
                    <w14:srgbClr w14:val="000000">
                      <w14:alpha w14:val="100000"/>
                    </w14:srgbClr>
                  </w14:solidFill>
                </w14:textFill>
              </w:rPr>
              <w:t>|</w:t>
            </w:r>
            <w:r w:rsidR="00924D5E" w:rsidRPr="00F5399D">
              <w:rPr>
                <w:color w:val="000000"/>
                <w:shd w:val="solid" w:color="000000" w:fill="000000"/>
                <w:fitText w:val="163" w:id="-961836273"/>
                <w14:textFill>
                  <w14:solidFill>
                    <w14:srgbClr w14:val="000000">
                      <w14:alpha w14:val="100000"/>
                    </w14:srgbClr>
                  </w14:solidFill>
                </w14:textFill>
              </w:rPr>
              <w:t>|</w:t>
            </w:r>
            <w:r w:rsidRPr="00F5399D">
              <w:t>+$</w:t>
            </w:r>
            <w:r w:rsidR="00924D5E" w:rsidRPr="006E162D">
              <w:rPr>
                <w:rFonts w:ascii="MS Gothic" w:eastAsia="MS Gothic" w:hAnsi="MS Gothic" w:cs="MS Gothic" w:hint="eastAsia"/>
                <w:color w:val="000000"/>
                <w:w w:val="15"/>
                <w:shd w:val="solid" w:color="000000" w:fill="000000"/>
                <w:fitText w:val="12" w:id="-961836272"/>
                <w14:textFill>
                  <w14:solidFill>
                    <w14:srgbClr w14:val="000000">
                      <w14:alpha w14:val="100000"/>
                    </w14:srgbClr>
                  </w14:solidFill>
                </w14:textFill>
              </w:rPr>
              <w:t xml:space="preserve">　</w:t>
            </w:r>
            <w:r w:rsidR="00924D5E" w:rsidRPr="006E162D">
              <w:rPr>
                <w:color w:val="000000"/>
                <w:w w:val="15"/>
                <w:shd w:val="solid" w:color="000000" w:fill="000000"/>
                <w:fitText w:val="12" w:id="-961836272"/>
                <w14:textFill>
                  <w14:solidFill>
                    <w14:srgbClr w14:val="000000">
                      <w14:alpha w14:val="100000"/>
                    </w14:srgbClr>
                  </w14:solidFill>
                </w14:textFill>
              </w:rPr>
              <w:t>|</w:t>
            </w:r>
            <w:r w:rsidR="00924D5E" w:rsidRPr="006E162D">
              <w:rPr>
                <w:rFonts w:ascii="MS Gothic" w:eastAsia="MS Gothic" w:hAnsi="MS Gothic" w:cs="MS Gothic" w:hint="eastAsia"/>
                <w:color w:val="000000"/>
                <w:spacing w:val="-54"/>
                <w:w w:val="15"/>
                <w:shd w:val="solid" w:color="000000" w:fill="000000"/>
                <w:fitText w:val="12" w:id="-961836272"/>
                <w14:textFill>
                  <w14:solidFill>
                    <w14:srgbClr w14:val="000000">
                      <w14:alpha w14:val="100000"/>
                    </w14:srgbClr>
                  </w14:solidFill>
                </w14:textFill>
              </w:rPr>
              <w:t xml:space="preserve">　</w:t>
            </w:r>
          </w:p>
          <w:p w14:paraId="4FB749F9" w14:textId="67B753B0" w:rsidR="00C900D4" w:rsidRPr="00F5399D" w:rsidRDefault="00C900D4" w:rsidP="00D221AB">
            <w:pPr>
              <w:pStyle w:val="PBACTableText"/>
              <w:keepNext/>
              <w:keepLines/>
              <w:spacing w:before="0" w:after="0"/>
              <w:jc w:val="center"/>
            </w:pPr>
            <w:r w:rsidRPr="00F5399D">
              <w:t>Option B:</w:t>
            </w:r>
          </w:p>
          <w:p w14:paraId="0EFB18D4" w14:textId="606DCE6A" w:rsidR="00043676" w:rsidRPr="00F5399D" w:rsidRDefault="00043676" w:rsidP="00D221AB">
            <w:pPr>
              <w:pStyle w:val="PBACTableText"/>
              <w:keepNext/>
              <w:keepLines/>
              <w:spacing w:before="0" w:after="0"/>
              <w:jc w:val="center"/>
            </w:pPr>
            <w:r w:rsidRPr="00F5399D">
              <w:t>neoNIVO+neoChemo</w:t>
            </w:r>
          </w:p>
          <w:p w14:paraId="04C4E933" w14:textId="01FC34C9" w:rsidR="00C900D4" w:rsidRPr="00F5399D" w:rsidRDefault="00043676" w:rsidP="00D221AB">
            <w:pPr>
              <w:pStyle w:val="PBACTableText"/>
              <w:keepNext/>
              <w:keepLines/>
              <w:spacing w:before="0" w:after="0"/>
              <w:jc w:val="center"/>
            </w:pPr>
            <w:r w:rsidRPr="00F5399D">
              <w:t>=</w:t>
            </w:r>
            <w:r w:rsidR="00396EFF" w:rsidRPr="00F5399D">
              <w:t>$</w:t>
            </w:r>
            <w:r w:rsidR="00924D5E" w:rsidRPr="00F5399D">
              <w:rPr>
                <w:rFonts w:ascii="MS Gothic" w:eastAsia="MS Gothic" w:hAnsi="MS Gothic" w:cs="MS Gothic" w:hint="eastAsia"/>
                <w:color w:val="000000"/>
                <w:w w:val="31"/>
                <w:shd w:val="solid" w:color="000000" w:fill="000000"/>
                <w:fitText w:val="138" w:id="-961836288"/>
                <w14:textFill>
                  <w14:solidFill>
                    <w14:srgbClr w14:val="000000">
                      <w14:alpha w14:val="100000"/>
                    </w14:srgbClr>
                  </w14:solidFill>
                </w14:textFill>
              </w:rPr>
              <w:t xml:space="preserve">　</w:t>
            </w:r>
            <w:r w:rsidR="00924D5E" w:rsidRPr="00F5399D">
              <w:rPr>
                <w:color w:val="000000"/>
                <w:w w:val="31"/>
                <w:shd w:val="solid" w:color="000000" w:fill="000000"/>
                <w:fitText w:val="138" w:id="-961836288"/>
                <w14:textFill>
                  <w14:solidFill>
                    <w14:srgbClr w14:val="000000">
                      <w14:alpha w14:val="100000"/>
                    </w14:srgbClr>
                  </w14:solidFill>
                </w14:textFill>
              </w:rPr>
              <w:t>|</w:t>
            </w:r>
            <w:r w:rsidR="00924D5E" w:rsidRPr="00F5399D">
              <w:rPr>
                <w:rFonts w:ascii="MS Gothic" w:eastAsia="MS Gothic" w:hAnsi="MS Gothic" w:cs="MS Gothic" w:hint="eastAsia"/>
                <w:color w:val="000000"/>
                <w:w w:val="31"/>
                <w:shd w:val="solid" w:color="000000" w:fill="000000"/>
                <w:fitText w:val="138" w:id="-961836288"/>
                <w14:textFill>
                  <w14:solidFill>
                    <w14:srgbClr w14:val="000000">
                      <w14:alpha w14:val="100000"/>
                    </w14:srgbClr>
                  </w14:solidFill>
                </w14:textFill>
              </w:rPr>
              <w:t xml:space="preserve">　</w:t>
            </w:r>
            <w:r w:rsidRPr="00F5399D">
              <w:t>+$</w:t>
            </w:r>
            <w:r w:rsidR="00924D5E" w:rsidRPr="00F5399D">
              <w:rPr>
                <w:color w:val="000000"/>
                <w:shd w:val="solid" w:color="000000" w:fill="000000"/>
                <w14:textFill>
                  <w14:solidFill>
                    <w14:srgbClr w14:val="000000">
                      <w14:alpha w14:val="100000"/>
                    </w14:srgbClr>
                  </w14:solidFill>
                </w14:textFill>
              </w:rPr>
              <w:t>|</w:t>
            </w:r>
          </w:p>
        </w:tc>
        <w:tc>
          <w:tcPr>
            <w:tcW w:w="1701" w:type="dxa"/>
            <w:vAlign w:val="center"/>
          </w:tcPr>
          <w:p w14:paraId="1858F5B3" w14:textId="77777777" w:rsidR="008B3BFF" w:rsidRPr="00F5399D" w:rsidRDefault="00586226" w:rsidP="00D221AB">
            <w:pPr>
              <w:pStyle w:val="PBACTableText"/>
              <w:keepNext/>
              <w:keepLines/>
              <w:spacing w:before="0" w:after="0"/>
              <w:jc w:val="center"/>
            </w:pPr>
            <w:r w:rsidRPr="00F5399D">
              <w:t>Option A:</w:t>
            </w:r>
            <w:r w:rsidR="00B65953" w:rsidRPr="00F5399D">
              <w:t xml:space="preserve"> neoNIVO</w:t>
            </w:r>
            <w:r w:rsidR="00C318B5" w:rsidRPr="00F5399D">
              <w:t>+neoChemo</w:t>
            </w:r>
            <w:r w:rsidR="00752F3F" w:rsidRPr="00F5399D">
              <w:t xml:space="preserve"> </w:t>
            </w:r>
          </w:p>
          <w:p w14:paraId="2E64E02F" w14:textId="2B5366A3" w:rsidR="00586226" w:rsidRPr="00F5399D" w:rsidRDefault="00752F3F" w:rsidP="00D221AB">
            <w:pPr>
              <w:pStyle w:val="PBACTableText"/>
              <w:keepNext/>
              <w:keepLines/>
              <w:spacing w:before="0" w:after="0"/>
              <w:jc w:val="center"/>
            </w:pPr>
            <w:r w:rsidRPr="00F5399D">
              <w:t>=</w:t>
            </w:r>
            <w:r w:rsidR="00B65953" w:rsidRPr="00F5399D">
              <w:t xml:space="preserve"> $</w:t>
            </w:r>
            <w:r w:rsidR="00924D5E" w:rsidRPr="00F5399D">
              <w:rPr>
                <w:color w:val="000000"/>
                <w:spacing w:val="76"/>
                <w:shd w:val="solid" w:color="000000" w:fill="000000"/>
                <w:fitText w:val="162" w:id="-961836287"/>
                <w14:textFill>
                  <w14:solidFill>
                    <w14:srgbClr w14:val="000000">
                      <w14:alpha w14:val="100000"/>
                    </w14:srgbClr>
                  </w14:solidFill>
                </w14:textFill>
              </w:rPr>
              <w:t>|</w:t>
            </w:r>
            <w:r w:rsidR="00924D5E" w:rsidRPr="00F5399D">
              <w:rPr>
                <w:color w:val="000000"/>
                <w:shd w:val="solid" w:color="000000" w:fill="000000"/>
                <w:fitText w:val="162" w:id="-961836287"/>
                <w14:textFill>
                  <w14:solidFill>
                    <w14:srgbClr w14:val="000000">
                      <w14:alpha w14:val="100000"/>
                    </w14:srgbClr>
                  </w14:solidFill>
                </w14:textFill>
              </w:rPr>
              <w:t>|</w:t>
            </w:r>
            <w:r w:rsidR="00C318B5" w:rsidRPr="00F5399D">
              <w:t>+$</w:t>
            </w:r>
            <w:r w:rsidR="00924D5E" w:rsidRPr="006E162D">
              <w:rPr>
                <w:rFonts w:ascii="MS Gothic" w:eastAsia="MS Gothic" w:hAnsi="MS Gothic" w:cs="MS Gothic" w:hint="eastAsia"/>
                <w:color w:val="000000"/>
                <w:w w:val="15"/>
                <w:shd w:val="solid" w:color="000000" w:fill="000000"/>
                <w:fitText w:val="12" w:id="-961836286"/>
                <w14:textFill>
                  <w14:solidFill>
                    <w14:srgbClr w14:val="000000">
                      <w14:alpha w14:val="100000"/>
                    </w14:srgbClr>
                  </w14:solidFill>
                </w14:textFill>
              </w:rPr>
              <w:t xml:space="preserve">　</w:t>
            </w:r>
            <w:r w:rsidR="00924D5E" w:rsidRPr="006E162D">
              <w:rPr>
                <w:color w:val="000000"/>
                <w:w w:val="15"/>
                <w:shd w:val="solid" w:color="000000" w:fill="000000"/>
                <w:fitText w:val="12" w:id="-961836286"/>
                <w14:textFill>
                  <w14:solidFill>
                    <w14:srgbClr w14:val="000000">
                      <w14:alpha w14:val="100000"/>
                    </w14:srgbClr>
                  </w14:solidFill>
                </w14:textFill>
              </w:rPr>
              <w:t>|</w:t>
            </w:r>
            <w:r w:rsidR="00924D5E" w:rsidRPr="006E162D">
              <w:rPr>
                <w:rFonts w:ascii="MS Gothic" w:eastAsia="MS Gothic" w:hAnsi="MS Gothic" w:cs="MS Gothic" w:hint="eastAsia"/>
                <w:color w:val="000000"/>
                <w:spacing w:val="-54"/>
                <w:w w:val="15"/>
                <w:shd w:val="solid" w:color="000000" w:fill="000000"/>
                <w:fitText w:val="12" w:id="-961836286"/>
                <w14:textFill>
                  <w14:solidFill>
                    <w14:srgbClr w14:val="000000">
                      <w14:alpha w14:val="100000"/>
                    </w14:srgbClr>
                  </w14:solidFill>
                </w14:textFill>
              </w:rPr>
              <w:t xml:space="preserve">　</w:t>
            </w:r>
          </w:p>
          <w:p w14:paraId="3371A72A" w14:textId="29CAF7B9" w:rsidR="00C20E1F" w:rsidRPr="00F5399D" w:rsidRDefault="00586226" w:rsidP="00D221AB">
            <w:pPr>
              <w:pStyle w:val="PBACTableText"/>
              <w:keepNext/>
              <w:keepLines/>
              <w:spacing w:before="0" w:after="0"/>
              <w:jc w:val="center"/>
            </w:pPr>
            <w:r w:rsidRPr="00F5399D">
              <w:t>Option B:</w:t>
            </w:r>
          </w:p>
          <w:p w14:paraId="6EC552C1" w14:textId="77777777" w:rsidR="008B3BFF" w:rsidRPr="00F5399D" w:rsidRDefault="00C900D4" w:rsidP="00D221AB">
            <w:pPr>
              <w:pStyle w:val="PBACTableText"/>
              <w:keepNext/>
              <w:keepLines/>
              <w:spacing w:before="0" w:after="0"/>
              <w:jc w:val="center"/>
            </w:pPr>
            <w:r w:rsidRPr="00F5399D">
              <w:t>neoNIVO+neoChemo</w:t>
            </w:r>
          </w:p>
          <w:p w14:paraId="113303F9" w14:textId="40E1FD59" w:rsidR="00C900D4" w:rsidRPr="00F5399D" w:rsidRDefault="00C900D4" w:rsidP="00D221AB">
            <w:pPr>
              <w:pStyle w:val="PBACTableText"/>
              <w:keepNext/>
              <w:keepLines/>
              <w:spacing w:before="0" w:after="0"/>
              <w:jc w:val="center"/>
            </w:pPr>
            <w:r w:rsidRPr="00F5399D">
              <w:t>= $</w:t>
            </w:r>
            <w:r w:rsidR="00924D5E" w:rsidRPr="00F5399D">
              <w:rPr>
                <w:color w:val="000000"/>
                <w:spacing w:val="76"/>
                <w:shd w:val="solid" w:color="000000" w:fill="000000"/>
                <w:fitText w:val="162" w:id="-961836285"/>
                <w14:textFill>
                  <w14:solidFill>
                    <w14:srgbClr w14:val="000000">
                      <w14:alpha w14:val="100000"/>
                    </w14:srgbClr>
                  </w14:solidFill>
                </w14:textFill>
              </w:rPr>
              <w:t>|</w:t>
            </w:r>
            <w:r w:rsidR="00924D5E" w:rsidRPr="00F5399D">
              <w:rPr>
                <w:color w:val="000000"/>
                <w:shd w:val="solid" w:color="000000" w:fill="000000"/>
                <w:fitText w:val="162" w:id="-961836285"/>
                <w14:textFill>
                  <w14:solidFill>
                    <w14:srgbClr w14:val="000000">
                      <w14:alpha w14:val="100000"/>
                    </w14:srgbClr>
                  </w14:solidFill>
                </w14:textFill>
              </w:rPr>
              <w:t>|</w:t>
            </w:r>
            <w:r w:rsidRPr="00F5399D">
              <w:t>+$</w:t>
            </w:r>
            <w:r w:rsidR="00924D5E" w:rsidRPr="006E162D">
              <w:rPr>
                <w:rFonts w:ascii="MS Gothic" w:eastAsia="MS Gothic" w:hAnsi="MS Gothic" w:cs="MS Gothic" w:hint="eastAsia"/>
                <w:color w:val="000000"/>
                <w:w w:val="15"/>
                <w:shd w:val="solid" w:color="000000" w:fill="000000"/>
                <w:fitText w:val="12" w:id="-961836284"/>
                <w14:textFill>
                  <w14:solidFill>
                    <w14:srgbClr w14:val="000000">
                      <w14:alpha w14:val="100000"/>
                    </w14:srgbClr>
                  </w14:solidFill>
                </w14:textFill>
              </w:rPr>
              <w:t xml:space="preserve">　</w:t>
            </w:r>
            <w:r w:rsidR="00924D5E" w:rsidRPr="006E162D">
              <w:rPr>
                <w:color w:val="000000"/>
                <w:w w:val="15"/>
                <w:shd w:val="solid" w:color="000000" w:fill="000000"/>
                <w:fitText w:val="12" w:id="-961836284"/>
                <w14:textFill>
                  <w14:solidFill>
                    <w14:srgbClr w14:val="000000">
                      <w14:alpha w14:val="100000"/>
                    </w14:srgbClr>
                  </w14:solidFill>
                </w14:textFill>
              </w:rPr>
              <w:t>|</w:t>
            </w:r>
            <w:r w:rsidR="00924D5E" w:rsidRPr="006E162D">
              <w:rPr>
                <w:rFonts w:ascii="MS Gothic" w:eastAsia="MS Gothic" w:hAnsi="MS Gothic" w:cs="MS Gothic" w:hint="eastAsia"/>
                <w:color w:val="000000"/>
                <w:spacing w:val="-54"/>
                <w:w w:val="15"/>
                <w:shd w:val="solid" w:color="000000" w:fill="000000"/>
                <w:fitText w:val="12" w:id="-961836284"/>
                <w14:textFill>
                  <w14:solidFill>
                    <w14:srgbClr w14:val="000000">
                      <w14:alpha w14:val="100000"/>
                    </w14:srgbClr>
                  </w14:solidFill>
                </w14:textFill>
              </w:rPr>
              <w:t xml:space="preserve">　</w:t>
            </w:r>
          </w:p>
        </w:tc>
        <w:tc>
          <w:tcPr>
            <w:tcW w:w="1559" w:type="dxa"/>
            <w:vAlign w:val="center"/>
          </w:tcPr>
          <w:p w14:paraId="389D8F1D" w14:textId="77777777" w:rsidR="00B65953" w:rsidRPr="00F5399D" w:rsidRDefault="00586226" w:rsidP="00D221AB">
            <w:pPr>
              <w:pStyle w:val="PBACTableText"/>
              <w:keepNext/>
              <w:keepLines/>
              <w:spacing w:before="0" w:after="0"/>
              <w:jc w:val="center"/>
            </w:pPr>
            <w:r w:rsidRPr="00F5399D">
              <w:t xml:space="preserve">Option A: </w:t>
            </w:r>
          </w:p>
          <w:p w14:paraId="095D86DF" w14:textId="448ACFF3" w:rsidR="0026029D" w:rsidRPr="00F5399D" w:rsidRDefault="00B65953" w:rsidP="00D221AB">
            <w:pPr>
              <w:pStyle w:val="PBACTableText"/>
              <w:keepNext/>
              <w:keepLines/>
              <w:spacing w:before="0" w:after="0"/>
              <w:jc w:val="center"/>
            </w:pPr>
            <w:r w:rsidRPr="00F5399D">
              <w:t xml:space="preserve">neoNIVO = </w:t>
            </w:r>
            <w:r w:rsidR="0026029D" w:rsidRPr="00F5399D">
              <w:t>$</w:t>
            </w:r>
            <w:r w:rsidR="00924D5E" w:rsidRPr="00F5399D">
              <w:rPr>
                <w:color w:val="000000"/>
                <w:spacing w:val="202"/>
                <w:shd w:val="solid" w:color="000000" w:fill="000000"/>
                <w:fitText w:val="288" w:id="-961836283"/>
                <w14:textFill>
                  <w14:solidFill>
                    <w14:srgbClr w14:val="000000">
                      <w14:alpha w14:val="100000"/>
                    </w14:srgbClr>
                  </w14:solidFill>
                </w14:textFill>
              </w:rPr>
              <w:t>|</w:t>
            </w:r>
            <w:r w:rsidR="00924D5E" w:rsidRPr="00F5399D">
              <w:rPr>
                <w:color w:val="000000"/>
                <w:shd w:val="solid" w:color="000000" w:fill="000000"/>
                <w:fitText w:val="288" w:id="-961836283"/>
                <w14:textFill>
                  <w14:solidFill>
                    <w14:srgbClr w14:val="000000">
                      <w14:alpha w14:val="100000"/>
                    </w14:srgbClr>
                  </w14:solidFill>
                </w14:textFill>
              </w:rPr>
              <w:t>|</w:t>
            </w:r>
          </w:p>
          <w:p w14:paraId="4EECD78C" w14:textId="69980DFD" w:rsidR="00586226" w:rsidRPr="00F5399D" w:rsidRDefault="00586226" w:rsidP="00D221AB">
            <w:pPr>
              <w:pStyle w:val="PBACTableText"/>
              <w:keepNext/>
              <w:keepLines/>
              <w:spacing w:before="0" w:after="0"/>
              <w:jc w:val="center"/>
            </w:pPr>
            <w:r w:rsidRPr="00F5399D">
              <w:t>Option B:</w:t>
            </w:r>
          </w:p>
          <w:p w14:paraId="6D2C3501" w14:textId="2C546F6F" w:rsidR="00C20E1F" w:rsidRPr="00F5399D" w:rsidRDefault="00B65953" w:rsidP="00D221AB">
            <w:pPr>
              <w:pStyle w:val="PBACTableText"/>
              <w:keepNext/>
              <w:keepLines/>
              <w:spacing w:before="0" w:after="0"/>
              <w:jc w:val="center"/>
            </w:pPr>
            <w:r w:rsidRPr="00F5399D">
              <w:t xml:space="preserve">neoNIVO = </w:t>
            </w:r>
            <w:r w:rsidR="00A66E46" w:rsidRPr="00F5399D">
              <w:t>$</w:t>
            </w:r>
            <w:r w:rsidR="00924D5E" w:rsidRPr="00F5399D">
              <w:rPr>
                <w:color w:val="000000"/>
                <w:spacing w:val="202"/>
                <w:shd w:val="solid" w:color="000000" w:fill="000000"/>
                <w:fitText w:val="288" w:id="-961836282"/>
                <w14:textFill>
                  <w14:solidFill>
                    <w14:srgbClr w14:val="000000">
                      <w14:alpha w14:val="100000"/>
                    </w14:srgbClr>
                  </w14:solidFill>
                </w14:textFill>
              </w:rPr>
              <w:t>|</w:t>
            </w:r>
            <w:r w:rsidR="00924D5E" w:rsidRPr="00F5399D">
              <w:rPr>
                <w:color w:val="000000"/>
                <w:shd w:val="solid" w:color="000000" w:fill="000000"/>
                <w:fitText w:val="288" w:id="-961836282"/>
                <w14:textFill>
                  <w14:solidFill>
                    <w14:srgbClr w14:val="000000">
                      <w14:alpha w14:val="100000"/>
                    </w14:srgbClr>
                  </w14:solidFill>
                </w14:textFill>
              </w:rPr>
              <w:t>|</w:t>
            </w:r>
          </w:p>
        </w:tc>
        <w:tc>
          <w:tcPr>
            <w:tcW w:w="1276" w:type="dxa"/>
            <w:vAlign w:val="center"/>
          </w:tcPr>
          <w:p w14:paraId="53FA677D" w14:textId="571DAFF7" w:rsidR="00C20E1F" w:rsidRPr="00F5399D" w:rsidRDefault="00C20E1F" w:rsidP="00D221AB">
            <w:pPr>
              <w:pStyle w:val="PBACTableText"/>
              <w:keepNext/>
              <w:keepLines/>
              <w:spacing w:before="0" w:after="0"/>
              <w:jc w:val="center"/>
            </w:pPr>
            <w:r w:rsidRPr="00F5399D">
              <w:t>$418</w:t>
            </w:r>
          </w:p>
        </w:tc>
        <w:tc>
          <w:tcPr>
            <w:tcW w:w="828" w:type="dxa"/>
            <w:vAlign w:val="center"/>
          </w:tcPr>
          <w:p w14:paraId="4861177A" w14:textId="4F55CB78" w:rsidR="00C20E1F" w:rsidRPr="00F5399D" w:rsidRDefault="00C20E1F" w:rsidP="00D221AB">
            <w:pPr>
              <w:pStyle w:val="PBACTableText"/>
              <w:keepNext/>
              <w:keepLines/>
              <w:spacing w:before="0" w:after="0"/>
              <w:jc w:val="center"/>
            </w:pPr>
            <w:r w:rsidRPr="00F5399D">
              <w:t>$418</w:t>
            </w:r>
          </w:p>
        </w:tc>
        <w:tc>
          <w:tcPr>
            <w:tcW w:w="964" w:type="dxa"/>
            <w:vAlign w:val="center"/>
          </w:tcPr>
          <w:p w14:paraId="4FCE80D5" w14:textId="6708EA38" w:rsidR="00C20E1F" w:rsidRPr="00F5399D" w:rsidRDefault="00C20E1F" w:rsidP="00D221AB">
            <w:pPr>
              <w:pStyle w:val="PBACTableText"/>
              <w:keepNext/>
              <w:keepLines/>
              <w:spacing w:before="0" w:after="0"/>
              <w:jc w:val="center"/>
            </w:pPr>
            <w:r w:rsidRPr="00F5399D">
              <w:t>Not reported</w:t>
            </w:r>
          </w:p>
        </w:tc>
      </w:tr>
      <w:tr w:rsidR="008B3BFF" w:rsidRPr="00CD4FAB" w14:paraId="1A5F1B43" w14:textId="77777777" w:rsidTr="00D221AB">
        <w:tc>
          <w:tcPr>
            <w:tcW w:w="988" w:type="dxa"/>
            <w:vAlign w:val="center"/>
          </w:tcPr>
          <w:p w14:paraId="3B6D5BB5" w14:textId="658F7E44" w:rsidR="00C20E1F" w:rsidRPr="00F5399D" w:rsidRDefault="00C20E1F" w:rsidP="00D221AB">
            <w:pPr>
              <w:pStyle w:val="PBACTableText"/>
              <w:keepNext/>
              <w:keepLines/>
              <w:spacing w:before="0" w:after="0"/>
            </w:pPr>
            <w:r w:rsidRPr="00F5399D">
              <w:t>Cost/patient/course</w:t>
            </w:r>
          </w:p>
        </w:tc>
        <w:tc>
          <w:tcPr>
            <w:tcW w:w="1701" w:type="dxa"/>
            <w:vAlign w:val="center"/>
          </w:tcPr>
          <w:p w14:paraId="6D640F56" w14:textId="26DCAE60" w:rsidR="00C20E1F" w:rsidRPr="00F5399D" w:rsidRDefault="00396EFF" w:rsidP="00D221AB">
            <w:pPr>
              <w:pStyle w:val="PBACTableText"/>
              <w:keepNext/>
              <w:keepLines/>
              <w:spacing w:before="0" w:after="0"/>
              <w:jc w:val="center"/>
            </w:pPr>
            <w:r w:rsidRPr="00F5399D">
              <w:t>$</w:t>
            </w:r>
            <w:r w:rsidR="00924D5E" w:rsidRPr="00F5399D">
              <w:rPr>
                <w:color w:val="000000"/>
                <w:shd w:val="solid" w:color="000000" w:fill="000000"/>
                <w14:textFill>
                  <w14:solidFill>
                    <w14:srgbClr w14:val="000000">
                      <w14:alpha w14:val="100000"/>
                    </w14:srgbClr>
                  </w14:solidFill>
                </w14:textFill>
              </w:rPr>
              <w:t>|</w:t>
            </w:r>
          </w:p>
        </w:tc>
        <w:tc>
          <w:tcPr>
            <w:tcW w:w="1701" w:type="dxa"/>
            <w:vAlign w:val="center"/>
          </w:tcPr>
          <w:p w14:paraId="00D968F2" w14:textId="6857E6E8" w:rsidR="00C20E1F" w:rsidRPr="00F5399D" w:rsidRDefault="00F90257" w:rsidP="00D221AB">
            <w:pPr>
              <w:pStyle w:val="PBACTableText"/>
              <w:keepNext/>
              <w:keepLines/>
              <w:spacing w:before="0" w:after="0"/>
              <w:jc w:val="center"/>
            </w:pPr>
            <w:r w:rsidRPr="00F5399D">
              <w:t>Option A:</w:t>
            </w:r>
          </w:p>
          <w:p w14:paraId="03BCC002" w14:textId="6A30B784" w:rsidR="00F90257" w:rsidRPr="00F5399D" w:rsidRDefault="00F90257" w:rsidP="00D221AB">
            <w:pPr>
              <w:pStyle w:val="PBACTableText"/>
              <w:keepNext/>
              <w:keepLines/>
              <w:spacing w:before="0" w:after="0"/>
              <w:jc w:val="center"/>
            </w:pPr>
            <w:r w:rsidRPr="00F5399D">
              <w:t>neoNIVO+neoChemo</w:t>
            </w:r>
          </w:p>
          <w:p w14:paraId="69FD4241" w14:textId="1D11DBB8" w:rsidR="00F90257" w:rsidRPr="00F5399D" w:rsidRDefault="00175717" w:rsidP="00D221AB">
            <w:pPr>
              <w:pStyle w:val="PBACTableText"/>
              <w:keepNext/>
              <w:keepLines/>
              <w:spacing w:before="0" w:after="0"/>
              <w:jc w:val="center"/>
            </w:pPr>
            <w:r w:rsidRPr="00F5399D">
              <w:t>= $</w:t>
            </w:r>
            <w:r w:rsidR="00924D5E" w:rsidRPr="00F5399D">
              <w:rPr>
                <w:color w:val="000000"/>
                <w:spacing w:val="76"/>
                <w:shd w:val="solid" w:color="000000" w:fill="000000"/>
                <w:fitText w:val="162" w:id="-961836032"/>
                <w14:textFill>
                  <w14:solidFill>
                    <w14:srgbClr w14:val="000000">
                      <w14:alpha w14:val="100000"/>
                    </w14:srgbClr>
                  </w14:solidFill>
                </w14:textFill>
              </w:rPr>
              <w:t>|</w:t>
            </w:r>
            <w:r w:rsidR="00924D5E" w:rsidRPr="00F5399D">
              <w:rPr>
                <w:color w:val="000000"/>
                <w:shd w:val="solid" w:color="000000" w:fill="000000"/>
                <w:fitText w:val="162" w:id="-961836032"/>
                <w14:textFill>
                  <w14:solidFill>
                    <w14:srgbClr w14:val="000000">
                      <w14:alpha w14:val="100000"/>
                    </w14:srgbClr>
                  </w14:solidFill>
                </w14:textFill>
              </w:rPr>
              <w:t>|</w:t>
            </w:r>
            <w:r w:rsidRPr="00F5399D">
              <w:t>+$</w:t>
            </w:r>
            <w:r w:rsidR="00924D5E" w:rsidRPr="006E162D">
              <w:rPr>
                <w:rFonts w:ascii="MS Gothic" w:eastAsia="MS Gothic" w:hAnsi="MS Gothic" w:cs="MS Gothic" w:hint="eastAsia"/>
                <w:color w:val="000000"/>
                <w:w w:val="15"/>
                <w:shd w:val="solid" w:color="000000" w:fill="000000"/>
                <w:fitText w:val="12" w:id="-961836031"/>
                <w14:textFill>
                  <w14:solidFill>
                    <w14:srgbClr w14:val="000000">
                      <w14:alpha w14:val="100000"/>
                    </w14:srgbClr>
                  </w14:solidFill>
                </w14:textFill>
              </w:rPr>
              <w:t xml:space="preserve">　</w:t>
            </w:r>
            <w:r w:rsidR="00924D5E" w:rsidRPr="006E162D">
              <w:rPr>
                <w:color w:val="000000"/>
                <w:w w:val="15"/>
                <w:shd w:val="solid" w:color="000000" w:fill="000000"/>
                <w:fitText w:val="12" w:id="-961836031"/>
                <w14:textFill>
                  <w14:solidFill>
                    <w14:srgbClr w14:val="000000">
                      <w14:alpha w14:val="100000"/>
                    </w14:srgbClr>
                  </w14:solidFill>
                </w14:textFill>
              </w:rPr>
              <w:t>|</w:t>
            </w:r>
            <w:r w:rsidR="00924D5E" w:rsidRPr="006E162D">
              <w:rPr>
                <w:rFonts w:ascii="MS Gothic" w:eastAsia="MS Gothic" w:hAnsi="MS Gothic" w:cs="MS Gothic" w:hint="eastAsia"/>
                <w:color w:val="000000"/>
                <w:spacing w:val="-54"/>
                <w:w w:val="15"/>
                <w:shd w:val="solid" w:color="000000" w:fill="000000"/>
                <w:fitText w:val="12" w:id="-961836031"/>
                <w14:textFill>
                  <w14:solidFill>
                    <w14:srgbClr w14:val="000000">
                      <w14:alpha w14:val="100000"/>
                    </w14:srgbClr>
                  </w14:solidFill>
                </w14:textFill>
              </w:rPr>
              <w:t xml:space="preserve">　</w:t>
            </w:r>
          </w:p>
          <w:p w14:paraId="15A273C4" w14:textId="5868C8FE" w:rsidR="00F90257" w:rsidRPr="00F5399D" w:rsidRDefault="00F90257" w:rsidP="00D221AB">
            <w:pPr>
              <w:pStyle w:val="PBACTableText"/>
              <w:keepNext/>
              <w:keepLines/>
              <w:spacing w:before="0" w:after="0"/>
              <w:jc w:val="center"/>
            </w:pPr>
            <w:r w:rsidRPr="00F5399D">
              <w:t>Option B:</w:t>
            </w:r>
          </w:p>
          <w:p w14:paraId="3E431DE2" w14:textId="61F7D1C6" w:rsidR="00F90257" w:rsidRPr="00F5399D" w:rsidRDefault="00F90257" w:rsidP="00D221AB">
            <w:pPr>
              <w:pStyle w:val="PBACTableText"/>
              <w:keepNext/>
              <w:keepLines/>
              <w:spacing w:before="0" w:after="0"/>
              <w:jc w:val="center"/>
            </w:pPr>
            <w:r w:rsidRPr="00F5399D">
              <w:t>neoNIVO+neoChemo</w:t>
            </w:r>
          </w:p>
          <w:p w14:paraId="32AD3541" w14:textId="1B492401" w:rsidR="00F90257" w:rsidRPr="00F5399D" w:rsidRDefault="00175717" w:rsidP="00D221AB">
            <w:pPr>
              <w:pStyle w:val="PBACTableText"/>
              <w:keepNext/>
              <w:keepLines/>
              <w:spacing w:before="0" w:after="0"/>
              <w:jc w:val="center"/>
            </w:pPr>
            <w:r w:rsidRPr="00F5399D">
              <w:t>= $</w:t>
            </w:r>
            <w:r w:rsidR="00924D5E" w:rsidRPr="00F5399D">
              <w:rPr>
                <w:color w:val="000000"/>
                <w:spacing w:val="76"/>
                <w:shd w:val="solid" w:color="000000" w:fill="000000"/>
                <w:fitText w:val="162" w:id="-961836030"/>
                <w14:textFill>
                  <w14:solidFill>
                    <w14:srgbClr w14:val="000000">
                      <w14:alpha w14:val="100000"/>
                    </w14:srgbClr>
                  </w14:solidFill>
                </w14:textFill>
              </w:rPr>
              <w:t>|</w:t>
            </w:r>
            <w:r w:rsidR="00924D5E" w:rsidRPr="00F5399D">
              <w:rPr>
                <w:color w:val="000000"/>
                <w:shd w:val="solid" w:color="000000" w:fill="000000"/>
                <w:fitText w:val="162" w:id="-961836030"/>
                <w14:textFill>
                  <w14:solidFill>
                    <w14:srgbClr w14:val="000000">
                      <w14:alpha w14:val="100000"/>
                    </w14:srgbClr>
                  </w14:solidFill>
                </w14:textFill>
              </w:rPr>
              <w:t>|</w:t>
            </w:r>
            <w:r w:rsidR="00920237" w:rsidRPr="00F5399D">
              <w:t>+$</w:t>
            </w:r>
            <w:r w:rsidR="00924D5E" w:rsidRPr="006E162D">
              <w:rPr>
                <w:rFonts w:ascii="MS Gothic" w:eastAsia="MS Gothic" w:hAnsi="MS Gothic" w:cs="MS Gothic" w:hint="eastAsia"/>
                <w:color w:val="000000"/>
                <w:w w:val="15"/>
                <w:shd w:val="solid" w:color="000000" w:fill="000000"/>
                <w:fitText w:val="12" w:id="-961836029"/>
                <w14:textFill>
                  <w14:solidFill>
                    <w14:srgbClr w14:val="000000">
                      <w14:alpha w14:val="100000"/>
                    </w14:srgbClr>
                  </w14:solidFill>
                </w14:textFill>
              </w:rPr>
              <w:t xml:space="preserve">　</w:t>
            </w:r>
            <w:r w:rsidR="00924D5E" w:rsidRPr="006E162D">
              <w:rPr>
                <w:color w:val="000000"/>
                <w:w w:val="15"/>
                <w:shd w:val="solid" w:color="000000" w:fill="000000"/>
                <w:fitText w:val="12" w:id="-961836029"/>
                <w14:textFill>
                  <w14:solidFill>
                    <w14:srgbClr w14:val="000000">
                      <w14:alpha w14:val="100000"/>
                    </w14:srgbClr>
                  </w14:solidFill>
                </w14:textFill>
              </w:rPr>
              <w:t>|</w:t>
            </w:r>
            <w:r w:rsidR="00924D5E" w:rsidRPr="006E162D">
              <w:rPr>
                <w:rFonts w:ascii="MS Gothic" w:eastAsia="MS Gothic" w:hAnsi="MS Gothic" w:cs="MS Gothic" w:hint="eastAsia"/>
                <w:color w:val="000000"/>
                <w:spacing w:val="-54"/>
                <w:w w:val="15"/>
                <w:shd w:val="solid" w:color="000000" w:fill="000000"/>
                <w:fitText w:val="12" w:id="-961836029"/>
                <w14:textFill>
                  <w14:solidFill>
                    <w14:srgbClr w14:val="000000">
                      <w14:alpha w14:val="100000"/>
                    </w14:srgbClr>
                  </w14:solidFill>
                </w14:textFill>
              </w:rPr>
              <w:t xml:space="preserve">　</w:t>
            </w:r>
          </w:p>
        </w:tc>
        <w:tc>
          <w:tcPr>
            <w:tcW w:w="1559" w:type="dxa"/>
            <w:vAlign w:val="center"/>
          </w:tcPr>
          <w:p w14:paraId="718B9BDA" w14:textId="77777777" w:rsidR="0026029D" w:rsidRPr="00F5399D" w:rsidRDefault="0026029D" w:rsidP="00D221AB">
            <w:pPr>
              <w:pStyle w:val="PBACTableText"/>
              <w:keepNext/>
              <w:keepLines/>
              <w:spacing w:before="0" w:after="0"/>
              <w:jc w:val="center"/>
            </w:pPr>
            <w:r w:rsidRPr="00F5399D">
              <w:t xml:space="preserve">Option A: </w:t>
            </w:r>
          </w:p>
          <w:p w14:paraId="405DFA48" w14:textId="77777777" w:rsidR="008B3BFF" w:rsidRPr="00F5399D" w:rsidRDefault="0026029D" w:rsidP="00D221AB">
            <w:pPr>
              <w:pStyle w:val="PBACTableText"/>
              <w:keepNext/>
              <w:keepLines/>
              <w:spacing w:before="0" w:after="0"/>
              <w:jc w:val="center"/>
            </w:pPr>
            <w:r w:rsidRPr="00F5399D">
              <w:t xml:space="preserve">neoNIVO </w:t>
            </w:r>
          </w:p>
          <w:p w14:paraId="1C6C2C0C" w14:textId="6A8A939F" w:rsidR="0026029D" w:rsidRPr="00F5399D" w:rsidRDefault="0026029D" w:rsidP="00D221AB">
            <w:pPr>
              <w:pStyle w:val="PBACTableText"/>
              <w:keepNext/>
              <w:keepLines/>
              <w:spacing w:before="0" w:after="0"/>
              <w:jc w:val="center"/>
            </w:pPr>
            <w:r w:rsidRPr="00F5399D">
              <w:t>= $</w:t>
            </w:r>
            <w:r w:rsidR="00924D5E" w:rsidRPr="00F5399D">
              <w:rPr>
                <w:color w:val="000000"/>
                <w:shd w:val="solid" w:color="000000" w:fill="000000"/>
                <w14:textFill>
                  <w14:solidFill>
                    <w14:srgbClr w14:val="000000">
                      <w14:alpha w14:val="100000"/>
                    </w14:srgbClr>
                  </w14:solidFill>
                </w14:textFill>
              </w:rPr>
              <w:t>|</w:t>
            </w:r>
          </w:p>
          <w:p w14:paraId="7CE2850C" w14:textId="77777777" w:rsidR="0026029D" w:rsidRPr="00F5399D" w:rsidRDefault="0026029D" w:rsidP="00D221AB">
            <w:pPr>
              <w:pStyle w:val="PBACTableText"/>
              <w:keepNext/>
              <w:keepLines/>
              <w:spacing w:before="0" w:after="0"/>
              <w:jc w:val="center"/>
            </w:pPr>
            <w:r w:rsidRPr="00F5399D">
              <w:t>Option B:</w:t>
            </w:r>
          </w:p>
          <w:p w14:paraId="6A1F2EB0" w14:textId="77777777" w:rsidR="008B3BFF" w:rsidRPr="00F5399D" w:rsidRDefault="0026029D" w:rsidP="00D221AB">
            <w:pPr>
              <w:pStyle w:val="PBACTableText"/>
              <w:keepNext/>
              <w:keepLines/>
              <w:spacing w:before="0" w:after="0"/>
              <w:jc w:val="center"/>
            </w:pPr>
            <w:r w:rsidRPr="00F5399D">
              <w:t>neoNIVO</w:t>
            </w:r>
          </w:p>
          <w:p w14:paraId="39E0BE61" w14:textId="77724D24" w:rsidR="00C20E1F" w:rsidRPr="00F5399D" w:rsidRDefault="0026029D" w:rsidP="00D221AB">
            <w:pPr>
              <w:pStyle w:val="PBACTableText"/>
              <w:keepNext/>
              <w:keepLines/>
              <w:spacing w:before="0" w:after="0"/>
              <w:jc w:val="center"/>
            </w:pPr>
            <w:r w:rsidRPr="00F5399D">
              <w:t xml:space="preserve"> =</w:t>
            </w:r>
            <w:r w:rsidR="008B3BFF" w:rsidRPr="00F5399D">
              <w:t xml:space="preserve"> </w:t>
            </w:r>
            <w:r w:rsidR="00A66E46" w:rsidRPr="00F5399D">
              <w:t>$</w:t>
            </w:r>
            <w:r w:rsidR="00924D5E" w:rsidRPr="00F5399D">
              <w:rPr>
                <w:color w:val="000000"/>
                <w:shd w:val="solid" w:color="000000" w:fill="000000"/>
                <w14:textFill>
                  <w14:solidFill>
                    <w14:srgbClr w14:val="000000">
                      <w14:alpha w14:val="100000"/>
                    </w14:srgbClr>
                  </w14:solidFill>
                </w14:textFill>
              </w:rPr>
              <w:t>|</w:t>
            </w:r>
          </w:p>
        </w:tc>
        <w:tc>
          <w:tcPr>
            <w:tcW w:w="1276" w:type="dxa"/>
            <w:vAlign w:val="center"/>
          </w:tcPr>
          <w:p w14:paraId="7DF458D0" w14:textId="277C30E7" w:rsidR="00C20E1F" w:rsidRPr="00F5399D" w:rsidRDefault="00C20E1F" w:rsidP="00D221AB">
            <w:pPr>
              <w:pStyle w:val="PBACTableText"/>
              <w:keepNext/>
              <w:keepLines/>
              <w:spacing w:before="0" w:after="0"/>
              <w:jc w:val="center"/>
            </w:pPr>
            <w:r w:rsidRPr="00F5399D">
              <w:t>$1,133</w:t>
            </w:r>
          </w:p>
        </w:tc>
        <w:tc>
          <w:tcPr>
            <w:tcW w:w="828" w:type="dxa"/>
            <w:vAlign w:val="center"/>
          </w:tcPr>
          <w:p w14:paraId="22003201" w14:textId="2B0F081F" w:rsidR="00C20E1F" w:rsidRPr="00F5399D" w:rsidRDefault="00C20E1F" w:rsidP="00D221AB">
            <w:pPr>
              <w:pStyle w:val="PBACTableText"/>
              <w:keepNext/>
              <w:keepLines/>
              <w:spacing w:before="0" w:after="0"/>
              <w:jc w:val="center"/>
            </w:pPr>
            <w:r w:rsidRPr="00F5399D">
              <w:t>$1,</w:t>
            </w:r>
            <w:r w:rsidR="00175717" w:rsidRPr="00F5399D">
              <w:t>250</w:t>
            </w:r>
          </w:p>
        </w:tc>
        <w:tc>
          <w:tcPr>
            <w:tcW w:w="964" w:type="dxa"/>
            <w:vAlign w:val="center"/>
          </w:tcPr>
          <w:p w14:paraId="7C8B0F60" w14:textId="5CD144A1" w:rsidR="00C20E1F" w:rsidRPr="00F5399D" w:rsidRDefault="00043676" w:rsidP="00D221AB">
            <w:pPr>
              <w:pStyle w:val="PBACTableText"/>
              <w:keepNext/>
              <w:keepLines/>
              <w:spacing w:before="0" w:after="0"/>
              <w:jc w:val="center"/>
            </w:pPr>
            <w:r w:rsidRPr="00F5399D">
              <w:t>Not reported</w:t>
            </w:r>
          </w:p>
        </w:tc>
      </w:tr>
    </w:tbl>
    <w:p w14:paraId="3BFAE421" w14:textId="044D00EC" w:rsidR="00C20E1F" w:rsidRPr="007A561E" w:rsidRDefault="00C20E1F" w:rsidP="00D221AB">
      <w:pPr>
        <w:pStyle w:val="FooterTableFigure"/>
        <w:keepNext/>
        <w:keepLines/>
        <w:jc w:val="both"/>
        <w:rPr>
          <w:szCs w:val="18"/>
        </w:rPr>
      </w:pPr>
      <w:r w:rsidRPr="007A561E">
        <w:rPr>
          <w:szCs w:val="18"/>
        </w:rPr>
        <w:t xml:space="preserve">Source: Table constructed during the evaluation, based on Table 24, nivolumab PSD, March  2023 PBAC meeting </w:t>
      </w:r>
    </w:p>
    <w:p w14:paraId="230EA48D" w14:textId="77777777" w:rsidR="00C20E1F" w:rsidRPr="007A561E" w:rsidRDefault="00C20E1F" w:rsidP="00D221AB">
      <w:pPr>
        <w:pStyle w:val="FooterTableFigure"/>
        <w:keepNext/>
        <w:keepLines/>
        <w:jc w:val="both"/>
        <w:rPr>
          <w:szCs w:val="18"/>
        </w:rPr>
      </w:pPr>
      <w:r w:rsidRPr="007A561E">
        <w:rPr>
          <w:szCs w:val="18"/>
        </w:rPr>
        <w:t xml:space="preserve">chemo = chemotherapy; NIVO = nivolumab; Q3W = every 3 weeks </w:t>
      </w:r>
    </w:p>
    <w:p w14:paraId="03CB718B" w14:textId="5DBB9E91" w:rsidR="00C20E1F" w:rsidRPr="00CD4FAB" w:rsidRDefault="00C20E1F" w:rsidP="00D221AB">
      <w:pPr>
        <w:pStyle w:val="FooterTableFigure"/>
        <w:keepNext/>
        <w:keepLines/>
        <w:jc w:val="both"/>
        <w:rPr>
          <w:szCs w:val="18"/>
        </w:rPr>
      </w:pPr>
      <w:proofErr w:type="spellStart"/>
      <w:r w:rsidRPr="00CD4FAB">
        <w:rPr>
          <w:szCs w:val="18"/>
          <w:vertAlign w:val="superscript"/>
        </w:rPr>
        <w:t>a</w:t>
      </w:r>
      <w:proofErr w:type="spellEnd"/>
      <w:r w:rsidR="00A358FB" w:rsidRPr="00CD4FAB">
        <w:rPr>
          <w:szCs w:val="18"/>
          <w:vertAlign w:val="superscript"/>
        </w:rPr>
        <w:t xml:space="preserve"> </w:t>
      </w:r>
      <w:r w:rsidRPr="00CD4FAB">
        <w:rPr>
          <w:szCs w:val="18"/>
        </w:rPr>
        <w:t xml:space="preserve">The dosing of chemotherapies vary across agents. The dose regimens for chemotherapies used in the economic model were sourced from the key Trial CM816 and were generally consistent with the Australian treatment guidelines and product information documents. </w:t>
      </w:r>
    </w:p>
    <w:p w14:paraId="2ECF9D71" w14:textId="77777777" w:rsidR="00C20E1F" w:rsidRPr="00CD4FAB" w:rsidRDefault="00C20E1F" w:rsidP="00D221AB">
      <w:pPr>
        <w:pStyle w:val="FooterTableFigure"/>
        <w:keepNext/>
        <w:keepLines/>
        <w:jc w:val="both"/>
        <w:rPr>
          <w:szCs w:val="18"/>
        </w:rPr>
      </w:pPr>
      <w:r w:rsidRPr="00CD4FAB">
        <w:rPr>
          <w:szCs w:val="18"/>
          <w:vertAlign w:val="superscript"/>
        </w:rPr>
        <w:t xml:space="preserve">b </w:t>
      </w:r>
      <w:r w:rsidRPr="00CD4FAB">
        <w:rPr>
          <w:szCs w:val="18"/>
        </w:rPr>
        <w:t xml:space="preserve">Mean number of treatment cycles for nivolumab calculated based on data provided in Table 6.1-1, p91 of the clinical study report of Trial CM816. The number of treatment cycles for chemotherapy agents were slightly different from that for nivolumab. </w:t>
      </w:r>
    </w:p>
    <w:p w14:paraId="7E71D8E8" w14:textId="477B6D83" w:rsidR="00043676" w:rsidRPr="00CD4FAB" w:rsidRDefault="00C20E1F" w:rsidP="00D221AB">
      <w:pPr>
        <w:pStyle w:val="FooterTableFigure"/>
        <w:jc w:val="both"/>
        <w:rPr>
          <w:szCs w:val="18"/>
        </w:rPr>
      </w:pPr>
      <w:r w:rsidRPr="00CD4FAB">
        <w:rPr>
          <w:szCs w:val="18"/>
          <w:vertAlign w:val="superscript"/>
        </w:rPr>
        <w:t xml:space="preserve">c </w:t>
      </w:r>
      <w:r w:rsidRPr="00CD4FAB">
        <w:rPr>
          <w:szCs w:val="18"/>
        </w:rPr>
        <w:t xml:space="preserve">Mean number of cycles for cisplatin calculated based on data provided in Table S.4.1.1, p111 of “CheckMate 816 Supplement tables”. The number of treatment cycles for other chemotherapy agents were slightly different from that for cisplatin. </w:t>
      </w:r>
    </w:p>
    <w:p w14:paraId="268768EF" w14:textId="71F82CED" w:rsidR="00B60939" w:rsidRPr="00CD4FAB" w:rsidRDefault="00B60939" w:rsidP="002B05A1">
      <w:pPr>
        <w:pStyle w:val="4-SubsectionHeading"/>
      </w:pPr>
      <w:bookmarkStart w:id="38" w:name="_Toc156979621"/>
      <w:r w:rsidRPr="00CD4FAB">
        <w:t>Estimated PBS usage &amp; financial implications</w:t>
      </w:r>
      <w:bookmarkEnd w:id="37"/>
      <w:bookmarkEnd w:id="38"/>
    </w:p>
    <w:p w14:paraId="04B31D2D" w14:textId="0847565A" w:rsidR="0072416F" w:rsidRPr="00CD4FAB" w:rsidRDefault="00C25D9C" w:rsidP="0051209E">
      <w:pPr>
        <w:pStyle w:val="3-BodyText"/>
        <w:rPr>
          <w:color w:val="0066FF"/>
        </w:rPr>
      </w:pPr>
      <w:r w:rsidRPr="00CD4FAB">
        <w:t xml:space="preserve">This submission </w:t>
      </w:r>
      <w:r w:rsidR="00DD61D5" w:rsidRPr="00CD4FAB">
        <w:t xml:space="preserve">was </w:t>
      </w:r>
      <w:r w:rsidRPr="00CD4FAB">
        <w:t>not</w:t>
      </w:r>
      <w:r w:rsidR="00D23D11" w:rsidRPr="00CD4FAB">
        <w:t xml:space="preserve"> </w:t>
      </w:r>
      <w:r w:rsidRPr="00CD4FAB">
        <w:t>considered by DUSC</w:t>
      </w:r>
      <w:r w:rsidRPr="00CD4FAB">
        <w:rPr>
          <w:color w:val="0070C0"/>
        </w:rPr>
        <w:t>.</w:t>
      </w:r>
      <w:r w:rsidR="00BC591F" w:rsidRPr="00CD4FAB">
        <w:rPr>
          <w:color w:val="0070C0"/>
        </w:rPr>
        <w:t xml:space="preserve"> </w:t>
      </w:r>
    </w:p>
    <w:p w14:paraId="023E2C6A" w14:textId="31531D02" w:rsidR="004D3173" w:rsidRPr="00CD4FAB" w:rsidRDefault="004D3173" w:rsidP="00736516">
      <w:pPr>
        <w:pStyle w:val="3-BodyText"/>
      </w:pPr>
      <w:r w:rsidRPr="00CD4FAB">
        <w:t xml:space="preserve">In July 2023, the PBAC noted </w:t>
      </w:r>
      <w:r w:rsidR="00736516" w:rsidRPr="00CD4FAB">
        <w:t xml:space="preserve">that the financial estimates would be acceptable once corrected for the errors identified (paras 4.22, 4.23, nivolumab PSD, July 2023 PBAC </w:t>
      </w:r>
      <w:r w:rsidR="00D335CD" w:rsidRPr="00CD4FAB">
        <w:t>m</w:t>
      </w:r>
      <w:r w:rsidR="00736516" w:rsidRPr="00CD4FAB">
        <w:t xml:space="preserve">eeting), the additional atezolizumab and durvalumab patients were removed (para 5.8, nivolumab PSD, July 2023 PBAC </w:t>
      </w:r>
      <w:r w:rsidR="00D335CD" w:rsidRPr="00CD4FAB">
        <w:t>m</w:t>
      </w:r>
      <w:r w:rsidR="00736516" w:rsidRPr="00CD4FAB">
        <w:t>eeting), the cost-offsets were updated to assume no repeat use of immunotherapy for metastatic disease (para 5.9, nivoluma</w:t>
      </w:r>
      <w:r w:rsidR="002F0548">
        <w:t>b</w:t>
      </w:r>
      <w:r w:rsidR="00736516" w:rsidRPr="00CD4FAB">
        <w:t xml:space="preserve"> PSD, July 2023 PBAC </w:t>
      </w:r>
      <w:r w:rsidR="00D335CD" w:rsidRPr="00CD4FAB">
        <w:t>m</w:t>
      </w:r>
      <w:r w:rsidR="00736516" w:rsidRPr="00CD4FAB">
        <w:t>eeting), a 30</w:t>
      </w:r>
      <w:r w:rsidR="00522A6A" w:rsidRPr="00CD4FAB">
        <w:rPr>
          <w:rFonts w:cstheme="minorHAnsi"/>
        </w:rPr>
        <w:t>−</w:t>
      </w:r>
      <w:r w:rsidR="00736516" w:rsidRPr="00CD4FAB">
        <w:t xml:space="preserve">40% uptake of nivolumab in the first two years of listing (para 5.9, nivolumab PSD, July 2023 PBAC </w:t>
      </w:r>
      <w:r w:rsidR="00D335CD" w:rsidRPr="00CD4FAB">
        <w:t>m</w:t>
      </w:r>
      <w:r w:rsidR="00736516" w:rsidRPr="00CD4FAB">
        <w:t>eeting) and effective prices were incorporated.</w:t>
      </w:r>
    </w:p>
    <w:p w14:paraId="34CFF820" w14:textId="628BA2ED" w:rsidR="004A24D6" w:rsidRPr="00CD4FAB" w:rsidRDefault="004A24D6" w:rsidP="0051209E">
      <w:pPr>
        <w:pStyle w:val="3-BodyText"/>
        <w:rPr>
          <w:color w:val="0066FF"/>
        </w:rPr>
      </w:pPr>
      <w:bookmarkStart w:id="39" w:name="_Ref156315814"/>
      <w:r w:rsidRPr="00CD4FAB">
        <w:t>Th</w:t>
      </w:r>
      <w:r w:rsidR="00DA4BB5" w:rsidRPr="00CD4FAB">
        <w:t xml:space="preserve">e current </w:t>
      </w:r>
      <w:r w:rsidR="003846B2" w:rsidRPr="00CD4FAB">
        <w:t>submission provided</w:t>
      </w:r>
      <w:r w:rsidR="00C75C01" w:rsidRPr="00CD4FAB">
        <w:t xml:space="preserve"> </w:t>
      </w:r>
      <w:r w:rsidR="003846B2" w:rsidRPr="00CD4FAB">
        <w:t>revised financial estimates that included the following amendments:</w:t>
      </w:r>
      <w:bookmarkEnd w:id="39"/>
    </w:p>
    <w:p w14:paraId="4EF2AF83" w14:textId="044578F2" w:rsidR="0064440E" w:rsidRPr="00CD4FAB" w:rsidRDefault="003846B2" w:rsidP="007347B0">
      <w:pPr>
        <w:pStyle w:val="ListParagraph"/>
        <w:numPr>
          <w:ilvl w:val="0"/>
          <w:numId w:val="7"/>
        </w:numPr>
        <w:ind w:left="1134"/>
        <w:rPr>
          <w:iCs/>
        </w:rPr>
      </w:pPr>
      <w:r w:rsidRPr="00CD4FAB">
        <w:t xml:space="preserve">Two sets of </w:t>
      </w:r>
      <w:r w:rsidR="00DA4BB5" w:rsidRPr="00CD4FAB">
        <w:t xml:space="preserve">financial </w:t>
      </w:r>
      <w:r w:rsidRPr="00CD4FAB">
        <w:t xml:space="preserve">estimates were provided, one for </w:t>
      </w:r>
      <w:r w:rsidR="00EC16B3" w:rsidRPr="00CD4FAB">
        <w:t>O</w:t>
      </w:r>
      <w:r w:rsidRPr="00CD4FAB">
        <w:t xml:space="preserve">ption A (allowing </w:t>
      </w:r>
      <w:r w:rsidR="00EC16B3" w:rsidRPr="00CD4FAB">
        <w:t xml:space="preserve">IO </w:t>
      </w:r>
      <w:r w:rsidRPr="00CD4FAB">
        <w:t xml:space="preserve">retreatment) and one for </w:t>
      </w:r>
      <w:r w:rsidR="00EC16B3" w:rsidRPr="00CD4FAB">
        <w:t>O</w:t>
      </w:r>
      <w:r w:rsidRPr="00CD4FAB">
        <w:t xml:space="preserve">ption B (no </w:t>
      </w:r>
      <w:r w:rsidR="00EC16B3" w:rsidRPr="00CD4FAB">
        <w:t xml:space="preserve">IO </w:t>
      </w:r>
      <w:r w:rsidRPr="00CD4FAB">
        <w:t>retreatment allowed)</w:t>
      </w:r>
      <w:r w:rsidR="002F37C3" w:rsidRPr="00CD4FAB">
        <w:t xml:space="preserve">. </w:t>
      </w:r>
      <w:r w:rsidRPr="00CD4FAB">
        <w:t xml:space="preserve">For </w:t>
      </w:r>
      <w:r w:rsidR="00DA4BB5" w:rsidRPr="00CD4FAB">
        <w:t>O</w:t>
      </w:r>
      <w:r w:rsidRPr="00CD4FAB">
        <w:t xml:space="preserve">ption A, an effective </w:t>
      </w:r>
      <w:r w:rsidR="00C6618A" w:rsidRPr="00CD4FAB">
        <w:t xml:space="preserve">approved </w:t>
      </w:r>
      <w:r w:rsidR="00355092" w:rsidRPr="00CD4FAB">
        <w:t>ex-manufacturer price (</w:t>
      </w:r>
      <w:r w:rsidRPr="00CD4FAB">
        <w:t>AEMP</w:t>
      </w:r>
      <w:r w:rsidR="00355092" w:rsidRPr="00CD4FAB">
        <w:t>)</w:t>
      </w:r>
      <w:r w:rsidRPr="00CD4FAB">
        <w:t xml:space="preserve"> of $</w:t>
      </w:r>
      <w:r w:rsidR="00924D5E" w:rsidRPr="006E162D">
        <w:rPr>
          <w:color w:val="000000"/>
          <w:w w:val="15"/>
          <w:shd w:val="solid" w:color="000000" w:fill="000000"/>
          <w:fitText w:val="-20" w:id="-961836028"/>
          <w14:textFill>
            <w14:solidFill>
              <w14:srgbClr w14:val="000000">
                <w14:alpha w14:val="100000"/>
              </w14:srgbClr>
            </w14:solidFill>
          </w14:textFill>
        </w:rPr>
        <w:t xml:space="preserve">|  </w:t>
      </w:r>
      <w:r w:rsidR="00924D5E" w:rsidRPr="006E162D">
        <w:rPr>
          <w:color w:val="000000"/>
          <w:spacing w:val="-69"/>
          <w:w w:val="15"/>
          <w:shd w:val="solid" w:color="000000" w:fill="000000"/>
          <w:fitText w:val="-20" w:id="-961836028"/>
          <w14:textFill>
            <w14:solidFill>
              <w14:srgbClr w14:val="000000">
                <w14:alpha w14:val="100000"/>
              </w14:srgbClr>
            </w14:solidFill>
          </w14:textFill>
        </w:rPr>
        <w:t>|</w:t>
      </w:r>
      <w:r w:rsidRPr="00CD4FAB">
        <w:t xml:space="preserve"> </w:t>
      </w:r>
      <w:r w:rsidR="00DA4BB5" w:rsidRPr="00CD4FAB">
        <w:t>per 100 mg</w:t>
      </w:r>
      <w:r w:rsidR="0064440E" w:rsidRPr="00CD4FAB">
        <w:t xml:space="preserve"> vial</w:t>
      </w:r>
      <w:r w:rsidR="00DA4BB5" w:rsidRPr="00CD4FAB">
        <w:t xml:space="preserve"> </w:t>
      </w:r>
      <w:r w:rsidRPr="00CD4FAB">
        <w:t xml:space="preserve">was </w:t>
      </w:r>
      <w:r w:rsidR="00DA4BB5" w:rsidRPr="00CD4FAB">
        <w:t>applied</w:t>
      </w:r>
      <w:r w:rsidR="00F1481C" w:rsidRPr="00CD4FAB">
        <w:t xml:space="preserve">. </w:t>
      </w:r>
      <w:r w:rsidR="00F1481C" w:rsidRPr="00CD4FAB">
        <w:rPr>
          <w:iCs/>
        </w:rPr>
        <w:t>This is unchanged from the previous submission.</w:t>
      </w:r>
      <w:r w:rsidRPr="00CD4FAB">
        <w:t xml:space="preserve"> </w:t>
      </w:r>
      <w:r w:rsidR="00F1481C" w:rsidRPr="00CD4FAB">
        <w:t>F</w:t>
      </w:r>
      <w:r w:rsidRPr="00CD4FAB">
        <w:t xml:space="preserve">or </w:t>
      </w:r>
      <w:r w:rsidR="00DA4BB5" w:rsidRPr="00CD4FAB">
        <w:t>O</w:t>
      </w:r>
      <w:r w:rsidRPr="00CD4FAB">
        <w:t xml:space="preserve">ption B, an </w:t>
      </w:r>
      <w:r w:rsidRPr="00CD4FAB">
        <w:lastRenderedPageBreak/>
        <w:t xml:space="preserve">effective AEMP of </w:t>
      </w:r>
      <w:r w:rsidR="00DA4BB5" w:rsidRPr="00CD4FAB">
        <w:t>$</w:t>
      </w:r>
      <w:r w:rsidR="00924D5E" w:rsidRPr="006E162D">
        <w:rPr>
          <w:color w:val="000000"/>
          <w:w w:val="15"/>
          <w:shd w:val="solid" w:color="000000" w:fill="000000"/>
          <w:fitText w:val="-20" w:id="-961836027"/>
          <w14:textFill>
            <w14:solidFill>
              <w14:srgbClr w14:val="000000">
                <w14:alpha w14:val="100000"/>
              </w14:srgbClr>
            </w14:solidFill>
          </w14:textFill>
        </w:rPr>
        <w:t xml:space="preserve">|  </w:t>
      </w:r>
      <w:r w:rsidR="00924D5E" w:rsidRPr="006E162D">
        <w:rPr>
          <w:color w:val="000000"/>
          <w:spacing w:val="-69"/>
          <w:w w:val="15"/>
          <w:shd w:val="solid" w:color="000000" w:fill="000000"/>
          <w:fitText w:val="-20" w:id="-961836027"/>
          <w14:textFill>
            <w14:solidFill>
              <w14:srgbClr w14:val="000000">
                <w14:alpha w14:val="100000"/>
              </w14:srgbClr>
            </w14:solidFill>
          </w14:textFill>
        </w:rPr>
        <w:t>|</w:t>
      </w:r>
      <w:r w:rsidR="00DA4BB5" w:rsidRPr="00CD4FAB">
        <w:t xml:space="preserve"> per 100 mg </w:t>
      </w:r>
      <w:r w:rsidR="0064440E" w:rsidRPr="00CD4FAB">
        <w:t>vial</w:t>
      </w:r>
      <w:r w:rsidR="00DA4BB5" w:rsidRPr="00CD4FAB">
        <w:t xml:space="preserve"> was </w:t>
      </w:r>
      <w:r w:rsidR="00415C31" w:rsidRPr="00CD4FAB">
        <w:t xml:space="preserve">also </w:t>
      </w:r>
      <w:r w:rsidR="00DA4BB5" w:rsidRPr="00CD4FAB">
        <w:t xml:space="preserve">applied. </w:t>
      </w:r>
      <w:r w:rsidR="00D4026D" w:rsidRPr="00CD4FAB">
        <w:rPr>
          <w:iCs/>
        </w:rPr>
        <w:t>This was an error identified by the evaluation.</w:t>
      </w:r>
      <w:r w:rsidR="00D4026D" w:rsidRPr="00CD4FAB">
        <w:t xml:space="preserve"> </w:t>
      </w:r>
      <w:r w:rsidR="00DA4BB5" w:rsidRPr="00CD4FAB">
        <w:t>The effective price for nivolumab applied to the financial workbook for Option B was</w:t>
      </w:r>
      <w:r w:rsidR="00DA4BB5" w:rsidRPr="00CD4FAB">
        <w:rPr>
          <w:iCs/>
        </w:rPr>
        <w:t xml:space="preserve"> </w:t>
      </w:r>
      <w:r w:rsidR="00DD61D5" w:rsidRPr="00CD4FAB">
        <w:t>corrected in the PSCR to</w:t>
      </w:r>
      <w:r w:rsidR="00DD61D5" w:rsidRPr="00CD4FAB">
        <w:rPr>
          <w:iCs/>
        </w:rPr>
        <w:t xml:space="preserve"> </w:t>
      </w:r>
      <w:r w:rsidR="00D4026D" w:rsidRPr="00CD4FAB">
        <w:t>an</w:t>
      </w:r>
      <w:r w:rsidR="00D4026D" w:rsidRPr="00CD4FAB">
        <w:rPr>
          <w:iCs/>
        </w:rPr>
        <w:t xml:space="preserve"> </w:t>
      </w:r>
      <w:r w:rsidR="00D4026D" w:rsidRPr="00CD4FAB">
        <w:t>effective AEMP of $</w:t>
      </w:r>
      <w:r w:rsidR="00924D5E" w:rsidRPr="006E162D">
        <w:rPr>
          <w:color w:val="000000"/>
          <w:w w:val="15"/>
          <w:shd w:val="solid" w:color="000000" w:fill="000000"/>
          <w:fitText w:val="-20" w:id="-961836026"/>
          <w14:textFill>
            <w14:solidFill>
              <w14:srgbClr w14:val="000000">
                <w14:alpha w14:val="100000"/>
              </w14:srgbClr>
            </w14:solidFill>
          </w14:textFill>
        </w:rPr>
        <w:t xml:space="preserve">|  </w:t>
      </w:r>
      <w:r w:rsidR="00924D5E" w:rsidRPr="006E162D">
        <w:rPr>
          <w:color w:val="000000"/>
          <w:spacing w:val="-69"/>
          <w:w w:val="15"/>
          <w:shd w:val="solid" w:color="000000" w:fill="000000"/>
          <w:fitText w:val="-20" w:id="-961836026"/>
          <w14:textFill>
            <w14:solidFill>
              <w14:srgbClr w14:val="000000">
                <w14:alpha w14:val="100000"/>
              </w14:srgbClr>
            </w14:solidFill>
          </w14:textFill>
        </w:rPr>
        <w:t>|</w:t>
      </w:r>
      <w:r w:rsidR="00D4026D" w:rsidRPr="00CD4FAB">
        <w:t xml:space="preserve"> per 100 mg vial.</w:t>
      </w:r>
      <w:r w:rsidR="00DB18B2" w:rsidRPr="00CD4FAB">
        <w:t xml:space="preserve"> Tables </w:t>
      </w:r>
      <w:r w:rsidR="00F0505F" w:rsidRPr="00CD4FAB">
        <w:t xml:space="preserve">herein </w:t>
      </w:r>
      <w:r w:rsidR="00DE34E5" w:rsidRPr="00CD4FAB">
        <w:t>incorporate the corrected AEMP.</w:t>
      </w:r>
      <w:r w:rsidR="00DE34E5" w:rsidRPr="00CD4FAB">
        <w:rPr>
          <w:iCs/>
        </w:rPr>
        <w:t xml:space="preserve"> </w:t>
      </w:r>
    </w:p>
    <w:p w14:paraId="2CB71E69" w14:textId="08E24493" w:rsidR="00192C61" w:rsidRPr="00CD4FAB" w:rsidRDefault="00192C61" w:rsidP="007347B0">
      <w:pPr>
        <w:pStyle w:val="ListParagraph"/>
        <w:numPr>
          <w:ilvl w:val="0"/>
          <w:numId w:val="7"/>
        </w:numPr>
        <w:ind w:left="1134"/>
        <w:rPr>
          <w:iCs/>
        </w:rPr>
      </w:pPr>
      <w:r w:rsidRPr="00CD4FAB">
        <w:t>Correcti</w:t>
      </w:r>
      <w:r w:rsidR="00F1481C" w:rsidRPr="00CD4FAB">
        <w:t>on</w:t>
      </w:r>
      <w:r w:rsidRPr="00CD4FAB">
        <w:t xml:space="preserve"> o</w:t>
      </w:r>
      <w:r w:rsidR="00F1481C" w:rsidRPr="00CD4FAB">
        <w:t>f</w:t>
      </w:r>
      <w:r w:rsidRPr="00CD4FAB">
        <w:t xml:space="preserve"> calculation errors related to atezolizumab and durvalumab patients</w:t>
      </w:r>
      <w:r w:rsidR="00F7760C" w:rsidRPr="00CD4FAB">
        <w:t xml:space="preserve"> previously identified </w:t>
      </w:r>
      <w:r w:rsidR="00DA4004" w:rsidRPr="00CD4FAB">
        <w:t xml:space="preserve">(paras 4.22, 4.23, nivolumab PSD, July 2023 PBAC </w:t>
      </w:r>
      <w:r w:rsidR="002F0548">
        <w:t>m</w:t>
      </w:r>
      <w:r w:rsidR="00DA4004" w:rsidRPr="00CD4FAB">
        <w:t>eeting)</w:t>
      </w:r>
      <w:r w:rsidRPr="00CD4FAB">
        <w:t>.</w:t>
      </w:r>
      <w:r w:rsidR="00DA4004" w:rsidRPr="00CD4FAB">
        <w:t xml:space="preserve"> </w:t>
      </w:r>
    </w:p>
    <w:p w14:paraId="2C041922" w14:textId="101B7DC1" w:rsidR="00EE00FF" w:rsidRPr="00CD4FAB" w:rsidRDefault="00EE00FF" w:rsidP="00D221AB">
      <w:pPr>
        <w:pStyle w:val="ListBullet"/>
        <w:numPr>
          <w:ilvl w:val="0"/>
          <w:numId w:val="7"/>
        </w:numPr>
        <w:spacing w:after="120"/>
        <w:ind w:left="1134"/>
        <w:contextualSpacing w:val="0"/>
        <w:jc w:val="both"/>
        <w:rPr>
          <w:iCs/>
        </w:rPr>
      </w:pPr>
      <w:r w:rsidRPr="00CD4FAB">
        <w:t xml:space="preserve">The additional atezolizumab and durvalumab patients were removed (para 5.8, nivolumab PSD, July 2023 PBAC </w:t>
      </w:r>
      <w:r w:rsidR="002F0548">
        <w:t>m</w:t>
      </w:r>
      <w:r w:rsidRPr="00CD4FAB">
        <w:t>eeting).</w:t>
      </w:r>
    </w:p>
    <w:p w14:paraId="2113A0BF" w14:textId="1E4F9F3F" w:rsidR="00A56AB8" w:rsidRPr="00CD4FAB" w:rsidRDefault="00A56AB8" w:rsidP="00D221AB">
      <w:pPr>
        <w:pStyle w:val="ListBullet"/>
        <w:numPr>
          <w:ilvl w:val="0"/>
          <w:numId w:val="7"/>
        </w:numPr>
        <w:spacing w:after="120"/>
        <w:ind w:left="1134"/>
        <w:contextualSpacing w:val="0"/>
        <w:jc w:val="both"/>
      </w:pPr>
      <w:r w:rsidRPr="00CD4FAB">
        <w:t>Metastatic cost offsets were estimated based on 21% of neoNIVO+neoC</w:t>
      </w:r>
      <w:r w:rsidR="00666C71" w:rsidRPr="00CD4FAB">
        <w:t>hemo</w:t>
      </w:r>
      <w:r w:rsidRPr="00CD4FAB">
        <w:t xml:space="preserve"> patients not experienc</w:t>
      </w:r>
      <w:r w:rsidR="00852550" w:rsidRPr="00CD4FAB">
        <w:t>ing</w:t>
      </w:r>
      <w:r w:rsidRPr="00CD4FAB">
        <w:t xml:space="preserve"> distant metastases </w:t>
      </w:r>
      <w:r w:rsidR="00852550" w:rsidRPr="00CD4FAB">
        <w:t xml:space="preserve">or </w:t>
      </w:r>
      <w:r w:rsidRPr="00CD4FAB">
        <w:t xml:space="preserve">recurrence </w:t>
      </w:r>
      <w:r w:rsidR="009350E6" w:rsidRPr="00CD4FAB">
        <w:t xml:space="preserve">in the </w:t>
      </w:r>
      <w:r w:rsidRPr="00CD4FAB">
        <w:t>Option A</w:t>
      </w:r>
      <w:r w:rsidR="009350E6" w:rsidRPr="00CD4FAB">
        <w:t xml:space="preserve"> financial estimates</w:t>
      </w:r>
      <w:r w:rsidR="001B7FB2" w:rsidRPr="00CD4FAB">
        <w:t xml:space="preserve">. </w:t>
      </w:r>
      <w:r w:rsidR="001B7FB2" w:rsidRPr="00CD4FAB">
        <w:rPr>
          <w:iCs/>
        </w:rPr>
        <w:t>This is unchanged from the previous submission.</w:t>
      </w:r>
      <w:r w:rsidR="001B7FB2" w:rsidRPr="00CD4FAB">
        <w:t xml:space="preserve"> For</w:t>
      </w:r>
      <w:r w:rsidRPr="00CD4FAB">
        <w:t xml:space="preserve"> Option B</w:t>
      </w:r>
      <w:r w:rsidR="009350E6" w:rsidRPr="00CD4FAB">
        <w:t xml:space="preserve">, </w:t>
      </w:r>
      <w:r w:rsidR="005E16F3" w:rsidRPr="00CD4FAB">
        <w:t>this estimate was increased to 29%</w:t>
      </w:r>
      <w:r w:rsidR="00852550" w:rsidRPr="00CD4FAB">
        <w:t>.</w:t>
      </w:r>
      <w:r w:rsidR="00651C45" w:rsidRPr="00CD4FAB">
        <w:rPr>
          <w:iCs/>
        </w:rPr>
        <w:t xml:space="preserve"> </w:t>
      </w:r>
      <w:r w:rsidR="00720CF3" w:rsidRPr="00CD4FAB">
        <w:t xml:space="preserve">The PSCR </w:t>
      </w:r>
      <w:r w:rsidR="00DB18B2" w:rsidRPr="00CD4FAB">
        <w:t>in</w:t>
      </w:r>
      <w:r w:rsidR="00720CF3" w:rsidRPr="00CD4FAB">
        <w:t>correct</w:t>
      </w:r>
      <w:r w:rsidR="00DB18B2" w:rsidRPr="00CD4FAB">
        <w:t xml:space="preserve">ly </w:t>
      </w:r>
      <w:r w:rsidR="00D4026D" w:rsidRPr="00CD4FAB">
        <w:t>increased the percentage to 50% for the Option A model</w:t>
      </w:r>
      <w:r w:rsidR="00DB18B2" w:rsidRPr="00CD4FAB">
        <w:t xml:space="preserve"> whereas it should have been increased to 50% for the Option B model</w:t>
      </w:r>
      <w:r w:rsidR="00D4026D" w:rsidRPr="00CD4FAB">
        <w:t xml:space="preserve"> (see paragraph</w:t>
      </w:r>
      <w:r w:rsidR="004E1D05" w:rsidRPr="00CD4FAB">
        <w:t xml:space="preserve"> </w:t>
      </w:r>
      <w:r w:rsidR="004E1D05" w:rsidRPr="00CD4FAB">
        <w:fldChar w:fldCharType="begin" w:fldLock="1"/>
      </w:r>
      <w:r w:rsidR="004E1D05" w:rsidRPr="00CD4FAB">
        <w:instrText xml:space="preserve"> REF _Ref159490516 \r \h </w:instrText>
      </w:r>
      <w:r w:rsidR="004E1D05" w:rsidRPr="00CD4FAB">
        <w:fldChar w:fldCharType="separate"/>
      </w:r>
      <w:r w:rsidR="00885DA7">
        <w:t>4.31</w:t>
      </w:r>
      <w:r w:rsidR="004E1D05" w:rsidRPr="00CD4FAB">
        <w:fldChar w:fldCharType="end"/>
      </w:r>
      <w:r w:rsidR="004E1D05" w:rsidRPr="00CD4FAB">
        <w:t>)</w:t>
      </w:r>
      <w:r w:rsidR="00CD4FAB">
        <w:t xml:space="preserve">. </w:t>
      </w:r>
    </w:p>
    <w:p w14:paraId="7E8A7C21" w14:textId="494D9A32" w:rsidR="00263DD8" w:rsidRPr="00CD4FAB" w:rsidRDefault="00A56AB8" w:rsidP="00D221AB">
      <w:pPr>
        <w:pStyle w:val="ListBullet"/>
        <w:numPr>
          <w:ilvl w:val="0"/>
          <w:numId w:val="7"/>
        </w:numPr>
        <w:spacing w:after="120"/>
        <w:ind w:left="1134" w:hanging="357"/>
        <w:contextualSpacing w:val="0"/>
      </w:pPr>
      <w:r w:rsidRPr="00CD4FAB">
        <w:t>Fees and markups were updated to reflect the costs as at November 2023.</w:t>
      </w:r>
    </w:p>
    <w:p w14:paraId="1F15C304" w14:textId="00A9CA65" w:rsidR="00CD4FAB" w:rsidRPr="009A7D45" w:rsidRDefault="00005096" w:rsidP="00620EFE">
      <w:pPr>
        <w:pStyle w:val="3-BodyText"/>
      </w:pPr>
      <w:bookmarkStart w:id="40" w:name="_Ref159490516"/>
      <w:r w:rsidRPr="00CD4FAB">
        <w:t xml:space="preserve">The PBAC previously considered that the </w:t>
      </w:r>
      <w:r w:rsidR="00F50C16" w:rsidRPr="00CD4FAB">
        <w:t>reduced</w:t>
      </w:r>
      <w:r w:rsidRPr="00CD4FAB">
        <w:t xml:space="preserve"> use of immunotherapy for metastatic disease should be incorporated in the </w:t>
      </w:r>
      <w:r w:rsidR="00F50C16" w:rsidRPr="00CD4FAB">
        <w:t>financials</w:t>
      </w:r>
      <w:r w:rsidRPr="00CD4FAB">
        <w:t>, and that this may be achieved by using the approach for estimating offsets in the metastatic setting due to treatment cures, but with the offset increasing from 21% to 50% based on 29% (100% - 71%) of patients who receive neoNIVO+neoChemo going on to develop metastatic disease and not receiving repeat immunotherapy (paras 5.9, 5.11, nivolumab PSD, July</w:t>
      </w:r>
      <w:r w:rsidR="00233CFE">
        <w:t> </w:t>
      </w:r>
      <w:r w:rsidRPr="00CD4FAB">
        <w:t xml:space="preserve">2023 PBAC meeting). </w:t>
      </w:r>
      <w:r w:rsidR="004C4151" w:rsidRPr="00CD4FAB">
        <w:t xml:space="preserve">Consistent with the previous submission, the assumed cost-offset associated with the reduced use of immunotherapy in the metastatic setting was based on data from the assessment of </w:t>
      </w:r>
      <w:r w:rsidR="003B7999" w:rsidRPr="00CD4FAB">
        <w:t>time to distant metastases (</w:t>
      </w:r>
      <w:r w:rsidR="004C4151" w:rsidRPr="00CD4FAB">
        <w:t>TTDM</w:t>
      </w:r>
      <w:r w:rsidR="003B7999" w:rsidRPr="00CD4FAB">
        <w:t>)</w:t>
      </w:r>
      <w:r w:rsidR="004C4151" w:rsidRPr="00CD4FAB">
        <w:t xml:space="preserve"> </w:t>
      </w:r>
      <w:r w:rsidR="004C4151" w:rsidRPr="009A7D45">
        <w:t>reported from the 3-year update of the CM816.</w:t>
      </w:r>
    </w:p>
    <w:p w14:paraId="5132C7AC" w14:textId="4192C8F1" w:rsidR="00CD4FAB" w:rsidRPr="009A7D45" w:rsidRDefault="004C4151" w:rsidP="00620EFE">
      <w:pPr>
        <w:pStyle w:val="3-BodyText"/>
      </w:pPr>
      <w:r w:rsidRPr="009A7D45">
        <w:t xml:space="preserve">For Option A, the submission </w:t>
      </w:r>
      <w:r w:rsidR="00E82494" w:rsidRPr="009A7D45">
        <w:t xml:space="preserve">continued to </w:t>
      </w:r>
      <w:r w:rsidRPr="009A7D45">
        <w:t>assume a 21% reduction in distant metastases and subsequent metastatic immunotherapy costs associated with the treatment of neoNIVO compared with neo</w:t>
      </w:r>
      <w:r w:rsidR="00EF015C" w:rsidRPr="009A7D45">
        <w:t>Chemo</w:t>
      </w:r>
      <w:r w:rsidRPr="009A7D45">
        <w:t xml:space="preserve">. </w:t>
      </w:r>
      <w:r w:rsidR="00CD75B0" w:rsidRPr="009A7D45">
        <w:t>The ESC</w:t>
      </w:r>
      <w:r w:rsidR="00755011" w:rsidRPr="009A7D45">
        <w:t xml:space="preserve"> considered </w:t>
      </w:r>
      <w:r w:rsidR="00CD75B0" w:rsidRPr="009A7D45">
        <w:t>that this was</w:t>
      </w:r>
      <w:r w:rsidR="00755011" w:rsidRPr="009A7D45">
        <w:t xml:space="preserve"> appropriate, however the</w:t>
      </w:r>
      <w:r w:rsidR="004E1D05" w:rsidRPr="009A7D45">
        <w:t xml:space="preserve"> PSCR increased this percentage to </w:t>
      </w:r>
      <w:r w:rsidR="00755011" w:rsidRPr="009A7D45">
        <w:t>50%</w:t>
      </w:r>
      <w:r w:rsidRPr="009A7D45">
        <w:t>.</w:t>
      </w:r>
      <w:r w:rsidR="00755011" w:rsidRPr="009A7D45">
        <w:t xml:space="preserve"> This was </w:t>
      </w:r>
      <w:r w:rsidR="00620EFE" w:rsidRPr="009A7D45">
        <w:t>considered</w:t>
      </w:r>
      <w:r w:rsidR="00755011" w:rsidRPr="009A7D45">
        <w:t xml:space="preserve"> to be an error</w:t>
      </w:r>
      <w:r w:rsidR="00CD75B0" w:rsidRPr="009A7D45">
        <w:t xml:space="preserve"> and is not reflected in the financials presented herein</w:t>
      </w:r>
      <w:r w:rsidR="00DA7F6C" w:rsidRPr="009A7D45">
        <w:t>.</w:t>
      </w:r>
    </w:p>
    <w:p w14:paraId="5159C624" w14:textId="0CC63B8B" w:rsidR="00CE526D" w:rsidRPr="00CD4FAB" w:rsidRDefault="004C4151" w:rsidP="00620EFE">
      <w:pPr>
        <w:pStyle w:val="3-BodyText"/>
      </w:pPr>
      <w:r w:rsidRPr="009A7D45">
        <w:t>For Option B, t</w:t>
      </w:r>
      <w:r w:rsidR="00701B27" w:rsidRPr="009A7D45">
        <w:t>he submission</w:t>
      </w:r>
      <w:r w:rsidR="00701B27" w:rsidRPr="00CD4FAB">
        <w:t xml:space="preserve"> assumed that 29% of neoNIVO+neoC</w:t>
      </w:r>
      <w:r w:rsidR="00EF015C" w:rsidRPr="00CD4FAB">
        <w:t>hemo</w:t>
      </w:r>
      <w:r w:rsidR="00701B27" w:rsidRPr="00CD4FAB">
        <w:t xml:space="preserve"> patients would develop distant metastases (or died) but would not be eligible for a course of PBS-listed immunotherapy for metastatic disease.</w:t>
      </w:r>
      <w:r w:rsidR="00CA1BD3" w:rsidRPr="00CD4FAB">
        <w:t xml:space="preserve"> </w:t>
      </w:r>
      <w:r w:rsidR="00CA1BD3" w:rsidRPr="00CD4FAB">
        <w:rPr>
          <w:iCs/>
        </w:rPr>
        <w:t>This percentage was unchanged in the PSCR.</w:t>
      </w:r>
      <w:r w:rsidR="00701B27" w:rsidRPr="00CD4FAB">
        <w:t xml:space="preserve"> </w:t>
      </w:r>
      <w:r w:rsidR="00701B27" w:rsidRPr="00CD4FAB">
        <w:rPr>
          <w:iCs/>
        </w:rPr>
        <w:t xml:space="preserve">The submission therefore </w:t>
      </w:r>
      <w:r w:rsidRPr="00CD4FAB">
        <w:rPr>
          <w:iCs/>
        </w:rPr>
        <w:t>assumed that there would be no cost</w:t>
      </w:r>
      <w:r w:rsidR="003B7999" w:rsidRPr="00CD4FAB">
        <w:rPr>
          <w:iCs/>
        </w:rPr>
        <w:t>-</w:t>
      </w:r>
      <w:r w:rsidRPr="00CD4FAB">
        <w:rPr>
          <w:iCs/>
        </w:rPr>
        <w:t xml:space="preserve">offset associated with </w:t>
      </w:r>
      <w:r w:rsidR="003B7999" w:rsidRPr="00CD4FAB">
        <w:rPr>
          <w:iCs/>
        </w:rPr>
        <w:t>a</w:t>
      </w:r>
      <w:r w:rsidR="00701B27" w:rsidRPr="00CD4FAB">
        <w:rPr>
          <w:iCs/>
        </w:rPr>
        <w:t xml:space="preserve"> 21% </w:t>
      </w:r>
      <w:r w:rsidRPr="00CD4FAB">
        <w:rPr>
          <w:iCs/>
        </w:rPr>
        <w:t>reduction in distant metastases associated with the treatment of neoNIVO compared with neoC</w:t>
      </w:r>
      <w:r w:rsidR="00EF015C" w:rsidRPr="00CD4FAB">
        <w:rPr>
          <w:iCs/>
        </w:rPr>
        <w:t>hemo</w:t>
      </w:r>
      <w:r w:rsidRPr="00CD4FAB">
        <w:rPr>
          <w:iCs/>
        </w:rPr>
        <w:t xml:space="preserve"> in Option </w:t>
      </w:r>
      <w:r w:rsidR="003B7999" w:rsidRPr="00CD4FAB">
        <w:rPr>
          <w:iCs/>
        </w:rPr>
        <w:t xml:space="preserve">B. This is not aligned with previous PBAC advice </w:t>
      </w:r>
      <w:r w:rsidR="00701B27" w:rsidRPr="00CD4FAB">
        <w:rPr>
          <w:iCs/>
        </w:rPr>
        <w:t>(para</w:t>
      </w:r>
      <w:r w:rsidR="00E82494" w:rsidRPr="00CD4FAB">
        <w:rPr>
          <w:iCs/>
        </w:rPr>
        <w:t>s</w:t>
      </w:r>
      <w:r w:rsidR="00701B27" w:rsidRPr="00CD4FAB">
        <w:rPr>
          <w:iCs/>
        </w:rPr>
        <w:t xml:space="preserve"> 5.9,</w:t>
      </w:r>
      <w:r w:rsidR="00E82494" w:rsidRPr="00CD4FAB">
        <w:rPr>
          <w:iCs/>
        </w:rPr>
        <w:t xml:space="preserve"> 5.11,</w:t>
      </w:r>
      <w:r w:rsidR="00701B27" w:rsidRPr="00CD4FAB">
        <w:rPr>
          <w:iCs/>
        </w:rPr>
        <w:t xml:space="preserve"> nivolumab PSD, July 2023 PBAC </w:t>
      </w:r>
      <w:r w:rsidR="00AC5F73" w:rsidRPr="00CD4FAB">
        <w:rPr>
          <w:iCs/>
        </w:rPr>
        <w:t>m</w:t>
      </w:r>
      <w:r w:rsidR="00701B27" w:rsidRPr="00CD4FAB">
        <w:rPr>
          <w:iCs/>
        </w:rPr>
        <w:t>eeting).</w:t>
      </w:r>
      <w:r w:rsidR="00027154" w:rsidRPr="00CD4FAB">
        <w:rPr>
          <w:iCs/>
        </w:rPr>
        <w:t xml:space="preserve"> </w:t>
      </w:r>
      <w:r w:rsidR="00027154" w:rsidRPr="00CD4FAB">
        <w:t>The PSCR</w:t>
      </w:r>
      <w:r w:rsidR="000739B6">
        <w:t xml:space="preserve"> </w:t>
      </w:r>
      <w:r w:rsidR="00CA1BD3" w:rsidRPr="00CD4FAB">
        <w:t xml:space="preserve">stated that the sponsor was unclear of the methodology applied to determine the PBAC’s advice regarding cost-offsets due to reduced immunotherapy use (50%). </w:t>
      </w:r>
      <w:r w:rsidR="00620EFE" w:rsidRPr="00CD4FAB">
        <w:t xml:space="preserve">The PSCR considered that </w:t>
      </w:r>
      <w:r w:rsidR="002F0D3E" w:rsidRPr="00CD4FAB">
        <w:t xml:space="preserve">it </w:t>
      </w:r>
      <w:r w:rsidR="00620EFE" w:rsidRPr="00CD4FAB">
        <w:t xml:space="preserve">was unreasonable to assume an offset of 50% of patients when </w:t>
      </w:r>
      <w:r w:rsidR="00620EFE" w:rsidRPr="00CD4FAB">
        <w:lastRenderedPageBreak/>
        <w:t>this is unlikely to occur in clinical practice. However, the PSCR applied a revised percentage of 50% to the financial estimates to ‘demonstrate the impact of this change’</w:t>
      </w:r>
      <w:r w:rsidR="00FA27C4">
        <w:t xml:space="preserve">, although this was applied </w:t>
      </w:r>
      <w:r w:rsidR="00027154" w:rsidRPr="00CD4FAB">
        <w:t>to the Option A financial model</w:t>
      </w:r>
      <w:r w:rsidR="00FA27C4">
        <w:t xml:space="preserve"> rather than</w:t>
      </w:r>
      <w:r w:rsidR="00027154" w:rsidRPr="00CD4FAB">
        <w:t xml:space="preserve"> the Option B</w:t>
      </w:r>
      <w:r w:rsidR="008C6F47" w:rsidRPr="00CD4FAB">
        <w:t xml:space="preserve"> financial</w:t>
      </w:r>
      <w:r w:rsidR="00027154" w:rsidRPr="00CD4FAB">
        <w:t xml:space="preserve"> model (no IO retreatment).</w:t>
      </w:r>
      <w:bookmarkEnd w:id="40"/>
      <w:r w:rsidR="00CA1BD3" w:rsidRPr="00CD4FAB">
        <w:t xml:space="preserve"> </w:t>
      </w:r>
      <w:r w:rsidR="00DB18B2" w:rsidRPr="00CD4FAB">
        <w:t xml:space="preserve">The impact </w:t>
      </w:r>
      <w:r w:rsidR="00DE34E5" w:rsidRPr="00CD4FAB">
        <w:t xml:space="preserve">of increasing the offset to 50% for Option B is presented in </w:t>
      </w:r>
      <w:r w:rsidR="002F0D3E" w:rsidRPr="00CD4FAB">
        <w:rPr>
          <w:highlight w:val="yellow"/>
        </w:rPr>
        <w:fldChar w:fldCharType="begin" w:fldLock="1"/>
      </w:r>
      <w:r w:rsidR="002F0D3E" w:rsidRPr="00CD4FAB">
        <w:instrText xml:space="preserve"> REF _Ref159838838 \h </w:instrText>
      </w:r>
      <w:r w:rsidR="002F0D3E" w:rsidRPr="00CD4FAB">
        <w:rPr>
          <w:highlight w:val="yellow"/>
        </w:rPr>
        <w:instrText xml:space="preserve"> \* MERGEFORMAT </w:instrText>
      </w:r>
      <w:r w:rsidR="002F0D3E" w:rsidRPr="00CD4FAB">
        <w:rPr>
          <w:highlight w:val="yellow"/>
        </w:rPr>
      </w:r>
      <w:r w:rsidR="002F0D3E" w:rsidRPr="00CD4FAB">
        <w:rPr>
          <w:highlight w:val="yellow"/>
        </w:rPr>
        <w:fldChar w:fldCharType="separate"/>
      </w:r>
      <w:r w:rsidR="00885DA7" w:rsidRPr="00885DA7">
        <w:t>Table 14</w:t>
      </w:r>
      <w:r w:rsidR="002F0D3E" w:rsidRPr="00CD4FAB">
        <w:rPr>
          <w:highlight w:val="yellow"/>
        </w:rPr>
        <w:fldChar w:fldCharType="end"/>
      </w:r>
      <w:r w:rsidR="002F0D3E" w:rsidRPr="00CD4FAB">
        <w:t>.</w:t>
      </w:r>
    </w:p>
    <w:p w14:paraId="29701FF1" w14:textId="15175FE6" w:rsidR="00CE526D" w:rsidRPr="00CD4FAB" w:rsidRDefault="00CE526D" w:rsidP="00B06980">
      <w:pPr>
        <w:pStyle w:val="3-BodyText"/>
        <w:rPr>
          <w:iCs/>
        </w:rPr>
      </w:pPr>
      <w:r w:rsidRPr="00CD4FAB">
        <w:t>The submission</w:t>
      </w:r>
      <w:r w:rsidR="00471037" w:rsidRPr="00CD4FAB">
        <w:t xml:space="preserve"> </w:t>
      </w:r>
      <w:r w:rsidRPr="00CD4FAB">
        <w:t xml:space="preserve">did not accept the advice of the PBAC to assume </w:t>
      </w:r>
      <w:r w:rsidR="00831860" w:rsidRPr="00CD4FAB">
        <w:t>an uptake rate of 30</w:t>
      </w:r>
      <w:r w:rsidR="00F50C16" w:rsidRPr="00CD4FAB">
        <w:rPr>
          <w:rFonts w:cstheme="minorHAnsi"/>
        </w:rPr>
        <w:t>−</w:t>
      </w:r>
      <w:r w:rsidR="00831860" w:rsidRPr="00CD4FAB">
        <w:t>40% in the first 2 years of listing</w:t>
      </w:r>
      <w:r w:rsidR="00701B27" w:rsidRPr="00CD4FAB">
        <w:t xml:space="preserve"> (</w:t>
      </w:r>
      <w:r w:rsidR="00701B27" w:rsidRPr="00CD4FAB">
        <w:rPr>
          <w:szCs w:val="22"/>
        </w:rPr>
        <w:t xml:space="preserve">para 5.10, </w:t>
      </w:r>
      <w:r w:rsidR="002F0548">
        <w:rPr>
          <w:szCs w:val="22"/>
        </w:rPr>
        <w:t xml:space="preserve">nivolumab </w:t>
      </w:r>
      <w:r w:rsidR="00AC5F73" w:rsidRPr="00CD4FAB">
        <w:rPr>
          <w:szCs w:val="22"/>
        </w:rPr>
        <w:t xml:space="preserve">PSD, </w:t>
      </w:r>
      <w:r w:rsidR="00701B27" w:rsidRPr="00CD4FAB">
        <w:rPr>
          <w:szCs w:val="22"/>
        </w:rPr>
        <w:t xml:space="preserve">July 2023 PBAC </w:t>
      </w:r>
      <w:r w:rsidR="00AC5F73" w:rsidRPr="00CD4FAB">
        <w:rPr>
          <w:szCs w:val="22"/>
        </w:rPr>
        <w:t>meeting</w:t>
      </w:r>
      <w:r w:rsidR="00701B27" w:rsidRPr="00CD4FAB">
        <w:rPr>
          <w:szCs w:val="22"/>
        </w:rPr>
        <w:t>)</w:t>
      </w:r>
      <w:r w:rsidR="00471037" w:rsidRPr="00CD4FAB">
        <w:rPr>
          <w:szCs w:val="22"/>
        </w:rPr>
        <w:t xml:space="preserve">. </w:t>
      </w:r>
      <w:r w:rsidR="00471037" w:rsidRPr="00CD4FAB">
        <w:t xml:space="preserve">The PBAC previously noted that treatment with neoadjuvant nivolumab would require a change to current clinical practice with surgery being delayed until the completion of </w:t>
      </w:r>
      <w:r w:rsidR="00471037" w:rsidRPr="009A7D45">
        <w:t>treatment and therefore</w:t>
      </w:r>
      <w:r w:rsidR="00471037" w:rsidRPr="00CD4FAB">
        <w:t xml:space="preserve"> considered the uptake of nivolumab in the first 2 years of listing uncertain. The PBAC </w:t>
      </w:r>
      <w:r w:rsidR="00CD75B0" w:rsidRPr="00CD4FAB">
        <w:t xml:space="preserve">previously </w:t>
      </w:r>
      <w:r w:rsidR="00471037" w:rsidRPr="00CD4FAB">
        <w:t xml:space="preserve">considered the uptake of nivolumab may be lower than estimated (72.5% for eligible Stage IB, II and IIIA patients) and advised that an </w:t>
      </w:r>
      <w:r w:rsidR="00471037" w:rsidRPr="009A7D45">
        <w:t>uptake of 30</w:t>
      </w:r>
      <w:r w:rsidR="00F50C16" w:rsidRPr="009A7D45">
        <w:rPr>
          <w:rFonts w:cstheme="minorHAnsi"/>
        </w:rPr>
        <w:t>−</w:t>
      </w:r>
      <w:r w:rsidR="00471037" w:rsidRPr="009A7D45">
        <w:t>40% per annum in the first 2 years of listing may be a more reasonable estimate of uptake</w:t>
      </w:r>
      <w:r w:rsidR="00262956" w:rsidRPr="00CD4FAB">
        <w:t>. The submission stated that</w:t>
      </w:r>
      <w:r w:rsidR="00AC5F73" w:rsidRPr="00CD4FAB">
        <w:t xml:space="preserve"> </w:t>
      </w:r>
      <w:r w:rsidR="00EF015C" w:rsidRPr="00CD4FAB">
        <w:t>‘</w:t>
      </w:r>
      <w:r w:rsidR="00831860" w:rsidRPr="009A7D45">
        <w:t>As the PBAC has previously considered the value of 72.5% as appropriate, it has again been applied in these financial estimates across both retreatment scenarios</w:t>
      </w:r>
      <w:r w:rsidR="00EF015C" w:rsidRPr="00CD4FAB">
        <w:t>’.</w:t>
      </w:r>
      <w:r w:rsidR="00B06980" w:rsidRPr="00CD4FAB">
        <w:t xml:space="preserve"> </w:t>
      </w:r>
      <w:r w:rsidR="00B06980" w:rsidRPr="00CD4FAB">
        <w:rPr>
          <w:iCs/>
        </w:rPr>
        <w:t>The PSCR reiterated that input from clinicians actively treating NSCLC in the Australian healthcare system represent the most robust source to estimate for neoNIVO+neoChemo uptake</w:t>
      </w:r>
      <w:r w:rsidR="00CD75B0" w:rsidRPr="00CD4FAB">
        <w:rPr>
          <w:iCs/>
        </w:rPr>
        <w:t xml:space="preserve"> (72.5%)</w:t>
      </w:r>
      <w:r w:rsidR="00B06980" w:rsidRPr="00CD4FAB">
        <w:rPr>
          <w:iCs/>
        </w:rPr>
        <w:t>. However, in response to the PBAC’s advice from the July meeting that uptake should be reduced in Year 1 and Year 2, the PSCR revised th</w:t>
      </w:r>
      <w:r w:rsidR="005D6537" w:rsidRPr="00CD4FAB">
        <w:rPr>
          <w:iCs/>
        </w:rPr>
        <w:t>e</w:t>
      </w:r>
      <w:r w:rsidR="00B06980" w:rsidRPr="00CD4FAB">
        <w:rPr>
          <w:iCs/>
        </w:rPr>
        <w:t xml:space="preserve"> uptake to 35% in the </w:t>
      </w:r>
      <w:r w:rsidR="00AF084F" w:rsidRPr="00CD4FAB">
        <w:rPr>
          <w:iCs/>
        </w:rPr>
        <w:t xml:space="preserve">updated </w:t>
      </w:r>
      <w:r w:rsidR="00B06980" w:rsidRPr="00CD4FAB">
        <w:rPr>
          <w:iCs/>
        </w:rPr>
        <w:t xml:space="preserve">financial estimates. </w:t>
      </w:r>
      <w:r w:rsidR="00411353" w:rsidRPr="00CD4FAB">
        <w:rPr>
          <w:iCs/>
        </w:rPr>
        <w:t xml:space="preserve">In making this amendment the </w:t>
      </w:r>
      <w:r w:rsidR="00877469" w:rsidRPr="00CD4FAB">
        <w:rPr>
          <w:iCs/>
        </w:rPr>
        <w:t>estimated proportion of patients currently treat</w:t>
      </w:r>
      <w:r w:rsidR="00AF084F" w:rsidRPr="00CD4FAB">
        <w:rPr>
          <w:iCs/>
        </w:rPr>
        <w:t>ed</w:t>
      </w:r>
      <w:r w:rsidR="00877469" w:rsidRPr="00CD4FAB">
        <w:rPr>
          <w:iCs/>
        </w:rPr>
        <w:t xml:space="preserve"> with atezolizumab</w:t>
      </w:r>
      <w:r w:rsidR="00411353" w:rsidRPr="00CD4FAB">
        <w:rPr>
          <w:iCs/>
        </w:rPr>
        <w:t xml:space="preserve"> and durvalumab </w:t>
      </w:r>
      <w:r w:rsidR="00877469" w:rsidRPr="00CD4FAB">
        <w:rPr>
          <w:iCs/>
        </w:rPr>
        <w:t xml:space="preserve">that would </w:t>
      </w:r>
      <w:r w:rsidR="008709D8" w:rsidRPr="00CD4FAB">
        <w:rPr>
          <w:iCs/>
        </w:rPr>
        <w:t xml:space="preserve">instead </w:t>
      </w:r>
      <w:r w:rsidR="00877469" w:rsidRPr="00CD4FAB">
        <w:rPr>
          <w:iCs/>
        </w:rPr>
        <w:t>be treat</w:t>
      </w:r>
      <w:r w:rsidR="008709D8" w:rsidRPr="00CD4FAB">
        <w:rPr>
          <w:iCs/>
        </w:rPr>
        <w:t>ed</w:t>
      </w:r>
      <w:r w:rsidR="00877469" w:rsidRPr="00CD4FAB">
        <w:rPr>
          <w:iCs/>
        </w:rPr>
        <w:t xml:space="preserve"> with neoNIVO+neoChemo was also reduced in proportion to the reduction in uptake for neoNIVO+neoChemo. This </w:t>
      </w:r>
      <w:r w:rsidR="00CD75B0" w:rsidRPr="00CD4FAB">
        <w:rPr>
          <w:iCs/>
        </w:rPr>
        <w:t>wa</w:t>
      </w:r>
      <w:r w:rsidR="00877469" w:rsidRPr="00CD4FAB">
        <w:rPr>
          <w:iCs/>
        </w:rPr>
        <w:t xml:space="preserve">s </w:t>
      </w:r>
      <w:r w:rsidR="00CD75B0" w:rsidRPr="00CD4FAB">
        <w:rPr>
          <w:iCs/>
        </w:rPr>
        <w:t xml:space="preserve">considered to be </w:t>
      </w:r>
      <w:r w:rsidR="008709D8" w:rsidRPr="00CD4FAB">
        <w:rPr>
          <w:iCs/>
        </w:rPr>
        <w:t>appropriate</w:t>
      </w:r>
      <w:r w:rsidR="00877469" w:rsidRPr="00CD4FAB">
        <w:rPr>
          <w:iCs/>
        </w:rPr>
        <w:t>.</w:t>
      </w:r>
    </w:p>
    <w:p w14:paraId="7A3D925F" w14:textId="22E490BA" w:rsidR="00831860" w:rsidRPr="00CD4FAB" w:rsidRDefault="0080448C" w:rsidP="00CE526D">
      <w:pPr>
        <w:pStyle w:val="3-BodyText"/>
      </w:pPr>
      <w:r w:rsidRPr="00CD4FAB">
        <w:fldChar w:fldCharType="begin" w:fldLock="1"/>
      </w:r>
      <w:r w:rsidRPr="00CD4FAB">
        <w:instrText xml:space="preserve"> REF _Ref152327363 \h </w:instrText>
      </w:r>
      <w:r w:rsidRPr="00CD4FAB">
        <w:fldChar w:fldCharType="separate"/>
      </w:r>
      <w:r w:rsidR="00885DA7" w:rsidRPr="00CD4FAB">
        <w:t xml:space="preserve">Table </w:t>
      </w:r>
      <w:r w:rsidR="00885DA7">
        <w:rPr>
          <w:noProof/>
        </w:rPr>
        <w:t>9</w:t>
      </w:r>
      <w:r w:rsidRPr="00CD4FAB">
        <w:fldChar w:fldCharType="end"/>
      </w:r>
      <w:r w:rsidRPr="00CD4FAB">
        <w:t xml:space="preserve"> </w:t>
      </w:r>
      <w:r w:rsidR="00831860" w:rsidRPr="00CD4FAB">
        <w:t xml:space="preserve">provides a summary of the </w:t>
      </w:r>
      <w:r w:rsidR="00033EB4" w:rsidRPr="00CD4FAB">
        <w:t>estimates</w:t>
      </w:r>
      <w:r w:rsidR="00831860" w:rsidRPr="00CD4FAB">
        <w:t xml:space="preserve"> of patient numbers and prescription</w:t>
      </w:r>
      <w:r w:rsidR="00F37FF0" w:rsidRPr="00CD4FAB">
        <w:t xml:space="preserve">s and financial impact </w:t>
      </w:r>
      <w:r w:rsidR="00831860" w:rsidRPr="00CD4FAB">
        <w:t>across the 3 submissions</w:t>
      </w:r>
      <w:r w:rsidR="00CD4FAB">
        <w:t xml:space="preserve">. </w:t>
      </w:r>
    </w:p>
    <w:p w14:paraId="79A4D950" w14:textId="75384CCC" w:rsidR="00495F6B" w:rsidRPr="00CD4FAB" w:rsidRDefault="00885B14" w:rsidP="00495F6B">
      <w:pPr>
        <w:pStyle w:val="Caption"/>
      </w:pPr>
      <w:bookmarkStart w:id="41" w:name="_Ref152327363"/>
      <w:r w:rsidRPr="00CD4FAB">
        <w:lastRenderedPageBreak/>
        <w:t xml:space="preserve">Table </w:t>
      </w:r>
      <w:fldSimple w:instr=" SEQ Table \* ARABIC " w:fldLock="1">
        <w:r w:rsidR="00885DA7">
          <w:rPr>
            <w:noProof/>
          </w:rPr>
          <w:t>9</w:t>
        </w:r>
      </w:fldSimple>
      <w:bookmarkEnd w:id="41"/>
      <w:r w:rsidR="00E16AD8" w:rsidRPr="00CD4FAB">
        <w:t>:</w:t>
      </w:r>
      <w:r w:rsidR="007925DF" w:rsidRPr="00CD4FAB">
        <w:t xml:space="preserve"> Estimation of number of treated patients and prescriptions</w:t>
      </w:r>
      <w:r w:rsidR="00A56AB8" w:rsidRPr="00CD4FAB">
        <w:t xml:space="preserve"> </w:t>
      </w:r>
      <w:r w:rsidR="00F37FF0" w:rsidRPr="00CD4FAB">
        <w:t>and fin</w:t>
      </w:r>
      <w:r w:rsidR="00495F6B" w:rsidRPr="00CD4FAB">
        <w:t>anci</w:t>
      </w:r>
      <w:r w:rsidR="00F37FF0" w:rsidRPr="00CD4FAB">
        <w:t xml:space="preserve">al impact </w:t>
      </w:r>
      <w:r w:rsidR="00A56AB8" w:rsidRPr="00CD4FAB">
        <w:t>for the March 2024, July</w:t>
      </w:r>
      <w:r w:rsidR="0047384D">
        <w:t> </w:t>
      </w:r>
      <w:r w:rsidR="00A56AB8" w:rsidRPr="00CD4FAB">
        <w:t xml:space="preserve">2023 and March 2023 </w:t>
      </w:r>
      <w:r w:rsidR="00D329D2" w:rsidRPr="00CD4FAB">
        <w:t>submissions</w:t>
      </w:r>
      <w:r w:rsidR="00A56AB8" w:rsidRPr="00CD4FAB">
        <w:t>.</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Estimation of number of treated patients and prescriptions and financial impact for the March 2024, July 2023 and March 2023 submissions."/>
      </w:tblPr>
      <w:tblGrid>
        <w:gridCol w:w="2403"/>
        <w:gridCol w:w="1134"/>
        <w:gridCol w:w="1139"/>
        <w:gridCol w:w="1135"/>
        <w:gridCol w:w="1148"/>
        <w:gridCol w:w="1135"/>
        <w:gridCol w:w="1073"/>
      </w:tblGrid>
      <w:tr w:rsidR="00687354" w:rsidRPr="00CD4FAB" w14:paraId="196523D7" w14:textId="77777777" w:rsidTr="00023485">
        <w:trPr>
          <w:tblHeader/>
        </w:trPr>
        <w:tc>
          <w:tcPr>
            <w:tcW w:w="1311" w:type="pct"/>
            <w:shd w:val="clear" w:color="auto" w:fill="auto"/>
            <w:vAlign w:val="center"/>
          </w:tcPr>
          <w:p w14:paraId="4431B844" w14:textId="77777777" w:rsidR="00495F6B" w:rsidRPr="00233CFE" w:rsidRDefault="00495F6B" w:rsidP="00023485">
            <w:pPr>
              <w:pStyle w:val="In-tableHeading"/>
              <w:jc w:val="center"/>
              <w:rPr>
                <w:szCs w:val="20"/>
                <w:lang w:val="en-AU"/>
              </w:rPr>
            </w:pPr>
          </w:p>
        </w:tc>
        <w:tc>
          <w:tcPr>
            <w:tcW w:w="619" w:type="pct"/>
            <w:shd w:val="clear" w:color="auto" w:fill="auto"/>
            <w:vAlign w:val="center"/>
          </w:tcPr>
          <w:p w14:paraId="4276D940" w14:textId="77777777" w:rsidR="00495F6B" w:rsidRPr="00233CFE" w:rsidRDefault="00495F6B" w:rsidP="00023485">
            <w:pPr>
              <w:pStyle w:val="In-tableHeading"/>
              <w:jc w:val="center"/>
              <w:rPr>
                <w:szCs w:val="20"/>
                <w:lang w:val="en-AU"/>
              </w:rPr>
            </w:pPr>
            <w:r w:rsidRPr="00233CFE">
              <w:rPr>
                <w:szCs w:val="20"/>
                <w:lang w:val="en-AU"/>
              </w:rPr>
              <w:t>Year 1</w:t>
            </w:r>
          </w:p>
        </w:tc>
        <w:tc>
          <w:tcPr>
            <w:tcW w:w="621" w:type="pct"/>
            <w:shd w:val="clear" w:color="auto" w:fill="auto"/>
            <w:vAlign w:val="center"/>
          </w:tcPr>
          <w:p w14:paraId="64795034" w14:textId="77777777" w:rsidR="00495F6B" w:rsidRPr="00233CFE" w:rsidRDefault="00495F6B" w:rsidP="00023485">
            <w:pPr>
              <w:pStyle w:val="In-tableHeading"/>
              <w:jc w:val="center"/>
              <w:rPr>
                <w:szCs w:val="20"/>
                <w:lang w:val="en-AU"/>
              </w:rPr>
            </w:pPr>
            <w:r w:rsidRPr="00233CFE">
              <w:rPr>
                <w:szCs w:val="20"/>
                <w:lang w:val="en-AU"/>
              </w:rPr>
              <w:t>Year 2</w:t>
            </w:r>
          </w:p>
        </w:tc>
        <w:tc>
          <w:tcPr>
            <w:tcW w:w="619" w:type="pct"/>
            <w:shd w:val="clear" w:color="auto" w:fill="auto"/>
            <w:vAlign w:val="center"/>
          </w:tcPr>
          <w:p w14:paraId="1D06C092" w14:textId="77777777" w:rsidR="00495F6B" w:rsidRPr="00233CFE" w:rsidRDefault="00495F6B" w:rsidP="00023485">
            <w:pPr>
              <w:pStyle w:val="In-tableHeading"/>
              <w:jc w:val="center"/>
              <w:rPr>
                <w:szCs w:val="20"/>
                <w:lang w:val="en-AU"/>
              </w:rPr>
            </w:pPr>
            <w:r w:rsidRPr="00233CFE">
              <w:rPr>
                <w:szCs w:val="20"/>
                <w:lang w:val="en-AU"/>
              </w:rPr>
              <w:t>Year 3</w:t>
            </w:r>
          </w:p>
        </w:tc>
        <w:tc>
          <w:tcPr>
            <w:tcW w:w="626" w:type="pct"/>
            <w:shd w:val="clear" w:color="auto" w:fill="auto"/>
            <w:vAlign w:val="center"/>
          </w:tcPr>
          <w:p w14:paraId="2716672C" w14:textId="77777777" w:rsidR="00495F6B" w:rsidRPr="00233CFE" w:rsidRDefault="00495F6B" w:rsidP="00023485">
            <w:pPr>
              <w:pStyle w:val="In-tableHeading"/>
              <w:jc w:val="center"/>
              <w:rPr>
                <w:szCs w:val="20"/>
                <w:lang w:val="en-AU"/>
              </w:rPr>
            </w:pPr>
            <w:r w:rsidRPr="00233CFE">
              <w:rPr>
                <w:szCs w:val="20"/>
                <w:lang w:val="en-AU"/>
              </w:rPr>
              <w:t>Year 4</w:t>
            </w:r>
          </w:p>
        </w:tc>
        <w:tc>
          <w:tcPr>
            <w:tcW w:w="619" w:type="pct"/>
            <w:shd w:val="clear" w:color="auto" w:fill="auto"/>
            <w:vAlign w:val="center"/>
          </w:tcPr>
          <w:p w14:paraId="2180DD6D" w14:textId="77777777" w:rsidR="00495F6B" w:rsidRPr="00233CFE" w:rsidRDefault="00495F6B" w:rsidP="00023485">
            <w:pPr>
              <w:pStyle w:val="In-tableHeading"/>
              <w:jc w:val="center"/>
              <w:rPr>
                <w:szCs w:val="20"/>
                <w:lang w:val="en-AU"/>
              </w:rPr>
            </w:pPr>
            <w:r w:rsidRPr="00233CFE">
              <w:rPr>
                <w:szCs w:val="20"/>
                <w:lang w:val="en-AU"/>
              </w:rPr>
              <w:t>Year 5</w:t>
            </w:r>
          </w:p>
        </w:tc>
        <w:tc>
          <w:tcPr>
            <w:tcW w:w="585" w:type="pct"/>
          </w:tcPr>
          <w:p w14:paraId="67BB5B4A" w14:textId="77777777" w:rsidR="00495F6B" w:rsidRPr="00233CFE" w:rsidRDefault="00495F6B" w:rsidP="00023485">
            <w:pPr>
              <w:pStyle w:val="In-tableHeading"/>
              <w:jc w:val="center"/>
              <w:rPr>
                <w:szCs w:val="20"/>
                <w:lang w:val="en-AU"/>
              </w:rPr>
            </w:pPr>
            <w:r w:rsidRPr="00233CFE">
              <w:rPr>
                <w:szCs w:val="20"/>
                <w:lang w:val="en-AU"/>
              </w:rPr>
              <w:t>Year 6</w:t>
            </w:r>
          </w:p>
        </w:tc>
      </w:tr>
      <w:tr w:rsidR="00687354" w:rsidRPr="00CD4FAB" w14:paraId="2F5BF1CB" w14:textId="77777777" w:rsidTr="00023485">
        <w:tc>
          <w:tcPr>
            <w:tcW w:w="5000" w:type="pct"/>
            <w:gridSpan w:val="7"/>
            <w:shd w:val="clear" w:color="auto" w:fill="auto"/>
            <w:vAlign w:val="center"/>
          </w:tcPr>
          <w:p w14:paraId="2A81E558" w14:textId="08A514BC" w:rsidR="00495F6B" w:rsidRPr="00233CFE" w:rsidRDefault="00495F6B" w:rsidP="00023485">
            <w:pPr>
              <w:pStyle w:val="In-tableHeading"/>
              <w:rPr>
                <w:szCs w:val="20"/>
                <w:lang w:val="en-AU"/>
              </w:rPr>
            </w:pPr>
            <w:r w:rsidRPr="00233CFE">
              <w:rPr>
                <w:szCs w:val="20"/>
                <w:lang w:val="en-AU"/>
              </w:rPr>
              <w:t xml:space="preserve">Estimated extent of use by patient population, July 2023 and March 2024 </w:t>
            </w:r>
            <w:r w:rsidR="00DE34E5" w:rsidRPr="00233CFE">
              <w:rPr>
                <w:szCs w:val="20"/>
                <w:lang w:val="en-AU"/>
              </w:rPr>
              <w:t>PSCR</w:t>
            </w:r>
            <w:r w:rsidRPr="00233CFE">
              <w:rPr>
                <w:szCs w:val="20"/>
                <w:lang w:val="en-AU"/>
              </w:rPr>
              <w:t>: shaded rows are the same</w:t>
            </w:r>
            <w:r w:rsidR="00DE34E5" w:rsidRPr="00233CFE">
              <w:rPr>
                <w:szCs w:val="20"/>
                <w:lang w:val="en-AU"/>
              </w:rPr>
              <w:t xml:space="preserve"> (uptake of 35% in years 1 and 2)</w:t>
            </w:r>
          </w:p>
        </w:tc>
      </w:tr>
      <w:tr w:rsidR="00687354" w:rsidRPr="00CD4FAB" w14:paraId="1DF3D90F" w14:textId="77777777" w:rsidTr="00816D48">
        <w:tc>
          <w:tcPr>
            <w:tcW w:w="1311" w:type="pct"/>
            <w:shd w:val="clear" w:color="auto" w:fill="auto"/>
          </w:tcPr>
          <w:p w14:paraId="716F6F98" w14:textId="77777777" w:rsidR="00495F6B" w:rsidRPr="00233CFE" w:rsidRDefault="00495F6B" w:rsidP="00023485">
            <w:pPr>
              <w:pStyle w:val="In-tableHeading"/>
              <w:rPr>
                <w:b w:val="0"/>
                <w:bCs/>
                <w:szCs w:val="20"/>
                <w:lang w:val="en-AU"/>
              </w:rPr>
            </w:pPr>
            <w:r w:rsidRPr="00233CFE">
              <w:rPr>
                <w:b w:val="0"/>
                <w:bCs/>
                <w:szCs w:val="20"/>
                <w:lang w:val="en-AU"/>
              </w:rPr>
              <w:t xml:space="preserve">Stage 1b NSQ </w:t>
            </w:r>
          </w:p>
        </w:tc>
        <w:tc>
          <w:tcPr>
            <w:tcW w:w="619" w:type="pct"/>
            <w:shd w:val="clear" w:color="auto" w:fill="auto"/>
            <w:vAlign w:val="center"/>
          </w:tcPr>
          <w:p w14:paraId="5B190A16" w14:textId="2DD62C6D" w:rsidR="00495F6B" w:rsidRPr="00D221AB" w:rsidRDefault="00924D5E" w:rsidP="00023485">
            <w:pPr>
              <w:pStyle w:val="In-tableHeading"/>
              <w:jc w:val="center"/>
              <w:rPr>
                <w:b w:val="0"/>
                <w:bCs/>
                <w:szCs w:val="20"/>
                <w:highlight w:val="lightGray"/>
                <w:vertAlign w:val="superscript"/>
                <w:lang w:val="en-AU"/>
              </w:rPr>
            </w:pPr>
            <w:r w:rsidRPr="00924D5E">
              <w:rPr>
                <w:rFonts w:hint="eastAsia"/>
                <w:b w:val="0"/>
                <w:bCs/>
                <w:color w:val="000000"/>
                <w:w w:val="15"/>
                <w:szCs w:val="20"/>
                <w:shd w:val="solid" w:color="000000" w:fill="000000"/>
                <w:fitText w:val="38" w:id="-961836025"/>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25"/>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25"/>
                <w:lang w:val="en-AU"/>
                <w14:textFill>
                  <w14:solidFill>
                    <w14:srgbClr w14:val="000000">
                      <w14:alpha w14:val="100000"/>
                    </w14:srgbClr>
                  </w14:solidFill>
                </w14:textFill>
              </w:rPr>
              <w:t xml:space="preserve">　</w:t>
            </w:r>
            <w:r w:rsidR="00F23D76" w:rsidRPr="00D221AB">
              <w:rPr>
                <w:b w:val="0"/>
                <w:bCs/>
                <w:szCs w:val="20"/>
                <w:vertAlign w:val="superscript"/>
                <w:lang w:val="en-AU"/>
              </w:rPr>
              <w:t>1</w:t>
            </w:r>
          </w:p>
        </w:tc>
        <w:tc>
          <w:tcPr>
            <w:tcW w:w="621" w:type="pct"/>
            <w:shd w:val="clear" w:color="auto" w:fill="auto"/>
            <w:vAlign w:val="center"/>
          </w:tcPr>
          <w:p w14:paraId="6AA4CF2C" w14:textId="25BF080C"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24"/>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24"/>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24"/>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19" w:type="pct"/>
            <w:shd w:val="clear" w:color="auto" w:fill="E5DFEC" w:themeFill="accent4" w:themeFillTint="33"/>
            <w:vAlign w:val="center"/>
          </w:tcPr>
          <w:p w14:paraId="4FACBB60" w14:textId="5E3953F6"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23"/>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23"/>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23"/>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26" w:type="pct"/>
            <w:shd w:val="clear" w:color="auto" w:fill="E5DFEC" w:themeFill="accent4" w:themeFillTint="33"/>
            <w:vAlign w:val="center"/>
          </w:tcPr>
          <w:p w14:paraId="309D3D66" w14:textId="37044BFF" w:rsidR="00495F6B" w:rsidRPr="00D221AB" w:rsidRDefault="00924D5E" w:rsidP="00023485">
            <w:pPr>
              <w:pStyle w:val="In-tableHeading"/>
              <w:jc w:val="center"/>
              <w:rPr>
                <w:b w:val="0"/>
                <w:bCs/>
                <w:szCs w:val="20"/>
                <w:highlight w:val="lightGray"/>
                <w:lang w:val="en-AU"/>
              </w:rPr>
            </w:pPr>
            <w:r w:rsidRPr="006E162D">
              <w:rPr>
                <w:rFonts w:hint="eastAsia"/>
                <w:b w:val="0"/>
                <w:bCs/>
                <w:color w:val="000000"/>
                <w:w w:val="15"/>
                <w:szCs w:val="20"/>
                <w:shd w:val="solid" w:color="000000" w:fill="000000"/>
                <w:fitText w:val="25" w:id="-961836022"/>
                <w:lang w:val="en-AU"/>
                <w14:textFill>
                  <w14:solidFill>
                    <w14:srgbClr w14:val="000000">
                      <w14:alpha w14:val="100000"/>
                    </w14:srgbClr>
                  </w14:solidFill>
                </w14:textFill>
              </w:rPr>
              <w:t xml:space="preserve">　</w:t>
            </w:r>
            <w:r w:rsidRPr="006E162D">
              <w:rPr>
                <w:b w:val="0"/>
                <w:bCs/>
                <w:color w:val="000000"/>
                <w:w w:val="15"/>
                <w:szCs w:val="20"/>
                <w:shd w:val="solid" w:color="000000" w:fill="000000"/>
                <w:fitText w:val="25" w:id="-961836022"/>
                <w:lang w:val="en-AU"/>
                <w14:textFill>
                  <w14:solidFill>
                    <w14:srgbClr w14:val="000000">
                      <w14:alpha w14:val="100000"/>
                    </w14:srgbClr>
                  </w14:solidFill>
                </w14:textFill>
              </w:rPr>
              <w:t>|</w:t>
            </w:r>
            <w:r w:rsidRPr="006E162D">
              <w:rPr>
                <w:rFonts w:hint="eastAsia"/>
                <w:b w:val="0"/>
                <w:bCs/>
                <w:color w:val="000000"/>
                <w:spacing w:val="-41"/>
                <w:w w:val="15"/>
                <w:szCs w:val="20"/>
                <w:shd w:val="solid" w:color="000000" w:fill="000000"/>
                <w:fitText w:val="25" w:id="-961836022"/>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19" w:type="pct"/>
            <w:shd w:val="clear" w:color="auto" w:fill="E5DFEC" w:themeFill="accent4" w:themeFillTint="33"/>
            <w:vAlign w:val="center"/>
          </w:tcPr>
          <w:p w14:paraId="1B493EA2" w14:textId="3D2C0DF4"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21"/>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21"/>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21"/>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585" w:type="pct"/>
            <w:shd w:val="clear" w:color="auto" w:fill="E5DFEC" w:themeFill="accent4" w:themeFillTint="33"/>
            <w:vAlign w:val="center"/>
          </w:tcPr>
          <w:p w14:paraId="63F498C1" w14:textId="6BC6D9A4"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63" w:id="-961836020"/>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63" w:id="-961836020"/>
                <w:lang w:val="en-AU"/>
                <w14:textFill>
                  <w14:solidFill>
                    <w14:srgbClr w14:val="000000">
                      <w14:alpha w14:val="100000"/>
                    </w14:srgbClr>
                  </w14:solidFill>
                </w14:textFill>
              </w:rPr>
              <w:t>|</w:t>
            </w:r>
            <w:r w:rsidRPr="00924D5E">
              <w:rPr>
                <w:rFonts w:hint="eastAsia"/>
                <w:b w:val="0"/>
                <w:bCs/>
                <w:color w:val="000000"/>
                <w:spacing w:val="-2"/>
                <w:w w:val="15"/>
                <w:szCs w:val="20"/>
                <w:shd w:val="solid" w:color="000000" w:fill="000000"/>
                <w:fitText w:val="63" w:id="-961836020"/>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r>
      <w:tr w:rsidR="00687354" w:rsidRPr="00CD4FAB" w14:paraId="47A7AAC8" w14:textId="77777777" w:rsidTr="00816D48">
        <w:tc>
          <w:tcPr>
            <w:tcW w:w="1311" w:type="pct"/>
            <w:shd w:val="clear" w:color="auto" w:fill="auto"/>
          </w:tcPr>
          <w:p w14:paraId="23E22B2F" w14:textId="77777777" w:rsidR="00495F6B" w:rsidRPr="00233CFE" w:rsidRDefault="00495F6B" w:rsidP="00023485">
            <w:pPr>
              <w:pStyle w:val="In-tableHeading"/>
              <w:rPr>
                <w:b w:val="0"/>
                <w:bCs/>
                <w:szCs w:val="20"/>
                <w:lang w:val="en-AU"/>
              </w:rPr>
            </w:pPr>
            <w:r w:rsidRPr="00233CFE">
              <w:rPr>
                <w:b w:val="0"/>
                <w:bCs/>
                <w:szCs w:val="20"/>
                <w:lang w:val="en-AU"/>
              </w:rPr>
              <w:t>Stage II NSQ</w:t>
            </w:r>
          </w:p>
        </w:tc>
        <w:tc>
          <w:tcPr>
            <w:tcW w:w="619" w:type="pct"/>
            <w:shd w:val="clear" w:color="auto" w:fill="auto"/>
            <w:vAlign w:val="center"/>
          </w:tcPr>
          <w:p w14:paraId="369F7F58" w14:textId="4726B110"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19"/>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19"/>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19"/>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21" w:type="pct"/>
            <w:shd w:val="clear" w:color="auto" w:fill="auto"/>
            <w:vAlign w:val="center"/>
          </w:tcPr>
          <w:p w14:paraId="1FE52192" w14:textId="0022DCD3"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18"/>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18"/>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18"/>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19" w:type="pct"/>
            <w:shd w:val="clear" w:color="auto" w:fill="E5DFEC" w:themeFill="accent4" w:themeFillTint="33"/>
            <w:vAlign w:val="center"/>
          </w:tcPr>
          <w:p w14:paraId="3445A645" w14:textId="5D947257" w:rsidR="00495F6B" w:rsidRPr="00D221AB" w:rsidRDefault="00924D5E" w:rsidP="00023485">
            <w:pPr>
              <w:pStyle w:val="In-tableHeading"/>
              <w:jc w:val="center"/>
              <w:rPr>
                <w:b w:val="0"/>
                <w:bCs/>
                <w:szCs w:val="20"/>
                <w:highlight w:val="lightGray"/>
                <w:lang w:val="en-AU"/>
              </w:rPr>
            </w:pPr>
            <w:r w:rsidRPr="00924D5E">
              <w:rPr>
                <w:b w:val="0"/>
                <w:bCs/>
                <w:color w:val="000000"/>
                <w:spacing w:val="164"/>
                <w:szCs w:val="20"/>
                <w:shd w:val="solid" w:color="000000" w:fill="000000"/>
                <w:fitText w:val="250" w:id="-961836017"/>
                <w:lang w:val="en-AU"/>
                <w14:textFill>
                  <w14:solidFill>
                    <w14:srgbClr w14:val="000000">
                      <w14:alpha w14:val="100000"/>
                    </w14:srgbClr>
                  </w14:solidFill>
                </w14:textFill>
              </w:rPr>
              <w:t>|</w:t>
            </w:r>
            <w:r w:rsidRPr="00924D5E">
              <w:rPr>
                <w:b w:val="0"/>
                <w:bCs/>
                <w:color w:val="000000"/>
                <w:spacing w:val="1"/>
                <w:szCs w:val="20"/>
                <w:shd w:val="solid" w:color="000000" w:fill="000000"/>
                <w:fitText w:val="250" w:id="-961836017"/>
                <w:lang w:val="en-AU"/>
                <w14:textFill>
                  <w14:solidFill>
                    <w14:srgbClr w14:val="000000">
                      <w14:alpha w14:val="100000"/>
                    </w14:srgbClr>
                  </w14:solidFill>
                </w14:textFill>
              </w:rPr>
              <w:t>|</w:t>
            </w:r>
            <w:r w:rsidR="00F23D76" w:rsidRPr="00233CFE">
              <w:rPr>
                <w:b w:val="0"/>
                <w:bCs/>
                <w:szCs w:val="20"/>
                <w:vertAlign w:val="superscript"/>
                <w:lang w:val="en-AU"/>
              </w:rPr>
              <w:t>1</w:t>
            </w:r>
          </w:p>
        </w:tc>
        <w:tc>
          <w:tcPr>
            <w:tcW w:w="626" w:type="pct"/>
            <w:shd w:val="clear" w:color="auto" w:fill="E5DFEC" w:themeFill="accent4" w:themeFillTint="33"/>
            <w:vAlign w:val="center"/>
          </w:tcPr>
          <w:p w14:paraId="6F0882CD" w14:textId="22F34DE5" w:rsidR="00495F6B" w:rsidRPr="00D221AB" w:rsidRDefault="00924D5E" w:rsidP="00023485">
            <w:pPr>
              <w:pStyle w:val="In-tableHeading"/>
              <w:jc w:val="center"/>
              <w:rPr>
                <w:b w:val="0"/>
                <w:bCs/>
                <w:szCs w:val="20"/>
                <w:highlight w:val="lightGray"/>
                <w:lang w:val="en-AU"/>
              </w:rPr>
            </w:pPr>
            <w:r w:rsidRPr="00924D5E">
              <w:rPr>
                <w:b w:val="0"/>
                <w:bCs/>
                <w:color w:val="000000"/>
                <w:spacing w:val="165"/>
                <w:szCs w:val="20"/>
                <w:shd w:val="solid" w:color="000000" w:fill="000000"/>
                <w:fitText w:val="251" w:id="-961836032"/>
                <w:lang w:val="en-AU"/>
                <w14:textFill>
                  <w14:solidFill>
                    <w14:srgbClr w14:val="000000">
                      <w14:alpha w14:val="100000"/>
                    </w14:srgbClr>
                  </w14:solidFill>
                </w14:textFill>
              </w:rPr>
              <w:t>|</w:t>
            </w:r>
            <w:r w:rsidRPr="00924D5E">
              <w:rPr>
                <w:b w:val="0"/>
                <w:bCs/>
                <w:color w:val="000000"/>
                <w:spacing w:val="1"/>
                <w:szCs w:val="20"/>
                <w:shd w:val="solid" w:color="000000" w:fill="000000"/>
                <w:fitText w:val="251" w:id="-961836032"/>
                <w:lang w:val="en-AU"/>
                <w14:textFill>
                  <w14:solidFill>
                    <w14:srgbClr w14:val="000000">
                      <w14:alpha w14:val="100000"/>
                    </w14:srgbClr>
                  </w14:solidFill>
                </w14:textFill>
              </w:rPr>
              <w:t>|</w:t>
            </w:r>
            <w:r w:rsidR="00F23D76" w:rsidRPr="00233CFE">
              <w:rPr>
                <w:b w:val="0"/>
                <w:bCs/>
                <w:szCs w:val="20"/>
                <w:vertAlign w:val="superscript"/>
                <w:lang w:val="en-AU"/>
              </w:rPr>
              <w:t>1</w:t>
            </w:r>
          </w:p>
        </w:tc>
        <w:tc>
          <w:tcPr>
            <w:tcW w:w="619" w:type="pct"/>
            <w:shd w:val="clear" w:color="auto" w:fill="E5DFEC" w:themeFill="accent4" w:themeFillTint="33"/>
            <w:vAlign w:val="center"/>
          </w:tcPr>
          <w:p w14:paraId="348ED53B" w14:textId="6B001F4F" w:rsidR="00495F6B" w:rsidRPr="00D221AB" w:rsidRDefault="00924D5E" w:rsidP="00023485">
            <w:pPr>
              <w:pStyle w:val="In-tableHeading"/>
              <w:jc w:val="center"/>
              <w:rPr>
                <w:b w:val="0"/>
                <w:bCs/>
                <w:szCs w:val="20"/>
                <w:highlight w:val="lightGray"/>
                <w:lang w:val="en-AU"/>
              </w:rPr>
            </w:pPr>
            <w:r w:rsidRPr="00924D5E">
              <w:rPr>
                <w:b w:val="0"/>
                <w:bCs/>
                <w:color w:val="000000"/>
                <w:spacing w:val="164"/>
                <w:szCs w:val="20"/>
                <w:shd w:val="solid" w:color="000000" w:fill="000000"/>
                <w:fitText w:val="250" w:id="-961836030"/>
                <w:lang w:val="en-AU"/>
                <w14:textFill>
                  <w14:solidFill>
                    <w14:srgbClr w14:val="000000">
                      <w14:alpha w14:val="100000"/>
                    </w14:srgbClr>
                  </w14:solidFill>
                </w14:textFill>
              </w:rPr>
              <w:t>|</w:t>
            </w:r>
            <w:r w:rsidRPr="00924D5E">
              <w:rPr>
                <w:b w:val="0"/>
                <w:bCs/>
                <w:color w:val="000000"/>
                <w:spacing w:val="1"/>
                <w:szCs w:val="20"/>
                <w:shd w:val="solid" w:color="000000" w:fill="000000"/>
                <w:fitText w:val="250" w:id="-961836030"/>
                <w:lang w:val="en-AU"/>
                <w14:textFill>
                  <w14:solidFill>
                    <w14:srgbClr w14:val="000000">
                      <w14:alpha w14:val="100000"/>
                    </w14:srgbClr>
                  </w14:solidFill>
                </w14:textFill>
              </w:rPr>
              <w:t>|</w:t>
            </w:r>
            <w:r w:rsidR="00F23D76" w:rsidRPr="00233CFE">
              <w:rPr>
                <w:b w:val="0"/>
                <w:bCs/>
                <w:szCs w:val="20"/>
                <w:vertAlign w:val="superscript"/>
                <w:lang w:val="en-AU"/>
              </w:rPr>
              <w:t>1</w:t>
            </w:r>
          </w:p>
        </w:tc>
        <w:tc>
          <w:tcPr>
            <w:tcW w:w="585" w:type="pct"/>
            <w:shd w:val="clear" w:color="auto" w:fill="E5DFEC" w:themeFill="accent4" w:themeFillTint="33"/>
            <w:vAlign w:val="center"/>
          </w:tcPr>
          <w:p w14:paraId="6696FB58" w14:textId="7EBE00B9" w:rsidR="00495F6B" w:rsidRPr="00D221AB" w:rsidRDefault="00924D5E" w:rsidP="00023485">
            <w:pPr>
              <w:pStyle w:val="In-tableHeading"/>
              <w:jc w:val="center"/>
              <w:rPr>
                <w:b w:val="0"/>
                <w:bCs/>
                <w:szCs w:val="20"/>
                <w:highlight w:val="lightGray"/>
                <w:lang w:val="en-AU"/>
              </w:rPr>
            </w:pPr>
            <w:r w:rsidRPr="00924D5E">
              <w:rPr>
                <w:b w:val="0"/>
                <w:bCs/>
                <w:color w:val="000000"/>
                <w:spacing w:val="202"/>
                <w:szCs w:val="20"/>
                <w:shd w:val="solid" w:color="000000" w:fill="000000"/>
                <w:fitText w:val="288" w:id="-961836028"/>
                <w:lang w:val="en-AU"/>
                <w14:textFill>
                  <w14:solidFill>
                    <w14:srgbClr w14:val="000000">
                      <w14:alpha w14:val="100000"/>
                    </w14:srgbClr>
                  </w14:solidFill>
                </w14:textFill>
              </w:rPr>
              <w:t>|</w:t>
            </w:r>
            <w:r w:rsidRPr="00924D5E">
              <w:rPr>
                <w:b w:val="0"/>
                <w:bCs/>
                <w:color w:val="000000"/>
                <w:spacing w:val="1"/>
                <w:szCs w:val="20"/>
                <w:shd w:val="solid" w:color="000000" w:fill="000000"/>
                <w:fitText w:val="288" w:id="-961836028"/>
                <w:lang w:val="en-AU"/>
                <w14:textFill>
                  <w14:solidFill>
                    <w14:srgbClr w14:val="000000">
                      <w14:alpha w14:val="100000"/>
                    </w14:srgbClr>
                  </w14:solidFill>
                </w14:textFill>
              </w:rPr>
              <w:t>|</w:t>
            </w:r>
            <w:r w:rsidR="00F23D76" w:rsidRPr="00233CFE">
              <w:rPr>
                <w:b w:val="0"/>
                <w:bCs/>
                <w:szCs w:val="20"/>
                <w:vertAlign w:val="superscript"/>
                <w:lang w:val="en-AU"/>
              </w:rPr>
              <w:t>1</w:t>
            </w:r>
          </w:p>
        </w:tc>
      </w:tr>
      <w:tr w:rsidR="00687354" w:rsidRPr="00CD4FAB" w14:paraId="5ABAC6AB" w14:textId="77777777" w:rsidTr="00816D48">
        <w:tc>
          <w:tcPr>
            <w:tcW w:w="1311" w:type="pct"/>
            <w:shd w:val="clear" w:color="auto" w:fill="auto"/>
          </w:tcPr>
          <w:p w14:paraId="1AFF014B" w14:textId="77777777" w:rsidR="00495F6B" w:rsidRPr="00233CFE" w:rsidRDefault="00495F6B" w:rsidP="00023485">
            <w:pPr>
              <w:pStyle w:val="In-tableHeading"/>
              <w:rPr>
                <w:b w:val="0"/>
                <w:bCs/>
                <w:szCs w:val="20"/>
                <w:lang w:val="en-AU"/>
              </w:rPr>
            </w:pPr>
            <w:r w:rsidRPr="00233CFE">
              <w:rPr>
                <w:b w:val="0"/>
                <w:bCs/>
                <w:szCs w:val="20"/>
                <w:lang w:val="en-AU"/>
              </w:rPr>
              <w:t>Stage IIIa NSQ</w:t>
            </w:r>
          </w:p>
        </w:tc>
        <w:tc>
          <w:tcPr>
            <w:tcW w:w="619" w:type="pct"/>
            <w:shd w:val="clear" w:color="auto" w:fill="auto"/>
            <w:vAlign w:val="center"/>
          </w:tcPr>
          <w:p w14:paraId="43E168EC" w14:textId="68EA20CB"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26"/>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26"/>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26"/>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21" w:type="pct"/>
            <w:shd w:val="clear" w:color="auto" w:fill="auto"/>
            <w:vAlign w:val="center"/>
          </w:tcPr>
          <w:p w14:paraId="3982F4EF" w14:textId="1BA3C0CE"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25"/>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25"/>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25"/>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19" w:type="pct"/>
            <w:shd w:val="clear" w:color="auto" w:fill="E5DFEC" w:themeFill="accent4" w:themeFillTint="33"/>
            <w:vAlign w:val="center"/>
          </w:tcPr>
          <w:p w14:paraId="6FFB4E70" w14:textId="5C7FD511"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24"/>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24"/>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24"/>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26" w:type="pct"/>
            <w:shd w:val="clear" w:color="auto" w:fill="E5DFEC" w:themeFill="accent4" w:themeFillTint="33"/>
            <w:vAlign w:val="center"/>
          </w:tcPr>
          <w:p w14:paraId="16FD01D2" w14:textId="425BC45A" w:rsidR="00495F6B" w:rsidRPr="00D221AB" w:rsidRDefault="00924D5E" w:rsidP="00023485">
            <w:pPr>
              <w:pStyle w:val="In-tableHeading"/>
              <w:jc w:val="center"/>
              <w:rPr>
                <w:b w:val="0"/>
                <w:bCs/>
                <w:szCs w:val="20"/>
                <w:highlight w:val="lightGray"/>
                <w:lang w:val="en-AU"/>
              </w:rPr>
            </w:pPr>
            <w:r w:rsidRPr="006E162D">
              <w:rPr>
                <w:rFonts w:hint="eastAsia"/>
                <w:b w:val="0"/>
                <w:bCs/>
                <w:color w:val="000000"/>
                <w:w w:val="15"/>
                <w:szCs w:val="20"/>
                <w:shd w:val="solid" w:color="000000" w:fill="000000"/>
                <w:fitText w:val="25" w:id="-961836023"/>
                <w:lang w:val="en-AU"/>
                <w14:textFill>
                  <w14:solidFill>
                    <w14:srgbClr w14:val="000000">
                      <w14:alpha w14:val="100000"/>
                    </w14:srgbClr>
                  </w14:solidFill>
                </w14:textFill>
              </w:rPr>
              <w:t xml:space="preserve">　</w:t>
            </w:r>
            <w:r w:rsidRPr="006E162D">
              <w:rPr>
                <w:b w:val="0"/>
                <w:bCs/>
                <w:color w:val="000000"/>
                <w:w w:val="15"/>
                <w:szCs w:val="20"/>
                <w:shd w:val="solid" w:color="000000" w:fill="000000"/>
                <w:fitText w:val="25" w:id="-961836023"/>
                <w:lang w:val="en-AU"/>
                <w14:textFill>
                  <w14:solidFill>
                    <w14:srgbClr w14:val="000000">
                      <w14:alpha w14:val="100000"/>
                    </w14:srgbClr>
                  </w14:solidFill>
                </w14:textFill>
              </w:rPr>
              <w:t>|</w:t>
            </w:r>
            <w:r w:rsidRPr="006E162D">
              <w:rPr>
                <w:rFonts w:hint="eastAsia"/>
                <w:b w:val="0"/>
                <w:bCs/>
                <w:color w:val="000000"/>
                <w:spacing w:val="-41"/>
                <w:w w:val="15"/>
                <w:szCs w:val="20"/>
                <w:shd w:val="solid" w:color="000000" w:fill="000000"/>
                <w:fitText w:val="25" w:id="-961836023"/>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19" w:type="pct"/>
            <w:shd w:val="clear" w:color="auto" w:fill="E5DFEC" w:themeFill="accent4" w:themeFillTint="33"/>
            <w:vAlign w:val="center"/>
          </w:tcPr>
          <w:p w14:paraId="033B94C2" w14:textId="7A920904"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22"/>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22"/>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22"/>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585" w:type="pct"/>
            <w:shd w:val="clear" w:color="auto" w:fill="E5DFEC" w:themeFill="accent4" w:themeFillTint="33"/>
            <w:vAlign w:val="center"/>
          </w:tcPr>
          <w:p w14:paraId="1FC6842F" w14:textId="1AA6EDB1"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63" w:id="-961836021"/>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63" w:id="-961836021"/>
                <w:lang w:val="en-AU"/>
                <w14:textFill>
                  <w14:solidFill>
                    <w14:srgbClr w14:val="000000">
                      <w14:alpha w14:val="100000"/>
                    </w14:srgbClr>
                  </w14:solidFill>
                </w14:textFill>
              </w:rPr>
              <w:t>|</w:t>
            </w:r>
            <w:r w:rsidRPr="00924D5E">
              <w:rPr>
                <w:rFonts w:hint="eastAsia"/>
                <w:b w:val="0"/>
                <w:bCs/>
                <w:color w:val="000000"/>
                <w:spacing w:val="-2"/>
                <w:w w:val="15"/>
                <w:szCs w:val="20"/>
                <w:shd w:val="solid" w:color="000000" w:fill="000000"/>
                <w:fitText w:val="63" w:id="-961836021"/>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r>
      <w:tr w:rsidR="00687354" w:rsidRPr="00CD4FAB" w14:paraId="0885B5FA" w14:textId="77777777" w:rsidTr="00816D48">
        <w:tc>
          <w:tcPr>
            <w:tcW w:w="1311" w:type="pct"/>
            <w:shd w:val="clear" w:color="auto" w:fill="auto"/>
          </w:tcPr>
          <w:p w14:paraId="626E3EDF" w14:textId="77777777" w:rsidR="00495F6B" w:rsidRPr="00233CFE" w:rsidRDefault="00495F6B" w:rsidP="00023485">
            <w:pPr>
              <w:pStyle w:val="In-tableHeading"/>
              <w:rPr>
                <w:b w:val="0"/>
                <w:bCs/>
                <w:szCs w:val="20"/>
                <w:lang w:val="en-AU"/>
              </w:rPr>
            </w:pPr>
            <w:r w:rsidRPr="00233CFE">
              <w:rPr>
                <w:b w:val="0"/>
                <w:bCs/>
                <w:szCs w:val="20"/>
                <w:lang w:val="en-AU"/>
              </w:rPr>
              <w:t>Stage 1b SQ</w:t>
            </w:r>
          </w:p>
        </w:tc>
        <w:tc>
          <w:tcPr>
            <w:tcW w:w="619" w:type="pct"/>
            <w:shd w:val="clear" w:color="auto" w:fill="auto"/>
            <w:vAlign w:val="center"/>
          </w:tcPr>
          <w:p w14:paraId="3A6EE60D" w14:textId="741ED202"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20"/>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20"/>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20"/>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21" w:type="pct"/>
            <w:shd w:val="clear" w:color="auto" w:fill="auto"/>
            <w:vAlign w:val="center"/>
          </w:tcPr>
          <w:p w14:paraId="4B7C4FEC" w14:textId="64CA1F15"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19"/>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19"/>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19"/>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19" w:type="pct"/>
            <w:shd w:val="clear" w:color="auto" w:fill="E5DFEC" w:themeFill="accent4" w:themeFillTint="33"/>
            <w:vAlign w:val="center"/>
          </w:tcPr>
          <w:p w14:paraId="7B12EA58" w14:textId="50DA0ACD"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18"/>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18"/>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18"/>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26" w:type="pct"/>
            <w:shd w:val="clear" w:color="auto" w:fill="E5DFEC" w:themeFill="accent4" w:themeFillTint="33"/>
            <w:vAlign w:val="center"/>
          </w:tcPr>
          <w:p w14:paraId="1FB53B77" w14:textId="1A05EFF9" w:rsidR="00495F6B" w:rsidRPr="00D221AB" w:rsidRDefault="00924D5E" w:rsidP="00023485">
            <w:pPr>
              <w:pStyle w:val="In-tableHeading"/>
              <w:jc w:val="center"/>
              <w:rPr>
                <w:b w:val="0"/>
                <w:bCs/>
                <w:szCs w:val="20"/>
                <w:highlight w:val="lightGray"/>
                <w:lang w:val="en-AU"/>
              </w:rPr>
            </w:pPr>
            <w:r w:rsidRPr="006E162D">
              <w:rPr>
                <w:rFonts w:hint="eastAsia"/>
                <w:b w:val="0"/>
                <w:bCs/>
                <w:color w:val="000000"/>
                <w:w w:val="15"/>
                <w:szCs w:val="20"/>
                <w:shd w:val="solid" w:color="000000" w:fill="000000"/>
                <w:fitText w:val="25" w:id="-961836017"/>
                <w:lang w:val="en-AU"/>
                <w14:textFill>
                  <w14:solidFill>
                    <w14:srgbClr w14:val="000000">
                      <w14:alpha w14:val="100000"/>
                    </w14:srgbClr>
                  </w14:solidFill>
                </w14:textFill>
              </w:rPr>
              <w:t xml:space="preserve">　</w:t>
            </w:r>
            <w:r w:rsidRPr="006E162D">
              <w:rPr>
                <w:b w:val="0"/>
                <w:bCs/>
                <w:color w:val="000000"/>
                <w:w w:val="15"/>
                <w:szCs w:val="20"/>
                <w:shd w:val="solid" w:color="000000" w:fill="000000"/>
                <w:fitText w:val="25" w:id="-961836017"/>
                <w:lang w:val="en-AU"/>
                <w14:textFill>
                  <w14:solidFill>
                    <w14:srgbClr w14:val="000000">
                      <w14:alpha w14:val="100000"/>
                    </w14:srgbClr>
                  </w14:solidFill>
                </w14:textFill>
              </w:rPr>
              <w:t>|</w:t>
            </w:r>
            <w:r w:rsidRPr="006E162D">
              <w:rPr>
                <w:rFonts w:hint="eastAsia"/>
                <w:b w:val="0"/>
                <w:bCs/>
                <w:color w:val="000000"/>
                <w:spacing w:val="-41"/>
                <w:w w:val="15"/>
                <w:szCs w:val="20"/>
                <w:shd w:val="solid" w:color="000000" w:fill="000000"/>
                <w:fitText w:val="25" w:id="-961836017"/>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19" w:type="pct"/>
            <w:shd w:val="clear" w:color="auto" w:fill="E5DFEC" w:themeFill="accent4" w:themeFillTint="33"/>
            <w:vAlign w:val="center"/>
          </w:tcPr>
          <w:p w14:paraId="06B703B3" w14:textId="47DE64C3"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16"/>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16"/>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16"/>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585" w:type="pct"/>
            <w:shd w:val="clear" w:color="auto" w:fill="E5DFEC" w:themeFill="accent4" w:themeFillTint="33"/>
            <w:vAlign w:val="center"/>
          </w:tcPr>
          <w:p w14:paraId="361597BC" w14:textId="08154E23"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63" w:id="-961836032"/>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63" w:id="-961836032"/>
                <w:lang w:val="en-AU"/>
                <w14:textFill>
                  <w14:solidFill>
                    <w14:srgbClr w14:val="000000">
                      <w14:alpha w14:val="100000"/>
                    </w14:srgbClr>
                  </w14:solidFill>
                </w14:textFill>
              </w:rPr>
              <w:t>|</w:t>
            </w:r>
            <w:r w:rsidRPr="00924D5E">
              <w:rPr>
                <w:rFonts w:hint="eastAsia"/>
                <w:b w:val="0"/>
                <w:bCs/>
                <w:color w:val="000000"/>
                <w:spacing w:val="-2"/>
                <w:w w:val="15"/>
                <w:szCs w:val="20"/>
                <w:shd w:val="solid" w:color="000000" w:fill="000000"/>
                <w:fitText w:val="63" w:id="-961836032"/>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r>
      <w:tr w:rsidR="00687354" w:rsidRPr="00CD4FAB" w14:paraId="721B6125" w14:textId="77777777" w:rsidTr="00816D48">
        <w:tc>
          <w:tcPr>
            <w:tcW w:w="1311" w:type="pct"/>
            <w:shd w:val="clear" w:color="auto" w:fill="auto"/>
          </w:tcPr>
          <w:p w14:paraId="1F269A95" w14:textId="77777777" w:rsidR="00495F6B" w:rsidRPr="00233CFE" w:rsidRDefault="00495F6B" w:rsidP="00023485">
            <w:pPr>
              <w:pStyle w:val="In-tableHeading"/>
              <w:rPr>
                <w:b w:val="0"/>
                <w:bCs/>
                <w:szCs w:val="20"/>
                <w:lang w:val="en-AU"/>
              </w:rPr>
            </w:pPr>
            <w:r w:rsidRPr="00233CFE">
              <w:rPr>
                <w:b w:val="0"/>
                <w:bCs/>
                <w:szCs w:val="20"/>
                <w:lang w:val="en-AU"/>
              </w:rPr>
              <w:t>Stage II SQ</w:t>
            </w:r>
          </w:p>
        </w:tc>
        <w:tc>
          <w:tcPr>
            <w:tcW w:w="619" w:type="pct"/>
            <w:shd w:val="clear" w:color="auto" w:fill="auto"/>
            <w:vAlign w:val="center"/>
          </w:tcPr>
          <w:p w14:paraId="2704F782" w14:textId="0ABC92E3"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31"/>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31"/>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31"/>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21" w:type="pct"/>
            <w:shd w:val="clear" w:color="auto" w:fill="auto"/>
            <w:vAlign w:val="center"/>
          </w:tcPr>
          <w:p w14:paraId="0498049B" w14:textId="10016525"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30"/>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30"/>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30"/>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19" w:type="pct"/>
            <w:shd w:val="clear" w:color="auto" w:fill="E5DFEC" w:themeFill="accent4" w:themeFillTint="33"/>
            <w:vAlign w:val="center"/>
          </w:tcPr>
          <w:p w14:paraId="56F561A2" w14:textId="2CCB7366" w:rsidR="00495F6B" w:rsidRPr="00D221AB" w:rsidRDefault="00924D5E" w:rsidP="00023485">
            <w:pPr>
              <w:pStyle w:val="In-tableHeading"/>
              <w:jc w:val="center"/>
              <w:rPr>
                <w:b w:val="0"/>
                <w:bCs/>
                <w:szCs w:val="20"/>
                <w:highlight w:val="lightGray"/>
                <w:lang w:val="en-AU"/>
              </w:rPr>
            </w:pPr>
            <w:r w:rsidRPr="00924D5E">
              <w:rPr>
                <w:b w:val="0"/>
                <w:bCs/>
                <w:color w:val="000000"/>
                <w:spacing w:val="164"/>
                <w:szCs w:val="20"/>
                <w:shd w:val="solid" w:color="000000" w:fill="000000"/>
                <w:fitText w:val="250" w:id="-961836029"/>
                <w:lang w:val="en-AU"/>
                <w14:textFill>
                  <w14:solidFill>
                    <w14:srgbClr w14:val="000000">
                      <w14:alpha w14:val="100000"/>
                    </w14:srgbClr>
                  </w14:solidFill>
                </w14:textFill>
              </w:rPr>
              <w:t>|</w:t>
            </w:r>
            <w:r w:rsidRPr="00924D5E">
              <w:rPr>
                <w:b w:val="0"/>
                <w:bCs/>
                <w:color w:val="000000"/>
                <w:spacing w:val="1"/>
                <w:szCs w:val="20"/>
                <w:shd w:val="solid" w:color="000000" w:fill="000000"/>
                <w:fitText w:val="250" w:id="-961836029"/>
                <w:lang w:val="en-AU"/>
                <w14:textFill>
                  <w14:solidFill>
                    <w14:srgbClr w14:val="000000">
                      <w14:alpha w14:val="100000"/>
                    </w14:srgbClr>
                  </w14:solidFill>
                </w14:textFill>
              </w:rPr>
              <w:t>|</w:t>
            </w:r>
            <w:r w:rsidR="00F23D76" w:rsidRPr="00233CFE">
              <w:rPr>
                <w:b w:val="0"/>
                <w:bCs/>
                <w:szCs w:val="20"/>
                <w:vertAlign w:val="superscript"/>
                <w:lang w:val="en-AU"/>
              </w:rPr>
              <w:t>1</w:t>
            </w:r>
          </w:p>
        </w:tc>
        <w:tc>
          <w:tcPr>
            <w:tcW w:w="626" w:type="pct"/>
            <w:shd w:val="clear" w:color="auto" w:fill="E5DFEC" w:themeFill="accent4" w:themeFillTint="33"/>
            <w:vAlign w:val="center"/>
          </w:tcPr>
          <w:p w14:paraId="1EAF6DF4" w14:textId="1BA53ABF" w:rsidR="00495F6B" w:rsidRPr="00D221AB" w:rsidRDefault="00924D5E" w:rsidP="00023485">
            <w:pPr>
              <w:pStyle w:val="In-tableHeading"/>
              <w:jc w:val="center"/>
              <w:rPr>
                <w:b w:val="0"/>
                <w:bCs/>
                <w:szCs w:val="20"/>
                <w:highlight w:val="lightGray"/>
                <w:lang w:val="en-AU"/>
              </w:rPr>
            </w:pPr>
            <w:r w:rsidRPr="00924D5E">
              <w:rPr>
                <w:b w:val="0"/>
                <w:bCs/>
                <w:color w:val="000000"/>
                <w:spacing w:val="165"/>
                <w:szCs w:val="20"/>
                <w:shd w:val="solid" w:color="000000" w:fill="000000"/>
                <w:fitText w:val="251" w:id="-961836027"/>
                <w:lang w:val="en-AU"/>
                <w14:textFill>
                  <w14:solidFill>
                    <w14:srgbClr w14:val="000000">
                      <w14:alpha w14:val="100000"/>
                    </w14:srgbClr>
                  </w14:solidFill>
                </w14:textFill>
              </w:rPr>
              <w:t>|</w:t>
            </w:r>
            <w:r w:rsidRPr="00924D5E">
              <w:rPr>
                <w:b w:val="0"/>
                <w:bCs/>
                <w:color w:val="000000"/>
                <w:spacing w:val="1"/>
                <w:szCs w:val="20"/>
                <w:shd w:val="solid" w:color="000000" w:fill="000000"/>
                <w:fitText w:val="251" w:id="-961836027"/>
                <w:lang w:val="en-AU"/>
                <w14:textFill>
                  <w14:solidFill>
                    <w14:srgbClr w14:val="000000">
                      <w14:alpha w14:val="100000"/>
                    </w14:srgbClr>
                  </w14:solidFill>
                </w14:textFill>
              </w:rPr>
              <w:t>|</w:t>
            </w:r>
            <w:r w:rsidR="00F23D76" w:rsidRPr="00233CFE">
              <w:rPr>
                <w:b w:val="0"/>
                <w:bCs/>
                <w:szCs w:val="20"/>
                <w:vertAlign w:val="superscript"/>
                <w:lang w:val="en-AU"/>
              </w:rPr>
              <w:t>1</w:t>
            </w:r>
          </w:p>
        </w:tc>
        <w:tc>
          <w:tcPr>
            <w:tcW w:w="619" w:type="pct"/>
            <w:shd w:val="clear" w:color="auto" w:fill="E5DFEC" w:themeFill="accent4" w:themeFillTint="33"/>
            <w:vAlign w:val="center"/>
          </w:tcPr>
          <w:p w14:paraId="4B19E4E9" w14:textId="4C2752ED" w:rsidR="00495F6B" w:rsidRPr="00D221AB" w:rsidRDefault="00924D5E" w:rsidP="00023485">
            <w:pPr>
              <w:pStyle w:val="In-tableHeading"/>
              <w:jc w:val="center"/>
              <w:rPr>
                <w:b w:val="0"/>
                <w:bCs/>
                <w:szCs w:val="20"/>
                <w:highlight w:val="lightGray"/>
                <w:lang w:val="en-AU"/>
              </w:rPr>
            </w:pPr>
            <w:r w:rsidRPr="00924D5E">
              <w:rPr>
                <w:b w:val="0"/>
                <w:bCs/>
                <w:color w:val="000000"/>
                <w:spacing w:val="164"/>
                <w:szCs w:val="20"/>
                <w:shd w:val="solid" w:color="000000" w:fill="000000"/>
                <w:fitText w:val="250" w:id="-961836025"/>
                <w:lang w:val="en-AU"/>
                <w14:textFill>
                  <w14:solidFill>
                    <w14:srgbClr w14:val="000000">
                      <w14:alpha w14:val="100000"/>
                    </w14:srgbClr>
                  </w14:solidFill>
                </w14:textFill>
              </w:rPr>
              <w:t>|</w:t>
            </w:r>
            <w:r w:rsidRPr="00924D5E">
              <w:rPr>
                <w:b w:val="0"/>
                <w:bCs/>
                <w:color w:val="000000"/>
                <w:spacing w:val="1"/>
                <w:szCs w:val="20"/>
                <w:shd w:val="solid" w:color="000000" w:fill="000000"/>
                <w:fitText w:val="250" w:id="-961836025"/>
                <w:lang w:val="en-AU"/>
                <w14:textFill>
                  <w14:solidFill>
                    <w14:srgbClr w14:val="000000">
                      <w14:alpha w14:val="100000"/>
                    </w14:srgbClr>
                  </w14:solidFill>
                </w14:textFill>
              </w:rPr>
              <w:t>|</w:t>
            </w:r>
            <w:r w:rsidR="00F23D76" w:rsidRPr="00233CFE">
              <w:rPr>
                <w:b w:val="0"/>
                <w:bCs/>
                <w:szCs w:val="20"/>
                <w:vertAlign w:val="superscript"/>
                <w:lang w:val="en-AU"/>
              </w:rPr>
              <w:t>1</w:t>
            </w:r>
          </w:p>
        </w:tc>
        <w:tc>
          <w:tcPr>
            <w:tcW w:w="585" w:type="pct"/>
            <w:shd w:val="clear" w:color="auto" w:fill="E5DFEC" w:themeFill="accent4" w:themeFillTint="33"/>
            <w:vAlign w:val="center"/>
          </w:tcPr>
          <w:p w14:paraId="3B6F8C1F" w14:textId="5A2EB01E" w:rsidR="00495F6B" w:rsidRPr="00D221AB" w:rsidRDefault="00924D5E" w:rsidP="00023485">
            <w:pPr>
              <w:pStyle w:val="In-tableHeading"/>
              <w:jc w:val="center"/>
              <w:rPr>
                <w:b w:val="0"/>
                <w:bCs/>
                <w:szCs w:val="20"/>
                <w:highlight w:val="lightGray"/>
                <w:lang w:val="en-AU"/>
              </w:rPr>
            </w:pPr>
            <w:r w:rsidRPr="00924D5E">
              <w:rPr>
                <w:b w:val="0"/>
                <w:bCs/>
                <w:color w:val="000000"/>
                <w:spacing w:val="202"/>
                <w:szCs w:val="20"/>
                <w:shd w:val="solid" w:color="000000" w:fill="000000"/>
                <w:fitText w:val="288" w:id="-961836023"/>
                <w:lang w:val="en-AU"/>
                <w14:textFill>
                  <w14:solidFill>
                    <w14:srgbClr w14:val="000000">
                      <w14:alpha w14:val="100000"/>
                    </w14:srgbClr>
                  </w14:solidFill>
                </w14:textFill>
              </w:rPr>
              <w:t>|</w:t>
            </w:r>
            <w:r w:rsidRPr="00924D5E">
              <w:rPr>
                <w:b w:val="0"/>
                <w:bCs/>
                <w:color w:val="000000"/>
                <w:spacing w:val="1"/>
                <w:szCs w:val="20"/>
                <w:shd w:val="solid" w:color="000000" w:fill="000000"/>
                <w:fitText w:val="288" w:id="-961836023"/>
                <w:lang w:val="en-AU"/>
                <w14:textFill>
                  <w14:solidFill>
                    <w14:srgbClr w14:val="000000">
                      <w14:alpha w14:val="100000"/>
                    </w14:srgbClr>
                  </w14:solidFill>
                </w14:textFill>
              </w:rPr>
              <w:t>|</w:t>
            </w:r>
            <w:r w:rsidR="00F23D76" w:rsidRPr="00233CFE">
              <w:rPr>
                <w:b w:val="0"/>
                <w:bCs/>
                <w:szCs w:val="20"/>
                <w:vertAlign w:val="superscript"/>
                <w:lang w:val="en-AU"/>
              </w:rPr>
              <w:t>1</w:t>
            </w:r>
          </w:p>
        </w:tc>
      </w:tr>
      <w:tr w:rsidR="00687354" w:rsidRPr="00CD4FAB" w14:paraId="6150FC15" w14:textId="77777777" w:rsidTr="00816D48">
        <w:tc>
          <w:tcPr>
            <w:tcW w:w="1311" w:type="pct"/>
            <w:shd w:val="clear" w:color="auto" w:fill="auto"/>
          </w:tcPr>
          <w:p w14:paraId="01289247" w14:textId="77777777" w:rsidR="00495F6B" w:rsidRPr="00233CFE" w:rsidRDefault="00495F6B" w:rsidP="00023485">
            <w:pPr>
              <w:pStyle w:val="In-tableHeading"/>
              <w:rPr>
                <w:b w:val="0"/>
                <w:bCs/>
                <w:szCs w:val="20"/>
                <w:lang w:val="en-AU"/>
              </w:rPr>
            </w:pPr>
            <w:r w:rsidRPr="00233CFE">
              <w:rPr>
                <w:b w:val="0"/>
                <w:bCs/>
                <w:szCs w:val="20"/>
                <w:lang w:val="en-AU"/>
              </w:rPr>
              <w:t>Stage IIIa SQ</w:t>
            </w:r>
          </w:p>
        </w:tc>
        <w:tc>
          <w:tcPr>
            <w:tcW w:w="619" w:type="pct"/>
            <w:shd w:val="clear" w:color="auto" w:fill="auto"/>
            <w:vAlign w:val="center"/>
          </w:tcPr>
          <w:p w14:paraId="0C806492" w14:textId="21616A67"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21"/>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21"/>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21"/>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21" w:type="pct"/>
            <w:shd w:val="clear" w:color="auto" w:fill="auto"/>
            <w:vAlign w:val="center"/>
          </w:tcPr>
          <w:p w14:paraId="349EE00D" w14:textId="33038C1F"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20"/>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20"/>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20"/>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19" w:type="pct"/>
            <w:shd w:val="clear" w:color="auto" w:fill="E5DFEC" w:themeFill="accent4" w:themeFillTint="33"/>
            <w:vAlign w:val="center"/>
          </w:tcPr>
          <w:p w14:paraId="4E061BBD" w14:textId="15C720B7"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19"/>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19"/>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19"/>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26" w:type="pct"/>
            <w:shd w:val="clear" w:color="auto" w:fill="E5DFEC" w:themeFill="accent4" w:themeFillTint="33"/>
            <w:vAlign w:val="center"/>
          </w:tcPr>
          <w:p w14:paraId="5B630F04" w14:textId="1DE8C1D6" w:rsidR="00495F6B" w:rsidRPr="00D221AB" w:rsidRDefault="00924D5E" w:rsidP="00023485">
            <w:pPr>
              <w:pStyle w:val="In-tableHeading"/>
              <w:jc w:val="center"/>
              <w:rPr>
                <w:b w:val="0"/>
                <w:bCs/>
                <w:szCs w:val="20"/>
                <w:highlight w:val="lightGray"/>
                <w:lang w:val="en-AU"/>
              </w:rPr>
            </w:pPr>
            <w:r w:rsidRPr="006E162D">
              <w:rPr>
                <w:rFonts w:hint="eastAsia"/>
                <w:b w:val="0"/>
                <w:bCs/>
                <w:color w:val="000000"/>
                <w:w w:val="15"/>
                <w:szCs w:val="20"/>
                <w:shd w:val="solid" w:color="000000" w:fill="000000"/>
                <w:fitText w:val="25" w:id="-961836018"/>
                <w:lang w:val="en-AU"/>
                <w14:textFill>
                  <w14:solidFill>
                    <w14:srgbClr w14:val="000000">
                      <w14:alpha w14:val="100000"/>
                    </w14:srgbClr>
                  </w14:solidFill>
                </w14:textFill>
              </w:rPr>
              <w:t xml:space="preserve">　</w:t>
            </w:r>
            <w:r w:rsidRPr="006E162D">
              <w:rPr>
                <w:b w:val="0"/>
                <w:bCs/>
                <w:color w:val="000000"/>
                <w:w w:val="15"/>
                <w:szCs w:val="20"/>
                <w:shd w:val="solid" w:color="000000" w:fill="000000"/>
                <w:fitText w:val="25" w:id="-961836018"/>
                <w:lang w:val="en-AU"/>
                <w14:textFill>
                  <w14:solidFill>
                    <w14:srgbClr w14:val="000000">
                      <w14:alpha w14:val="100000"/>
                    </w14:srgbClr>
                  </w14:solidFill>
                </w14:textFill>
              </w:rPr>
              <w:t>|</w:t>
            </w:r>
            <w:r w:rsidRPr="006E162D">
              <w:rPr>
                <w:rFonts w:hint="eastAsia"/>
                <w:b w:val="0"/>
                <w:bCs/>
                <w:color w:val="000000"/>
                <w:spacing w:val="-41"/>
                <w:w w:val="15"/>
                <w:szCs w:val="20"/>
                <w:shd w:val="solid" w:color="000000" w:fill="000000"/>
                <w:fitText w:val="25" w:id="-961836018"/>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619" w:type="pct"/>
            <w:shd w:val="clear" w:color="auto" w:fill="E5DFEC" w:themeFill="accent4" w:themeFillTint="33"/>
            <w:vAlign w:val="center"/>
          </w:tcPr>
          <w:p w14:paraId="0243FD86" w14:textId="73DF070C"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17"/>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17"/>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17"/>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c>
          <w:tcPr>
            <w:tcW w:w="585" w:type="pct"/>
            <w:shd w:val="clear" w:color="auto" w:fill="E5DFEC" w:themeFill="accent4" w:themeFillTint="33"/>
            <w:vAlign w:val="center"/>
          </w:tcPr>
          <w:p w14:paraId="0561B4D5" w14:textId="2774F8A4"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63" w:id="-961836016"/>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63" w:id="-961836016"/>
                <w:lang w:val="en-AU"/>
                <w14:textFill>
                  <w14:solidFill>
                    <w14:srgbClr w14:val="000000">
                      <w14:alpha w14:val="100000"/>
                    </w14:srgbClr>
                  </w14:solidFill>
                </w14:textFill>
              </w:rPr>
              <w:t>|</w:t>
            </w:r>
            <w:r w:rsidRPr="00924D5E">
              <w:rPr>
                <w:rFonts w:hint="eastAsia"/>
                <w:b w:val="0"/>
                <w:bCs/>
                <w:color w:val="000000"/>
                <w:spacing w:val="-2"/>
                <w:w w:val="15"/>
                <w:szCs w:val="20"/>
                <w:shd w:val="solid" w:color="000000" w:fill="000000"/>
                <w:fitText w:val="63" w:id="-961836016"/>
                <w:lang w:val="en-AU"/>
                <w14:textFill>
                  <w14:solidFill>
                    <w14:srgbClr w14:val="000000">
                      <w14:alpha w14:val="100000"/>
                    </w14:srgbClr>
                  </w14:solidFill>
                </w14:textFill>
              </w:rPr>
              <w:t xml:space="preserve">　</w:t>
            </w:r>
            <w:r w:rsidR="00F23D76" w:rsidRPr="00233CFE">
              <w:rPr>
                <w:b w:val="0"/>
                <w:bCs/>
                <w:szCs w:val="20"/>
                <w:vertAlign w:val="superscript"/>
                <w:lang w:val="en-AU"/>
              </w:rPr>
              <w:t>1</w:t>
            </w:r>
          </w:p>
        </w:tc>
      </w:tr>
      <w:tr w:rsidR="00687354" w:rsidRPr="00CD4FAB" w14:paraId="5818CB2A" w14:textId="77777777" w:rsidTr="00023485">
        <w:trPr>
          <w:tblHeader/>
        </w:trPr>
        <w:tc>
          <w:tcPr>
            <w:tcW w:w="5000" w:type="pct"/>
            <w:gridSpan w:val="7"/>
            <w:shd w:val="clear" w:color="auto" w:fill="auto"/>
            <w:vAlign w:val="center"/>
          </w:tcPr>
          <w:p w14:paraId="3FA588EC" w14:textId="0AA5073A" w:rsidR="00495F6B" w:rsidRPr="00233CFE" w:rsidRDefault="00495F6B" w:rsidP="00023485">
            <w:pPr>
              <w:pStyle w:val="In-tableHeading"/>
              <w:rPr>
                <w:szCs w:val="20"/>
                <w:lang w:val="en-AU"/>
              </w:rPr>
            </w:pPr>
            <w:r w:rsidRPr="00233CFE">
              <w:rPr>
                <w:szCs w:val="20"/>
                <w:lang w:val="en-AU"/>
              </w:rPr>
              <w:t xml:space="preserve">Estimated extent of use, March 2024 </w:t>
            </w:r>
            <w:r w:rsidR="00DE34E5" w:rsidRPr="00233CFE">
              <w:rPr>
                <w:szCs w:val="20"/>
                <w:lang w:val="en-AU"/>
              </w:rPr>
              <w:t>PSCR (uptake of 35% in years 1 and 2)</w:t>
            </w:r>
          </w:p>
        </w:tc>
      </w:tr>
      <w:tr w:rsidR="00687354" w:rsidRPr="00CD4FAB" w14:paraId="0ADF9A49" w14:textId="77777777" w:rsidTr="00023485">
        <w:trPr>
          <w:tblHeader/>
        </w:trPr>
        <w:tc>
          <w:tcPr>
            <w:tcW w:w="1311" w:type="pct"/>
            <w:shd w:val="clear" w:color="auto" w:fill="auto"/>
            <w:vAlign w:val="center"/>
          </w:tcPr>
          <w:p w14:paraId="48B30539" w14:textId="77777777" w:rsidR="00495F6B" w:rsidRPr="00233CFE" w:rsidRDefault="00495F6B" w:rsidP="00023485">
            <w:pPr>
              <w:pStyle w:val="In-tableHeading"/>
              <w:rPr>
                <w:szCs w:val="20"/>
                <w:vertAlign w:val="superscript"/>
                <w:lang w:val="en-AU"/>
              </w:rPr>
            </w:pPr>
            <w:r w:rsidRPr="00233CFE">
              <w:rPr>
                <w:szCs w:val="20"/>
                <w:lang w:val="en-AU"/>
              </w:rPr>
              <w:t xml:space="preserve">Total number of incident patients treated for both Option A and Option B </w:t>
            </w:r>
          </w:p>
        </w:tc>
        <w:tc>
          <w:tcPr>
            <w:tcW w:w="619" w:type="pct"/>
            <w:shd w:val="clear" w:color="auto" w:fill="auto"/>
            <w:vAlign w:val="center"/>
          </w:tcPr>
          <w:p w14:paraId="16DC3D57" w14:textId="0ACCF4CD"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32"/>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32"/>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32"/>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21" w:type="pct"/>
            <w:shd w:val="clear" w:color="auto" w:fill="auto"/>
            <w:vAlign w:val="center"/>
          </w:tcPr>
          <w:p w14:paraId="1A2A0015" w14:textId="4E7C07F1"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31"/>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31"/>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31"/>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19" w:type="pct"/>
            <w:shd w:val="clear" w:color="auto" w:fill="auto"/>
            <w:vAlign w:val="center"/>
          </w:tcPr>
          <w:p w14:paraId="5851F86C" w14:textId="79597925"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30"/>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30"/>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30"/>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26" w:type="pct"/>
            <w:shd w:val="clear" w:color="auto" w:fill="auto"/>
            <w:vAlign w:val="center"/>
          </w:tcPr>
          <w:p w14:paraId="5BB43C6C" w14:textId="6C730914" w:rsidR="00495F6B" w:rsidRPr="00D221AB" w:rsidRDefault="00924D5E" w:rsidP="00023485">
            <w:pPr>
              <w:pStyle w:val="In-tableHeading"/>
              <w:jc w:val="center"/>
              <w:rPr>
                <w:b w:val="0"/>
                <w:bCs/>
                <w:szCs w:val="20"/>
                <w:highlight w:val="lightGray"/>
                <w:lang w:val="en-AU"/>
              </w:rPr>
            </w:pPr>
            <w:r w:rsidRPr="006E162D">
              <w:rPr>
                <w:rFonts w:hint="eastAsia"/>
                <w:b w:val="0"/>
                <w:bCs/>
                <w:color w:val="000000"/>
                <w:w w:val="15"/>
                <w:szCs w:val="20"/>
                <w:shd w:val="solid" w:color="000000" w:fill="000000"/>
                <w:fitText w:val="25" w:id="-961836029"/>
                <w:lang w:val="en-AU"/>
                <w14:textFill>
                  <w14:solidFill>
                    <w14:srgbClr w14:val="000000">
                      <w14:alpha w14:val="100000"/>
                    </w14:srgbClr>
                  </w14:solidFill>
                </w14:textFill>
              </w:rPr>
              <w:t xml:space="preserve">　</w:t>
            </w:r>
            <w:r w:rsidRPr="006E162D">
              <w:rPr>
                <w:b w:val="0"/>
                <w:bCs/>
                <w:color w:val="000000"/>
                <w:w w:val="15"/>
                <w:szCs w:val="20"/>
                <w:shd w:val="solid" w:color="000000" w:fill="000000"/>
                <w:fitText w:val="25" w:id="-961836029"/>
                <w:lang w:val="en-AU"/>
                <w14:textFill>
                  <w14:solidFill>
                    <w14:srgbClr w14:val="000000">
                      <w14:alpha w14:val="100000"/>
                    </w14:srgbClr>
                  </w14:solidFill>
                </w14:textFill>
              </w:rPr>
              <w:t>|</w:t>
            </w:r>
            <w:r w:rsidRPr="006E162D">
              <w:rPr>
                <w:rFonts w:hint="eastAsia"/>
                <w:b w:val="0"/>
                <w:bCs/>
                <w:color w:val="000000"/>
                <w:spacing w:val="-41"/>
                <w:w w:val="15"/>
                <w:szCs w:val="20"/>
                <w:shd w:val="solid" w:color="000000" w:fill="000000"/>
                <w:fitText w:val="25" w:id="-961836029"/>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19" w:type="pct"/>
            <w:shd w:val="clear" w:color="auto" w:fill="auto"/>
            <w:vAlign w:val="center"/>
          </w:tcPr>
          <w:p w14:paraId="2C7ED85F" w14:textId="4D4F61B5"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28"/>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28"/>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28"/>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585" w:type="pct"/>
          </w:tcPr>
          <w:p w14:paraId="350012FB" w14:textId="45D1D158"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63" w:id="-961836027"/>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63" w:id="-961836027"/>
                <w:lang w:val="en-AU"/>
                <w14:textFill>
                  <w14:solidFill>
                    <w14:srgbClr w14:val="000000">
                      <w14:alpha w14:val="100000"/>
                    </w14:srgbClr>
                  </w14:solidFill>
                </w14:textFill>
              </w:rPr>
              <w:t>|</w:t>
            </w:r>
            <w:r w:rsidRPr="00924D5E">
              <w:rPr>
                <w:rFonts w:hint="eastAsia"/>
                <w:b w:val="0"/>
                <w:bCs/>
                <w:color w:val="000000"/>
                <w:spacing w:val="-2"/>
                <w:w w:val="15"/>
                <w:szCs w:val="20"/>
                <w:shd w:val="solid" w:color="000000" w:fill="000000"/>
                <w:fitText w:val="63" w:id="-961836027"/>
                <w:lang w:val="en-AU"/>
                <w14:textFill>
                  <w14:solidFill>
                    <w14:srgbClr w14:val="000000">
                      <w14:alpha w14:val="100000"/>
                    </w14:srgbClr>
                  </w14:solidFill>
                </w14:textFill>
              </w:rPr>
              <w:t xml:space="preserve">　</w:t>
            </w:r>
            <w:r w:rsidR="00807B6F" w:rsidRPr="001055AD">
              <w:rPr>
                <w:b w:val="0"/>
                <w:bCs/>
                <w:szCs w:val="20"/>
                <w:vertAlign w:val="superscript"/>
                <w:lang w:val="en-AU"/>
              </w:rPr>
              <w:t>2</w:t>
            </w:r>
          </w:p>
        </w:tc>
      </w:tr>
      <w:tr w:rsidR="00687354" w:rsidRPr="00CD4FAB" w14:paraId="56438B07" w14:textId="77777777" w:rsidTr="00023485">
        <w:trPr>
          <w:tblHeader/>
        </w:trPr>
        <w:tc>
          <w:tcPr>
            <w:tcW w:w="1311" w:type="pct"/>
            <w:shd w:val="clear" w:color="auto" w:fill="auto"/>
            <w:vAlign w:val="center"/>
          </w:tcPr>
          <w:p w14:paraId="131FEC73" w14:textId="785099AD" w:rsidR="00495F6B" w:rsidRPr="00233CFE" w:rsidRDefault="00495F6B" w:rsidP="00023485">
            <w:pPr>
              <w:pStyle w:val="In-tableHeading"/>
              <w:rPr>
                <w:szCs w:val="20"/>
                <w:lang w:val="en-AU"/>
              </w:rPr>
            </w:pPr>
            <w:r w:rsidRPr="00233CFE">
              <w:rPr>
                <w:szCs w:val="20"/>
                <w:lang w:val="en-AU"/>
              </w:rPr>
              <w:t xml:space="preserve">Number of scripts dispensed for both </w:t>
            </w:r>
            <w:r w:rsidR="00EF015C" w:rsidRPr="00233CFE">
              <w:rPr>
                <w:szCs w:val="20"/>
                <w:lang w:val="en-AU"/>
              </w:rPr>
              <w:t>O</w:t>
            </w:r>
            <w:r w:rsidRPr="00233CFE">
              <w:rPr>
                <w:szCs w:val="20"/>
                <w:lang w:val="en-AU"/>
              </w:rPr>
              <w:t xml:space="preserve">ption A and Option B </w:t>
            </w:r>
          </w:p>
        </w:tc>
        <w:tc>
          <w:tcPr>
            <w:tcW w:w="619" w:type="pct"/>
            <w:shd w:val="clear" w:color="auto" w:fill="auto"/>
            <w:vAlign w:val="center"/>
          </w:tcPr>
          <w:p w14:paraId="4ABEAB7A" w14:textId="1712C131"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26"/>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26"/>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26"/>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21" w:type="pct"/>
            <w:shd w:val="clear" w:color="auto" w:fill="auto"/>
            <w:vAlign w:val="center"/>
          </w:tcPr>
          <w:p w14:paraId="0FC54DE7" w14:textId="16D08183"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25"/>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25"/>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25"/>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19" w:type="pct"/>
            <w:shd w:val="clear" w:color="auto" w:fill="auto"/>
            <w:vAlign w:val="center"/>
          </w:tcPr>
          <w:p w14:paraId="1F4A3D95" w14:textId="356AB06B"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24"/>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24"/>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24"/>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26" w:type="pct"/>
            <w:shd w:val="clear" w:color="auto" w:fill="auto"/>
            <w:vAlign w:val="center"/>
          </w:tcPr>
          <w:p w14:paraId="7E294C79" w14:textId="5AC84405" w:rsidR="00495F6B" w:rsidRPr="00D221AB" w:rsidRDefault="00924D5E" w:rsidP="00023485">
            <w:pPr>
              <w:pStyle w:val="In-tableHeading"/>
              <w:jc w:val="center"/>
              <w:rPr>
                <w:b w:val="0"/>
                <w:bCs/>
                <w:szCs w:val="20"/>
                <w:highlight w:val="lightGray"/>
                <w:lang w:val="en-AU"/>
              </w:rPr>
            </w:pPr>
            <w:r w:rsidRPr="006E162D">
              <w:rPr>
                <w:rFonts w:hint="eastAsia"/>
                <w:b w:val="0"/>
                <w:bCs/>
                <w:color w:val="000000"/>
                <w:w w:val="15"/>
                <w:szCs w:val="20"/>
                <w:shd w:val="solid" w:color="000000" w:fill="000000"/>
                <w:fitText w:val="25" w:id="-961836023"/>
                <w:lang w:val="en-AU"/>
                <w14:textFill>
                  <w14:solidFill>
                    <w14:srgbClr w14:val="000000">
                      <w14:alpha w14:val="100000"/>
                    </w14:srgbClr>
                  </w14:solidFill>
                </w14:textFill>
              </w:rPr>
              <w:t xml:space="preserve">　</w:t>
            </w:r>
            <w:r w:rsidRPr="006E162D">
              <w:rPr>
                <w:b w:val="0"/>
                <w:bCs/>
                <w:color w:val="000000"/>
                <w:w w:val="15"/>
                <w:szCs w:val="20"/>
                <w:shd w:val="solid" w:color="000000" w:fill="000000"/>
                <w:fitText w:val="25" w:id="-961836023"/>
                <w:lang w:val="en-AU"/>
                <w14:textFill>
                  <w14:solidFill>
                    <w14:srgbClr w14:val="000000">
                      <w14:alpha w14:val="100000"/>
                    </w14:srgbClr>
                  </w14:solidFill>
                </w14:textFill>
              </w:rPr>
              <w:t>|</w:t>
            </w:r>
            <w:r w:rsidRPr="006E162D">
              <w:rPr>
                <w:rFonts w:hint="eastAsia"/>
                <w:b w:val="0"/>
                <w:bCs/>
                <w:color w:val="000000"/>
                <w:spacing w:val="-41"/>
                <w:w w:val="15"/>
                <w:szCs w:val="20"/>
                <w:shd w:val="solid" w:color="000000" w:fill="000000"/>
                <w:fitText w:val="25" w:id="-961836023"/>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19" w:type="pct"/>
            <w:shd w:val="clear" w:color="auto" w:fill="auto"/>
            <w:vAlign w:val="center"/>
          </w:tcPr>
          <w:p w14:paraId="1167CBE0" w14:textId="2BD3B1C7"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22"/>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22"/>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22"/>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585" w:type="pct"/>
          </w:tcPr>
          <w:p w14:paraId="1999D20F" w14:textId="09501D7E"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63" w:id="-961836021"/>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63" w:id="-961836021"/>
                <w:lang w:val="en-AU"/>
                <w14:textFill>
                  <w14:solidFill>
                    <w14:srgbClr w14:val="000000">
                      <w14:alpha w14:val="100000"/>
                    </w14:srgbClr>
                  </w14:solidFill>
                </w14:textFill>
              </w:rPr>
              <w:t>|</w:t>
            </w:r>
            <w:r w:rsidRPr="00924D5E">
              <w:rPr>
                <w:rFonts w:hint="eastAsia"/>
                <w:b w:val="0"/>
                <w:bCs/>
                <w:color w:val="000000"/>
                <w:spacing w:val="-2"/>
                <w:w w:val="15"/>
                <w:szCs w:val="20"/>
                <w:shd w:val="solid" w:color="000000" w:fill="000000"/>
                <w:fitText w:val="63" w:id="-961836021"/>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r>
      <w:tr w:rsidR="00687354" w:rsidRPr="00CD4FAB" w14:paraId="429E732B" w14:textId="77777777" w:rsidTr="00023485">
        <w:trPr>
          <w:tblHeader/>
        </w:trPr>
        <w:tc>
          <w:tcPr>
            <w:tcW w:w="5000" w:type="pct"/>
            <w:gridSpan w:val="7"/>
            <w:shd w:val="clear" w:color="auto" w:fill="auto"/>
            <w:vAlign w:val="center"/>
          </w:tcPr>
          <w:p w14:paraId="022301B3" w14:textId="62F3E572" w:rsidR="00495F6B" w:rsidRPr="00233CFE" w:rsidRDefault="00495F6B" w:rsidP="00023485">
            <w:pPr>
              <w:pStyle w:val="In-tableHeading"/>
              <w:rPr>
                <w:szCs w:val="20"/>
                <w:lang w:val="en-AU"/>
              </w:rPr>
            </w:pPr>
            <w:r w:rsidRPr="00233CFE">
              <w:rPr>
                <w:szCs w:val="20"/>
                <w:lang w:val="en-AU"/>
              </w:rPr>
              <w:t xml:space="preserve">Estimated financial implications of nivolumab – March 2024 </w:t>
            </w:r>
            <w:r w:rsidR="00DE34E5" w:rsidRPr="00233CFE">
              <w:rPr>
                <w:szCs w:val="20"/>
                <w:lang w:val="en-AU"/>
              </w:rPr>
              <w:t xml:space="preserve">PSCR </w:t>
            </w:r>
            <w:r w:rsidRPr="00233CFE">
              <w:rPr>
                <w:szCs w:val="20"/>
                <w:lang w:val="en-AU"/>
              </w:rPr>
              <w:t>– effective price</w:t>
            </w:r>
            <w:r w:rsidR="00DE34E5" w:rsidRPr="00233CFE">
              <w:rPr>
                <w:szCs w:val="20"/>
                <w:lang w:val="en-AU"/>
              </w:rPr>
              <w:t xml:space="preserve"> (uptake of 35% in years 1 and 2; </w:t>
            </w:r>
            <w:r w:rsidR="00C6618A" w:rsidRPr="00233CFE">
              <w:rPr>
                <w:szCs w:val="20"/>
                <w:lang w:val="en-AU"/>
              </w:rPr>
              <w:t>A</w:t>
            </w:r>
            <w:r w:rsidR="00DE34E5" w:rsidRPr="00233CFE">
              <w:rPr>
                <w:szCs w:val="20"/>
                <w:lang w:val="en-AU"/>
              </w:rPr>
              <w:t>EMP corrected for Option B)</w:t>
            </w:r>
          </w:p>
        </w:tc>
      </w:tr>
      <w:tr w:rsidR="00816D48" w:rsidRPr="00CD4FAB" w14:paraId="44BA72C3" w14:textId="77777777" w:rsidTr="00816D48">
        <w:trPr>
          <w:tblHeader/>
        </w:trPr>
        <w:tc>
          <w:tcPr>
            <w:tcW w:w="1311" w:type="pct"/>
            <w:shd w:val="clear" w:color="auto" w:fill="auto"/>
          </w:tcPr>
          <w:p w14:paraId="1C984685" w14:textId="66D4E601" w:rsidR="00816D48" w:rsidRPr="00233CFE" w:rsidRDefault="00816D48" w:rsidP="00816D48">
            <w:pPr>
              <w:pStyle w:val="In-tableHeading"/>
              <w:rPr>
                <w:b w:val="0"/>
                <w:bCs/>
                <w:szCs w:val="20"/>
                <w:lang w:val="en-AU"/>
              </w:rPr>
            </w:pPr>
            <w:r w:rsidRPr="00233CFE">
              <w:rPr>
                <w:b w:val="0"/>
                <w:bCs/>
                <w:szCs w:val="20"/>
                <w:lang w:val="en-AU"/>
              </w:rPr>
              <w:t>Option A</w:t>
            </w:r>
            <w:r w:rsidR="00F23D76" w:rsidRPr="00233CFE">
              <w:rPr>
                <w:b w:val="0"/>
                <w:bCs/>
                <w:szCs w:val="20"/>
                <w:lang w:val="en-AU"/>
              </w:rPr>
              <w:t xml:space="preserve"> ($)</w:t>
            </w:r>
          </w:p>
        </w:tc>
        <w:tc>
          <w:tcPr>
            <w:tcW w:w="619" w:type="pct"/>
            <w:shd w:val="clear" w:color="auto" w:fill="auto"/>
          </w:tcPr>
          <w:p w14:paraId="18D621B4" w14:textId="029F23BC" w:rsidR="00816D48" w:rsidRPr="00D221AB" w:rsidRDefault="00924D5E" w:rsidP="00816D48">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20"/>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20"/>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20"/>
                <w:lang w:val="en-AU"/>
                <w14:textFill>
                  <w14:solidFill>
                    <w14:srgbClr w14:val="000000">
                      <w14:alpha w14:val="100000"/>
                    </w14:srgbClr>
                  </w14:solidFill>
                </w14:textFill>
              </w:rPr>
              <w:t xml:space="preserve">　</w:t>
            </w:r>
            <w:r w:rsidR="00807B6F" w:rsidRPr="00233CFE">
              <w:rPr>
                <w:b w:val="0"/>
                <w:bCs/>
                <w:szCs w:val="20"/>
                <w:vertAlign w:val="superscript"/>
                <w:lang w:val="en-AU"/>
              </w:rPr>
              <w:t>3</w:t>
            </w:r>
          </w:p>
        </w:tc>
        <w:tc>
          <w:tcPr>
            <w:tcW w:w="621" w:type="pct"/>
            <w:shd w:val="clear" w:color="auto" w:fill="auto"/>
          </w:tcPr>
          <w:p w14:paraId="69D7B182" w14:textId="6BE59D15" w:rsidR="00816D48" w:rsidRPr="00D221AB" w:rsidRDefault="00924D5E" w:rsidP="00816D48">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19"/>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19"/>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19"/>
                <w:lang w:val="en-AU"/>
                <w14:textFill>
                  <w14:solidFill>
                    <w14:srgbClr w14:val="000000">
                      <w14:alpha w14:val="100000"/>
                    </w14:srgbClr>
                  </w14:solidFill>
                </w14:textFill>
              </w:rPr>
              <w:t xml:space="preserve">　</w:t>
            </w:r>
            <w:r w:rsidR="00807B6F" w:rsidRPr="00233CFE">
              <w:rPr>
                <w:b w:val="0"/>
                <w:bCs/>
                <w:szCs w:val="20"/>
                <w:vertAlign w:val="superscript"/>
                <w:lang w:val="en-AU"/>
              </w:rPr>
              <w:t>3</w:t>
            </w:r>
          </w:p>
        </w:tc>
        <w:tc>
          <w:tcPr>
            <w:tcW w:w="619" w:type="pct"/>
            <w:shd w:val="clear" w:color="auto" w:fill="auto"/>
            <w:vAlign w:val="center"/>
          </w:tcPr>
          <w:p w14:paraId="12C1AE22" w14:textId="3CEA70B3" w:rsidR="00816D48" w:rsidRPr="00D221AB" w:rsidRDefault="00924D5E" w:rsidP="00816D48">
            <w:pPr>
              <w:pStyle w:val="In-tableHeading"/>
              <w:jc w:val="center"/>
              <w:rPr>
                <w:b w:val="0"/>
                <w:bCs/>
                <w:szCs w:val="20"/>
                <w:highlight w:val="lightGray"/>
                <w:lang w:val="en-AU"/>
              </w:rPr>
            </w:pPr>
            <w:r w:rsidRPr="00924D5E">
              <w:rPr>
                <w:rFonts w:cs="Arial" w:hint="eastAsia"/>
                <w:b w:val="0"/>
                <w:bCs/>
                <w:color w:val="000000"/>
                <w:w w:val="15"/>
                <w:szCs w:val="20"/>
                <w:shd w:val="solid" w:color="000000" w:fill="000000"/>
                <w:fitText w:val="37" w:id="-961836018"/>
                <w:lang w:val="en-AU"/>
                <w14:textFill>
                  <w14:solidFill>
                    <w14:srgbClr w14:val="000000">
                      <w14:alpha w14:val="100000"/>
                    </w14:srgbClr>
                  </w14:solidFill>
                </w14:textFill>
              </w:rPr>
              <w:t xml:space="preserve">　</w:t>
            </w:r>
            <w:r w:rsidRPr="00924D5E">
              <w:rPr>
                <w:rFonts w:cs="Arial"/>
                <w:b w:val="0"/>
                <w:bCs/>
                <w:color w:val="000000"/>
                <w:w w:val="15"/>
                <w:szCs w:val="20"/>
                <w:shd w:val="solid" w:color="000000" w:fill="000000"/>
                <w:fitText w:val="37" w:id="-961836018"/>
                <w:lang w:val="en-AU"/>
                <w14:textFill>
                  <w14:solidFill>
                    <w14:srgbClr w14:val="000000">
                      <w14:alpha w14:val="100000"/>
                    </w14:srgbClr>
                  </w14:solidFill>
                </w14:textFill>
              </w:rPr>
              <w:t>|</w:t>
            </w:r>
            <w:r w:rsidRPr="00924D5E">
              <w:rPr>
                <w:rFonts w:cs="Arial" w:hint="eastAsia"/>
                <w:b w:val="0"/>
                <w:bCs/>
                <w:color w:val="000000"/>
                <w:spacing w:val="-28"/>
                <w:w w:val="15"/>
                <w:szCs w:val="20"/>
                <w:shd w:val="solid" w:color="000000" w:fill="000000"/>
                <w:fitText w:val="37" w:id="-961836018"/>
                <w:lang w:val="en-AU"/>
                <w14:textFill>
                  <w14:solidFill>
                    <w14:srgbClr w14:val="000000">
                      <w14:alpha w14:val="100000"/>
                    </w14:srgbClr>
                  </w14:solidFill>
                </w14:textFill>
              </w:rPr>
              <w:t xml:space="preserve">　</w:t>
            </w:r>
            <w:r w:rsidR="00807B6F" w:rsidRPr="00233CFE">
              <w:rPr>
                <w:b w:val="0"/>
                <w:bCs/>
                <w:szCs w:val="20"/>
                <w:vertAlign w:val="superscript"/>
                <w:lang w:val="en-AU"/>
              </w:rPr>
              <w:t>4</w:t>
            </w:r>
          </w:p>
        </w:tc>
        <w:tc>
          <w:tcPr>
            <w:tcW w:w="626" w:type="pct"/>
            <w:shd w:val="clear" w:color="auto" w:fill="auto"/>
            <w:vAlign w:val="center"/>
          </w:tcPr>
          <w:p w14:paraId="2B420307" w14:textId="73C2CC60" w:rsidR="00816D48" w:rsidRPr="00D221AB" w:rsidRDefault="00924D5E" w:rsidP="00816D48">
            <w:pPr>
              <w:pStyle w:val="In-tableHeading"/>
              <w:jc w:val="center"/>
              <w:rPr>
                <w:b w:val="0"/>
                <w:bCs/>
                <w:szCs w:val="20"/>
                <w:highlight w:val="lightGray"/>
                <w:lang w:val="en-AU"/>
              </w:rPr>
            </w:pPr>
            <w:r w:rsidRPr="006E162D">
              <w:rPr>
                <w:rFonts w:cs="Arial" w:hint="eastAsia"/>
                <w:b w:val="0"/>
                <w:bCs/>
                <w:color w:val="000000"/>
                <w:w w:val="15"/>
                <w:szCs w:val="20"/>
                <w:shd w:val="solid" w:color="000000" w:fill="000000"/>
                <w:fitText w:val="25" w:id="-961836017"/>
                <w:lang w:val="en-AU"/>
                <w14:textFill>
                  <w14:solidFill>
                    <w14:srgbClr w14:val="000000">
                      <w14:alpha w14:val="100000"/>
                    </w14:srgbClr>
                  </w14:solidFill>
                </w14:textFill>
              </w:rPr>
              <w:t xml:space="preserve">　</w:t>
            </w:r>
            <w:r w:rsidRPr="006E162D">
              <w:rPr>
                <w:rFonts w:cs="Arial"/>
                <w:b w:val="0"/>
                <w:bCs/>
                <w:color w:val="000000"/>
                <w:w w:val="15"/>
                <w:szCs w:val="20"/>
                <w:shd w:val="solid" w:color="000000" w:fill="000000"/>
                <w:fitText w:val="25" w:id="-961836017"/>
                <w:lang w:val="en-AU"/>
                <w14:textFill>
                  <w14:solidFill>
                    <w14:srgbClr w14:val="000000">
                      <w14:alpha w14:val="100000"/>
                    </w14:srgbClr>
                  </w14:solidFill>
                </w14:textFill>
              </w:rPr>
              <w:t>|</w:t>
            </w:r>
            <w:r w:rsidRPr="006E162D">
              <w:rPr>
                <w:rFonts w:cs="Arial" w:hint="eastAsia"/>
                <w:b w:val="0"/>
                <w:bCs/>
                <w:color w:val="000000"/>
                <w:spacing w:val="-41"/>
                <w:w w:val="15"/>
                <w:szCs w:val="20"/>
                <w:shd w:val="solid" w:color="000000" w:fill="000000"/>
                <w:fitText w:val="25" w:id="-961836017"/>
                <w:lang w:val="en-AU"/>
                <w14:textFill>
                  <w14:solidFill>
                    <w14:srgbClr w14:val="000000">
                      <w14:alpha w14:val="100000"/>
                    </w14:srgbClr>
                  </w14:solidFill>
                </w14:textFill>
              </w:rPr>
              <w:t xml:space="preserve">　</w:t>
            </w:r>
            <w:r w:rsidR="00807B6F" w:rsidRPr="00233CFE">
              <w:rPr>
                <w:b w:val="0"/>
                <w:bCs/>
                <w:szCs w:val="20"/>
                <w:vertAlign w:val="superscript"/>
                <w:lang w:val="en-AU"/>
              </w:rPr>
              <w:t>4</w:t>
            </w:r>
          </w:p>
        </w:tc>
        <w:tc>
          <w:tcPr>
            <w:tcW w:w="619" w:type="pct"/>
            <w:shd w:val="clear" w:color="auto" w:fill="auto"/>
            <w:vAlign w:val="center"/>
          </w:tcPr>
          <w:p w14:paraId="1E7AF19F" w14:textId="4C15E281" w:rsidR="00816D48" w:rsidRPr="00D221AB" w:rsidRDefault="00924D5E" w:rsidP="00816D48">
            <w:pPr>
              <w:pStyle w:val="In-tableHeading"/>
              <w:jc w:val="center"/>
              <w:rPr>
                <w:b w:val="0"/>
                <w:bCs/>
                <w:szCs w:val="20"/>
                <w:highlight w:val="lightGray"/>
                <w:lang w:val="en-AU"/>
              </w:rPr>
            </w:pPr>
            <w:r w:rsidRPr="00924D5E">
              <w:rPr>
                <w:rFonts w:cs="Arial" w:hint="eastAsia"/>
                <w:b w:val="0"/>
                <w:bCs/>
                <w:color w:val="000000"/>
                <w:w w:val="15"/>
                <w:szCs w:val="20"/>
                <w:shd w:val="solid" w:color="000000" w:fill="000000"/>
                <w:fitText w:val="37" w:id="-961836016"/>
                <w:lang w:val="en-AU"/>
                <w14:textFill>
                  <w14:solidFill>
                    <w14:srgbClr w14:val="000000">
                      <w14:alpha w14:val="100000"/>
                    </w14:srgbClr>
                  </w14:solidFill>
                </w14:textFill>
              </w:rPr>
              <w:t xml:space="preserve">　</w:t>
            </w:r>
            <w:r w:rsidRPr="00924D5E">
              <w:rPr>
                <w:rFonts w:cs="Arial"/>
                <w:b w:val="0"/>
                <w:bCs/>
                <w:color w:val="000000"/>
                <w:w w:val="15"/>
                <w:szCs w:val="20"/>
                <w:shd w:val="solid" w:color="000000" w:fill="000000"/>
                <w:fitText w:val="37" w:id="-961836016"/>
                <w:lang w:val="en-AU"/>
                <w14:textFill>
                  <w14:solidFill>
                    <w14:srgbClr w14:val="000000">
                      <w14:alpha w14:val="100000"/>
                    </w14:srgbClr>
                  </w14:solidFill>
                </w14:textFill>
              </w:rPr>
              <w:t>|</w:t>
            </w:r>
            <w:r w:rsidRPr="00924D5E">
              <w:rPr>
                <w:rFonts w:cs="Arial" w:hint="eastAsia"/>
                <w:b w:val="0"/>
                <w:bCs/>
                <w:color w:val="000000"/>
                <w:spacing w:val="-28"/>
                <w:w w:val="15"/>
                <w:szCs w:val="20"/>
                <w:shd w:val="solid" w:color="000000" w:fill="000000"/>
                <w:fitText w:val="37" w:id="-961836016"/>
                <w:lang w:val="en-AU"/>
                <w14:textFill>
                  <w14:solidFill>
                    <w14:srgbClr w14:val="000000">
                      <w14:alpha w14:val="100000"/>
                    </w14:srgbClr>
                  </w14:solidFill>
                </w14:textFill>
              </w:rPr>
              <w:t xml:space="preserve">　</w:t>
            </w:r>
            <w:r w:rsidR="00807B6F" w:rsidRPr="00233CFE">
              <w:rPr>
                <w:b w:val="0"/>
                <w:bCs/>
                <w:szCs w:val="20"/>
                <w:vertAlign w:val="superscript"/>
                <w:lang w:val="en-AU"/>
              </w:rPr>
              <w:t>4</w:t>
            </w:r>
          </w:p>
        </w:tc>
        <w:tc>
          <w:tcPr>
            <w:tcW w:w="585" w:type="pct"/>
            <w:vAlign w:val="center"/>
          </w:tcPr>
          <w:p w14:paraId="6D941E93" w14:textId="6D864C23" w:rsidR="00816D48" w:rsidRPr="00D221AB" w:rsidRDefault="00924D5E" w:rsidP="00816D48">
            <w:pPr>
              <w:pStyle w:val="In-tableHeading"/>
              <w:jc w:val="center"/>
              <w:rPr>
                <w:b w:val="0"/>
                <w:bCs/>
                <w:szCs w:val="20"/>
                <w:highlight w:val="lightGray"/>
                <w:lang w:val="en-AU"/>
              </w:rPr>
            </w:pPr>
            <w:r w:rsidRPr="00924D5E">
              <w:rPr>
                <w:rFonts w:cs="Arial" w:hint="eastAsia"/>
                <w:b w:val="0"/>
                <w:bCs/>
                <w:color w:val="000000"/>
                <w:w w:val="15"/>
                <w:szCs w:val="20"/>
                <w:shd w:val="solid" w:color="000000" w:fill="000000"/>
                <w:fitText w:val="63" w:id="-961836032"/>
                <w:lang w:val="en-AU"/>
                <w14:textFill>
                  <w14:solidFill>
                    <w14:srgbClr w14:val="000000">
                      <w14:alpha w14:val="100000"/>
                    </w14:srgbClr>
                  </w14:solidFill>
                </w14:textFill>
              </w:rPr>
              <w:t xml:space="preserve">　</w:t>
            </w:r>
            <w:r w:rsidRPr="00924D5E">
              <w:rPr>
                <w:rFonts w:cs="Arial"/>
                <w:b w:val="0"/>
                <w:bCs/>
                <w:color w:val="000000"/>
                <w:w w:val="15"/>
                <w:szCs w:val="20"/>
                <w:shd w:val="solid" w:color="000000" w:fill="000000"/>
                <w:fitText w:val="63" w:id="-961836032"/>
                <w:lang w:val="en-AU"/>
                <w14:textFill>
                  <w14:solidFill>
                    <w14:srgbClr w14:val="000000">
                      <w14:alpha w14:val="100000"/>
                    </w14:srgbClr>
                  </w14:solidFill>
                </w14:textFill>
              </w:rPr>
              <w:t>|</w:t>
            </w:r>
            <w:r w:rsidRPr="00924D5E">
              <w:rPr>
                <w:rFonts w:cs="Arial" w:hint="eastAsia"/>
                <w:b w:val="0"/>
                <w:bCs/>
                <w:color w:val="000000"/>
                <w:spacing w:val="-2"/>
                <w:w w:val="15"/>
                <w:szCs w:val="20"/>
                <w:shd w:val="solid" w:color="000000" w:fill="000000"/>
                <w:fitText w:val="63" w:id="-961836032"/>
                <w:lang w:val="en-AU"/>
                <w14:textFill>
                  <w14:solidFill>
                    <w14:srgbClr w14:val="000000">
                      <w14:alpha w14:val="100000"/>
                    </w14:srgbClr>
                  </w14:solidFill>
                </w14:textFill>
              </w:rPr>
              <w:t xml:space="preserve">　</w:t>
            </w:r>
            <w:r w:rsidR="00807B6F" w:rsidRPr="00233CFE">
              <w:rPr>
                <w:b w:val="0"/>
                <w:bCs/>
                <w:szCs w:val="20"/>
                <w:vertAlign w:val="superscript"/>
                <w:lang w:val="en-AU"/>
              </w:rPr>
              <w:t>4</w:t>
            </w:r>
          </w:p>
        </w:tc>
      </w:tr>
      <w:tr w:rsidR="007F74BB" w:rsidRPr="00CD4FAB" w14:paraId="7CCEED6D" w14:textId="77777777" w:rsidTr="006D5FAE">
        <w:trPr>
          <w:tblHeader/>
        </w:trPr>
        <w:tc>
          <w:tcPr>
            <w:tcW w:w="1311" w:type="pct"/>
            <w:shd w:val="clear" w:color="auto" w:fill="auto"/>
            <w:vAlign w:val="center"/>
          </w:tcPr>
          <w:p w14:paraId="66E1BC9C" w14:textId="2DAB2F53" w:rsidR="007F74BB" w:rsidRPr="00233CFE" w:rsidRDefault="007F74BB" w:rsidP="00E5706E">
            <w:pPr>
              <w:pStyle w:val="In-tableHeading"/>
              <w:rPr>
                <w:b w:val="0"/>
                <w:bCs/>
                <w:szCs w:val="20"/>
                <w:lang w:val="en-AU"/>
              </w:rPr>
            </w:pPr>
            <w:r w:rsidRPr="00233CFE">
              <w:rPr>
                <w:b w:val="0"/>
                <w:bCs/>
                <w:iCs/>
                <w:szCs w:val="20"/>
                <w:lang w:val="en-AU"/>
              </w:rPr>
              <w:t xml:space="preserve">Option B </w:t>
            </w:r>
            <w:r w:rsidR="00F23D76" w:rsidRPr="00233CFE">
              <w:rPr>
                <w:b w:val="0"/>
                <w:bCs/>
                <w:iCs/>
                <w:szCs w:val="20"/>
                <w:lang w:val="en-AU"/>
              </w:rPr>
              <w:t>($)</w:t>
            </w:r>
          </w:p>
        </w:tc>
        <w:tc>
          <w:tcPr>
            <w:tcW w:w="619" w:type="pct"/>
            <w:shd w:val="clear" w:color="auto" w:fill="auto"/>
            <w:vAlign w:val="center"/>
          </w:tcPr>
          <w:p w14:paraId="7D0D8D1A" w14:textId="31F8E1C3" w:rsidR="007F74BB" w:rsidRPr="00D221AB" w:rsidRDefault="00924D5E" w:rsidP="007F74BB">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31"/>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31"/>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31"/>
                <w:lang w:val="en-AU"/>
                <w14:textFill>
                  <w14:solidFill>
                    <w14:srgbClr w14:val="000000">
                      <w14:alpha w14:val="100000"/>
                    </w14:srgbClr>
                  </w14:solidFill>
                </w14:textFill>
              </w:rPr>
              <w:t xml:space="preserve">　</w:t>
            </w:r>
            <w:r w:rsidR="00807B6F" w:rsidRPr="00233CFE">
              <w:rPr>
                <w:b w:val="0"/>
                <w:bCs/>
                <w:szCs w:val="20"/>
                <w:vertAlign w:val="superscript"/>
                <w:lang w:val="en-AU"/>
              </w:rPr>
              <w:t>3</w:t>
            </w:r>
          </w:p>
        </w:tc>
        <w:tc>
          <w:tcPr>
            <w:tcW w:w="621" w:type="pct"/>
            <w:shd w:val="clear" w:color="auto" w:fill="auto"/>
            <w:vAlign w:val="center"/>
          </w:tcPr>
          <w:p w14:paraId="0BEB15E2" w14:textId="60D3494B" w:rsidR="007F74BB" w:rsidRPr="00D221AB" w:rsidRDefault="00924D5E" w:rsidP="007F74BB">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30"/>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30"/>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30"/>
                <w:lang w:val="en-AU"/>
                <w14:textFill>
                  <w14:solidFill>
                    <w14:srgbClr w14:val="000000">
                      <w14:alpha w14:val="100000"/>
                    </w14:srgbClr>
                  </w14:solidFill>
                </w14:textFill>
              </w:rPr>
              <w:t xml:space="preserve">　</w:t>
            </w:r>
            <w:r w:rsidR="00807B6F" w:rsidRPr="00233CFE">
              <w:rPr>
                <w:b w:val="0"/>
                <w:bCs/>
                <w:szCs w:val="20"/>
                <w:vertAlign w:val="superscript"/>
                <w:lang w:val="en-AU"/>
              </w:rPr>
              <w:t>3</w:t>
            </w:r>
          </w:p>
        </w:tc>
        <w:tc>
          <w:tcPr>
            <w:tcW w:w="619" w:type="pct"/>
            <w:shd w:val="clear" w:color="auto" w:fill="auto"/>
            <w:vAlign w:val="center"/>
          </w:tcPr>
          <w:p w14:paraId="54B3471B" w14:textId="7ED353FF" w:rsidR="007F74BB" w:rsidRPr="00D221AB" w:rsidRDefault="00924D5E" w:rsidP="007F74BB">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29"/>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29"/>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29"/>
                <w:lang w:val="en-AU"/>
                <w14:textFill>
                  <w14:solidFill>
                    <w14:srgbClr w14:val="000000">
                      <w14:alpha w14:val="100000"/>
                    </w14:srgbClr>
                  </w14:solidFill>
                </w14:textFill>
              </w:rPr>
              <w:t xml:space="preserve">　</w:t>
            </w:r>
            <w:r w:rsidR="00807B6F" w:rsidRPr="00233CFE">
              <w:rPr>
                <w:b w:val="0"/>
                <w:bCs/>
                <w:szCs w:val="20"/>
                <w:vertAlign w:val="superscript"/>
                <w:lang w:val="en-AU"/>
              </w:rPr>
              <w:t>4</w:t>
            </w:r>
          </w:p>
        </w:tc>
        <w:tc>
          <w:tcPr>
            <w:tcW w:w="626" w:type="pct"/>
            <w:shd w:val="clear" w:color="auto" w:fill="auto"/>
            <w:vAlign w:val="center"/>
          </w:tcPr>
          <w:p w14:paraId="7CBBC600" w14:textId="62F96272" w:rsidR="007F74BB" w:rsidRPr="00D221AB" w:rsidRDefault="00924D5E" w:rsidP="007F74BB">
            <w:pPr>
              <w:pStyle w:val="In-tableHeading"/>
              <w:jc w:val="center"/>
              <w:rPr>
                <w:b w:val="0"/>
                <w:bCs/>
                <w:szCs w:val="20"/>
                <w:highlight w:val="lightGray"/>
                <w:lang w:val="en-AU"/>
              </w:rPr>
            </w:pPr>
            <w:r w:rsidRPr="006E162D">
              <w:rPr>
                <w:rFonts w:hint="eastAsia"/>
                <w:b w:val="0"/>
                <w:bCs/>
                <w:color w:val="000000"/>
                <w:w w:val="15"/>
                <w:szCs w:val="20"/>
                <w:shd w:val="solid" w:color="000000" w:fill="000000"/>
                <w:fitText w:val="25" w:id="-961836028"/>
                <w:lang w:val="en-AU"/>
                <w14:textFill>
                  <w14:solidFill>
                    <w14:srgbClr w14:val="000000">
                      <w14:alpha w14:val="100000"/>
                    </w14:srgbClr>
                  </w14:solidFill>
                </w14:textFill>
              </w:rPr>
              <w:t xml:space="preserve">　</w:t>
            </w:r>
            <w:r w:rsidRPr="006E162D">
              <w:rPr>
                <w:b w:val="0"/>
                <w:bCs/>
                <w:color w:val="000000"/>
                <w:w w:val="15"/>
                <w:szCs w:val="20"/>
                <w:shd w:val="solid" w:color="000000" w:fill="000000"/>
                <w:fitText w:val="25" w:id="-961836028"/>
                <w:lang w:val="en-AU"/>
                <w14:textFill>
                  <w14:solidFill>
                    <w14:srgbClr w14:val="000000">
                      <w14:alpha w14:val="100000"/>
                    </w14:srgbClr>
                  </w14:solidFill>
                </w14:textFill>
              </w:rPr>
              <w:t>|</w:t>
            </w:r>
            <w:r w:rsidRPr="006E162D">
              <w:rPr>
                <w:rFonts w:hint="eastAsia"/>
                <w:b w:val="0"/>
                <w:bCs/>
                <w:color w:val="000000"/>
                <w:spacing w:val="-41"/>
                <w:w w:val="15"/>
                <w:szCs w:val="20"/>
                <w:shd w:val="solid" w:color="000000" w:fill="000000"/>
                <w:fitText w:val="25" w:id="-961836028"/>
                <w:lang w:val="en-AU"/>
                <w14:textFill>
                  <w14:solidFill>
                    <w14:srgbClr w14:val="000000">
                      <w14:alpha w14:val="100000"/>
                    </w14:srgbClr>
                  </w14:solidFill>
                </w14:textFill>
              </w:rPr>
              <w:t xml:space="preserve">　</w:t>
            </w:r>
            <w:r w:rsidR="00807B6F" w:rsidRPr="00233CFE">
              <w:rPr>
                <w:b w:val="0"/>
                <w:bCs/>
                <w:szCs w:val="20"/>
                <w:vertAlign w:val="superscript"/>
                <w:lang w:val="en-AU"/>
              </w:rPr>
              <w:t>5</w:t>
            </w:r>
          </w:p>
        </w:tc>
        <w:tc>
          <w:tcPr>
            <w:tcW w:w="619" w:type="pct"/>
            <w:shd w:val="clear" w:color="auto" w:fill="auto"/>
            <w:vAlign w:val="center"/>
          </w:tcPr>
          <w:p w14:paraId="4AA7DD1E" w14:textId="6901CB0B" w:rsidR="007F74BB" w:rsidRPr="00D221AB" w:rsidRDefault="00924D5E" w:rsidP="007F74BB">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27"/>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27"/>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27"/>
                <w:lang w:val="en-AU"/>
                <w14:textFill>
                  <w14:solidFill>
                    <w14:srgbClr w14:val="000000">
                      <w14:alpha w14:val="100000"/>
                    </w14:srgbClr>
                  </w14:solidFill>
                </w14:textFill>
              </w:rPr>
              <w:t xml:space="preserve">　</w:t>
            </w:r>
            <w:r w:rsidR="00807B6F" w:rsidRPr="00233CFE">
              <w:rPr>
                <w:b w:val="0"/>
                <w:bCs/>
                <w:szCs w:val="20"/>
                <w:vertAlign w:val="superscript"/>
                <w:lang w:val="en-AU"/>
              </w:rPr>
              <w:t>5</w:t>
            </w:r>
          </w:p>
        </w:tc>
        <w:tc>
          <w:tcPr>
            <w:tcW w:w="585" w:type="pct"/>
            <w:vAlign w:val="center"/>
          </w:tcPr>
          <w:p w14:paraId="24DAB020" w14:textId="5CD33A0B" w:rsidR="007F74BB" w:rsidRPr="00D221AB" w:rsidRDefault="00924D5E" w:rsidP="00454C4E">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63" w:id="-961836026"/>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63" w:id="-961836026"/>
                <w:lang w:val="en-AU"/>
                <w14:textFill>
                  <w14:solidFill>
                    <w14:srgbClr w14:val="000000">
                      <w14:alpha w14:val="100000"/>
                    </w14:srgbClr>
                  </w14:solidFill>
                </w14:textFill>
              </w:rPr>
              <w:t>|</w:t>
            </w:r>
            <w:r w:rsidRPr="00924D5E">
              <w:rPr>
                <w:rFonts w:hint="eastAsia"/>
                <w:b w:val="0"/>
                <w:bCs/>
                <w:color w:val="000000"/>
                <w:spacing w:val="-2"/>
                <w:w w:val="15"/>
                <w:szCs w:val="20"/>
                <w:shd w:val="solid" w:color="000000" w:fill="000000"/>
                <w:fitText w:val="63" w:id="-961836026"/>
                <w:lang w:val="en-AU"/>
                <w14:textFill>
                  <w14:solidFill>
                    <w14:srgbClr w14:val="000000">
                      <w14:alpha w14:val="100000"/>
                    </w14:srgbClr>
                  </w14:solidFill>
                </w14:textFill>
              </w:rPr>
              <w:t xml:space="preserve">　</w:t>
            </w:r>
            <w:r w:rsidR="00807B6F" w:rsidRPr="00233CFE">
              <w:rPr>
                <w:b w:val="0"/>
                <w:bCs/>
                <w:szCs w:val="20"/>
                <w:vertAlign w:val="superscript"/>
                <w:lang w:val="en-AU"/>
              </w:rPr>
              <w:t>5</w:t>
            </w:r>
          </w:p>
        </w:tc>
      </w:tr>
      <w:tr w:rsidR="00687354" w:rsidRPr="00CD4FAB" w14:paraId="56D614FC" w14:textId="77777777" w:rsidTr="00023485">
        <w:tc>
          <w:tcPr>
            <w:tcW w:w="5000" w:type="pct"/>
            <w:gridSpan w:val="7"/>
            <w:shd w:val="clear" w:color="auto" w:fill="DBE5F1" w:themeFill="accent1" w:themeFillTint="33"/>
          </w:tcPr>
          <w:p w14:paraId="40B87E47" w14:textId="77777777" w:rsidR="00495F6B" w:rsidRPr="00233CFE" w:rsidRDefault="00495F6B" w:rsidP="00023485">
            <w:pPr>
              <w:pStyle w:val="In-tableHeading"/>
              <w:rPr>
                <w:szCs w:val="20"/>
                <w:lang w:val="en-AU"/>
              </w:rPr>
            </w:pPr>
            <w:r w:rsidRPr="00233CFE">
              <w:rPr>
                <w:szCs w:val="20"/>
                <w:lang w:val="en-AU"/>
              </w:rPr>
              <w:t>Estimated extent of use, July 2023 re submission</w:t>
            </w:r>
          </w:p>
        </w:tc>
      </w:tr>
      <w:tr w:rsidR="00687354" w:rsidRPr="00CD4FAB" w14:paraId="7AF02E0D" w14:textId="77777777" w:rsidTr="00730ECC">
        <w:tc>
          <w:tcPr>
            <w:tcW w:w="1311" w:type="pct"/>
            <w:shd w:val="clear" w:color="auto" w:fill="DBE5F1" w:themeFill="accent1" w:themeFillTint="33"/>
          </w:tcPr>
          <w:p w14:paraId="74A9CBB7" w14:textId="77777777" w:rsidR="00495F6B" w:rsidRPr="00233CFE" w:rsidRDefault="00495F6B" w:rsidP="00023485">
            <w:pPr>
              <w:pStyle w:val="In-tableHeading"/>
              <w:rPr>
                <w:b w:val="0"/>
                <w:bCs/>
                <w:szCs w:val="20"/>
                <w:lang w:val="en-AU"/>
              </w:rPr>
            </w:pPr>
            <w:r w:rsidRPr="00233CFE">
              <w:rPr>
                <w:b w:val="0"/>
                <w:bCs/>
                <w:szCs w:val="20"/>
                <w:lang w:val="en-AU"/>
              </w:rPr>
              <w:t>Total number of patients treated</w:t>
            </w:r>
            <w:r w:rsidRPr="00233CFE">
              <w:rPr>
                <w:b w:val="0"/>
                <w:bCs/>
                <w:szCs w:val="20"/>
                <w:vertAlign w:val="superscript"/>
                <w:lang w:val="en-AU"/>
              </w:rPr>
              <w:t>a</w:t>
            </w:r>
          </w:p>
        </w:tc>
        <w:tc>
          <w:tcPr>
            <w:tcW w:w="619" w:type="pct"/>
            <w:shd w:val="clear" w:color="auto" w:fill="DBE5F1" w:themeFill="accent1" w:themeFillTint="33"/>
            <w:vAlign w:val="center"/>
          </w:tcPr>
          <w:p w14:paraId="30F914E8" w14:textId="1C9AAB83" w:rsidR="00495F6B" w:rsidRPr="00D221AB" w:rsidRDefault="00924D5E" w:rsidP="00730ECC">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25"/>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25"/>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25"/>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21" w:type="pct"/>
            <w:shd w:val="clear" w:color="auto" w:fill="DBE5F1" w:themeFill="accent1" w:themeFillTint="33"/>
            <w:vAlign w:val="center"/>
          </w:tcPr>
          <w:p w14:paraId="5EA3DD06" w14:textId="0399D2E3" w:rsidR="00495F6B" w:rsidRPr="00D221AB" w:rsidRDefault="00924D5E" w:rsidP="00730ECC">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6024"/>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6024"/>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6024"/>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19" w:type="pct"/>
            <w:shd w:val="clear" w:color="auto" w:fill="DBE5F1" w:themeFill="accent1" w:themeFillTint="33"/>
            <w:vAlign w:val="center"/>
          </w:tcPr>
          <w:p w14:paraId="4F6319BA" w14:textId="2D0BCCCE" w:rsidR="00495F6B" w:rsidRPr="00D221AB" w:rsidRDefault="00924D5E" w:rsidP="00730ECC">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6023"/>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6023"/>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6023"/>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26" w:type="pct"/>
            <w:shd w:val="clear" w:color="auto" w:fill="DBE5F1" w:themeFill="accent1" w:themeFillTint="33"/>
            <w:vAlign w:val="center"/>
          </w:tcPr>
          <w:p w14:paraId="27DED9A6" w14:textId="219433D4" w:rsidR="00495F6B" w:rsidRPr="00D221AB" w:rsidRDefault="00924D5E" w:rsidP="00730ECC">
            <w:pPr>
              <w:pStyle w:val="In-tableHeading"/>
              <w:jc w:val="center"/>
              <w:rPr>
                <w:b w:val="0"/>
                <w:bCs/>
                <w:szCs w:val="20"/>
                <w:highlight w:val="lightGray"/>
                <w:lang w:val="en-AU"/>
              </w:rPr>
            </w:pPr>
            <w:r w:rsidRPr="006E162D">
              <w:rPr>
                <w:rFonts w:hint="eastAsia"/>
                <w:b w:val="0"/>
                <w:bCs/>
                <w:color w:val="000000"/>
                <w:w w:val="15"/>
                <w:szCs w:val="20"/>
                <w:shd w:val="solid" w:color="000000" w:fill="000000"/>
                <w:fitText w:val="25" w:id="-961836022"/>
                <w:lang w:val="en-AU"/>
                <w14:textFill>
                  <w14:solidFill>
                    <w14:srgbClr w14:val="000000">
                      <w14:alpha w14:val="100000"/>
                    </w14:srgbClr>
                  </w14:solidFill>
                </w14:textFill>
              </w:rPr>
              <w:t xml:space="preserve">　</w:t>
            </w:r>
            <w:r w:rsidRPr="006E162D">
              <w:rPr>
                <w:b w:val="0"/>
                <w:bCs/>
                <w:color w:val="000000"/>
                <w:w w:val="15"/>
                <w:szCs w:val="20"/>
                <w:shd w:val="solid" w:color="000000" w:fill="000000"/>
                <w:fitText w:val="25" w:id="-961836022"/>
                <w:lang w:val="en-AU"/>
                <w14:textFill>
                  <w14:solidFill>
                    <w14:srgbClr w14:val="000000">
                      <w14:alpha w14:val="100000"/>
                    </w14:srgbClr>
                  </w14:solidFill>
                </w14:textFill>
              </w:rPr>
              <w:t>|</w:t>
            </w:r>
            <w:r w:rsidRPr="006E162D">
              <w:rPr>
                <w:rFonts w:hint="eastAsia"/>
                <w:b w:val="0"/>
                <w:bCs/>
                <w:color w:val="000000"/>
                <w:spacing w:val="-41"/>
                <w:w w:val="15"/>
                <w:szCs w:val="20"/>
                <w:shd w:val="solid" w:color="000000" w:fill="000000"/>
                <w:fitText w:val="25" w:id="-961836022"/>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19" w:type="pct"/>
            <w:shd w:val="clear" w:color="auto" w:fill="DBE5F1" w:themeFill="accent1" w:themeFillTint="33"/>
            <w:vAlign w:val="center"/>
          </w:tcPr>
          <w:p w14:paraId="2B50906B" w14:textId="28931247" w:rsidR="00495F6B" w:rsidRPr="00D221AB" w:rsidRDefault="00924D5E" w:rsidP="00730ECC">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5776"/>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5776"/>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5776"/>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585" w:type="pct"/>
            <w:shd w:val="clear" w:color="auto" w:fill="DBE5F1" w:themeFill="accent1" w:themeFillTint="33"/>
            <w:vAlign w:val="center"/>
          </w:tcPr>
          <w:p w14:paraId="4CC12DEA" w14:textId="7332EF6A" w:rsidR="00495F6B" w:rsidRPr="00D221AB" w:rsidRDefault="00924D5E" w:rsidP="00730ECC">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63" w:id="-961835775"/>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63" w:id="-961835775"/>
                <w:lang w:val="en-AU"/>
                <w14:textFill>
                  <w14:solidFill>
                    <w14:srgbClr w14:val="000000">
                      <w14:alpha w14:val="100000"/>
                    </w14:srgbClr>
                  </w14:solidFill>
                </w14:textFill>
              </w:rPr>
              <w:t>|</w:t>
            </w:r>
            <w:r w:rsidRPr="00924D5E">
              <w:rPr>
                <w:rFonts w:hint="eastAsia"/>
                <w:b w:val="0"/>
                <w:bCs/>
                <w:color w:val="000000"/>
                <w:spacing w:val="-2"/>
                <w:w w:val="15"/>
                <w:szCs w:val="20"/>
                <w:shd w:val="solid" w:color="000000" w:fill="000000"/>
                <w:fitText w:val="63" w:id="-961835775"/>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r>
      <w:tr w:rsidR="00687354" w:rsidRPr="00CD4FAB" w14:paraId="2D9576BF" w14:textId="77777777" w:rsidTr="00023485">
        <w:tc>
          <w:tcPr>
            <w:tcW w:w="1311" w:type="pct"/>
            <w:shd w:val="clear" w:color="auto" w:fill="DBE5F1" w:themeFill="accent1" w:themeFillTint="33"/>
            <w:vAlign w:val="center"/>
          </w:tcPr>
          <w:p w14:paraId="0E2542C6" w14:textId="77777777" w:rsidR="00495F6B" w:rsidRPr="00233CFE" w:rsidRDefault="00495F6B" w:rsidP="00023485">
            <w:pPr>
              <w:pStyle w:val="In-tableHeading"/>
              <w:rPr>
                <w:b w:val="0"/>
                <w:bCs/>
                <w:szCs w:val="20"/>
                <w:lang w:val="en-AU"/>
              </w:rPr>
            </w:pPr>
            <w:r w:rsidRPr="00233CFE">
              <w:rPr>
                <w:b w:val="0"/>
                <w:bCs/>
                <w:szCs w:val="20"/>
                <w:lang w:val="en-AU"/>
              </w:rPr>
              <w:t>Number of scripts dispensed</w:t>
            </w:r>
          </w:p>
        </w:tc>
        <w:tc>
          <w:tcPr>
            <w:tcW w:w="619" w:type="pct"/>
            <w:shd w:val="clear" w:color="auto" w:fill="DBE5F1" w:themeFill="accent1" w:themeFillTint="33"/>
          </w:tcPr>
          <w:p w14:paraId="467F5C2D" w14:textId="21751CE6"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5774"/>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5774"/>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5774"/>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21" w:type="pct"/>
            <w:shd w:val="clear" w:color="auto" w:fill="DBE5F1" w:themeFill="accent1" w:themeFillTint="33"/>
          </w:tcPr>
          <w:p w14:paraId="1F0017AC" w14:textId="73E4F7D5"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5773"/>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5773"/>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5773"/>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19" w:type="pct"/>
            <w:shd w:val="clear" w:color="auto" w:fill="DBE5F1" w:themeFill="accent1" w:themeFillTint="33"/>
          </w:tcPr>
          <w:p w14:paraId="6198D57C" w14:textId="12469EBE"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5772"/>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5772"/>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5772"/>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26" w:type="pct"/>
            <w:shd w:val="clear" w:color="auto" w:fill="DBE5F1" w:themeFill="accent1" w:themeFillTint="33"/>
          </w:tcPr>
          <w:p w14:paraId="3F42D222" w14:textId="7661EF6F" w:rsidR="00495F6B" w:rsidRPr="00D221AB" w:rsidRDefault="00924D5E" w:rsidP="00023485">
            <w:pPr>
              <w:pStyle w:val="In-tableHeading"/>
              <w:jc w:val="center"/>
              <w:rPr>
                <w:b w:val="0"/>
                <w:bCs/>
                <w:szCs w:val="20"/>
                <w:highlight w:val="lightGray"/>
                <w:lang w:val="en-AU"/>
              </w:rPr>
            </w:pPr>
            <w:r w:rsidRPr="006E162D">
              <w:rPr>
                <w:rFonts w:hint="eastAsia"/>
                <w:b w:val="0"/>
                <w:bCs/>
                <w:color w:val="000000"/>
                <w:w w:val="15"/>
                <w:szCs w:val="20"/>
                <w:shd w:val="solid" w:color="000000" w:fill="000000"/>
                <w:fitText w:val="25" w:id="-961835771"/>
                <w:lang w:val="en-AU"/>
                <w14:textFill>
                  <w14:solidFill>
                    <w14:srgbClr w14:val="000000">
                      <w14:alpha w14:val="100000"/>
                    </w14:srgbClr>
                  </w14:solidFill>
                </w14:textFill>
              </w:rPr>
              <w:t xml:space="preserve">　</w:t>
            </w:r>
            <w:r w:rsidRPr="006E162D">
              <w:rPr>
                <w:b w:val="0"/>
                <w:bCs/>
                <w:color w:val="000000"/>
                <w:w w:val="15"/>
                <w:szCs w:val="20"/>
                <w:shd w:val="solid" w:color="000000" w:fill="000000"/>
                <w:fitText w:val="25" w:id="-961835771"/>
                <w:lang w:val="en-AU"/>
                <w14:textFill>
                  <w14:solidFill>
                    <w14:srgbClr w14:val="000000">
                      <w14:alpha w14:val="100000"/>
                    </w14:srgbClr>
                  </w14:solidFill>
                </w14:textFill>
              </w:rPr>
              <w:t>|</w:t>
            </w:r>
            <w:r w:rsidRPr="006E162D">
              <w:rPr>
                <w:rFonts w:hint="eastAsia"/>
                <w:b w:val="0"/>
                <w:bCs/>
                <w:color w:val="000000"/>
                <w:spacing w:val="-41"/>
                <w:w w:val="15"/>
                <w:szCs w:val="20"/>
                <w:shd w:val="solid" w:color="000000" w:fill="000000"/>
                <w:fitText w:val="25" w:id="-961835771"/>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19" w:type="pct"/>
            <w:shd w:val="clear" w:color="auto" w:fill="DBE5F1" w:themeFill="accent1" w:themeFillTint="33"/>
          </w:tcPr>
          <w:p w14:paraId="01844543" w14:textId="3B0912D8"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5770"/>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5770"/>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5770"/>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585" w:type="pct"/>
            <w:shd w:val="clear" w:color="auto" w:fill="DBE5F1" w:themeFill="accent1" w:themeFillTint="33"/>
          </w:tcPr>
          <w:p w14:paraId="4A61C5D3" w14:textId="55A754B4"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63" w:id="-961835769"/>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63" w:id="-961835769"/>
                <w:lang w:val="en-AU"/>
                <w14:textFill>
                  <w14:solidFill>
                    <w14:srgbClr w14:val="000000">
                      <w14:alpha w14:val="100000"/>
                    </w14:srgbClr>
                  </w14:solidFill>
                </w14:textFill>
              </w:rPr>
              <w:t>|</w:t>
            </w:r>
            <w:r w:rsidRPr="00924D5E">
              <w:rPr>
                <w:rFonts w:hint="eastAsia"/>
                <w:b w:val="0"/>
                <w:bCs/>
                <w:color w:val="000000"/>
                <w:spacing w:val="-2"/>
                <w:w w:val="15"/>
                <w:szCs w:val="20"/>
                <w:shd w:val="solid" w:color="000000" w:fill="000000"/>
                <w:fitText w:val="63" w:id="-961835769"/>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r>
      <w:tr w:rsidR="00687354" w:rsidRPr="00CD4FAB" w14:paraId="465B147D" w14:textId="77777777" w:rsidTr="00023485">
        <w:tc>
          <w:tcPr>
            <w:tcW w:w="5000" w:type="pct"/>
            <w:gridSpan w:val="7"/>
            <w:shd w:val="clear" w:color="auto" w:fill="DBE5F1" w:themeFill="accent1" w:themeFillTint="33"/>
          </w:tcPr>
          <w:p w14:paraId="243DA48F" w14:textId="77777777" w:rsidR="00495F6B" w:rsidRPr="00233CFE" w:rsidRDefault="00495F6B" w:rsidP="00023485">
            <w:pPr>
              <w:pStyle w:val="In-tableHeading"/>
              <w:rPr>
                <w:b w:val="0"/>
                <w:bCs/>
                <w:szCs w:val="20"/>
                <w:lang w:val="en-AU"/>
              </w:rPr>
            </w:pPr>
            <w:r w:rsidRPr="00233CFE">
              <w:rPr>
                <w:szCs w:val="20"/>
                <w:lang w:val="en-AU"/>
              </w:rPr>
              <w:t>Estimated financial implications of nivolumab – July 2023</w:t>
            </w:r>
          </w:p>
        </w:tc>
      </w:tr>
      <w:tr w:rsidR="00687354" w:rsidRPr="00CD4FAB" w14:paraId="2DA22F3C" w14:textId="77777777" w:rsidTr="00023485">
        <w:tc>
          <w:tcPr>
            <w:tcW w:w="1311" w:type="pct"/>
            <w:shd w:val="clear" w:color="auto" w:fill="DBE5F1" w:themeFill="accent1" w:themeFillTint="33"/>
          </w:tcPr>
          <w:p w14:paraId="5BB49351" w14:textId="6AE11314" w:rsidR="00495F6B" w:rsidRPr="00233CFE" w:rsidRDefault="00495F6B" w:rsidP="00023485">
            <w:pPr>
              <w:pStyle w:val="In-tableHeading"/>
              <w:rPr>
                <w:b w:val="0"/>
                <w:bCs/>
                <w:szCs w:val="20"/>
                <w:lang w:val="en-AU"/>
              </w:rPr>
            </w:pPr>
            <w:r w:rsidRPr="00233CFE">
              <w:rPr>
                <w:b w:val="0"/>
                <w:bCs/>
                <w:szCs w:val="20"/>
                <w:lang w:val="en-AU"/>
              </w:rPr>
              <w:t>Total cost to the PBS/RPBS, including patient copayments</w:t>
            </w:r>
            <w:r w:rsidR="00F23D76" w:rsidRPr="00233CFE">
              <w:rPr>
                <w:b w:val="0"/>
                <w:bCs/>
                <w:szCs w:val="20"/>
                <w:lang w:val="en-AU"/>
              </w:rPr>
              <w:t>($)</w:t>
            </w:r>
          </w:p>
        </w:tc>
        <w:tc>
          <w:tcPr>
            <w:tcW w:w="619" w:type="pct"/>
            <w:shd w:val="clear" w:color="auto" w:fill="DBE5F1" w:themeFill="accent1" w:themeFillTint="33"/>
          </w:tcPr>
          <w:p w14:paraId="39847ABE" w14:textId="672F0F2C"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5768"/>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5768"/>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5768"/>
                <w:lang w:val="en-AU"/>
                <w14:textFill>
                  <w14:solidFill>
                    <w14:srgbClr w14:val="000000">
                      <w14:alpha w14:val="100000"/>
                    </w14:srgbClr>
                  </w14:solidFill>
                </w14:textFill>
              </w:rPr>
              <w:t xml:space="preserve">　</w:t>
            </w:r>
            <w:r w:rsidR="00807B6F" w:rsidRPr="00233CFE">
              <w:rPr>
                <w:b w:val="0"/>
                <w:bCs/>
                <w:szCs w:val="20"/>
                <w:vertAlign w:val="superscript"/>
                <w:lang w:val="en-AU"/>
              </w:rPr>
              <w:t>4</w:t>
            </w:r>
          </w:p>
        </w:tc>
        <w:tc>
          <w:tcPr>
            <w:tcW w:w="621" w:type="pct"/>
            <w:shd w:val="clear" w:color="auto" w:fill="DBE5F1" w:themeFill="accent1" w:themeFillTint="33"/>
          </w:tcPr>
          <w:p w14:paraId="2A65AF94" w14:textId="72D7AD56"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5767"/>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5767"/>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5767"/>
                <w:lang w:val="en-AU"/>
                <w14:textFill>
                  <w14:solidFill>
                    <w14:srgbClr w14:val="000000">
                      <w14:alpha w14:val="100000"/>
                    </w14:srgbClr>
                  </w14:solidFill>
                </w14:textFill>
              </w:rPr>
              <w:t xml:space="preserve">　</w:t>
            </w:r>
            <w:r w:rsidR="00807B6F" w:rsidRPr="00233CFE">
              <w:rPr>
                <w:b w:val="0"/>
                <w:bCs/>
                <w:szCs w:val="20"/>
                <w:vertAlign w:val="superscript"/>
                <w:lang w:val="en-AU"/>
              </w:rPr>
              <w:t>4</w:t>
            </w:r>
          </w:p>
        </w:tc>
        <w:tc>
          <w:tcPr>
            <w:tcW w:w="619" w:type="pct"/>
            <w:shd w:val="clear" w:color="auto" w:fill="DBE5F1" w:themeFill="accent1" w:themeFillTint="33"/>
          </w:tcPr>
          <w:p w14:paraId="1A0D9177" w14:textId="793493D5"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5766"/>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5766"/>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5766"/>
                <w:lang w:val="en-AU"/>
                <w14:textFill>
                  <w14:solidFill>
                    <w14:srgbClr w14:val="000000">
                      <w14:alpha w14:val="100000"/>
                    </w14:srgbClr>
                  </w14:solidFill>
                </w14:textFill>
              </w:rPr>
              <w:t xml:space="preserve">　</w:t>
            </w:r>
            <w:r w:rsidR="00807B6F" w:rsidRPr="00233CFE">
              <w:rPr>
                <w:b w:val="0"/>
                <w:bCs/>
                <w:szCs w:val="20"/>
                <w:vertAlign w:val="superscript"/>
                <w:lang w:val="en-AU"/>
              </w:rPr>
              <w:t>4</w:t>
            </w:r>
          </w:p>
        </w:tc>
        <w:tc>
          <w:tcPr>
            <w:tcW w:w="626" w:type="pct"/>
            <w:shd w:val="clear" w:color="auto" w:fill="DBE5F1" w:themeFill="accent1" w:themeFillTint="33"/>
          </w:tcPr>
          <w:p w14:paraId="15924DC3" w14:textId="0E84D225" w:rsidR="00495F6B" w:rsidRPr="00D221AB" w:rsidRDefault="00924D5E" w:rsidP="00023485">
            <w:pPr>
              <w:pStyle w:val="In-tableHeading"/>
              <w:jc w:val="center"/>
              <w:rPr>
                <w:b w:val="0"/>
                <w:bCs/>
                <w:szCs w:val="20"/>
                <w:highlight w:val="lightGray"/>
                <w:lang w:val="en-AU"/>
              </w:rPr>
            </w:pPr>
            <w:r w:rsidRPr="006E162D">
              <w:rPr>
                <w:rFonts w:hint="eastAsia"/>
                <w:b w:val="0"/>
                <w:bCs/>
                <w:color w:val="000000"/>
                <w:w w:val="15"/>
                <w:szCs w:val="20"/>
                <w:shd w:val="solid" w:color="000000" w:fill="000000"/>
                <w:fitText w:val="25" w:id="-961835765"/>
                <w:lang w:val="en-AU"/>
                <w14:textFill>
                  <w14:solidFill>
                    <w14:srgbClr w14:val="000000">
                      <w14:alpha w14:val="100000"/>
                    </w14:srgbClr>
                  </w14:solidFill>
                </w14:textFill>
              </w:rPr>
              <w:t xml:space="preserve">　</w:t>
            </w:r>
            <w:r w:rsidRPr="006E162D">
              <w:rPr>
                <w:b w:val="0"/>
                <w:bCs/>
                <w:color w:val="000000"/>
                <w:w w:val="15"/>
                <w:szCs w:val="20"/>
                <w:shd w:val="solid" w:color="000000" w:fill="000000"/>
                <w:fitText w:val="25" w:id="-961835765"/>
                <w:lang w:val="en-AU"/>
                <w14:textFill>
                  <w14:solidFill>
                    <w14:srgbClr w14:val="000000">
                      <w14:alpha w14:val="100000"/>
                    </w14:srgbClr>
                  </w14:solidFill>
                </w14:textFill>
              </w:rPr>
              <w:t>|</w:t>
            </w:r>
            <w:r w:rsidRPr="006E162D">
              <w:rPr>
                <w:rFonts w:hint="eastAsia"/>
                <w:b w:val="0"/>
                <w:bCs/>
                <w:color w:val="000000"/>
                <w:spacing w:val="-41"/>
                <w:w w:val="15"/>
                <w:szCs w:val="20"/>
                <w:shd w:val="solid" w:color="000000" w:fill="000000"/>
                <w:fitText w:val="25" w:id="-961835765"/>
                <w:lang w:val="en-AU"/>
                <w14:textFill>
                  <w14:solidFill>
                    <w14:srgbClr w14:val="000000">
                      <w14:alpha w14:val="100000"/>
                    </w14:srgbClr>
                  </w14:solidFill>
                </w14:textFill>
              </w:rPr>
              <w:t xml:space="preserve">　</w:t>
            </w:r>
            <w:r w:rsidR="00807B6F" w:rsidRPr="00233CFE">
              <w:rPr>
                <w:b w:val="0"/>
                <w:bCs/>
                <w:szCs w:val="20"/>
                <w:vertAlign w:val="superscript"/>
                <w:lang w:val="en-AU"/>
              </w:rPr>
              <w:t>4</w:t>
            </w:r>
          </w:p>
        </w:tc>
        <w:tc>
          <w:tcPr>
            <w:tcW w:w="619" w:type="pct"/>
            <w:shd w:val="clear" w:color="auto" w:fill="DBE5F1" w:themeFill="accent1" w:themeFillTint="33"/>
          </w:tcPr>
          <w:p w14:paraId="28BDE8EA" w14:textId="6E4D7410"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5764"/>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5764"/>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5764"/>
                <w:lang w:val="en-AU"/>
                <w14:textFill>
                  <w14:solidFill>
                    <w14:srgbClr w14:val="000000">
                      <w14:alpha w14:val="100000"/>
                    </w14:srgbClr>
                  </w14:solidFill>
                </w14:textFill>
              </w:rPr>
              <w:t xml:space="preserve">　</w:t>
            </w:r>
            <w:r w:rsidR="00807B6F" w:rsidRPr="00233CFE">
              <w:rPr>
                <w:b w:val="0"/>
                <w:bCs/>
                <w:szCs w:val="20"/>
                <w:vertAlign w:val="superscript"/>
                <w:lang w:val="en-AU"/>
              </w:rPr>
              <w:t>4</w:t>
            </w:r>
          </w:p>
        </w:tc>
        <w:tc>
          <w:tcPr>
            <w:tcW w:w="585" w:type="pct"/>
            <w:shd w:val="clear" w:color="auto" w:fill="DBE5F1" w:themeFill="accent1" w:themeFillTint="33"/>
          </w:tcPr>
          <w:p w14:paraId="189D1FE5" w14:textId="17396CA7"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63" w:id="-961835763"/>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63" w:id="-961835763"/>
                <w:lang w:val="en-AU"/>
                <w14:textFill>
                  <w14:solidFill>
                    <w14:srgbClr w14:val="000000">
                      <w14:alpha w14:val="100000"/>
                    </w14:srgbClr>
                  </w14:solidFill>
                </w14:textFill>
              </w:rPr>
              <w:t>|</w:t>
            </w:r>
            <w:r w:rsidRPr="00924D5E">
              <w:rPr>
                <w:rFonts w:hint="eastAsia"/>
                <w:b w:val="0"/>
                <w:bCs/>
                <w:color w:val="000000"/>
                <w:spacing w:val="-2"/>
                <w:w w:val="15"/>
                <w:szCs w:val="20"/>
                <w:shd w:val="solid" w:color="000000" w:fill="000000"/>
                <w:fitText w:val="63" w:id="-961835763"/>
                <w:lang w:val="en-AU"/>
                <w14:textFill>
                  <w14:solidFill>
                    <w14:srgbClr w14:val="000000">
                      <w14:alpha w14:val="100000"/>
                    </w14:srgbClr>
                  </w14:solidFill>
                </w14:textFill>
              </w:rPr>
              <w:t xml:space="preserve">　</w:t>
            </w:r>
            <w:r w:rsidR="00807B6F" w:rsidRPr="00233CFE">
              <w:rPr>
                <w:b w:val="0"/>
                <w:bCs/>
                <w:szCs w:val="20"/>
                <w:vertAlign w:val="superscript"/>
                <w:lang w:val="en-AU"/>
              </w:rPr>
              <w:t>4</w:t>
            </w:r>
          </w:p>
        </w:tc>
      </w:tr>
      <w:tr w:rsidR="00687354" w:rsidRPr="00CD4FAB" w14:paraId="08EA9FD4" w14:textId="77777777" w:rsidTr="00023485">
        <w:tc>
          <w:tcPr>
            <w:tcW w:w="5000" w:type="pct"/>
            <w:gridSpan w:val="7"/>
            <w:shd w:val="clear" w:color="auto" w:fill="95B3D7" w:themeFill="accent1" w:themeFillTint="99"/>
            <w:vAlign w:val="center"/>
          </w:tcPr>
          <w:p w14:paraId="691C07EA" w14:textId="77777777" w:rsidR="00495F6B" w:rsidRPr="00233CFE" w:rsidRDefault="00495F6B" w:rsidP="00023485">
            <w:pPr>
              <w:pStyle w:val="In-tableHeading"/>
              <w:rPr>
                <w:szCs w:val="20"/>
                <w:lang w:val="en-AU"/>
              </w:rPr>
            </w:pPr>
            <w:r w:rsidRPr="00233CFE">
              <w:rPr>
                <w:szCs w:val="20"/>
                <w:lang w:val="en-AU"/>
              </w:rPr>
              <w:t>Estimated extent of use March 2023 submission</w:t>
            </w:r>
          </w:p>
        </w:tc>
      </w:tr>
      <w:tr w:rsidR="00687354" w:rsidRPr="00CD4FAB" w14:paraId="1FEED6F2" w14:textId="77777777" w:rsidTr="00023485">
        <w:tc>
          <w:tcPr>
            <w:tcW w:w="1311" w:type="pct"/>
            <w:shd w:val="clear" w:color="auto" w:fill="95B3D7" w:themeFill="accent1" w:themeFillTint="99"/>
          </w:tcPr>
          <w:p w14:paraId="0ACB4881" w14:textId="77777777" w:rsidR="00495F6B" w:rsidRPr="00233CFE" w:rsidRDefault="00495F6B" w:rsidP="00023485">
            <w:pPr>
              <w:pStyle w:val="In-tableHeading"/>
              <w:rPr>
                <w:b w:val="0"/>
                <w:bCs/>
                <w:szCs w:val="20"/>
                <w:lang w:val="en-AU"/>
              </w:rPr>
            </w:pPr>
            <w:r w:rsidRPr="00233CFE">
              <w:rPr>
                <w:b w:val="0"/>
                <w:bCs/>
                <w:szCs w:val="20"/>
                <w:lang w:val="en-AU"/>
              </w:rPr>
              <w:t>Number of patients treated</w:t>
            </w:r>
          </w:p>
        </w:tc>
        <w:tc>
          <w:tcPr>
            <w:tcW w:w="619" w:type="pct"/>
            <w:shd w:val="clear" w:color="auto" w:fill="95B3D7" w:themeFill="accent1" w:themeFillTint="99"/>
          </w:tcPr>
          <w:p w14:paraId="33A94492" w14:textId="6370E35E"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5762"/>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5762"/>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5762"/>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21" w:type="pct"/>
            <w:shd w:val="clear" w:color="auto" w:fill="95B3D7" w:themeFill="accent1" w:themeFillTint="99"/>
          </w:tcPr>
          <w:p w14:paraId="7FB8685B" w14:textId="120B4928"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8" w:id="-961835761"/>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5761"/>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5761"/>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19" w:type="pct"/>
            <w:shd w:val="clear" w:color="auto" w:fill="95B3D7" w:themeFill="accent1" w:themeFillTint="99"/>
          </w:tcPr>
          <w:p w14:paraId="60886AA9" w14:textId="17CF9D59"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5760"/>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5760"/>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5760"/>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26" w:type="pct"/>
            <w:shd w:val="clear" w:color="auto" w:fill="95B3D7" w:themeFill="accent1" w:themeFillTint="99"/>
          </w:tcPr>
          <w:p w14:paraId="6C70BC1E" w14:textId="2E8DEBD7" w:rsidR="00495F6B" w:rsidRPr="00D221AB" w:rsidRDefault="00924D5E" w:rsidP="00023485">
            <w:pPr>
              <w:pStyle w:val="In-tableHeading"/>
              <w:jc w:val="center"/>
              <w:rPr>
                <w:b w:val="0"/>
                <w:bCs/>
                <w:szCs w:val="20"/>
                <w:highlight w:val="lightGray"/>
                <w:lang w:val="en-AU"/>
              </w:rPr>
            </w:pPr>
            <w:r w:rsidRPr="006E162D">
              <w:rPr>
                <w:rFonts w:hint="eastAsia"/>
                <w:b w:val="0"/>
                <w:bCs/>
                <w:color w:val="000000"/>
                <w:w w:val="15"/>
                <w:szCs w:val="20"/>
                <w:shd w:val="solid" w:color="000000" w:fill="000000"/>
                <w:fitText w:val="25" w:id="-961835776"/>
                <w:lang w:val="en-AU"/>
                <w14:textFill>
                  <w14:solidFill>
                    <w14:srgbClr w14:val="000000">
                      <w14:alpha w14:val="100000"/>
                    </w14:srgbClr>
                  </w14:solidFill>
                </w14:textFill>
              </w:rPr>
              <w:t xml:space="preserve">　</w:t>
            </w:r>
            <w:r w:rsidRPr="006E162D">
              <w:rPr>
                <w:b w:val="0"/>
                <w:bCs/>
                <w:color w:val="000000"/>
                <w:w w:val="15"/>
                <w:szCs w:val="20"/>
                <w:shd w:val="solid" w:color="000000" w:fill="000000"/>
                <w:fitText w:val="25" w:id="-961835776"/>
                <w:lang w:val="en-AU"/>
                <w14:textFill>
                  <w14:solidFill>
                    <w14:srgbClr w14:val="000000">
                      <w14:alpha w14:val="100000"/>
                    </w14:srgbClr>
                  </w14:solidFill>
                </w14:textFill>
              </w:rPr>
              <w:t>|</w:t>
            </w:r>
            <w:r w:rsidRPr="006E162D">
              <w:rPr>
                <w:rFonts w:hint="eastAsia"/>
                <w:b w:val="0"/>
                <w:bCs/>
                <w:color w:val="000000"/>
                <w:spacing w:val="-41"/>
                <w:w w:val="15"/>
                <w:szCs w:val="20"/>
                <w:shd w:val="solid" w:color="000000" w:fill="000000"/>
                <w:fitText w:val="25" w:id="-961835776"/>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19" w:type="pct"/>
            <w:shd w:val="clear" w:color="auto" w:fill="95B3D7" w:themeFill="accent1" w:themeFillTint="99"/>
          </w:tcPr>
          <w:p w14:paraId="3BEDCC3A" w14:textId="160D187B"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37" w:id="-961835775"/>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5775"/>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5775"/>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585" w:type="pct"/>
            <w:shd w:val="clear" w:color="auto" w:fill="95B3D7" w:themeFill="accent1" w:themeFillTint="99"/>
          </w:tcPr>
          <w:p w14:paraId="2CC0942E" w14:textId="3C0CD7FC" w:rsidR="00495F6B" w:rsidRPr="00D221AB" w:rsidRDefault="00924D5E" w:rsidP="00023485">
            <w:pPr>
              <w:pStyle w:val="In-tableHeading"/>
              <w:jc w:val="center"/>
              <w:rPr>
                <w:b w:val="0"/>
                <w:bCs/>
                <w:szCs w:val="20"/>
                <w:highlight w:val="lightGray"/>
                <w:lang w:val="en-AU"/>
              </w:rPr>
            </w:pPr>
            <w:r w:rsidRPr="00924D5E">
              <w:rPr>
                <w:rFonts w:hint="eastAsia"/>
                <w:b w:val="0"/>
                <w:bCs/>
                <w:color w:val="000000"/>
                <w:w w:val="15"/>
                <w:szCs w:val="20"/>
                <w:shd w:val="solid" w:color="000000" w:fill="000000"/>
                <w:fitText w:val="63" w:id="-961835774"/>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63" w:id="-961835774"/>
                <w:lang w:val="en-AU"/>
                <w14:textFill>
                  <w14:solidFill>
                    <w14:srgbClr w14:val="000000">
                      <w14:alpha w14:val="100000"/>
                    </w14:srgbClr>
                  </w14:solidFill>
                </w14:textFill>
              </w:rPr>
              <w:t>|</w:t>
            </w:r>
            <w:r w:rsidRPr="00924D5E">
              <w:rPr>
                <w:rFonts w:hint="eastAsia"/>
                <w:b w:val="0"/>
                <w:bCs/>
                <w:color w:val="000000"/>
                <w:spacing w:val="-2"/>
                <w:w w:val="15"/>
                <w:szCs w:val="20"/>
                <w:shd w:val="solid" w:color="000000" w:fill="000000"/>
                <w:fitText w:val="63" w:id="-961835774"/>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r>
      <w:tr w:rsidR="00687354" w:rsidRPr="00CD4FAB" w14:paraId="23F51683" w14:textId="77777777" w:rsidTr="00023485">
        <w:tc>
          <w:tcPr>
            <w:tcW w:w="1311" w:type="pct"/>
            <w:shd w:val="clear" w:color="auto" w:fill="95B3D7" w:themeFill="accent1" w:themeFillTint="99"/>
            <w:vAlign w:val="center"/>
          </w:tcPr>
          <w:p w14:paraId="18653627" w14:textId="77777777" w:rsidR="00495F6B" w:rsidRPr="00233CFE" w:rsidRDefault="00495F6B" w:rsidP="00023485">
            <w:pPr>
              <w:pStyle w:val="In-tableHeading"/>
              <w:rPr>
                <w:b w:val="0"/>
                <w:bCs/>
                <w:szCs w:val="20"/>
                <w:lang w:val="en-AU"/>
              </w:rPr>
            </w:pPr>
            <w:r w:rsidRPr="00233CFE">
              <w:rPr>
                <w:b w:val="0"/>
                <w:bCs/>
                <w:szCs w:val="20"/>
                <w:lang w:val="en-AU"/>
              </w:rPr>
              <w:t>Number of scripts dispensed</w:t>
            </w:r>
          </w:p>
        </w:tc>
        <w:tc>
          <w:tcPr>
            <w:tcW w:w="619" w:type="pct"/>
            <w:shd w:val="clear" w:color="auto" w:fill="95B3D7" w:themeFill="accent1" w:themeFillTint="99"/>
            <w:vAlign w:val="center"/>
          </w:tcPr>
          <w:p w14:paraId="7DDB3388" w14:textId="050169E9" w:rsidR="00495F6B" w:rsidRPr="00D221AB" w:rsidRDefault="00924D5E" w:rsidP="00023485">
            <w:pPr>
              <w:pStyle w:val="In-tableHeading"/>
              <w:jc w:val="center"/>
              <w:rPr>
                <w:b w:val="0"/>
                <w:bCs/>
                <w:szCs w:val="20"/>
                <w:highlight w:val="lightGray"/>
                <w:lang w:val="en-AU"/>
              </w:rPr>
            </w:pPr>
            <w:r w:rsidRPr="00924D5E">
              <w:rPr>
                <w:rFonts w:cs="Calibri" w:hint="eastAsia"/>
                <w:b w:val="0"/>
                <w:bCs/>
                <w:color w:val="000000"/>
                <w:w w:val="15"/>
                <w:szCs w:val="20"/>
                <w:shd w:val="solid" w:color="000000" w:fill="000000"/>
                <w:fitText w:val="38" w:id="-961835773"/>
                <w:lang w:val="en-AU"/>
                <w14:textFill>
                  <w14:solidFill>
                    <w14:srgbClr w14:val="000000">
                      <w14:alpha w14:val="100000"/>
                    </w14:srgbClr>
                  </w14:solidFill>
                </w14:textFill>
              </w:rPr>
              <w:t xml:space="preserve">　</w:t>
            </w:r>
            <w:r w:rsidRPr="00924D5E">
              <w:rPr>
                <w:rFonts w:cs="Calibri"/>
                <w:b w:val="0"/>
                <w:bCs/>
                <w:color w:val="000000"/>
                <w:w w:val="15"/>
                <w:szCs w:val="20"/>
                <w:shd w:val="solid" w:color="000000" w:fill="000000"/>
                <w:fitText w:val="38" w:id="-961835773"/>
                <w:lang w:val="en-AU"/>
                <w14:textFill>
                  <w14:solidFill>
                    <w14:srgbClr w14:val="000000">
                      <w14:alpha w14:val="100000"/>
                    </w14:srgbClr>
                  </w14:solidFill>
                </w14:textFill>
              </w:rPr>
              <w:t>|</w:t>
            </w:r>
            <w:r w:rsidRPr="00924D5E">
              <w:rPr>
                <w:rFonts w:cs="Calibri" w:hint="eastAsia"/>
                <w:b w:val="0"/>
                <w:bCs/>
                <w:color w:val="000000"/>
                <w:spacing w:val="-27"/>
                <w:w w:val="15"/>
                <w:szCs w:val="20"/>
                <w:shd w:val="solid" w:color="000000" w:fill="000000"/>
                <w:fitText w:val="38" w:id="-961835773"/>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21" w:type="pct"/>
            <w:shd w:val="clear" w:color="auto" w:fill="95B3D7" w:themeFill="accent1" w:themeFillTint="99"/>
            <w:vAlign w:val="center"/>
          </w:tcPr>
          <w:p w14:paraId="5D54DF8A" w14:textId="776FD899" w:rsidR="00495F6B" w:rsidRPr="00D221AB" w:rsidRDefault="00924D5E" w:rsidP="00023485">
            <w:pPr>
              <w:pStyle w:val="In-tableHeading"/>
              <w:jc w:val="center"/>
              <w:rPr>
                <w:b w:val="0"/>
                <w:bCs/>
                <w:szCs w:val="20"/>
                <w:highlight w:val="lightGray"/>
                <w:lang w:val="en-AU"/>
              </w:rPr>
            </w:pPr>
            <w:r w:rsidRPr="00924D5E">
              <w:rPr>
                <w:rFonts w:cs="Calibri" w:hint="eastAsia"/>
                <w:b w:val="0"/>
                <w:bCs/>
                <w:color w:val="000000"/>
                <w:w w:val="15"/>
                <w:szCs w:val="20"/>
                <w:shd w:val="solid" w:color="000000" w:fill="000000"/>
                <w:fitText w:val="38" w:id="-961835772"/>
                <w:lang w:val="en-AU"/>
                <w14:textFill>
                  <w14:solidFill>
                    <w14:srgbClr w14:val="000000">
                      <w14:alpha w14:val="100000"/>
                    </w14:srgbClr>
                  </w14:solidFill>
                </w14:textFill>
              </w:rPr>
              <w:t xml:space="preserve">　</w:t>
            </w:r>
            <w:r w:rsidRPr="00924D5E">
              <w:rPr>
                <w:rFonts w:cs="Calibri"/>
                <w:b w:val="0"/>
                <w:bCs/>
                <w:color w:val="000000"/>
                <w:w w:val="15"/>
                <w:szCs w:val="20"/>
                <w:shd w:val="solid" w:color="000000" w:fill="000000"/>
                <w:fitText w:val="38" w:id="-961835772"/>
                <w:lang w:val="en-AU"/>
                <w14:textFill>
                  <w14:solidFill>
                    <w14:srgbClr w14:val="000000">
                      <w14:alpha w14:val="100000"/>
                    </w14:srgbClr>
                  </w14:solidFill>
                </w14:textFill>
              </w:rPr>
              <w:t>|</w:t>
            </w:r>
            <w:r w:rsidRPr="00924D5E">
              <w:rPr>
                <w:rFonts w:cs="Calibri" w:hint="eastAsia"/>
                <w:b w:val="0"/>
                <w:bCs/>
                <w:color w:val="000000"/>
                <w:spacing w:val="-27"/>
                <w:w w:val="15"/>
                <w:szCs w:val="20"/>
                <w:shd w:val="solid" w:color="000000" w:fill="000000"/>
                <w:fitText w:val="38" w:id="-961835772"/>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19" w:type="pct"/>
            <w:shd w:val="clear" w:color="auto" w:fill="95B3D7" w:themeFill="accent1" w:themeFillTint="99"/>
            <w:vAlign w:val="center"/>
          </w:tcPr>
          <w:p w14:paraId="1C10A9FF" w14:textId="565A56A9" w:rsidR="00495F6B" w:rsidRPr="00D221AB" w:rsidRDefault="00924D5E" w:rsidP="00023485">
            <w:pPr>
              <w:pStyle w:val="In-tableHeading"/>
              <w:jc w:val="center"/>
              <w:rPr>
                <w:b w:val="0"/>
                <w:bCs/>
                <w:szCs w:val="20"/>
                <w:highlight w:val="lightGray"/>
                <w:lang w:val="en-AU"/>
              </w:rPr>
            </w:pPr>
            <w:r w:rsidRPr="00924D5E">
              <w:rPr>
                <w:rFonts w:cs="Calibri" w:hint="eastAsia"/>
                <w:b w:val="0"/>
                <w:bCs/>
                <w:color w:val="000000"/>
                <w:w w:val="15"/>
                <w:szCs w:val="20"/>
                <w:shd w:val="solid" w:color="000000" w:fill="000000"/>
                <w:fitText w:val="37" w:id="-961835771"/>
                <w:lang w:val="en-AU"/>
                <w14:textFill>
                  <w14:solidFill>
                    <w14:srgbClr w14:val="000000">
                      <w14:alpha w14:val="100000"/>
                    </w14:srgbClr>
                  </w14:solidFill>
                </w14:textFill>
              </w:rPr>
              <w:t xml:space="preserve">　</w:t>
            </w:r>
            <w:r w:rsidRPr="00924D5E">
              <w:rPr>
                <w:rFonts w:cs="Calibri"/>
                <w:b w:val="0"/>
                <w:bCs/>
                <w:color w:val="000000"/>
                <w:w w:val="15"/>
                <w:szCs w:val="20"/>
                <w:shd w:val="solid" w:color="000000" w:fill="000000"/>
                <w:fitText w:val="37" w:id="-961835771"/>
                <w:lang w:val="en-AU"/>
                <w14:textFill>
                  <w14:solidFill>
                    <w14:srgbClr w14:val="000000">
                      <w14:alpha w14:val="100000"/>
                    </w14:srgbClr>
                  </w14:solidFill>
                </w14:textFill>
              </w:rPr>
              <w:t>|</w:t>
            </w:r>
            <w:r w:rsidRPr="00924D5E">
              <w:rPr>
                <w:rFonts w:cs="Calibri" w:hint="eastAsia"/>
                <w:b w:val="0"/>
                <w:bCs/>
                <w:color w:val="000000"/>
                <w:spacing w:val="-28"/>
                <w:w w:val="15"/>
                <w:szCs w:val="20"/>
                <w:shd w:val="solid" w:color="000000" w:fill="000000"/>
                <w:fitText w:val="37" w:id="-961835771"/>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26" w:type="pct"/>
            <w:shd w:val="clear" w:color="auto" w:fill="95B3D7" w:themeFill="accent1" w:themeFillTint="99"/>
            <w:vAlign w:val="center"/>
          </w:tcPr>
          <w:p w14:paraId="46564E97" w14:textId="6EAC2C2E" w:rsidR="00495F6B" w:rsidRPr="00D221AB" w:rsidRDefault="00924D5E" w:rsidP="00023485">
            <w:pPr>
              <w:pStyle w:val="In-tableHeading"/>
              <w:jc w:val="center"/>
              <w:rPr>
                <w:b w:val="0"/>
                <w:bCs/>
                <w:szCs w:val="20"/>
                <w:highlight w:val="lightGray"/>
                <w:lang w:val="en-AU"/>
              </w:rPr>
            </w:pPr>
            <w:r w:rsidRPr="006E162D">
              <w:rPr>
                <w:rFonts w:cs="Calibri" w:hint="eastAsia"/>
                <w:b w:val="0"/>
                <w:bCs/>
                <w:color w:val="000000"/>
                <w:w w:val="15"/>
                <w:szCs w:val="20"/>
                <w:shd w:val="solid" w:color="000000" w:fill="000000"/>
                <w:fitText w:val="25" w:id="-961835770"/>
                <w:lang w:val="en-AU"/>
                <w14:textFill>
                  <w14:solidFill>
                    <w14:srgbClr w14:val="000000">
                      <w14:alpha w14:val="100000"/>
                    </w14:srgbClr>
                  </w14:solidFill>
                </w14:textFill>
              </w:rPr>
              <w:t xml:space="preserve">　</w:t>
            </w:r>
            <w:r w:rsidRPr="006E162D">
              <w:rPr>
                <w:rFonts w:cs="Calibri"/>
                <w:b w:val="0"/>
                <w:bCs/>
                <w:color w:val="000000"/>
                <w:w w:val="15"/>
                <w:szCs w:val="20"/>
                <w:shd w:val="solid" w:color="000000" w:fill="000000"/>
                <w:fitText w:val="25" w:id="-961835770"/>
                <w:lang w:val="en-AU"/>
                <w14:textFill>
                  <w14:solidFill>
                    <w14:srgbClr w14:val="000000">
                      <w14:alpha w14:val="100000"/>
                    </w14:srgbClr>
                  </w14:solidFill>
                </w14:textFill>
              </w:rPr>
              <w:t>|</w:t>
            </w:r>
            <w:r w:rsidRPr="006E162D">
              <w:rPr>
                <w:rFonts w:cs="Calibri" w:hint="eastAsia"/>
                <w:b w:val="0"/>
                <w:bCs/>
                <w:color w:val="000000"/>
                <w:spacing w:val="-41"/>
                <w:w w:val="15"/>
                <w:szCs w:val="20"/>
                <w:shd w:val="solid" w:color="000000" w:fill="000000"/>
                <w:fitText w:val="25" w:id="-961835770"/>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619" w:type="pct"/>
            <w:shd w:val="clear" w:color="auto" w:fill="95B3D7" w:themeFill="accent1" w:themeFillTint="99"/>
            <w:vAlign w:val="center"/>
          </w:tcPr>
          <w:p w14:paraId="7811BE1C" w14:textId="6DF634BF" w:rsidR="00495F6B" w:rsidRPr="00D221AB" w:rsidRDefault="00924D5E" w:rsidP="00023485">
            <w:pPr>
              <w:pStyle w:val="In-tableHeading"/>
              <w:jc w:val="center"/>
              <w:rPr>
                <w:b w:val="0"/>
                <w:bCs/>
                <w:szCs w:val="20"/>
                <w:highlight w:val="lightGray"/>
                <w:lang w:val="en-AU"/>
              </w:rPr>
            </w:pPr>
            <w:r w:rsidRPr="00924D5E">
              <w:rPr>
                <w:rFonts w:cs="Calibri" w:hint="eastAsia"/>
                <w:b w:val="0"/>
                <w:bCs/>
                <w:color w:val="000000"/>
                <w:w w:val="15"/>
                <w:szCs w:val="20"/>
                <w:shd w:val="solid" w:color="000000" w:fill="000000"/>
                <w:fitText w:val="37" w:id="-961835769"/>
                <w:lang w:val="en-AU"/>
                <w14:textFill>
                  <w14:solidFill>
                    <w14:srgbClr w14:val="000000">
                      <w14:alpha w14:val="100000"/>
                    </w14:srgbClr>
                  </w14:solidFill>
                </w14:textFill>
              </w:rPr>
              <w:t xml:space="preserve">　</w:t>
            </w:r>
            <w:r w:rsidRPr="00924D5E">
              <w:rPr>
                <w:rFonts w:cs="Calibri"/>
                <w:b w:val="0"/>
                <w:bCs/>
                <w:color w:val="000000"/>
                <w:w w:val="15"/>
                <w:szCs w:val="20"/>
                <w:shd w:val="solid" w:color="000000" w:fill="000000"/>
                <w:fitText w:val="37" w:id="-961835769"/>
                <w:lang w:val="en-AU"/>
                <w14:textFill>
                  <w14:solidFill>
                    <w14:srgbClr w14:val="000000">
                      <w14:alpha w14:val="100000"/>
                    </w14:srgbClr>
                  </w14:solidFill>
                </w14:textFill>
              </w:rPr>
              <w:t>|</w:t>
            </w:r>
            <w:r w:rsidRPr="00924D5E">
              <w:rPr>
                <w:rFonts w:cs="Calibri" w:hint="eastAsia"/>
                <w:b w:val="0"/>
                <w:bCs/>
                <w:color w:val="000000"/>
                <w:spacing w:val="-28"/>
                <w:w w:val="15"/>
                <w:szCs w:val="20"/>
                <w:shd w:val="solid" w:color="000000" w:fill="000000"/>
                <w:fitText w:val="37" w:id="-961835769"/>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c>
          <w:tcPr>
            <w:tcW w:w="585" w:type="pct"/>
            <w:shd w:val="clear" w:color="auto" w:fill="95B3D7" w:themeFill="accent1" w:themeFillTint="99"/>
            <w:vAlign w:val="center"/>
          </w:tcPr>
          <w:p w14:paraId="5BB72E68" w14:textId="629C7937" w:rsidR="00495F6B" w:rsidRPr="00D221AB" w:rsidRDefault="00924D5E" w:rsidP="00023485">
            <w:pPr>
              <w:pStyle w:val="In-tableHeading"/>
              <w:jc w:val="center"/>
              <w:rPr>
                <w:b w:val="0"/>
                <w:bCs/>
                <w:szCs w:val="20"/>
                <w:highlight w:val="lightGray"/>
                <w:lang w:val="en-AU"/>
              </w:rPr>
            </w:pPr>
            <w:r w:rsidRPr="00924D5E">
              <w:rPr>
                <w:rFonts w:cs="Calibri" w:hint="eastAsia"/>
                <w:b w:val="0"/>
                <w:bCs/>
                <w:color w:val="000000"/>
                <w:w w:val="15"/>
                <w:szCs w:val="20"/>
                <w:shd w:val="solid" w:color="000000" w:fill="000000"/>
                <w:fitText w:val="63" w:id="-961835768"/>
                <w:lang w:val="en-AU"/>
                <w14:textFill>
                  <w14:solidFill>
                    <w14:srgbClr w14:val="000000">
                      <w14:alpha w14:val="100000"/>
                    </w14:srgbClr>
                  </w14:solidFill>
                </w14:textFill>
              </w:rPr>
              <w:t xml:space="preserve">　</w:t>
            </w:r>
            <w:r w:rsidRPr="00924D5E">
              <w:rPr>
                <w:rFonts w:cs="Calibri"/>
                <w:b w:val="0"/>
                <w:bCs/>
                <w:color w:val="000000"/>
                <w:w w:val="15"/>
                <w:szCs w:val="20"/>
                <w:shd w:val="solid" w:color="000000" w:fill="000000"/>
                <w:fitText w:val="63" w:id="-961835768"/>
                <w:lang w:val="en-AU"/>
                <w14:textFill>
                  <w14:solidFill>
                    <w14:srgbClr w14:val="000000">
                      <w14:alpha w14:val="100000"/>
                    </w14:srgbClr>
                  </w14:solidFill>
                </w14:textFill>
              </w:rPr>
              <w:t>|</w:t>
            </w:r>
            <w:r w:rsidRPr="00924D5E">
              <w:rPr>
                <w:rFonts w:cs="Calibri" w:hint="eastAsia"/>
                <w:b w:val="0"/>
                <w:bCs/>
                <w:color w:val="000000"/>
                <w:spacing w:val="-2"/>
                <w:w w:val="15"/>
                <w:szCs w:val="20"/>
                <w:shd w:val="solid" w:color="000000" w:fill="000000"/>
                <w:fitText w:val="63" w:id="-961835768"/>
                <w:lang w:val="en-AU"/>
                <w14:textFill>
                  <w14:solidFill>
                    <w14:srgbClr w14:val="000000">
                      <w14:alpha w14:val="100000"/>
                    </w14:srgbClr>
                  </w14:solidFill>
                </w14:textFill>
              </w:rPr>
              <w:t xml:space="preserve">　</w:t>
            </w:r>
            <w:r w:rsidR="00807B6F" w:rsidRPr="00233CFE">
              <w:rPr>
                <w:b w:val="0"/>
                <w:bCs/>
                <w:szCs w:val="20"/>
                <w:vertAlign w:val="superscript"/>
                <w:lang w:val="en-AU"/>
              </w:rPr>
              <w:t>2</w:t>
            </w:r>
          </w:p>
        </w:tc>
      </w:tr>
      <w:tr w:rsidR="00687354" w:rsidRPr="00CD4FAB" w14:paraId="0345E7FA" w14:textId="77777777" w:rsidTr="00023485">
        <w:tc>
          <w:tcPr>
            <w:tcW w:w="5000" w:type="pct"/>
            <w:gridSpan w:val="7"/>
            <w:shd w:val="clear" w:color="auto" w:fill="95B3D7" w:themeFill="accent1" w:themeFillTint="99"/>
          </w:tcPr>
          <w:p w14:paraId="4259ACCA" w14:textId="77777777" w:rsidR="00495F6B" w:rsidRPr="00233CFE" w:rsidRDefault="00495F6B" w:rsidP="00023485">
            <w:pPr>
              <w:pStyle w:val="In-tableHeading"/>
              <w:rPr>
                <w:rFonts w:cs="Calibri"/>
                <w:b w:val="0"/>
                <w:bCs/>
                <w:color w:val="000000"/>
                <w:szCs w:val="20"/>
                <w:lang w:val="en-AU"/>
              </w:rPr>
            </w:pPr>
            <w:r w:rsidRPr="00233CFE">
              <w:rPr>
                <w:szCs w:val="20"/>
                <w:lang w:val="en-AU"/>
              </w:rPr>
              <w:t>Estimated financial implications of nivolumab March 2023 submission</w:t>
            </w:r>
          </w:p>
        </w:tc>
      </w:tr>
      <w:tr w:rsidR="00687354" w:rsidRPr="00CD4FAB" w14:paraId="19E07479" w14:textId="77777777" w:rsidTr="00730ECC">
        <w:tc>
          <w:tcPr>
            <w:tcW w:w="1311" w:type="pct"/>
            <w:shd w:val="clear" w:color="auto" w:fill="95B3D7" w:themeFill="accent1" w:themeFillTint="99"/>
          </w:tcPr>
          <w:p w14:paraId="03081100" w14:textId="3E5AD66D" w:rsidR="00495F6B" w:rsidRPr="00233CFE" w:rsidRDefault="00495F6B" w:rsidP="00023485">
            <w:pPr>
              <w:pStyle w:val="In-tableHeading"/>
              <w:rPr>
                <w:b w:val="0"/>
                <w:bCs/>
                <w:szCs w:val="20"/>
                <w:lang w:val="en-AU"/>
              </w:rPr>
            </w:pPr>
            <w:r w:rsidRPr="00233CFE">
              <w:rPr>
                <w:b w:val="0"/>
                <w:bCs/>
                <w:szCs w:val="20"/>
                <w:lang w:val="en-AU"/>
              </w:rPr>
              <w:t>Total cost to the PBS/RPBS, including patient copayments</w:t>
            </w:r>
          </w:p>
        </w:tc>
        <w:tc>
          <w:tcPr>
            <w:tcW w:w="619" w:type="pct"/>
            <w:shd w:val="clear" w:color="auto" w:fill="95B3D7" w:themeFill="accent1" w:themeFillTint="99"/>
            <w:vAlign w:val="center"/>
          </w:tcPr>
          <w:p w14:paraId="6780E352" w14:textId="746AE017" w:rsidR="00495F6B" w:rsidRPr="00D221AB" w:rsidRDefault="00924D5E" w:rsidP="00730ECC">
            <w:pPr>
              <w:pStyle w:val="In-tableHeading"/>
              <w:jc w:val="center"/>
              <w:rPr>
                <w:rFonts w:cs="Calibri"/>
                <w:b w:val="0"/>
                <w:bCs/>
                <w:color w:val="000000"/>
                <w:szCs w:val="20"/>
                <w:highlight w:val="lightGray"/>
                <w:lang w:val="en-AU"/>
              </w:rPr>
            </w:pPr>
            <w:r w:rsidRPr="00924D5E">
              <w:rPr>
                <w:rFonts w:hint="eastAsia"/>
                <w:b w:val="0"/>
                <w:bCs/>
                <w:color w:val="000000"/>
                <w:w w:val="15"/>
                <w:szCs w:val="20"/>
                <w:shd w:val="solid" w:color="000000" w:fill="000000"/>
                <w:fitText w:val="38" w:id="-961835767"/>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5767"/>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5767"/>
                <w:lang w:val="en-AU"/>
                <w14:textFill>
                  <w14:solidFill>
                    <w14:srgbClr w14:val="000000">
                      <w14:alpha w14:val="100000"/>
                    </w14:srgbClr>
                  </w14:solidFill>
                </w14:textFill>
              </w:rPr>
              <w:t xml:space="preserve">　</w:t>
            </w:r>
            <w:r w:rsidR="00807B6F" w:rsidRPr="00233CFE">
              <w:rPr>
                <w:b w:val="0"/>
                <w:bCs/>
                <w:szCs w:val="20"/>
                <w:vertAlign w:val="superscript"/>
                <w:lang w:val="en-AU"/>
              </w:rPr>
              <w:t>5</w:t>
            </w:r>
          </w:p>
        </w:tc>
        <w:tc>
          <w:tcPr>
            <w:tcW w:w="621" w:type="pct"/>
            <w:shd w:val="clear" w:color="auto" w:fill="95B3D7" w:themeFill="accent1" w:themeFillTint="99"/>
            <w:vAlign w:val="center"/>
          </w:tcPr>
          <w:p w14:paraId="569DB514" w14:textId="4D15C297" w:rsidR="00495F6B" w:rsidRPr="00D221AB" w:rsidRDefault="00924D5E" w:rsidP="00730ECC">
            <w:pPr>
              <w:pStyle w:val="In-tableHeading"/>
              <w:jc w:val="center"/>
              <w:rPr>
                <w:rFonts w:cs="Calibri"/>
                <w:b w:val="0"/>
                <w:bCs/>
                <w:color w:val="000000"/>
                <w:szCs w:val="20"/>
                <w:highlight w:val="lightGray"/>
                <w:lang w:val="en-AU"/>
              </w:rPr>
            </w:pPr>
            <w:r w:rsidRPr="00924D5E">
              <w:rPr>
                <w:rFonts w:hint="eastAsia"/>
                <w:b w:val="0"/>
                <w:bCs/>
                <w:color w:val="000000"/>
                <w:w w:val="15"/>
                <w:szCs w:val="20"/>
                <w:shd w:val="solid" w:color="000000" w:fill="000000"/>
                <w:fitText w:val="38" w:id="-961835766"/>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8" w:id="-961835766"/>
                <w:lang w:val="en-AU"/>
                <w14:textFill>
                  <w14:solidFill>
                    <w14:srgbClr w14:val="000000">
                      <w14:alpha w14:val="100000"/>
                    </w14:srgbClr>
                  </w14:solidFill>
                </w14:textFill>
              </w:rPr>
              <w:t>|</w:t>
            </w:r>
            <w:r w:rsidRPr="00924D5E">
              <w:rPr>
                <w:rFonts w:hint="eastAsia"/>
                <w:b w:val="0"/>
                <w:bCs/>
                <w:color w:val="000000"/>
                <w:spacing w:val="-27"/>
                <w:w w:val="15"/>
                <w:szCs w:val="20"/>
                <w:shd w:val="solid" w:color="000000" w:fill="000000"/>
                <w:fitText w:val="38" w:id="-961835766"/>
                <w:lang w:val="en-AU"/>
                <w14:textFill>
                  <w14:solidFill>
                    <w14:srgbClr w14:val="000000">
                      <w14:alpha w14:val="100000"/>
                    </w14:srgbClr>
                  </w14:solidFill>
                </w14:textFill>
              </w:rPr>
              <w:t xml:space="preserve">　</w:t>
            </w:r>
            <w:r w:rsidR="00807B6F" w:rsidRPr="00233CFE">
              <w:rPr>
                <w:b w:val="0"/>
                <w:bCs/>
                <w:szCs w:val="20"/>
                <w:vertAlign w:val="superscript"/>
                <w:lang w:val="en-AU"/>
              </w:rPr>
              <w:t>5</w:t>
            </w:r>
          </w:p>
        </w:tc>
        <w:tc>
          <w:tcPr>
            <w:tcW w:w="619" w:type="pct"/>
            <w:shd w:val="clear" w:color="auto" w:fill="95B3D7" w:themeFill="accent1" w:themeFillTint="99"/>
            <w:vAlign w:val="center"/>
          </w:tcPr>
          <w:p w14:paraId="7B38AD82" w14:textId="0B2FA253" w:rsidR="00495F6B" w:rsidRPr="00D221AB" w:rsidRDefault="00924D5E" w:rsidP="00730ECC">
            <w:pPr>
              <w:pStyle w:val="In-tableHeading"/>
              <w:jc w:val="center"/>
              <w:rPr>
                <w:rFonts w:cs="Calibri"/>
                <w:b w:val="0"/>
                <w:bCs/>
                <w:color w:val="000000"/>
                <w:szCs w:val="20"/>
                <w:highlight w:val="lightGray"/>
                <w:lang w:val="en-AU"/>
              </w:rPr>
            </w:pPr>
            <w:r w:rsidRPr="00924D5E">
              <w:rPr>
                <w:rFonts w:hint="eastAsia"/>
                <w:b w:val="0"/>
                <w:bCs/>
                <w:color w:val="000000"/>
                <w:w w:val="15"/>
                <w:szCs w:val="20"/>
                <w:shd w:val="solid" w:color="000000" w:fill="000000"/>
                <w:fitText w:val="37" w:id="-961835765"/>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5765"/>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5765"/>
                <w:lang w:val="en-AU"/>
                <w14:textFill>
                  <w14:solidFill>
                    <w14:srgbClr w14:val="000000">
                      <w14:alpha w14:val="100000"/>
                    </w14:srgbClr>
                  </w14:solidFill>
                </w14:textFill>
              </w:rPr>
              <w:t xml:space="preserve">　</w:t>
            </w:r>
            <w:r w:rsidR="00807B6F" w:rsidRPr="00233CFE">
              <w:rPr>
                <w:b w:val="0"/>
                <w:bCs/>
                <w:szCs w:val="20"/>
                <w:vertAlign w:val="superscript"/>
                <w:lang w:val="en-AU"/>
              </w:rPr>
              <w:t>5</w:t>
            </w:r>
          </w:p>
        </w:tc>
        <w:tc>
          <w:tcPr>
            <w:tcW w:w="626" w:type="pct"/>
            <w:shd w:val="clear" w:color="auto" w:fill="95B3D7" w:themeFill="accent1" w:themeFillTint="99"/>
            <w:vAlign w:val="center"/>
          </w:tcPr>
          <w:p w14:paraId="48654DFC" w14:textId="2BE77EFA" w:rsidR="00495F6B" w:rsidRPr="00D221AB" w:rsidRDefault="00924D5E" w:rsidP="00730ECC">
            <w:pPr>
              <w:pStyle w:val="In-tableHeading"/>
              <w:jc w:val="center"/>
              <w:rPr>
                <w:rFonts w:cs="Calibri"/>
                <w:b w:val="0"/>
                <w:bCs/>
                <w:color w:val="000000"/>
                <w:szCs w:val="20"/>
                <w:highlight w:val="lightGray"/>
                <w:lang w:val="en-AU"/>
              </w:rPr>
            </w:pPr>
            <w:r w:rsidRPr="006E162D">
              <w:rPr>
                <w:rFonts w:hint="eastAsia"/>
                <w:b w:val="0"/>
                <w:bCs/>
                <w:color w:val="000000"/>
                <w:w w:val="15"/>
                <w:szCs w:val="20"/>
                <w:shd w:val="solid" w:color="000000" w:fill="000000"/>
                <w:fitText w:val="25" w:id="-961835764"/>
                <w:lang w:val="en-AU"/>
                <w14:textFill>
                  <w14:solidFill>
                    <w14:srgbClr w14:val="000000">
                      <w14:alpha w14:val="100000"/>
                    </w14:srgbClr>
                  </w14:solidFill>
                </w14:textFill>
              </w:rPr>
              <w:t xml:space="preserve">　</w:t>
            </w:r>
            <w:r w:rsidRPr="006E162D">
              <w:rPr>
                <w:b w:val="0"/>
                <w:bCs/>
                <w:color w:val="000000"/>
                <w:w w:val="15"/>
                <w:szCs w:val="20"/>
                <w:shd w:val="solid" w:color="000000" w:fill="000000"/>
                <w:fitText w:val="25" w:id="-961835764"/>
                <w:lang w:val="en-AU"/>
                <w14:textFill>
                  <w14:solidFill>
                    <w14:srgbClr w14:val="000000">
                      <w14:alpha w14:val="100000"/>
                    </w14:srgbClr>
                  </w14:solidFill>
                </w14:textFill>
              </w:rPr>
              <w:t>|</w:t>
            </w:r>
            <w:r w:rsidRPr="006E162D">
              <w:rPr>
                <w:rFonts w:hint="eastAsia"/>
                <w:b w:val="0"/>
                <w:bCs/>
                <w:color w:val="000000"/>
                <w:spacing w:val="-41"/>
                <w:w w:val="15"/>
                <w:szCs w:val="20"/>
                <w:shd w:val="solid" w:color="000000" w:fill="000000"/>
                <w:fitText w:val="25" w:id="-961835764"/>
                <w:lang w:val="en-AU"/>
                <w14:textFill>
                  <w14:solidFill>
                    <w14:srgbClr w14:val="000000">
                      <w14:alpha w14:val="100000"/>
                    </w14:srgbClr>
                  </w14:solidFill>
                </w14:textFill>
              </w:rPr>
              <w:t xml:space="preserve">　</w:t>
            </w:r>
            <w:r w:rsidR="00807B6F" w:rsidRPr="00233CFE">
              <w:rPr>
                <w:b w:val="0"/>
                <w:bCs/>
                <w:szCs w:val="20"/>
                <w:vertAlign w:val="superscript"/>
                <w:lang w:val="en-AU"/>
              </w:rPr>
              <w:t>5</w:t>
            </w:r>
          </w:p>
        </w:tc>
        <w:tc>
          <w:tcPr>
            <w:tcW w:w="619" w:type="pct"/>
            <w:shd w:val="clear" w:color="auto" w:fill="95B3D7" w:themeFill="accent1" w:themeFillTint="99"/>
            <w:vAlign w:val="center"/>
          </w:tcPr>
          <w:p w14:paraId="716D9CD4" w14:textId="1620456D" w:rsidR="00495F6B" w:rsidRPr="00D221AB" w:rsidRDefault="00924D5E" w:rsidP="00730ECC">
            <w:pPr>
              <w:pStyle w:val="In-tableHeading"/>
              <w:jc w:val="center"/>
              <w:rPr>
                <w:rFonts w:cs="Calibri"/>
                <w:b w:val="0"/>
                <w:bCs/>
                <w:color w:val="000000"/>
                <w:szCs w:val="20"/>
                <w:highlight w:val="lightGray"/>
                <w:lang w:val="en-AU"/>
              </w:rPr>
            </w:pPr>
            <w:r w:rsidRPr="00924D5E">
              <w:rPr>
                <w:rFonts w:hint="eastAsia"/>
                <w:b w:val="0"/>
                <w:bCs/>
                <w:color w:val="000000"/>
                <w:w w:val="15"/>
                <w:szCs w:val="20"/>
                <w:shd w:val="solid" w:color="000000" w:fill="000000"/>
                <w:fitText w:val="37" w:id="-961835763"/>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37" w:id="-961835763"/>
                <w:lang w:val="en-AU"/>
                <w14:textFill>
                  <w14:solidFill>
                    <w14:srgbClr w14:val="000000">
                      <w14:alpha w14:val="100000"/>
                    </w14:srgbClr>
                  </w14:solidFill>
                </w14:textFill>
              </w:rPr>
              <w:t>|</w:t>
            </w:r>
            <w:r w:rsidRPr="00924D5E">
              <w:rPr>
                <w:rFonts w:hint="eastAsia"/>
                <w:b w:val="0"/>
                <w:bCs/>
                <w:color w:val="000000"/>
                <w:spacing w:val="-28"/>
                <w:w w:val="15"/>
                <w:szCs w:val="20"/>
                <w:shd w:val="solid" w:color="000000" w:fill="000000"/>
                <w:fitText w:val="37" w:id="-961835763"/>
                <w:lang w:val="en-AU"/>
                <w14:textFill>
                  <w14:solidFill>
                    <w14:srgbClr w14:val="000000">
                      <w14:alpha w14:val="100000"/>
                    </w14:srgbClr>
                  </w14:solidFill>
                </w14:textFill>
              </w:rPr>
              <w:t xml:space="preserve">　</w:t>
            </w:r>
            <w:r w:rsidR="00807B6F" w:rsidRPr="00233CFE">
              <w:rPr>
                <w:b w:val="0"/>
                <w:bCs/>
                <w:szCs w:val="20"/>
                <w:vertAlign w:val="superscript"/>
                <w:lang w:val="en-AU"/>
              </w:rPr>
              <w:t>5</w:t>
            </w:r>
          </w:p>
        </w:tc>
        <w:tc>
          <w:tcPr>
            <w:tcW w:w="585" w:type="pct"/>
            <w:shd w:val="clear" w:color="auto" w:fill="95B3D7" w:themeFill="accent1" w:themeFillTint="99"/>
            <w:vAlign w:val="center"/>
          </w:tcPr>
          <w:p w14:paraId="15265A85" w14:textId="32274D9D" w:rsidR="00495F6B" w:rsidRPr="00D221AB" w:rsidRDefault="00924D5E" w:rsidP="00730ECC">
            <w:pPr>
              <w:pStyle w:val="In-tableHeading"/>
              <w:jc w:val="center"/>
              <w:rPr>
                <w:rFonts w:cs="Calibri"/>
                <w:b w:val="0"/>
                <w:bCs/>
                <w:color w:val="000000"/>
                <w:szCs w:val="20"/>
                <w:highlight w:val="lightGray"/>
                <w:lang w:val="en-AU"/>
              </w:rPr>
            </w:pPr>
            <w:r w:rsidRPr="00924D5E">
              <w:rPr>
                <w:rFonts w:hint="eastAsia"/>
                <w:b w:val="0"/>
                <w:bCs/>
                <w:color w:val="000000"/>
                <w:w w:val="15"/>
                <w:szCs w:val="20"/>
                <w:shd w:val="solid" w:color="000000" w:fill="000000"/>
                <w:fitText w:val="63" w:id="-961835520"/>
                <w:lang w:val="en-AU"/>
                <w14:textFill>
                  <w14:solidFill>
                    <w14:srgbClr w14:val="000000">
                      <w14:alpha w14:val="100000"/>
                    </w14:srgbClr>
                  </w14:solidFill>
                </w14:textFill>
              </w:rPr>
              <w:t xml:space="preserve">　</w:t>
            </w:r>
            <w:r w:rsidRPr="00924D5E">
              <w:rPr>
                <w:b w:val="0"/>
                <w:bCs/>
                <w:color w:val="000000"/>
                <w:w w:val="15"/>
                <w:szCs w:val="20"/>
                <w:shd w:val="solid" w:color="000000" w:fill="000000"/>
                <w:fitText w:val="63" w:id="-961835520"/>
                <w:lang w:val="en-AU"/>
                <w14:textFill>
                  <w14:solidFill>
                    <w14:srgbClr w14:val="000000">
                      <w14:alpha w14:val="100000"/>
                    </w14:srgbClr>
                  </w14:solidFill>
                </w14:textFill>
              </w:rPr>
              <w:t>|</w:t>
            </w:r>
            <w:r w:rsidRPr="00924D5E">
              <w:rPr>
                <w:rFonts w:hint="eastAsia"/>
                <w:b w:val="0"/>
                <w:bCs/>
                <w:color w:val="000000"/>
                <w:spacing w:val="-2"/>
                <w:w w:val="15"/>
                <w:szCs w:val="20"/>
                <w:shd w:val="solid" w:color="000000" w:fill="000000"/>
                <w:fitText w:val="63" w:id="-961835520"/>
                <w:lang w:val="en-AU"/>
                <w14:textFill>
                  <w14:solidFill>
                    <w14:srgbClr w14:val="000000">
                      <w14:alpha w14:val="100000"/>
                    </w14:srgbClr>
                  </w14:solidFill>
                </w14:textFill>
              </w:rPr>
              <w:t xml:space="preserve">　</w:t>
            </w:r>
            <w:r w:rsidR="00807B6F" w:rsidRPr="00233CFE">
              <w:rPr>
                <w:b w:val="0"/>
                <w:bCs/>
                <w:szCs w:val="20"/>
                <w:vertAlign w:val="superscript"/>
                <w:lang w:val="en-AU"/>
              </w:rPr>
              <w:t>5</w:t>
            </w:r>
          </w:p>
        </w:tc>
      </w:tr>
    </w:tbl>
    <w:p w14:paraId="5E0A74F8" w14:textId="3CC6C6D5" w:rsidR="00495F6B" w:rsidRPr="00233CFE" w:rsidRDefault="00495F6B" w:rsidP="00D221AB">
      <w:pPr>
        <w:pStyle w:val="TableFooter"/>
        <w:jc w:val="both"/>
        <w:rPr>
          <w:szCs w:val="18"/>
        </w:rPr>
      </w:pPr>
      <w:r w:rsidRPr="00233CFE">
        <w:rPr>
          <w:szCs w:val="18"/>
        </w:rPr>
        <w:t xml:space="preserve">Source: </w:t>
      </w:r>
      <w:r w:rsidR="004D4FAF" w:rsidRPr="00233CFE">
        <w:rPr>
          <w:iCs/>
          <w:szCs w:val="18"/>
        </w:rPr>
        <w:t xml:space="preserve">PSCR attached </w:t>
      </w:r>
      <w:r w:rsidR="002E5B2A" w:rsidRPr="00233CFE">
        <w:rPr>
          <w:iCs/>
          <w:szCs w:val="18"/>
        </w:rPr>
        <w:t>workbooks</w:t>
      </w:r>
      <w:r w:rsidR="004D4FAF" w:rsidRPr="00233CFE">
        <w:rPr>
          <w:iCs/>
          <w:szCs w:val="18"/>
        </w:rPr>
        <w:t>.</w:t>
      </w:r>
      <w:r w:rsidRPr="00233CFE">
        <w:rPr>
          <w:szCs w:val="18"/>
        </w:rPr>
        <w:t xml:space="preserve"> </w:t>
      </w:r>
      <w:r w:rsidR="008652F2" w:rsidRPr="00233CFE">
        <w:rPr>
          <w:szCs w:val="18"/>
        </w:rPr>
        <w:t xml:space="preserve">Table 4, nivolumab </w:t>
      </w:r>
      <w:r w:rsidR="00436D30" w:rsidRPr="00233CFE">
        <w:rPr>
          <w:szCs w:val="18"/>
        </w:rPr>
        <w:t>PSD</w:t>
      </w:r>
      <w:r w:rsidR="008652F2" w:rsidRPr="00233CFE">
        <w:rPr>
          <w:szCs w:val="18"/>
        </w:rPr>
        <w:t>, July 2023 PBAC Meeting.</w:t>
      </w:r>
    </w:p>
    <w:p w14:paraId="410AEF98" w14:textId="5D973431" w:rsidR="00C6618A" w:rsidRPr="00233CFE" w:rsidRDefault="00C6618A" w:rsidP="00D221AB">
      <w:pPr>
        <w:pStyle w:val="TableFooter"/>
        <w:jc w:val="both"/>
        <w:rPr>
          <w:szCs w:val="18"/>
        </w:rPr>
      </w:pPr>
      <w:r w:rsidRPr="00233CFE">
        <w:rPr>
          <w:szCs w:val="18"/>
        </w:rPr>
        <w:t>AEMP = approved ex-manufacturer price</w:t>
      </w:r>
    </w:p>
    <w:p w14:paraId="7CC27004" w14:textId="0954758F" w:rsidR="00F37FF0" w:rsidRPr="00233CFE" w:rsidRDefault="00495F6B" w:rsidP="00D221AB">
      <w:pPr>
        <w:pStyle w:val="FooterTableFigure"/>
        <w:spacing w:after="0"/>
        <w:jc w:val="both"/>
        <w:rPr>
          <w:szCs w:val="18"/>
        </w:rPr>
      </w:pPr>
      <w:proofErr w:type="spellStart"/>
      <w:r w:rsidRPr="00233CFE">
        <w:rPr>
          <w:szCs w:val="18"/>
          <w:vertAlign w:val="superscript"/>
        </w:rPr>
        <w:t>a</w:t>
      </w:r>
      <w:proofErr w:type="spellEnd"/>
      <w:r w:rsidRPr="00233CFE">
        <w:rPr>
          <w:szCs w:val="18"/>
          <w:vertAlign w:val="superscript"/>
        </w:rPr>
        <w:t xml:space="preserve"> </w:t>
      </w:r>
      <w:r w:rsidRPr="00233CFE">
        <w:rPr>
          <w:szCs w:val="18"/>
        </w:rPr>
        <w:t xml:space="preserve"> Compared to March 2023 submission this includes additional patients for: adjuvant Stage II-IIIA, PD-L1 &gt;50% atezolizumab Year 1 = </w:t>
      </w:r>
      <w:r w:rsidR="00304D17" w:rsidRPr="00162C9D">
        <w:rPr>
          <w:rFonts w:cstheme="minorHAnsi"/>
          <w:bCs/>
          <w:szCs w:val="18"/>
          <w:lang w:eastAsia="en-AU"/>
        </w:rPr>
        <w:t>&lt;</w:t>
      </w:r>
      <w:r w:rsidR="00717AF2">
        <w:rPr>
          <w:rFonts w:cstheme="minorHAnsi"/>
          <w:bCs/>
          <w:szCs w:val="18"/>
          <w:lang w:eastAsia="en-AU"/>
        </w:rPr>
        <w:t> </w:t>
      </w:r>
      <w:r w:rsidR="00304D17" w:rsidRPr="00162C9D">
        <w:rPr>
          <w:rFonts w:cstheme="minorHAnsi"/>
          <w:bCs/>
          <w:szCs w:val="18"/>
          <w:lang w:eastAsia="en-AU"/>
        </w:rPr>
        <w:t>500</w:t>
      </w:r>
      <w:r w:rsidRPr="00233CFE">
        <w:rPr>
          <w:szCs w:val="18"/>
        </w:rPr>
        <w:t xml:space="preserve">, Year 2 = </w:t>
      </w:r>
      <w:r w:rsidR="00304D17" w:rsidRPr="00162C9D">
        <w:rPr>
          <w:rFonts w:cstheme="minorHAnsi"/>
          <w:bCs/>
          <w:szCs w:val="18"/>
          <w:lang w:eastAsia="en-AU"/>
        </w:rPr>
        <w:t>&lt; 500</w:t>
      </w:r>
      <w:r w:rsidRPr="00233CFE">
        <w:rPr>
          <w:szCs w:val="18"/>
        </w:rPr>
        <w:t xml:space="preserve">, Year 3 = </w:t>
      </w:r>
      <w:r w:rsidR="00304D17" w:rsidRPr="00162C9D">
        <w:rPr>
          <w:rFonts w:cstheme="minorHAnsi"/>
          <w:bCs/>
          <w:szCs w:val="18"/>
          <w:lang w:eastAsia="en-AU"/>
        </w:rPr>
        <w:t>&lt; 500</w:t>
      </w:r>
      <w:r w:rsidRPr="00233CFE">
        <w:rPr>
          <w:szCs w:val="18"/>
        </w:rPr>
        <w:t xml:space="preserve">, Year 4 = </w:t>
      </w:r>
      <w:r w:rsidR="00304D17" w:rsidRPr="00162C9D">
        <w:rPr>
          <w:rFonts w:cstheme="minorHAnsi"/>
          <w:bCs/>
          <w:szCs w:val="18"/>
          <w:lang w:eastAsia="en-AU"/>
        </w:rPr>
        <w:t>&lt; 500</w:t>
      </w:r>
      <w:r w:rsidRPr="00233CFE">
        <w:rPr>
          <w:szCs w:val="18"/>
        </w:rPr>
        <w:t xml:space="preserve">, Year 5 = </w:t>
      </w:r>
      <w:r w:rsidR="00304D17" w:rsidRPr="00162C9D">
        <w:rPr>
          <w:rFonts w:cstheme="minorHAnsi"/>
          <w:bCs/>
          <w:szCs w:val="18"/>
          <w:lang w:eastAsia="en-AU"/>
        </w:rPr>
        <w:t>&lt; 500</w:t>
      </w:r>
      <w:r w:rsidRPr="00233CFE">
        <w:rPr>
          <w:szCs w:val="18"/>
        </w:rPr>
        <w:t xml:space="preserve">, Year 6 = </w:t>
      </w:r>
      <w:r w:rsidR="00304D17" w:rsidRPr="00162C9D">
        <w:rPr>
          <w:rFonts w:cstheme="minorHAnsi"/>
          <w:bCs/>
          <w:szCs w:val="18"/>
          <w:lang w:eastAsia="en-AU"/>
        </w:rPr>
        <w:t>&lt; 500</w:t>
      </w:r>
      <w:r w:rsidRPr="00233CFE">
        <w:rPr>
          <w:szCs w:val="18"/>
        </w:rPr>
        <w:t xml:space="preserve">); unresectable stage III use of durvalumab Year 1 = </w:t>
      </w:r>
      <w:r w:rsidR="00304D17" w:rsidRPr="00162C9D">
        <w:rPr>
          <w:rFonts w:cstheme="minorHAnsi"/>
          <w:bCs/>
          <w:szCs w:val="18"/>
          <w:lang w:eastAsia="en-AU"/>
        </w:rPr>
        <w:t>&lt; 500</w:t>
      </w:r>
      <w:r w:rsidRPr="00233CFE">
        <w:rPr>
          <w:szCs w:val="18"/>
        </w:rPr>
        <w:t xml:space="preserve">, Year 2 = </w:t>
      </w:r>
      <w:r w:rsidR="00304D17" w:rsidRPr="00162C9D">
        <w:rPr>
          <w:rFonts w:cstheme="minorHAnsi"/>
          <w:bCs/>
          <w:szCs w:val="18"/>
          <w:lang w:eastAsia="en-AU"/>
        </w:rPr>
        <w:t>&lt; 500</w:t>
      </w:r>
      <w:r w:rsidRPr="00233CFE">
        <w:rPr>
          <w:szCs w:val="18"/>
        </w:rPr>
        <w:t xml:space="preserve">, Year 3 = </w:t>
      </w:r>
      <w:r w:rsidR="00304D17" w:rsidRPr="00162C9D">
        <w:rPr>
          <w:rFonts w:cstheme="minorHAnsi"/>
          <w:bCs/>
          <w:szCs w:val="18"/>
          <w:lang w:eastAsia="en-AU"/>
        </w:rPr>
        <w:t>&lt; 500</w:t>
      </w:r>
      <w:r w:rsidRPr="00233CFE">
        <w:rPr>
          <w:szCs w:val="18"/>
        </w:rPr>
        <w:t xml:space="preserve">, Year 4 = </w:t>
      </w:r>
      <w:r w:rsidR="00304D17" w:rsidRPr="00162C9D">
        <w:rPr>
          <w:rFonts w:cstheme="minorHAnsi"/>
          <w:bCs/>
          <w:szCs w:val="18"/>
          <w:lang w:eastAsia="en-AU"/>
        </w:rPr>
        <w:t>&lt; 500</w:t>
      </w:r>
      <w:r w:rsidRPr="00233CFE">
        <w:rPr>
          <w:szCs w:val="18"/>
        </w:rPr>
        <w:t xml:space="preserve">, Year 5 = </w:t>
      </w:r>
      <w:r w:rsidR="00304D17" w:rsidRPr="00162C9D">
        <w:rPr>
          <w:rFonts w:cstheme="minorHAnsi"/>
          <w:bCs/>
          <w:szCs w:val="18"/>
          <w:lang w:eastAsia="en-AU"/>
        </w:rPr>
        <w:t>&lt; 500</w:t>
      </w:r>
      <w:r w:rsidRPr="00233CFE">
        <w:rPr>
          <w:szCs w:val="18"/>
        </w:rPr>
        <w:t xml:space="preserve">, Year 6 = </w:t>
      </w:r>
      <w:r w:rsidR="00304D17" w:rsidRPr="00162C9D">
        <w:rPr>
          <w:rFonts w:cstheme="minorHAnsi"/>
          <w:bCs/>
          <w:szCs w:val="18"/>
          <w:lang w:eastAsia="en-AU"/>
        </w:rPr>
        <w:t>&lt; 500</w:t>
      </w:r>
      <w:r w:rsidRPr="00233CFE">
        <w:rPr>
          <w:szCs w:val="18"/>
        </w:rPr>
        <w:t xml:space="preserve">) </w:t>
      </w:r>
    </w:p>
    <w:p w14:paraId="41B013ED" w14:textId="77777777" w:rsidR="00F23D76" w:rsidRPr="00D221AB" w:rsidRDefault="00F23D76" w:rsidP="00D221AB">
      <w:pPr>
        <w:jc w:val="both"/>
        <w:rPr>
          <w:rFonts w:ascii="Arial Narrow" w:hAnsi="Arial Narrow" w:cstheme="minorHAnsi"/>
          <w:bCs/>
          <w:i/>
          <w:iCs/>
          <w:sz w:val="18"/>
          <w:szCs w:val="18"/>
          <w:lang w:eastAsia="en-AU"/>
        </w:rPr>
      </w:pPr>
      <w:r w:rsidRPr="00D221AB">
        <w:rPr>
          <w:rFonts w:ascii="Arial Narrow" w:hAnsi="Arial Narrow" w:cstheme="minorHAnsi"/>
          <w:bCs/>
          <w:i/>
          <w:iCs/>
          <w:sz w:val="18"/>
          <w:szCs w:val="18"/>
          <w:lang w:eastAsia="en-AU"/>
        </w:rPr>
        <w:t xml:space="preserve">The redacted values correspond to the following ranges: </w:t>
      </w:r>
    </w:p>
    <w:p w14:paraId="1AF936DA" w14:textId="6CB3640B" w:rsidR="00F23D76" w:rsidRPr="00D221AB" w:rsidRDefault="00F23D76" w:rsidP="00D221AB">
      <w:pPr>
        <w:jc w:val="both"/>
        <w:rPr>
          <w:rFonts w:ascii="Arial Narrow" w:hAnsi="Arial Narrow" w:cstheme="minorHAnsi"/>
          <w:bCs/>
          <w:i/>
          <w:iCs/>
          <w:sz w:val="18"/>
          <w:szCs w:val="18"/>
          <w:lang w:eastAsia="en-AU"/>
        </w:rPr>
      </w:pPr>
      <w:r w:rsidRPr="00D221AB">
        <w:rPr>
          <w:rFonts w:ascii="Arial Narrow" w:hAnsi="Arial Narrow" w:cstheme="minorHAnsi"/>
          <w:bCs/>
          <w:i/>
          <w:iCs/>
          <w:sz w:val="18"/>
          <w:szCs w:val="18"/>
          <w:vertAlign w:val="superscript"/>
          <w:lang w:eastAsia="en-AU"/>
        </w:rPr>
        <w:t>1</w:t>
      </w:r>
      <w:r w:rsidRPr="00D221AB">
        <w:rPr>
          <w:rFonts w:ascii="Arial Narrow" w:hAnsi="Arial Narrow" w:cstheme="minorHAnsi"/>
          <w:bCs/>
          <w:sz w:val="18"/>
          <w:szCs w:val="18"/>
          <w:lang w:eastAsia="en-AU"/>
        </w:rPr>
        <w:t xml:space="preserve"> &lt; 500</w:t>
      </w:r>
    </w:p>
    <w:p w14:paraId="65BA152C" w14:textId="26E33DEE" w:rsidR="00F23D76" w:rsidRPr="00D221AB" w:rsidRDefault="00F23D76" w:rsidP="00D221AB">
      <w:pPr>
        <w:jc w:val="both"/>
        <w:rPr>
          <w:rFonts w:ascii="Arial Narrow" w:hAnsi="Arial Narrow" w:cstheme="minorHAnsi"/>
          <w:bCs/>
          <w:i/>
          <w:iCs/>
          <w:sz w:val="18"/>
          <w:szCs w:val="18"/>
          <w:lang w:eastAsia="en-AU"/>
        </w:rPr>
      </w:pPr>
      <w:r w:rsidRPr="00D221AB">
        <w:rPr>
          <w:rFonts w:ascii="Arial Narrow" w:hAnsi="Arial Narrow" w:cstheme="minorHAnsi"/>
          <w:bCs/>
          <w:i/>
          <w:iCs/>
          <w:sz w:val="18"/>
          <w:szCs w:val="18"/>
          <w:vertAlign w:val="superscript"/>
          <w:lang w:eastAsia="en-AU"/>
        </w:rPr>
        <w:t>2</w:t>
      </w:r>
      <w:r w:rsidRPr="00D221AB">
        <w:rPr>
          <w:rFonts w:ascii="Arial Narrow" w:hAnsi="Arial Narrow" w:cstheme="minorHAnsi"/>
          <w:bCs/>
          <w:i/>
          <w:iCs/>
          <w:sz w:val="18"/>
          <w:szCs w:val="18"/>
          <w:lang w:eastAsia="en-AU"/>
        </w:rPr>
        <w:t xml:space="preserve"> </w:t>
      </w:r>
      <w:r w:rsidR="00807B6F" w:rsidRPr="00D221AB">
        <w:rPr>
          <w:rFonts w:ascii="Arial Narrow" w:hAnsi="Arial Narrow" w:cstheme="minorHAnsi"/>
          <w:bCs/>
          <w:i/>
          <w:iCs/>
          <w:sz w:val="18"/>
          <w:szCs w:val="18"/>
          <w:lang w:eastAsia="en-AU"/>
        </w:rPr>
        <w:t>500 to &lt; 5,000</w:t>
      </w:r>
    </w:p>
    <w:p w14:paraId="2ECB19DE" w14:textId="51062CDC" w:rsidR="00F23D76" w:rsidRPr="00D221AB" w:rsidRDefault="00F23D76" w:rsidP="00D221AB">
      <w:pPr>
        <w:jc w:val="both"/>
        <w:rPr>
          <w:rFonts w:ascii="Arial Narrow" w:hAnsi="Arial Narrow" w:cstheme="minorHAnsi"/>
          <w:bCs/>
          <w:i/>
          <w:iCs/>
          <w:sz w:val="18"/>
          <w:szCs w:val="18"/>
          <w:lang w:eastAsia="en-AU"/>
        </w:rPr>
      </w:pPr>
      <w:r w:rsidRPr="00D221AB">
        <w:rPr>
          <w:rFonts w:ascii="Arial Narrow" w:hAnsi="Arial Narrow" w:cstheme="minorHAnsi"/>
          <w:bCs/>
          <w:i/>
          <w:iCs/>
          <w:sz w:val="18"/>
          <w:szCs w:val="18"/>
          <w:vertAlign w:val="superscript"/>
          <w:lang w:eastAsia="en-AU"/>
        </w:rPr>
        <w:t>3</w:t>
      </w:r>
      <w:r w:rsidRPr="00D221AB">
        <w:rPr>
          <w:rFonts w:ascii="Arial Narrow" w:hAnsi="Arial Narrow" w:cstheme="minorHAnsi"/>
          <w:bCs/>
          <w:i/>
          <w:iCs/>
          <w:sz w:val="18"/>
          <w:szCs w:val="18"/>
          <w:lang w:eastAsia="en-AU"/>
        </w:rPr>
        <w:t xml:space="preserve"> </w:t>
      </w:r>
      <w:r w:rsidR="00807B6F" w:rsidRPr="00D221AB">
        <w:rPr>
          <w:rFonts w:ascii="Arial Narrow" w:hAnsi="Arial Narrow" w:cstheme="minorHAnsi"/>
          <w:bCs/>
          <w:i/>
          <w:iCs/>
          <w:sz w:val="18"/>
          <w:szCs w:val="18"/>
          <w:lang w:eastAsia="en-AU"/>
        </w:rPr>
        <w:t>$10 million to &lt; $20 million</w:t>
      </w:r>
    </w:p>
    <w:p w14:paraId="40AC2E2B" w14:textId="00B69E1E" w:rsidR="00F23D76" w:rsidRPr="00D221AB" w:rsidRDefault="00F23D76" w:rsidP="00D221AB">
      <w:pPr>
        <w:jc w:val="both"/>
        <w:rPr>
          <w:rFonts w:ascii="Arial Narrow" w:hAnsi="Arial Narrow" w:cstheme="minorHAnsi"/>
          <w:bCs/>
          <w:i/>
          <w:iCs/>
          <w:sz w:val="18"/>
          <w:szCs w:val="18"/>
          <w:lang w:eastAsia="en-AU"/>
        </w:rPr>
      </w:pPr>
      <w:r w:rsidRPr="00D221AB">
        <w:rPr>
          <w:rFonts w:ascii="Arial Narrow" w:hAnsi="Arial Narrow" w:cstheme="minorHAnsi"/>
          <w:bCs/>
          <w:i/>
          <w:iCs/>
          <w:sz w:val="18"/>
          <w:szCs w:val="18"/>
          <w:vertAlign w:val="superscript"/>
          <w:lang w:eastAsia="en-AU"/>
        </w:rPr>
        <w:t>4</w:t>
      </w:r>
      <w:r w:rsidRPr="00D221AB">
        <w:rPr>
          <w:rFonts w:ascii="Arial Narrow" w:hAnsi="Arial Narrow" w:cstheme="minorHAnsi"/>
          <w:bCs/>
          <w:i/>
          <w:iCs/>
          <w:sz w:val="18"/>
          <w:szCs w:val="18"/>
          <w:lang w:eastAsia="en-AU"/>
        </w:rPr>
        <w:t xml:space="preserve"> </w:t>
      </w:r>
      <w:r w:rsidR="00807B6F" w:rsidRPr="00D221AB">
        <w:rPr>
          <w:rFonts w:ascii="Arial Narrow" w:hAnsi="Arial Narrow" w:cstheme="minorHAnsi"/>
          <w:bCs/>
          <w:i/>
          <w:iCs/>
          <w:sz w:val="18"/>
          <w:szCs w:val="18"/>
          <w:lang w:eastAsia="en-AU"/>
        </w:rPr>
        <w:t>$20 million to &lt; $30 million</w:t>
      </w:r>
    </w:p>
    <w:p w14:paraId="38C03B4F" w14:textId="082EA580" w:rsidR="00F23D76" w:rsidRPr="00CD4FAB" w:rsidRDefault="00F23D76" w:rsidP="00D221AB">
      <w:pPr>
        <w:spacing w:after="120"/>
        <w:jc w:val="both"/>
      </w:pPr>
      <w:r w:rsidRPr="00D221AB">
        <w:rPr>
          <w:rFonts w:ascii="Arial Narrow" w:hAnsi="Arial Narrow" w:cstheme="minorHAnsi"/>
          <w:bCs/>
          <w:i/>
          <w:iCs/>
          <w:sz w:val="18"/>
          <w:szCs w:val="18"/>
          <w:vertAlign w:val="superscript"/>
          <w:lang w:eastAsia="en-AU"/>
        </w:rPr>
        <w:t>5</w:t>
      </w:r>
      <w:r w:rsidRPr="00D221AB">
        <w:rPr>
          <w:rFonts w:ascii="Arial Narrow" w:hAnsi="Arial Narrow" w:cstheme="minorHAnsi"/>
          <w:bCs/>
          <w:i/>
          <w:iCs/>
          <w:sz w:val="18"/>
          <w:szCs w:val="18"/>
          <w:lang w:eastAsia="en-AU"/>
        </w:rPr>
        <w:t xml:space="preserve"> </w:t>
      </w:r>
      <w:r w:rsidR="00807B6F" w:rsidRPr="00D221AB">
        <w:rPr>
          <w:rFonts w:ascii="Arial Narrow" w:hAnsi="Arial Narrow" w:cstheme="minorHAnsi"/>
          <w:bCs/>
          <w:i/>
          <w:iCs/>
          <w:sz w:val="18"/>
          <w:szCs w:val="18"/>
          <w:lang w:eastAsia="en-AU"/>
        </w:rPr>
        <w:t>$30 million to &lt; $40 million</w:t>
      </w:r>
    </w:p>
    <w:p w14:paraId="74C36005" w14:textId="623155D3" w:rsidR="00405FFC" w:rsidRPr="00CD4FAB" w:rsidRDefault="00495F6B" w:rsidP="00495F6B">
      <w:pPr>
        <w:pStyle w:val="3-BodyText"/>
      </w:pPr>
      <w:r w:rsidRPr="00CD4FAB">
        <w:t>T</w:t>
      </w:r>
      <w:r w:rsidR="00405FFC" w:rsidRPr="00CD4FAB">
        <w:t>he estimated financial implications for reduced use of immunotherapies in other settings over the 3 submissions are presented separately in</w:t>
      </w:r>
      <w:r w:rsidR="008A2BBB" w:rsidRPr="00CD4FAB">
        <w:t xml:space="preserve"> </w:t>
      </w:r>
      <w:r w:rsidR="008A2BBB" w:rsidRPr="00CD4FAB">
        <w:fldChar w:fldCharType="begin" w:fldLock="1"/>
      </w:r>
      <w:r w:rsidR="008A2BBB" w:rsidRPr="00CD4FAB">
        <w:instrText xml:space="preserve"> REF _Ref156559144 \h </w:instrText>
      </w:r>
      <w:r w:rsidR="008A2BBB" w:rsidRPr="00CD4FAB">
        <w:fldChar w:fldCharType="separate"/>
      </w:r>
      <w:r w:rsidR="00885DA7" w:rsidRPr="00CD4FAB">
        <w:t xml:space="preserve">Table </w:t>
      </w:r>
      <w:r w:rsidR="00885DA7">
        <w:rPr>
          <w:noProof/>
        </w:rPr>
        <w:t>10</w:t>
      </w:r>
      <w:r w:rsidR="008A2BBB" w:rsidRPr="00CD4FAB">
        <w:fldChar w:fldCharType="end"/>
      </w:r>
      <w:r w:rsidR="00885B14" w:rsidRPr="00CD4FAB">
        <w:t xml:space="preserve"> </w:t>
      </w:r>
      <w:r w:rsidR="008A2BBB" w:rsidRPr="00CD4FAB">
        <w:t xml:space="preserve">and </w:t>
      </w:r>
      <w:r w:rsidR="008A2BBB" w:rsidRPr="00CD4FAB">
        <w:fldChar w:fldCharType="begin" w:fldLock="1"/>
      </w:r>
      <w:r w:rsidR="008A2BBB" w:rsidRPr="00CD4FAB">
        <w:instrText xml:space="preserve"> REF _Ref156559155 \h </w:instrText>
      </w:r>
      <w:r w:rsidR="008A2BBB" w:rsidRPr="00CD4FAB">
        <w:fldChar w:fldCharType="separate"/>
      </w:r>
      <w:r w:rsidR="00885DA7" w:rsidRPr="00CD4FAB">
        <w:t xml:space="preserve">Table </w:t>
      </w:r>
      <w:r w:rsidR="00885DA7">
        <w:rPr>
          <w:noProof/>
        </w:rPr>
        <w:t>11</w:t>
      </w:r>
      <w:r w:rsidR="008A2BBB" w:rsidRPr="00CD4FAB">
        <w:fldChar w:fldCharType="end"/>
      </w:r>
      <w:r w:rsidR="008A2BBB" w:rsidRPr="00CD4FAB">
        <w:t>.</w:t>
      </w:r>
      <w:r w:rsidRPr="00CD4FAB">
        <w:t xml:space="preserve"> </w:t>
      </w:r>
      <w:r w:rsidR="006C1D33" w:rsidRPr="00CD4FAB">
        <w:t>The ESC noted these estimates use the published prices for atezolizumab</w:t>
      </w:r>
      <w:r w:rsidR="005C57D0" w:rsidRPr="00CD4FAB">
        <w:t xml:space="preserve"> and</w:t>
      </w:r>
      <w:r w:rsidR="006C1D33" w:rsidRPr="00CD4FAB">
        <w:t xml:space="preserve"> durvalumab </w:t>
      </w:r>
      <w:r w:rsidR="005C57D0" w:rsidRPr="00CD4FAB">
        <w:t>a</w:t>
      </w:r>
      <w:r w:rsidR="006C1D33" w:rsidRPr="00CD4FAB">
        <w:t xml:space="preserve">nd hence </w:t>
      </w:r>
      <w:r w:rsidR="006D5FAE" w:rsidRPr="00CD4FAB">
        <w:t>overestimate</w:t>
      </w:r>
      <w:r w:rsidR="006C1D33" w:rsidRPr="00CD4FAB">
        <w:t xml:space="preserve"> the offsets.</w:t>
      </w:r>
    </w:p>
    <w:p w14:paraId="549681CC" w14:textId="017975D3" w:rsidR="00263DD8" w:rsidRPr="00CD4FAB" w:rsidRDefault="005B7D0D" w:rsidP="005B7D0D">
      <w:pPr>
        <w:pStyle w:val="Caption"/>
        <w:rPr>
          <w:rStyle w:val="CommentReference"/>
          <w:b/>
          <w:szCs w:val="24"/>
        </w:rPr>
      </w:pPr>
      <w:bookmarkStart w:id="42" w:name="_Ref156559144"/>
      <w:r w:rsidRPr="00CD4FAB">
        <w:lastRenderedPageBreak/>
        <w:t xml:space="preserve">Table </w:t>
      </w:r>
      <w:fldSimple w:instr=" SEQ Table \* ARABIC " w:fldLock="1">
        <w:r w:rsidR="00885DA7">
          <w:rPr>
            <w:noProof/>
          </w:rPr>
          <w:t>10</w:t>
        </w:r>
      </w:fldSimple>
      <w:bookmarkEnd w:id="42"/>
      <w:r w:rsidR="00263DD8" w:rsidRPr="00CD4FAB">
        <w:t xml:space="preserve">: </w:t>
      </w:r>
      <w:r w:rsidR="00263DD8" w:rsidRPr="00CD4FAB">
        <w:rPr>
          <w:rStyle w:val="CommentReference"/>
          <w:b/>
          <w:szCs w:val="24"/>
        </w:rPr>
        <w:t>Estimated financial implications for reduced use of immunotherapies in other settings</w:t>
      </w:r>
      <w:r w:rsidR="00DE34E5" w:rsidRPr="00CD4FAB">
        <w:rPr>
          <w:rStyle w:val="CommentReference"/>
          <w:b/>
          <w:szCs w:val="24"/>
        </w:rPr>
        <w:t>, March 2024 PSCR (uptake 35% in years 1 and 2</w:t>
      </w:r>
      <w:r w:rsidR="006D5FAE" w:rsidRPr="00CD4FAB">
        <w:rPr>
          <w:rStyle w:val="CommentReference"/>
          <w:b/>
          <w:szCs w:val="24"/>
        </w:rPr>
        <w:t>) and</w:t>
      </w:r>
      <w:r w:rsidR="00DE34E5" w:rsidRPr="00CD4FAB">
        <w:rPr>
          <w:rStyle w:val="CommentReference"/>
          <w:b/>
          <w:szCs w:val="24"/>
        </w:rPr>
        <w:t xml:space="preserve"> </w:t>
      </w:r>
      <w:r w:rsidR="001043AA" w:rsidRPr="00CD4FAB">
        <w:rPr>
          <w:rStyle w:val="CommentReference"/>
          <w:b/>
          <w:szCs w:val="24"/>
        </w:rPr>
        <w:t xml:space="preserve">21% </w:t>
      </w:r>
      <w:r w:rsidR="001F73DE" w:rsidRPr="00CD4FAB">
        <w:rPr>
          <w:rStyle w:val="CommentReference"/>
          <w:b/>
          <w:szCs w:val="24"/>
        </w:rPr>
        <w:t xml:space="preserve">IO </w:t>
      </w:r>
      <w:r w:rsidR="001043AA" w:rsidRPr="00CD4FAB">
        <w:rPr>
          <w:rStyle w:val="CommentReference"/>
          <w:b/>
          <w:szCs w:val="24"/>
        </w:rPr>
        <w:t xml:space="preserve">offset for Option A, </w:t>
      </w:r>
      <w:r w:rsidR="001F73DE" w:rsidRPr="00CD4FAB">
        <w:rPr>
          <w:rStyle w:val="CommentReference"/>
          <w:b/>
          <w:szCs w:val="24"/>
        </w:rPr>
        <w:t>29</w:t>
      </w:r>
      <w:r w:rsidR="001043AA" w:rsidRPr="00CD4FAB">
        <w:rPr>
          <w:rStyle w:val="CommentReference"/>
          <w:b/>
          <w:szCs w:val="24"/>
        </w:rPr>
        <w:t>%</w:t>
      </w:r>
      <w:r w:rsidR="001F73DE" w:rsidRPr="00CD4FAB">
        <w:rPr>
          <w:rStyle w:val="CommentReference"/>
          <w:b/>
          <w:szCs w:val="24"/>
        </w:rPr>
        <w:t xml:space="preserve"> IO</w:t>
      </w:r>
      <w:r w:rsidR="001043AA" w:rsidRPr="00CD4FAB">
        <w:rPr>
          <w:rStyle w:val="CommentReference"/>
          <w:b/>
          <w:szCs w:val="24"/>
        </w:rPr>
        <w:t xml:space="preserve"> offset for Option B</w:t>
      </w:r>
    </w:p>
    <w:tbl>
      <w:tblPr>
        <w:tblStyle w:val="Summarybox2"/>
        <w:tblW w:w="5000" w:type="pct"/>
        <w:tblLayout w:type="fixed"/>
        <w:tblCellMar>
          <w:left w:w="57" w:type="dxa"/>
          <w:right w:w="57" w:type="dxa"/>
        </w:tblCellMar>
        <w:tblLook w:val="04A0" w:firstRow="1" w:lastRow="0" w:firstColumn="1" w:lastColumn="0" w:noHBand="0" w:noVBand="1"/>
        <w:tblCaption w:val="Table 10: Estimated financial implications for reduced use of immunotherapies in other settings, March 2024 PSCR (uptake 35% in years 1 and 2) and 21% IO offset for Option A, 29% IO offset for Option B"/>
      </w:tblPr>
      <w:tblGrid>
        <w:gridCol w:w="1800"/>
        <w:gridCol w:w="1172"/>
        <w:gridCol w:w="1134"/>
        <w:gridCol w:w="1161"/>
        <w:gridCol w:w="1250"/>
        <w:gridCol w:w="1277"/>
        <w:gridCol w:w="1223"/>
      </w:tblGrid>
      <w:tr w:rsidR="00F377F3" w:rsidRPr="00CD4FAB" w14:paraId="3A03451C" w14:textId="77777777" w:rsidTr="00730ECC">
        <w:trPr>
          <w:trHeight w:val="20"/>
        </w:trPr>
        <w:tc>
          <w:tcPr>
            <w:tcW w:w="998" w:type="pct"/>
          </w:tcPr>
          <w:p w14:paraId="2CFE444E" w14:textId="77777777" w:rsidR="00263DD8" w:rsidRPr="00233CFE" w:rsidRDefault="00263DD8" w:rsidP="008E687B">
            <w:pPr>
              <w:pStyle w:val="PBACTableText"/>
              <w:keepNext/>
              <w:spacing w:before="0" w:after="0"/>
            </w:pPr>
          </w:p>
        </w:tc>
        <w:tc>
          <w:tcPr>
            <w:tcW w:w="650" w:type="pct"/>
            <w:vAlign w:val="center"/>
          </w:tcPr>
          <w:p w14:paraId="318F2BF8" w14:textId="77777777" w:rsidR="00263DD8" w:rsidRPr="00233CFE" w:rsidRDefault="00263DD8" w:rsidP="00730ECC">
            <w:pPr>
              <w:pStyle w:val="PBACTableText"/>
              <w:keepNext/>
              <w:spacing w:before="0" w:after="0"/>
              <w:jc w:val="center"/>
              <w:rPr>
                <w:b/>
                <w:bCs/>
              </w:rPr>
            </w:pPr>
            <w:r w:rsidRPr="00233CFE">
              <w:rPr>
                <w:b/>
              </w:rPr>
              <w:t>Year 1</w:t>
            </w:r>
          </w:p>
        </w:tc>
        <w:tc>
          <w:tcPr>
            <w:tcW w:w="629" w:type="pct"/>
            <w:vAlign w:val="center"/>
          </w:tcPr>
          <w:p w14:paraId="5C969572" w14:textId="77777777" w:rsidR="00263DD8" w:rsidRPr="00233CFE" w:rsidRDefault="00263DD8" w:rsidP="00730ECC">
            <w:pPr>
              <w:pStyle w:val="PBACTableText"/>
              <w:keepNext/>
              <w:spacing w:before="0" w:after="0"/>
              <w:jc w:val="center"/>
              <w:rPr>
                <w:b/>
                <w:bCs/>
              </w:rPr>
            </w:pPr>
            <w:r w:rsidRPr="00233CFE">
              <w:rPr>
                <w:b/>
              </w:rPr>
              <w:t>Year 2</w:t>
            </w:r>
          </w:p>
        </w:tc>
        <w:tc>
          <w:tcPr>
            <w:tcW w:w="644" w:type="pct"/>
            <w:vAlign w:val="center"/>
          </w:tcPr>
          <w:p w14:paraId="17F013C7" w14:textId="77777777" w:rsidR="00263DD8" w:rsidRPr="00233CFE" w:rsidRDefault="00263DD8" w:rsidP="00730ECC">
            <w:pPr>
              <w:pStyle w:val="PBACTableText"/>
              <w:keepNext/>
              <w:spacing w:before="0" w:after="0"/>
              <w:jc w:val="center"/>
              <w:rPr>
                <w:b/>
                <w:bCs/>
              </w:rPr>
            </w:pPr>
            <w:r w:rsidRPr="00233CFE">
              <w:rPr>
                <w:b/>
              </w:rPr>
              <w:t>Year 3</w:t>
            </w:r>
          </w:p>
        </w:tc>
        <w:tc>
          <w:tcPr>
            <w:tcW w:w="693" w:type="pct"/>
            <w:vAlign w:val="center"/>
          </w:tcPr>
          <w:p w14:paraId="70337934" w14:textId="77777777" w:rsidR="00263DD8" w:rsidRPr="00233CFE" w:rsidRDefault="00263DD8" w:rsidP="00730ECC">
            <w:pPr>
              <w:pStyle w:val="PBACTableText"/>
              <w:keepNext/>
              <w:spacing w:before="0" w:after="0"/>
              <w:jc w:val="center"/>
              <w:rPr>
                <w:b/>
                <w:bCs/>
              </w:rPr>
            </w:pPr>
            <w:r w:rsidRPr="00233CFE">
              <w:rPr>
                <w:b/>
              </w:rPr>
              <w:t>Year 4</w:t>
            </w:r>
          </w:p>
        </w:tc>
        <w:tc>
          <w:tcPr>
            <w:tcW w:w="708" w:type="pct"/>
            <w:vAlign w:val="center"/>
          </w:tcPr>
          <w:p w14:paraId="01BDBDC6" w14:textId="77777777" w:rsidR="00263DD8" w:rsidRPr="00233CFE" w:rsidRDefault="00263DD8" w:rsidP="00730ECC">
            <w:pPr>
              <w:pStyle w:val="PBACTableText"/>
              <w:keepNext/>
              <w:spacing w:before="0" w:after="0"/>
              <w:jc w:val="center"/>
              <w:rPr>
                <w:b/>
                <w:bCs/>
              </w:rPr>
            </w:pPr>
            <w:r w:rsidRPr="00233CFE">
              <w:rPr>
                <w:b/>
              </w:rPr>
              <w:t>Year 5</w:t>
            </w:r>
          </w:p>
        </w:tc>
        <w:tc>
          <w:tcPr>
            <w:tcW w:w="678" w:type="pct"/>
            <w:vAlign w:val="center"/>
          </w:tcPr>
          <w:p w14:paraId="67260E66" w14:textId="77777777" w:rsidR="00263DD8" w:rsidRPr="00233CFE" w:rsidRDefault="00263DD8" w:rsidP="00730ECC">
            <w:pPr>
              <w:pStyle w:val="PBACTableText"/>
              <w:keepNext/>
              <w:spacing w:before="0" w:after="0"/>
              <w:jc w:val="center"/>
              <w:rPr>
                <w:b/>
                <w:bCs/>
              </w:rPr>
            </w:pPr>
            <w:r w:rsidRPr="00233CFE">
              <w:rPr>
                <w:b/>
              </w:rPr>
              <w:t>Year 6</w:t>
            </w:r>
          </w:p>
        </w:tc>
      </w:tr>
      <w:tr w:rsidR="006D5FAE" w:rsidRPr="00CD4FAB" w14:paraId="69802E26" w14:textId="77777777" w:rsidTr="006D5FAE">
        <w:trPr>
          <w:trHeight w:val="141"/>
        </w:trPr>
        <w:tc>
          <w:tcPr>
            <w:tcW w:w="5000" w:type="pct"/>
            <w:gridSpan w:val="7"/>
          </w:tcPr>
          <w:p w14:paraId="2A7F1CCA" w14:textId="5E24008D" w:rsidR="006D5FAE" w:rsidRPr="00233CFE" w:rsidRDefault="006D5FAE" w:rsidP="008E687B">
            <w:pPr>
              <w:pStyle w:val="PBACTableText"/>
              <w:keepNext/>
              <w:spacing w:before="0" w:after="0"/>
            </w:pPr>
            <w:r w:rsidRPr="00233CFE">
              <w:rPr>
                <w:b/>
              </w:rPr>
              <w:t>Atezolizumab (Options A and B)</w:t>
            </w:r>
          </w:p>
        </w:tc>
      </w:tr>
      <w:tr w:rsidR="00F377F3" w:rsidRPr="00CD4FAB" w14:paraId="2ED2C6E9" w14:textId="77777777" w:rsidTr="00730ECC">
        <w:trPr>
          <w:trHeight w:val="20"/>
        </w:trPr>
        <w:tc>
          <w:tcPr>
            <w:tcW w:w="998" w:type="pct"/>
          </w:tcPr>
          <w:p w14:paraId="4CC4AD1D" w14:textId="2576B3AE" w:rsidR="00263DD8" w:rsidRPr="00233CFE" w:rsidRDefault="00263DD8" w:rsidP="008E687B">
            <w:pPr>
              <w:pStyle w:val="PBACTableText"/>
              <w:keepNext/>
              <w:spacing w:before="0" w:after="0"/>
            </w:pPr>
            <w:r w:rsidRPr="00233CFE">
              <w:t>Number of patients</w:t>
            </w:r>
          </w:p>
        </w:tc>
        <w:tc>
          <w:tcPr>
            <w:tcW w:w="650" w:type="pct"/>
            <w:vAlign w:val="center"/>
          </w:tcPr>
          <w:p w14:paraId="30321C02" w14:textId="060D29B3" w:rsidR="00263DD8" w:rsidRPr="00D221AB" w:rsidRDefault="00924D5E" w:rsidP="00730ECC">
            <w:pPr>
              <w:pStyle w:val="PBACTableText"/>
              <w:keepNext/>
              <w:spacing w:before="0" w:after="0"/>
              <w:jc w:val="center"/>
              <w:rPr>
                <w:highlight w:val="lightGray"/>
              </w:rPr>
            </w:pPr>
            <w:r w:rsidRPr="00924D5E">
              <w:rPr>
                <w:rFonts w:hint="eastAsia"/>
                <w:color w:val="000000"/>
                <w:w w:val="15"/>
                <w:shd w:val="solid" w:color="000000" w:fill="000000"/>
                <w:fitText w:val="50" w:id="-961835519"/>
                <w14:textFill>
                  <w14:solidFill>
                    <w14:srgbClr w14:val="000000">
                      <w14:alpha w14:val="100000"/>
                    </w14:srgbClr>
                  </w14:solidFill>
                </w14:textFill>
              </w:rPr>
              <w:t xml:space="preserve">　</w:t>
            </w:r>
            <w:r w:rsidRPr="00924D5E">
              <w:rPr>
                <w:color w:val="000000"/>
                <w:w w:val="15"/>
                <w:shd w:val="solid" w:color="000000" w:fill="000000"/>
                <w:fitText w:val="50" w:id="-961835519"/>
                <w14:textFill>
                  <w14:solidFill>
                    <w14:srgbClr w14:val="000000">
                      <w14:alpha w14:val="100000"/>
                    </w14:srgbClr>
                  </w14:solidFill>
                </w14:textFill>
              </w:rPr>
              <w:t>|</w:t>
            </w:r>
            <w:r w:rsidRPr="00924D5E">
              <w:rPr>
                <w:rFonts w:hint="eastAsia"/>
                <w:color w:val="000000"/>
                <w:spacing w:val="-15"/>
                <w:w w:val="15"/>
                <w:shd w:val="solid" w:color="000000" w:fill="000000"/>
                <w:fitText w:val="50" w:id="-961835519"/>
                <w14:textFill>
                  <w14:solidFill>
                    <w14:srgbClr w14:val="000000">
                      <w14:alpha w14:val="100000"/>
                    </w14:srgbClr>
                  </w14:solidFill>
                </w14:textFill>
              </w:rPr>
              <w:t xml:space="preserve">　</w:t>
            </w:r>
            <w:r w:rsidR="00F546D2" w:rsidRPr="00D221AB">
              <w:rPr>
                <w:vertAlign w:val="superscript"/>
              </w:rPr>
              <w:t>1</w:t>
            </w:r>
          </w:p>
        </w:tc>
        <w:tc>
          <w:tcPr>
            <w:tcW w:w="629" w:type="pct"/>
            <w:vAlign w:val="center"/>
          </w:tcPr>
          <w:p w14:paraId="0D6956D7" w14:textId="66A15F38" w:rsidR="00263DD8" w:rsidRPr="00D221AB" w:rsidRDefault="00924D5E" w:rsidP="00730ECC">
            <w:pPr>
              <w:pStyle w:val="PBACTableText"/>
              <w:keepNext/>
              <w:spacing w:before="0" w:after="0"/>
              <w:jc w:val="center"/>
              <w:rPr>
                <w:highlight w:val="lightGray"/>
              </w:rPr>
            </w:pPr>
            <w:r w:rsidRPr="00924D5E">
              <w:rPr>
                <w:rFonts w:hint="eastAsia"/>
                <w:color w:val="000000"/>
                <w:w w:val="15"/>
                <w:shd w:val="solid" w:color="000000" w:fill="000000"/>
                <w:fitText w:val="63" w:id="-961835518"/>
                <w14:textFill>
                  <w14:solidFill>
                    <w14:srgbClr w14:val="000000">
                      <w14:alpha w14:val="100000"/>
                    </w14:srgbClr>
                  </w14:solidFill>
                </w14:textFill>
              </w:rPr>
              <w:t xml:space="preserve">　</w:t>
            </w:r>
            <w:r w:rsidRPr="00924D5E">
              <w:rPr>
                <w:color w:val="000000"/>
                <w:w w:val="15"/>
                <w:shd w:val="solid" w:color="000000" w:fill="000000"/>
                <w:fitText w:val="63" w:id="-961835518"/>
                <w14:textFill>
                  <w14:solidFill>
                    <w14:srgbClr w14:val="000000">
                      <w14:alpha w14:val="100000"/>
                    </w14:srgbClr>
                  </w14:solidFill>
                </w14:textFill>
              </w:rPr>
              <w:t>|</w:t>
            </w:r>
            <w:r w:rsidRPr="00924D5E">
              <w:rPr>
                <w:rFonts w:hint="eastAsia"/>
                <w:color w:val="000000"/>
                <w:spacing w:val="-2"/>
                <w:w w:val="15"/>
                <w:shd w:val="solid" w:color="000000" w:fill="000000"/>
                <w:fitText w:val="63" w:id="-961835518"/>
                <w14:textFill>
                  <w14:solidFill>
                    <w14:srgbClr w14:val="000000">
                      <w14:alpha w14:val="100000"/>
                    </w14:srgbClr>
                  </w14:solidFill>
                </w14:textFill>
              </w:rPr>
              <w:t xml:space="preserve">　</w:t>
            </w:r>
            <w:r w:rsidR="00F546D2" w:rsidRPr="00233CFE">
              <w:rPr>
                <w:vertAlign w:val="superscript"/>
              </w:rPr>
              <w:t>1</w:t>
            </w:r>
          </w:p>
        </w:tc>
        <w:tc>
          <w:tcPr>
            <w:tcW w:w="644" w:type="pct"/>
            <w:vAlign w:val="center"/>
          </w:tcPr>
          <w:p w14:paraId="1D352EFA" w14:textId="32ABA746" w:rsidR="00263DD8" w:rsidRPr="00D221AB" w:rsidRDefault="00924D5E" w:rsidP="00730ECC">
            <w:pPr>
              <w:pStyle w:val="PBACTableText"/>
              <w:keepNext/>
              <w:spacing w:before="0" w:after="0"/>
              <w:jc w:val="center"/>
              <w:rPr>
                <w:highlight w:val="lightGray"/>
              </w:rPr>
            </w:pPr>
            <w:r w:rsidRPr="00924D5E">
              <w:rPr>
                <w:rFonts w:hint="eastAsia"/>
                <w:color w:val="000000"/>
                <w:w w:val="15"/>
                <w:shd w:val="solid" w:color="000000" w:fill="000000"/>
                <w:fitText w:val="50" w:id="-961835517"/>
                <w14:textFill>
                  <w14:solidFill>
                    <w14:srgbClr w14:val="000000">
                      <w14:alpha w14:val="100000"/>
                    </w14:srgbClr>
                  </w14:solidFill>
                </w14:textFill>
              </w:rPr>
              <w:t xml:space="preserve">　</w:t>
            </w:r>
            <w:r w:rsidRPr="00924D5E">
              <w:rPr>
                <w:color w:val="000000"/>
                <w:w w:val="15"/>
                <w:shd w:val="solid" w:color="000000" w:fill="000000"/>
                <w:fitText w:val="50" w:id="-961835517"/>
                <w14:textFill>
                  <w14:solidFill>
                    <w14:srgbClr w14:val="000000">
                      <w14:alpha w14:val="100000"/>
                    </w14:srgbClr>
                  </w14:solidFill>
                </w14:textFill>
              </w:rPr>
              <w:t>|</w:t>
            </w:r>
            <w:r w:rsidRPr="00924D5E">
              <w:rPr>
                <w:rFonts w:hint="eastAsia"/>
                <w:color w:val="000000"/>
                <w:spacing w:val="-15"/>
                <w:w w:val="15"/>
                <w:shd w:val="solid" w:color="000000" w:fill="000000"/>
                <w:fitText w:val="50" w:id="-961835517"/>
                <w14:textFill>
                  <w14:solidFill>
                    <w14:srgbClr w14:val="000000">
                      <w14:alpha w14:val="100000"/>
                    </w14:srgbClr>
                  </w14:solidFill>
                </w14:textFill>
              </w:rPr>
              <w:t xml:space="preserve">　</w:t>
            </w:r>
            <w:r w:rsidR="00F546D2" w:rsidRPr="00233CFE">
              <w:rPr>
                <w:vertAlign w:val="superscript"/>
              </w:rPr>
              <w:t>1</w:t>
            </w:r>
          </w:p>
        </w:tc>
        <w:tc>
          <w:tcPr>
            <w:tcW w:w="693" w:type="pct"/>
            <w:vAlign w:val="center"/>
          </w:tcPr>
          <w:p w14:paraId="1C58017E" w14:textId="0B2FACBF" w:rsidR="00263DD8" w:rsidRPr="00D221AB" w:rsidRDefault="00924D5E" w:rsidP="00730ECC">
            <w:pPr>
              <w:pStyle w:val="PBACTableText"/>
              <w:keepNext/>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F546D2" w:rsidRPr="00233CFE">
              <w:rPr>
                <w:vertAlign w:val="superscript"/>
              </w:rPr>
              <w:t>1</w:t>
            </w:r>
          </w:p>
        </w:tc>
        <w:tc>
          <w:tcPr>
            <w:tcW w:w="708" w:type="pct"/>
            <w:vAlign w:val="center"/>
          </w:tcPr>
          <w:p w14:paraId="773DFBFD" w14:textId="4EE20818" w:rsidR="00263DD8" w:rsidRPr="00D221AB" w:rsidRDefault="00924D5E" w:rsidP="00730ECC">
            <w:pPr>
              <w:pStyle w:val="PBACTableText"/>
              <w:keepNext/>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F546D2" w:rsidRPr="00233CFE">
              <w:rPr>
                <w:vertAlign w:val="superscript"/>
              </w:rPr>
              <w:t>1</w:t>
            </w:r>
          </w:p>
        </w:tc>
        <w:tc>
          <w:tcPr>
            <w:tcW w:w="678" w:type="pct"/>
            <w:vAlign w:val="center"/>
          </w:tcPr>
          <w:p w14:paraId="1FF9021D" w14:textId="4AB71122" w:rsidR="00263DD8" w:rsidRPr="00D221AB" w:rsidRDefault="00924D5E" w:rsidP="00730ECC">
            <w:pPr>
              <w:pStyle w:val="PBACTableText"/>
              <w:keepNext/>
              <w:spacing w:before="0" w:after="0"/>
              <w:jc w:val="center"/>
              <w:rPr>
                <w:highlight w:val="lightGray"/>
              </w:rPr>
            </w:pPr>
            <w:r w:rsidRPr="006E162D">
              <w:rPr>
                <w:rFonts w:hint="eastAsia"/>
                <w:color w:val="000000"/>
                <w:w w:val="15"/>
                <w:shd w:val="solid" w:color="000000" w:fill="000000"/>
                <w:fitText w:val="25" w:id="-961835516"/>
                <w14:textFill>
                  <w14:solidFill>
                    <w14:srgbClr w14:val="000000">
                      <w14:alpha w14:val="100000"/>
                    </w14:srgbClr>
                  </w14:solidFill>
                </w14:textFill>
              </w:rPr>
              <w:t xml:space="preserve">　</w:t>
            </w:r>
            <w:r w:rsidRPr="006E162D">
              <w:rPr>
                <w:color w:val="000000"/>
                <w:w w:val="15"/>
                <w:shd w:val="solid" w:color="000000" w:fill="000000"/>
                <w:fitText w:val="25" w:id="-961835516"/>
                <w14:textFill>
                  <w14:solidFill>
                    <w14:srgbClr w14:val="000000">
                      <w14:alpha w14:val="100000"/>
                    </w14:srgbClr>
                  </w14:solidFill>
                </w14:textFill>
              </w:rPr>
              <w:t>|</w:t>
            </w:r>
            <w:r w:rsidRPr="006E162D">
              <w:rPr>
                <w:rFonts w:hint="eastAsia"/>
                <w:color w:val="000000"/>
                <w:spacing w:val="-41"/>
                <w:w w:val="15"/>
                <w:shd w:val="solid" w:color="000000" w:fill="000000"/>
                <w:fitText w:val="25" w:id="-961835516"/>
                <w14:textFill>
                  <w14:solidFill>
                    <w14:srgbClr w14:val="000000">
                      <w14:alpha w14:val="100000"/>
                    </w14:srgbClr>
                  </w14:solidFill>
                </w14:textFill>
              </w:rPr>
              <w:t xml:space="preserve">　</w:t>
            </w:r>
            <w:r w:rsidR="00F546D2" w:rsidRPr="00233CFE">
              <w:rPr>
                <w:vertAlign w:val="superscript"/>
              </w:rPr>
              <w:t>1</w:t>
            </w:r>
          </w:p>
        </w:tc>
      </w:tr>
      <w:tr w:rsidR="00AF534F" w:rsidRPr="00CD4FAB" w14:paraId="1515B64E" w14:textId="77777777" w:rsidTr="00730ECC">
        <w:trPr>
          <w:trHeight w:val="20"/>
        </w:trPr>
        <w:tc>
          <w:tcPr>
            <w:tcW w:w="998" w:type="pct"/>
          </w:tcPr>
          <w:p w14:paraId="6725B135" w14:textId="345C932C" w:rsidR="00AF534F" w:rsidRPr="00233CFE" w:rsidRDefault="00AF534F" w:rsidP="00AF534F">
            <w:pPr>
              <w:pStyle w:val="PBACTableText"/>
              <w:keepNext/>
              <w:spacing w:before="0" w:after="0"/>
            </w:pPr>
            <w:r w:rsidRPr="00233CFE">
              <w:t>Number of scripts</w:t>
            </w:r>
          </w:p>
        </w:tc>
        <w:tc>
          <w:tcPr>
            <w:tcW w:w="650" w:type="pct"/>
            <w:vAlign w:val="center"/>
          </w:tcPr>
          <w:p w14:paraId="2C0C32EB" w14:textId="2B61AC7D" w:rsidR="00AF534F" w:rsidRPr="00D221AB" w:rsidRDefault="00924D5E" w:rsidP="00AF534F">
            <w:pPr>
              <w:pStyle w:val="PBACTableText"/>
              <w:keepNext/>
              <w:spacing w:before="0" w:after="0"/>
              <w:jc w:val="center"/>
              <w:rPr>
                <w:highlight w:val="lightGray"/>
              </w:rPr>
            </w:pPr>
            <w:r w:rsidRPr="00924D5E">
              <w:rPr>
                <w:rFonts w:hint="eastAsia"/>
                <w:color w:val="000000"/>
                <w:w w:val="15"/>
                <w:shd w:val="solid" w:color="000000" w:fill="000000"/>
                <w:fitText w:val="50" w:id="-961835515"/>
                <w14:textFill>
                  <w14:solidFill>
                    <w14:srgbClr w14:val="000000">
                      <w14:alpha w14:val="100000"/>
                    </w14:srgbClr>
                  </w14:solidFill>
                </w14:textFill>
              </w:rPr>
              <w:t xml:space="preserve">　</w:t>
            </w:r>
            <w:r w:rsidRPr="00924D5E">
              <w:rPr>
                <w:color w:val="000000"/>
                <w:w w:val="15"/>
                <w:shd w:val="solid" w:color="000000" w:fill="000000"/>
                <w:fitText w:val="50" w:id="-961835515"/>
                <w14:textFill>
                  <w14:solidFill>
                    <w14:srgbClr w14:val="000000">
                      <w14:alpha w14:val="100000"/>
                    </w14:srgbClr>
                  </w14:solidFill>
                </w14:textFill>
              </w:rPr>
              <w:t>|</w:t>
            </w:r>
            <w:r w:rsidRPr="00924D5E">
              <w:rPr>
                <w:rFonts w:hint="eastAsia"/>
                <w:color w:val="000000"/>
                <w:spacing w:val="-15"/>
                <w:w w:val="15"/>
                <w:shd w:val="solid" w:color="000000" w:fill="000000"/>
                <w:fitText w:val="50" w:id="-961835515"/>
                <w14:textFill>
                  <w14:solidFill>
                    <w14:srgbClr w14:val="000000">
                      <w14:alpha w14:val="100000"/>
                    </w14:srgbClr>
                  </w14:solidFill>
                </w14:textFill>
              </w:rPr>
              <w:t xml:space="preserve">　</w:t>
            </w:r>
            <w:r w:rsidR="006B7B61" w:rsidRPr="00233CFE">
              <w:rPr>
                <w:vertAlign w:val="superscript"/>
              </w:rPr>
              <w:t>2</w:t>
            </w:r>
          </w:p>
        </w:tc>
        <w:tc>
          <w:tcPr>
            <w:tcW w:w="629" w:type="pct"/>
            <w:vAlign w:val="center"/>
          </w:tcPr>
          <w:p w14:paraId="6B0A3417" w14:textId="284CE180" w:rsidR="00AF534F" w:rsidRPr="00D221AB" w:rsidRDefault="00924D5E" w:rsidP="00AF534F">
            <w:pPr>
              <w:pStyle w:val="PBACTableText"/>
              <w:keepNext/>
              <w:spacing w:before="0" w:after="0"/>
              <w:jc w:val="center"/>
              <w:rPr>
                <w:highlight w:val="lightGray"/>
              </w:rPr>
            </w:pPr>
            <w:r w:rsidRPr="00924D5E">
              <w:rPr>
                <w:rFonts w:hint="eastAsia"/>
                <w:color w:val="000000"/>
                <w:w w:val="15"/>
                <w:shd w:val="solid" w:color="000000" w:fill="000000"/>
                <w:fitText w:val="63" w:id="-961835514"/>
                <w14:textFill>
                  <w14:solidFill>
                    <w14:srgbClr w14:val="000000">
                      <w14:alpha w14:val="100000"/>
                    </w14:srgbClr>
                  </w14:solidFill>
                </w14:textFill>
              </w:rPr>
              <w:t xml:space="preserve">　</w:t>
            </w:r>
            <w:r w:rsidRPr="00924D5E">
              <w:rPr>
                <w:color w:val="000000"/>
                <w:w w:val="15"/>
                <w:shd w:val="solid" w:color="000000" w:fill="000000"/>
                <w:fitText w:val="63" w:id="-961835514"/>
                <w14:textFill>
                  <w14:solidFill>
                    <w14:srgbClr w14:val="000000">
                      <w14:alpha w14:val="100000"/>
                    </w14:srgbClr>
                  </w14:solidFill>
                </w14:textFill>
              </w:rPr>
              <w:t>|</w:t>
            </w:r>
            <w:r w:rsidRPr="00924D5E">
              <w:rPr>
                <w:rFonts w:hint="eastAsia"/>
                <w:color w:val="000000"/>
                <w:spacing w:val="-2"/>
                <w:w w:val="15"/>
                <w:shd w:val="solid" w:color="000000" w:fill="000000"/>
                <w:fitText w:val="63" w:id="-961835514"/>
                <w14:textFill>
                  <w14:solidFill>
                    <w14:srgbClr w14:val="000000">
                      <w14:alpha w14:val="100000"/>
                    </w14:srgbClr>
                  </w14:solidFill>
                </w14:textFill>
              </w:rPr>
              <w:t xml:space="preserve">　</w:t>
            </w:r>
            <w:r w:rsidR="006B7B61" w:rsidRPr="00233CFE">
              <w:rPr>
                <w:vertAlign w:val="superscript"/>
              </w:rPr>
              <w:t>2</w:t>
            </w:r>
          </w:p>
        </w:tc>
        <w:tc>
          <w:tcPr>
            <w:tcW w:w="644" w:type="pct"/>
            <w:vAlign w:val="center"/>
          </w:tcPr>
          <w:p w14:paraId="017D4494" w14:textId="1334A402" w:rsidR="00AF534F" w:rsidRPr="00D221AB" w:rsidRDefault="00924D5E" w:rsidP="00AF534F">
            <w:pPr>
              <w:pStyle w:val="PBACTableText"/>
              <w:keepNext/>
              <w:spacing w:before="0" w:after="0"/>
              <w:jc w:val="center"/>
              <w:rPr>
                <w:highlight w:val="lightGray"/>
              </w:rPr>
            </w:pPr>
            <w:r w:rsidRPr="00924D5E">
              <w:rPr>
                <w:rFonts w:hint="eastAsia"/>
                <w:color w:val="000000"/>
                <w:w w:val="15"/>
                <w:shd w:val="solid" w:color="000000" w:fill="000000"/>
                <w:fitText w:val="50" w:id="-961835513"/>
                <w14:textFill>
                  <w14:solidFill>
                    <w14:srgbClr w14:val="000000">
                      <w14:alpha w14:val="100000"/>
                    </w14:srgbClr>
                  </w14:solidFill>
                </w14:textFill>
              </w:rPr>
              <w:t xml:space="preserve">　</w:t>
            </w:r>
            <w:r w:rsidRPr="00924D5E">
              <w:rPr>
                <w:color w:val="000000"/>
                <w:w w:val="15"/>
                <w:shd w:val="solid" w:color="000000" w:fill="000000"/>
                <w:fitText w:val="50" w:id="-961835513"/>
                <w14:textFill>
                  <w14:solidFill>
                    <w14:srgbClr w14:val="000000">
                      <w14:alpha w14:val="100000"/>
                    </w14:srgbClr>
                  </w14:solidFill>
                </w14:textFill>
              </w:rPr>
              <w:t>|</w:t>
            </w:r>
            <w:r w:rsidRPr="00924D5E">
              <w:rPr>
                <w:rFonts w:hint="eastAsia"/>
                <w:color w:val="000000"/>
                <w:spacing w:val="-15"/>
                <w:w w:val="15"/>
                <w:shd w:val="solid" w:color="000000" w:fill="000000"/>
                <w:fitText w:val="50" w:id="-961835513"/>
                <w14:textFill>
                  <w14:solidFill>
                    <w14:srgbClr w14:val="000000">
                      <w14:alpha w14:val="100000"/>
                    </w14:srgbClr>
                  </w14:solidFill>
                </w14:textFill>
              </w:rPr>
              <w:t xml:space="preserve">　</w:t>
            </w:r>
            <w:r w:rsidR="006B7B61" w:rsidRPr="00233CFE">
              <w:rPr>
                <w:vertAlign w:val="superscript"/>
              </w:rPr>
              <w:t>2</w:t>
            </w:r>
          </w:p>
        </w:tc>
        <w:tc>
          <w:tcPr>
            <w:tcW w:w="693" w:type="pct"/>
            <w:vAlign w:val="center"/>
          </w:tcPr>
          <w:p w14:paraId="3DBC9CBC" w14:textId="718566EB" w:rsidR="00AF534F" w:rsidRPr="00D221AB" w:rsidRDefault="00924D5E" w:rsidP="00AF534F">
            <w:pPr>
              <w:pStyle w:val="PBACTableText"/>
              <w:keepNext/>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6B7B61" w:rsidRPr="00233CFE">
              <w:rPr>
                <w:vertAlign w:val="superscript"/>
              </w:rPr>
              <w:t>2</w:t>
            </w:r>
          </w:p>
        </w:tc>
        <w:tc>
          <w:tcPr>
            <w:tcW w:w="708" w:type="pct"/>
            <w:vAlign w:val="center"/>
          </w:tcPr>
          <w:p w14:paraId="07D5B045" w14:textId="0D650A32" w:rsidR="00AF534F" w:rsidRPr="00D221AB" w:rsidRDefault="00924D5E" w:rsidP="00AF534F">
            <w:pPr>
              <w:pStyle w:val="PBACTableText"/>
              <w:keepNext/>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6B7B61" w:rsidRPr="00233CFE">
              <w:rPr>
                <w:vertAlign w:val="superscript"/>
              </w:rPr>
              <w:t>2</w:t>
            </w:r>
          </w:p>
        </w:tc>
        <w:tc>
          <w:tcPr>
            <w:tcW w:w="678" w:type="pct"/>
            <w:vAlign w:val="center"/>
          </w:tcPr>
          <w:p w14:paraId="2BD7E916" w14:textId="083BBBEC" w:rsidR="00AF534F" w:rsidRPr="00D221AB" w:rsidRDefault="00924D5E" w:rsidP="00AF534F">
            <w:pPr>
              <w:pStyle w:val="PBACTableText"/>
              <w:keepNext/>
              <w:spacing w:before="0" w:after="0"/>
              <w:jc w:val="center"/>
              <w:rPr>
                <w:highlight w:val="lightGray"/>
              </w:rPr>
            </w:pPr>
            <w:r w:rsidRPr="006E162D">
              <w:rPr>
                <w:rFonts w:hint="eastAsia"/>
                <w:color w:val="000000"/>
                <w:w w:val="15"/>
                <w:shd w:val="solid" w:color="000000" w:fill="000000"/>
                <w:fitText w:val="25" w:id="-961835512"/>
                <w14:textFill>
                  <w14:solidFill>
                    <w14:srgbClr w14:val="000000">
                      <w14:alpha w14:val="100000"/>
                    </w14:srgbClr>
                  </w14:solidFill>
                </w14:textFill>
              </w:rPr>
              <w:t xml:space="preserve">　</w:t>
            </w:r>
            <w:r w:rsidRPr="006E162D">
              <w:rPr>
                <w:color w:val="000000"/>
                <w:w w:val="15"/>
                <w:shd w:val="solid" w:color="000000" w:fill="000000"/>
                <w:fitText w:val="25" w:id="-961835512"/>
                <w14:textFill>
                  <w14:solidFill>
                    <w14:srgbClr w14:val="000000">
                      <w14:alpha w14:val="100000"/>
                    </w14:srgbClr>
                  </w14:solidFill>
                </w14:textFill>
              </w:rPr>
              <w:t>|</w:t>
            </w:r>
            <w:r w:rsidRPr="006E162D">
              <w:rPr>
                <w:rFonts w:hint="eastAsia"/>
                <w:color w:val="000000"/>
                <w:spacing w:val="-41"/>
                <w:w w:val="15"/>
                <w:shd w:val="solid" w:color="000000" w:fill="000000"/>
                <w:fitText w:val="25" w:id="-961835512"/>
                <w14:textFill>
                  <w14:solidFill>
                    <w14:srgbClr w14:val="000000">
                      <w14:alpha w14:val="100000"/>
                    </w14:srgbClr>
                  </w14:solidFill>
                </w14:textFill>
              </w:rPr>
              <w:t xml:space="preserve">　</w:t>
            </w:r>
            <w:r w:rsidR="006B7B61" w:rsidRPr="00233CFE">
              <w:rPr>
                <w:vertAlign w:val="superscript"/>
              </w:rPr>
              <w:t>2</w:t>
            </w:r>
          </w:p>
        </w:tc>
      </w:tr>
      <w:tr w:rsidR="00454C4E" w:rsidRPr="00CD4FAB" w14:paraId="1E89320E" w14:textId="77777777" w:rsidTr="00454C4E">
        <w:trPr>
          <w:trHeight w:val="20"/>
        </w:trPr>
        <w:tc>
          <w:tcPr>
            <w:tcW w:w="998" w:type="pct"/>
          </w:tcPr>
          <w:p w14:paraId="7CFF827C" w14:textId="2E674249" w:rsidR="00454C4E" w:rsidRPr="00233CFE" w:rsidRDefault="00454C4E" w:rsidP="00454C4E">
            <w:pPr>
              <w:pStyle w:val="PBACTableText"/>
              <w:keepNext/>
              <w:spacing w:before="0" w:after="0"/>
            </w:pPr>
            <w:r w:rsidRPr="00233CFE">
              <w:t>Net cost PBS/RPBS</w:t>
            </w:r>
          </w:p>
        </w:tc>
        <w:tc>
          <w:tcPr>
            <w:tcW w:w="650" w:type="pct"/>
          </w:tcPr>
          <w:p w14:paraId="713DB911" w14:textId="7129891D" w:rsidR="00454C4E" w:rsidRPr="00D221AB" w:rsidRDefault="00924D5E" w:rsidP="00454C4E">
            <w:pPr>
              <w:pStyle w:val="PBACTableText"/>
              <w:keepNext/>
              <w:spacing w:before="0" w:after="0"/>
              <w:jc w:val="center"/>
              <w:rPr>
                <w:highlight w:val="lightGray"/>
              </w:rPr>
            </w:pPr>
            <w:r w:rsidRPr="00924D5E">
              <w:rPr>
                <w:rFonts w:hint="eastAsia"/>
                <w:color w:val="000000"/>
                <w:w w:val="15"/>
                <w:shd w:val="solid" w:color="000000" w:fill="000000"/>
                <w:fitText w:val="50" w:id="-961835511"/>
                <w14:textFill>
                  <w14:solidFill>
                    <w14:srgbClr w14:val="000000">
                      <w14:alpha w14:val="100000"/>
                    </w14:srgbClr>
                  </w14:solidFill>
                </w14:textFill>
              </w:rPr>
              <w:t xml:space="preserve">　</w:t>
            </w:r>
            <w:r w:rsidRPr="00924D5E">
              <w:rPr>
                <w:color w:val="000000"/>
                <w:w w:val="15"/>
                <w:shd w:val="solid" w:color="000000" w:fill="000000"/>
                <w:fitText w:val="50" w:id="-961835511"/>
                <w14:textFill>
                  <w14:solidFill>
                    <w14:srgbClr w14:val="000000">
                      <w14:alpha w14:val="100000"/>
                    </w14:srgbClr>
                  </w14:solidFill>
                </w14:textFill>
              </w:rPr>
              <w:t>|</w:t>
            </w:r>
            <w:r w:rsidRPr="00924D5E">
              <w:rPr>
                <w:rFonts w:hint="eastAsia"/>
                <w:color w:val="000000"/>
                <w:spacing w:val="-15"/>
                <w:w w:val="15"/>
                <w:shd w:val="solid" w:color="000000" w:fill="000000"/>
                <w:fitText w:val="50" w:id="-961835511"/>
                <w14:textFill>
                  <w14:solidFill>
                    <w14:srgbClr w14:val="000000">
                      <w14:alpha w14:val="100000"/>
                    </w14:srgbClr>
                  </w14:solidFill>
                </w14:textFill>
              </w:rPr>
              <w:t xml:space="preserve">　</w:t>
            </w:r>
            <w:r w:rsidR="00C14CA5" w:rsidRPr="00233CFE">
              <w:rPr>
                <w:vertAlign w:val="superscript"/>
              </w:rPr>
              <w:t>3</w:t>
            </w:r>
          </w:p>
        </w:tc>
        <w:tc>
          <w:tcPr>
            <w:tcW w:w="629" w:type="pct"/>
          </w:tcPr>
          <w:p w14:paraId="67F1C246" w14:textId="7DFD9850" w:rsidR="00454C4E" w:rsidRPr="00D221AB" w:rsidRDefault="00924D5E" w:rsidP="00454C4E">
            <w:pPr>
              <w:pStyle w:val="PBACTableText"/>
              <w:keepNext/>
              <w:spacing w:before="0" w:after="0"/>
              <w:jc w:val="center"/>
              <w:rPr>
                <w:highlight w:val="lightGray"/>
              </w:rPr>
            </w:pPr>
            <w:r w:rsidRPr="00924D5E">
              <w:rPr>
                <w:rFonts w:hint="eastAsia"/>
                <w:color w:val="000000"/>
                <w:w w:val="15"/>
                <w:shd w:val="solid" w:color="000000" w:fill="000000"/>
                <w:fitText w:val="63" w:id="-961835510"/>
                <w14:textFill>
                  <w14:solidFill>
                    <w14:srgbClr w14:val="000000">
                      <w14:alpha w14:val="100000"/>
                    </w14:srgbClr>
                  </w14:solidFill>
                </w14:textFill>
              </w:rPr>
              <w:t xml:space="preserve">　</w:t>
            </w:r>
            <w:r w:rsidRPr="00924D5E">
              <w:rPr>
                <w:color w:val="000000"/>
                <w:w w:val="15"/>
                <w:shd w:val="solid" w:color="000000" w:fill="000000"/>
                <w:fitText w:val="63" w:id="-961835510"/>
                <w14:textFill>
                  <w14:solidFill>
                    <w14:srgbClr w14:val="000000">
                      <w14:alpha w14:val="100000"/>
                    </w14:srgbClr>
                  </w14:solidFill>
                </w14:textFill>
              </w:rPr>
              <w:t>|</w:t>
            </w:r>
            <w:r w:rsidRPr="00924D5E">
              <w:rPr>
                <w:rFonts w:hint="eastAsia"/>
                <w:color w:val="000000"/>
                <w:spacing w:val="-2"/>
                <w:w w:val="15"/>
                <w:shd w:val="solid" w:color="000000" w:fill="000000"/>
                <w:fitText w:val="63" w:id="-961835510"/>
                <w14:textFill>
                  <w14:solidFill>
                    <w14:srgbClr w14:val="000000">
                      <w14:alpha w14:val="100000"/>
                    </w14:srgbClr>
                  </w14:solidFill>
                </w14:textFill>
              </w:rPr>
              <w:t xml:space="preserve">　</w:t>
            </w:r>
            <w:r w:rsidR="00C14CA5" w:rsidRPr="00233CFE">
              <w:rPr>
                <w:vertAlign w:val="superscript"/>
              </w:rPr>
              <w:t>3</w:t>
            </w:r>
          </w:p>
        </w:tc>
        <w:tc>
          <w:tcPr>
            <w:tcW w:w="644" w:type="pct"/>
            <w:vAlign w:val="center"/>
          </w:tcPr>
          <w:p w14:paraId="40B6F66F" w14:textId="1639FA9A" w:rsidR="00454C4E" w:rsidRPr="00D221AB" w:rsidRDefault="00924D5E" w:rsidP="00454C4E">
            <w:pPr>
              <w:pStyle w:val="PBACTableText"/>
              <w:keepNext/>
              <w:spacing w:before="0" w:after="0"/>
              <w:jc w:val="center"/>
              <w:rPr>
                <w:highlight w:val="lightGray"/>
              </w:rPr>
            </w:pPr>
            <w:r w:rsidRPr="00924D5E">
              <w:rPr>
                <w:rFonts w:cs="Calibri" w:hint="eastAsia"/>
                <w:color w:val="000000"/>
                <w:w w:val="15"/>
                <w:shd w:val="solid" w:color="000000" w:fill="000000"/>
                <w:fitText w:val="50" w:id="-961835509"/>
                <w14:textFill>
                  <w14:solidFill>
                    <w14:srgbClr w14:val="000000">
                      <w14:alpha w14:val="100000"/>
                    </w14:srgbClr>
                  </w14:solidFill>
                </w14:textFill>
              </w:rPr>
              <w:t xml:space="preserve">　</w:t>
            </w:r>
            <w:r w:rsidRPr="00924D5E">
              <w:rPr>
                <w:rFonts w:cs="Calibri"/>
                <w:color w:val="000000"/>
                <w:w w:val="15"/>
                <w:shd w:val="solid" w:color="000000" w:fill="000000"/>
                <w:fitText w:val="50" w:id="-961835509"/>
                <w14:textFill>
                  <w14:solidFill>
                    <w14:srgbClr w14:val="000000">
                      <w14:alpha w14:val="100000"/>
                    </w14:srgbClr>
                  </w14:solidFill>
                </w14:textFill>
              </w:rPr>
              <w:t>|</w:t>
            </w:r>
            <w:r w:rsidRPr="00924D5E">
              <w:rPr>
                <w:rFonts w:cs="Calibri" w:hint="eastAsia"/>
                <w:color w:val="000000"/>
                <w:spacing w:val="-15"/>
                <w:w w:val="15"/>
                <w:shd w:val="solid" w:color="000000" w:fill="000000"/>
                <w:fitText w:val="50" w:id="-961835509"/>
                <w14:textFill>
                  <w14:solidFill>
                    <w14:srgbClr w14:val="000000">
                      <w14:alpha w14:val="100000"/>
                    </w14:srgbClr>
                  </w14:solidFill>
                </w14:textFill>
              </w:rPr>
              <w:t xml:space="preserve">　</w:t>
            </w:r>
            <w:r w:rsidR="00C14CA5" w:rsidRPr="00233CFE">
              <w:rPr>
                <w:vertAlign w:val="superscript"/>
              </w:rPr>
              <w:t>3</w:t>
            </w:r>
          </w:p>
        </w:tc>
        <w:tc>
          <w:tcPr>
            <w:tcW w:w="693" w:type="pct"/>
            <w:vAlign w:val="center"/>
          </w:tcPr>
          <w:p w14:paraId="4618D598" w14:textId="7BC522B7" w:rsidR="00454C4E" w:rsidRPr="00D221AB" w:rsidRDefault="00924D5E" w:rsidP="00454C4E">
            <w:pPr>
              <w:pStyle w:val="PBACTableText"/>
              <w:keepNext/>
              <w:spacing w:before="0" w:after="0"/>
              <w:jc w:val="center"/>
              <w:rPr>
                <w:highlight w:val="lightGray"/>
              </w:rPr>
            </w:pPr>
            <w:r w:rsidRPr="00924D5E">
              <w:rPr>
                <w:rFonts w:cs="Calibri"/>
                <w:color w:val="000000"/>
                <w:shd w:val="solid" w:color="000000" w:fill="000000"/>
                <w14:textFill>
                  <w14:solidFill>
                    <w14:srgbClr w14:val="000000">
                      <w14:alpha w14:val="100000"/>
                    </w14:srgbClr>
                  </w14:solidFill>
                </w14:textFill>
              </w:rPr>
              <w:t>|</w:t>
            </w:r>
            <w:r w:rsidR="00C14CA5" w:rsidRPr="00233CFE">
              <w:rPr>
                <w:vertAlign w:val="superscript"/>
              </w:rPr>
              <w:t>3</w:t>
            </w:r>
          </w:p>
        </w:tc>
        <w:tc>
          <w:tcPr>
            <w:tcW w:w="708" w:type="pct"/>
            <w:vAlign w:val="center"/>
          </w:tcPr>
          <w:p w14:paraId="41C6F6D2" w14:textId="1EF5E3D9" w:rsidR="00454C4E" w:rsidRPr="00D221AB" w:rsidRDefault="00924D5E" w:rsidP="00454C4E">
            <w:pPr>
              <w:pStyle w:val="PBACTableText"/>
              <w:keepNext/>
              <w:spacing w:before="0" w:after="0"/>
              <w:jc w:val="center"/>
              <w:rPr>
                <w:highlight w:val="lightGray"/>
              </w:rPr>
            </w:pPr>
            <w:r w:rsidRPr="00924D5E">
              <w:rPr>
                <w:rFonts w:cs="Calibri"/>
                <w:color w:val="000000"/>
                <w:shd w:val="solid" w:color="000000" w:fill="000000"/>
                <w14:textFill>
                  <w14:solidFill>
                    <w14:srgbClr w14:val="000000">
                      <w14:alpha w14:val="100000"/>
                    </w14:srgbClr>
                  </w14:solidFill>
                </w14:textFill>
              </w:rPr>
              <w:t>|</w:t>
            </w:r>
            <w:r w:rsidR="00C14CA5" w:rsidRPr="00233CFE">
              <w:rPr>
                <w:vertAlign w:val="superscript"/>
              </w:rPr>
              <w:t>3</w:t>
            </w:r>
          </w:p>
        </w:tc>
        <w:tc>
          <w:tcPr>
            <w:tcW w:w="678" w:type="pct"/>
            <w:vAlign w:val="center"/>
          </w:tcPr>
          <w:p w14:paraId="08F79E86" w14:textId="16202883" w:rsidR="00454C4E" w:rsidRPr="00D221AB" w:rsidRDefault="00924D5E" w:rsidP="00454C4E">
            <w:pPr>
              <w:pStyle w:val="PBACTableText"/>
              <w:keepNext/>
              <w:spacing w:before="0" w:after="0"/>
              <w:jc w:val="center"/>
              <w:rPr>
                <w:highlight w:val="lightGray"/>
              </w:rPr>
            </w:pPr>
            <w:r w:rsidRPr="006E162D">
              <w:rPr>
                <w:rFonts w:cs="Calibri" w:hint="eastAsia"/>
                <w:color w:val="000000"/>
                <w:w w:val="15"/>
                <w:shd w:val="solid" w:color="000000" w:fill="000000"/>
                <w:fitText w:val="25" w:id="-961835508"/>
                <w14:textFill>
                  <w14:solidFill>
                    <w14:srgbClr w14:val="000000">
                      <w14:alpha w14:val="100000"/>
                    </w14:srgbClr>
                  </w14:solidFill>
                </w14:textFill>
              </w:rPr>
              <w:t xml:space="preserve">　</w:t>
            </w:r>
            <w:r w:rsidRPr="006E162D">
              <w:rPr>
                <w:rFonts w:cs="Calibri"/>
                <w:color w:val="000000"/>
                <w:w w:val="15"/>
                <w:shd w:val="solid" w:color="000000" w:fill="000000"/>
                <w:fitText w:val="25" w:id="-961835508"/>
                <w14:textFill>
                  <w14:solidFill>
                    <w14:srgbClr w14:val="000000">
                      <w14:alpha w14:val="100000"/>
                    </w14:srgbClr>
                  </w14:solidFill>
                </w14:textFill>
              </w:rPr>
              <w:t>|</w:t>
            </w:r>
            <w:r w:rsidRPr="006E162D">
              <w:rPr>
                <w:rFonts w:cs="Calibri" w:hint="eastAsia"/>
                <w:color w:val="000000"/>
                <w:spacing w:val="-41"/>
                <w:w w:val="15"/>
                <w:shd w:val="solid" w:color="000000" w:fill="000000"/>
                <w:fitText w:val="25" w:id="-961835508"/>
                <w14:textFill>
                  <w14:solidFill>
                    <w14:srgbClr w14:val="000000">
                      <w14:alpha w14:val="100000"/>
                    </w14:srgbClr>
                  </w14:solidFill>
                </w14:textFill>
              </w:rPr>
              <w:t xml:space="preserve">　</w:t>
            </w:r>
            <w:r w:rsidR="006B7B61" w:rsidRPr="00233CFE">
              <w:rPr>
                <w:vertAlign w:val="superscript"/>
              </w:rPr>
              <w:t>3</w:t>
            </w:r>
          </w:p>
        </w:tc>
      </w:tr>
      <w:tr w:rsidR="00F377F3" w:rsidRPr="00CD4FAB" w14:paraId="34C2D498" w14:textId="77777777" w:rsidTr="008E687B">
        <w:trPr>
          <w:trHeight w:val="20"/>
        </w:trPr>
        <w:tc>
          <w:tcPr>
            <w:tcW w:w="5000" w:type="pct"/>
            <w:gridSpan w:val="7"/>
          </w:tcPr>
          <w:p w14:paraId="1051FF7B" w14:textId="77777777" w:rsidR="00263DD8" w:rsidRPr="00233CFE" w:rsidRDefault="00263DD8" w:rsidP="008E687B">
            <w:pPr>
              <w:pStyle w:val="PBACTableText"/>
              <w:keepNext/>
              <w:spacing w:before="0" w:after="0"/>
              <w:rPr>
                <w:b/>
                <w:bCs/>
              </w:rPr>
            </w:pPr>
            <w:r w:rsidRPr="00233CFE">
              <w:rPr>
                <w:b/>
              </w:rPr>
              <w:t>Durvalumab (Options A and B)</w:t>
            </w:r>
          </w:p>
        </w:tc>
      </w:tr>
      <w:tr w:rsidR="00F377F3" w:rsidRPr="00CD4FAB" w14:paraId="0FE82570" w14:textId="77777777" w:rsidTr="00730ECC">
        <w:trPr>
          <w:trHeight w:val="20"/>
        </w:trPr>
        <w:tc>
          <w:tcPr>
            <w:tcW w:w="998" w:type="pct"/>
          </w:tcPr>
          <w:p w14:paraId="3162ACED" w14:textId="4428E6B3" w:rsidR="00263DD8" w:rsidRPr="00233CFE" w:rsidRDefault="00263DD8" w:rsidP="008E687B">
            <w:pPr>
              <w:pStyle w:val="PBACTableText"/>
              <w:spacing w:before="0" w:after="0"/>
            </w:pPr>
            <w:r w:rsidRPr="00233CFE">
              <w:t>Number of patients</w:t>
            </w:r>
          </w:p>
        </w:tc>
        <w:tc>
          <w:tcPr>
            <w:tcW w:w="650" w:type="pct"/>
            <w:vAlign w:val="center"/>
          </w:tcPr>
          <w:p w14:paraId="3190D48B" w14:textId="337A7D93" w:rsidR="00263DD8" w:rsidRPr="00D221AB" w:rsidRDefault="00924D5E" w:rsidP="00730ECC">
            <w:pPr>
              <w:pStyle w:val="PBACTableText"/>
              <w:spacing w:before="0" w:after="0"/>
              <w:jc w:val="center"/>
              <w:rPr>
                <w:highlight w:val="lightGray"/>
              </w:rPr>
            </w:pPr>
            <w:r w:rsidRPr="00924D5E">
              <w:rPr>
                <w:rFonts w:hint="eastAsia"/>
                <w:color w:val="000000"/>
                <w:w w:val="15"/>
                <w:shd w:val="solid" w:color="000000" w:fill="000000"/>
                <w:fitText w:val="50" w:id="-961835507"/>
                <w14:textFill>
                  <w14:solidFill>
                    <w14:srgbClr w14:val="000000">
                      <w14:alpha w14:val="100000"/>
                    </w14:srgbClr>
                  </w14:solidFill>
                </w14:textFill>
              </w:rPr>
              <w:t xml:space="preserve">　</w:t>
            </w:r>
            <w:r w:rsidRPr="00924D5E">
              <w:rPr>
                <w:color w:val="000000"/>
                <w:w w:val="15"/>
                <w:shd w:val="solid" w:color="000000" w:fill="000000"/>
                <w:fitText w:val="50" w:id="-961835507"/>
                <w14:textFill>
                  <w14:solidFill>
                    <w14:srgbClr w14:val="000000">
                      <w14:alpha w14:val="100000"/>
                    </w14:srgbClr>
                  </w14:solidFill>
                </w14:textFill>
              </w:rPr>
              <w:t>|</w:t>
            </w:r>
            <w:r w:rsidRPr="00924D5E">
              <w:rPr>
                <w:rFonts w:hint="eastAsia"/>
                <w:color w:val="000000"/>
                <w:spacing w:val="-15"/>
                <w:w w:val="15"/>
                <w:shd w:val="solid" w:color="000000" w:fill="000000"/>
                <w:fitText w:val="50" w:id="-961835507"/>
                <w14:textFill>
                  <w14:solidFill>
                    <w14:srgbClr w14:val="000000">
                      <w14:alpha w14:val="100000"/>
                    </w14:srgbClr>
                  </w14:solidFill>
                </w14:textFill>
              </w:rPr>
              <w:t xml:space="preserve">　</w:t>
            </w:r>
            <w:r w:rsidR="00F546D2" w:rsidRPr="00233CFE">
              <w:rPr>
                <w:vertAlign w:val="superscript"/>
              </w:rPr>
              <w:t>1</w:t>
            </w:r>
          </w:p>
        </w:tc>
        <w:tc>
          <w:tcPr>
            <w:tcW w:w="629" w:type="pct"/>
            <w:vAlign w:val="center"/>
          </w:tcPr>
          <w:p w14:paraId="1C36A72C" w14:textId="10D4A4EA" w:rsidR="00263DD8" w:rsidRPr="00233CFE" w:rsidRDefault="00924D5E" w:rsidP="00730ECC">
            <w:pPr>
              <w:pStyle w:val="PBACTableText"/>
              <w:spacing w:before="0" w:after="0"/>
              <w:jc w:val="center"/>
            </w:pPr>
            <w:r w:rsidRPr="00924D5E">
              <w:rPr>
                <w:rFonts w:hint="eastAsia"/>
                <w:color w:val="000000"/>
                <w:w w:val="15"/>
                <w:shd w:val="solid" w:color="000000" w:fill="000000"/>
                <w:fitText w:val="63" w:id="-961835506"/>
                <w14:textFill>
                  <w14:solidFill>
                    <w14:srgbClr w14:val="000000">
                      <w14:alpha w14:val="100000"/>
                    </w14:srgbClr>
                  </w14:solidFill>
                </w14:textFill>
              </w:rPr>
              <w:t xml:space="preserve">　</w:t>
            </w:r>
            <w:r w:rsidRPr="00924D5E">
              <w:rPr>
                <w:color w:val="000000"/>
                <w:w w:val="15"/>
                <w:shd w:val="solid" w:color="000000" w:fill="000000"/>
                <w:fitText w:val="63" w:id="-961835506"/>
                <w14:textFill>
                  <w14:solidFill>
                    <w14:srgbClr w14:val="000000">
                      <w14:alpha w14:val="100000"/>
                    </w14:srgbClr>
                  </w14:solidFill>
                </w14:textFill>
              </w:rPr>
              <w:t>|</w:t>
            </w:r>
            <w:r w:rsidRPr="00924D5E">
              <w:rPr>
                <w:rFonts w:hint="eastAsia"/>
                <w:color w:val="000000"/>
                <w:spacing w:val="-2"/>
                <w:w w:val="15"/>
                <w:shd w:val="solid" w:color="000000" w:fill="000000"/>
                <w:fitText w:val="63" w:id="-961835506"/>
                <w14:textFill>
                  <w14:solidFill>
                    <w14:srgbClr w14:val="000000">
                      <w14:alpha w14:val="100000"/>
                    </w14:srgbClr>
                  </w14:solidFill>
                </w14:textFill>
              </w:rPr>
              <w:t xml:space="preserve">　</w:t>
            </w:r>
            <w:r w:rsidR="00F546D2" w:rsidRPr="00233CFE">
              <w:rPr>
                <w:vertAlign w:val="superscript"/>
              </w:rPr>
              <w:t>1</w:t>
            </w:r>
          </w:p>
        </w:tc>
        <w:tc>
          <w:tcPr>
            <w:tcW w:w="644" w:type="pct"/>
            <w:vAlign w:val="center"/>
          </w:tcPr>
          <w:p w14:paraId="77B8122E" w14:textId="32F6C131" w:rsidR="00263DD8" w:rsidRPr="00D221AB" w:rsidRDefault="00924D5E" w:rsidP="00730ECC">
            <w:pPr>
              <w:pStyle w:val="PBACTableText"/>
              <w:spacing w:before="0" w:after="0"/>
              <w:jc w:val="center"/>
              <w:rPr>
                <w:highlight w:val="lightGray"/>
              </w:rPr>
            </w:pPr>
            <w:r w:rsidRPr="00924D5E">
              <w:rPr>
                <w:rFonts w:hint="eastAsia"/>
                <w:color w:val="000000"/>
                <w:w w:val="15"/>
                <w:shd w:val="solid" w:color="000000" w:fill="000000"/>
                <w:fitText w:val="50" w:id="-961835505"/>
                <w14:textFill>
                  <w14:solidFill>
                    <w14:srgbClr w14:val="000000">
                      <w14:alpha w14:val="100000"/>
                    </w14:srgbClr>
                  </w14:solidFill>
                </w14:textFill>
              </w:rPr>
              <w:t xml:space="preserve">　</w:t>
            </w:r>
            <w:r w:rsidRPr="00924D5E">
              <w:rPr>
                <w:color w:val="000000"/>
                <w:w w:val="15"/>
                <w:shd w:val="solid" w:color="000000" w:fill="000000"/>
                <w:fitText w:val="50" w:id="-961835505"/>
                <w14:textFill>
                  <w14:solidFill>
                    <w14:srgbClr w14:val="000000">
                      <w14:alpha w14:val="100000"/>
                    </w14:srgbClr>
                  </w14:solidFill>
                </w14:textFill>
              </w:rPr>
              <w:t>|</w:t>
            </w:r>
            <w:r w:rsidRPr="00924D5E">
              <w:rPr>
                <w:rFonts w:hint="eastAsia"/>
                <w:color w:val="000000"/>
                <w:spacing w:val="-15"/>
                <w:w w:val="15"/>
                <w:shd w:val="solid" w:color="000000" w:fill="000000"/>
                <w:fitText w:val="50" w:id="-961835505"/>
                <w14:textFill>
                  <w14:solidFill>
                    <w14:srgbClr w14:val="000000">
                      <w14:alpha w14:val="100000"/>
                    </w14:srgbClr>
                  </w14:solidFill>
                </w14:textFill>
              </w:rPr>
              <w:t xml:space="preserve">　</w:t>
            </w:r>
            <w:r w:rsidR="00F546D2" w:rsidRPr="00233CFE">
              <w:rPr>
                <w:vertAlign w:val="superscript"/>
              </w:rPr>
              <w:t>1</w:t>
            </w:r>
          </w:p>
        </w:tc>
        <w:tc>
          <w:tcPr>
            <w:tcW w:w="693" w:type="pct"/>
            <w:vAlign w:val="center"/>
          </w:tcPr>
          <w:p w14:paraId="6B9E6EB0" w14:textId="707FB5F2" w:rsidR="00263DD8" w:rsidRPr="00D221AB" w:rsidRDefault="00924D5E" w:rsidP="00730ECC">
            <w:pPr>
              <w:pStyle w:val="PBACTableText"/>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F546D2" w:rsidRPr="00233CFE">
              <w:rPr>
                <w:vertAlign w:val="superscript"/>
              </w:rPr>
              <w:t>1</w:t>
            </w:r>
          </w:p>
        </w:tc>
        <w:tc>
          <w:tcPr>
            <w:tcW w:w="708" w:type="pct"/>
            <w:vAlign w:val="center"/>
          </w:tcPr>
          <w:p w14:paraId="38093912" w14:textId="1FE11AAF" w:rsidR="00263DD8" w:rsidRPr="00D221AB" w:rsidRDefault="00924D5E" w:rsidP="00730ECC">
            <w:pPr>
              <w:pStyle w:val="PBACTableText"/>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F546D2" w:rsidRPr="00233CFE">
              <w:rPr>
                <w:vertAlign w:val="superscript"/>
              </w:rPr>
              <w:t>1</w:t>
            </w:r>
          </w:p>
        </w:tc>
        <w:tc>
          <w:tcPr>
            <w:tcW w:w="678" w:type="pct"/>
            <w:vAlign w:val="center"/>
          </w:tcPr>
          <w:p w14:paraId="54DF2701" w14:textId="4A429E5C" w:rsidR="00263DD8" w:rsidRPr="00D221AB" w:rsidRDefault="00924D5E" w:rsidP="00730ECC">
            <w:pPr>
              <w:pStyle w:val="PBACTableText"/>
              <w:spacing w:before="0" w:after="0"/>
              <w:jc w:val="center"/>
              <w:rPr>
                <w:highlight w:val="lightGray"/>
              </w:rPr>
            </w:pPr>
            <w:r w:rsidRPr="006E162D">
              <w:rPr>
                <w:rFonts w:hint="eastAsia"/>
                <w:color w:val="000000"/>
                <w:w w:val="15"/>
                <w:shd w:val="solid" w:color="000000" w:fill="000000"/>
                <w:fitText w:val="25" w:id="-961835504"/>
                <w14:textFill>
                  <w14:solidFill>
                    <w14:srgbClr w14:val="000000">
                      <w14:alpha w14:val="100000"/>
                    </w14:srgbClr>
                  </w14:solidFill>
                </w14:textFill>
              </w:rPr>
              <w:t xml:space="preserve">　</w:t>
            </w:r>
            <w:r w:rsidRPr="006E162D">
              <w:rPr>
                <w:color w:val="000000"/>
                <w:w w:val="15"/>
                <w:shd w:val="solid" w:color="000000" w:fill="000000"/>
                <w:fitText w:val="25" w:id="-961835504"/>
                <w14:textFill>
                  <w14:solidFill>
                    <w14:srgbClr w14:val="000000">
                      <w14:alpha w14:val="100000"/>
                    </w14:srgbClr>
                  </w14:solidFill>
                </w14:textFill>
              </w:rPr>
              <w:t>|</w:t>
            </w:r>
            <w:r w:rsidRPr="006E162D">
              <w:rPr>
                <w:rFonts w:hint="eastAsia"/>
                <w:color w:val="000000"/>
                <w:spacing w:val="-41"/>
                <w:w w:val="15"/>
                <w:shd w:val="solid" w:color="000000" w:fill="000000"/>
                <w:fitText w:val="25" w:id="-961835504"/>
                <w14:textFill>
                  <w14:solidFill>
                    <w14:srgbClr w14:val="000000">
                      <w14:alpha w14:val="100000"/>
                    </w14:srgbClr>
                  </w14:solidFill>
                </w14:textFill>
              </w:rPr>
              <w:t xml:space="preserve">　</w:t>
            </w:r>
            <w:r w:rsidR="00F546D2" w:rsidRPr="00233CFE">
              <w:rPr>
                <w:vertAlign w:val="superscript"/>
              </w:rPr>
              <w:t>1</w:t>
            </w:r>
          </w:p>
        </w:tc>
      </w:tr>
      <w:tr w:rsidR="00AF534F" w:rsidRPr="00CD4FAB" w14:paraId="50A4B1B2" w14:textId="77777777" w:rsidTr="00730ECC">
        <w:trPr>
          <w:trHeight w:val="20"/>
        </w:trPr>
        <w:tc>
          <w:tcPr>
            <w:tcW w:w="998" w:type="pct"/>
          </w:tcPr>
          <w:p w14:paraId="57F0E585" w14:textId="57735C87" w:rsidR="00AF534F" w:rsidRPr="00233CFE" w:rsidRDefault="00AF534F" w:rsidP="00AF534F">
            <w:pPr>
              <w:pStyle w:val="PBACTableText"/>
              <w:spacing w:before="0" w:after="0"/>
            </w:pPr>
            <w:r w:rsidRPr="00233CFE">
              <w:t>Number of scripts</w:t>
            </w:r>
          </w:p>
        </w:tc>
        <w:tc>
          <w:tcPr>
            <w:tcW w:w="650" w:type="pct"/>
            <w:vAlign w:val="center"/>
          </w:tcPr>
          <w:p w14:paraId="4FA2031F" w14:textId="33E5DCBB" w:rsidR="00AF534F" w:rsidRPr="00D221AB" w:rsidRDefault="00924D5E" w:rsidP="00AF534F">
            <w:pPr>
              <w:pStyle w:val="PBACTableText"/>
              <w:keepNext/>
              <w:spacing w:before="0" w:after="0"/>
              <w:jc w:val="center"/>
              <w:rPr>
                <w:highlight w:val="lightGray"/>
              </w:rPr>
            </w:pPr>
            <w:r w:rsidRPr="00924D5E">
              <w:rPr>
                <w:rFonts w:hint="eastAsia"/>
                <w:color w:val="000000"/>
                <w:w w:val="15"/>
                <w:shd w:val="solid" w:color="000000" w:fill="000000"/>
                <w:fitText w:val="50" w:id="-961835520"/>
                <w14:textFill>
                  <w14:solidFill>
                    <w14:srgbClr w14:val="000000">
                      <w14:alpha w14:val="100000"/>
                    </w14:srgbClr>
                  </w14:solidFill>
                </w14:textFill>
              </w:rPr>
              <w:t xml:space="preserve">　</w:t>
            </w:r>
            <w:r w:rsidRPr="00924D5E">
              <w:rPr>
                <w:color w:val="000000"/>
                <w:w w:val="15"/>
                <w:shd w:val="solid" w:color="000000" w:fill="000000"/>
                <w:fitText w:val="50" w:id="-961835520"/>
                <w14:textFill>
                  <w14:solidFill>
                    <w14:srgbClr w14:val="000000">
                      <w14:alpha w14:val="100000"/>
                    </w14:srgbClr>
                  </w14:solidFill>
                </w14:textFill>
              </w:rPr>
              <w:t>|</w:t>
            </w:r>
            <w:r w:rsidRPr="00924D5E">
              <w:rPr>
                <w:rFonts w:hint="eastAsia"/>
                <w:color w:val="000000"/>
                <w:spacing w:val="-15"/>
                <w:w w:val="15"/>
                <w:shd w:val="solid" w:color="000000" w:fill="000000"/>
                <w:fitText w:val="50" w:id="-961835520"/>
                <w14:textFill>
                  <w14:solidFill>
                    <w14:srgbClr w14:val="000000">
                      <w14:alpha w14:val="100000"/>
                    </w14:srgbClr>
                  </w14:solidFill>
                </w14:textFill>
              </w:rPr>
              <w:t xml:space="preserve">　</w:t>
            </w:r>
            <w:r w:rsidR="00F546D2" w:rsidRPr="00233CFE">
              <w:rPr>
                <w:vertAlign w:val="superscript"/>
              </w:rPr>
              <w:t>1</w:t>
            </w:r>
          </w:p>
        </w:tc>
        <w:tc>
          <w:tcPr>
            <w:tcW w:w="629" w:type="pct"/>
            <w:vAlign w:val="center"/>
          </w:tcPr>
          <w:p w14:paraId="155E9401" w14:textId="4EFB2D3B" w:rsidR="00AF534F" w:rsidRPr="00D221AB" w:rsidRDefault="00924D5E" w:rsidP="00AF534F">
            <w:pPr>
              <w:pStyle w:val="PBACTableText"/>
              <w:keepNext/>
              <w:spacing w:before="0" w:after="0"/>
              <w:jc w:val="center"/>
              <w:rPr>
                <w:highlight w:val="lightGray"/>
              </w:rPr>
            </w:pPr>
            <w:r w:rsidRPr="00924D5E">
              <w:rPr>
                <w:rFonts w:hint="eastAsia"/>
                <w:color w:val="000000"/>
                <w:w w:val="15"/>
                <w:shd w:val="solid" w:color="000000" w:fill="000000"/>
                <w:fitText w:val="63" w:id="-961835519"/>
                <w14:textFill>
                  <w14:solidFill>
                    <w14:srgbClr w14:val="000000">
                      <w14:alpha w14:val="100000"/>
                    </w14:srgbClr>
                  </w14:solidFill>
                </w14:textFill>
              </w:rPr>
              <w:t xml:space="preserve">　</w:t>
            </w:r>
            <w:r w:rsidRPr="00924D5E">
              <w:rPr>
                <w:color w:val="000000"/>
                <w:w w:val="15"/>
                <w:shd w:val="solid" w:color="000000" w:fill="000000"/>
                <w:fitText w:val="63" w:id="-961835519"/>
                <w14:textFill>
                  <w14:solidFill>
                    <w14:srgbClr w14:val="000000">
                      <w14:alpha w14:val="100000"/>
                    </w14:srgbClr>
                  </w14:solidFill>
                </w14:textFill>
              </w:rPr>
              <w:t>|</w:t>
            </w:r>
            <w:r w:rsidRPr="00924D5E">
              <w:rPr>
                <w:rFonts w:hint="eastAsia"/>
                <w:color w:val="000000"/>
                <w:spacing w:val="-2"/>
                <w:w w:val="15"/>
                <w:shd w:val="solid" w:color="000000" w:fill="000000"/>
                <w:fitText w:val="63" w:id="-961835519"/>
                <w14:textFill>
                  <w14:solidFill>
                    <w14:srgbClr w14:val="000000">
                      <w14:alpha w14:val="100000"/>
                    </w14:srgbClr>
                  </w14:solidFill>
                </w14:textFill>
              </w:rPr>
              <w:t xml:space="preserve">　</w:t>
            </w:r>
            <w:r w:rsidR="00F546D2" w:rsidRPr="00233CFE">
              <w:rPr>
                <w:vertAlign w:val="superscript"/>
              </w:rPr>
              <w:t>1</w:t>
            </w:r>
          </w:p>
        </w:tc>
        <w:tc>
          <w:tcPr>
            <w:tcW w:w="644" w:type="pct"/>
            <w:vAlign w:val="center"/>
          </w:tcPr>
          <w:p w14:paraId="6860B8BC" w14:textId="3B36E19C" w:rsidR="00AF534F" w:rsidRPr="00D221AB" w:rsidRDefault="00924D5E" w:rsidP="00AF534F">
            <w:pPr>
              <w:pStyle w:val="PBACTableText"/>
              <w:spacing w:before="0" w:after="0"/>
              <w:jc w:val="center"/>
              <w:rPr>
                <w:highlight w:val="lightGray"/>
              </w:rPr>
            </w:pPr>
            <w:r w:rsidRPr="00924D5E">
              <w:rPr>
                <w:rFonts w:hint="eastAsia"/>
                <w:color w:val="000000"/>
                <w:w w:val="15"/>
                <w:shd w:val="solid" w:color="000000" w:fill="000000"/>
                <w:fitText w:val="50" w:id="-961835518"/>
                <w14:textFill>
                  <w14:solidFill>
                    <w14:srgbClr w14:val="000000">
                      <w14:alpha w14:val="100000"/>
                    </w14:srgbClr>
                  </w14:solidFill>
                </w14:textFill>
              </w:rPr>
              <w:t xml:space="preserve">　</w:t>
            </w:r>
            <w:r w:rsidRPr="00924D5E">
              <w:rPr>
                <w:color w:val="000000"/>
                <w:w w:val="15"/>
                <w:shd w:val="solid" w:color="000000" w:fill="000000"/>
                <w:fitText w:val="50" w:id="-961835518"/>
                <w14:textFill>
                  <w14:solidFill>
                    <w14:srgbClr w14:val="000000">
                      <w14:alpha w14:val="100000"/>
                    </w14:srgbClr>
                  </w14:solidFill>
                </w14:textFill>
              </w:rPr>
              <w:t>|</w:t>
            </w:r>
            <w:r w:rsidRPr="00924D5E">
              <w:rPr>
                <w:rFonts w:hint="eastAsia"/>
                <w:color w:val="000000"/>
                <w:spacing w:val="-15"/>
                <w:w w:val="15"/>
                <w:shd w:val="solid" w:color="000000" w:fill="000000"/>
                <w:fitText w:val="50" w:id="-961835518"/>
                <w14:textFill>
                  <w14:solidFill>
                    <w14:srgbClr w14:val="000000">
                      <w14:alpha w14:val="100000"/>
                    </w14:srgbClr>
                  </w14:solidFill>
                </w14:textFill>
              </w:rPr>
              <w:t xml:space="preserve">　</w:t>
            </w:r>
            <w:r w:rsidR="00F546D2" w:rsidRPr="00233CFE">
              <w:rPr>
                <w:vertAlign w:val="superscript"/>
              </w:rPr>
              <w:t>1</w:t>
            </w:r>
          </w:p>
        </w:tc>
        <w:tc>
          <w:tcPr>
            <w:tcW w:w="693" w:type="pct"/>
            <w:vAlign w:val="center"/>
          </w:tcPr>
          <w:p w14:paraId="619C0459" w14:textId="1A06425C" w:rsidR="00AF534F" w:rsidRPr="00D221AB" w:rsidRDefault="00924D5E" w:rsidP="00AF534F">
            <w:pPr>
              <w:pStyle w:val="PBACTableText"/>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F546D2" w:rsidRPr="00233CFE">
              <w:rPr>
                <w:vertAlign w:val="superscript"/>
              </w:rPr>
              <w:t>1</w:t>
            </w:r>
          </w:p>
        </w:tc>
        <w:tc>
          <w:tcPr>
            <w:tcW w:w="708" w:type="pct"/>
            <w:vAlign w:val="center"/>
          </w:tcPr>
          <w:p w14:paraId="395FB46E" w14:textId="41240155" w:rsidR="00AF534F" w:rsidRPr="00D221AB" w:rsidRDefault="00924D5E" w:rsidP="00AF534F">
            <w:pPr>
              <w:pStyle w:val="PBACTableText"/>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0E2789" w:rsidRPr="00233CFE">
              <w:rPr>
                <w:vertAlign w:val="superscript"/>
              </w:rPr>
              <w:t>2</w:t>
            </w:r>
          </w:p>
        </w:tc>
        <w:tc>
          <w:tcPr>
            <w:tcW w:w="678" w:type="pct"/>
            <w:vAlign w:val="center"/>
          </w:tcPr>
          <w:p w14:paraId="2799C198" w14:textId="76F9141C" w:rsidR="00AF534F" w:rsidRPr="00D221AB" w:rsidRDefault="00924D5E" w:rsidP="00AF534F">
            <w:pPr>
              <w:pStyle w:val="PBACTableText"/>
              <w:spacing w:before="0" w:after="0"/>
              <w:jc w:val="center"/>
              <w:rPr>
                <w:highlight w:val="lightGray"/>
              </w:rPr>
            </w:pPr>
            <w:r w:rsidRPr="006E162D">
              <w:rPr>
                <w:rFonts w:hint="eastAsia"/>
                <w:color w:val="000000"/>
                <w:w w:val="15"/>
                <w:shd w:val="solid" w:color="000000" w:fill="000000"/>
                <w:fitText w:val="25" w:id="-961835517"/>
                <w14:textFill>
                  <w14:solidFill>
                    <w14:srgbClr w14:val="000000">
                      <w14:alpha w14:val="100000"/>
                    </w14:srgbClr>
                  </w14:solidFill>
                </w14:textFill>
              </w:rPr>
              <w:t xml:space="preserve">　</w:t>
            </w:r>
            <w:r w:rsidRPr="006E162D">
              <w:rPr>
                <w:color w:val="000000"/>
                <w:w w:val="15"/>
                <w:shd w:val="solid" w:color="000000" w:fill="000000"/>
                <w:fitText w:val="25" w:id="-961835517"/>
                <w14:textFill>
                  <w14:solidFill>
                    <w14:srgbClr w14:val="000000">
                      <w14:alpha w14:val="100000"/>
                    </w14:srgbClr>
                  </w14:solidFill>
                </w14:textFill>
              </w:rPr>
              <w:t>|</w:t>
            </w:r>
            <w:r w:rsidRPr="006E162D">
              <w:rPr>
                <w:rFonts w:hint="eastAsia"/>
                <w:color w:val="000000"/>
                <w:spacing w:val="-41"/>
                <w:w w:val="15"/>
                <w:shd w:val="solid" w:color="000000" w:fill="000000"/>
                <w:fitText w:val="25" w:id="-961835517"/>
                <w14:textFill>
                  <w14:solidFill>
                    <w14:srgbClr w14:val="000000">
                      <w14:alpha w14:val="100000"/>
                    </w14:srgbClr>
                  </w14:solidFill>
                </w14:textFill>
              </w:rPr>
              <w:t xml:space="preserve">　</w:t>
            </w:r>
            <w:r w:rsidR="000E2789" w:rsidRPr="00233CFE">
              <w:rPr>
                <w:vertAlign w:val="superscript"/>
              </w:rPr>
              <w:t>2</w:t>
            </w:r>
          </w:p>
        </w:tc>
      </w:tr>
      <w:tr w:rsidR="00454C4E" w:rsidRPr="00CD4FAB" w14:paraId="5659D737" w14:textId="77777777" w:rsidTr="00454C4E">
        <w:trPr>
          <w:trHeight w:val="20"/>
        </w:trPr>
        <w:tc>
          <w:tcPr>
            <w:tcW w:w="998" w:type="pct"/>
          </w:tcPr>
          <w:p w14:paraId="5941CC75" w14:textId="208E9023" w:rsidR="00454C4E" w:rsidRPr="00233CFE" w:rsidRDefault="00454C4E" w:rsidP="00454C4E">
            <w:pPr>
              <w:pStyle w:val="PBACTableText"/>
              <w:spacing w:before="0" w:after="0"/>
            </w:pPr>
            <w:r w:rsidRPr="00233CFE">
              <w:t>Net cost PBS/RPBS</w:t>
            </w:r>
          </w:p>
        </w:tc>
        <w:tc>
          <w:tcPr>
            <w:tcW w:w="650" w:type="pct"/>
          </w:tcPr>
          <w:p w14:paraId="4C4D99B1" w14:textId="4FE26DBD" w:rsidR="00454C4E" w:rsidRPr="00D221AB" w:rsidRDefault="00924D5E" w:rsidP="00454C4E">
            <w:pPr>
              <w:pStyle w:val="PBACTableText"/>
              <w:keepNext/>
              <w:spacing w:before="0" w:after="0"/>
              <w:jc w:val="center"/>
              <w:rPr>
                <w:highlight w:val="lightGray"/>
              </w:rPr>
            </w:pPr>
            <w:r w:rsidRPr="00924D5E">
              <w:rPr>
                <w:rFonts w:hint="eastAsia"/>
                <w:color w:val="000000"/>
                <w:w w:val="15"/>
                <w:shd w:val="solid" w:color="000000" w:fill="000000"/>
                <w:fitText w:val="50" w:id="-961835516"/>
                <w14:textFill>
                  <w14:solidFill>
                    <w14:srgbClr w14:val="000000">
                      <w14:alpha w14:val="100000"/>
                    </w14:srgbClr>
                  </w14:solidFill>
                </w14:textFill>
              </w:rPr>
              <w:t xml:space="preserve">　</w:t>
            </w:r>
            <w:r w:rsidRPr="00924D5E">
              <w:rPr>
                <w:color w:val="000000"/>
                <w:w w:val="15"/>
                <w:shd w:val="solid" w:color="000000" w:fill="000000"/>
                <w:fitText w:val="50" w:id="-961835516"/>
                <w14:textFill>
                  <w14:solidFill>
                    <w14:srgbClr w14:val="000000">
                      <w14:alpha w14:val="100000"/>
                    </w14:srgbClr>
                  </w14:solidFill>
                </w14:textFill>
              </w:rPr>
              <w:t>|</w:t>
            </w:r>
            <w:r w:rsidRPr="00924D5E">
              <w:rPr>
                <w:rFonts w:hint="eastAsia"/>
                <w:color w:val="000000"/>
                <w:spacing w:val="-15"/>
                <w:w w:val="15"/>
                <w:shd w:val="solid" w:color="000000" w:fill="000000"/>
                <w:fitText w:val="50" w:id="-961835516"/>
                <w14:textFill>
                  <w14:solidFill>
                    <w14:srgbClr w14:val="000000">
                      <w14:alpha w14:val="100000"/>
                    </w14:srgbClr>
                  </w14:solidFill>
                </w14:textFill>
              </w:rPr>
              <w:t xml:space="preserve">　</w:t>
            </w:r>
            <w:r w:rsidR="006B7B61" w:rsidRPr="00233CFE">
              <w:rPr>
                <w:vertAlign w:val="superscript"/>
              </w:rPr>
              <w:t>3</w:t>
            </w:r>
          </w:p>
        </w:tc>
        <w:tc>
          <w:tcPr>
            <w:tcW w:w="629" w:type="pct"/>
          </w:tcPr>
          <w:p w14:paraId="580DF86F" w14:textId="7EBFCEDA" w:rsidR="00454C4E" w:rsidRPr="00D221AB" w:rsidRDefault="00924D5E" w:rsidP="00454C4E">
            <w:pPr>
              <w:pStyle w:val="PBACTableText"/>
              <w:keepNext/>
              <w:spacing w:before="0" w:after="0"/>
              <w:jc w:val="center"/>
              <w:rPr>
                <w:highlight w:val="lightGray"/>
              </w:rPr>
            </w:pPr>
            <w:r w:rsidRPr="00924D5E">
              <w:rPr>
                <w:rFonts w:hint="eastAsia"/>
                <w:color w:val="000000"/>
                <w:w w:val="15"/>
                <w:shd w:val="solid" w:color="000000" w:fill="000000"/>
                <w:fitText w:val="63" w:id="-961835515"/>
                <w14:textFill>
                  <w14:solidFill>
                    <w14:srgbClr w14:val="000000">
                      <w14:alpha w14:val="100000"/>
                    </w14:srgbClr>
                  </w14:solidFill>
                </w14:textFill>
              </w:rPr>
              <w:t xml:space="preserve">　</w:t>
            </w:r>
            <w:r w:rsidRPr="00924D5E">
              <w:rPr>
                <w:color w:val="000000"/>
                <w:w w:val="15"/>
                <w:shd w:val="solid" w:color="000000" w:fill="000000"/>
                <w:fitText w:val="63" w:id="-961835515"/>
                <w14:textFill>
                  <w14:solidFill>
                    <w14:srgbClr w14:val="000000">
                      <w14:alpha w14:val="100000"/>
                    </w14:srgbClr>
                  </w14:solidFill>
                </w14:textFill>
              </w:rPr>
              <w:t>|</w:t>
            </w:r>
            <w:r w:rsidRPr="00924D5E">
              <w:rPr>
                <w:rFonts w:hint="eastAsia"/>
                <w:color w:val="000000"/>
                <w:spacing w:val="-2"/>
                <w:w w:val="15"/>
                <w:shd w:val="solid" w:color="000000" w:fill="000000"/>
                <w:fitText w:val="63" w:id="-961835515"/>
                <w14:textFill>
                  <w14:solidFill>
                    <w14:srgbClr w14:val="000000">
                      <w14:alpha w14:val="100000"/>
                    </w14:srgbClr>
                  </w14:solidFill>
                </w14:textFill>
              </w:rPr>
              <w:t xml:space="preserve">　</w:t>
            </w:r>
            <w:r w:rsidR="006B7B61" w:rsidRPr="00233CFE">
              <w:rPr>
                <w:vertAlign w:val="superscript"/>
              </w:rPr>
              <w:t>3</w:t>
            </w:r>
          </w:p>
        </w:tc>
        <w:tc>
          <w:tcPr>
            <w:tcW w:w="644" w:type="pct"/>
            <w:vAlign w:val="center"/>
          </w:tcPr>
          <w:p w14:paraId="2B00B210" w14:textId="4FCAB896" w:rsidR="00454C4E" w:rsidRPr="00D221AB" w:rsidRDefault="00924D5E" w:rsidP="00454C4E">
            <w:pPr>
              <w:pStyle w:val="PBACTableText"/>
              <w:spacing w:before="0" w:after="0"/>
              <w:jc w:val="center"/>
              <w:rPr>
                <w:bCs/>
                <w:highlight w:val="lightGray"/>
              </w:rPr>
            </w:pPr>
            <w:r w:rsidRPr="00924D5E">
              <w:rPr>
                <w:rFonts w:hint="eastAsia"/>
                <w:color w:val="000000"/>
                <w:w w:val="15"/>
                <w:shd w:val="solid" w:color="000000" w:fill="000000"/>
                <w:fitText w:val="50" w:id="-961835514"/>
                <w14:textFill>
                  <w14:solidFill>
                    <w14:srgbClr w14:val="000000">
                      <w14:alpha w14:val="100000"/>
                    </w14:srgbClr>
                  </w14:solidFill>
                </w14:textFill>
              </w:rPr>
              <w:t xml:space="preserve">　</w:t>
            </w:r>
            <w:r w:rsidRPr="00924D5E">
              <w:rPr>
                <w:color w:val="000000"/>
                <w:w w:val="15"/>
                <w:shd w:val="solid" w:color="000000" w:fill="000000"/>
                <w:fitText w:val="50" w:id="-961835514"/>
                <w14:textFill>
                  <w14:solidFill>
                    <w14:srgbClr w14:val="000000">
                      <w14:alpha w14:val="100000"/>
                    </w14:srgbClr>
                  </w14:solidFill>
                </w14:textFill>
              </w:rPr>
              <w:t>|</w:t>
            </w:r>
            <w:r w:rsidRPr="00924D5E">
              <w:rPr>
                <w:rFonts w:hint="eastAsia"/>
                <w:color w:val="000000"/>
                <w:spacing w:val="-15"/>
                <w:w w:val="15"/>
                <w:shd w:val="solid" w:color="000000" w:fill="000000"/>
                <w:fitText w:val="50" w:id="-961835514"/>
                <w14:textFill>
                  <w14:solidFill>
                    <w14:srgbClr w14:val="000000">
                      <w14:alpha w14:val="100000"/>
                    </w14:srgbClr>
                  </w14:solidFill>
                </w14:textFill>
              </w:rPr>
              <w:t xml:space="preserve">　</w:t>
            </w:r>
            <w:r w:rsidR="006B7B61" w:rsidRPr="00233CFE">
              <w:rPr>
                <w:vertAlign w:val="superscript"/>
              </w:rPr>
              <w:t>3</w:t>
            </w:r>
          </w:p>
        </w:tc>
        <w:tc>
          <w:tcPr>
            <w:tcW w:w="693" w:type="pct"/>
            <w:vAlign w:val="center"/>
          </w:tcPr>
          <w:p w14:paraId="54BBCD54" w14:textId="72D17716" w:rsidR="00454C4E" w:rsidRPr="00D221AB" w:rsidRDefault="00924D5E" w:rsidP="00454C4E">
            <w:pPr>
              <w:pStyle w:val="PBACTableText"/>
              <w:spacing w:before="0" w:after="0"/>
              <w:jc w:val="center"/>
              <w:rPr>
                <w:bCs/>
                <w:highlight w:val="lightGray"/>
              </w:rPr>
            </w:pPr>
            <w:r w:rsidRPr="00924D5E">
              <w:rPr>
                <w:color w:val="000000"/>
                <w:shd w:val="solid" w:color="000000" w:fill="000000"/>
                <w14:textFill>
                  <w14:solidFill>
                    <w14:srgbClr w14:val="000000">
                      <w14:alpha w14:val="100000"/>
                    </w14:srgbClr>
                  </w14:solidFill>
                </w14:textFill>
              </w:rPr>
              <w:t>|</w:t>
            </w:r>
            <w:r w:rsidR="006B7B61" w:rsidRPr="00233CFE">
              <w:rPr>
                <w:vertAlign w:val="superscript"/>
              </w:rPr>
              <w:t>3</w:t>
            </w:r>
          </w:p>
        </w:tc>
        <w:tc>
          <w:tcPr>
            <w:tcW w:w="708" w:type="pct"/>
            <w:vAlign w:val="center"/>
          </w:tcPr>
          <w:p w14:paraId="43C0EE3A" w14:textId="2DD94B58" w:rsidR="00454C4E" w:rsidRPr="00D221AB" w:rsidRDefault="00924D5E" w:rsidP="00454C4E">
            <w:pPr>
              <w:pStyle w:val="PBACTableText"/>
              <w:spacing w:before="0" w:after="0"/>
              <w:jc w:val="center"/>
              <w:rPr>
                <w:bCs/>
                <w:highlight w:val="lightGray"/>
              </w:rPr>
            </w:pPr>
            <w:r w:rsidRPr="00924D5E">
              <w:rPr>
                <w:color w:val="000000"/>
                <w:shd w:val="solid" w:color="000000" w:fill="000000"/>
                <w14:textFill>
                  <w14:solidFill>
                    <w14:srgbClr w14:val="000000">
                      <w14:alpha w14:val="100000"/>
                    </w14:srgbClr>
                  </w14:solidFill>
                </w14:textFill>
              </w:rPr>
              <w:t>|</w:t>
            </w:r>
            <w:r w:rsidR="006B7B61" w:rsidRPr="00233CFE">
              <w:rPr>
                <w:vertAlign w:val="superscript"/>
              </w:rPr>
              <w:t>3</w:t>
            </w:r>
          </w:p>
        </w:tc>
        <w:tc>
          <w:tcPr>
            <w:tcW w:w="678" w:type="pct"/>
            <w:vAlign w:val="center"/>
          </w:tcPr>
          <w:p w14:paraId="5B7FF153" w14:textId="0C8CCE1A" w:rsidR="00454C4E" w:rsidRPr="00D221AB" w:rsidRDefault="00924D5E" w:rsidP="00454C4E">
            <w:pPr>
              <w:pStyle w:val="PBACTableText"/>
              <w:spacing w:before="0" w:after="0"/>
              <w:jc w:val="center"/>
              <w:rPr>
                <w:bCs/>
                <w:highlight w:val="lightGray"/>
              </w:rPr>
            </w:pPr>
            <w:r w:rsidRPr="006E162D">
              <w:rPr>
                <w:rFonts w:hint="eastAsia"/>
                <w:color w:val="000000"/>
                <w:w w:val="15"/>
                <w:shd w:val="solid" w:color="000000" w:fill="000000"/>
                <w:fitText w:val="25" w:id="-961835513"/>
                <w14:textFill>
                  <w14:solidFill>
                    <w14:srgbClr w14:val="000000">
                      <w14:alpha w14:val="100000"/>
                    </w14:srgbClr>
                  </w14:solidFill>
                </w14:textFill>
              </w:rPr>
              <w:t xml:space="preserve">　</w:t>
            </w:r>
            <w:r w:rsidRPr="006E162D">
              <w:rPr>
                <w:color w:val="000000"/>
                <w:w w:val="15"/>
                <w:shd w:val="solid" w:color="000000" w:fill="000000"/>
                <w:fitText w:val="25" w:id="-961835513"/>
                <w14:textFill>
                  <w14:solidFill>
                    <w14:srgbClr w14:val="000000">
                      <w14:alpha w14:val="100000"/>
                    </w14:srgbClr>
                  </w14:solidFill>
                </w14:textFill>
              </w:rPr>
              <w:t>|</w:t>
            </w:r>
            <w:r w:rsidRPr="006E162D">
              <w:rPr>
                <w:rFonts w:hint="eastAsia"/>
                <w:color w:val="000000"/>
                <w:spacing w:val="-41"/>
                <w:w w:val="15"/>
                <w:shd w:val="solid" w:color="000000" w:fill="000000"/>
                <w:fitText w:val="25" w:id="-961835513"/>
                <w14:textFill>
                  <w14:solidFill>
                    <w14:srgbClr w14:val="000000">
                      <w14:alpha w14:val="100000"/>
                    </w14:srgbClr>
                  </w14:solidFill>
                </w14:textFill>
              </w:rPr>
              <w:t xml:space="preserve">　</w:t>
            </w:r>
            <w:r w:rsidR="006B7B61" w:rsidRPr="00233CFE">
              <w:rPr>
                <w:vertAlign w:val="superscript"/>
              </w:rPr>
              <w:t>3</w:t>
            </w:r>
          </w:p>
        </w:tc>
      </w:tr>
      <w:tr w:rsidR="00F377F3" w:rsidRPr="00CD4FAB" w14:paraId="1E6D1DFA" w14:textId="77777777" w:rsidTr="008E687B">
        <w:trPr>
          <w:trHeight w:val="20"/>
        </w:trPr>
        <w:tc>
          <w:tcPr>
            <w:tcW w:w="5000" w:type="pct"/>
            <w:gridSpan w:val="7"/>
          </w:tcPr>
          <w:p w14:paraId="4FA23F8F" w14:textId="7F5A70B1" w:rsidR="00263DD8" w:rsidRPr="00233CFE" w:rsidRDefault="00263DD8" w:rsidP="008E687B">
            <w:pPr>
              <w:pStyle w:val="PBACTableText"/>
              <w:spacing w:before="0" w:after="0"/>
            </w:pPr>
            <w:r w:rsidRPr="00233CFE">
              <w:rPr>
                <w:b/>
              </w:rPr>
              <w:t>Pembrolizumab</w:t>
            </w:r>
            <w:r w:rsidR="00CF6D9F" w:rsidRPr="00233CFE">
              <w:rPr>
                <w:b/>
              </w:rPr>
              <w:t xml:space="preserve"> (Option A)</w:t>
            </w:r>
          </w:p>
        </w:tc>
      </w:tr>
      <w:tr w:rsidR="00DD0381" w:rsidRPr="00CD4FAB" w14:paraId="3CF99E09" w14:textId="77777777" w:rsidTr="00DD0381">
        <w:trPr>
          <w:trHeight w:val="20"/>
        </w:trPr>
        <w:tc>
          <w:tcPr>
            <w:tcW w:w="998" w:type="pct"/>
          </w:tcPr>
          <w:p w14:paraId="5B23CF2B" w14:textId="77777777" w:rsidR="00DD0381" w:rsidRPr="00233CFE" w:rsidRDefault="00DD0381" w:rsidP="00DD0381">
            <w:pPr>
              <w:pStyle w:val="PBACTableText"/>
              <w:spacing w:before="0" w:after="0"/>
            </w:pPr>
            <w:r w:rsidRPr="00233CFE">
              <w:t>Number of patients</w:t>
            </w:r>
          </w:p>
        </w:tc>
        <w:tc>
          <w:tcPr>
            <w:tcW w:w="650" w:type="pct"/>
          </w:tcPr>
          <w:p w14:paraId="07CF8C2D" w14:textId="544E9DD9" w:rsidR="00DD0381" w:rsidRPr="00D221AB" w:rsidRDefault="00924D5E" w:rsidP="00DD0381">
            <w:pPr>
              <w:pStyle w:val="PBACTableText"/>
              <w:spacing w:before="0" w:after="0"/>
              <w:jc w:val="center"/>
              <w:rPr>
                <w:highlight w:val="lightGray"/>
              </w:rPr>
            </w:pPr>
            <w:r w:rsidRPr="00924D5E">
              <w:rPr>
                <w:rFonts w:hint="eastAsia"/>
                <w:color w:val="000000"/>
                <w:w w:val="16"/>
                <w:shd w:val="solid" w:color="000000" w:fill="000000"/>
                <w:fitText w:val="75" w:id="-961835512"/>
                <w14:textFill>
                  <w14:solidFill>
                    <w14:srgbClr w14:val="000000">
                      <w14:alpha w14:val="100000"/>
                    </w14:srgbClr>
                  </w14:solidFill>
                </w14:textFill>
              </w:rPr>
              <w:t xml:space="preserve">　</w:t>
            </w:r>
            <w:r w:rsidRPr="00924D5E">
              <w:rPr>
                <w:color w:val="000000"/>
                <w:w w:val="16"/>
                <w:shd w:val="solid" w:color="000000" w:fill="000000"/>
                <w:fitText w:val="75" w:id="-961835512"/>
                <w14:textFill>
                  <w14:solidFill>
                    <w14:srgbClr w14:val="000000">
                      <w14:alpha w14:val="100000"/>
                    </w14:srgbClr>
                  </w14:solidFill>
                </w14:textFill>
              </w:rPr>
              <w:t>|</w:t>
            </w:r>
            <w:r w:rsidRPr="00924D5E">
              <w:rPr>
                <w:rFonts w:hint="eastAsia"/>
                <w:color w:val="000000"/>
                <w:spacing w:val="5"/>
                <w:w w:val="16"/>
                <w:shd w:val="solid" w:color="000000" w:fill="000000"/>
                <w:fitText w:val="75" w:id="-961835512"/>
                <w14:textFill>
                  <w14:solidFill>
                    <w14:srgbClr w14:val="000000">
                      <w14:alpha w14:val="100000"/>
                    </w14:srgbClr>
                  </w14:solidFill>
                </w14:textFill>
              </w:rPr>
              <w:t xml:space="preserve">　</w:t>
            </w:r>
            <w:r w:rsidR="000E2789" w:rsidRPr="00233CFE">
              <w:rPr>
                <w:vertAlign w:val="superscript"/>
              </w:rPr>
              <w:t>12</w:t>
            </w:r>
          </w:p>
        </w:tc>
        <w:tc>
          <w:tcPr>
            <w:tcW w:w="629" w:type="pct"/>
          </w:tcPr>
          <w:p w14:paraId="40414EDF" w14:textId="6CC40F71" w:rsidR="00DD0381" w:rsidRPr="00D221AB" w:rsidRDefault="00924D5E" w:rsidP="00DD0381">
            <w:pPr>
              <w:pStyle w:val="PBACTableText"/>
              <w:spacing w:before="0" w:after="0"/>
              <w:jc w:val="center"/>
              <w:rPr>
                <w:highlight w:val="lightGray"/>
              </w:rPr>
            </w:pPr>
            <w:r w:rsidRPr="00924D5E">
              <w:rPr>
                <w:rFonts w:hint="eastAsia"/>
                <w:color w:val="000000"/>
                <w:w w:val="15"/>
                <w:shd w:val="solid" w:color="000000" w:fill="000000"/>
                <w:fitText w:val="63" w:id="-961835511"/>
                <w14:textFill>
                  <w14:solidFill>
                    <w14:srgbClr w14:val="000000">
                      <w14:alpha w14:val="100000"/>
                    </w14:srgbClr>
                  </w14:solidFill>
                </w14:textFill>
              </w:rPr>
              <w:t xml:space="preserve">　</w:t>
            </w:r>
            <w:r w:rsidRPr="00924D5E">
              <w:rPr>
                <w:color w:val="000000"/>
                <w:w w:val="15"/>
                <w:shd w:val="solid" w:color="000000" w:fill="000000"/>
                <w:fitText w:val="63" w:id="-961835511"/>
                <w14:textFill>
                  <w14:solidFill>
                    <w14:srgbClr w14:val="000000">
                      <w14:alpha w14:val="100000"/>
                    </w14:srgbClr>
                  </w14:solidFill>
                </w14:textFill>
              </w:rPr>
              <w:t>|</w:t>
            </w:r>
            <w:r w:rsidRPr="00924D5E">
              <w:rPr>
                <w:rFonts w:hint="eastAsia"/>
                <w:color w:val="000000"/>
                <w:spacing w:val="-2"/>
                <w:w w:val="15"/>
                <w:shd w:val="solid" w:color="000000" w:fill="000000"/>
                <w:fitText w:val="63" w:id="-961835511"/>
                <w14:textFill>
                  <w14:solidFill>
                    <w14:srgbClr w14:val="000000">
                      <w14:alpha w14:val="100000"/>
                    </w14:srgbClr>
                  </w14:solidFill>
                </w14:textFill>
              </w:rPr>
              <w:t xml:space="preserve">　</w:t>
            </w:r>
            <w:r w:rsidR="000E2789" w:rsidRPr="00233CFE">
              <w:rPr>
                <w:vertAlign w:val="superscript"/>
              </w:rPr>
              <w:t>1</w:t>
            </w:r>
          </w:p>
        </w:tc>
        <w:tc>
          <w:tcPr>
            <w:tcW w:w="644" w:type="pct"/>
          </w:tcPr>
          <w:p w14:paraId="247BA784" w14:textId="55D1C667" w:rsidR="00DD0381" w:rsidRPr="00D221AB" w:rsidRDefault="00924D5E" w:rsidP="00DD0381">
            <w:pPr>
              <w:pStyle w:val="PBACTableText"/>
              <w:spacing w:before="0" w:after="0"/>
              <w:jc w:val="center"/>
              <w:rPr>
                <w:highlight w:val="lightGray"/>
              </w:rPr>
            </w:pPr>
            <w:r w:rsidRPr="00924D5E">
              <w:rPr>
                <w:rFonts w:hint="eastAsia"/>
                <w:color w:val="000000"/>
                <w:w w:val="15"/>
                <w:shd w:val="solid" w:color="000000" w:fill="000000"/>
                <w:fitText w:val="50" w:id="-961835510"/>
                <w14:textFill>
                  <w14:solidFill>
                    <w14:srgbClr w14:val="000000">
                      <w14:alpha w14:val="100000"/>
                    </w14:srgbClr>
                  </w14:solidFill>
                </w14:textFill>
              </w:rPr>
              <w:t xml:space="preserve">　</w:t>
            </w:r>
            <w:r w:rsidRPr="00924D5E">
              <w:rPr>
                <w:color w:val="000000"/>
                <w:w w:val="15"/>
                <w:shd w:val="solid" w:color="000000" w:fill="000000"/>
                <w:fitText w:val="50" w:id="-961835510"/>
                <w14:textFill>
                  <w14:solidFill>
                    <w14:srgbClr w14:val="000000">
                      <w14:alpha w14:val="100000"/>
                    </w14:srgbClr>
                  </w14:solidFill>
                </w14:textFill>
              </w:rPr>
              <w:t>|</w:t>
            </w:r>
            <w:r w:rsidRPr="00924D5E">
              <w:rPr>
                <w:rFonts w:hint="eastAsia"/>
                <w:color w:val="000000"/>
                <w:spacing w:val="-15"/>
                <w:w w:val="15"/>
                <w:shd w:val="solid" w:color="000000" w:fill="000000"/>
                <w:fitText w:val="50" w:id="-961835510"/>
                <w14:textFill>
                  <w14:solidFill>
                    <w14:srgbClr w14:val="000000">
                      <w14:alpha w14:val="100000"/>
                    </w14:srgbClr>
                  </w14:solidFill>
                </w14:textFill>
              </w:rPr>
              <w:t xml:space="preserve">　</w:t>
            </w:r>
            <w:r w:rsidR="000E2789" w:rsidRPr="00233CFE">
              <w:rPr>
                <w:vertAlign w:val="superscript"/>
              </w:rPr>
              <w:t>1</w:t>
            </w:r>
          </w:p>
        </w:tc>
        <w:tc>
          <w:tcPr>
            <w:tcW w:w="693" w:type="pct"/>
          </w:tcPr>
          <w:p w14:paraId="36D63903" w14:textId="1D0235BF" w:rsidR="00DD0381" w:rsidRPr="00D221AB" w:rsidRDefault="00924D5E" w:rsidP="00DD0381">
            <w:pPr>
              <w:pStyle w:val="PBACTableText"/>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0E2789" w:rsidRPr="00233CFE">
              <w:rPr>
                <w:vertAlign w:val="superscript"/>
              </w:rPr>
              <w:t>1</w:t>
            </w:r>
          </w:p>
        </w:tc>
        <w:tc>
          <w:tcPr>
            <w:tcW w:w="708" w:type="pct"/>
          </w:tcPr>
          <w:p w14:paraId="5355FB8F" w14:textId="4A5BDB54" w:rsidR="00DD0381" w:rsidRPr="00D221AB" w:rsidRDefault="00924D5E" w:rsidP="00DD0381">
            <w:pPr>
              <w:pStyle w:val="PBACTableText"/>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0E2789" w:rsidRPr="00233CFE">
              <w:rPr>
                <w:vertAlign w:val="superscript"/>
              </w:rPr>
              <w:t>1</w:t>
            </w:r>
          </w:p>
        </w:tc>
        <w:tc>
          <w:tcPr>
            <w:tcW w:w="678" w:type="pct"/>
          </w:tcPr>
          <w:p w14:paraId="24A08421" w14:textId="3F854D7B" w:rsidR="00DD0381" w:rsidRPr="00D221AB" w:rsidRDefault="00924D5E" w:rsidP="00DD0381">
            <w:pPr>
              <w:pStyle w:val="PBACTableText"/>
              <w:spacing w:before="0" w:after="0"/>
              <w:jc w:val="center"/>
              <w:rPr>
                <w:highlight w:val="lightGray"/>
              </w:rPr>
            </w:pPr>
            <w:r w:rsidRPr="006E162D">
              <w:rPr>
                <w:rFonts w:hint="eastAsia"/>
                <w:color w:val="000000"/>
                <w:w w:val="15"/>
                <w:shd w:val="solid" w:color="000000" w:fill="000000"/>
                <w:fitText w:val="25" w:id="-961835509"/>
                <w14:textFill>
                  <w14:solidFill>
                    <w14:srgbClr w14:val="000000">
                      <w14:alpha w14:val="100000"/>
                    </w14:srgbClr>
                  </w14:solidFill>
                </w14:textFill>
              </w:rPr>
              <w:t xml:space="preserve">　</w:t>
            </w:r>
            <w:r w:rsidRPr="006E162D">
              <w:rPr>
                <w:color w:val="000000"/>
                <w:w w:val="15"/>
                <w:shd w:val="solid" w:color="000000" w:fill="000000"/>
                <w:fitText w:val="25" w:id="-961835509"/>
                <w14:textFill>
                  <w14:solidFill>
                    <w14:srgbClr w14:val="000000">
                      <w14:alpha w14:val="100000"/>
                    </w14:srgbClr>
                  </w14:solidFill>
                </w14:textFill>
              </w:rPr>
              <w:t>|</w:t>
            </w:r>
            <w:r w:rsidRPr="006E162D">
              <w:rPr>
                <w:rFonts w:hint="eastAsia"/>
                <w:color w:val="000000"/>
                <w:spacing w:val="-41"/>
                <w:w w:val="15"/>
                <w:shd w:val="solid" w:color="000000" w:fill="000000"/>
                <w:fitText w:val="25" w:id="-961835509"/>
                <w14:textFill>
                  <w14:solidFill>
                    <w14:srgbClr w14:val="000000">
                      <w14:alpha w14:val="100000"/>
                    </w14:srgbClr>
                  </w14:solidFill>
                </w14:textFill>
              </w:rPr>
              <w:t xml:space="preserve">　</w:t>
            </w:r>
            <w:r w:rsidR="000E2789" w:rsidRPr="00233CFE">
              <w:rPr>
                <w:vertAlign w:val="superscript"/>
              </w:rPr>
              <w:t>1</w:t>
            </w:r>
          </w:p>
        </w:tc>
      </w:tr>
      <w:tr w:rsidR="003336B6" w:rsidRPr="00CD4FAB" w14:paraId="6048DBD2" w14:textId="77777777" w:rsidTr="00730ECC">
        <w:trPr>
          <w:trHeight w:val="20"/>
        </w:trPr>
        <w:tc>
          <w:tcPr>
            <w:tcW w:w="998" w:type="pct"/>
          </w:tcPr>
          <w:p w14:paraId="4F309403" w14:textId="7B4C713B" w:rsidR="003336B6" w:rsidRPr="00233CFE" w:rsidRDefault="003336B6" w:rsidP="003336B6">
            <w:pPr>
              <w:pStyle w:val="PBACTableText"/>
              <w:spacing w:before="0" w:after="0"/>
            </w:pPr>
            <w:r w:rsidRPr="00233CFE">
              <w:t>Number of scripts</w:t>
            </w:r>
          </w:p>
        </w:tc>
        <w:tc>
          <w:tcPr>
            <w:tcW w:w="650" w:type="pct"/>
            <w:vAlign w:val="center"/>
          </w:tcPr>
          <w:p w14:paraId="15AB21A4" w14:textId="04819E72" w:rsidR="003336B6" w:rsidRPr="00D221AB" w:rsidRDefault="00924D5E" w:rsidP="003336B6">
            <w:pPr>
              <w:pStyle w:val="PBACTableText"/>
              <w:keepNext/>
              <w:spacing w:before="0" w:after="0"/>
              <w:jc w:val="center"/>
              <w:rPr>
                <w:highlight w:val="lightGray"/>
              </w:rPr>
            </w:pPr>
            <w:r w:rsidRPr="00924D5E">
              <w:rPr>
                <w:rFonts w:cs="Calibri" w:hint="eastAsia"/>
                <w:color w:val="000000"/>
                <w:w w:val="15"/>
                <w:shd w:val="solid" w:color="000000" w:fill="000000"/>
                <w:fitText w:val="50" w:id="-961835508"/>
                <w14:textFill>
                  <w14:solidFill>
                    <w14:srgbClr w14:val="000000">
                      <w14:alpha w14:val="100000"/>
                    </w14:srgbClr>
                  </w14:solidFill>
                </w14:textFill>
              </w:rPr>
              <w:t xml:space="preserve">　</w:t>
            </w:r>
            <w:r w:rsidRPr="00924D5E">
              <w:rPr>
                <w:rFonts w:cs="Calibri"/>
                <w:color w:val="000000"/>
                <w:w w:val="15"/>
                <w:shd w:val="solid" w:color="000000" w:fill="000000"/>
                <w:fitText w:val="50" w:id="-961835508"/>
                <w14:textFill>
                  <w14:solidFill>
                    <w14:srgbClr w14:val="000000">
                      <w14:alpha w14:val="100000"/>
                    </w14:srgbClr>
                  </w14:solidFill>
                </w14:textFill>
              </w:rPr>
              <w:t>|</w:t>
            </w:r>
            <w:r w:rsidRPr="00924D5E">
              <w:rPr>
                <w:rFonts w:cs="Calibri" w:hint="eastAsia"/>
                <w:color w:val="000000"/>
                <w:spacing w:val="-15"/>
                <w:w w:val="15"/>
                <w:shd w:val="solid" w:color="000000" w:fill="000000"/>
                <w:fitText w:val="50" w:id="-961835508"/>
                <w14:textFill>
                  <w14:solidFill>
                    <w14:srgbClr w14:val="000000">
                      <w14:alpha w14:val="100000"/>
                    </w14:srgbClr>
                  </w14:solidFill>
                </w14:textFill>
              </w:rPr>
              <w:t xml:space="preserve">　</w:t>
            </w:r>
            <w:r w:rsidR="006B7B61" w:rsidRPr="00233CFE">
              <w:rPr>
                <w:vertAlign w:val="superscript"/>
              </w:rPr>
              <w:t>2</w:t>
            </w:r>
          </w:p>
        </w:tc>
        <w:tc>
          <w:tcPr>
            <w:tcW w:w="629" w:type="pct"/>
            <w:vAlign w:val="center"/>
          </w:tcPr>
          <w:p w14:paraId="61364F4B" w14:textId="6E7C5D2B" w:rsidR="003336B6" w:rsidRPr="00D221AB" w:rsidRDefault="00924D5E" w:rsidP="003336B6">
            <w:pPr>
              <w:pStyle w:val="PBACTableText"/>
              <w:keepNext/>
              <w:spacing w:before="0" w:after="0"/>
              <w:jc w:val="center"/>
              <w:rPr>
                <w:highlight w:val="lightGray"/>
              </w:rPr>
            </w:pPr>
            <w:r w:rsidRPr="00924D5E">
              <w:rPr>
                <w:rFonts w:cs="Calibri" w:hint="eastAsia"/>
                <w:color w:val="000000"/>
                <w:w w:val="15"/>
                <w:shd w:val="solid" w:color="000000" w:fill="000000"/>
                <w:fitText w:val="63" w:id="-961835507"/>
                <w14:textFill>
                  <w14:solidFill>
                    <w14:srgbClr w14:val="000000">
                      <w14:alpha w14:val="100000"/>
                    </w14:srgbClr>
                  </w14:solidFill>
                </w14:textFill>
              </w:rPr>
              <w:t xml:space="preserve">　</w:t>
            </w:r>
            <w:r w:rsidRPr="00924D5E">
              <w:rPr>
                <w:rFonts w:cs="Calibri"/>
                <w:color w:val="000000"/>
                <w:w w:val="15"/>
                <w:shd w:val="solid" w:color="000000" w:fill="000000"/>
                <w:fitText w:val="63" w:id="-961835507"/>
                <w14:textFill>
                  <w14:solidFill>
                    <w14:srgbClr w14:val="000000">
                      <w14:alpha w14:val="100000"/>
                    </w14:srgbClr>
                  </w14:solidFill>
                </w14:textFill>
              </w:rPr>
              <w:t>|</w:t>
            </w:r>
            <w:r w:rsidRPr="00924D5E">
              <w:rPr>
                <w:rFonts w:cs="Calibri" w:hint="eastAsia"/>
                <w:color w:val="000000"/>
                <w:spacing w:val="-2"/>
                <w:w w:val="15"/>
                <w:shd w:val="solid" w:color="000000" w:fill="000000"/>
                <w:fitText w:val="63" w:id="-961835507"/>
                <w14:textFill>
                  <w14:solidFill>
                    <w14:srgbClr w14:val="000000">
                      <w14:alpha w14:val="100000"/>
                    </w14:srgbClr>
                  </w14:solidFill>
                </w14:textFill>
              </w:rPr>
              <w:t xml:space="preserve">　</w:t>
            </w:r>
            <w:r w:rsidR="000E2789" w:rsidRPr="00233CFE">
              <w:rPr>
                <w:vertAlign w:val="superscript"/>
              </w:rPr>
              <w:t>2</w:t>
            </w:r>
          </w:p>
        </w:tc>
        <w:tc>
          <w:tcPr>
            <w:tcW w:w="644" w:type="pct"/>
            <w:vAlign w:val="center"/>
          </w:tcPr>
          <w:p w14:paraId="7B8CCB5B" w14:textId="439AB773" w:rsidR="003336B6" w:rsidRPr="00D221AB" w:rsidRDefault="00924D5E" w:rsidP="003336B6">
            <w:pPr>
              <w:pStyle w:val="PBACTableText"/>
              <w:keepNext/>
              <w:spacing w:before="0" w:after="0"/>
              <w:jc w:val="center"/>
              <w:rPr>
                <w:highlight w:val="lightGray"/>
              </w:rPr>
            </w:pPr>
            <w:r w:rsidRPr="00924D5E">
              <w:rPr>
                <w:rFonts w:cs="Calibri" w:hint="eastAsia"/>
                <w:color w:val="000000"/>
                <w:w w:val="15"/>
                <w:shd w:val="solid" w:color="000000" w:fill="000000"/>
                <w:fitText w:val="50" w:id="-961835506"/>
                <w14:textFill>
                  <w14:solidFill>
                    <w14:srgbClr w14:val="000000">
                      <w14:alpha w14:val="100000"/>
                    </w14:srgbClr>
                  </w14:solidFill>
                </w14:textFill>
              </w:rPr>
              <w:t xml:space="preserve">　</w:t>
            </w:r>
            <w:r w:rsidRPr="00924D5E">
              <w:rPr>
                <w:rFonts w:cs="Calibri"/>
                <w:color w:val="000000"/>
                <w:w w:val="15"/>
                <w:shd w:val="solid" w:color="000000" w:fill="000000"/>
                <w:fitText w:val="50" w:id="-961835506"/>
                <w14:textFill>
                  <w14:solidFill>
                    <w14:srgbClr w14:val="000000">
                      <w14:alpha w14:val="100000"/>
                    </w14:srgbClr>
                  </w14:solidFill>
                </w14:textFill>
              </w:rPr>
              <w:t>|</w:t>
            </w:r>
            <w:r w:rsidRPr="00924D5E">
              <w:rPr>
                <w:rFonts w:cs="Calibri" w:hint="eastAsia"/>
                <w:color w:val="000000"/>
                <w:spacing w:val="-15"/>
                <w:w w:val="15"/>
                <w:shd w:val="solid" w:color="000000" w:fill="000000"/>
                <w:fitText w:val="50" w:id="-961835506"/>
                <w14:textFill>
                  <w14:solidFill>
                    <w14:srgbClr w14:val="000000">
                      <w14:alpha w14:val="100000"/>
                    </w14:srgbClr>
                  </w14:solidFill>
                </w14:textFill>
              </w:rPr>
              <w:t xml:space="preserve">　</w:t>
            </w:r>
            <w:r w:rsidR="000E2789" w:rsidRPr="00233CFE">
              <w:rPr>
                <w:vertAlign w:val="superscript"/>
              </w:rPr>
              <w:t>2</w:t>
            </w:r>
          </w:p>
        </w:tc>
        <w:tc>
          <w:tcPr>
            <w:tcW w:w="693" w:type="pct"/>
            <w:vAlign w:val="center"/>
          </w:tcPr>
          <w:p w14:paraId="63625D77" w14:textId="521824E8" w:rsidR="003336B6" w:rsidRPr="00D221AB" w:rsidRDefault="00924D5E" w:rsidP="003336B6">
            <w:pPr>
              <w:pStyle w:val="PBACTableText"/>
              <w:keepNext/>
              <w:spacing w:before="0" w:after="0"/>
              <w:jc w:val="center"/>
              <w:rPr>
                <w:highlight w:val="lightGray"/>
              </w:rPr>
            </w:pPr>
            <w:r w:rsidRPr="00924D5E">
              <w:rPr>
                <w:rFonts w:cs="Calibri"/>
                <w:color w:val="000000"/>
                <w:shd w:val="solid" w:color="000000" w:fill="000000"/>
                <w14:textFill>
                  <w14:solidFill>
                    <w14:srgbClr w14:val="000000">
                      <w14:alpha w14:val="100000"/>
                    </w14:srgbClr>
                  </w14:solidFill>
                </w14:textFill>
              </w:rPr>
              <w:t>|</w:t>
            </w:r>
            <w:r w:rsidR="000E2789" w:rsidRPr="00233CFE">
              <w:rPr>
                <w:vertAlign w:val="superscript"/>
              </w:rPr>
              <w:t>2</w:t>
            </w:r>
          </w:p>
        </w:tc>
        <w:tc>
          <w:tcPr>
            <w:tcW w:w="708" w:type="pct"/>
            <w:vAlign w:val="center"/>
          </w:tcPr>
          <w:p w14:paraId="4FA87E5D" w14:textId="5769CD41" w:rsidR="003336B6" w:rsidRPr="00D221AB" w:rsidRDefault="00924D5E" w:rsidP="003336B6">
            <w:pPr>
              <w:pStyle w:val="PBACTableText"/>
              <w:keepNext/>
              <w:spacing w:before="0" w:after="0"/>
              <w:jc w:val="center"/>
              <w:rPr>
                <w:highlight w:val="lightGray"/>
              </w:rPr>
            </w:pPr>
            <w:r w:rsidRPr="00924D5E">
              <w:rPr>
                <w:rFonts w:cs="Calibri"/>
                <w:color w:val="000000"/>
                <w:shd w:val="solid" w:color="000000" w:fill="000000"/>
                <w14:textFill>
                  <w14:solidFill>
                    <w14:srgbClr w14:val="000000">
                      <w14:alpha w14:val="100000"/>
                    </w14:srgbClr>
                  </w14:solidFill>
                </w14:textFill>
              </w:rPr>
              <w:t>|</w:t>
            </w:r>
            <w:r w:rsidR="000E2789" w:rsidRPr="00233CFE">
              <w:rPr>
                <w:vertAlign w:val="superscript"/>
              </w:rPr>
              <w:t>2</w:t>
            </w:r>
          </w:p>
        </w:tc>
        <w:tc>
          <w:tcPr>
            <w:tcW w:w="678" w:type="pct"/>
            <w:vAlign w:val="center"/>
          </w:tcPr>
          <w:p w14:paraId="0E04915A" w14:textId="4E45DEC8" w:rsidR="003336B6" w:rsidRPr="00D221AB" w:rsidRDefault="00924D5E" w:rsidP="003336B6">
            <w:pPr>
              <w:pStyle w:val="PBACTableText"/>
              <w:keepNext/>
              <w:spacing w:before="0" w:after="0"/>
              <w:jc w:val="center"/>
              <w:rPr>
                <w:highlight w:val="lightGray"/>
              </w:rPr>
            </w:pPr>
            <w:r w:rsidRPr="006E162D">
              <w:rPr>
                <w:rFonts w:cs="Calibri" w:hint="eastAsia"/>
                <w:color w:val="000000"/>
                <w:w w:val="15"/>
                <w:shd w:val="solid" w:color="000000" w:fill="000000"/>
                <w:fitText w:val="25" w:id="-961835505"/>
                <w14:textFill>
                  <w14:solidFill>
                    <w14:srgbClr w14:val="000000">
                      <w14:alpha w14:val="100000"/>
                    </w14:srgbClr>
                  </w14:solidFill>
                </w14:textFill>
              </w:rPr>
              <w:t xml:space="preserve">　</w:t>
            </w:r>
            <w:r w:rsidRPr="006E162D">
              <w:rPr>
                <w:rFonts w:cs="Calibri"/>
                <w:color w:val="000000"/>
                <w:w w:val="15"/>
                <w:shd w:val="solid" w:color="000000" w:fill="000000"/>
                <w:fitText w:val="25" w:id="-961835505"/>
                <w14:textFill>
                  <w14:solidFill>
                    <w14:srgbClr w14:val="000000">
                      <w14:alpha w14:val="100000"/>
                    </w14:srgbClr>
                  </w14:solidFill>
                </w14:textFill>
              </w:rPr>
              <w:t>|</w:t>
            </w:r>
            <w:r w:rsidRPr="006E162D">
              <w:rPr>
                <w:rFonts w:cs="Calibri" w:hint="eastAsia"/>
                <w:color w:val="000000"/>
                <w:spacing w:val="-41"/>
                <w:w w:val="15"/>
                <w:shd w:val="solid" w:color="000000" w:fill="000000"/>
                <w:fitText w:val="25" w:id="-961835505"/>
                <w14:textFill>
                  <w14:solidFill>
                    <w14:srgbClr w14:val="000000">
                      <w14:alpha w14:val="100000"/>
                    </w14:srgbClr>
                  </w14:solidFill>
                </w14:textFill>
              </w:rPr>
              <w:t xml:space="preserve">　</w:t>
            </w:r>
            <w:r w:rsidR="000E2789" w:rsidRPr="00233CFE">
              <w:rPr>
                <w:vertAlign w:val="superscript"/>
              </w:rPr>
              <w:t>2</w:t>
            </w:r>
          </w:p>
        </w:tc>
      </w:tr>
      <w:tr w:rsidR="00454C4E" w:rsidRPr="00CD4FAB" w14:paraId="502669DA" w14:textId="77777777" w:rsidTr="00454C4E">
        <w:trPr>
          <w:trHeight w:val="20"/>
        </w:trPr>
        <w:tc>
          <w:tcPr>
            <w:tcW w:w="998" w:type="pct"/>
          </w:tcPr>
          <w:p w14:paraId="5C514602" w14:textId="2FC2B541" w:rsidR="00454C4E" w:rsidRPr="00233CFE" w:rsidRDefault="00454C4E" w:rsidP="00454C4E">
            <w:pPr>
              <w:pStyle w:val="PBACTableText"/>
              <w:spacing w:before="0" w:after="0"/>
            </w:pPr>
            <w:r w:rsidRPr="00233CFE">
              <w:t xml:space="preserve">Net cost PBS/RPBS </w:t>
            </w:r>
          </w:p>
        </w:tc>
        <w:tc>
          <w:tcPr>
            <w:tcW w:w="650" w:type="pct"/>
          </w:tcPr>
          <w:p w14:paraId="34F79C0F" w14:textId="7D08E775" w:rsidR="00454C4E" w:rsidRPr="00D221AB" w:rsidRDefault="00924D5E" w:rsidP="00454C4E">
            <w:pPr>
              <w:pStyle w:val="PBACTableText"/>
              <w:spacing w:before="0" w:after="0"/>
              <w:jc w:val="center"/>
              <w:rPr>
                <w:rFonts w:cs="Calibri"/>
                <w:color w:val="000000"/>
                <w:highlight w:val="lightGray"/>
              </w:rPr>
            </w:pPr>
            <w:r w:rsidRPr="00924D5E">
              <w:rPr>
                <w:rFonts w:hint="eastAsia"/>
                <w:color w:val="000000"/>
                <w:w w:val="15"/>
                <w:shd w:val="solid" w:color="000000" w:fill="000000"/>
                <w:fitText w:val="50" w:id="-961835504"/>
                <w14:textFill>
                  <w14:solidFill>
                    <w14:srgbClr w14:val="000000">
                      <w14:alpha w14:val="100000"/>
                    </w14:srgbClr>
                  </w14:solidFill>
                </w14:textFill>
              </w:rPr>
              <w:t xml:space="preserve">　</w:t>
            </w:r>
            <w:r w:rsidRPr="00924D5E">
              <w:rPr>
                <w:color w:val="000000"/>
                <w:w w:val="15"/>
                <w:shd w:val="solid" w:color="000000" w:fill="000000"/>
                <w:fitText w:val="50" w:id="-961835504"/>
                <w14:textFill>
                  <w14:solidFill>
                    <w14:srgbClr w14:val="000000">
                      <w14:alpha w14:val="100000"/>
                    </w14:srgbClr>
                  </w14:solidFill>
                </w14:textFill>
              </w:rPr>
              <w:t>|</w:t>
            </w:r>
            <w:r w:rsidRPr="00924D5E">
              <w:rPr>
                <w:rFonts w:hint="eastAsia"/>
                <w:color w:val="000000"/>
                <w:spacing w:val="-15"/>
                <w:w w:val="15"/>
                <w:shd w:val="solid" w:color="000000" w:fill="000000"/>
                <w:fitText w:val="50" w:id="-961835504"/>
                <w14:textFill>
                  <w14:solidFill>
                    <w14:srgbClr w14:val="000000">
                      <w14:alpha w14:val="100000"/>
                    </w14:srgbClr>
                  </w14:solidFill>
                </w14:textFill>
              </w:rPr>
              <w:t xml:space="preserve">　</w:t>
            </w:r>
            <w:r w:rsidR="006B7B61" w:rsidRPr="00233CFE">
              <w:rPr>
                <w:vertAlign w:val="superscript"/>
              </w:rPr>
              <w:t>3</w:t>
            </w:r>
          </w:p>
        </w:tc>
        <w:tc>
          <w:tcPr>
            <w:tcW w:w="629" w:type="pct"/>
          </w:tcPr>
          <w:p w14:paraId="1A2AC36B" w14:textId="2453BDF1" w:rsidR="00454C4E" w:rsidRPr="00D221AB" w:rsidRDefault="00924D5E" w:rsidP="00454C4E">
            <w:pPr>
              <w:pStyle w:val="PBACTableText"/>
              <w:spacing w:before="0" w:after="0"/>
              <w:jc w:val="center"/>
              <w:rPr>
                <w:rFonts w:cs="Calibri"/>
                <w:color w:val="000000"/>
                <w:highlight w:val="lightGray"/>
              </w:rPr>
            </w:pPr>
            <w:r w:rsidRPr="00924D5E">
              <w:rPr>
                <w:rFonts w:hint="eastAsia"/>
                <w:color w:val="000000"/>
                <w:w w:val="15"/>
                <w:shd w:val="solid" w:color="000000" w:fill="000000"/>
                <w:fitText w:val="63" w:id="-961835520"/>
                <w14:textFill>
                  <w14:solidFill>
                    <w14:srgbClr w14:val="000000">
                      <w14:alpha w14:val="100000"/>
                    </w14:srgbClr>
                  </w14:solidFill>
                </w14:textFill>
              </w:rPr>
              <w:t xml:space="preserve">　</w:t>
            </w:r>
            <w:r w:rsidRPr="00924D5E">
              <w:rPr>
                <w:color w:val="000000"/>
                <w:w w:val="15"/>
                <w:shd w:val="solid" w:color="000000" w:fill="000000"/>
                <w:fitText w:val="63" w:id="-961835520"/>
                <w14:textFill>
                  <w14:solidFill>
                    <w14:srgbClr w14:val="000000">
                      <w14:alpha w14:val="100000"/>
                    </w14:srgbClr>
                  </w14:solidFill>
                </w14:textFill>
              </w:rPr>
              <w:t>|</w:t>
            </w:r>
            <w:r w:rsidRPr="00924D5E">
              <w:rPr>
                <w:rFonts w:hint="eastAsia"/>
                <w:color w:val="000000"/>
                <w:spacing w:val="-2"/>
                <w:w w:val="15"/>
                <w:shd w:val="solid" w:color="000000" w:fill="000000"/>
                <w:fitText w:val="63" w:id="-961835520"/>
                <w14:textFill>
                  <w14:solidFill>
                    <w14:srgbClr w14:val="000000">
                      <w14:alpha w14:val="100000"/>
                    </w14:srgbClr>
                  </w14:solidFill>
                </w14:textFill>
              </w:rPr>
              <w:t xml:space="preserve">　</w:t>
            </w:r>
            <w:r w:rsidR="006B7B61" w:rsidRPr="00233CFE">
              <w:rPr>
                <w:vertAlign w:val="superscript"/>
              </w:rPr>
              <w:t>3</w:t>
            </w:r>
          </w:p>
        </w:tc>
        <w:tc>
          <w:tcPr>
            <w:tcW w:w="644" w:type="pct"/>
          </w:tcPr>
          <w:p w14:paraId="75979CC9" w14:textId="255D8884" w:rsidR="00454C4E" w:rsidRPr="00D221AB" w:rsidRDefault="00924D5E" w:rsidP="00454C4E">
            <w:pPr>
              <w:pStyle w:val="PBACTableText"/>
              <w:spacing w:before="0" w:after="0"/>
              <w:jc w:val="center"/>
              <w:rPr>
                <w:rFonts w:cs="Calibri"/>
                <w:color w:val="000000"/>
                <w:highlight w:val="lightGray"/>
              </w:rPr>
            </w:pPr>
            <w:r w:rsidRPr="00924D5E">
              <w:rPr>
                <w:rFonts w:hint="eastAsia"/>
                <w:color w:val="000000"/>
                <w:w w:val="15"/>
                <w:shd w:val="solid" w:color="000000" w:fill="000000"/>
                <w:fitText w:val="50" w:id="-961835519"/>
                <w14:textFill>
                  <w14:solidFill>
                    <w14:srgbClr w14:val="000000">
                      <w14:alpha w14:val="100000"/>
                    </w14:srgbClr>
                  </w14:solidFill>
                </w14:textFill>
              </w:rPr>
              <w:t xml:space="preserve">　</w:t>
            </w:r>
            <w:r w:rsidRPr="00924D5E">
              <w:rPr>
                <w:color w:val="000000"/>
                <w:w w:val="15"/>
                <w:shd w:val="solid" w:color="000000" w:fill="000000"/>
                <w:fitText w:val="50" w:id="-961835519"/>
                <w14:textFill>
                  <w14:solidFill>
                    <w14:srgbClr w14:val="000000">
                      <w14:alpha w14:val="100000"/>
                    </w14:srgbClr>
                  </w14:solidFill>
                </w14:textFill>
              </w:rPr>
              <w:t>|</w:t>
            </w:r>
            <w:r w:rsidRPr="00924D5E">
              <w:rPr>
                <w:rFonts w:hint="eastAsia"/>
                <w:color w:val="000000"/>
                <w:spacing w:val="-15"/>
                <w:w w:val="15"/>
                <w:shd w:val="solid" w:color="000000" w:fill="000000"/>
                <w:fitText w:val="50" w:id="-961835519"/>
                <w14:textFill>
                  <w14:solidFill>
                    <w14:srgbClr w14:val="000000">
                      <w14:alpha w14:val="100000"/>
                    </w14:srgbClr>
                  </w14:solidFill>
                </w14:textFill>
              </w:rPr>
              <w:t xml:space="preserve">　</w:t>
            </w:r>
            <w:r w:rsidR="006B7B61" w:rsidRPr="00233CFE">
              <w:rPr>
                <w:vertAlign w:val="superscript"/>
              </w:rPr>
              <w:t>3</w:t>
            </w:r>
          </w:p>
        </w:tc>
        <w:tc>
          <w:tcPr>
            <w:tcW w:w="693" w:type="pct"/>
          </w:tcPr>
          <w:p w14:paraId="5466BEB5" w14:textId="1BD605EC" w:rsidR="00454C4E" w:rsidRPr="00D221AB" w:rsidRDefault="00924D5E" w:rsidP="00454C4E">
            <w:pPr>
              <w:pStyle w:val="PBACTableText"/>
              <w:spacing w:before="0" w:after="0"/>
              <w:jc w:val="center"/>
              <w:rPr>
                <w:rFonts w:cs="Calibri"/>
                <w:color w:val="000000"/>
                <w:highlight w:val="lightGray"/>
              </w:rPr>
            </w:pPr>
            <w:r w:rsidRPr="00924D5E">
              <w:rPr>
                <w:color w:val="000000"/>
                <w:shd w:val="solid" w:color="000000" w:fill="000000"/>
                <w14:textFill>
                  <w14:solidFill>
                    <w14:srgbClr w14:val="000000">
                      <w14:alpha w14:val="100000"/>
                    </w14:srgbClr>
                  </w14:solidFill>
                </w14:textFill>
              </w:rPr>
              <w:t>|</w:t>
            </w:r>
            <w:r w:rsidR="006B7B61" w:rsidRPr="00233CFE">
              <w:rPr>
                <w:vertAlign w:val="superscript"/>
              </w:rPr>
              <w:t>3</w:t>
            </w:r>
          </w:p>
        </w:tc>
        <w:tc>
          <w:tcPr>
            <w:tcW w:w="708" w:type="pct"/>
          </w:tcPr>
          <w:p w14:paraId="04AF10FB" w14:textId="6ADDFF1D" w:rsidR="00454C4E" w:rsidRPr="00D221AB" w:rsidRDefault="00924D5E" w:rsidP="00454C4E">
            <w:pPr>
              <w:pStyle w:val="PBACTableText"/>
              <w:spacing w:before="0" w:after="0"/>
              <w:jc w:val="center"/>
              <w:rPr>
                <w:rFonts w:cs="Calibri"/>
                <w:color w:val="000000"/>
                <w:highlight w:val="lightGray"/>
              </w:rPr>
            </w:pPr>
            <w:r w:rsidRPr="00924D5E">
              <w:rPr>
                <w:color w:val="000000"/>
                <w:shd w:val="solid" w:color="000000" w:fill="000000"/>
                <w14:textFill>
                  <w14:solidFill>
                    <w14:srgbClr w14:val="000000">
                      <w14:alpha w14:val="100000"/>
                    </w14:srgbClr>
                  </w14:solidFill>
                </w14:textFill>
              </w:rPr>
              <w:t>|</w:t>
            </w:r>
            <w:r w:rsidR="006B7B61" w:rsidRPr="00233CFE">
              <w:rPr>
                <w:vertAlign w:val="superscript"/>
              </w:rPr>
              <w:t>3</w:t>
            </w:r>
          </w:p>
        </w:tc>
        <w:tc>
          <w:tcPr>
            <w:tcW w:w="678" w:type="pct"/>
          </w:tcPr>
          <w:p w14:paraId="4B2B1DE3" w14:textId="45FC1CA0" w:rsidR="00454C4E" w:rsidRPr="00D221AB" w:rsidRDefault="00924D5E" w:rsidP="00454C4E">
            <w:pPr>
              <w:pStyle w:val="PBACTableText"/>
              <w:spacing w:before="0" w:after="0"/>
              <w:jc w:val="center"/>
              <w:rPr>
                <w:rFonts w:cs="Calibri"/>
                <w:color w:val="000000"/>
                <w:highlight w:val="lightGray"/>
              </w:rPr>
            </w:pPr>
            <w:r w:rsidRPr="006E162D">
              <w:rPr>
                <w:rFonts w:hint="eastAsia"/>
                <w:color w:val="000000"/>
                <w:w w:val="15"/>
                <w:shd w:val="solid" w:color="000000" w:fill="000000"/>
                <w:fitText w:val="25" w:id="-961835518"/>
                <w14:textFill>
                  <w14:solidFill>
                    <w14:srgbClr w14:val="000000">
                      <w14:alpha w14:val="100000"/>
                    </w14:srgbClr>
                  </w14:solidFill>
                </w14:textFill>
              </w:rPr>
              <w:t xml:space="preserve">　</w:t>
            </w:r>
            <w:r w:rsidRPr="006E162D">
              <w:rPr>
                <w:color w:val="000000"/>
                <w:w w:val="15"/>
                <w:shd w:val="solid" w:color="000000" w:fill="000000"/>
                <w:fitText w:val="25" w:id="-961835518"/>
                <w14:textFill>
                  <w14:solidFill>
                    <w14:srgbClr w14:val="000000">
                      <w14:alpha w14:val="100000"/>
                    </w14:srgbClr>
                  </w14:solidFill>
                </w14:textFill>
              </w:rPr>
              <w:t>|</w:t>
            </w:r>
            <w:r w:rsidRPr="006E162D">
              <w:rPr>
                <w:rFonts w:hint="eastAsia"/>
                <w:color w:val="000000"/>
                <w:spacing w:val="-41"/>
                <w:w w:val="15"/>
                <w:shd w:val="solid" w:color="000000" w:fill="000000"/>
                <w:fitText w:val="25" w:id="-961835518"/>
                <w14:textFill>
                  <w14:solidFill>
                    <w14:srgbClr w14:val="000000">
                      <w14:alpha w14:val="100000"/>
                    </w14:srgbClr>
                  </w14:solidFill>
                </w14:textFill>
              </w:rPr>
              <w:t xml:space="preserve">　</w:t>
            </w:r>
            <w:r w:rsidR="006B7B61" w:rsidRPr="00233CFE">
              <w:rPr>
                <w:vertAlign w:val="superscript"/>
              </w:rPr>
              <w:t>3</w:t>
            </w:r>
          </w:p>
        </w:tc>
      </w:tr>
      <w:tr w:rsidR="00CF6D9F" w:rsidRPr="00CD4FAB" w14:paraId="67AD9178" w14:textId="77777777" w:rsidTr="008E687B">
        <w:trPr>
          <w:trHeight w:val="20"/>
        </w:trPr>
        <w:tc>
          <w:tcPr>
            <w:tcW w:w="5000" w:type="pct"/>
            <w:gridSpan w:val="7"/>
          </w:tcPr>
          <w:p w14:paraId="3C782198" w14:textId="4EA7EFCC" w:rsidR="00CF6D9F" w:rsidRPr="00D221AB" w:rsidRDefault="00CF6D9F" w:rsidP="008E687B">
            <w:pPr>
              <w:pStyle w:val="PBACTableText"/>
              <w:spacing w:before="0" w:after="0"/>
              <w:rPr>
                <w:rFonts w:cs="Calibri"/>
                <w:color w:val="000000"/>
                <w:highlight w:val="lightGray"/>
              </w:rPr>
            </w:pPr>
            <w:r w:rsidRPr="00233CFE">
              <w:rPr>
                <w:b/>
                <w:bCs/>
              </w:rPr>
              <w:t>Pembrolizumab (Option B)</w:t>
            </w:r>
          </w:p>
        </w:tc>
      </w:tr>
      <w:tr w:rsidR="00DD0381" w:rsidRPr="00CD4FAB" w14:paraId="0AC43552" w14:textId="77777777" w:rsidTr="00AF534F">
        <w:trPr>
          <w:trHeight w:val="20"/>
        </w:trPr>
        <w:tc>
          <w:tcPr>
            <w:tcW w:w="998" w:type="pct"/>
          </w:tcPr>
          <w:p w14:paraId="140E7A2A" w14:textId="3CE3D493" w:rsidR="00DD0381" w:rsidRPr="00233CFE" w:rsidRDefault="00DD0381" w:rsidP="00DD0381">
            <w:pPr>
              <w:pStyle w:val="PBACTableText"/>
              <w:spacing w:before="0" w:after="0"/>
            </w:pPr>
            <w:r w:rsidRPr="00233CFE">
              <w:t>Number of patients</w:t>
            </w:r>
          </w:p>
        </w:tc>
        <w:tc>
          <w:tcPr>
            <w:tcW w:w="650" w:type="pct"/>
          </w:tcPr>
          <w:p w14:paraId="0A715263" w14:textId="7955AE48" w:rsidR="00DD0381" w:rsidRPr="00D221AB" w:rsidRDefault="00924D5E" w:rsidP="00DD0381">
            <w:pPr>
              <w:pStyle w:val="PBACTableText"/>
              <w:spacing w:before="0" w:after="0"/>
              <w:jc w:val="center"/>
              <w:rPr>
                <w:rFonts w:cs="Calibri"/>
                <w:color w:val="000000"/>
                <w:highlight w:val="lightGray"/>
              </w:rPr>
            </w:pPr>
            <w:r w:rsidRPr="00924D5E">
              <w:rPr>
                <w:rFonts w:hint="eastAsia"/>
                <w:color w:val="000000"/>
                <w:w w:val="15"/>
                <w:shd w:val="solid" w:color="000000" w:fill="000000"/>
                <w:fitText w:val="50" w:id="-961835517"/>
                <w14:textFill>
                  <w14:solidFill>
                    <w14:srgbClr w14:val="000000">
                      <w14:alpha w14:val="100000"/>
                    </w14:srgbClr>
                  </w14:solidFill>
                </w14:textFill>
              </w:rPr>
              <w:t xml:space="preserve">　</w:t>
            </w:r>
            <w:r w:rsidRPr="00924D5E">
              <w:rPr>
                <w:color w:val="000000"/>
                <w:w w:val="15"/>
                <w:shd w:val="solid" w:color="000000" w:fill="000000"/>
                <w:fitText w:val="50" w:id="-961835517"/>
                <w14:textFill>
                  <w14:solidFill>
                    <w14:srgbClr w14:val="000000">
                      <w14:alpha w14:val="100000"/>
                    </w14:srgbClr>
                  </w14:solidFill>
                </w14:textFill>
              </w:rPr>
              <w:t>|</w:t>
            </w:r>
            <w:r w:rsidRPr="00924D5E">
              <w:rPr>
                <w:rFonts w:hint="eastAsia"/>
                <w:color w:val="000000"/>
                <w:spacing w:val="-15"/>
                <w:w w:val="15"/>
                <w:shd w:val="solid" w:color="000000" w:fill="000000"/>
                <w:fitText w:val="50" w:id="-961835517"/>
                <w14:textFill>
                  <w14:solidFill>
                    <w14:srgbClr w14:val="000000">
                      <w14:alpha w14:val="100000"/>
                    </w14:srgbClr>
                  </w14:solidFill>
                </w14:textFill>
              </w:rPr>
              <w:t xml:space="preserve">　</w:t>
            </w:r>
            <w:r w:rsidR="00F546D2" w:rsidRPr="00233CFE">
              <w:rPr>
                <w:vertAlign w:val="superscript"/>
              </w:rPr>
              <w:t>1</w:t>
            </w:r>
          </w:p>
        </w:tc>
        <w:tc>
          <w:tcPr>
            <w:tcW w:w="629" w:type="pct"/>
          </w:tcPr>
          <w:p w14:paraId="38724B20" w14:textId="3E0D92F4" w:rsidR="00DD0381" w:rsidRPr="00D221AB" w:rsidRDefault="00924D5E" w:rsidP="00DD0381">
            <w:pPr>
              <w:pStyle w:val="PBACTableText"/>
              <w:spacing w:before="0" w:after="0"/>
              <w:jc w:val="center"/>
              <w:rPr>
                <w:rFonts w:cs="Calibri"/>
                <w:color w:val="000000"/>
                <w:highlight w:val="lightGray"/>
              </w:rPr>
            </w:pPr>
            <w:r w:rsidRPr="00924D5E">
              <w:rPr>
                <w:rFonts w:hint="eastAsia"/>
                <w:color w:val="000000"/>
                <w:w w:val="15"/>
                <w:shd w:val="solid" w:color="000000" w:fill="000000"/>
                <w:fitText w:val="63" w:id="-961835516"/>
                <w14:textFill>
                  <w14:solidFill>
                    <w14:srgbClr w14:val="000000">
                      <w14:alpha w14:val="100000"/>
                    </w14:srgbClr>
                  </w14:solidFill>
                </w14:textFill>
              </w:rPr>
              <w:t xml:space="preserve">　</w:t>
            </w:r>
            <w:r w:rsidRPr="00924D5E">
              <w:rPr>
                <w:color w:val="000000"/>
                <w:w w:val="15"/>
                <w:shd w:val="solid" w:color="000000" w:fill="000000"/>
                <w:fitText w:val="63" w:id="-961835516"/>
                <w14:textFill>
                  <w14:solidFill>
                    <w14:srgbClr w14:val="000000">
                      <w14:alpha w14:val="100000"/>
                    </w14:srgbClr>
                  </w14:solidFill>
                </w14:textFill>
              </w:rPr>
              <w:t>|</w:t>
            </w:r>
            <w:r w:rsidRPr="00924D5E">
              <w:rPr>
                <w:rFonts w:hint="eastAsia"/>
                <w:color w:val="000000"/>
                <w:spacing w:val="-2"/>
                <w:w w:val="15"/>
                <w:shd w:val="solid" w:color="000000" w:fill="000000"/>
                <w:fitText w:val="63" w:id="-961835516"/>
                <w14:textFill>
                  <w14:solidFill>
                    <w14:srgbClr w14:val="000000">
                      <w14:alpha w14:val="100000"/>
                    </w14:srgbClr>
                  </w14:solidFill>
                </w14:textFill>
              </w:rPr>
              <w:t xml:space="preserve">　</w:t>
            </w:r>
            <w:r w:rsidR="00F546D2" w:rsidRPr="00233CFE">
              <w:rPr>
                <w:vertAlign w:val="superscript"/>
              </w:rPr>
              <w:t>1</w:t>
            </w:r>
          </w:p>
        </w:tc>
        <w:tc>
          <w:tcPr>
            <w:tcW w:w="644" w:type="pct"/>
          </w:tcPr>
          <w:p w14:paraId="13B8D615" w14:textId="4285C50C" w:rsidR="00DD0381" w:rsidRPr="00D221AB" w:rsidRDefault="00924D5E" w:rsidP="00DD0381">
            <w:pPr>
              <w:pStyle w:val="PBACTableText"/>
              <w:spacing w:before="0" w:after="0"/>
              <w:jc w:val="center"/>
              <w:rPr>
                <w:rFonts w:cs="Calibri"/>
                <w:color w:val="000000"/>
                <w:highlight w:val="lightGray"/>
              </w:rPr>
            </w:pPr>
            <w:r w:rsidRPr="00924D5E">
              <w:rPr>
                <w:rFonts w:hint="eastAsia"/>
                <w:color w:val="000000"/>
                <w:w w:val="15"/>
                <w:shd w:val="solid" w:color="000000" w:fill="000000"/>
                <w:fitText w:val="50" w:id="-961835515"/>
                <w14:textFill>
                  <w14:solidFill>
                    <w14:srgbClr w14:val="000000">
                      <w14:alpha w14:val="100000"/>
                    </w14:srgbClr>
                  </w14:solidFill>
                </w14:textFill>
              </w:rPr>
              <w:t xml:space="preserve">　</w:t>
            </w:r>
            <w:r w:rsidRPr="00924D5E">
              <w:rPr>
                <w:color w:val="000000"/>
                <w:w w:val="15"/>
                <w:shd w:val="solid" w:color="000000" w:fill="000000"/>
                <w:fitText w:val="50" w:id="-961835515"/>
                <w14:textFill>
                  <w14:solidFill>
                    <w14:srgbClr w14:val="000000">
                      <w14:alpha w14:val="100000"/>
                    </w14:srgbClr>
                  </w14:solidFill>
                </w14:textFill>
              </w:rPr>
              <w:t>|</w:t>
            </w:r>
            <w:r w:rsidRPr="00924D5E">
              <w:rPr>
                <w:rFonts w:hint="eastAsia"/>
                <w:color w:val="000000"/>
                <w:spacing w:val="-15"/>
                <w:w w:val="15"/>
                <w:shd w:val="solid" w:color="000000" w:fill="000000"/>
                <w:fitText w:val="50" w:id="-961835515"/>
                <w14:textFill>
                  <w14:solidFill>
                    <w14:srgbClr w14:val="000000">
                      <w14:alpha w14:val="100000"/>
                    </w14:srgbClr>
                  </w14:solidFill>
                </w14:textFill>
              </w:rPr>
              <w:t xml:space="preserve">　</w:t>
            </w:r>
            <w:r w:rsidR="00F546D2" w:rsidRPr="00233CFE">
              <w:rPr>
                <w:vertAlign w:val="superscript"/>
              </w:rPr>
              <w:t>1</w:t>
            </w:r>
          </w:p>
        </w:tc>
        <w:tc>
          <w:tcPr>
            <w:tcW w:w="693" w:type="pct"/>
          </w:tcPr>
          <w:p w14:paraId="34F993BC" w14:textId="1C938060" w:rsidR="00DD0381" w:rsidRPr="00D221AB" w:rsidRDefault="00924D5E" w:rsidP="00DD0381">
            <w:pPr>
              <w:pStyle w:val="PBACTableText"/>
              <w:spacing w:before="0" w:after="0"/>
              <w:jc w:val="center"/>
              <w:rPr>
                <w:rFonts w:cs="Calibri"/>
                <w:color w:val="000000"/>
                <w:highlight w:val="lightGray"/>
              </w:rPr>
            </w:pPr>
            <w:r w:rsidRPr="00924D5E">
              <w:rPr>
                <w:color w:val="000000"/>
                <w:shd w:val="solid" w:color="000000" w:fill="000000"/>
                <w14:textFill>
                  <w14:solidFill>
                    <w14:srgbClr w14:val="000000">
                      <w14:alpha w14:val="100000"/>
                    </w14:srgbClr>
                  </w14:solidFill>
                </w14:textFill>
              </w:rPr>
              <w:t>|</w:t>
            </w:r>
            <w:r w:rsidR="00F546D2" w:rsidRPr="00233CFE">
              <w:rPr>
                <w:vertAlign w:val="superscript"/>
              </w:rPr>
              <w:t>1</w:t>
            </w:r>
          </w:p>
        </w:tc>
        <w:tc>
          <w:tcPr>
            <w:tcW w:w="708" w:type="pct"/>
          </w:tcPr>
          <w:p w14:paraId="65A55E4C" w14:textId="4BCF586D" w:rsidR="00DD0381" w:rsidRPr="00D221AB" w:rsidRDefault="00924D5E" w:rsidP="00DD0381">
            <w:pPr>
              <w:pStyle w:val="PBACTableText"/>
              <w:spacing w:before="0" w:after="0"/>
              <w:jc w:val="center"/>
              <w:rPr>
                <w:rFonts w:cs="Calibri"/>
                <w:color w:val="000000"/>
                <w:highlight w:val="lightGray"/>
              </w:rPr>
            </w:pPr>
            <w:r w:rsidRPr="00924D5E">
              <w:rPr>
                <w:color w:val="000000"/>
                <w:shd w:val="solid" w:color="000000" w:fill="000000"/>
                <w14:textFill>
                  <w14:solidFill>
                    <w14:srgbClr w14:val="000000">
                      <w14:alpha w14:val="100000"/>
                    </w14:srgbClr>
                  </w14:solidFill>
                </w14:textFill>
              </w:rPr>
              <w:t>|</w:t>
            </w:r>
            <w:r w:rsidR="00F546D2" w:rsidRPr="00233CFE">
              <w:rPr>
                <w:vertAlign w:val="superscript"/>
              </w:rPr>
              <w:t>1</w:t>
            </w:r>
          </w:p>
        </w:tc>
        <w:tc>
          <w:tcPr>
            <w:tcW w:w="678" w:type="pct"/>
          </w:tcPr>
          <w:p w14:paraId="141F82FF" w14:textId="512029D3" w:rsidR="00DD0381" w:rsidRPr="00D221AB" w:rsidRDefault="00924D5E" w:rsidP="00DD0381">
            <w:pPr>
              <w:pStyle w:val="PBACTableText"/>
              <w:spacing w:before="0" w:after="0"/>
              <w:jc w:val="center"/>
              <w:rPr>
                <w:rFonts w:cs="Calibri"/>
                <w:color w:val="000000"/>
                <w:highlight w:val="lightGray"/>
              </w:rPr>
            </w:pPr>
            <w:r w:rsidRPr="006E162D">
              <w:rPr>
                <w:rFonts w:hint="eastAsia"/>
                <w:color w:val="000000"/>
                <w:w w:val="15"/>
                <w:shd w:val="solid" w:color="000000" w:fill="000000"/>
                <w:fitText w:val="25" w:id="-961835514"/>
                <w14:textFill>
                  <w14:solidFill>
                    <w14:srgbClr w14:val="000000">
                      <w14:alpha w14:val="100000"/>
                    </w14:srgbClr>
                  </w14:solidFill>
                </w14:textFill>
              </w:rPr>
              <w:t xml:space="preserve">　</w:t>
            </w:r>
            <w:r w:rsidRPr="006E162D">
              <w:rPr>
                <w:color w:val="000000"/>
                <w:w w:val="15"/>
                <w:shd w:val="solid" w:color="000000" w:fill="000000"/>
                <w:fitText w:val="25" w:id="-961835514"/>
                <w14:textFill>
                  <w14:solidFill>
                    <w14:srgbClr w14:val="000000">
                      <w14:alpha w14:val="100000"/>
                    </w14:srgbClr>
                  </w14:solidFill>
                </w14:textFill>
              </w:rPr>
              <w:t>|</w:t>
            </w:r>
            <w:r w:rsidRPr="006E162D">
              <w:rPr>
                <w:rFonts w:hint="eastAsia"/>
                <w:color w:val="000000"/>
                <w:spacing w:val="-41"/>
                <w:w w:val="15"/>
                <w:shd w:val="solid" w:color="000000" w:fill="000000"/>
                <w:fitText w:val="25" w:id="-961835514"/>
                <w14:textFill>
                  <w14:solidFill>
                    <w14:srgbClr w14:val="000000">
                      <w14:alpha w14:val="100000"/>
                    </w14:srgbClr>
                  </w14:solidFill>
                </w14:textFill>
              </w:rPr>
              <w:t xml:space="preserve">　</w:t>
            </w:r>
            <w:r w:rsidR="00C14CA5" w:rsidRPr="00233CFE">
              <w:rPr>
                <w:vertAlign w:val="superscript"/>
              </w:rPr>
              <w:t>1</w:t>
            </w:r>
          </w:p>
        </w:tc>
      </w:tr>
      <w:tr w:rsidR="003336B6" w:rsidRPr="00CD4FAB" w14:paraId="7841B49A" w14:textId="77777777" w:rsidTr="00730ECC">
        <w:trPr>
          <w:trHeight w:val="20"/>
        </w:trPr>
        <w:tc>
          <w:tcPr>
            <w:tcW w:w="998" w:type="pct"/>
          </w:tcPr>
          <w:p w14:paraId="6625F4FB" w14:textId="33307E52" w:rsidR="003336B6" w:rsidRPr="00233CFE" w:rsidRDefault="003336B6" w:rsidP="003336B6">
            <w:pPr>
              <w:pStyle w:val="PBACTableText"/>
              <w:spacing w:before="0" w:after="0"/>
            </w:pPr>
            <w:r w:rsidRPr="00233CFE">
              <w:t xml:space="preserve">Number of scripts </w:t>
            </w:r>
          </w:p>
        </w:tc>
        <w:tc>
          <w:tcPr>
            <w:tcW w:w="650" w:type="pct"/>
            <w:vAlign w:val="center"/>
          </w:tcPr>
          <w:p w14:paraId="59343E63" w14:textId="7C142220" w:rsidR="003336B6" w:rsidRPr="00D221AB" w:rsidRDefault="00924D5E" w:rsidP="003336B6">
            <w:pPr>
              <w:pStyle w:val="PBACTableText"/>
              <w:spacing w:before="0" w:after="0"/>
              <w:jc w:val="center"/>
              <w:rPr>
                <w:rFonts w:cs="Calibri"/>
                <w:color w:val="000000"/>
                <w:highlight w:val="lightGray"/>
              </w:rPr>
            </w:pPr>
            <w:r w:rsidRPr="00924D5E">
              <w:rPr>
                <w:rFonts w:hint="eastAsia"/>
                <w:color w:val="000000"/>
                <w:w w:val="15"/>
                <w:shd w:val="solid" w:color="000000" w:fill="000000"/>
                <w:fitText w:val="50" w:id="-961835513"/>
                <w14:textFill>
                  <w14:solidFill>
                    <w14:srgbClr w14:val="000000">
                      <w14:alpha w14:val="100000"/>
                    </w14:srgbClr>
                  </w14:solidFill>
                </w14:textFill>
              </w:rPr>
              <w:t xml:space="preserve">　</w:t>
            </w:r>
            <w:r w:rsidRPr="00924D5E">
              <w:rPr>
                <w:color w:val="000000"/>
                <w:w w:val="15"/>
                <w:shd w:val="solid" w:color="000000" w:fill="000000"/>
                <w:fitText w:val="50" w:id="-961835513"/>
                <w14:textFill>
                  <w14:solidFill>
                    <w14:srgbClr w14:val="000000">
                      <w14:alpha w14:val="100000"/>
                    </w14:srgbClr>
                  </w14:solidFill>
                </w14:textFill>
              </w:rPr>
              <w:t>|</w:t>
            </w:r>
            <w:r w:rsidRPr="00924D5E">
              <w:rPr>
                <w:rFonts w:hint="eastAsia"/>
                <w:color w:val="000000"/>
                <w:spacing w:val="-15"/>
                <w:w w:val="15"/>
                <w:shd w:val="solid" w:color="000000" w:fill="000000"/>
                <w:fitText w:val="50" w:id="-961835513"/>
                <w14:textFill>
                  <w14:solidFill>
                    <w14:srgbClr w14:val="000000">
                      <w14:alpha w14:val="100000"/>
                    </w14:srgbClr>
                  </w14:solidFill>
                </w14:textFill>
              </w:rPr>
              <w:t xml:space="preserve">　</w:t>
            </w:r>
            <w:r w:rsidR="000E2789" w:rsidRPr="00233CFE">
              <w:rPr>
                <w:vertAlign w:val="superscript"/>
              </w:rPr>
              <w:t>2</w:t>
            </w:r>
          </w:p>
        </w:tc>
        <w:tc>
          <w:tcPr>
            <w:tcW w:w="629" w:type="pct"/>
            <w:vAlign w:val="center"/>
          </w:tcPr>
          <w:p w14:paraId="444A49CF" w14:textId="1E1D1B54" w:rsidR="003336B6" w:rsidRPr="00D221AB" w:rsidRDefault="00924D5E" w:rsidP="003336B6">
            <w:pPr>
              <w:pStyle w:val="PBACTableText"/>
              <w:spacing w:before="0" w:after="0"/>
              <w:jc w:val="center"/>
              <w:rPr>
                <w:rFonts w:cs="Calibri"/>
                <w:color w:val="000000"/>
                <w:highlight w:val="lightGray"/>
              </w:rPr>
            </w:pPr>
            <w:r w:rsidRPr="00924D5E">
              <w:rPr>
                <w:rFonts w:hint="eastAsia"/>
                <w:color w:val="000000"/>
                <w:w w:val="15"/>
                <w:shd w:val="solid" w:color="000000" w:fill="000000"/>
                <w:fitText w:val="63" w:id="-961835512"/>
                <w14:textFill>
                  <w14:solidFill>
                    <w14:srgbClr w14:val="000000">
                      <w14:alpha w14:val="100000"/>
                    </w14:srgbClr>
                  </w14:solidFill>
                </w14:textFill>
              </w:rPr>
              <w:t xml:space="preserve">　</w:t>
            </w:r>
            <w:r w:rsidRPr="00924D5E">
              <w:rPr>
                <w:color w:val="000000"/>
                <w:w w:val="15"/>
                <w:shd w:val="solid" w:color="000000" w:fill="000000"/>
                <w:fitText w:val="63" w:id="-961835512"/>
                <w14:textFill>
                  <w14:solidFill>
                    <w14:srgbClr w14:val="000000">
                      <w14:alpha w14:val="100000"/>
                    </w14:srgbClr>
                  </w14:solidFill>
                </w14:textFill>
              </w:rPr>
              <w:t>|</w:t>
            </w:r>
            <w:r w:rsidRPr="00924D5E">
              <w:rPr>
                <w:rFonts w:hint="eastAsia"/>
                <w:color w:val="000000"/>
                <w:spacing w:val="-2"/>
                <w:w w:val="15"/>
                <w:shd w:val="solid" w:color="000000" w:fill="000000"/>
                <w:fitText w:val="63" w:id="-961835512"/>
                <w14:textFill>
                  <w14:solidFill>
                    <w14:srgbClr w14:val="000000">
                      <w14:alpha w14:val="100000"/>
                    </w14:srgbClr>
                  </w14:solidFill>
                </w14:textFill>
              </w:rPr>
              <w:t xml:space="preserve">　</w:t>
            </w:r>
            <w:r w:rsidR="000E2789" w:rsidRPr="00233CFE">
              <w:rPr>
                <w:vertAlign w:val="superscript"/>
              </w:rPr>
              <w:t>2</w:t>
            </w:r>
          </w:p>
        </w:tc>
        <w:tc>
          <w:tcPr>
            <w:tcW w:w="644" w:type="pct"/>
            <w:vAlign w:val="center"/>
          </w:tcPr>
          <w:p w14:paraId="70FE6EFA" w14:textId="467512FE" w:rsidR="003336B6" w:rsidRPr="00D221AB" w:rsidRDefault="00924D5E" w:rsidP="003336B6">
            <w:pPr>
              <w:pStyle w:val="PBACTableText"/>
              <w:spacing w:before="0" w:after="0"/>
              <w:jc w:val="center"/>
              <w:rPr>
                <w:rFonts w:cs="Calibri"/>
                <w:color w:val="000000"/>
                <w:highlight w:val="lightGray"/>
              </w:rPr>
            </w:pPr>
            <w:r w:rsidRPr="00924D5E">
              <w:rPr>
                <w:rFonts w:hint="eastAsia"/>
                <w:color w:val="000000"/>
                <w:w w:val="15"/>
                <w:shd w:val="solid" w:color="000000" w:fill="000000"/>
                <w:fitText w:val="50" w:id="-961835511"/>
                <w14:textFill>
                  <w14:solidFill>
                    <w14:srgbClr w14:val="000000">
                      <w14:alpha w14:val="100000"/>
                    </w14:srgbClr>
                  </w14:solidFill>
                </w14:textFill>
              </w:rPr>
              <w:t xml:space="preserve">　</w:t>
            </w:r>
            <w:r w:rsidRPr="00924D5E">
              <w:rPr>
                <w:color w:val="000000"/>
                <w:w w:val="15"/>
                <w:shd w:val="solid" w:color="000000" w:fill="000000"/>
                <w:fitText w:val="50" w:id="-961835511"/>
                <w14:textFill>
                  <w14:solidFill>
                    <w14:srgbClr w14:val="000000">
                      <w14:alpha w14:val="100000"/>
                    </w14:srgbClr>
                  </w14:solidFill>
                </w14:textFill>
              </w:rPr>
              <w:t>|</w:t>
            </w:r>
            <w:r w:rsidRPr="00924D5E">
              <w:rPr>
                <w:rFonts w:hint="eastAsia"/>
                <w:color w:val="000000"/>
                <w:spacing w:val="-15"/>
                <w:w w:val="15"/>
                <w:shd w:val="solid" w:color="000000" w:fill="000000"/>
                <w:fitText w:val="50" w:id="-961835511"/>
                <w14:textFill>
                  <w14:solidFill>
                    <w14:srgbClr w14:val="000000">
                      <w14:alpha w14:val="100000"/>
                    </w14:srgbClr>
                  </w14:solidFill>
                </w14:textFill>
              </w:rPr>
              <w:t xml:space="preserve">　</w:t>
            </w:r>
            <w:r w:rsidR="000E2789" w:rsidRPr="00233CFE">
              <w:rPr>
                <w:vertAlign w:val="superscript"/>
              </w:rPr>
              <w:t>2</w:t>
            </w:r>
          </w:p>
        </w:tc>
        <w:tc>
          <w:tcPr>
            <w:tcW w:w="693" w:type="pct"/>
            <w:vAlign w:val="center"/>
          </w:tcPr>
          <w:p w14:paraId="6BF4526C" w14:textId="0CAB1D67" w:rsidR="003336B6" w:rsidRPr="00D221AB" w:rsidRDefault="00924D5E" w:rsidP="003336B6">
            <w:pPr>
              <w:pStyle w:val="PBACTableText"/>
              <w:spacing w:before="0" w:after="0"/>
              <w:jc w:val="center"/>
              <w:rPr>
                <w:rFonts w:cs="Calibri"/>
                <w:color w:val="000000"/>
                <w:highlight w:val="lightGray"/>
              </w:rPr>
            </w:pPr>
            <w:r w:rsidRPr="00924D5E">
              <w:rPr>
                <w:color w:val="000000"/>
                <w:shd w:val="solid" w:color="000000" w:fill="000000"/>
                <w14:textFill>
                  <w14:solidFill>
                    <w14:srgbClr w14:val="000000">
                      <w14:alpha w14:val="100000"/>
                    </w14:srgbClr>
                  </w14:solidFill>
                </w14:textFill>
              </w:rPr>
              <w:t>|</w:t>
            </w:r>
            <w:r w:rsidR="000E2789" w:rsidRPr="00233CFE">
              <w:rPr>
                <w:vertAlign w:val="superscript"/>
              </w:rPr>
              <w:t>2</w:t>
            </w:r>
          </w:p>
        </w:tc>
        <w:tc>
          <w:tcPr>
            <w:tcW w:w="708" w:type="pct"/>
            <w:vAlign w:val="center"/>
          </w:tcPr>
          <w:p w14:paraId="170ADEC4" w14:textId="2E42F503" w:rsidR="003336B6" w:rsidRPr="00D221AB" w:rsidRDefault="00924D5E" w:rsidP="003336B6">
            <w:pPr>
              <w:pStyle w:val="PBACTableText"/>
              <w:spacing w:before="0" w:after="0"/>
              <w:jc w:val="center"/>
              <w:rPr>
                <w:rFonts w:cs="Calibri"/>
                <w:color w:val="000000"/>
                <w:highlight w:val="lightGray"/>
              </w:rPr>
            </w:pPr>
            <w:r w:rsidRPr="00924D5E">
              <w:rPr>
                <w:color w:val="000000"/>
                <w:shd w:val="solid" w:color="000000" w:fill="000000"/>
                <w14:textFill>
                  <w14:solidFill>
                    <w14:srgbClr w14:val="000000">
                      <w14:alpha w14:val="100000"/>
                    </w14:srgbClr>
                  </w14:solidFill>
                </w14:textFill>
              </w:rPr>
              <w:t>|</w:t>
            </w:r>
            <w:r w:rsidR="000E2789" w:rsidRPr="00233CFE">
              <w:rPr>
                <w:vertAlign w:val="superscript"/>
              </w:rPr>
              <w:t>2</w:t>
            </w:r>
          </w:p>
        </w:tc>
        <w:tc>
          <w:tcPr>
            <w:tcW w:w="678" w:type="pct"/>
            <w:vAlign w:val="center"/>
          </w:tcPr>
          <w:p w14:paraId="1710BD7A" w14:textId="7F38420B" w:rsidR="003336B6" w:rsidRPr="00D221AB" w:rsidRDefault="00924D5E" w:rsidP="003336B6">
            <w:pPr>
              <w:pStyle w:val="PBACTableText"/>
              <w:spacing w:before="0" w:after="0"/>
              <w:jc w:val="center"/>
              <w:rPr>
                <w:rFonts w:cs="Calibri"/>
                <w:color w:val="000000"/>
                <w:highlight w:val="lightGray"/>
              </w:rPr>
            </w:pPr>
            <w:r w:rsidRPr="006E162D">
              <w:rPr>
                <w:rFonts w:hint="eastAsia"/>
                <w:color w:val="000000"/>
                <w:w w:val="15"/>
                <w:shd w:val="solid" w:color="000000" w:fill="000000"/>
                <w:fitText w:val="25" w:id="-961835510"/>
                <w14:textFill>
                  <w14:solidFill>
                    <w14:srgbClr w14:val="000000">
                      <w14:alpha w14:val="100000"/>
                    </w14:srgbClr>
                  </w14:solidFill>
                </w14:textFill>
              </w:rPr>
              <w:t xml:space="preserve">　</w:t>
            </w:r>
            <w:r w:rsidRPr="006E162D">
              <w:rPr>
                <w:color w:val="000000"/>
                <w:w w:val="15"/>
                <w:shd w:val="solid" w:color="000000" w:fill="000000"/>
                <w:fitText w:val="25" w:id="-961835510"/>
                <w14:textFill>
                  <w14:solidFill>
                    <w14:srgbClr w14:val="000000">
                      <w14:alpha w14:val="100000"/>
                    </w14:srgbClr>
                  </w14:solidFill>
                </w14:textFill>
              </w:rPr>
              <w:t>|</w:t>
            </w:r>
            <w:r w:rsidRPr="006E162D">
              <w:rPr>
                <w:rFonts w:hint="eastAsia"/>
                <w:color w:val="000000"/>
                <w:spacing w:val="-41"/>
                <w:w w:val="15"/>
                <w:shd w:val="solid" w:color="000000" w:fill="000000"/>
                <w:fitText w:val="25" w:id="-961835510"/>
                <w14:textFill>
                  <w14:solidFill>
                    <w14:srgbClr w14:val="000000">
                      <w14:alpha w14:val="100000"/>
                    </w14:srgbClr>
                  </w14:solidFill>
                </w14:textFill>
              </w:rPr>
              <w:t xml:space="preserve">　</w:t>
            </w:r>
            <w:r w:rsidR="000E2789" w:rsidRPr="00233CFE">
              <w:rPr>
                <w:vertAlign w:val="superscript"/>
              </w:rPr>
              <w:t>2</w:t>
            </w:r>
          </w:p>
        </w:tc>
      </w:tr>
      <w:tr w:rsidR="00454C4E" w:rsidRPr="00CD4FAB" w14:paraId="2BA34CF2" w14:textId="77777777" w:rsidTr="00454C4E">
        <w:trPr>
          <w:trHeight w:val="20"/>
        </w:trPr>
        <w:tc>
          <w:tcPr>
            <w:tcW w:w="998" w:type="pct"/>
          </w:tcPr>
          <w:p w14:paraId="53022185" w14:textId="6DABFA44" w:rsidR="00454C4E" w:rsidRPr="00233CFE" w:rsidRDefault="00454C4E" w:rsidP="00454C4E">
            <w:pPr>
              <w:pStyle w:val="PBACTableText"/>
              <w:spacing w:before="0" w:after="0"/>
            </w:pPr>
            <w:r w:rsidRPr="00233CFE">
              <w:t xml:space="preserve">Net cost PBS/RPBS </w:t>
            </w:r>
          </w:p>
        </w:tc>
        <w:tc>
          <w:tcPr>
            <w:tcW w:w="650" w:type="pct"/>
          </w:tcPr>
          <w:p w14:paraId="13CCC89B" w14:textId="0490B335" w:rsidR="00454C4E" w:rsidRPr="00D221AB" w:rsidRDefault="00924D5E" w:rsidP="00454C4E">
            <w:pPr>
              <w:pStyle w:val="PBACTableText"/>
              <w:spacing w:before="0" w:after="0"/>
              <w:jc w:val="center"/>
              <w:rPr>
                <w:rFonts w:cs="Arial"/>
                <w:bCs/>
                <w:highlight w:val="lightGray"/>
              </w:rPr>
            </w:pPr>
            <w:r w:rsidRPr="00924D5E">
              <w:rPr>
                <w:rFonts w:hint="eastAsia"/>
                <w:color w:val="000000"/>
                <w:w w:val="15"/>
                <w:shd w:val="solid" w:color="000000" w:fill="000000"/>
                <w:fitText w:val="50" w:id="-961835509"/>
                <w14:textFill>
                  <w14:solidFill>
                    <w14:srgbClr w14:val="000000">
                      <w14:alpha w14:val="100000"/>
                    </w14:srgbClr>
                  </w14:solidFill>
                </w14:textFill>
              </w:rPr>
              <w:t xml:space="preserve">　</w:t>
            </w:r>
            <w:r w:rsidRPr="00924D5E">
              <w:rPr>
                <w:color w:val="000000"/>
                <w:w w:val="15"/>
                <w:shd w:val="solid" w:color="000000" w:fill="000000"/>
                <w:fitText w:val="50" w:id="-961835509"/>
                <w14:textFill>
                  <w14:solidFill>
                    <w14:srgbClr w14:val="000000">
                      <w14:alpha w14:val="100000"/>
                    </w14:srgbClr>
                  </w14:solidFill>
                </w14:textFill>
              </w:rPr>
              <w:t>|</w:t>
            </w:r>
            <w:r w:rsidRPr="00924D5E">
              <w:rPr>
                <w:rFonts w:hint="eastAsia"/>
                <w:color w:val="000000"/>
                <w:spacing w:val="-15"/>
                <w:w w:val="15"/>
                <w:shd w:val="solid" w:color="000000" w:fill="000000"/>
                <w:fitText w:val="50" w:id="-961835509"/>
                <w14:textFill>
                  <w14:solidFill>
                    <w14:srgbClr w14:val="000000">
                      <w14:alpha w14:val="100000"/>
                    </w14:srgbClr>
                  </w14:solidFill>
                </w14:textFill>
              </w:rPr>
              <w:t xml:space="preserve">　</w:t>
            </w:r>
            <w:r w:rsidR="00C14CA5" w:rsidRPr="00233CFE">
              <w:rPr>
                <w:vertAlign w:val="superscript"/>
              </w:rPr>
              <w:t>3</w:t>
            </w:r>
          </w:p>
        </w:tc>
        <w:tc>
          <w:tcPr>
            <w:tcW w:w="629" w:type="pct"/>
          </w:tcPr>
          <w:p w14:paraId="3238A6B8" w14:textId="49D8D067" w:rsidR="00454C4E" w:rsidRPr="00D221AB" w:rsidRDefault="00924D5E" w:rsidP="00454C4E">
            <w:pPr>
              <w:pStyle w:val="PBACTableText"/>
              <w:spacing w:before="0" w:after="0"/>
              <w:jc w:val="center"/>
              <w:rPr>
                <w:rFonts w:cs="Arial"/>
                <w:bCs/>
                <w:highlight w:val="lightGray"/>
              </w:rPr>
            </w:pPr>
            <w:r w:rsidRPr="00924D5E">
              <w:rPr>
                <w:rFonts w:hint="eastAsia"/>
                <w:color w:val="000000"/>
                <w:w w:val="15"/>
                <w:shd w:val="solid" w:color="000000" w:fill="000000"/>
                <w:fitText w:val="63" w:id="-961835508"/>
                <w14:textFill>
                  <w14:solidFill>
                    <w14:srgbClr w14:val="000000">
                      <w14:alpha w14:val="100000"/>
                    </w14:srgbClr>
                  </w14:solidFill>
                </w14:textFill>
              </w:rPr>
              <w:t xml:space="preserve">　</w:t>
            </w:r>
            <w:r w:rsidRPr="00924D5E">
              <w:rPr>
                <w:color w:val="000000"/>
                <w:w w:val="15"/>
                <w:shd w:val="solid" w:color="000000" w:fill="000000"/>
                <w:fitText w:val="63" w:id="-961835508"/>
                <w14:textFill>
                  <w14:solidFill>
                    <w14:srgbClr w14:val="000000">
                      <w14:alpha w14:val="100000"/>
                    </w14:srgbClr>
                  </w14:solidFill>
                </w14:textFill>
              </w:rPr>
              <w:t>|</w:t>
            </w:r>
            <w:r w:rsidRPr="00924D5E">
              <w:rPr>
                <w:rFonts w:hint="eastAsia"/>
                <w:color w:val="000000"/>
                <w:spacing w:val="-2"/>
                <w:w w:val="15"/>
                <w:shd w:val="solid" w:color="000000" w:fill="000000"/>
                <w:fitText w:val="63" w:id="-961835508"/>
                <w14:textFill>
                  <w14:solidFill>
                    <w14:srgbClr w14:val="000000">
                      <w14:alpha w14:val="100000"/>
                    </w14:srgbClr>
                  </w14:solidFill>
                </w14:textFill>
              </w:rPr>
              <w:t xml:space="preserve">　</w:t>
            </w:r>
            <w:r w:rsidR="00C14CA5" w:rsidRPr="00233CFE">
              <w:rPr>
                <w:vertAlign w:val="superscript"/>
              </w:rPr>
              <w:t>3</w:t>
            </w:r>
          </w:p>
        </w:tc>
        <w:tc>
          <w:tcPr>
            <w:tcW w:w="644" w:type="pct"/>
          </w:tcPr>
          <w:p w14:paraId="4260B477" w14:textId="72893DD1" w:rsidR="00454C4E" w:rsidRPr="00D221AB" w:rsidRDefault="00924D5E" w:rsidP="00454C4E">
            <w:pPr>
              <w:pStyle w:val="PBACTableText"/>
              <w:spacing w:before="0" w:after="0"/>
              <w:jc w:val="center"/>
              <w:rPr>
                <w:rFonts w:cs="Arial"/>
                <w:bCs/>
                <w:highlight w:val="lightGray"/>
              </w:rPr>
            </w:pPr>
            <w:r w:rsidRPr="00924D5E">
              <w:rPr>
                <w:rFonts w:hint="eastAsia"/>
                <w:color w:val="000000"/>
                <w:w w:val="15"/>
                <w:shd w:val="solid" w:color="000000" w:fill="000000"/>
                <w:fitText w:val="50" w:id="-961835507"/>
                <w14:textFill>
                  <w14:solidFill>
                    <w14:srgbClr w14:val="000000">
                      <w14:alpha w14:val="100000"/>
                    </w14:srgbClr>
                  </w14:solidFill>
                </w14:textFill>
              </w:rPr>
              <w:t xml:space="preserve">　</w:t>
            </w:r>
            <w:r w:rsidRPr="00924D5E">
              <w:rPr>
                <w:color w:val="000000"/>
                <w:w w:val="15"/>
                <w:shd w:val="solid" w:color="000000" w:fill="000000"/>
                <w:fitText w:val="50" w:id="-961835507"/>
                <w14:textFill>
                  <w14:solidFill>
                    <w14:srgbClr w14:val="000000">
                      <w14:alpha w14:val="100000"/>
                    </w14:srgbClr>
                  </w14:solidFill>
                </w14:textFill>
              </w:rPr>
              <w:t>|</w:t>
            </w:r>
            <w:r w:rsidRPr="00924D5E">
              <w:rPr>
                <w:rFonts w:hint="eastAsia"/>
                <w:color w:val="000000"/>
                <w:spacing w:val="-15"/>
                <w:w w:val="15"/>
                <w:shd w:val="solid" w:color="000000" w:fill="000000"/>
                <w:fitText w:val="50" w:id="-961835507"/>
                <w14:textFill>
                  <w14:solidFill>
                    <w14:srgbClr w14:val="000000">
                      <w14:alpha w14:val="100000"/>
                    </w14:srgbClr>
                  </w14:solidFill>
                </w14:textFill>
              </w:rPr>
              <w:t xml:space="preserve">　</w:t>
            </w:r>
            <w:r w:rsidR="00C14CA5" w:rsidRPr="00233CFE">
              <w:rPr>
                <w:vertAlign w:val="superscript"/>
              </w:rPr>
              <w:t>3</w:t>
            </w:r>
          </w:p>
        </w:tc>
        <w:tc>
          <w:tcPr>
            <w:tcW w:w="693" w:type="pct"/>
          </w:tcPr>
          <w:p w14:paraId="12F807FC" w14:textId="6F745800" w:rsidR="00454C4E" w:rsidRPr="00D221AB" w:rsidRDefault="00924D5E" w:rsidP="00454C4E">
            <w:pPr>
              <w:pStyle w:val="PBACTableText"/>
              <w:spacing w:before="0" w:after="0"/>
              <w:jc w:val="center"/>
              <w:rPr>
                <w:rFonts w:cs="Arial"/>
                <w:bCs/>
                <w:highlight w:val="lightGray"/>
              </w:rPr>
            </w:pPr>
            <w:r w:rsidRPr="00924D5E">
              <w:rPr>
                <w:color w:val="000000"/>
                <w:shd w:val="solid" w:color="000000" w:fill="000000"/>
                <w14:textFill>
                  <w14:solidFill>
                    <w14:srgbClr w14:val="000000">
                      <w14:alpha w14:val="100000"/>
                    </w14:srgbClr>
                  </w14:solidFill>
                </w14:textFill>
              </w:rPr>
              <w:t>|</w:t>
            </w:r>
            <w:r w:rsidR="00C14CA5" w:rsidRPr="00233CFE">
              <w:rPr>
                <w:vertAlign w:val="superscript"/>
              </w:rPr>
              <w:t>3</w:t>
            </w:r>
          </w:p>
        </w:tc>
        <w:tc>
          <w:tcPr>
            <w:tcW w:w="708" w:type="pct"/>
          </w:tcPr>
          <w:p w14:paraId="5056FE5A" w14:textId="28B8E6C6" w:rsidR="00454C4E" w:rsidRPr="00D221AB" w:rsidRDefault="00924D5E" w:rsidP="00454C4E">
            <w:pPr>
              <w:pStyle w:val="PBACTableText"/>
              <w:spacing w:before="0" w:after="0"/>
              <w:jc w:val="center"/>
              <w:rPr>
                <w:rFonts w:cs="Arial"/>
                <w:bCs/>
                <w:highlight w:val="lightGray"/>
              </w:rPr>
            </w:pPr>
            <w:r w:rsidRPr="00924D5E">
              <w:rPr>
                <w:color w:val="000000"/>
                <w:shd w:val="solid" w:color="000000" w:fill="000000"/>
                <w14:textFill>
                  <w14:solidFill>
                    <w14:srgbClr w14:val="000000">
                      <w14:alpha w14:val="100000"/>
                    </w14:srgbClr>
                  </w14:solidFill>
                </w14:textFill>
              </w:rPr>
              <w:t>|</w:t>
            </w:r>
            <w:r w:rsidR="00C14CA5" w:rsidRPr="00233CFE">
              <w:rPr>
                <w:vertAlign w:val="superscript"/>
              </w:rPr>
              <w:t>3</w:t>
            </w:r>
          </w:p>
        </w:tc>
        <w:tc>
          <w:tcPr>
            <w:tcW w:w="678" w:type="pct"/>
          </w:tcPr>
          <w:p w14:paraId="34689831" w14:textId="61A1ABDC" w:rsidR="00454C4E" w:rsidRPr="00D221AB" w:rsidRDefault="00924D5E" w:rsidP="00454C4E">
            <w:pPr>
              <w:pStyle w:val="PBACTableText"/>
              <w:spacing w:before="0" w:after="0"/>
              <w:jc w:val="center"/>
              <w:rPr>
                <w:rFonts w:cs="Arial"/>
                <w:bCs/>
                <w:highlight w:val="lightGray"/>
              </w:rPr>
            </w:pPr>
            <w:r w:rsidRPr="006E162D">
              <w:rPr>
                <w:rFonts w:hint="eastAsia"/>
                <w:color w:val="000000"/>
                <w:w w:val="15"/>
                <w:shd w:val="solid" w:color="000000" w:fill="000000"/>
                <w:fitText w:val="25" w:id="-961835506"/>
                <w14:textFill>
                  <w14:solidFill>
                    <w14:srgbClr w14:val="000000">
                      <w14:alpha w14:val="100000"/>
                    </w14:srgbClr>
                  </w14:solidFill>
                </w14:textFill>
              </w:rPr>
              <w:t xml:space="preserve">　</w:t>
            </w:r>
            <w:r w:rsidRPr="006E162D">
              <w:rPr>
                <w:color w:val="000000"/>
                <w:w w:val="15"/>
                <w:shd w:val="solid" w:color="000000" w:fill="000000"/>
                <w:fitText w:val="25" w:id="-961835506"/>
                <w14:textFill>
                  <w14:solidFill>
                    <w14:srgbClr w14:val="000000">
                      <w14:alpha w14:val="100000"/>
                    </w14:srgbClr>
                  </w14:solidFill>
                </w14:textFill>
              </w:rPr>
              <w:t>|</w:t>
            </w:r>
            <w:r w:rsidRPr="006E162D">
              <w:rPr>
                <w:rFonts w:hint="eastAsia"/>
                <w:color w:val="000000"/>
                <w:spacing w:val="-41"/>
                <w:w w:val="15"/>
                <w:shd w:val="solid" w:color="000000" w:fill="000000"/>
                <w:fitText w:val="25" w:id="-961835506"/>
                <w14:textFill>
                  <w14:solidFill>
                    <w14:srgbClr w14:val="000000">
                      <w14:alpha w14:val="100000"/>
                    </w14:srgbClr>
                  </w14:solidFill>
                </w14:textFill>
              </w:rPr>
              <w:t xml:space="preserve">　</w:t>
            </w:r>
            <w:r w:rsidR="00C14CA5" w:rsidRPr="00233CFE">
              <w:rPr>
                <w:vertAlign w:val="superscript"/>
              </w:rPr>
              <w:t>3</w:t>
            </w:r>
          </w:p>
        </w:tc>
      </w:tr>
      <w:tr w:rsidR="00454C4E" w:rsidRPr="00CD4FAB" w14:paraId="68709943" w14:textId="77777777" w:rsidTr="00454C4E">
        <w:trPr>
          <w:trHeight w:val="20"/>
        </w:trPr>
        <w:tc>
          <w:tcPr>
            <w:tcW w:w="998" w:type="pct"/>
          </w:tcPr>
          <w:p w14:paraId="1CA21E62" w14:textId="77777777" w:rsidR="00454C4E" w:rsidRPr="00233CFE" w:rsidRDefault="00454C4E" w:rsidP="00454C4E">
            <w:pPr>
              <w:pStyle w:val="PBACTableText"/>
              <w:spacing w:before="0" w:after="0"/>
              <w:rPr>
                <w:b/>
                <w:bCs/>
              </w:rPr>
            </w:pPr>
            <w:r w:rsidRPr="00233CFE">
              <w:rPr>
                <w:b/>
                <w:bCs/>
              </w:rPr>
              <w:t xml:space="preserve">Total cost to the PBS/RPBS including patient copayments </w:t>
            </w:r>
          </w:p>
          <w:p w14:paraId="080459E7" w14:textId="392E9E19" w:rsidR="00454C4E" w:rsidRPr="00233CFE" w:rsidRDefault="00454C4E" w:rsidP="00454C4E">
            <w:pPr>
              <w:pStyle w:val="PBACTableText"/>
              <w:spacing w:before="0" w:after="0"/>
              <w:rPr>
                <w:b/>
                <w:bCs/>
              </w:rPr>
            </w:pPr>
            <w:r w:rsidRPr="00233CFE">
              <w:rPr>
                <w:b/>
                <w:bCs/>
              </w:rPr>
              <w:t>(Option A)</w:t>
            </w:r>
          </w:p>
        </w:tc>
        <w:tc>
          <w:tcPr>
            <w:tcW w:w="650" w:type="pct"/>
            <w:vAlign w:val="center"/>
          </w:tcPr>
          <w:p w14:paraId="29F9A6EB" w14:textId="6E5B4AB8" w:rsidR="00454C4E" w:rsidRPr="00D221AB" w:rsidRDefault="00924D5E" w:rsidP="00454C4E">
            <w:pPr>
              <w:pStyle w:val="PBACTableText"/>
              <w:spacing w:before="0" w:after="0"/>
              <w:jc w:val="center"/>
              <w:rPr>
                <w:b/>
                <w:bCs/>
                <w:highlight w:val="lightGray"/>
              </w:rPr>
            </w:pPr>
            <w:r w:rsidRPr="00924D5E">
              <w:rPr>
                <w:rFonts w:hint="eastAsia"/>
                <w:color w:val="000000"/>
                <w:w w:val="15"/>
                <w:shd w:val="solid" w:color="000000" w:fill="000000"/>
                <w:fitText w:val="50" w:id="-961835505"/>
                <w14:textFill>
                  <w14:solidFill>
                    <w14:srgbClr w14:val="000000">
                      <w14:alpha w14:val="100000"/>
                    </w14:srgbClr>
                  </w14:solidFill>
                </w14:textFill>
              </w:rPr>
              <w:t xml:space="preserve">　</w:t>
            </w:r>
            <w:r w:rsidRPr="00924D5E">
              <w:rPr>
                <w:color w:val="000000"/>
                <w:w w:val="15"/>
                <w:shd w:val="solid" w:color="000000" w:fill="000000"/>
                <w:fitText w:val="50" w:id="-961835505"/>
                <w14:textFill>
                  <w14:solidFill>
                    <w14:srgbClr w14:val="000000">
                      <w14:alpha w14:val="100000"/>
                    </w14:srgbClr>
                  </w14:solidFill>
                </w14:textFill>
              </w:rPr>
              <w:t>|</w:t>
            </w:r>
            <w:r w:rsidRPr="00924D5E">
              <w:rPr>
                <w:rFonts w:hint="eastAsia"/>
                <w:color w:val="000000"/>
                <w:spacing w:val="-15"/>
                <w:w w:val="15"/>
                <w:shd w:val="solid" w:color="000000" w:fill="000000"/>
                <w:fitText w:val="50" w:id="-961835505"/>
                <w14:textFill>
                  <w14:solidFill>
                    <w14:srgbClr w14:val="000000">
                      <w14:alpha w14:val="100000"/>
                    </w14:srgbClr>
                  </w14:solidFill>
                </w14:textFill>
              </w:rPr>
              <w:t xml:space="preserve">　</w:t>
            </w:r>
            <w:r w:rsidR="006B7B61" w:rsidRPr="00233CFE">
              <w:rPr>
                <w:vertAlign w:val="superscript"/>
              </w:rPr>
              <w:t>3</w:t>
            </w:r>
          </w:p>
        </w:tc>
        <w:tc>
          <w:tcPr>
            <w:tcW w:w="629" w:type="pct"/>
            <w:vAlign w:val="center"/>
          </w:tcPr>
          <w:p w14:paraId="69856175" w14:textId="34451229" w:rsidR="00454C4E" w:rsidRPr="00D221AB" w:rsidRDefault="00924D5E" w:rsidP="00454C4E">
            <w:pPr>
              <w:pStyle w:val="PBACTableText"/>
              <w:spacing w:before="0" w:after="0"/>
              <w:jc w:val="center"/>
              <w:rPr>
                <w:b/>
                <w:bCs/>
                <w:highlight w:val="lightGray"/>
              </w:rPr>
            </w:pPr>
            <w:r w:rsidRPr="00924D5E">
              <w:rPr>
                <w:rFonts w:hint="eastAsia"/>
                <w:color w:val="000000"/>
                <w:w w:val="15"/>
                <w:shd w:val="solid" w:color="000000" w:fill="000000"/>
                <w:fitText w:val="63" w:id="-961835504"/>
                <w14:textFill>
                  <w14:solidFill>
                    <w14:srgbClr w14:val="000000">
                      <w14:alpha w14:val="100000"/>
                    </w14:srgbClr>
                  </w14:solidFill>
                </w14:textFill>
              </w:rPr>
              <w:t xml:space="preserve">　</w:t>
            </w:r>
            <w:r w:rsidRPr="00924D5E">
              <w:rPr>
                <w:color w:val="000000"/>
                <w:w w:val="15"/>
                <w:shd w:val="solid" w:color="000000" w:fill="000000"/>
                <w:fitText w:val="63" w:id="-961835504"/>
                <w14:textFill>
                  <w14:solidFill>
                    <w14:srgbClr w14:val="000000">
                      <w14:alpha w14:val="100000"/>
                    </w14:srgbClr>
                  </w14:solidFill>
                </w14:textFill>
              </w:rPr>
              <w:t>|</w:t>
            </w:r>
            <w:r w:rsidRPr="00924D5E">
              <w:rPr>
                <w:rFonts w:hint="eastAsia"/>
                <w:color w:val="000000"/>
                <w:spacing w:val="-2"/>
                <w:w w:val="15"/>
                <w:shd w:val="solid" w:color="000000" w:fill="000000"/>
                <w:fitText w:val="63" w:id="-961835504"/>
                <w14:textFill>
                  <w14:solidFill>
                    <w14:srgbClr w14:val="000000">
                      <w14:alpha w14:val="100000"/>
                    </w14:srgbClr>
                  </w14:solidFill>
                </w14:textFill>
              </w:rPr>
              <w:t xml:space="preserve">　</w:t>
            </w:r>
            <w:r w:rsidR="006B7B61" w:rsidRPr="00233CFE">
              <w:rPr>
                <w:vertAlign w:val="superscript"/>
              </w:rPr>
              <w:t>3</w:t>
            </w:r>
          </w:p>
        </w:tc>
        <w:tc>
          <w:tcPr>
            <w:tcW w:w="644" w:type="pct"/>
            <w:vAlign w:val="center"/>
          </w:tcPr>
          <w:p w14:paraId="3CF8A869" w14:textId="4909C971" w:rsidR="00454C4E" w:rsidRPr="00D221AB" w:rsidRDefault="00924D5E" w:rsidP="00454C4E">
            <w:pPr>
              <w:pStyle w:val="PBACTableText"/>
              <w:spacing w:before="0" w:after="0"/>
              <w:jc w:val="center"/>
              <w:rPr>
                <w:b/>
                <w:bCs/>
                <w:highlight w:val="lightGray"/>
              </w:rPr>
            </w:pPr>
            <w:r w:rsidRPr="00924D5E">
              <w:rPr>
                <w:rFonts w:hint="eastAsia"/>
                <w:color w:val="000000"/>
                <w:w w:val="15"/>
                <w:shd w:val="solid" w:color="000000" w:fill="000000"/>
                <w:fitText w:val="50" w:id="-961835520"/>
                <w14:textFill>
                  <w14:solidFill>
                    <w14:srgbClr w14:val="000000">
                      <w14:alpha w14:val="100000"/>
                    </w14:srgbClr>
                  </w14:solidFill>
                </w14:textFill>
              </w:rPr>
              <w:t xml:space="preserve">　</w:t>
            </w:r>
            <w:r w:rsidRPr="00924D5E">
              <w:rPr>
                <w:color w:val="000000"/>
                <w:w w:val="15"/>
                <w:shd w:val="solid" w:color="000000" w:fill="000000"/>
                <w:fitText w:val="50" w:id="-961835520"/>
                <w14:textFill>
                  <w14:solidFill>
                    <w14:srgbClr w14:val="000000">
                      <w14:alpha w14:val="100000"/>
                    </w14:srgbClr>
                  </w14:solidFill>
                </w14:textFill>
              </w:rPr>
              <w:t>|</w:t>
            </w:r>
            <w:r w:rsidRPr="00924D5E">
              <w:rPr>
                <w:rFonts w:hint="eastAsia"/>
                <w:color w:val="000000"/>
                <w:spacing w:val="-15"/>
                <w:w w:val="15"/>
                <w:shd w:val="solid" w:color="000000" w:fill="000000"/>
                <w:fitText w:val="50" w:id="-961835520"/>
                <w14:textFill>
                  <w14:solidFill>
                    <w14:srgbClr w14:val="000000">
                      <w14:alpha w14:val="100000"/>
                    </w14:srgbClr>
                  </w14:solidFill>
                </w14:textFill>
              </w:rPr>
              <w:t xml:space="preserve">　</w:t>
            </w:r>
            <w:r w:rsidR="006B7B61" w:rsidRPr="00233CFE">
              <w:rPr>
                <w:vertAlign w:val="superscript"/>
              </w:rPr>
              <w:t>3</w:t>
            </w:r>
          </w:p>
        </w:tc>
        <w:tc>
          <w:tcPr>
            <w:tcW w:w="693" w:type="pct"/>
            <w:vAlign w:val="center"/>
          </w:tcPr>
          <w:p w14:paraId="2A6194FE" w14:textId="2BEBC5B1" w:rsidR="00454C4E" w:rsidRPr="00D221AB" w:rsidRDefault="00924D5E" w:rsidP="00454C4E">
            <w:pPr>
              <w:pStyle w:val="PBACTableText"/>
              <w:spacing w:before="0" w:after="0"/>
              <w:jc w:val="center"/>
              <w:rPr>
                <w:b/>
                <w:bCs/>
                <w:highlight w:val="lightGray"/>
              </w:rPr>
            </w:pPr>
            <w:r w:rsidRPr="00924D5E">
              <w:rPr>
                <w:color w:val="000000"/>
                <w:shd w:val="solid" w:color="000000" w:fill="000000"/>
                <w14:textFill>
                  <w14:solidFill>
                    <w14:srgbClr w14:val="000000">
                      <w14:alpha w14:val="100000"/>
                    </w14:srgbClr>
                  </w14:solidFill>
                </w14:textFill>
              </w:rPr>
              <w:t>|</w:t>
            </w:r>
            <w:r w:rsidR="006B7B61" w:rsidRPr="00233CFE">
              <w:rPr>
                <w:vertAlign w:val="superscript"/>
              </w:rPr>
              <w:t>3</w:t>
            </w:r>
          </w:p>
        </w:tc>
        <w:tc>
          <w:tcPr>
            <w:tcW w:w="708" w:type="pct"/>
            <w:vAlign w:val="center"/>
          </w:tcPr>
          <w:p w14:paraId="7C9DADBC" w14:textId="15089518" w:rsidR="00454C4E" w:rsidRPr="00D221AB" w:rsidRDefault="00924D5E" w:rsidP="00454C4E">
            <w:pPr>
              <w:pStyle w:val="PBACTableText"/>
              <w:spacing w:before="0" w:after="0"/>
              <w:jc w:val="center"/>
              <w:rPr>
                <w:b/>
                <w:bCs/>
                <w:highlight w:val="lightGray"/>
              </w:rPr>
            </w:pPr>
            <w:r w:rsidRPr="00924D5E">
              <w:rPr>
                <w:color w:val="000000"/>
                <w:shd w:val="solid" w:color="000000" w:fill="000000"/>
                <w14:textFill>
                  <w14:solidFill>
                    <w14:srgbClr w14:val="000000">
                      <w14:alpha w14:val="100000"/>
                    </w14:srgbClr>
                  </w14:solidFill>
                </w14:textFill>
              </w:rPr>
              <w:t>|</w:t>
            </w:r>
            <w:r w:rsidR="006B7B61" w:rsidRPr="00233CFE">
              <w:rPr>
                <w:vertAlign w:val="superscript"/>
              </w:rPr>
              <w:t>3</w:t>
            </w:r>
          </w:p>
        </w:tc>
        <w:tc>
          <w:tcPr>
            <w:tcW w:w="678" w:type="pct"/>
            <w:vAlign w:val="center"/>
          </w:tcPr>
          <w:p w14:paraId="481F00DA" w14:textId="4CB92121" w:rsidR="00454C4E" w:rsidRPr="00D221AB" w:rsidRDefault="00924D5E" w:rsidP="00454C4E">
            <w:pPr>
              <w:pStyle w:val="PBACTableText"/>
              <w:spacing w:before="0" w:after="0"/>
              <w:jc w:val="center"/>
              <w:rPr>
                <w:b/>
                <w:bCs/>
                <w:highlight w:val="lightGray"/>
              </w:rPr>
            </w:pPr>
            <w:r w:rsidRPr="006E162D">
              <w:rPr>
                <w:rFonts w:hint="eastAsia"/>
                <w:color w:val="000000"/>
                <w:w w:val="15"/>
                <w:shd w:val="solid" w:color="000000" w:fill="000000"/>
                <w:fitText w:val="25" w:id="-961835519"/>
                <w14:textFill>
                  <w14:solidFill>
                    <w14:srgbClr w14:val="000000">
                      <w14:alpha w14:val="100000"/>
                    </w14:srgbClr>
                  </w14:solidFill>
                </w14:textFill>
              </w:rPr>
              <w:t xml:space="preserve">　</w:t>
            </w:r>
            <w:r w:rsidRPr="006E162D">
              <w:rPr>
                <w:color w:val="000000"/>
                <w:w w:val="15"/>
                <w:shd w:val="solid" w:color="000000" w:fill="000000"/>
                <w:fitText w:val="25" w:id="-961835519"/>
                <w14:textFill>
                  <w14:solidFill>
                    <w14:srgbClr w14:val="000000">
                      <w14:alpha w14:val="100000"/>
                    </w14:srgbClr>
                  </w14:solidFill>
                </w14:textFill>
              </w:rPr>
              <w:t>|</w:t>
            </w:r>
            <w:r w:rsidRPr="006E162D">
              <w:rPr>
                <w:rFonts w:hint="eastAsia"/>
                <w:color w:val="000000"/>
                <w:spacing w:val="-41"/>
                <w:w w:val="15"/>
                <w:shd w:val="solid" w:color="000000" w:fill="000000"/>
                <w:fitText w:val="25" w:id="-961835519"/>
                <w14:textFill>
                  <w14:solidFill>
                    <w14:srgbClr w14:val="000000">
                      <w14:alpha w14:val="100000"/>
                    </w14:srgbClr>
                  </w14:solidFill>
                </w14:textFill>
              </w:rPr>
              <w:t xml:space="preserve">　</w:t>
            </w:r>
            <w:r w:rsidR="006B7B61" w:rsidRPr="00233CFE">
              <w:rPr>
                <w:vertAlign w:val="superscript"/>
              </w:rPr>
              <w:t>3</w:t>
            </w:r>
          </w:p>
        </w:tc>
      </w:tr>
      <w:tr w:rsidR="00454C4E" w:rsidRPr="00CD4FAB" w14:paraId="5876811D" w14:textId="77777777" w:rsidTr="00454C4E">
        <w:trPr>
          <w:trHeight w:val="20"/>
        </w:trPr>
        <w:tc>
          <w:tcPr>
            <w:tcW w:w="998" w:type="pct"/>
          </w:tcPr>
          <w:p w14:paraId="70ED8C9C" w14:textId="77777777" w:rsidR="00454C4E" w:rsidRPr="00233CFE" w:rsidRDefault="00454C4E" w:rsidP="00454C4E">
            <w:pPr>
              <w:pStyle w:val="PBACTableText"/>
              <w:spacing w:before="0" w:after="0"/>
              <w:rPr>
                <w:b/>
                <w:bCs/>
              </w:rPr>
            </w:pPr>
            <w:r w:rsidRPr="00233CFE">
              <w:rPr>
                <w:b/>
                <w:bCs/>
              </w:rPr>
              <w:t xml:space="preserve">Total cost to the PBS/RPBS including patient copayments </w:t>
            </w:r>
          </w:p>
          <w:p w14:paraId="2A23AFE0" w14:textId="27720704" w:rsidR="00454C4E" w:rsidRPr="00233CFE" w:rsidRDefault="00454C4E" w:rsidP="00454C4E">
            <w:pPr>
              <w:pStyle w:val="PBACTableText"/>
              <w:spacing w:before="0" w:after="0"/>
              <w:rPr>
                <w:b/>
                <w:bCs/>
              </w:rPr>
            </w:pPr>
            <w:r w:rsidRPr="00233CFE">
              <w:rPr>
                <w:b/>
                <w:bCs/>
              </w:rPr>
              <w:t>(Option B)</w:t>
            </w:r>
          </w:p>
        </w:tc>
        <w:tc>
          <w:tcPr>
            <w:tcW w:w="650" w:type="pct"/>
            <w:vAlign w:val="center"/>
          </w:tcPr>
          <w:p w14:paraId="361EF91F" w14:textId="29667518" w:rsidR="00454C4E" w:rsidRPr="00D221AB" w:rsidRDefault="00924D5E" w:rsidP="00454C4E">
            <w:pPr>
              <w:pStyle w:val="PBACTableText"/>
              <w:spacing w:before="0" w:after="0"/>
              <w:jc w:val="center"/>
              <w:rPr>
                <w:rFonts w:cs="Calibri"/>
                <w:color w:val="000000"/>
                <w:highlight w:val="lightGray"/>
              </w:rPr>
            </w:pPr>
            <w:r w:rsidRPr="00924D5E">
              <w:rPr>
                <w:rFonts w:cs="Calibri" w:hint="eastAsia"/>
                <w:color w:val="000000"/>
                <w:w w:val="15"/>
                <w:shd w:val="solid" w:color="000000" w:fill="000000"/>
                <w:fitText w:val="50" w:id="-961835264"/>
                <w14:textFill>
                  <w14:solidFill>
                    <w14:srgbClr w14:val="000000">
                      <w14:alpha w14:val="100000"/>
                    </w14:srgbClr>
                  </w14:solidFill>
                </w14:textFill>
              </w:rPr>
              <w:t xml:space="preserve">　</w:t>
            </w:r>
            <w:r w:rsidRPr="00924D5E">
              <w:rPr>
                <w:rFonts w:cs="Calibri"/>
                <w:color w:val="000000"/>
                <w:w w:val="15"/>
                <w:shd w:val="solid" w:color="000000" w:fill="000000"/>
                <w:fitText w:val="50" w:id="-961835264"/>
                <w14:textFill>
                  <w14:solidFill>
                    <w14:srgbClr w14:val="000000">
                      <w14:alpha w14:val="100000"/>
                    </w14:srgbClr>
                  </w14:solidFill>
                </w14:textFill>
              </w:rPr>
              <w:t>|</w:t>
            </w:r>
            <w:r w:rsidRPr="00924D5E">
              <w:rPr>
                <w:rFonts w:cs="Calibri" w:hint="eastAsia"/>
                <w:color w:val="000000"/>
                <w:spacing w:val="-15"/>
                <w:w w:val="15"/>
                <w:shd w:val="solid" w:color="000000" w:fill="000000"/>
                <w:fitText w:val="50" w:id="-961835264"/>
                <w14:textFill>
                  <w14:solidFill>
                    <w14:srgbClr w14:val="000000">
                      <w14:alpha w14:val="100000"/>
                    </w14:srgbClr>
                  </w14:solidFill>
                </w14:textFill>
              </w:rPr>
              <w:t xml:space="preserve">　</w:t>
            </w:r>
            <w:r w:rsidR="006B7B61" w:rsidRPr="00233CFE">
              <w:rPr>
                <w:vertAlign w:val="superscript"/>
              </w:rPr>
              <w:t>3</w:t>
            </w:r>
          </w:p>
        </w:tc>
        <w:tc>
          <w:tcPr>
            <w:tcW w:w="629" w:type="pct"/>
            <w:vAlign w:val="center"/>
          </w:tcPr>
          <w:p w14:paraId="5D47DE72" w14:textId="687A37E4" w:rsidR="00454C4E" w:rsidRPr="00D221AB" w:rsidRDefault="00924D5E" w:rsidP="00454C4E">
            <w:pPr>
              <w:pStyle w:val="PBACTableText"/>
              <w:spacing w:before="0" w:after="0"/>
              <w:jc w:val="center"/>
              <w:rPr>
                <w:rFonts w:cs="Calibri"/>
                <w:color w:val="000000"/>
                <w:highlight w:val="lightGray"/>
              </w:rPr>
            </w:pPr>
            <w:r w:rsidRPr="00924D5E">
              <w:rPr>
                <w:rFonts w:cs="Calibri" w:hint="eastAsia"/>
                <w:color w:val="000000"/>
                <w:w w:val="15"/>
                <w:shd w:val="solid" w:color="000000" w:fill="000000"/>
                <w:fitText w:val="63" w:id="-961835263"/>
                <w14:textFill>
                  <w14:solidFill>
                    <w14:srgbClr w14:val="000000">
                      <w14:alpha w14:val="100000"/>
                    </w14:srgbClr>
                  </w14:solidFill>
                </w14:textFill>
              </w:rPr>
              <w:t xml:space="preserve">　</w:t>
            </w:r>
            <w:r w:rsidRPr="00924D5E">
              <w:rPr>
                <w:rFonts w:cs="Calibri"/>
                <w:color w:val="000000"/>
                <w:w w:val="15"/>
                <w:shd w:val="solid" w:color="000000" w:fill="000000"/>
                <w:fitText w:val="63" w:id="-961835263"/>
                <w14:textFill>
                  <w14:solidFill>
                    <w14:srgbClr w14:val="000000">
                      <w14:alpha w14:val="100000"/>
                    </w14:srgbClr>
                  </w14:solidFill>
                </w14:textFill>
              </w:rPr>
              <w:t>|</w:t>
            </w:r>
            <w:r w:rsidRPr="00924D5E">
              <w:rPr>
                <w:rFonts w:cs="Calibri" w:hint="eastAsia"/>
                <w:color w:val="000000"/>
                <w:spacing w:val="-2"/>
                <w:w w:val="15"/>
                <w:shd w:val="solid" w:color="000000" w:fill="000000"/>
                <w:fitText w:val="63" w:id="-961835263"/>
                <w14:textFill>
                  <w14:solidFill>
                    <w14:srgbClr w14:val="000000">
                      <w14:alpha w14:val="100000"/>
                    </w14:srgbClr>
                  </w14:solidFill>
                </w14:textFill>
              </w:rPr>
              <w:t xml:space="preserve">　</w:t>
            </w:r>
            <w:r w:rsidR="006B7B61" w:rsidRPr="00233CFE">
              <w:rPr>
                <w:vertAlign w:val="superscript"/>
              </w:rPr>
              <w:t>3</w:t>
            </w:r>
          </w:p>
        </w:tc>
        <w:tc>
          <w:tcPr>
            <w:tcW w:w="644" w:type="pct"/>
            <w:vAlign w:val="center"/>
          </w:tcPr>
          <w:p w14:paraId="292DA07E" w14:textId="069E2AD4" w:rsidR="00454C4E" w:rsidRPr="00D221AB" w:rsidRDefault="00924D5E" w:rsidP="00454C4E">
            <w:pPr>
              <w:pStyle w:val="PBACTableText"/>
              <w:spacing w:before="0" w:after="0"/>
              <w:jc w:val="center"/>
              <w:rPr>
                <w:rFonts w:cs="Calibri"/>
                <w:color w:val="000000"/>
                <w:highlight w:val="lightGray"/>
              </w:rPr>
            </w:pPr>
            <w:r w:rsidRPr="00924D5E">
              <w:rPr>
                <w:rFonts w:cs="Calibri" w:hint="eastAsia"/>
                <w:color w:val="000000"/>
                <w:w w:val="15"/>
                <w:shd w:val="solid" w:color="000000" w:fill="000000"/>
                <w:fitText w:val="50" w:id="-961835262"/>
                <w14:textFill>
                  <w14:solidFill>
                    <w14:srgbClr w14:val="000000">
                      <w14:alpha w14:val="100000"/>
                    </w14:srgbClr>
                  </w14:solidFill>
                </w14:textFill>
              </w:rPr>
              <w:t xml:space="preserve">　</w:t>
            </w:r>
            <w:r w:rsidRPr="00924D5E">
              <w:rPr>
                <w:rFonts w:cs="Calibri"/>
                <w:color w:val="000000"/>
                <w:w w:val="15"/>
                <w:shd w:val="solid" w:color="000000" w:fill="000000"/>
                <w:fitText w:val="50" w:id="-961835262"/>
                <w14:textFill>
                  <w14:solidFill>
                    <w14:srgbClr w14:val="000000">
                      <w14:alpha w14:val="100000"/>
                    </w14:srgbClr>
                  </w14:solidFill>
                </w14:textFill>
              </w:rPr>
              <w:t>|</w:t>
            </w:r>
            <w:r w:rsidRPr="00924D5E">
              <w:rPr>
                <w:rFonts w:cs="Calibri" w:hint="eastAsia"/>
                <w:color w:val="000000"/>
                <w:spacing w:val="-15"/>
                <w:w w:val="15"/>
                <w:shd w:val="solid" w:color="000000" w:fill="000000"/>
                <w:fitText w:val="50" w:id="-961835262"/>
                <w14:textFill>
                  <w14:solidFill>
                    <w14:srgbClr w14:val="000000">
                      <w14:alpha w14:val="100000"/>
                    </w14:srgbClr>
                  </w14:solidFill>
                </w14:textFill>
              </w:rPr>
              <w:t xml:space="preserve">　</w:t>
            </w:r>
            <w:r w:rsidR="006B7B61" w:rsidRPr="00233CFE">
              <w:rPr>
                <w:vertAlign w:val="superscript"/>
              </w:rPr>
              <w:t>3</w:t>
            </w:r>
          </w:p>
        </w:tc>
        <w:tc>
          <w:tcPr>
            <w:tcW w:w="693" w:type="pct"/>
            <w:vAlign w:val="center"/>
          </w:tcPr>
          <w:p w14:paraId="5672DCE3" w14:textId="161AA536" w:rsidR="00454C4E" w:rsidRPr="00D221AB" w:rsidRDefault="00924D5E" w:rsidP="00454C4E">
            <w:pPr>
              <w:pStyle w:val="PBACTableText"/>
              <w:spacing w:before="0" w:after="0"/>
              <w:jc w:val="center"/>
              <w:rPr>
                <w:rFonts w:cs="Calibri"/>
                <w:color w:val="000000"/>
                <w:highlight w:val="lightGray"/>
              </w:rPr>
            </w:pPr>
            <w:r w:rsidRPr="00924D5E">
              <w:rPr>
                <w:rFonts w:cs="Calibri"/>
                <w:color w:val="000000"/>
                <w:shd w:val="solid" w:color="000000" w:fill="000000"/>
                <w14:textFill>
                  <w14:solidFill>
                    <w14:srgbClr w14:val="000000">
                      <w14:alpha w14:val="100000"/>
                    </w14:srgbClr>
                  </w14:solidFill>
                </w14:textFill>
              </w:rPr>
              <w:t>|</w:t>
            </w:r>
            <w:r w:rsidR="006B7B61" w:rsidRPr="00233CFE">
              <w:rPr>
                <w:vertAlign w:val="superscript"/>
              </w:rPr>
              <w:t>3</w:t>
            </w:r>
          </w:p>
        </w:tc>
        <w:tc>
          <w:tcPr>
            <w:tcW w:w="708" w:type="pct"/>
            <w:vAlign w:val="center"/>
          </w:tcPr>
          <w:p w14:paraId="0F90C583" w14:textId="4DEF317C" w:rsidR="00454C4E" w:rsidRPr="00D221AB" w:rsidRDefault="00924D5E" w:rsidP="00454C4E">
            <w:pPr>
              <w:pStyle w:val="PBACTableText"/>
              <w:spacing w:before="0" w:after="0"/>
              <w:jc w:val="center"/>
              <w:rPr>
                <w:rFonts w:cs="Calibri"/>
                <w:color w:val="000000"/>
                <w:highlight w:val="lightGray"/>
              </w:rPr>
            </w:pPr>
            <w:r w:rsidRPr="00924D5E">
              <w:rPr>
                <w:rFonts w:cs="Calibri"/>
                <w:color w:val="000000"/>
                <w:shd w:val="solid" w:color="000000" w:fill="000000"/>
                <w14:textFill>
                  <w14:solidFill>
                    <w14:srgbClr w14:val="000000">
                      <w14:alpha w14:val="100000"/>
                    </w14:srgbClr>
                  </w14:solidFill>
                </w14:textFill>
              </w:rPr>
              <w:t>|</w:t>
            </w:r>
            <w:r w:rsidR="006B7B61" w:rsidRPr="00233CFE">
              <w:rPr>
                <w:vertAlign w:val="superscript"/>
              </w:rPr>
              <w:t>3</w:t>
            </w:r>
          </w:p>
        </w:tc>
        <w:tc>
          <w:tcPr>
            <w:tcW w:w="678" w:type="pct"/>
            <w:vAlign w:val="center"/>
          </w:tcPr>
          <w:p w14:paraId="3FF5EC49" w14:textId="6B6CC8C4" w:rsidR="00454C4E" w:rsidRPr="00D221AB" w:rsidRDefault="00924D5E" w:rsidP="00454C4E">
            <w:pPr>
              <w:pStyle w:val="PBACTableText"/>
              <w:spacing w:before="0" w:after="0"/>
              <w:jc w:val="center"/>
              <w:rPr>
                <w:rFonts w:cs="Calibri"/>
                <w:color w:val="000000"/>
                <w:highlight w:val="lightGray"/>
              </w:rPr>
            </w:pPr>
            <w:r w:rsidRPr="006E162D">
              <w:rPr>
                <w:rFonts w:cs="Calibri" w:hint="eastAsia"/>
                <w:color w:val="000000"/>
                <w:w w:val="15"/>
                <w:shd w:val="solid" w:color="000000" w:fill="000000"/>
                <w:fitText w:val="25" w:id="-961835261"/>
                <w14:textFill>
                  <w14:solidFill>
                    <w14:srgbClr w14:val="000000">
                      <w14:alpha w14:val="100000"/>
                    </w14:srgbClr>
                  </w14:solidFill>
                </w14:textFill>
              </w:rPr>
              <w:t xml:space="preserve">　</w:t>
            </w:r>
            <w:r w:rsidRPr="006E162D">
              <w:rPr>
                <w:rFonts w:cs="Calibri"/>
                <w:color w:val="000000"/>
                <w:w w:val="15"/>
                <w:shd w:val="solid" w:color="000000" w:fill="000000"/>
                <w:fitText w:val="25" w:id="-961835261"/>
                <w14:textFill>
                  <w14:solidFill>
                    <w14:srgbClr w14:val="000000">
                      <w14:alpha w14:val="100000"/>
                    </w14:srgbClr>
                  </w14:solidFill>
                </w14:textFill>
              </w:rPr>
              <w:t>|</w:t>
            </w:r>
            <w:r w:rsidRPr="006E162D">
              <w:rPr>
                <w:rFonts w:cs="Calibri" w:hint="eastAsia"/>
                <w:color w:val="000000"/>
                <w:spacing w:val="-41"/>
                <w:w w:val="15"/>
                <w:shd w:val="solid" w:color="000000" w:fill="000000"/>
                <w:fitText w:val="25" w:id="-961835261"/>
                <w14:textFill>
                  <w14:solidFill>
                    <w14:srgbClr w14:val="000000">
                      <w14:alpha w14:val="100000"/>
                    </w14:srgbClr>
                  </w14:solidFill>
                </w14:textFill>
              </w:rPr>
              <w:t xml:space="preserve">　</w:t>
            </w:r>
            <w:r w:rsidR="006B7B61" w:rsidRPr="00233CFE">
              <w:rPr>
                <w:vertAlign w:val="superscript"/>
              </w:rPr>
              <w:t>3</w:t>
            </w:r>
          </w:p>
        </w:tc>
      </w:tr>
    </w:tbl>
    <w:p w14:paraId="6CCDD645" w14:textId="3A003405" w:rsidR="0080448C" w:rsidRPr="00233CFE" w:rsidRDefault="00263DD8" w:rsidP="00233CFE">
      <w:pPr>
        <w:pStyle w:val="TableFooter"/>
      </w:pPr>
      <w:r w:rsidRPr="00233CFE">
        <w:t xml:space="preserve">Source: </w:t>
      </w:r>
      <w:r w:rsidR="00454C4E" w:rsidRPr="00233CFE">
        <w:rPr>
          <w:iCs/>
        </w:rPr>
        <w:t xml:space="preserve">PSCR attached </w:t>
      </w:r>
      <w:r w:rsidR="002E5B2A" w:rsidRPr="00233CFE">
        <w:rPr>
          <w:iCs/>
        </w:rPr>
        <w:t>workbooks</w:t>
      </w:r>
      <w:r w:rsidR="00454C4E" w:rsidRPr="00233CFE">
        <w:rPr>
          <w:iCs/>
        </w:rPr>
        <w:t>.</w:t>
      </w:r>
      <w:r w:rsidR="00454C4E" w:rsidRPr="00233CFE">
        <w:t xml:space="preserve"> </w:t>
      </w:r>
    </w:p>
    <w:p w14:paraId="4C0A3F6F" w14:textId="2B34A1CF" w:rsidR="003229BF" w:rsidRPr="00233CFE" w:rsidRDefault="003229BF" w:rsidP="00233CFE">
      <w:pPr>
        <w:pStyle w:val="TableFooter"/>
      </w:pPr>
      <w:r w:rsidRPr="00233CFE">
        <w:t>IO = immunotherapy</w:t>
      </w:r>
    </w:p>
    <w:p w14:paraId="2775BD59" w14:textId="77777777" w:rsidR="00A427BF" w:rsidRPr="00D221AB" w:rsidRDefault="00A427BF" w:rsidP="00233CFE">
      <w:pPr>
        <w:rPr>
          <w:rFonts w:ascii="Arial Narrow" w:hAnsi="Arial Narrow" w:cstheme="minorHAnsi"/>
          <w:bCs/>
          <w:i/>
          <w:iCs/>
          <w:sz w:val="18"/>
          <w:szCs w:val="18"/>
          <w:lang w:eastAsia="en-AU"/>
        </w:rPr>
      </w:pPr>
      <w:r w:rsidRPr="00D221AB">
        <w:rPr>
          <w:rFonts w:ascii="Arial Narrow" w:hAnsi="Arial Narrow" w:cstheme="minorHAnsi"/>
          <w:bCs/>
          <w:i/>
          <w:iCs/>
          <w:sz w:val="18"/>
          <w:szCs w:val="18"/>
          <w:lang w:eastAsia="en-AU"/>
        </w:rPr>
        <w:t xml:space="preserve">The redacted values correspond to the following ranges: </w:t>
      </w:r>
    </w:p>
    <w:p w14:paraId="6AEDDA4B" w14:textId="008FDBF9" w:rsidR="00A427BF" w:rsidRPr="00D221AB" w:rsidRDefault="00A427BF" w:rsidP="00233CFE">
      <w:pPr>
        <w:rPr>
          <w:rFonts w:ascii="Arial Narrow" w:hAnsi="Arial Narrow" w:cstheme="minorHAnsi"/>
          <w:bCs/>
          <w:i/>
          <w:iCs/>
          <w:sz w:val="18"/>
          <w:szCs w:val="18"/>
          <w:lang w:eastAsia="en-AU"/>
        </w:rPr>
      </w:pPr>
      <w:r w:rsidRPr="00D221AB">
        <w:rPr>
          <w:rFonts w:ascii="Arial Narrow" w:hAnsi="Arial Narrow" w:cstheme="minorHAnsi"/>
          <w:bCs/>
          <w:i/>
          <w:iCs/>
          <w:sz w:val="18"/>
          <w:szCs w:val="18"/>
          <w:vertAlign w:val="superscript"/>
          <w:lang w:eastAsia="en-AU"/>
        </w:rPr>
        <w:t>1</w:t>
      </w:r>
      <w:r w:rsidRPr="00D221AB">
        <w:rPr>
          <w:rFonts w:ascii="Arial Narrow" w:hAnsi="Arial Narrow" w:cstheme="minorHAnsi"/>
          <w:bCs/>
          <w:i/>
          <w:iCs/>
          <w:sz w:val="18"/>
          <w:szCs w:val="18"/>
          <w:lang w:eastAsia="en-AU"/>
        </w:rPr>
        <w:t xml:space="preserve"> &lt; 500</w:t>
      </w:r>
    </w:p>
    <w:p w14:paraId="41DC5CB7" w14:textId="29F682FA" w:rsidR="00A427BF" w:rsidRPr="00D221AB" w:rsidRDefault="00A427BF" w:rsidP="00233CFE">
      <w:pPr>
        <w:rPr>
          <w:rFonts w:ascii="Arial Narrow" w:hAnsi="Arial Narrow" w:cstheme="minorHAnsi"/>
          <w:bCs/>
          <w:i/>
          <w:iCs/>
          <w:sz w:val="18"/>
          <w:szCs w:val="18"/>
          <w:lang w:eastAsia="en-AU"/>
        </w:rPr>
      </w:pPr>
      <w:r w:rsidRPr="00D221AB">
        <w:rPr>
          <w:rFonts w:ascii="Arial Narrow" w:hAnsi="Arial Narrow" w:cstheme="minorHAnsi"/>
          <w:bCs/>
          <w:i/>
          <w:iCs/>
          <w:sz w:val="18"/>
          <w:szCs w:val="18"/>
          <w:vertAlign w:val="superscript"/>
          <w:lang w:eastAsia="en-AU"/>
        </w:rPr>
        <w:t>2</w:t>
      </w:r>
      <w:r w:rsidRPr="00D221AB">
        <w:rPr>
          <w:rFonts w:ascii="Arial Narrow" w:hAnsi="Arial Narrow" w:cstheme="minorHAnsi"/>
          <w:bCs/>
          <w:i/>
          <w:iCs/>
          <w:sz w:val="18"/>
          <w:szCs w:val="18"/>
          <w:lang w:eastAsia="en-AU"/>
        </w:rPr>
        <w:t xml:space="preserve"> 500 to &lt; 5,000</w:t>
      </w:r>
    </w:p>
    <w:p w14:paraId="2CA16BD9" w14:textId="710B680A" w:rsidR="009D5B66" w:rsidRPr="00CD4FAB" w:rsidRDefault="00A427BF" w:rsidP="00D221AB">
      <w:pPr>
        <w:spacing w:after="120"/>
      </w:pPr>
      <w:r w:rsidRPr="00D221AB">
        <w:rPr>
          <w:rFonts w:ascii="Arial Narrow" w:hAnsi="Arial Narrow" w:cstheme="minorHAnsi"/>
          <w:bCs/>
          <w:i/>
          <w:iCs/>
          <w:sz w:val="18"/>
          <w:szCs w:val="18"/>
          <w:vertAlign w:val="superscript"/>
          <w:lang w:eastAsia="en-AU"/>
        </w:rPr>
        <w:t>3</w:t>
      </w:r>
      <w:r w:rsidRPr="00D221AB">
        <w:rPr>
          <w:rFonts w:ascii="Arial Narrow" w:hAnsi="Arial Narrow" w:cstheme="minorHAnsi"/>
          <w:bCs/>
          <w:i/>
          <w:iCs/>
          <w:sz w:val="18"/>
          <w:szCs w:val="18"/>
          <w:lang w:eastAsia="en-AU"/>
        </w:rPr>
        <w:t xml:space="preserve"> net cost saving</w:t>
      </w:r>
    </w:p>
    <w:p w14:paraId="4EDAAA0D" w14:textId="546F1C28" w:rsidR="0080448C" w:rsidRPr="00CD4FAB" w:rsidRDefault="008A2BBB" w:rsidP="00233CFE">
      <w:pPr>
        <w:pStyle w:val="Caption"/>
        <w:spacing w:before="120"/>
        <w:rPr>
          <w:szCs w:val="24"/>
        </w:rPr>
      </w:pPr>
      <w:bookmarkStart w:id="43" w:name="_Ref156559155"/>
      <w:r w:rsidRPr="00CD4FAB">
        <w:lastRenderedPageBreak/>
        <w:t xml:space="preserve">Table </w:t>
      </w:r>
      <w:fldSimple w:instr=" SEQ Table \* ARABIC " w:fldLock="1">
        <w:r w:rsidR="00885DA7">
          <w:rPr>
            <w:noProof/>
          </w:rPr>
          <w:t>11</w:t>
        </w:r>
      </w:fldSimple>
      <w:bookmarkEnd w:id="43"/>
      <w:r w:rsidRPr="00CD4FAB">
        <w:t xml:space="preserve">: </w:t>
      </w:r>
      <w:r w:rsidR="0080448C" w:rsidRPr="00CD4FAB">
        <w:rPr>
          <w:rStyle w:val="CommentReference"/>
          <w:b/>
          <w:szCs w:val="24"/>
        </w:rPr>
        <w:t>Estimated financial implications for reduced use of immunotherapies in other settings</w:t>
      </w:r>
      <w:r w:rsidRPr="00CD4FAB">
        <w:rPr>
          <w:rStyle w:val="CommentReference"/>
          <w:b/>
          <w:szCs w:val="24"/>
        </w:rPr>
        <w:t>, July 2023 submission</w:t>
      </w:r>
    </w:p>
    <w:tbl>
      <w:tblPr>
        <w:tblStyle w:val="Summarybox2"/>
        <w:tblW w:w="5008" w:type="pct"/>
        <w:tblLayout w:type="fixed"/>
        <w:tblCellMar>
          <w:left w:w="57" w:type="dxa"/>
          <w:right w:w="57" w:type="dxa"/>
        </w:tblCellMar>
        <w:tblLook w:val="04A0" w:firstRow="1" w:lastRow="0" w:firstColumn="1" w:lastColumn="0" w:noHBand="0" w:noVBand="1"/>
        <w:tblCaption w:val="Table 11: Estimated financial implications for reduced use of immunotherapies in other settings, July 2023 submission"/>
      </w:tblPr>
      <w:tblGrid>
        <w:gridCol w:w="1814"/>
        <w:gridCol w:w="1172"/>
        <w:gridCol w:w="1134"/>
        <w:gridCol w:w="1161"/>
        <w:gridCol w:w="1250"/>
        <w:gridCol w:w="1277"/>
        <w:gridCol w:w="1223"/>
      </w:tblGrid>
      <w:tr w:rsidR="00233CFE" w:rsidRPr="00CD4FAB" w14:paraId="6401F44E" w14:textId="77777777" w:rsidTr="006E162D">
        <w:tc>
          <w:tcPr>
            <w:tcW w:w="1004" w:type="pct"/>
          </w:tcPr>
          <w:p w14:paraId="38B79EE7" w14:textId="77777777" w:rsidR="00233CFE" w:rsidRPr="00233CFE" w:rsidRDefault="00233CFE" w:rsidP="00AB61C8">
            <w:pPr>
              <w:pStyle w:val="PBACTableText"/>
              <w:keepNext/>
              <w:keepLines/>
              <w:spacing w:before="0" w:after="0"/>
              <w:rPr>
                <w:b/>
                <w:bCs/>
              </w:rPr>
            </w:pPr>
          </w:p>
        </w:tc>
        <w:tc>
          <w:tcPr>
            <w:tcW w:w="649" w:type="pct"/>
            <w:vAlign w:val="center"/>
          </w:tcPr>
          <w:p w14:paraId="7757D0DE" w14:textId="200F2F05" w:rsidR="00233CFE" w:rsidRPr="00233CFE" w:rsidRDefault="00233CFE" w:rsidP="00D221AB">
            <w:pPr>
              <w:pStyle w:val="PBACTableText"/>
              <w:keepNext/>
              <w:keepLines/>
              <w:spacing w:before="0" w:after="0"/>
              <w:jc w:val="center"/>
            </w:pPr>
            <w:r w:rsidRPr="00233CFE">
              <w:rPr>
                <w:b/>
              </w:rPr>
              <w:t>Year 1</w:t>
            </w:r>
          </w:p>
        </w:tc>
        <w:tc>
          <w:tcPr>
            <w:tcW w:w="628" w:type="pct"/>
            <w:vAlign w:val="center"/>
          </w:tcPr>
          <w:p w14:paraId="7EF4C364" w14:textId="018B8420" w:rsidR="00233CFE" w:rsidRPr="00233CFE" w:rsidRDefault="00233CFE" w:rsidP="00D221AB">
            <w:pPr>
              <w:pStyle w:val="PBACTableText"/>
              <w:keepNext/>
              <w:keepLines/>
              <w:spacing w:before="0" w:after="0"/>
              <w:jc w:val="center"/>
            </w:pPr>
            <w:r w:rsidRPr="00233CFE">
              <w:rPr>
                <w:b/>
              </w:rPr>
              <w:t>Year 2</w:t>
            </w:r>
          </w:p>
        </w:tc>
        <w:tc>
          <w:tcPr>
            <w:tcW w:w="643" w:type="pct"/>
            <w:vAlign w:val="center"/>
          </w:tcPr>
          <w:p w14:paraId="0EF8BF27" w14:textId="605860AB" w:rsidR="00233CFE" w:rsidRPr="00233CFE" w:rsidRDefault="00233CFE" w:rsidP="00D221AB">
            <w:pPr>
              <w:pStyle w:val="PBACTableText"/>
              <w:keepNext/>
              <w:keepLines/>
              <w:spacing w:before="0" w:after="0"/>
              <w:jc w:val="center"/>
            </w:pPr>
            <w:r w:rsidRPr="00233CFE">
              <w:rPr>
                <w:b/>
              </w:rPr>
              <w:t>Year 3</w:t>
            </w:r>
          </w:p>
        </w:tc>
        <w:tc>
          <w:tcPr>
            <w:tcW w:w="692" w:type="pct"/>
            <w:vAlign w:val="center"/>
          </w:tcPr>
          <w:p w14:paraId="77C9FD54" w14:textId="39815DEF" w:rsidR="00233CFE" w:rsidRPr="00233CFE" w:rsidRDefault="00233CFE" w:rsidP="00D221AB">
            <w:pPr>
              <w:pStyle w:val="PBACTableText"/>
              <w:keepNext/>
              <w:keepLines/>
              <w:spacing w:before="0" w:after="0"/>
              <w:jc w:val="center"/>
            </w:pPr>
            <w:r w:rsidRPr="00233CFE">
              <w:rPr>
                <w:b/>
              </w:rPr>
              <w:t>Year 4</w:t>
            </w:r>
          </w:p>
        </w:tc>
        <w:tc>
          <w:tcPr>
            <w:tcW w:w="707" w:type="pct"/>
            <w:vAlign w:val="center"/>
          </w:tcPr>
          <w:p w14:paraId="1B086845" w14:textId="32FD68A6" w:rsidR="00233CFE" w:rsidRPr="00233CFE" w:rsidRDefault="00233CFE" w:rsidP="00D221AB">
            <w:pPr>
              <w:pStyle w:val="PBACTableText"/>
              <w:keepNext/>
              <w:keepLines/>
              <w:spacing w:before="0" w:after="0"/>
              <w:jc w:val="center"/>
            </w:pPr>
            <w:r w:rsidRPr="00233CFE">
              <w:rPr>
                <w:b/>
              </w:rPr>
              <w:t>Year 5</w:t>
            </w:r>
          </w:p>
        </w:tc>
        <w:tc>
          <w:tcPr>
            <w:tcW w:w="677" w:type="pct"/>
            <w:vAlign w:val="center"/>
          </w:tcPr>
          <w:p w14:paraId="2C94D025" w14:textId="3EA48571" w:rsidR="00233CFE" w:rsidRPr="00233CFE" w:rsidRDefault="00233CFE" w:rsidP="00D221AB">
            <w:pPr>
              <w:pStyle w:val="PBACTableText"/>
              <w:keepNext/>
              <w:keepLines/>
              <w:spacing w:before="0" w:after="0"/>
              <w:jc w:val="center"/>
            </w:pPr>
            <w:r w:rsidRPr="00233CFE">
              <w:rPr>
                <w:b/>
              </w:rPr>
              <w:t>Year 6</w:t>
            </w:r>
          </w:p>
        </w:tc>
      </w:tr>
      <w:tr w:rsidR="003336B6" w:rsidRPr="00CD4FAB" w14:paraId="279AA698" w14:textId="77777777" w:rsidTr="006E162D">
        <w:tc>
          <w:tcPr>
            <w:tcW w:w="1004" w:type="pct"/>
          </w:tcPr>
          <w:p w14:paraId="04EC8376" w14:textId="17D4C244" w:rsidR="003336B6" w:rsidRPr="00233CFE" w:rsidRDefault="003336B6" w:rsidP="00D221AB">
            <w:pPr>
              <w:pStyle w:val="PBACTableText"/>
              <w:keepNext/>
              <w:keepLines/>
              <w:spacing w:before="0" w:after="0"/>
              <w:rPr>
                <w:b/>
                <w:bCs/>
              </w:rPr>
            </w:pPr>
            <w:r w:rsidRPr="00233CFE">
              <w:rPr>
                <w:b/>
                <w:bCs/>
              </w:rPr>
              <w:t>Atezolizumab</w:t>
            </w:r>
            <w:r w:rsidRPr="00233CFE">
              <w:rPr>
                <w:b/>
                <w:bCs/>
                <w:vertAlign w:val="superscript"/>
              </w:rPr>
              <w:t>a</w:t>
            </w:r>
          </w:p>
        </w:tc>
        <w:tc>
          <w:tcPr>
            <w:tcW w:w="649" w:type="pct"/>
            <w:vAlign w:val="center"/>
          </w:tcPr>
          <w:p w14:paraId="007BF24E" w14:textId="45D231F8" w:rsidR="003336B6" w:rsidRPr="00233CFE" w:rsidRDefault="003336B6" w:rsidP="00D221AB">
            <w:pPr>
              <w:pStyle w:val="PBACTableText"/>
              <w:keepNext/>
              <w:keepLines/>
              <w:spacing w:before="0" w:after="0"/>
              <w:jc w:val="center"/>
            </w:pPr>
          </w:p>
        </w:tc>
        <w:tc>
          <w:tcPr>
            <w:tcW w:w="628" w:type="pct"/>
            <w:vAlign w:val="center"/>
          </w:tcPr>
          <w:p w14:paraId="2E0B42CC" w14:textId="00833D45" w:rsidR="003336B6" w:rsidRPr="00233CFE" w:rsidRDefault="003336B6" w:rsidP="00D221AB">
            <w:pPr>
              <w:pStyle w:val="PBACTableText"/>
              <w:keepNext/>
              <w:keepLines/>
              <w:spacing w:before="0" w:after="0"/>
              <w:jc w:val="center"/>
            </w:pPr>
          </w:p>
        </w:tc>
        <w:tc>
          <w:tcPr>
            <w:tcW w:w="643" w:type="pct"/>
            <w:vAlign w:val="center"/>
          </w:tcPr>
          <w:p w14:paraId="010E6940" w14:textId="1E5A1278" w:rsidR="003336B6" w:rsidRPr="00233CFE" w:rsidRDefault="003336B6" w:rsidP="00D221AB">
            <w:pPr>
              <w:pStyle w:val="PBACTableText"/>
              <w:keepNext/>
              <w:keepLines/>
              <w:spacing w:before="0" w:after="0"/>
              <w:jc w:val="center"/>
            </w:pPr>
          </w:p>
        </w:tc>
        <w:tc>
          <w:tcPr>
            <w:tcW w:w="692" w:type="pct"/>
            <w:vAlign w:val="center"/>
          </w:tcPr>
          <w:p w14:paraId="20E872C3" w14:textId="7E47AA38" w:rsidR="003336B6" w:rsidRPr="00233CFE" w:rsidRDefault="003336B6" w:rsidP="00D221AB">
            <w:pPr>
              <w:pStyle w:val="PBACTableText"/>
              <w:keepNext/>
              <w:keepLines/>
              <w:spacing w:before="0" w:after="0"/>
              <w:jc w:val="center"/>
            </w:pPr>
          </w:p>
        </w:tc>
        <w:tc>
          <w:tcPr>
            <w:tcW w:w="707" w:type="pct"/>
            <w:vAlign w:val="center"/>
          </w:tcPr>
          <w:p w14:paraId="10876F02" w14:textId="5243635C" w:rsidR="003336B6" w:rsidRPr="00233CFE" w:rsidRDefault="003336B6" w:rsidP="00D221AB">
            <w:pPr>
              <w:pStyle w:val="PBACTableText"/>
              <w:keepNext/>
              <w:keepLines/>
              <w:spacing w:before="0" w:after="0"/>
              <w:jc w:val="center"/>
            </w:pPr>
          </w:p>
        </w:tc>
        <w:tc>
          <w:tcPr>
            <w:tcW w:w="677" w:type="pct"/>
            <w:vAlign w:val="center"/>
          </w:tcPr>
          <w:p w14:paraId="36BA63FD" w14:textId="238F79E1" w:rsidR="003336B6" w:rsidRPr="00233CFE" w:rsidRDefault="003336B6" w:rsidP="00D221AB">
            <w:pPr>
              <w:pStyle w:val="PBACTableText"/>
              <w:keepNext/>
              <w:keepLines/>
              <w:spacing w:before="0" w:after="0"/>
              <w:jc w:val="center"/>
            </w:pPr>
          </w:p>
        </w:tc>
      </w:tr>
      <w:tr w:rsidR="0080448C" w:rsidRPr="00CD4FAB" w14:paraId="65552972" w14:textId="77777777" w:rsidTr="006E162D">
        <w:tc>
          <w:tcPr>
            <w:tcW w:w="1004" w:type="pct"/>
          </w:tcPr>
          <w:p w14:paraId="72F5EC35" w14:textId="77777777" w:rsidR="0080448C" w:rsidRPr="00233CFE" w:rsidRDefault="0080448C" w:rsidP="00D221AB">
            <w:pPr>
              <w:pStyle w:val="PBACTableText"/>
              <w:keepNext/>
              <w:keepLines/>
              <w:spacing w:before="0" w:after="0"/>
            </w:pPr>
            <w:r w:rsidRPr="00233CFE">
              <w:t>Number of patients</w:t>
            </w:r>
          </w:p>
        </w:tc>
        <w:tc>
          <w:tcPr>
            <w:tcW w:w="649" w:type="pct"/>
            <w:vAlign w:val="center"/>
          </w:tcPr>
          <w:p w14:paraId="5F73A909" w14:textId="76EF4D64"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50" w:id="-961835260"/>
                <w14:textFill>
                  <w14:solidFill>
                    <w14:srgbClr w14:val="000000">
                      <w14:alpha w14:val="100000"/>
                    </w14:srgbClr>
                  </w14:solidFill>
                </w14:textFill>
              </w:rPr>
              <w:t xml:space="preserve">　</w:t>
            </w:r>
            <w:r w:rsidRPr="00924D5E">
              <w:rPr>
                <w:bCs/>
                <w:color w:val="000000"/>
                <w:w w:val="15"/>
                <w:shd w:val="solid" w:color="000000" w:fill="000000"/>
                <w:fitText w:val="50" w:id="-961835260"/>
                <w14:textFill>
                  <w14:solidFill>
                    <w14:srgbClr w14:val="000000">
                      <w14:alpha w14:val="100000"/>
                    </w14:srgbClr>
                  </w14:solidFill>
                </w14:textFill>
              </w:rPr>
              <w:t>|</w:t>
            </w:r>
            <w:r w:rsidRPr="00924D5E">
              <w:rPr>
                <w:rFonts w:hint="eastAsia"/>
                <w:bCs/>
                <w:color w:val="000000"/>
                <w:spacing w:val="-15"/>
                <w:w w:val="15"/>
                <w:shd w:val="solid" w:color="000000" w:fill="000000"/>
                <w:fitText w:val="50" w:id="-961835260"/>
                <w14:textFill>
                  <w14:solidFill>
                    <w14:srgbClr w14:val="000000">
                      <w14:alpha w14:val="100000"/>
                    </w14:srgbClr>
                  </w14:solidFill>
                </w14:textFill>
              </w:rPr>
              <w:t xml:space="preserve">　</w:t>
            </w:r>
            <w:r w:rsidR="006B7B61" w:rsidRPr="00233CFE">
              <w:rPr>
                <w:vertAlign w:val="superscript"/>
              </w:rPr>
              <w:t>1</w:t>
            </w:r>
          </w:p>
        </w:tc>
        <w:tc>
          <w:tcPr>
            <w:tcW w:w="628" w:type="pct"/>
            <w:vAlign w:val="center"/>
          </w:tcPr>
          <w:p w14:paraId="73289ACE" w14:textId="5776BEA1"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63" w:id="-961835259"/>
                <w14:textFill>
                  <w14:solidFill>
                    <w14:srgbClr w14:val="000000">
                      <w14:alpha w14:val="100000"/>
                    </w14:srgbClr>
                  </w14:solidFill>
                </w14:textFill>
              </w:rPr>
              <w:t xml:space="preserve">　</w:t>
            </w:r>
            <w:r w:rsidRPr="00924D5E">
              <w:rPr>
                <w:bCs/>
                <w:color w:val="000000"/>
                <w:w w:val="15"/>
                <w:shd w:val="solid" w:color="000000" w:fill="000000"/>
                <w:fitText w:val="63" w:id="-961835259"/>
                <w14:textFill>
                  <w14:solidFill>
                    <w14:srgbClr w14:val="000000">
                      <w14:alpha w14:val="100000"/>
                    </w14:srgbClr>
                  </w14:solidFill>
                </w14:textFill>
              </w:rPr>
              <w:t>|</w:t>
            </w:r>
            <w:r w:rsidRPr="00924D5E">
              <w:rPr>
                <w:rFonts w:hint="eastAsia"/>
                <w:bCs/>
                <w:color w:val="000000"/>
                <w:spacing w:val="-2"/>
                <w:w w:val="15"/>
                <w:shd w:val="solid" w:color="000000" w:fill="000000"/>
                <w:fitText w:val="63" w:id="-961835259"/>
                <w14:textFill>
                  <w14:solidFill>
                    <w14:srgbClr w14:val="000000">
                      <w14:alpha w14:val="100000"/>
                    </w14:srgbClr>
                  </w14:solidFill>
                </w14:textFill>
              </w:rPr>
              <w:t xml:space="preserve">　</w:t>
            </w:r>
            <w:r w:rsidR="006B7B61" w:rsidRPr="00233CFE">
              <w:rPr>
                <w:vertAlign w:val="superscript"/>
              </w:rPr>
              <w:t>1</w:t>
            </w:r>
          </w:p>
        </w:tc>
        <w:tc>
          <w:tcPr>
            <w:tcW w:w="643" w:type="pct"/>
            <w:vAlign w:val="center"/>
          </w:tcPr>
          <w:p w14:paraId="77C7B72F" w14:textId="5E07E5E1"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50" w:id="-961835258"/>
                <w14:textFill>
                  <w14:solidFill>
                    <w14:srgbClr w14:val="000000">
                      <w14:alpha w14:val="100000"/>
                    </w14:srgbClr>
                  </w14:solidFill>
                </w14:textFill>
              </w:rPr>
              <w:t xml:space="preserve">　</w:t>
            </w:r>
            <w:r w:rsidRPr="00924D5E">
              <w:rPr>
                <w:bCs/>
                <w:color w:val="000000"/>
                <w:w w:val="15"/>
                <w:shd w:val="solid" w:color="000000" w:fill="000000"/>
                <w:fitText w:val="50" w:id="-961835258"/>
                <w14:textFill>
                  <w14:solidFill>
                    <w14:srgbClr w14:val="000000">
                      <w14:alpha w14:val="100000"/>
                    </w14:srgbClr>
                  </w14:solidFill>
                </w14:textFill>
              </w:rPr>
              <w:t>|</w:t>
            </w:r>
            <w:r w:rsidRPr="00924D5E">
              <w:rPr>
                <w:rFonts w:hint="eastAsia"/>
                <w:bCs/>
                <w:color w:val="000000"/>
                <w:spacing w:val="-15"/>
                <w:w w:val="15"/>
                <w:shd w:val="solid" w:color="000000" w:fill="000000"/>
                <w:fitText w:val="50" w:id="-961835258"/>
                <w14:textFill>
                  <w14:solidFill>
                    <w14:srgbClr w14:val="000000">
                      <w14:alpha w14:val="100000"/>
                    </w14:srgbClr>
                  </w14:solidFill>
                </w14:textFill>
              </w:rPr>
              <w:t xml:space="preserve">　</w:t>
            </w:r>
            <w:r w:rsidR="006B7B61" w:rsidRPr="00233CFE">
              <w:rPr>
                <w:vertAlign w:val="superscript"/>
              </w:rPr>
              <w:t>1</w:t>
            </w:r>
          </w:p>
        </w:tc>
        <w:tc>
          <w:tcPr>
            <w:tcW w:w="692" w:type="pct"/>
            <w:vAlign w:val="center"/>
          </w:tcPr>
          <w:p w14:paraId="43CB8AEC" w14:textId="76140AB8" w:rsidR="0080448C" w:rsidRPr="00D221AB" w:rsidRDefault="00924D5E" w:rsidP="00D221AB">
            <w:pPr>
              <w:pStyle w:val="PBACTableText"/>
              <w:keepNext/>
              <w:keepLines/>
              <w:spacing w:before="0" w:after="0"/>
              <w:jc w:val="center"/>
              <w:rPr>
                <w:b/>
                <w:bCs/>
                <w:highlight w:val="lightGray"/>
              </w:rPr>
            </w:pPr>
            <w:r w:rsidRPr="00924D5E">
              <w:rPr>
                <w:bCs/>
                <w:color w:val="000000"/>
                <w:shd w:val="solid" w:color="000000" w:fill="000000"/>
                <w14:textFill>
                  <w14:solidFill>
                    <w14:srgbClr w14:val="000000">
                      <w14:alpha w14:val="100000"/>
                    </w14:srgbClr>
                  </w14:solidFill>
                </w14:textFill>
              </w:rPr>
              <w:t>|</w:t>
            </w:r>
            <w:r w:rsidR="006B7B61" w:rsidRPr="00233CFE">
              <w:rPr>
                <w:vertAlign w:val="superscript"/>
              </w:rPr>
              <w:t>1</w:t>
            </w:r>
          </w:p>
        </w:tc>
        <w:tc>
          <w:tcPr>
            <w:tcW w:w="707" w:type="pct"/>
            <w:vAlign w:val="center"/>
          </w:tcPr>
          <w:p w14:paraId="729D5B85" w14:textId="7CEF8AC2" w:rsidR="0080448C" w:rsidRPr="00D221AB" w:rsidRDefault="00924D5E" w:rsidP="00D221AB">
            <w:pPr>
              <w:pStyle w:val="PBACTableText"/>
              <w:keepNext/>
              <w:keepLines/>
              <w:spacing w:before="0" w:after="0"/>
              <w:jc w:val="center"/>
              <w:rPr>
                <w:b/>
                <w:bCs/>
                <w:highlight w:val="lightGray"/>
              </w:rPr>
            </w:pPr>
            <w:r w:rsidRPr="00924D5E">
              <w:rPr>
                <w:bCs/>
                <w:color w:val="000000"/>
                <w:shd w:val="solid" w:color="000000" w:fill="000000"/>
                <w14:textFill>
                  <w14:solidFill>
                    <w14:srgbClr w14:val="000000">
                      <w14:alpha w14:val="100000"/>
                    </w14:srgbClr>
                  </w14:solidFill>
                </w14:textFill>
              </w:rPr>
              <w:t>|</w:t>
            </w:r>
            <w:r w:rsidR="006B7B61" w:rsidRPr="00233CFE">
              <w:rPr>
                <w:vertAlign w:val="superscript"/>
              </w:rPr>
              <w:t>1</w:t>
            </w:r>
          </w:p>
        </w:tc>
        <w:tc>
          <w:tcPr>
            <w:tcW w:w="677" w:type="pct"/>
            <w:vAlign w:val="center"/>
          </w:tcPr>
          <w:p w14:paraId="19CCEAB7" w14:textId="09F3E6D6" w:rsidR="0080448C" w:rsidRPr="00D221AB" w:rsidRDefault="00924D5E" w:rsidP="00D221AB">
            <w:pPr>
              <w:pStyle w:val="PBACTableText"/>
              <w:keepNext/>
              <w:keepLines/>
              <w:spacing w:before="0" w:after="0"/>
              <w:jc w:val="center"/>
              <w:rPr>
                <w:b/>
                <w:bCs/>
                <w:highlight w:val="lightGray"/>
              </w:rPr>
            </w:pPr>
            <w:r w:rsidRPr="006E162D">
              <w:rPr>
                <w:rFonts w:hint="eastAsia"/>
                <w:bCs/>
                <w:color w:val="000000"/>
                <w:w w:val="15"/>
                <w:shd w:val="solid" w:color="000000" w:fill="000000"/>
                <w:fitText w:val="25" w:id="-961835257"/>
                <w14:textFill>
                  <w14:solidFill>
                    <w14:srgbClr w14:val="000000">
                      <w14:alpha w14:val="100000"/>
                    </w14:srgbClr>
                  </w14:solidFill>
                </w14:textFill>
              </w:rPr>
              <w:t xml:space="preserve">　</w:t>
            </w:r>
            <w:r w:rsidRPr="006E162D">
              <w:rPr>
                <w:bCs/>
                <w:color w:val="000000"/>
                <w:w w:val="15"/>
                <w:shd w:val="solid" w:color="000000" w:fill="000000"/>
                <w:fitText w:val="25" w:id="-961835257"/>
                <w14:textFill>
                  <w14:solidFill>
                    <w14:srgbClr w14:val="000000">
                      <w14:alpha w14:val="100000"/>
                    </w14:srgbClr>
                  </w14:solidFill>
                </w14:textFill>
              </w:rPr>
              <w:t>|</w:t>
            </w:r>
            <w:r w:rsidRPr="006E162D">
              <w:rPr>
                <w:rFonts w:hint="eastAsia"/>
                <w:bCs/>
                <w:color w:val="000000"/>
                <w:spacing w:val="-41"/>
                <w:w w:val="15"/>
                <w:shd w:val="solid" w:color="000000" w:fill="000000"/>
                <w:fitText w:val="25" w:id="-961835257"/>
                <w14:textFill>
                  <w14:solidFill>
                    <w14:srgbClr w14:val="000000">
                      <w14:alpha w14:val="100000"/>
                    </w14:srgbClr>
                  </w14:solidFill>
                </w14:textFill>
              </w:rPr>
              <w:t xml:space="preserve">　</w:t>
            </w:r>
            <w:r w:rsidR="006B7B61" w:rsidRPr="00233CFE">
              <w:rPr>
                <w:vertAlign w:val="superscript"/>
              </w:rPr>
              <w:t>1</w:t>
            </w:r>
          </w:p>
        </w:tc>
      </w:tr>
      <w:tr w:rsidR="0080448C" w:rsidRPr="00CD4FAB" w14:paraId="7AB29B49" w14:textId="77777777" w:rsidTr="006E162D">
        <w:tc>
          <w:tcPr>
            <w:tcW w:w="1004" w:type="pct"/>
          </w:tcPr>
          <w:p w14:paraId="0F23F8BF" w14:textId="77777777" w:rsidR="0080448C" w:rsidRPr="00233CFE" w:rsidRDefault="0080448C" w:rsidP="00D221AB">
            <w:pPr>
              <w:pStyle w:val="PBACTableText"/>
              <w:keepNext/>
              <w:keepLines/>
              <w:spacing w:before="0" w:after="0"/>
            </w:pPr>
            <w:r w:rsidRPr="00233CFE">
              <w:t>Number of scripts</w:t>
            </w:r>
          </w:p>
        </w:tc>
        <w:tc>
          <w:tcPr>
            <w:tcW w:w="649" w:type="pct"/>
            <w:vAlign w:val="center"/>
          </w:tcPr>
          <w:p w14:paraId="720A744D" w14:textId="42B03DBB"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50" w:id="-961835256"/>
                <w14:textFill>
                  <w14:solidFill>
                    <w14:srgbClr w14:val="000000">
                      <w14:alpha w14:val="100000"/>
                    </w14:srgbClr>
                  </w14:solidFill>
                </w14:textFill>
              </w:rPr>
              <w:t xml:space="preserve">　</w:t>
            </w:r>
            <w:r w:rsidRPr="00924D5E">
              <w:rPr>
                <w:bCs/>
                <w:color w:val="000000"/>
                <w:w w:val="15"/>
                <w:shd w:val="solid" w:color="000000" w:fill="000000"/>
                <w:fitText w:val="50" w:id="-961835256"/>
                <w14:textFill>
                  <w14:solidFill>
                    <w14:srgbClr w14:val="000000">
                      <w14:alpha w14:val="100000"/>
                    </w14:srgbClr>
                  </w14:solidFill>
                </w14:textFill>
              </w:rPr>
              <w:t>|</w:t>
            </w:r>
            <w:r w:rsidRPr="00924D5E">
              <w:rPr>
                <w:rFonts w:hint="eastAsia"/>
                <w:bCs/>
                <w:color w:val="000000"/>
                <w:spacing w:val="-15"/>
                <w:w w:val="15"/>
                <w:shd w:val="solid" w:color="000000" w:fill="000000"/>
                <w:fitText w:val="50" w:id="-961835256"/>
                <w14:textFill>
                  <w14:solidFill>
                    <w14:srgbClr w14:val="000000">
                      <w14:alpha w14:val="100000"/>
                    </w14:srgbClr>
                  </w14:solidFill>
                </w14:textFill>
              </w:rPr>
              <w:t xml:space="preserve">　</w:t>
            </w:r>
            <w:r w:rsidR="006B7B61" w:rsidRPr="00233CFE">
              <w:rPr>
                <w:vertAlign w:val="superscript"/>
              </w:rPr>
              <w:t>1</w:t>
            </w:r>
          </w:p>
        </w:tc>
        <w:tc>
          <w:tcPr>
            <w:tcW w:w="628" w:type="pct"/>
            <w:vAlign w:val="center"/>
          </w:tcPr>
          <w:p w14:paraId="161CA1AA" w14:textId="76BD0C01"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63" w:id="-961835255"/>
                <w14:textFill>
                  <w14:solidFill>
                    <w14:srgbClr w14:val="000000">
                      <w14:alpha w14:val="100000"/>
                    </w14:srgbClr>
                  </w14:solidFill>
                </w14:textFill>
              </w:rPr>
              <w:t xml:space="preserve">　</w:t>
            </w:r>
            <w:r w:rsidRPr="00924D5E">
              <w:rPr>
                <w:bCs/>
                <w:color w:val="000000"/>
                <w:w w:val="15"/>
                <w:shd w:val="solid" w:color="000000" w:fill="000000"/>
                <w:fitText w:val="63" w:id="-961835255"/>
                <w14:textFill>
                  <w14:solidFill>
                    <w14:srgbClr w14:val="000000">
                      <w14:alpha w14:val="100000"/>
                    </w14:srgbClr>
                  </w14:solidFill>
                </w14:textFill>
              </w:rPr>
              <w:t>|</w:t>
            </w:r>
            <w:r w:rsidRPr="00924D5E">
              <w:rPr>
                <w:rFonts w:hint="eastAsia"/>
                <w:bCs/>
                <w:color w:val="000000"/>
                <w:spacing w:val="-2"/>
                <w:w w:val="15"/>
                <w:shd w:val="solid" w:color="000000" w:fill="000000"/>
                <w:fitText w:val="63" w:id="-961835255"/>
                <w14:textFill>
                  <w14:solidFill>
                    <w14:srgbClr w14:val="000000">
                      <w14:alpha w14:val="100000"/>
                    </w14:srgbClr>
                  </w14:solidFill>
                </w14:textFill>
              </w:rPr>
              <w:t xml:space="preserve">　</w:t>
            </w:r>
            <w:r w:rsidR="006B7B61" w:rsidRPr="00233CFE">
              <w:rPr>
                <w:vertAlign w:val="superscript"/>
              </w:rPr>
              <w:t>1</w:t>
            </w:r>
          </w:p>
        </w:tc>
        <w:tc>
          <w:tcPr>
            <w:tcW w:w="643" w:type="pct"/>
            <w:vAlign w:val="center"/>
          </w:tcPr>
          <w:p w14:paraId="6372BB9D" w14:textId="044D3CF1"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50" w:id="-961835254"/>
                <w14:textFill>
                  <w14:solidFill>
                    <w14:srgbClr w14:val="000000">
                      <w14:alpha w14:val="100000"/>
                    </w14:srgbClr>
                  </w14:solidFill>
                </w14:textFill>
              </w:rPr>
              <w:t xml:space="preserve">　</w:t>
            </w:r>
            <w:r w:rsidRPr="00924D5E">
              <w:rPr>
                <w:bCs/>
                <w:color w:val="000000"/>
                <w:w w:val="15"/>
                <w:shd w:val="solid" w:color="000000" w:fill="000000"/>
                <w:fitText w:val="50" w:id="-961835254"/>
                <w14:textFill>
                  <w14:solidFill>
                    <w14:srgbClr w14:val="000000">
                      <w14:alpha w14:val="100000"/>
                    </w14:srgbClr>
                  </w14:solidFill>
                </w14:textFill>
              </w:rPr>
              <w:t>|</w:t>
            </w:r>
            <w:r w:rsidRPr="00924D5E">
              <w:rPr>
                <w:rFonts w:hint="eastAsia"/>
                <w:bCs/>
                <w:color w:val="000000"/>
                <w:spacing w:val="-15"/>
                <w:w w:val="15"/>
                <w:shd w:val="solid" w:color="000000" w:fill="000000"/>
                <w:fitText w:val="50" w:id="-961835254"/>
                <w14:textFill>
                  <w14:solidFill>
                    <w14:srgbClr w14:val="000000">
                      <w14:alpha w14:val="100000"/>
                    </w14:srgbClr>
                  </w14:solidFill>
                </w14:textFill>
              </w:rPr>
              <w:t xml:space="preserve">　</w:t>
            </w:r>
            <w:r w:rsidR="006B7B61" w:rsidRPr="00233CFE">
              <w:rPr>
                <w:vertAlign w:val="superscript"/>
              </w:rPr>
              <w:t>1</w:t>
            </w:r>
          </w:p>
        </w:tc>
        <w:tc>
          <w:tcPr>
            <w:tcW w:w="692" w:type="pct"/>
            <w:vAlign w:val="center"/>
          </w:tcPr>
          <w:p w14:paraId="43947377" w14:textId="5F99FED6" w:rsidR="0080448C" w:rsidRPr="00D221AB" w:rsidRDefault="00924D5E" w:rsidP="00D221AB">
            <w:pPr>
              <w:pStyle w:val="PBACTableText"/>
              <w:keepNext/>
              <w:keepLines/>
              <w:spacing w:before="0" w:after="0"/>
              <w:jc w:val="center"/>
              <w:rPr>
                <w:b/>
                <w:bCs/>
                <w:highlight w:val="lightGray"/>
              </w:rPr>
            </w:pPr>
            <w:r w:rsidRPr="00924D5E">
              <w:rPr>
                <w:bCs/>
                <w:color w:val="000000"/>
                <w:shd w:val="solid" w:color="000000" w:fill="000000"/>
                <w14:textFill>
                  <w14:solidFill>
                    <w14:srgbClr w14:val="000000">
                      <w14:alpha w14:val="100000"/>
                    </w14:srgbClr>
                  </w14:solidFill>
                </w14:textFill>
              </w:rPr>
              <w:t>|</w:t>
            </w:r>
            <w:r w:rsidR="006B7B61" w:rsidRPr="00233CFE">
              <w:rPr>
                <w:vertAlign w:val="superscript"/>
              </w:rPr>
              <w:t>1</w:t>
            </w:r>
          </w:p>
        </w:tc>
        <w:tc>
          <w:tcPr>
            <w:tcW w:w="707" w:type="pct"/>
            <w:vAlign w:val="center"/>
          </w:tcPr>
          <w:p w14:paraId="311E789E" w14:textId="17F26919" w:rsidR="0080448C" w:rsidRPr="00D221AB" w:rsidRDefault="00924D5E" w:rsidP="00D221AB">
            <w:pPr>
              <w:pStyle w:val="PBACTableText"/>
              <w:keepNext/>
              <w:keepLines/>
              <w:spacing w:before="0" w:after="0"/>
              <w:jc w:val="center"/>
              <w:rPr>
                <w:b/>
                <w:bCs/>
                <w:highlight w:val="lightGray"/>
              </w:rPr>
            </w:pPr>
            <w:r w:rsidRPr="00924D5E">
              <w:rPr>
                <w:bCs/>
                <w:color w:val="000000"/>
                <w:shd w:val="solid" w:color="000000" w:fill="000000"/>
                <w14:textFill>
                  <w14:solidFill>
                    <w14:srgbClr w14:val="000000">
                      <w14:alpha w14:val="100000"/>
                    </w14:srgbClr>
                  </w14:solidFill>
                </w14:textFill>
              </w:rPr>
              <w:t>|</w:t>
            </w:r>
            <w:r w:rsidR="006B7B61" w:rsidRPr="00233CFE">
              <w:rPr>
                <w:vertAlign w:val="superscript"/>
              </w:rPr>
              <w:t>1</w:t>
            </w:r>
          </w:p>
        </w:tc>
        <w:tc>
          <w:tcPr>
            <w:tcW w:w="677" w:type="pct"/>
            <w:vAlign w:val="center"/>
          </w:tcPr>
          <w:p w14:paraId="79061DD0" w14:textId="374FA783" w:rsidR="0080448C" w:rsidRPr="00D221AB" w:rsidRDefault="00924D5E" w:rsidP="00D221AB">
            <w:pPr>
              <w:pStyle w:val="PBACTableText"/>
              <w:keepNext/>
              <w:keepLines/>
              <w:spacing w:before="0" w:after="0"/>
              <w:jc w:val="center"/>
              <w:rPr>
                <w:b/>
                <w:bCs/>
                <w:highlight w:val="lightGray"/>
              </w:rPr>
            </w:pPr>
            <w:r w:rsidRPr="006E162D">
              <w:rPr>
                <w:rFonts w:hint="eastAsia"/>
                <w:bCs/>
                <w:color w:val="000000"/>
                <w:w w:val="15"/>
                <w:shd w:val="solid" w:color="000000" w:fill="000000"/>
                <w:fitText w:val="25" w:id="-961835253"/>
                <w14:textFill>
                  <w14:solidFill>
                    <w14:srgbClr w14:val="000000">
                      <w14:alpha w14:val="100000"/>
                    </w14:srgbClr>
                  </w14:solidFill>
                </w14:textFill>
              </w:rPr>
              <w:t xml:space="preserve">　</w:t>
            </w:r>
            <w:r w:rsidRPr="006E162D">
              <w:rPr>
                <w:bCs/>
                <w:color w:val="000000"/>
                <w:w w:val="15"/>
                <w:shd w:val="solid" w:color="000000" w:fill="000000"/>
                <w:fitText w:val="25" w:id="-961835253"/>
                <w14:textFill>
                  <w14:solidFill>
                    <w14:srgbClr w14:val="000000">
                      <w14:alpha w14:val="100000"/>
                    </w14:srgbClr>
                  </w14:solidFill>
                </w14:textFill>
              </w:rPr>
              <w:t>|</w:t>
            </w:r>
            <w:r w:rsidRPr="006E162D">
              <w:rPr>
                <w:rFonts w:hint="eastAsia"/>
                <w:bCs/>
                <w:color w:val="000000"/>
                <w:spacing w:val="-41"/>
                <w:w w:val="15"/>
                <w:shd w:val="solid" w:color="000000" w:fill="000000"/>
                <w:fitText w:val="25" w:id="-961835253"/>
                <w14:textFill>
                  <w14:solidFill>
                    <w14:srgbClr w14:val="000000">
                      <w14:alpha w14:val="100000"/>
                    </w14:srgbClr>
                  </w14:solidFill>
                </w14:textFill>
              </w:rPr>
              <w:t xml:space="preserve">　</w:t>
            </w:r>
            <w:r w:rsidR="006B7B61" w:rsidRPr="00233CFE">
              <w:rPr>
                <w:vertAlign w:val="superscript"/>
              </w:rPr>
              <w:t>1</w:t>
            </w:r>
          </w:p>
        </w:tc>
      </w:tr>
      <w:tr w:rsidR="0080448C" w:rsidRPr="00CD4FAB" w14:paraId="5FDB0D81" w14:textId="77777777" w:rsidTr="006E162D">
        <w:tc>
          <w:tcPr>
            <w:tcW w:w="1004" w:type="pct"/>
          </w:tcPr>
          <w:p w14:paraId="30FC40EC" w14:textId="77777777" w:rsidR="0080448C" w:rsidRPr="00233CFE" w:rsidRDefault="0080448C" w:rsidP="00D221AB">
            <w:pPr>
              <w:pStyle w:val="PBACTableText"/>
              <w:keepNext/>
              <w:keepLines/>
              <w:spacing w:before="0" w:after="0"/>
            </w:pPr>
            <w:r w:rsidRPr="00233CFE">
              <w:t xml:space="preserve">Net cost </w:t>
            </w:r>
          </w:p>
        </w:tc>
        <w:tc>
          <w:tcPr>
            <w:tcW w:w="649" w:type="pct"/>
            <w:vAlign w:val="center"/>
          </w:tcPr>
          <w:p w14:paraId="58536BE2" w14:textId="2F174BD7" w:rsidR="0080448C" w:rsidRPr="00D221AB" w:rsidRDefault="00924D5E" w:rsidP="00D221AB">
            <w:pPr>
              <w:pStyle w:val="PBACTableText"/>
              <w:keepNext/>
              <w:keepLines/>
              <w:spacing w:before="0" w:after="0"/>
              <w:jc w:val="center"/>
              <w:rPr>
                <w:highlight w:val="lightGray"/>
              </w:rPr>
            </w:pPr>
            <w:r w:rsidRPr="00924D5E">
              <w:rPr>
                <w:rFonts w:hint="eastAsia"/>
                <w:color w:val="000000"/>
                <w:w w:val="15"/>
                <w:shd w:val="solid" w:color="000000" w:fill="000000"/>
                <w:fitText w:val="50" w:id="-961835252"/>
                <w14:textFill>
                  <w14:solidFill>
                    <w14:srgbClr w14:val="000000">
                      <w14:alpha w14:val="100000"/>
                    </w14:srgbClr>
                  </w14:solidFill>
                </w14:textFill>
              </w:rPr>
              <w:t xml:space="preserve">　</w:t>
            </w:r>
            <w:r w:rsidRPr="00924D5E">
              <w:rPr>
                <w:color w:val="000000"/>
                <w:w w:val="15"/>
                <w:shd w:val="solid" w:color="000000" w:fill="000000"/>
                <w:fitText w:val="50" w:id="-961835252"/>
                <w14:textFill>
                  <w14:solidFill>
                    <w14:srgbClr w14:val="000000">
                      <w14:alpha w14:val="100000"/>
                    </w14:srgbClr>
                  </w14:solidFill>
                </w14:textFill>
              </w:rPr>
              <w:t>|</w:t>
            </w:r>
            <w:r w:rsidRPr="00924D5E">
              <w:rPr>
                <w:rFonts w:hint="eastAsia"/>
                <w:color w:val="000000"/>
                <w:spacing w:val="-15"/>
                <w:w w:val="15"/>
                <w:shd w:val="solid" w:color="000000" w:fill="000000"/>
                <w:fitText w:val="50" w:id="-961835252"/>
                <w14:textFill>
                  <w14:solidFill>
                    <w14:srgbClr w14:val="000000">
                      <w14:alpha w14:val="100000"/>
                    </w14:srgbClr>
                  </w14:solidFill>
                </w14:textFill>
              </w:rPr>
              <w:t xml:space="preserve">　</w:t>
            </w:r>
            <w:r w:rsidR="006B7B61" w:rsidRPr="00233CFE">
              <w:rPr>
                <w:vertAlign w:val="superscript"/>
              </w:rPr>
              <w:t>3</w:t>
            </w:r>
          </w:p>
        </w:tc>
        <w:tc>
          <w:tcPr>
            <w:tcW w:w="628" w:type="pct"/>
            <w:vAlign w:val="center"/>
          </w:tcPr>
          <w:p w14:paraId="135EA841" w14:textId="09FA5B8F" w:rsidR="0080448C" w:rsidRPr="00D221AB" w:rsidRDefault="00924D5E" w:rsidP="00D221AB">
            <w:pPr>
              <w:pStyle w:val="PBACTableText"/>
              <w:keepNext/>
              <w:keepLines/>
              <w:spacing w:before="0" w:after="0"/>
              <w:jc w:val="center"/>
              <w:rPr>
                <w:highlight w:val="lightGray"/>
              </w:rPr>
            </w:pPr>
            <w:r w:rsidRPr="00924D5E">
              <w:rPr>
                <w:rFonts w:hint="eastAsia"/>
                <w:color w:val="000000"/>
                <w:w w:val="15"/>
                <w:shd w:val="solid" w:color="000000" w:fill="000000"/>
                <w:fitText w:val="63" w:id="-961835251"/>
                <w14:textFill>
                  <w14:solidFill>
                    <w14:srgbClr w14:val="000000">
                      <w14:alpha w14:val="100000"/>
                    </w14:srgbClr>
                  </w14:solidFill>
                </w14:textFill>
              </w:rPr>
              <w:t xml:space="preserve">　</w:t>
            </w:r>
            <w:r w:rsidRPr="00924D5E">
              <w:rPr>
                <w:color w:val="000000"/>
                <w:w w:val="15"/>
                <w:shd w:val="solid" w:color="000000" w:fill="000000"/>
                <w:fitText w:val="63" w:id="-961835251"/>
                <w14:textFill>
                  <w14:solidFill>
                    <w14:srgbClr w14:val="000000">
                      <w14:alpha w14:val="100000"/>
                    </w14:srgbClr>
                  </w14:solidFill>
                </w14:textFill>
              </w:rPr>
              <w:t>|</w:t>
            </w:r>
            <w:r w:rsidRPr="00924D5E">
              <w:rPr>
                <w:rFonts w:hint="eastAsia"/>
                <w:color w:val="000000"/>
                <w:spacing w:val="-2"/>
                <w:w w:val="15"/>
                <w:shd w:val="solid" w:color="000000" w:fill="000000"/>
                <w:fitText w:val="63" w:id="-961835251"/>
                <w14:textFill>
                  <w14:solidFill>
                    <w14:srgbClr w14:val="000000">
                      <w14:alpha w14:val="100000"/>
                    </w14:srgbClr>
                  </w14:solidFill>
                </w14:textFill>
              </w:rPr>
              <w:t xml:space="preserve">　</w:t>
            </w:r>
            <w:r w:rsidR="006B7B61" w:rsidRPr="00233CFE">
              <w:rPr>
                <w:vertAlign w:val="superscript"/>
              </w:rPr>
              <w:t>3</w:t>
            </w:r>
          </w:p>
        </w:tc>
        <w:tc>
          <w:tcPr>
            <w:tcW w:w="643" w:type="pct"/>
            <w:vAlign w:val="center"/>
          </w:tcPr>
          <w:p w14:paraId="31696F59" w14:textId="57A9867E" w:rsidR="0080448C" w:rsidRPr="00D221AB" w:rsidRDefault="00924D5E" w:rsidP="00D221AB">
            <w:pPr>
              <w:pStyle w:val="PBACTableText"/>
              <w:keepNext/>
              <w:keepLines/>
              <w:spacing w:before="0" w:after="0"/>
              <w:jc w:val="center"/>
              <w:rPr>
                <w:highlight w:val="lightGray"/>
              </w:rPr>
            </w:pPr>
            <w:r w:rsidRPr="00924D5E">
              <w:rPr>
                <w:rFonts w:hint="eastAsia"/>
                <w:color w:val="000000"/>
                <w:w w:val="15"/>
                <w:shd w:val="solid" w:color="000000" w:fill="000000"/>
                <w:fitText w:val="50" w:id="-961835250"/>
                <w14:textFill>
                  <w14:solidFill>
                    <w14:srgbClr w14:val="000000">
                      <w14:alpha w14:val="100000"/>
                    </w14:srgbClr>
                  </w14:solidFill>
                </w14:textFill>
              </w:rPr>
              <w:t xml:space="preserve">　</w:t>
            </w:r>
            <w:r w:rsidRPr="00924D5E">
              <w:rPr>
                <w:color w:val="000000"/>
                <w:w w:val="15"/>
                <w:shd w:val="solid" w:color="000000" w:fill="000000"/>
                <w:fitText w:val="50" w:id="-961835250"/>
                <w14:textFill>
                  <w14:solidFill>
                    <w14:srgbClr w14:val="000000">
                      <w14:alpha w14:val="100000"/>
                    </w14:srgbClr>
                  </w14:solidFill>
                </w14:textFill>
              </w:rPr>
              <w:t>|</w:t>
            </w:r>
            <w:r w:rsidRPr="00924D5E">
              <w:rPr>
                <w:rFonts w:hint="eastAsia"/>
                <w:color w:val="000000"/>
                <w:spacing w:val="-15"/>
                <w:w w:val="15"/>
                <w:shd w:val="solid" w:color="000000" w:fill="000000"/>
                <w:fitText w:val="50" w:id="-961835250"/>
                <w14:textFill>
                  <w14:solidFill>
                    <w14:srgbClr w14:val="000000">
                      <w14:alpha w14:val="100000"/>
                    </w14:srgbClr>
                  </w14:solidFill>
                </w14:textFill>
              </w:rPr>
              <w:t xml:space="preserve">　</w:t>
            </w:r>
            <w:r w:rsidR="006B7B61" w:rsidRPr="00233CFE">
              <w:rPr>
                <w:vertAlign w:val="superscript"/>
              </w:rPr>
              <w:t>3</w:t>
            </w:r>
          </w:p>
        </w:tc>
        <w:tc>
          <w:tcPr>
            <w:tcW w:w="692" w:type="pct"/>
            <w:vAlign w:val="center"/>
          </w:tcPr>
          <w:p w14:paraId="34E189D7" w14:textId="5BE4CC30" w:rsidR="0080448C" w:rsidRPr="00D221AB" w:rsidRDefault="00924D5E" w:rsidP="00D221AB">
            <w:pPr>
              <w:pStyle w:val="PBACTableText"/>
              <w:keepNext/>
              <w:keepLines/>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6B7B61" w:rsidRPr="00233CFE">
              <w:rPr>
                <w:vertAlign w:val="superscript"/>
              </w:rPr>
              <w:t>3</w:t>
            </w:r>
          </w:p>
        </w:tc>
        <w:tc>
          <w:tcPr>
            <w:tcW w:w="707" w:type="pct"/>
            <w:vAlign w:val="center"/>
          </w:tcPr>
          <w:p w14:paraId="4B71D525" w14:textId="53897237" w:rsidR="0080448C" w:rsidRPr="00D221AB" w:rsidRDefault="00924D5E" w:rsidP="00D221AB">
            <w:pPr>
              <w:pStyle w:val="PBACTableText"/>
              <w:keepNext/>
              <w:keepLines/>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6B7B61" w:rsidRPr="00233CFE">
              <w:rPr>
                <w:vertAlign w:val="superscript"/>
              </w:rPr>
              <w:t>3</w:t>
            </w:r>
          </w:p>
        </w:tc>
        <w:tc>
          <w:tcPr>
            <w:tcW w:w="677" w:type="pct"/>
            <w:vAlign w:val="center"/>
          </w:tcPr>
          <w:p w14:paraId="690AD6B0" w14:textId="2A15955E" w:rsidR="0080448C" w:rsidRPr="00D221AB" w:rsidRDefault="00924D5E" w:rsidP="00D221AB">
            <w:pPr>
              <w:pStyle w:val="PBACTableText"/>
              <w:keepNext/>
              <w:keepLines/>
              <w:spacing w:before="0" w:after="0"/>
              <w:jc w:val="center"/>
              <w:rPr>
                <w:highlight w:val="lightGray"/>
              </w:rPr>
            </w:pPr>
            <w:r w:rsidRPr="006E162D">
              <w:rPr>
                <w:rFonts w:hint="eastAsia"/>
                <w:color w:val="000000"/>
                <w:w w:val="15"/>
                <w:shd w:val="solid" w:color="000000" w:fill="000000"/>
                <w:fitText w:val="25" w:id="-961835249"/>
                <w14:textFill>
                  <w14:solidFill>
                    <w14:srgbClr w14:val="000000">
                      <w14:alpha w14:val="100000"/>
                    </w14:srgbClr>
                  </w14:solidFill>
                </w14:textFill>
              </w:rPr>
              <w:t xml:space="preserve">　</w:t>
            </w:r>
            <w:r w:rsidRPr="006E162D">
              <w:rPr>
                <w:color w:val="000000"/>
                <w:w w:val="15"/>
                <w:shd w:val="solid" w:color="000000" w:fill="000000"/>
                <w:fitText w:val="25" w:id="-961835249"/>
                <w14:textFill>
                  <w14:solidFill>
                    <w14:srgbClr w14:val="000000">
                      <w14:alpha w14:val="100000"/>
                    </w14:srgbClr>
                  </w14:solidFill>
                </w14:textFill>
              </w:rPr>
              <w:t>|</w:t>
            </w:r>
            <w:r w:rsidRPr="006E162D">
              <w:rPr>
                <w:rFonts w:hint="eastAsia"/>
                <w:color w:val="000000"/>
                <w:spacing w:val="-41"/>
                <w:w w:val="15"/>
                <w:shd w:val="solid" w:color="000000" w:fill="000000"/>
                <w:fitText w:val="25" w:id="-961835249"/>
                <w14:textFill>
                  <w14:solidFill>
                    <w14:srgbClr w14:val="000000">
                      <w14:alpha w14:val="100000"/>
                    </w14:srgbClr>
                  </w14:solidFill>
                </w14:textFill>
              </w:rPr>
              <w:t xml:space="preserve">　</w:t>
            </w:r>
            <w:r w:rsidR="006B7B61" w:rsidRPr="00233CFE">
              <w:rPr>
                <w:vertAlign w:val="superscript"/>
              </w:rPr>
              <w:t>3</w:t>
            </w:r>
          </w:p>
        </w:tc>
      </w:tr>
      <w:tr w:rsidR="0080448C" w:rsidRPr="00CD4FAB" w14:paraId="20B56486" w14:textId="77777777" w:rsidTr="006E162D">
        <w:tc>
          <w:tcPr>
            <w:tcW w:w="1004" w:type="pct"/>
          </w:tcPr>
          <w:p w14:paraId="71A1F975" w14:textId="77777777" w:rsidR="0080448C" w:rsidRPr="00233CFE" w:rsidRDefault="0080448C" w:rsidP="00D221AB">
            <w:pPr>
              <w:pStyle w:val="PBACTableText"/>
              <w:keepNext/>
              <w:keepLines/>
              <w:spacing w:before="0" w:after="0"/>
              <w:rPr>
                <w:b/>
                <w:bCs/>
                <w:vertAlign w:val="superscript"/>
              </w:rPr>
            </w:pPr>
            <w:r w:rsidRPr="00233CFE">
              <w:rPr>
                <w:b/>
                <w:bCs/>
              </w:rPr>
              <w:t>Durvalumab</w:t>
            </w:r>
            <w:r w:rsidRPr="00233CFE">
              <w:rPr>
                <w:b/>
                <w:bCs/>
                <w:vertAlign w:val="superscript"/>
              </w:rPr>
              <w:t>b</w:t>
            </w:r>
          </w:p>
        </w:tc>
        <w:tc>
          <w:tcPr>
            <w:tcW w:w="649" w:type="pct"/>
            <w:vAlign w:val="center"/>
          </w:tcPr>
          <w:p w14:paraId="6DEBF769" w14:textId="77777777" w:rsidR="0080448C" w:rsidRPr="00D221AB" w:rsidRDefault="0080448C" w:rsidP="00D221AB">
            <w:pPr>
              <w:pStyle w:val="PBACTableText"/>
              <w:keepNext/>
              <w:keepLines/>
              <w:spacing w:before="0" w:after="0"/>
              <w:jc w:val="center"/>
              <w:rPr>
                <w:highlight w:val="lightGray"/>
              </w:rPr>
            </w:pPr>
          </w:p>
        </w:tc>
        <w:tc>
          <w:tcPr>
            <w:tcW w:w="628" w:type="pct"/>
            <w:vAlign w:val="center"/>
          </w:tcPr>
          <w:p w14:paraId="107F655E" w14:textId="77777777" w:rsidR="0080448C" w:rsidRPr="00D221AB" w:rsidRDefault="0080448C" w:rsidP="00D221AB">
            <w:pPr>
              <w:pStyle w:val="PBACTableText"/>
              <w:keepNext/>
              <w:keepLines/>
              <w:spacing w:before="0" w:after="0"/>
              <w:jc w:val="center"/>
              <w:rPr>
                <w:highlight w:val="lightGray"/>
              </w:rPr>
            </w:pPr>
          </w:p>
        </w:tc>
        <w:tc>
          <w:tcPr>
            <w:tcW w:w="643" w:type="pct"/>
            <w:vAlign w:val="center"/>
          </w:tcPr>
          <w:p w14:paraId="0260821F" w14:textId="77777777" w:rsidR="0080448C" w:rsidRPr="00D221AB" w:rsidRDefault="0080448C" w:rsidP="00D221AB">
            <w:pPr>
              <w:pStyle w:val="PBACTableText"/>
              <w:keepNext/>
              <w:keepLines/>
              <w:spacing w:before="0" w:after="0"/>
              <w:jc w:val="center"/>
              <w:rPr>
                <w:highlight w:val="lightGray"/>
              </w:rPr>
            </w:pPr>
          </w:p>
        </w:tc>
        <w:tc>
          <w:tcPr>
            <w:tcW w:w="692" w:type="pct"/>
            <w:vAlign w:val="center"/>
          </w:tcPr>
          <w:p w14:paraId="4B6C90DD" w14:textId="77777777" w:rsidR="0080448C" w:rsidRPr="00D221AB" w:rsidRDefault="0080448C" w:rsidP="00D221AB">
            <w:pPr>
              <w:pStyle w:val="PBACTableText"/>
              <w:keepNext/>
              <w:keepLines/>
              <w:spacing w:before="0" w:after="0"/>
              <w:jc w:val="center"/>
              <w:rPr>
                <w:highlight w:val="lightGray"/>
              </w:rPr>
            </w:pPr>
          </w:p>
        </w:tc>
        <w:tc>
          <w:tcPr>
            <w:tcW w:w="707" w:type="pct"/>
            <w:vAlign w:val="center"/>
          </w:tcPr>
          <w:p w14:paraId="1EFE5192" w14:textId="77777777" w:rsidR="0080448C" w:rsidRPr="00D221AB" w:rsidRDefault="0080448C" w:rsidP="00D221AB">
            <w:pPr>
              <w:pStyle w:val="PBACTableText"/>
              <w:keepNext/>
              <w:keepLines/>
              <w:spacing w:before="0" w:after="0"/>
              <w:jc w:val="center"/>
              <w:rPr>
                <w:highlight w:val="lightGray"/>
              </w:rPr>
            </w:pPr>
          </w:p>
        </w:tc>
        <w:tc>
          <w:tcPr>
            <w:tcW w:w="677" w:type="pct"/>
            <w:vAlign w:val="center"/>
          </w:tcPr>
          <w:p w14:paraId="1D8C0C02" w14:textId="77777777" w:rsidR="0080448C" w:rsidRPr="00D221AB" w:rsidRDefault="0080448C" w:rsidP="00D221AB">
            <w:pPr>
              <w:pStyle w:val="PBACTableText"/>
              <w:keepNext/>
              <w:keepLines/>
              <w:spacing w:before="0" w:after="0"/>
              <w:jc w:val="center"/>
              <w:rPr>
                <w:highlight w:val="lightGray"/>
              </w:rPr>
            </w:pPr>
          </w:p>
        </w:tc>
      </w:tr>
      <w:tr w:rsidR="0080448C" w:rsidRPr="00CD4FAB" w14:paraId="704144C2" w14:textId="77777777" w:rsidTr="006E162D">
        <w:tc>
          <w:tcPr>
            <w:tcW w:w="1004" w:type="pct"/>
          </w:tcPr>
          <w:p w14:paraId="69DE1A34" w14:textId="77777777" w:rsidR="0080448C" w:rsidRPr="00233CFE" w:rsidRDefault="0080448C" w:rsidP="00D221AB">
            <w:pPr>
              <w:pStyle w:val="PBACTableText"/>
              <w:keepNext/>
              <w:keepLines/>
              <w:spacing w:before="0" w:after="0"/>
            </w:pPr>
            <w:r w:rsidRPr="00233CFE">
              <w:t>Number of patients</w:t>
            </w:r>
          </w:p>
        </w:tc>
        <w:tc>
          <w:tcPr>
            <w:tcW w:w="649" w:type="pct"/>
            <w:vAlign w:val="center"/>
          </w:tcPr>
          <w:p w14:paraId="08A03F92" w14:textId="6509BBEC"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50" w:id="-961835248"/>
                <w14:textFill>
                  <w14:solidFill>
                    <w14:srgbClr w14:val="000000">
                      <w14:alpha w14:val="100000"/>
                    </w14:srgbClr>
                  </w14:solidFill>
                </w14:textFill>
              </w:rPr>
              <w:t xml:space="preserve">　</w:t>
            </w:r>
            <w:r w:rsidRPr="00924D5E">
              <w:rPr>
                <w:bCs/>
                <w:color w:val="000000"/>
                <w:w w:val="15"/>
                <w:shd w:val="solid" w:color="000000" w:fill="000000"/>
                <w:fitText w:val="50" w:id="-961835248"/>
                <w14:textFill>
                  <w14:solidFill>
                    <w14:srgbClr w14:val="000000">
                      <w14:alpha w14:val="100000"/>
                    </w14:srgbClr>
                  </w14:solidFill>
                </w14:textFill>
              </w:rPr>
              <w:t>|</w:t>
            </w:r>
            <w:r w:rsidRPr="00924D5E">
              <w:rPr>
                <w:rFonts w:hint="eastAsia"/>
                <w:bCs/>
                <w:color w:val="000000"/>
                <w:spacing w:val="-15"/>
                <w:w w:val="15"/>
                <w:shd w:val="solid" w:color="000000" w:fill="000000"/>
                <w:fitText w:val="50" w:id="-961835248"/>
                <w14:textFill>
                  <w14:solidFill>
                    <w14:srgbClr w14:val="000000">
                      <w14:alpha w14:val="100000"/>
                    </w14:srgbClr>
                  </w14:solidFill>
                </w14:textFill>
              </w:rPr>
              <w:t xml:space="preserve">　</w:t>
            </w:r>
            <w:r w:rsidR="006B7B61" w:rsidRPr="00233CFE">
              <w:rPr>
                <w:vertAlign w:val="superscript"/>
              </w:rPr>
              <w:t>1</w:t>
            </w:r>
          </w:p>
        </w:tc>
        <w:tc>
          <w:tcPr>
            <w:tcW w:w="628" w:type="pct"/>
            <w:vAlign w:val="center"/>
          </w:tcPr>
          <w:p w14:paraId="06B36F20" w14:textId="19F027CD"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63" w:id="-961835264"/>
                <w14:textFill>
                  <w14:solidFill>
                    <w14:srgbClr w14:val="000000">
                      <w14:alpha w14:val="100000"/>
                    </w14:srgbClr>
                  </w14:solidFill>
                </w14:textFill>
              </w:rPr>
              <w:t xml:space="preserve">　</w:t>
            </w:r>
            <w:r w:rsidRPr="00924D5E">
              <w:rPr>
                <w:bCs/>
                <w:color w:val="000000"/>
                <w:w w:val="15"/>
                <w:shd w:val="solid" w:color="000000" w:fill="000000"/>
                <w:fitText w:val="63" w:id="-961835264"/>
                <w14:textFill>
                  <w14:solidFill>
                    <w14:srgbClr w14:val="000000">
                      <w14:alpha w14:val="100000"/>
                    </w14:srgbClr>
                  </w14:solidFill>
                </w14:textFill>
              </w:rPr>
              <w:t>|</w:t>
            </w:r>
            <w:r w:rsidRPr="00924D5E">
              <w:rPr>
                <w:rFonts w:hint="eastAsia"/>
                <w:bCs/>
                <w:color w:val="000000"/>
                <w:spacing w:val="-2"/>
                <w:w w:val="15"/>
                <w:shd w:val="solid" w:color="000000" w:fill="000000"/>
                <w:fitText w:val="63" w:id="-961835264"/>
                <w14:textFill>
                  <w14:solidFill>
                    <w14:srgbClr w14:val="000000">
                      <w14:alpha w14:val="100000"/>
                    </w14:srgbClr>
                  </w14:solidFill>
                </w14:textFill>
              </w:rPr>
              <w:t xml:space="preserve">　</w:t>
            </w:r>
            <w:r w:rsidR="006B7B61" w:rsidRPr="00233CFE">
              <w:rPr>
                <w:vertAlign w:val="superscript"/>
              </w:rPr>
              <w:t>1</w:t>
            </w:r>
          </w:p>
        </w:tc>
        <w:tc>
          <w:tcPr>
            <w:tcW w:w="643" w:type="pct"/>
            <w:vAlign w:val="center"/>
          </w:tcPr>
          <w:p w14:paraId="2CBAE31C" w14:textId="0F74C458"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50" w:id="-961835263"/>
                <w14:textFill>
                  <w14:solidFill>
                    <w14:srgbClr w14:val="000000">
                      <w14:alpha w14:val="100000"/>
                    </w14:srgbClr>
                  </w14:solidFill>
                </w14:textFill>
              </w:rPr>
              <w:t xml:space="preserve">　</w:t>
            </w:r>
            <w:r w:rsidRPr="00924D5E">
              <w:rPr>
                <w:bCs/>
                <w:color w:val="000000"/>
                <w:w w:val="15"/>
                <w:shd w:val="solid" w:color="000000" w:fill="000000"/>
                <w:fitText w:val="50" w:id="-961835263"/>
                <w14:textFill>
                  <w14:solidFill>
                    <w14:srgbClr w14:val="000000">
                      <w14:alpha w14:val="100000"/>
                    </w14:srgbClr>
                  </w14:solidFill>
                </w14:textFill>
              </w:rPr>
              <w:t>|</w:t>
            </w:r>
            <w:r w:rsidRPr="00924D5E">
              <w:rPr>
                <w:rFonts w:hint="eastAsia"/>
                <w:bCs/>
                <w:color w:val="000000"/>
                <w:spacing w:val="-15"/>
                <w:w w:val="15"/>
                <w:shd w:val="solid" w:color="000000" w:fill="000000"/>
                <w:fitText w:val="50" w:id="-961835263"/>
                <w14:textFill>
                  <w14:solidFill>
                    <w14:srgbClr w14:val="000000">
                      <w14:alpha w14:val="100000"/>
                    </w14:srgbClr>
                  </w14:solidFill>
                </w14:textFill>
              </w:rPr>
              <w:t xml:space="preserve">　</w:t>
            </w:r>
            <w:r w:rsidR="006B7B61" w:rsidRPr="00233CFE">
              <w:rPr>
                <w:vertAlign w:val="superscript"/>
              </w:rPr>
              <w:t>1</w:t>
            </w:r>
          </w:p>
        </w:tc>
        <w:tc>
          <w:tcPr>
            <w:tcW w:w="692" w:type="pct"/>
            <w:vAlign w:val="center"/>
          </w:tcPr>
          <w:p w14:paraId="18A783C3" w14:textId="2625FBFF" w:rsidR="0080448C" w:rsidRPr="00D221AB" w:rsidRDefault="00924D5E" w:rsidP="00D221AB">
            <w:pPr>
              <w:pStyle w:val="PBACTableText"/>
              <w:keepNext/>
              <w:keepLines/>
              <w:spacing w:before="0" w:after="0"/>
              <w:jc w:val="center"/>
              <w:rPr>
                <w:b/>
                <w:bCs/>
                <w:highlight w:val="lightGray"/>
              </w:rPr>
            </w:pPr>
            <w:r w:rsidRPr="00924D5E">
              <w:rPr>
                <w:bCs/>
                <w:color w:val="000000"/>
                <w:shd w:val="solid" w:color="000000" w:fill="000000"/>
                <w14:textFill>
                  <w14:solidFill>
                    <w14:srgbClr w14:val="000000">
                      <w14:alpha w14:val="100000"/>
                    </w14:srgbClr>
                  </w14:solidFill>
                </w14:textFill>
              </w:rPr>
              <w:t>|</w:t>
            </w:r>
            <w:r w:rsidR="006B7B61" w:rsidRPr="00233CFE">
              <w:rPr>
                <w:vertAlign w:val="superscript"/>
              </w:rPr>
              <w:t>1</w:t>
            </w:r>
          </w:p>
        </w:tc>
        <w:tc>
          <w:tcPr>
            <w:tcW w:w="707" w:type="pct"/>
            <w:vAlign w:val="center"/>
          </w:tcPr>
          <w:p w14:paraId="6D769A77" w14:textId="644F37C8" w:rsidR="0080448C" w:rsidRPr="00D221AB" w:rsidRDefault="00924D5E" w:rsidP="00D221AB">
            <w:pPr>
              <w:pStyle w:val="PBACTableText"/>
              <w:keepNext/>
              <w:keepLines/>
              <w:spacing w:before="0" w:after="0"/>
              <w:jc w:val="center"/>
              <w:rPr>
                <w:b/>
                <w:bCs/>
                <w:highlight w:val="lightGray"/>
              </w:rPr>
            </w:pPr>
            <w:r w:rsidRPr="00924D5E">
              <w:rPr>
                <w:bCs/>
                <w:color w:val="000000"/>
                <w:shd w:val="solid" w:color="000000" w:fill="000000"/>
                <w14:textFill>
                  <w14:solidFill>
                    <w14:srgbClr w14:val="000000">
                      <w14:alpha w14:val="100000"/>
                    </w14:srgbClr>
                  </w14:solidFill>
                </w14:textFill>
              </w:rPr>
              <w:t>|</w:t>
            </w:r>
            <w:r w:rsidR="006B7B61" w:rsidRPr="00233CFE">
              <w:rPr>
                <w:vertAlign w:val="superscript"/>
              </w:rPr>
              <w:t>1</w:t>
            </w:r>
          </w:p>
        </w:tc>
        <w:tc>
          <w:tcPr>
            <w:tcW w:w="677" w:type="pct"/>
            <w:vAlign w:val="center"/>
          </w:tcPr>
          <w:p w14:paraId="7A10C422" w14:textId="7324813F" w:rsidR="0080448C" w:rsidRPr="00D221AB" w:rsidRDefault="00924D5E" w:rsidP="00D221AB">
            <w:pPr>
              <w:pStyle w:val="PBACTableText"/>
              <w:keepNext/>
              <w:keepLines/>
              <w:spacing w:before="0" w:after="0"/>
              <w:jc w:val="center"/>
              <w:rPr>
                <w:b/>
                <w:bCs/>
                <w:highlight w:val="lightGray"/>
              </w:rPr>
            </w:pPr>
            <w:r w:rsidRPr="006E162D">
              <w:rPr>
                <w:rFonts w:hint="eastAsia"/>
                <w:bCs/>
                <w:color w:val="000000"/>
                <w:w w:val="15"/>
                <w:shd w:val="solid" w:color="000000" w:fill="000000"/>
                <w:fitText w:val="25" w:id="-961835262"/>
                <w14:textFill>
                  <w14:solidFill>
                    <w14:srgbClr w14:val="000000">
                      <w14:alpha w14:val="100000"/>
                    </w14:srgbClr>
                  </w14:solidFill>
                </w14:textFill>
              </w:rPr>
              <w:t xml:space="preserve">　</w:t>
            </w:r>
            <w:r w:rsidRPr="006E162D">
              <w:rPr>
                <w:bCs/>
                <w:color w:val="000000"/>
                <w:w w:val="15"/>
                <w:shd w:val="solid" w:color="000000" w:fill="000000"/>
                <w:fitText w:val="25" w:id="-961835262"/>
                <w14:textFill>
                  <w14:solidFill>
                    <w14:srgbClr w14:val="000000">
                      <w14:alpha w14:val="100000"/>
                    </w14:srgbClr>
                  </w14:solidFill>
                </w14:textFill>
              </w:rPr>
              <w:t>|</w:t>
            </w:r>
            <w:r w:rsidRPr="006E162D">
              <w:rPr>
                <w:rFonts w:hint="eastAsia"/>
                <w:bCs/>
                <w:color w:val="000000"/>
                <w:spacing w:val="-41"/>
                <w:w w:val="15"/>
                <w:shd w:val="solid" w:color="000000" w:fill="000000"/>
                <w:fitText w:val="25" w:id="-961835262"/>
                <w14:textFill>
                  <w14:solidFill>
                    <w14:srgbClr w14:val="000000">
                      <w14:alpha w14:val="100000"/>
                    </w14:srgbClr>
                  </w14:solidFill>
                </w14:textFill>
              </w:rPr>
              <w:t xml:space="preserve">　</w:t>
            </w:r>
            <w:r w:rsidR="006B7B61" w:rsidRPr="00233CFE">
              <w:rPr>
                <w:vertAlign w:val="superscript"/>
              </w:rPr>
              <w:t>1</w:t>
            </w:r>
          </w:p>
        </w:tc>
      </w:tr>
      <w:tr w:rsidR="0080448C" w:rsidRPr="00CD4FAB" w14:paraId="4F7BABC7" w14:textId="77777777" w:rsidTr="006E162D">
        <w:tc>
          <w:tcPr>
            <w:tcW w:w="1004" w:type="pct"/>
          </w:tcPr>
          <w:p w14:paraId="12F7C2C9" w14:textId="77777777" w:rsidR="0080448C" w:rsidRPr="00233CFE" w:rsidRDefault="0080448C" w:rsidP="00D221AB">
            <w:pPr>
              <w:pStyle w:val="PBACTableText"/>
              <w:keepNext/>
              <w:keepLines/>
              <w:spacing w:before="0" w:after="0"/>
            </w:pPr>
            <w:r w:rsidRPr="00233CFE">
              <w:t>Number of scripts</w:t>
            </w:r>
          </w:p>
        </w:tc>
        <w:tc>
          <w:tcPr>
            <w:tcW w:w="649" w:type="pct"/>
            <w:vAlign w:val="center"/>
          </w:tcPr>
          <w:p w14:paraId="45F859AF" w14:textId="2A488BFC"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50" w:id="-961835261"/>
                <w14:textFill>
                  <w14:solidFill>
                    <w14:srgbClr w14:val="000000">
                      <w14:alpha w14:val="100000"/>
                    </w14:srgbClr>
                  </w14:solidFill>
                </w14:textFill>
              </w:rPr>
              <w:t xml:space="preserve">　</w:t>
            </w:r>
            <w:r w:rsidRPr="00924D5E">
              <w:rPr>
                <w:bCs/>
                <w:color w:val="000000"/>
                <w:w w:val="15"/>
                <w:shd w:val="solid" w:color="000000" w:fill="000000"/>
                <w:fitText w:val="50" w:id="-961835261"/>
                <w14:textFill>
                  <w14:solidFill>
                    <w14:srgbClr w14:val="000000">
                      <w14:alpha w14:val="100000"/>
                    </w14:srgbClr>
                  </w14:solidFill>
                </w14:textFill>
              </w:rPr>
              <w:t>|</w:t>
            </w:r>
            <w:r w:rsidRPr="00924D5E">
              <w:rPr>
                <w:rFonts w:hint="eastAsia"/>
                <w:bCs/>
                <w:color w:val="000000"/>
                <w:spacing w:val="-15"/>
                <w:w w:val="15"/>
                <w:shd w:val="solid" w:color="000000" w:fill="000000"/>
                <w:fitText w:val="50" w:id="-961835261"/>
                <w14:textFill>
                  <w14:solidFill>
                    <w14:srgbClr w14:val="000000">
                      <w14:alpha w14:val="100000"/>
                    </w14:srgbClr>
                  </w14:solidFill>
                </w14:textFill>
              </w:rPr>
              <w:t xml:space="preserve">　</w:t>
            </w:r>
            <w:r w:rsidR="006B7B61" w:rsidRPr="00233CFE">
              <w:rPr>
                <w:vertAlign w:val="superscript"/>
              </w:rPr>
              <w:t>1</w:t>
            </w:r>
          </w:p>
        </w:tc>
        <w:tc>
          <w:tcPr>
            <w:tcW w:w="628" w:type="pct"/>
            <w:vAlign w:val="center"/>
          </w:tcPr>
          <w:p w14:paraId="63955F0C" w14:textId="12FAE23A"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63" w:id="-961835260"/>
                <w14:textFill>
                  <w14:solidFill>
                    <w14:srgbClr w14:val="000000">
                      <w14:alpha w14:val="100000"/>
                    </w14:srgbClr>
                  </w14:solidFill>
                </w14:textFill>
              </w:rPr>
              <w:t xml:space="preserve">　</w:t>
            </w:r>
            <w:r w:rsidRPr="00924D5E">
              <w:rPr>
                <w:bCs/>
                <w:color w:val="000000"/>
                <w:w w:val="15"/>
                <w:shd w:val="solid" w:color="000000" w:fill="000000"/>
                <w:fitText w:val="63" w:id="-961835260"/>
                <w14:textFill>
                  <w14:solidFill>
                    <w14:srgbClr w14:val="000000">
                      <w14:alpha w14:val="100000"/>
                    </w14:srgbClr>
                  </w14:solidFill>
                </w14:textFill>
              </w:rPr>
              <w:t>|</w:t>
            </w:r>
            <w:r w:rsidRPr="00924D5E">
              <w:rPr>
                <w:rFonts w:hint="eastAsia"/>
                <w:bCs/>
                <w:color w:val="000000"/>
                <w:spacing w:val="-2"/>
                <w:w w:val="15"/>
                <w:shd w:val="solid" w:color="000000" w:fill="000000"/>
                <w:fitText w:val="63" w:id="-961835260"/>
                <w14:textFill>
                  <w14:solidFill>
                    <w14:srgbClr w14:val="000000">
                      <w14:alpha w14:val="100000"/>
                    </w14:srgbClr>
                  </w14:solidFill>
                </w14:textFill>
              </w:rPr>
              <w:t xml:space="preserve">　</w:t>
            </w:r>
            <w:r w:rsidR="006B7B61" w:rsidRPr="00233CFE">
              <w:rPr>
                <w:vertAlign w:val="superscript"/>
              </w:rPr>
              <w:t>1</w:t>
            </w:r>
          </w:p>
        </w:tc>
        <w:tc>
          <w:tcPr>
            <w:tcW w:w="643" w:type="pct"/>
            <w:vAlign w:val="center"/>
          </w:tcPr>
          <w:p w14:paraId="746C2C58" w14:textId="7CDDC86F"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50" w:id="-961835259"/>
                <w14:textFill>
                  <w14:solidFill>
                    <w14:srgbClr w14:val="000000">
                      <w14:alpha w14:val="100000"/>
                    </w14:srgbClr>
                  </w14:solidFill>
                </w14:textFill>
              </w:rPr>
              <w:t xml:space="preserve">　</w:t>
            </w:r>
            <w:r w:rsidRPr="00924D5E">
              <w:rPr>
                <w:bCs/>
                <w:color w:val="000000"/>
                <w:w w:val="15"/>
                <w:shd w:val="solid" w:color="000000" w:fill="000000"/>
                <w:fitText w:val="50" w:id="-961835259"/>
                <w14:textFill>
                  <w14:solidFill>
                    <w14:srgbClr w14:val="000000">
                      <w14:alpha w14:val="100000"/>
                    </w14:srgbClr>
                  </w14:solidFill>
                </w14:textFill>
              </w:rPr>
              <w:t>|</w:t>
            </w:r>
            <w:r w:rsidRPr="00924D5E">
              <w:rPr>
                <w:rFonts w:hint="eastAsia"/>
                <w:bCs/>
                <w:color w:val="000000"/>
                <w:spacing w:val="-15"/>
                <w:w w:val="15"/>
                <w:shd w:val="solid" w:color="000000" w:fill="000000"/>
                <w:fitText w:val="50" w:id="-961835259"/>
                <w14:textFill>
                  <w14:solidFill>
                    <w14:srgbClr w14:val="000000">
                      <w14:alpha w14:val="100000"/>
                    </w14:srgbClr>
                  </w14:solidFill>
                </w14:textFill>
              </w:rPr>
              <w:t xml:space="preserve">　</w:t>
            </w:r>
            <w:r w:rsidR="006B7B61" w:rsidRPr="00233CFE">
              <w:rPr>
                <w:vertAlign w:val="superscript"/>
              </w:rPr>
              <w:t>1</w:t>
            </w:r>
          </w:p>
        </w:tc>
        <w:tc>
          <w:tcPr>
            <w:tcW w:w="692" w:type="pct"/>
            <w:vAlign w:val="center"/>
          </w:tcPr>
          <w:p w14:paraId="74EE15C4" w14:textId="24EC2CA0" w:rsidR="0080448C" w:rsidRPr="00D221AB" w:rsidRDefault="00924D5E" w:rsidP="00D221AB">
            <w:pPr>
              <w:pStyle w:val="PBACTableText"/>
              <w:keepNext/>
              <w:keepLines/>
              <w:spacing w:before="0" w:after="0"/>
              <w:jc w:val="center"/>
              <w:rPr>
                <w:b/>
                <w:bCs/>
                <w:highlight w:val="lightGray"/>
              </w:rPr>
            </w:pPr>
            <w:r w:rsidRPr="00924D5E">
              <w:rPr>
                <w:bCs/>
                <w:color w:val="000000"/>
                <w:shd w:val="solid" w:color="000000" w:fill="000000"/>
                <w14:textFill>
                  <w14:solidFill>
                    <w14:srgbClr w14:val="000000">
                      <w14:alpha w14:val="100000"/>
                    </w14:srgbClr>
                  </w14:solidFill>
                </w14:textFill>
              </w:rPr>
              <w:t>|</w:t>
            </w:r>
            <w:r w:rsidR="006B7B61" w:rsidRPr="00233CFE">
              <w:rPr>
                <w:vertAlign w:val="superscript"/>
              </w:rPr>
              <w:t>1</w:t>
            </w:r>
          </w:p>
        </w:tc>
        <w:tc>
          <w:tcPr>
            <w:tcW w:w="707" w:type="pct"/>
            <w:vAlign w:val="center"/>
          </w:tcPr>
          <w:p w14:paraId="6CC5EC52" w14:textId="38D8B630" w:rsidR="0080448C" w:rsidRPr="00D221AB" w:rsidRDefault="00924D5E" w:rsidP="00D221AB">
            <w:pPr>
              <w:pStyle w:val="PBACTableText"/>
              <w:keepNext/>
              <w:keepLines/>
              <w:spacing w:before="0" w:after="0"/>
              <w:jc w:val="center"/>
              <w:rPr>
                <w:b/>
                <w:bCs/>
                <w:highlight w:val="lightGray"/>
              </w:rPr>
            </w:pPr>
            <w:r w:rsidRPr="00924D5E">
              <w:rPr>
                <w:bCs/>
                <w:color w:val="000000"/>
                <w:shd w:val="solid" w:color="000000" w:fill="000000"/>
                <w14:textFill>
                  <w14:solidFill>
                    <w14:srgbClr w14:val="000000">
                      <w14:alpha w14:val="100000"/>
                    </w14:srgbClr>
                  </w14:solidFill>
                </w14:textFill>
              </w:rPr>
              <w:t>|</w:t>
            </w:r>
            <w:r w:rsidR="006B7B61" w:rsidRPr="00233CFE">
              <w:rPr>
                <w:vertAlign w:val="superscript"/>
              </w:rPr>
              <w:t>2</w:t>
            </w:r>
          </w:p>
        </w:tc>
        <w:tc>
          <w:tcPr>
            <w:tcW w:w="677" w:type="pct"/>
            <w:vAlign w:val="center"/>
          </w:tcPr>
          <w:p w14:paraId="00080A31" w14:textId="41F2B531" w:rsidR="0080448C" w:rsidRPr="00D221AB" w:rsidRDefault="00924D5E" w:rsidP="00D221AB">
            <w:pPr>
              <w:pStyle w:val="PBACTableText"/>
              <w:keepNext/>
              <w:keepLines/>
              <w:spacing w:before="0" w:after="0"/>
              <w:jc w:val="center"/>
              <w:rPr>
                <w:b/>
                <w:bCs/>
                <w:highlight w:val="lightGray"/>
              </w:rPr>
            </w:pPr>
            <w:r w:rsidRPr="006E162D">
              <w:rPr>
                <w:rFonts w:hint="eastAsia"/>
                <w:bCs/>
                <w:color w:val="000000"/>
                <w:w w:val="15"/>
                <w:shd w:val="solid" w:color="000000" w:fill="000000"/>
                <w:fitText w:val="25" w:id="-961835258"/>
                <w14:textFill>
                  <w14:solidFill>
                    <w14:srgbClr w14:val="000000">
                      <w14:alpha w14:val="100000"/>
                    </w14:srgbClr>
                  </w14:solidFill>
                </w14:textFill>
              </w:rPr>
              <w:t xml:space="preserve">　</w:t>
            </w:r>
            <w:r w:rsidRPr="006E162D">
              <w:rPr>
                <w:bCs/>
                <w:color w:val="000000"/>
                <w:w w:val="15"/>
                <w:shd w:val="solid" w:color="000000" w:fill="000000"/>
                <w:fitText w:val="25" w:id="-961835258"/>
                <w14:textFill>
                  <w14:solidFill>
                    <w14:srgbClr w14:val="000000">
                      <w14:alpha w14:val="100000"/>
                    </w14:srgbClr>
                  </w14:solidFill>
                </w14:textFill>
              </w:rPr>
              <w:t>|</w:t>
            </w:r>
            <w:r w:rsidRPr="006E162D">
              <w:rPr>
                <w:rFonts w:hint="eastAsia"/>
                <w:bCs/>
                <w:color w:val="000000"/>
                <w:spacing w:val="-41"/>
                <w:w w:val="15"/>
                <w:shd w:val="solid" w:color="000000" w:fill="000000"/>
                <w:fitText w:val="25" w:id="-961835258"/>
                <w14:textFill>
                  <w14:solidFill>
                    <w14:srgbClr w14:val="000000">
                      <w14:alpha w14:val="100000"/>
                    </w14:srgbClr>
                  </w14:solidFill>
                </w14:textFill>
              </w:rPr>
              <w:t xml:space="preserve">　</w:t>
            </w:r>
            <w:r w:rsidR="006B7B61" w:rsidRPr="00233CFE">
              <w:rPr>
                <w:vertAlign w:val="superscript"/>
              </w:rPr>
              <w:t>2</w:t>
            </w:r>
          </w:p>
        </w:tc>
      </w:tr>
      <w:tr w:rsidR="0080448C" w:rsidRPr="00CD4FAB" w14:paraId="35344E3B" w14:textId="77777777" w:rsidTr="006E162D">
        <w:tc>
          <w:tcPr>
            <w:tcW w:w="1004" w:type="pct"/>
          </w:tcPr>
          <w:p w14:paraId="5679D10D" w14:textId="77777777" w:rsidR="0080448C" w:rsidRPr="00233CFE" w:rsidRDefault="0080448C" w:rsidP="00D221AB">
            <w:pPr>
              <w:pStyle w:val="PBACTableText"/>
              <w:keepNext/>
              <w:keepLines/>
              <w:spacing w:before="0" w:after="0"/>
            </w:pPr>
            <w:r w:rsidRPr="00233CFE">
              <w:t xml:space="preserve">Net cost </w:t>
            </w:r>
          </w:p>
        </w:tc>
        <w:tc>
          <w:tcPr>
            <w:tcW w:w="649" w:type="pct"/>
            <w:vAlign w:val="center"/>
          </w:tcPr>
          <w:p w14:paraId="1A55CC72" w14:textId="73F11D26" w:rsidR="0080448C" w:rsidRPr="00D221AB" w:rsidRDefault="00924D5E" w:rsidP="00D221AB">
            <w:pPr>
              <w:pStyle w:val="PBACTableText"/>
              <w:keepNext/>
              <w:keepLines/>
              <w:spacing w:before="0" w:after="0"/>
              <w:jc w:val="center"/>
              <w:rPr>
                <w:highlight w:val="lightGray"/>
              </w:rPr>
            </w:pPr>
            <w:r w:rsidRPr="00924D5E">
              <w:rPr>
                <w:rFonts w:hint="eastAsia"/>
                <w:color w:val="000000"/>
                <w:w w:val="15"/>
                <w:shd w:val="solid" w:color="000000" w:fill="000000"/>
                <w:fitText w:val="50" w:id="-961835257"/>
                <w14:textFill>
                  <w14:solidFill>
                    <w14:srgbClr w14:val="000000">
                      <w14:alpha w14:val="100000"/>
                    </w14:srgbClr>
                  </w14:solidFill>
                </w14:textFill>
              </w:rPr>
              <w:t xml:space="preserve">　</w:t>
            </w:r>
            <w:r w:rsidRPr="00924D5E">
              <w:rPr>
                <w:color w:val="000000"/>
                <w:w w:val="15"/>
                <w:shd w:val="solid" w:color="000000" w:fill="000000"/>
                <w:fitText w:val="50" w:id="-961835257"/>
                <w14:textFill>
                  <w14:solidFill>
                    <w14:srgbClr w14:val="000000">
                      <w14:alpha w14:val="100000"/>
                    </w14:srgbClr>
                  </w14:solidFill>
                </w14:textFill>
              </w:rPr>
              <w:t>|</w:t>
            </w:r>
            <w:r w:rsidRPr="00924D5E">
              <w:rPr>
                <w:rFonts w:hint="eastAsia"/>
                <w:color w:val="000000"/>
                <w:spacing w:val="-15"/>
                <w:w w:val="15"/>
                <w:shd w:val="solid" w:color="000000" w:fill="000000"/>
                <w:fitText w:val="50" w:id="-961835257"/>
                <w14:textFill>
                  <w14:solidFill>
                    <w14:srgbClr w14:val="000000">
                      <w14:alpha w14:val="100000"/>
                    </w14:srgbClr>
                  </w14:solidFill>
                </w14:textFill>
              </w:rPr>
              <w:t xml:space="preserve">　</w:t>
            </w:r>
            <w:r w:rsidR="006B7B61" w:rsidRPr="00233CFE">
              <w:rPr>
                <w:vertAlign w:val="superscript"/>
              </w:rPr>
              <w:t>3</w:t>
            </w:r>
          </w:p>
        </w:tc>
        <w:tc>
          <w:tcPr>
            <w:tcW w:w="628" w:type="pct"/>
            <w:vAlign w:val="center"/>
          </w:tcPr>
          <w:p w14:paraId="6890FA64" w14:textId="345699DA" w:rsidR="0080448C" w:rsidRPr="00D221AB" w:rsidRDefault="00924D5E" w:rsidP="00D221AB">
            <w:pPr>
              <w:pStyle w:val="PBACTableText"/>
              <w:keepNext/>
              <w:keepLines/>
              <w:spacing w:before="0" w:after="0"/>
              <w:jc w:val="center"/>
              <w:rPr>
                <w:highlight w:val="lightGray"/>
              </w:rPr>
            </w:pPr>
            <w:r w:rsidRPr="00924D5E">
              <w:rPr>
                <w:rFonts w:hint="eastAsia"/>
                <w:color w:val="000000"/>
                <w:w w:val="15"/>
                <w:shd w:val="solid" w:color="000000" w:fill="000000"/>
                <w:fitText w:val="63" w:id="-961835256"/>
                <w14:textFill>
                  <w14:solidFill>
                    <w14:srgbClr w14:val="000000">
                      <w14:alpha w14:val="100000"/>
                    </w14:srgbClr>
                  </w14:solidFill>
                </w14:textFill>
              </w:rPr>
              <w:t xml:space="preserve">　</w:t>
            </w:r>
            <w:r w:rsidRPr="00924D5E">
              <w:rPr>
                <w:color w:val="000000"/>
                <w:w w:val="15"/>
                <w:shd w:val="solid" w:color="000000" w:fill="000000"/>
                <w:fitText w:val="63" w:id="-961835256"/>
                <w14:textFill>
                  <w14:solidFill>
                    <w14:srgbClr w14:val="000000">
                      <w14:alpha w14:val="100000"/>
                    </w14:srgbClr>
                  </w14:solidFill>
                </w14:textFill>
              </w:rPr>
              <w:t>|</w:t>
            </w:r>
            <w:r w:rsidRPr="00924D5E">
              <w:rPr>
                <w:rFonts w:hint="eastAsia"/>
                <w:color w:val="000000"/>
                <w:spacing w:val="-2"/>
                <w:w w:val="15"/>
                <w:shd w:val="solid" w:color="000000" w:fill="000000"/>
                <w:fitText w:val="63" w:id="-961835256"/>
                <w14:textFill>
                  <w14:solidFill>
                    <w14:srgbClr w14:val="000000">
                      <w14:alpha w14:val="100000"/>
                    </w14:srgbClr>
                  </w14:solidFill>
                </w14:textFill>
              </w:rPr>
              <w:t xml:space="preserve">　</w:t>
            </w:r>
            <w:r w:rsidR="006B7B61" w:rsidRPr="00233CFE">
              <w:rPr>
                <w:vertAlign w:val="superscript"/>
              </w:rPr>
              <w:t>3</w:t>
            </w:r>
          </w:p>
        </w:tc>
        <w:tc>
          <w:tcPr>
            <w:tcW w:w="643" w:type="pct"/>
            <w:vAlign w:val="center"/>
          </w:tcPr>
          <w:p w14:paraId="1CE2CB63" w14:textId="53D79940" w:rsidR="0080448C" w:rsidRPr="00D221AB" w:rsidRDefault="00924D5E" w:rsidP="00D221AB">
            <w:pPr>
              <w:pStyle w:val="PBACTableText"/>
              <w:keepNext/>
              <w:keepLines/>
              <w:spacing w:before="0" w:after="0"/>
              <w:jc w:val="center"/>
              <w:rPr>
                <w:highlight w:val="lightGray"/>
              </w:rPr>
            </w:pPr>
            <w:r w:rsidRPr="00924D5E">
              <w:rPr>
                <w:rFonts w:hint="eastAsia"/>
                <w:color w:val="000000"/>
                <w:w w:val="15"/>
                <w:shd w:val="solid" w:color="000000" w:fill="000000"/>
                <w:fitText w:val="50" w:id="-961835255"/>
                <w14:textFill>
                  <w14:solidFill>
                    <w14:srgbClr w14:val="000000">
                      <w14:alpha w14:val="100000"/>
                    </w14:srgbClr>
                  </w14:solidFill>
                </w14:textFill>
              </w:rPr>
              <w:t xml:space="preserve">　</w:t>
            </w:r>
            <w:r w:rsidRPr="00924D5E">
              <w:rPr>
                <w:color w:val="000000"/>
                <w:w w:val="15"/>
                <w:shd w:val="solid" w:color="000000" w:fill="000000"/>
                <w:fitText w:val="50" w:id="-961835255"/>
                <w14:textFill>
                  <w14:solidFill>
                    <w14:srgbClr w14:val="000000">
                      <w14:alpha w14:val="100000"/>
                    </w14:srgbClr>
                  </w14:solidFill>
                </w14:textFill>
              </w:rPr>
              <w:t>|</w:t>
            </w:r>
            <w:r w:rsidRPr="00924D5E">
              <w:rPr>
                <w:rFonts w:hint="eastAsia"/>
                <w:color w:val="000000"/>
                <w:spacing w:val="-15"/>
                <w:w w:val="15"/>
                <w:shd w:val="solid" w:color="000000" w:fill="000000"/>
                <w:fitText w:val="50" w:id="-961835255"/>
                <w14:textFill>
                  <w14:solidFill>
                    <w14:srgbClr w14:val="000000">
                      <w14:alpha w14:val="100000"/>
                    </w14:srgbClr>
                  </w14:solidFill>
                </w14:textFill>
              </w:rPr>
              <w:t xml:space="preserve">　</w:t>
            </w:r>
            <w:r w:rsidR="006B7B61" w:rsidRPr="00233CFE">
              <w:rPr>
                <w:vertAlign w:val="superscript"/>
              </w:rPr>
              <w:t>3</w:t>
            </w:r>
          </w:p>
        </w:tc>
        <w:tc>
          <w:tcPr>
            <w:tcW w:w="692" w:type="pct"/>
            <w:vAlign w:val="center"/>
          </w:tcPr>
          <w:p w14:paraId="43A14E83" w14:textId="2014730E" w:rsidR="0080448C" w:rsidRPr="00D221AB" w:rsidRDefault="00924D5E" w:rsidP="00D221AB">
            <w:pPr>
              <w:pStyle w:val="PBACTableText"/>
              <w:keepNext/>
              <w:keepLines/>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6B7B61" w:rsidRPr="00233CFE">
              <w:rPr>
                <w:vertAlign w:val="superscript"/>
              </w:rPr>
              <w:t>3</w:t>
            </w:r>
          </w:p>
        </w:tc>
        <w:tc>
          <w:tcPr>
            <w:tcW w:w="707" w:type="pct"/>
            <w:vAlign w:val="center"/>
          </w:tcPr>
          <w:p w14:paraId="1E4DBE40" w14:textId="78CCAA8A" w:rsidR="0080448C" w:rsidRPr="00D221AB" w:rsidRDefault="00924D5E" w:rsidP="00D221AB">
            <w:pPr>
              <w:pStyle w:val="PBACTableText"/>
              <w:keepNext/>
              <w:keepLines/>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6B7B61" w:rsidRPr="00233CFE">
              <w:rPr>
                <w:vertAlign w:val="superscript"/>
              </w:rPr>
              <w:t>3</w:t>
            </w:r>
          </w:p>
        </w:tc>
        <w:tc>
          <w:tcPr>
            <w:tcW w:w="677" w:type="pct"/>
            <w:vAlign w:val="center"/>
          </w:tcPr>
          <w:p w14:paraId="27885BBE" w14:textId="30DFE93B" w:rsidR="0080448C" w:rsidRPr="00D221AB" w:rsidRDefault="00924D5E" w:rsidP="00D221AB">
            <w:pPr>
              <w:pStyle w:val="PBACTableText"/>
              <w:keepNext/>
              <w:keepLines/>
              <w:spacing w:before="0" w:after="0"/>
              <w:jc w:val="center"/>
              <w:rPr>
                <w:highlight w:val="lightGray"/>
              </w:rPr>
            </w:pPr>
            <w:r w:rsidRPr="006E162D">
              <w:rPr>
                <w:rFonts w:hint="eastAsia"/>
                <w:color w:val="000000"/>
                <w:w w:val="15"/>
                <w:shd w:val="solid" w:color="000000" w:fill="000000"/>
                <w:fitText w:val="25" w:id="-961835254"/>
                <w14:textFill>
                  <w14:solidFill>
                    <w14:srgbClr w14:val="000000">
                      <w14:alpha w14:val="100000"/>
                    </w14:srgbClr>
                  </w14:solidFill>
                </w14:textFill>
              </w:rPr>
              <w:t xml:space="preserve">　</w:t>
            </w:r>
            <w:r w:rsidRPr="006E162D">
              <w:rPr>
                <w:color w:val="000000"/>
                <w:w w:val="15"/>
                <w:shd w:val="solid" w:color="000000" w:fill="000000"/>
                <w:fitText w:val="25" w:id="-961835254"/>
                <w14:textFill>
                  <w14:solidFill>
                    <w14:srgbClr w14:val="000000">
                      <w14:alpha w14:val="100000"/>
                    </w14:srgbClr>
                  </w14:solidFill>
                </w14:textFill>
              </w:rPr>
              <w:t>|</w:t>
            </w:r>
            <w:r w:rsidRPr="006E162D">
              <w:rPr>
                <w:rFonts w:hint="eastAsia"/>
                <w:color w:val="000000"/>
                <w:spacing w:val="-41"/>
                <w:w w:val="15"/>
                <w:shd w:val="solid" w:color="000000" w:fill="000000"/>
                <w:fitText w:val="25" w:id="-961835254"/>
                <w14:textFill>
                  <w14:solidFill>
                    <w14:srgbClr w14:val="000000">
                      <w14:alpha w14:val="100000"/>
                    </w14:srgbClr>
                  </w14:solidFill>
                </w14:textFill>
              </w:rPr>
              <w:t xml:space="preserve">　</w:t>
            </w:r>
            <w:r w:rsidR="006B7B61" w:rsidRPr="00233CFE">
              <w:rPr>
                <w:vertAlign w:val="superscript"/>
              </w:rPr>
              <w:t>3</w:t>
            </w:r>
          </w:p>
        </w:tc>
      </w:tr>
      <w:tr w:rsidR="0080448C" w:rsidRPr="00CD4FAB" w14:paraId="739CE995" w14:textId="77777777" w:rsidTr="006E162D">
        <w:tc>
          <w:tcPr>
            <w:tcW w:w="1004" w:type="pct"/>
          </w:tcPr>
          <w:p w14:paraId="32AA0ED7" w14:textId="77777777" w:rsidR="0080448C" w:rsidRPr="00233CFE" w:rsidRDefault="0080448C" w:rsidP="00D221AB">
            <w:pPr>
              <w:pStyle w:val="PBACTableText"/>
              <w:keepNext/>
              <w:keepLines/>
              <w:spacing w:before="0" w:after="0"/>
              <w:rPr>
                <w:b/>
                <w:bCs/>
                <w:vertAlign w:val="superscript"/>
              </w:rPr>
            </w:pPr>
            <w:r w:rsidRPr="00233CFE">
              <w:rPr>
                <w:b/>
                <w:bCs/>
              </w:rPr>
              <w:t>Pembrolizumab</w:t>
            </w:r>
            <w:r w:rsidRPr="00233CFE">
              <w:rPr>
                <w:b/>
                <w:bCs/>
                <w:vertAlign w:val="superscript"/>
              </w:rPr>
              <w:t>c</w:t>
            </w:r>
          </w:p>
        </w:tc>
        <w:tc>
          <w:tcPr>
            <w:tcW w:w="649" w:type="pct"/>
            <w:vAlign w:val="center"/>
          </w:tcPr>
          <w:p w14:paraId="41082D0A" w14:textId="77777777" w:rsidR="0080448C" w:rsidRPr="00D221AB" w:rsidRDefault="0080448C" w:rsidP="00D221AB">
            <w:pPr>
              <w:pStyle w:val="PBACTableText"/>
              <w:keepNext/>
              <w:keepLines/>
              <w:spacing w:before="0" w:after="0"/>
              <w:jc w:val="center"/>
              <w:rPr>
                <w:highlight w:val="lightGray"/>
              </w:rPr>
            </w:pPr>
          </w:p>
        </w:tc>
        <w:tc>
          <w:tcPr>
            <w:tcW w:w="628" w:type="pct"/>
            <w:vAlign w:val="center"/>
          </w:tcPr>
          <w:p w14:paraId="71B4B7CA" w14:textId="77777777" w:rsidR="0080448C" w:rsidRPr="00D221AB" w:rsidRDefault="0080448C" w:rsidP="00D221AB">
            <w:pPr>
              <w:pStyle w:val="PBACTableText"/>
              <w:keepNext/>
              <w:keepLines/>
              <w:spacing w:before="0" w:after="0"/>
              <w:jc w:val="center"/>
              <w:rPr>
                <w:highlight w:val="lightGray"/>
              </w:rPr>
            </w:pPr>
          </w:p>
        </w:tc>
        <w:tc>
          <w:tcPr>
            <w:tcW w:w="643" w:type="pct"/>
            <w:vAlign w:val="center"/>
          </w:tcPr>
          <w:p w14:paraId="3CFBB472" w14:textId="77777777" w:rsidR="0080448C" w:rsidRPr="00D221AB" w:rsidRDefault="0080448C" w:rsidP="00D221AB">
            <w:pPr>
              <w:pStyle w:val="PBACTableText"/>
              <w:keepNext/>
              <w:keepLines/>
              <w:spacing w:before="0" w:after="0"/>
              <w:jc w:val="center"/>
              <w:rPr>
                <w:highlight w:val="lightGray"/>
              </w:rPr>
            </w:pPr>
          </w:p>
        </w:tc>
        <w:tc>
          <w:tcPr>
            <w:tcW w:w="692" w:type="pct"/>
            <w:vAlign w:val="center"/>
          </w:tcPr>
          <w:p w14:paraId="1F466131" w14:textId="77777777" w:rsidR="0080448C" w:rsidRPr="00D221AB" w:rsidRDefault="0080448C" w:rsidP="00D221AB">
            <w:pPr>
              <w:pStyle w:val="PBACTableText"/>
              <w:keepNext/>
              <w:keepLines/>
              <w:spacing w:before="0" w:after="0"/>
              <w:jc w:val="center"/>
              <w:rPr>
                <w:highlight w:val="lightGray"/>
              </w:rPr>
            </w:pPr>
          </w:p>
        </w:tc>
        <w:tc>
          <w:tcPr>
            <w:tcW w:w="707" w:type="pct"/>
            <w:vAlign w:val="center"/>
          </w:tcPr>
          <w:p w14:paraId="6A0B5E3A" w14:textId="77777777" w:rsidR="0080448C" w:rsidRPr="00D221AB" w:rsidRDefault="0080448C" w:rsidP="00D221AB">
            <w:pPr>
              <w:pStyle w:val="PBACTableText"/>
              <w:keepNext/>
              <w:keepLines/>
              <w:spacing w:before="0" w:after="0"/>
              <w:jc w:val="center"/>
              <w:rPr>
                <w:highlight w:val="lightGray"/>
              </w:rPr>
            </w:pPr>
          </w:p>
        </w:tc>
        <w:tc>
          <w:tcPr>
            <w:tcW w:w="677" w:type="pct"/>
            <w:vAlign w:val="center"/>
          </w:tcPr>
          <w:p w14:paraId="512AD792" w14:textId="77777777" w:rsidR="0080448C" w:rsidRPr="00D221AB" w:rsidRDefault="0080448C" w:rsidP="00D221AB">
            <w:pPr>
              <w:pStyle w:val="PBACTableText"/>
              <w:keepNext/>
              <w:keepLines/>
              <w:spacing w:before="0" w:after="0"/>
              <w:jc w:val="center"/>
              <w:rPr>
                <w:highlight w:val="lightGray"/>
              </w:rPr>
            </w:pPr>
          </w:p>
        </w:tc>
      </w:tr>
      <w:tr w:rsidR="0080448C" w:rsidRPr="00CD4FAB" w14:paraId="14E3D3C9" w14:textId="77777777" w:rsidTr="006E162D">
        <w:tc>
          <w:tcPr>
            <w:tcW w:w="1004" w:type="pct"/>
          </w:tcPr>
          <w:p w14:paraId="65B9E865" w14:textId="77777777" w:rsidR="0080448C" w:rsidRPr="00233CFE" w:rsidRDefault="0080448C" w:rsidP="00D221AB">
            <w:pPr>
              <w:pStyle w:val="PBACTableText"/>
              <w:keepNext/>
              <w:keepLines/>
              <w:spacing w:before="0" w:after="0"/>
            </w:pPr>
            <w:r w:rsidRPr="00233CFE">
              <w:t>Number of patients</w:t>
            </w:r>
          </w:p>
        </w:tc>
        <w:tc>
          <w:tcPr>
            <w:tcW w:w="649" w:type="pct"/>
            <w:vAlign w:val="center"/>
          </w:tcPr>
          <w:p w14:paraId="281560DB" w14:textId="558A1D30"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50" w:id="-961835253"/>
                <w14:textFill>
                  <w14:solidFill>
                    <w14:srgbClr w14:val="000000">
                      <w14:alpha w14:val="100000"/>
                    </w14:srgbClr>
                  </w14:solidFill>
                </w14:textFill>
              </w:rPr>
              <w:t xml:space="preserve">　</w:t>
            </w:r>
            <w:r w:rsidRPr="00924D5E">
              <w:rPr>
                <w:bCs/>
                <w:color w:val="000000"/>
                <w:w w:val="15"/>
                <w:shd w:val="solid" w:color="000000" w:fill="000000"/>
                <w:fitText w:val="50" w:id="-961835253"/>
                <w14:textFill>
                  <w14:solidFill>
                    <w14:srgbClr w14:val="000000">
                      <w14:alpha w14:val="100000"/>
                    </w14:srgbClr>
                  </w14:solidFill>
                </w14:textFill>
              </w:rPr>
              <w:t>|</w:t>
            </w:r>
            <w:r w:rsidRPr="00924D5E">
              <w:rPr>
                <w:rFonts w:hint="eastAsia"/>
                <w:bCs/>
                <w:color w:val="000000"/>
                <w:spacing w:val="-15"/>
                <w:w w:val="15"/>
                <w:shd w:val="solid" w:color="000000" w:fill="000000"/>
                <w:fitText w:val="50" w:id="-961835253"/>
                <w14:textFill>
                  <w14:solidFill>
                    <w14:srgbClr w14:val="000000">
                      <w14:alpha w14:val="100000"/>
                    </w14:srgbClr>
                  </w14:solidFill>
                </w14:textFill>
              </w:rPr>
              <w:t xml:space="preserve">　</w:t>
            </w:r>
            <w:r w:rsidR="006B7B61" w:rsidRPr="00233CFE">
              <w:rPr>
                <w:vertAlign w:val="superscript"/>
              </w:rPr>
              <w:t>1</w:t>
            </w:r>
          </w:p>
        </w:tc>
        <w:tc>
          <w:tcPr>
            <w:tcW w:w="628" w:type="pct"/>
            <w:vAlign w:val="center"/>
          </w:tcPr>
          <w:p w14:paraId="57317631" w14:textId="0E238B51"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63" w:id="-961835252"/>
                <w14:textFill>
                  <w14:solidFill>
                    <w14:srgbClr w14:val="000000">
                      <w14:alpha w14:val="100000"/>
                    </w14:srgbClr>
                  </w14:solidFill>
                </w14:textFill>
              </w:rPr>
              <w:t xml:space="preserve">　</w:t>
            </w:r>
            <w:r w:rsidRPr="00924D5E">
              <w:rPr>
                <w:bCs/>
                <w:color w:val="000000"/>
                <w:w w:val="15"/>
                <w:shd w:val="solid" w:color="000000" w:fill="000000"/>
                <w:fitText w:val="63" w:id="-961835252"/>
                <w14:textFill>
                  <w14:solidFill>
                    <w14:srgbClr w14:val="000000">
                      <w14:alpha w14:val="100000"/>
                    </w14:srgbClr>
                  </w14:solidFill>
                </w14:textFill>
              </w:rPr>
              <w:t>|</w:t>
            </w:r>
            <w:r w:rsidRPr="00924D5E">
              <w:rPr>
                <w:rFonts w:hint="eastAsia"/>
                <w:bCs/>
                <w:color w:val="000000"/>
                <w:spacing w:val="-2"/>
                <w:w w:val="15"/>
                <w:shd w:val="solid" w:color="000000" w:fill="000000"/>
                <w:fitText w:val="63" w:id="-961835252"/>
                <w14:textFill>
                  <w14:solidFill>
                    <w14:srgbClr w14:val="000000">
                      <w14:alpha w14:val="100000"/>
                    </w14:srgbClr>
                  </w14:solidFill>
                </w14:textFill>
              </w:rPr>
              <w:t xml:space="preserve">　</w:t>
            </w:r>
            <w:r w:rsidR="006B7B61" w:rsidRPr="00233CFE">
              <w:rPr>
                <w:vertAlign w:val="superscript"/>
              </w:rPr>
              <w:t>1</w:t>
            </w:r>
          </w:p>
        </w:tc>
        <w:tc>
          <w:tcPr>
            <w:tcW w:w="643" w:type="pct"/>
            <w:vAlign w:val="center"/>
          </w:tcPr>
          <w:p w14:paraId="1F901E54" w14:textId="33498EBF"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50" w:id="-961835251"/>
                <w14:textFill>
                  <w14:solidFill>
                    <w14:srgbClr w14:val="000000">
                      <w14:alpha w14:val="100000"/>
                    </w14:srgbClr>
                  </w14:solidFill>
                </w14:textFill>
              </w:rPr>
              <w:t xml:space="preserve">　</w:t>
            </w:r>
            <w:r w:rsidRPr="00924D5E">
              <w:rPr>
                <w:bCs/>
                <w:color w:val="000000"/>
                <w:w w:val="15"/>
                <w:shd w:val="solid" w:color="000000" w:fill="000000"/>
                <w:fitText w:val="50" w:id="-961835251"/>
                <w14:textFill>
                  <w14:solidFill>
                    <w14:srgbClr w14:val="000000">
                      <w14:alpha w14:val="100000"/>
                    </w14:srgbClr>
                  </w14:solidFill>
                </w14:textFill>
              </w:rPr>
              <w:t>|</w:t>
            </w:r>
            <w:r w:rsidRPr="00924D5E">
              <w:rPr>
                <w:rFonts w:hint="eastAsia"/>
                <w:bCs/>
                <w:color w:val="000000"/>
                <w:spacing w:val="-15"/>
                <w:w w:val="15"/>
                <w:shd w:val="solid" w:color="000000" w:fill="000000"/>
                <w:fitText w:val="50" w:id="-961835251"/>
                <w14:textFill>
                  <w14:solidFill>
                    <w14:srgbClr w14:val="000000">
                      <w14:alpha w14:val="100000"/>
                    </w14:srgbClr>
                  </w14:solidFill>
                </w14:textFill>
              </w:rPr>
              <w:t xml:space="preserve">　</w:t>
            </w:r>
            <w:r w:rsidR="006B7B61" w:rsidRPr="00233CFE">
              <w:rPr>
                <w:vertAlign w:val="superscript"/>
              </w:rPr>
              <w:t>1</w:t>
            </w:r>
          </w:p>
        </w:tc>
        <w:tc>
          <w:tcPr>
            <w:tcW w:w="692" w:type="pct"/>
            <w:vAlign w:val="center"/>
          </w:tcPr>
          <w:p w14:paraId="76E83EE6" w14:textId="639A76FF" w:rsidR="0080448C" w:rsidRPr="00D221AB" w:rsidRDefault="00924D5E" w:rsidP="00D221AB">
            <w:pPr>
              <w:pStyle w:val="PBACTableText"/>
              <w:keepNext/>
              <w:keepLines/>
              <w:spacing w:before="0" w:after="0"/>
              <w:jc w:val="center"/>
              <w:rPr>
                <w:b/>
                <w:bCs/>
                <w:highlight w:val="lightGray"/>
              </w:rPr>
            </w:pPr>
            <w:r w:rsidRPr="00924D5E">
              <w:rPr>
                <w:bCs/>
                <w:color w:val="000000"/>
                <w:shd w:val="solid" w:color="000000" w:fill="000000"/>
                <w14:textFill>
                  <w14:solidFill>
                    <w14:srgbClr w14:val="000000">
                      <w14:alpha w14:val="100000"/>
                    </w14:srgbClr>
                  </w14:solidFill>
                </w14:textFill>
              </w:rPr>
              <w:t>|</w:t>
            </w:r>
            <w:r w:rsidR="006B7B61" w:rsidRPr="00233CFE">
              <w:rPr>
                <w:vertAlign w:val="superscript"/>
              </w:rPr>
              <w:t>1</w:t>
            </w:r>
          </w:p>
        </w:tc>
        <w:tc>
          <w:tcPr>
            <w:tcW w:w="707" w:type="pct"/>
            <w:vAlign w:val="center"/>
          </w:tcPr>
          <w:p w14:paraId="46C1FB36" w14:textId="27CE3C44" w:rsidR="0080448C" w:rsidRPr="00D221AB" w:rsidRDefault="00924D5E" w:rsidP="00D221AB">
            <w:pPr>
              <w:pStyle w:val="PBACTableText"/>
              <w:keepNext/>
              <w:keepLines/>
              <w:spacing w:before="0" w:after="0"/>
              <w:jc w:val="center"/>
              <w:rPr>
                <w:b/>
                <w:bCs/>
                <w:highlight w:val="lightGray"/>
              </w:rPr>
            </w:pPr>
            <w:r w:rsidRPr="00924D5E">
              <w:rPr>
                <w:bCs/>
                <w:color w:val="000000"/>
                <w:shd w:val="solid" w:color="000000" w:fill="000000"/>
                <w14:textFill>
                  <w14:solidFill>
                    <w14:srgbClr w14:val="000000">
                      <w14:alpha w14:val="100000"/>
                    </w14:srgbClr>
                  </w14:solidFill>
                </w14:textFill>
              </w:rPr>
              <w:t>|</w:t>
            </w:r>
            <w:r w:rsidR="006B7B61" w:rsidRPr="00233CFE">
              <w:rPr>
                <w:vertAlign w:val="superscript"/>
              </w:rPr>
              <w:t>1</w:t>
            </w:r>
          </w:p>
        </w:tc>
        <w:tc>
          <w:tcPr>
            <w:tcW w:w="677" w:type="pct"/>
            <w:vAlign w:val="center"/>
          </w:tcPr>
          <w:p w14:paraId="1ACF119F" w14:textId="4CC91F7F" w:rsidR="0080448C" w:rsidRPr="00D221AB" w:rsidRDefault="00924D5E" w:rsidP="00D221AB">
            <w:pPr>
              <w:pStyle w:val="PBACTableText"/>
              <w:keepNext/>
              <w:keepLines/>
              <w:spacing w:before="0" w:after="0"/>
              <w:jc w:val="center"/>
              <w:rPr>
                <w:b/>
                <w:bCs/>
                <w:highlight w:val="lightGray"/>
              </w:rPr>
            </w:pPr>
            <w:r w:rsidRPr="006E162D">
              <w:rPr>
                <w:rFonts w:hint="eastAsia"/>
                <w:bCs/>
                <w:color w:val="000000"/>
                <w:w w:val="15"/>
                <w:shd w:val="solid" w:color="000000" w:fill="000000"/>
                <w:fitText w:val="25" w:id="-961835250"/>
                <w14:textFill>
                  <w14:solidFill>
                    <w14:srgbClr w14:val="000000">
                      <w14:alpha w14:val="100000"/>
                    </w14:srgbClr>
                  </w14:solidFill>
                </w14:textFill>
              </w:rPr>
              <w:t xml:space="preserve">　</w:t>
            </w:r>
            <w:r w:rsidRPr="006E162D">
              <w:rPr>
                <w:bCs/>
                <w:color w:val="000000"/>
                <w:w w:val="15"/>
                <w:shd w:val="solid" w:color="000000" w:fill="000000"/>
                <w:fitText w:val="25" w:id="-961835250"/>
                <w14:textFill>
                  <w14:solidFill>
                    <w14:srgbClr w14:val="000000">
                      <w14:alpha w14:val="100000"/>
                    </w14:srgbClr>
                  </w14:solidFill>
                </w14:textFill>
              </w:rPr>
              <w:t>|</w:t>
            </w:r>
            <w:r w:rsidRPr="006E162D">
              <w:rPr>
                <w:rFonts w:hint="eastAsia"/>
                <w:bCs/>
                <w:color w:val="000000"/>
                <w:spacing w:val="-41"/>
                <w:w w:val="15"/>
                <w:shd w:val="solid" w:color="000000" w:fill="000000"/>
                <w:fitText w:val="25" w:id="-961835250"/>
                <w14:textFill>
                  <w14:solidFill>
                    <w14:srgbClr w14:val="000000">
                      <w14:alpha w14:val="100000"/>
                    </w14:srgbClr>
                  </w14:solidFill>
                </w14:textFill>
              </w:rPr>
              <w:t xml:space="preserve">　</w:t>
            </w:r>
            <w:r w:rsidR="006B7B61" w:rsidRPr="00233CFE">
              <w:rPr>
                <w:vertAlign w:val="superscript"/>
              </w:rPr>
              <w:t>1</w:t>
            </w:r>
          </w:p>
        </w:tc>
      </w:tr>
      <w:tr w:rsidR="0080448C" w:rsidRPr="00CD4FAB" w14:paraId="447C1628" w14:textId="77777777" w:rsidTr="006E162D">
        <w:tc>
          <w:tcPr>
            <w:tcW w:w="1004" w:type="pct"/>
          </w:tcPr>
          <w:p w14:paraId="03408364" w14:textId="77777777" w:rsidR="0080448C" w:rsidRPr="00233CFE" w:rsidRDefault="0080448C" w:rsidP="00D221AB">
            <w:pPr>
              <w:pStyle w:val="PBACTableText"/>
              <w:keepNext/>
              <w:keepLines/>
              <w:spacing w:before="0" w:after="0"/>
            </w:pPr>
            <w:r w:rsidRPr="00233CFE">
              <w:t>Number of scripts</w:t>
            </w:r>
          </w:p>
        </w:tc>
        <w:tc>
          <w:tcPr>
            <w:tcW w:w="649" w:type="pct"/>
            <w:vAlign w:val="center"/>
          </w:tcPr>
          <w:p w14:paraId="5CFD3DBC" w14:textId="0EE45E76"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50" w:id="-961835249"/>
                <w14:textFill>
                  <w14:solidFill>
                    <w14:srgbClr w14:val="000000">
                      <w14:alpha w14:val="100000"/>
                    </w14:srgbClr>
                  </w14:solidFill>
                </w14:textFill>
              </w:rPr>
              <w:t xml:space="preserve">　</w:t>
            </w:r>
            <w:r w:rsidRPr="00924D5E">
              <w:rPr>
                <w:bCs/>
                <w:color w:val="000000"/>
                <w:w w:val="15"/>
                <w:shd w:val="solid" w:color="000000" w:fill="000000"/>
                <w:fitText w:val="50" w:id="-961835249"/>
                <w14:textFill>
                  <w14:solidFill>
                    <w14:srgbClr w14:val="000000">
                      <w14:alpha w14:val="100000"/>
                    </w14:srgbClr>
                  </w14:solidFill>
                </w14:textFill>
              </w:rPr>
              <w:t>|</w:t>
            </w:r>
            <w:r w:rsidRPr="00924D5E">
              <w:rPr>
                <w:rFonts w:hint="eastAsia"/>
                <w:bCs/>
                <w:color w:val="000000"/>
                <w:spacing w:val="-15"/>
                <w:w w:val="15"/>
                <w:shd w:val="solid" w:color="000000" w:fill="000000"/>
                <w:fitText w:val="50" w:id="-961835249"/>
                <w14:textFill>
                  <w14:solidFill>
                    <w14:srgbClr w14:val="000000">
                      <w14:alpha w14:val="100000"/>
                    </w14:srgbClr>
                  </w14:solidFill>
                </w14:textFill>
              </w:rPr>
              <w:t xml:space="preserve">　</w:t>
            </w:r>
            <w:r w:rsidR="006B7B61" w:rsidRPr="00233CFE">
              <w:rPr>
                <w:vertAlign w:val="superscript"/>
              </w:rPr>
              <w:t>2</w:t>
            </w:r>
          </w:p>
        </w:tc>
        <w:tc>
          <w:tcPr>
            <w:tcW w:w="628" w:type="pct"/>
            <w:vAlign w:val="center"/>
          </w:tcPr>
          <w:p w14:paraId="7A364E28" w14:textId="0E6D39C8"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63" w:id="-961835248"/>
                <w14:textFill>
                  <w14:solidFill>
                    <w14:srgbClr w14:val="000000">
                      <w14:alpha w14:val="100000"/>
                    </w14:srgbClr>
                  </w14:solidFill>
                </w14:textFill>
              </w:rPr>
              <w:t xml:space="preserve">　</w:t>
            </w:r>
            <w:r w:rsidRPr="00924D5E">
              <w:rPr>
                <w:bCs/>
                <w:color w:val="000000"/>
                <w:w w:val="15"/>
                <w:shd w:val="solid" w:color="000000" w:fill="000000"/>
                <w:fitText w:val="63" w:id="-961835248"/>
                <w14:textFill>
                  <w14:solidFill>
                    <w14:srgbClr w14:val="000000">
                      <w14:alpha w14:val="100000"/>
                    </w14:srgbClr>
                  </w14:solidFill>
                </w14:textFill>
              </w:rPr>
              <w:t>|</w:t>
            </w:r>
            <w:r w:rsidRPr="00924D5E">
              <w:rPr>
                <w:rFonts w:hint="eastAsia"/>
                <w:bCs/>
                <w:color w:val="000000"/>
                <w:spacing w:val="-2"/>
                <w:w w:val="15"/>
                <w:shd w:val="solid" w:color="000000" w:fill="000000"/>
                <w:fitText w:val="63" w:id="-961835248"/>
                <w14:textFill>
                  <w14:solidFill>
                    <w14:srgbClr w14:val="000000">
                      <w14:alpha w14:val="100000"/>
                    </w14:srgbClr>
                  </w14:solidFill>
                </w14:textFill>
              </w:rPr>
              <w:t xml:space="preserve">　</w:t>
            </w:r>
            <w:r w:rsidR="006B7B61" w:rsidRPr="00233CFE">
              <w:rPr>
                <w:vertAlign w:val="superscript"/>
              </w:rPr>
              <w:t>2</w:t>
            </w:r>
          </w:p>
        </w:tc>
        <w:tc>
          <w:tcPr>
            <w:tcW w:w="643" w:type="pct"/>
            <w:vAlign w:val="center"/>
          </w:tcPr>
          <w:p w14:paraId="106144DA" w14:textId="7DB0B1F7" w:rsidR="0080448C" w:rsidRPr="00D221AB" w:rsidRDefault="00924D5E" w:rsidP="00D221AB">
            <w:pPr>
              <w:pStyle w:val="PBACTableText"/>
              <w:keepNext/>
              <w:keepLines/>
              <w:spacing w:before="0" w:after="0"/>
              <w:jc w:val="center"/>
              <w:rPr>
                <w:b/>
                <w:bCs/>
                <w:highlight w:val="lightGray"/>
              </w:rPr>
            </w:pPr>
            <w:r w:rsidRPr="00924D5E">
              <w:rPr>
                <w:rFonts w:hint="eastAsia"/>
                <w:bCs/>
                <w:color w:val="000000"/>
                <w:w w:val="15"/>
                <w:shd w:val="solid" w:color="000000" w:fill="000000"/>
                <w:fitText w:val="50" w:id="-961835264"/>
                <w14:textFill>
                  <w14:solidFill>
                    <w14:srgbClr w14:val="000000">
                      <w14:alpha w14:val="100000"/>
                    </w14:srgbClr>
                  </w14:solidFill>
                </w14:textFill>
              </w:rPr>
              <w:t xml:space="preserve">　</w:t>
            </w:r>
            <w:r w:rsidRPr="00924D5E">
              <w:rPr>
                <w:bCs/>
                <w:color w:val="000000"/>
                <w:w w:val="15"/>
                <w:shd w:val="solid" w:color="000000" w:fill="000000"/>
                <w:fitText w:val="50" w:id="-961835264"/>
                <w14:textFill>
                  <w14:solidFill>
                    <w14:srgbClr w14:val="000000">
                      <w14:alpha w14:val="100000"/>
                    </w14:srgbClr>
                  </w14:solidFill>
                </w14:textFill>
              </w:rPr>
              <w:t>|</w:t>
            </w:r>
            <w:r w:rsidRPr="00924D5E">
              <w:rPr>
                <w:rFonts w:hint="eastAsia"/>
                <w:bCs/>
                <w:color w:val="000000"/>
                <w:spacing w:val="-15"/>
                <w:w w:val="15"/>
                <w:shd w:val="solid" w:color="000000" w:fill="000000"/>
                <w:fitText w:val="50" w:id="-961835264"/>
                <w14:textFill>
                  <w14:solidFill>
                    <w14:srgbClr w14:val="000000">
                      <w14:alpha w14:val="100000"/>
                    </w14:srgbClr>
                  </w14:solidFill>
                </w14:textFill>
              </w:rPr>
              <w:t xml:space="preserve">　</w:t>
            </w:r>
            <w:r w:rsidR="006B7B61" w:rsidRPr="00233CFE">
              <w:rPr>
                <w:vertAlign w:val="superscript"/>
              </w:rPr>
              <w:t>2</w:t>
            </w:r>
          </w:p>
        </w:tc>
        <w:tc>
          <w:tcPr>
            <w:tcW w:w="692" w:type="pct"/>
            <w:vAlign w:val="center"/>
          </w:tcPr>
          <w:p w14:paraId="7E9B1D75" w14:textId="294B5FCE" w:rsidR="0080448C" w:rsidRPr="00D221AB" w:rsidRDefault="00924D5E" w:rsidP="00D221AB">
            <w:pPr>
              <w:pStyle w:val="PBACTableText"/>
              <w:keepNext/>
              <w:keepLines/>
              <w:spacing w:before="0" w:after="0"/>
              <w:jc w:val="center"/>
              <w:rPr>
                <w:b/>
                <w:bCs/>
                <w:highlight w:val="lightGray"/>
              </w:rPr>
            </w:pPr>
            <w:r w:rsidRPr="00924D5E">
              <w:rPr>
                <w:bCs/>
                <w:color w:val="000000"/>
                <w:shd w:val="solid" w:color="000000" w:fill="000000"/>
                <w14:textFill>
                  <w14:solidFill>
                    <w14:srgbClr w14:val="000000">
                      <w14:alpha w14:val="100000"/>
                    </w14:srgbClr>
                  </w14:solidFill>
                </w14:textFill>
              </w:rPr>
              <w:t>|</w:t>
            </w:r>
            <w:r w:rsidR="006B7B61" w:rsidRPr="00233CFE">
              <w:rPr>
                <w:vertAlign w:val="superscript"/>
              </w:rPr>
              <w:t>2</w:t>
            </w:r>
          </w:p>
        </w:tc>
        <w:tc>
          <w:tcPr>
            <w:tcW w:w="707" w:type="pct"/>
            <w:vAlign w:val="center"/>
          </w:tcPr>
          <w:p w14:paraId="1FC60F89" w14:textId="6BD17B75" w:rsidR="0080448C" w:rsidRPr="00D221AB" w:rsidRDefault="00924D5E" w:rsidP="00D221AB">
            <w:pPr>
              <w:pStyle w:val="PBACTableText"/>
              <w:keepNext/>
              <w:keepLines/>
              <w:spacing w:before="0" w:after="0"/>
              <w:jc w:val="center"/>
              <w:rPr>
                <w:b/>
                <w:bCs/>
                <w:highlight w:val="lightGray"/>
              </w:rPr>
            </w:pPr>
            <w:r w:rsidRPr="00924D5E">
              <w:rPr>
                <w:bCs/>
                <w:color w:val="000000"/>
                <w:shd w:val="solid" w:color="000000" w:fill="000000"/>
                <w14:textFill>
                  <w14:solidFill>
                    <w14:srgbClr w14:val="000000">
                      <w14:alpha w14:val="100000"/>
                    </w14:srgbClr>
                  </w14:solidFill>
                </w14:textFill>
              </w:rPr>
              <w:t>|</w:t>
            </w:r>
            <w:r w:rsidR="006B7B61" w:rsidRPr="00233CFE">
              <w:rPr>
                <w:vertAlign w:val="superscript"/>
              </w:rPr>
              <w:t>2</w:t>
            </w:r>
          </w:p>
        </w:tc>
        <w:tc>
          <w:tcPr>
            <w:tcW w:w="677" w:type="pct"/>
            <w:vAlign w:val="center"/>
          </w:tcPr>
          <w:p w14:paraId="0C4EC22E" w14:textId="7795191E" w:rsidR="0080448C" w:rsidRPr="00D221AB" w:rsidRDefault="00924D5E" w:rsidP="00D221AB">
            <w:pPr>
              <w:pStyle w:val="PBACTableText"/>
              <w:keepNext/>
              <w:keepLines/>
              <w:spacing w:before="0" w:after="0"/>
              <w:jc w:val="center"/>
              <w:rPr>
                <w:b/>
                <w:bCs/>
                <w:highlight w:val="lightGray"/>
              </w:rPr>
            </w:pPr>
            <w:r w:rsidRPr="006E162D">
              <w:rPr>
                <w:rFonts w:hint="eastAsia"/>
                <w:bCs/>
                <w:color w:val="000000"/>
                <w:w w:val="15"/>
                <w:shd w:val="solid" w:color="000000" w:fill="000000"/>
                <w:fitText w:val="25" w:id="-961835263"/>
                <w14:textFill>
                  <w14:solidFill>
                    <w14:srgbClr w14:val="000000">
                      <w14:alpha w14:val="100000"/>
                    </w14:srgbClr>
                  </w14:solidFill>
                </w14:textFill>
              </w:rPr>
              <w:t xml:space="preserve">　</w:t>
            </w:r>
            <w:r w:rsidRPr="006E162D">
              <w:rPr>
                <w:bCs/>
                <w:color w:val="000000"/>
                <w:w w:val="15"/>
                <w:shd w:val="solid" w:color="000000" w:fill="000000"/>
                <w:fitText w:val="25" w:id="-961835263"/>
                <w14:textFill>
                  <w14:solidFill>
                    <w14:srgbClr w14:val="000000">
                      <w14:alpha w14:val="100000"/>
                    </w14:srgbClr>
                  </w14:solidFill>
                </w14:textFill>
              </w:rPr>
              <w:t>|</w:t>
            </w:r>
            <w:r w:rsidRPr="006E162D">
              <w:rPr>
                <w:rFonts w:hint="eastAsia"/>
                <w:bCs/>
                <w:color w:val="000000"/>
                <w:spacing w:val="-41"/>
                <w:w w:val="15"/>
                <w:shd w:val="solid" w:color="000000" w:fill="000000"/>
                <w:fitText w:val="25" w:id="-961835263"/>
                <w14:textFill>
                  <w14:solidFill>
                    <w14:srgbClr w14:val="000000">
                      <w14:alpha w14:val="100000"/>
                    </w14:srgbClr>
                  </w14:solidFill>
                </w14:textFill>
              </w:rPr>
              <w:t xml:space="preserve">　</w:t>
            </w:r>
            <w:r w:rsidR="006B7B61" w:rsidRPr="00233CFE">
              <w:rPr>
                <w:vertAlign w:val="superscript"/>
              </w:rPr>
              <w:t>2</w:t>
            </w:r>
          </w:p>
        </w:tc>
      </w:tr>
      <w:tr w:rsidR="0080448C" w:rsidRPr="00CD4FAB" w14:paraId="5D5647E5" w14:textId="77777777" w:rsidTr="006E162D">
        <w:tc>
          <w:tcPr>
            <w:tcW w:w="1004" w:type="pct"/>
          </w:tcPr>
          <w:p w14:paraId="676AE641" w14:textId="77777777" w:rsidR="0080448C" w:rsidRPr="00233CFE" w:rsidRDefault="0080448C" w:rsidP="00D221AB">
            <w:pPr>
              <w:pStyle w:val="PBACTableText"/>
              <w:keepNext/>
              <w:keepLines/>
              <w:spacing w:before="0" w:after="0"/>
            </w:pPr>
            <w:r w:rsidRPr="00233CFE">
              <w:t xml:space="preserve">Net cost </w:t>
            </w:r>
          </w:p>
        </w:tc>
        <w:tc>
          <w:tcPr>
            <w:tcW w:w="649" w:type="pct"/>
            <w:vAlign w:val="center"/>
          </w:tcPr>
          <w:p w14:paraId="0B1030C5" w14:textId="4BB88DD6" w:rsidR="0080448C" w:rsidRPr="00D221AB" w:rsidRDefault="00924D5E" w:rsidP="00D221AB">
            <w:pPr>
              <w:pStyle w:val="PBACTableText"/>
              <w:keepNext/>
              <w:keepLines/>
              <w:spacing w:before="0" w:after="0"/>
              <w:jc w:val="center"/>
              <w:rPr>
                <w:highlight w:val="lightGray"/>
              </w:rPr>
            </w:pPr>
            <w:r w:rsidRPr="00924D5E">
              <w:rPr>
                <w:rFonts w:hint="eastAsia"/>
                <w:color w:val="000000"/>
                <w:w w:val="15"/>
                <w:shd w:val="solid" w:color="000000" w:fill="000000"/>
                <w:fitText w:val="50" w:id="-961835262"/>
                <w14:textFill>
                  <w14:solidFill>
                    <w14:srgbClr w14:val="000000">
                      <w14:alpha w14:val="100000"/>
                    </w14:srgbClr>
                  </w14:solidFill>
                </w14:textFill>
              </w:rPr>
              <w:t xml:space="preserve">　</w:t>
            </w:r>
            <w:r w:rsidRPr="00924D5E">
              <w:rPr>
                <w:color w:val="000000"/>
                <w:w w:val="15"/>
                <w:shd w:val="solid" w:color="000000" w:fill="000000"/>
                <w:fitText w:val="50" w:id="-961835262"/>
                <w14:textFill>
                  <w14:solidFill>
                    <w14:srgbClr w14:val="000000">
                      <w14:alpha w14:val="100000"/>
                    </w14:srgbClr>
                  </w14:solidFill>
                </w14:textFill>
              </w:rPr>
              <w:t>|</w:t>
            </w:r>
            <w:r w:rsidRPr="00924D5E">
              <w:rPr>
                <w:rFonts w:hint="eastAsia"/>
                <w:color w:val="000000"/>
                <w:spacing w:val="-15"/>
                <w:w w:val="15"/>
                <w:shd w:val="solid" w:color="000000" w:fill="000000"/>
                <w:fitText w:val="50" w:id="-961835262"/>
                <w14:textFill>
                  <w14:solidFill>
                    <w14:srgbClr w14:val="000000">
                      <w14:alpha w14:val="100000"/>
                    </w14:srgbClr>
                  </w14:solidFill>
                </w14:textFill>
              </w:rPr>
              <w:t xml:space="preserve">　</w:t>
            </w:r>
            <w:r w:rsidR="006B7B61" w:rsidRPr="00233CFE">
              <w:rPr>
                <w:vertAlign w:val="superscript"/>
              </w:rPr>
              <w:t>3</w:t>
            </w:r>
          </w:p>
        </w:tc>
        <w:tc>
          <w:tcPr>
            <w:tcW w:w="628" w:type="pct"/>
            <w:vAlign w:val="center"/>
          </w:tcPr>
          <w:p w14:paraId="072BB14A" w14:textId="30F1F29B" w:rsidR="0080448C" w:rsidRPr="00D221AB" w:rsidRDefault="00924D5E" w:rsidP="00D221AB">
            <w:pPr>
              <w:pStyle w:val="PBACTableText"/>
              <w:keepNext/>
              <w:keepLines/>
              <w:spacing w:before="0" w:after="0"/>
              <w:jc w:val="center"/>
              <w:rPr>
                <w:highlight w:val="lightGray"/>
              </w:rPr>
            </w:pPr>
            <w:r w:rsidRPr="00924D5E">
              <w:rPr>
                <w:rFonts w:hint="eastAsia"/>
                <w:color w:val="000000"/>
                <w:w w:val="15"/>
                <w:shd w:val="solid" w:color="000000" w:fill="000000"/>
                <w:fitText w:val="63" w:id="-961835261"/>
                <w14:textFill>
                  <w14:solidFill>
                    <w14:srgbClr w14:val="000000">
                      <w14:alpha w14:val="100000"/>
                    </w14:srgbClr>
                  </w14:solidFill>
                </w14:textFill>
              </w:rPr>
              <w:t xml:space="preserve">　</w:t>
            </w:r>
            <w:r w:rsidRPr="00924D5E">
              <w:rPr>
                <w:color w:val="000000"/>
                <w:w w:val="15"/>
                <w:shd w:val="solid" w:color="000000" w:fill="000000"/>
                <w:fitText w:val="63" w:id="-961835261"/>
                <w14:textFill>
                  <w14:solidFill>
                    <w14:srgbClr w14:val="000000">
                      <w14:alpha w14:val="100000"/>
                    </w14:srgbClr>
                  </w14:solidFill>
                </w14:textFill>
              </w:rPr>
              <w:t>|</w:t>
            </w:r>
            <w:r w:rsidRPr="00924D5E">
              <w:rPr>
                <w:rFonts w:hint="eastAsia"/>
                <w:color w:val="000000"/>
                <w:spacing w:val="-2"/>
                <w:w w:val="15"/>
                <w:shd w:val="solid" w:color="000000" w:fill="000000"/>
                <w:fitText w:val="63" w:id="-961835261"/>
                <w14:textFill>
                  <w14:solidFill>
                    <w14:srgbClr w14:val="000000">
                      <w14:alpha w14:val="100000"/>
                    </w14:srgbClr>
                  </w14:solidFill>
                </w14:textFill>
              </w:rPr>
              <w:t xml:space="preserve">　</w:t>
            </w:r>
            <w:r w:rsidR="006B7B61" w:rsidRPr="00233CFE">
              <w:rPr>
                <w:vertAlign w:val="superscript"/>
              </w:rPr>
              <w:t>3</w:t>
            </w:r>
          </w:p>
        </w:tc>
        <w:tc>
          <w:tcPr>
            <w:tcW w:w="643" w:type="pct"/>
            <w:vAlign w:val="center"/>
          </w:tcPr>
          <w:p w14:paraId="323D0E71" w14:textId="7A60E082" w:rsidR="0080448C" w:rsidRPr="00D221AB" w:rsidRDefault="00924D5E" w:rsidP="00D221AB">
            <w:pPr>
              <w:pStyle w:val="PBACTableText"/>
              <w:keepNext/>
              <w:keepLines/>
              <w:spacing w:before="0" w:after="0"/>
              <w:jc w:val="center"/>
              <w:rPr>
                <w:highlight w:val="lightGray"/>
              </w:rPr>
            </w:pPr>
            <w:r w:rsidRPr="00924D5E">
              <w:rPr>
                <w:rFonts w:hint="eastAsia"/>
                <w:color w:val="000000"/>
                <w:w w:val="15"/>
                <w:shd w:val="solid" w:color="000000" w:fill="000000"/>
                <w:fitText w:val="50" w:id="-961835260"/>
                <w14:textFill>
                  <w14:solidFill>
                    <w14:srgbClr w14:val="000000">
                      <w14:alpha w14:val="100000"/>
                    </w14:srgbClr>
                  </w14:solidFill>
                </w14:textFill>
              </w:rPr>
              <w:t xml:space="preserve">　</w:t>
            </w:r>
            <w:r w:rsidRPr="00924D5E">
              <w:rPr>
                <w:color w:val="000000"/>
                <w:w w:val="15"/>
                <w:shd w:val="solid" w:color="000000" w:fill="000000"/>
                <w:fitText w:val="50" w:id="-961835260"/>
                <w14:textFill>
                  <w14:solidFill>
                    <w14:srgbClr w14:val="000000">
                      <w14:alpha w14:val="100000"/>
                    </w14:srgbClr>
                  </w14:solidFill>
                </w14:textFill>
              </w:rPr>
              <w:t>|</w:t>
            </w:r>
            <w:r w:rsidRPr="00924D5E">
              <w:rPr>
                <w:rFonts w:hint="eastAsia"/>
                <w:color w:val="000000"/>
                <w:spacing w:val="-15"/>
                <w:w w:val="15"/>
                <w:shd w:val="solid" w:color="000000" w:fill="000000"/>
                <w:fitText w:val="50" w:id="-961835260"/>
                <w14:textFill>
                  <w14:solidFill>
                    <w14:srgbClr w14:val="000000">
                      <w14:alpha w14:val="100000"/>
                    </w14:srgbClr>
                  </w14:solidFill>
                </w14:textFill>
              </w:rPr>
              <w:t xml:space="preserve">　</w:t>
            </w:r>
            <w:r w:rsidR="006B7B61" w:rsidRPr="00233CFE">
              <w:rPr>
                <w:vertAlign w:val="superscript"/>
              </w:rPr>
              <w:t>3</w:t>
            </w:r>
          </w:p>
        </w:tc>
        <w:tc>
          <w:tcPr>
            <w:tcW w:w="692" w:type="pct"/>
            <w:vAlign w:val="center"/>
          </w:tcPr>
          <w:p w14:paraId="6B5FE57B" w14:textId="464E5A14" w:rsidR="0080448C" w:rsidRPr="00D221AB" w:rsidRDefault="00924D5E" w:rsidP="00D221AB">
            <w:pPr>
              <w:pStyle w:val="PBACTableText"/>
              <w:keepNext/>
              <w:keepLines/>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6B7B61" w:rsidRPr="00233CFE">
              <w:rPr>
                <w:vertAlign w:val="superscript"/>
              </w:rPr>
              <w:t>3</w:t>
            </w:r>
          </w:p>
        </w:tc>
        <w:tc>
          <w:tcPr>
            <w:tcW w:w="707" w:type="pct"/>
            <w:vAlign w:val="center"/>
          </w:tcPr>
          <w:p w14:paraId="58F3971E" w14:textId="07837014" w:rsidR="0080448C" w:rsidRPr="00D221AB" w:rsidRDefault="00924D5E" w:rsidP="00D221AB">
            <w:pPr>
              <w:pStyle w:val="PBACTableText"/>
              <w:keepNext/>
              <w:keepLines/>
              <w:spacing w:before="0" w:after="0"/>
              <w:jc w:val="center"/>
              <w:rPr>
                <w:highlight w:val="lightGray"/>
              </w:rPr>
            </w:pPr>
            <w:r w:rsidRPr="00924D5E">
              <w:rPr>
                <w:color w:val="000000"/>
                <w:shd w:val="solid" w:color="000000" w:fill="000000"/>
                <w14:textFill>
                  <w14:solidFill>
                    <w14:srgbClr w14:val="000000">
                      <w14:alpha w14:val="100000"/>
                    </w14:srgbClr>
                  </w14:solidFill>
                </w14:textFill>
              </w:rPr>
              <w:t>|</w:t>
            </w:r>
            <w:r w:rsidR="006B7B61" w:rsidRPr="00233CFE">
              <w:rPr>
                <w:vertAlign w:val="superscript"/>
              </w:rPr>
              <w:t>3</w:t>
            </w:r>
          </w:p>
        </w:tc>
        <w:tc>
          <w:tcPr>
            <w:tcW w:w="677" w:type="pct"/>
            <w:vAlign w:val="center"/>
          </w:tcPr>
          <w:p w14:paraId="13F94845" w14:textId="672378FE" w:rsidR="0080448C" w:rsidRPr="00D221AB" w:rsidRDefault="00924D5E" w:rsidP="00D221AB">
            <w:pPr>
              <w:pStyle w:val="PBACTableText"/>
              <w:keepNext/>
              <w:keepLines/>
              <w:spacing w:before="0" w:after="0"/>
              <w:jc w:val="center"/>
              <w:rPr>
                <w:highlight w:val="lightGray"/>
              </w:rPr>
            </w:pPr>
            <w:r w:rsidRPr="006E162D">
              <w:rPr>
                <w:rFonts w:hint="eastAsia"/>
                <w:color w:val="000000"/>
                <w:w w:val="15"/>
                <w:shd w:val="solid" w:color="000000" w:fill="000000"/>
                <w:fitText w:val="25" w:id="-961835259"/>
                <w14:textFill>
                  <w14:solidFill>
                    <w14:srgbClr w14:val="000000">
                      <w14:alpha w14:val="100000"/>
                    </w14:srgbClr>
                  </w14:solidFill>
                </w14:textFill>
              </w:rPr>
              <w:t xml:space="preserve">　</w:t>
            </w:r>
            <w:r w:rsidRPr="006E162D">
              <w:rPr>
                <w:color w:val="000000"/>
                <w:w w:val="15"/>
                <w:shd w:val="solid" w:color="000000" w:fill="000000"/>
                <w:fitText w:val="25" w:id="-961835259"/>
                <w14:textFill>
                  <w14:solidFill>
                    <w14:srgbClr w14:val="000000">
                      <w14:alpha w14:val="100000"/>
                    </w14:srgbClr>
                  </w14:solidFill>
                </w14:textFill>
              </w:rPr>
              <w:t>|</w:t>
            </w:r>
            <w:r w:rsidRPr="006E162D">
              <w:rPr>
                <w:rFonts w:hint="eastAsia"/>
                <w:color w:val="000000"/>
                <w:spacing w:val="-41"/>
                <w:w w:val="15"/>
                <w:shd w:val="solid" w:color="000000" w:fill="000000"/>
                <w:fitText w:val="25" w:id="-961835259"/>
                <w14:textFill>
                  <w14:solidFill>
                    <w14:srgbClr w14:val="000000">
                      <w14:alpha w14:val="100000"/>
                    </w14:srgbClr>
                  </w14:solidFill>
                </w14:textFill>
              </w:rPr>
              <w:t xml:space="preserve">　</w:t>
            </w:r>
            <w:r w:rsidR="006B7B61" w:rsidRPr="00233CFE">
              <w:rPr>
                <w:vertAlign w:val="superscript"/>
              </w:rPr>
              <w:t>3</w:t>
            </w:r>
          </w:p>
        </w:tc>
      </w:tr>
      <w:tr w:rsidR="0080448C" w:rsidRPr="00CD4FAB" w14:paraId="6CB7F9E3" w14:textId="77777777" w:rsidTr="006E162D">
        <w:tc>
          <w:tcPr>
            <w:tcW w:w="1004" w:type="pct"/>
          </w:tcPr>
          <w:p w14:paraId="52110B4F" w14:textId="77777777" w:rsidR="0080448C" w:rsidRPr="00233CFE" w:rsidRDefault="0080448C" w:rsidP="00D221AB">
            <w:pPr>
              <w:pStyle w:val="PBACTableText"/>
              <w:keepNext/>
              <w:keepLines/>
              <w:spacing w:before="0" w:after="0"/>
              <w:rPr>
                <w:b/>
                <w:bCs/>
              </w:rPr>
            </w:pPr>
            <w:r w:rsidRPr="00233CFE">
              <w:rPr>
                <w:b/>
                <w:bCs/>
              </w:rPr>
              <w:t>Total cost to the PBS/RPBS, including patient copayments</w:t>
            </w:r>
          </w:p>
        </w:tc>
        <w:tc>
          <w:tcPr>
            <w:tcW w:w="649" w:type="pct"/>
            <w:vAlign w:val="center"/>
          </w:tcPr>
          <w:p w14:paraId="72EBBDD9" w14:textId="797FC42B" w:rsidR="0080448C" w:rsidRPr="00D221AB" w:rsidRDefault="00924D5E" w:rsidP="00D221AB">
            <w:pPr>
              <w:pStyle w:val="PBACTableText"/>
              <w:keepNext/>
              <w:keepLines/>
              <w:spacing w:before="0" w:after="0"/>
              <w:jc w:val="center"/>
              <w:rPr>
                <w:b/>
                <w:bCs/>
                <w:highlight w:val="lightGray"/>
              </w:rPr>
            </w:pPr>
            <w:r w:rsidRPr="00924D5E">
              <w:rPr>
                <w:rFonts w:hint="eastAsia"/>
                <w:b/>
                <w:bCs/>
                <w:color w:val="000000"/>
                <w:w w:val="22"/>
                <w:shd w:val="solid" w:color="000000" w:fill="000000"/>
                <w:fitText w:val="101" w:id="-961835258"/>
                <w14:textFill>
                  <w14:solidFill>
                    <w14:srgbClr w14:val="000000">
                      <w14:alpha w14:val="100000"/>
                    </w14:srgbClr>
                  </w14:solidFill>
                </w14:textFill>
              </w:rPr>
              <w:t xml:space="preserve">　</w:t>
            </w:r>
            <w:r w:rsidRPr="00924D5E">
              <w:rPr>
                <w:b/>
                <w:bCs/>
                <w:color w:val="000000"/>
                <w:w w:val="22"/>
                <w:shd w:val="solid" w:color="000000" w:fill="000000"/>
                <w:fitText w:val="101" w:id="-961835258"/>
                <w14:textFill>
                  <w14:solidFill>
                    <w14:srgbClr w14:val="000000">
                      <w14:alpha w14:val="100000"/>
                    </w14:srgbClr>
                  </w14:solidFill>
                </w14:textFill>
              </w:rPr>
              <w:t>|</w:t>
            </w:r>
            <w:r w:rsidRPr="00924D5E">
              <w:rPr>
                <w:rFonts w:hint="eastAsia"/>
                <w:b/>
                <w:bCs/>
                <w:color w:val="000000"/>
                <w:spacing w:val="3"/>
                <w:w w:val="22"/>
                <w:shd w:val="solid" w:color="000000" w:fill="000000"/>
                <w:fitText w:val="101" w:id="-961835258"/>
                <w14:textFill>
                  <w14:solidFill>
                    <w14:srgbClr w14:val="000000">
                      <w14:alpha w14:val="100000"/>
                    </w14:srgbClr>
                  </w14:solidFill>
                </w14:textFill>
              </w:rPr>
              <w:t xml:space="preserve">　</w:t>
            </w:r>
            <w:r w:rsidR="006B7B61" w:rsidRPr="00233CFE">
              <w:rPr>
                <w:vertAlign w:val="superscript"/>
              </w:rPr>
              <w:t>3</w:t>
            </w:r>
          </w:p>
        </w:tc>
        <w:tc>
          <w:tcPr>
            <w:tcW w:w="628" w:type="pct"/>
            <w:vAlign w:val="center"/>
          </w:tcPr>
          <w:p w14:paraId="58DF1A1A" w14:textId="5DDFF732" w:rsidR="0080448C" w:rsidRPr="00D221AB" w:rsidRDefault="00924D5E" w:rsidP="00D221AB">
            <w:pPr>
              <w:pStyle w:val="PBACTableText"/>
              <w:keepNext/>
              <w:keepLines/>
              <w:spacing w:before="0" w:after="0"/>
              <w:jc w:val="center"/>
              <w:rPr>
                <w:b/>
                <w:bCs/>
                <w:highlight w:val="lightGray"/>
              </w:rPr>
            </w:pPr>
            <w:r w:rsidRPr="00924D5E">
              <w:rPr>
                <w:rFonts w:hint="eastAsia"/>
                <w:b/>
                <w:bCs/>
                <w:color w:val="000000"/>
                <w:w w:val="25"/>
                <w:shd w:val="solid" w:color="000000" w:fill="000000"/>
                <w:fitText w:val="113" w:id="-961835257"/>
                <w14:textFill>
                  <w14:solidFill>
                    <w14:srgbClr w14:val="000000">
                      <w14:alpha w14:val="100000"/>
                    </w14:srgbClr>
                  </w14:solidFill>
                </w14:textFill>
              </w:rPr>
              <w:t xml:space="preserve">　</w:t>
            </w:r>
            <w:r w:rsidRPr="00924D5E">
              <w:rPr>
                <w:b/>
                <w:bCs/>
                <w:color w:val="000000"/>
                <w:w w:val="25"/>
                <w:shd w:val="solid" w:color="000000" w:fill="000000"/>
                <w:fitText w:val="113" w:id="-961835257"/>
                <w14:textFill>
                  <w14:solidFill>
                    <w14:srgbClr w14:val="000000">
                      <w14:alpha w14:val="100000"/>
                    </w14:srgbClr>
                  </w14:solidFill>
                </w14:textFill>
              </w:rPr>
              <w:t>|</w:t>
            </w:r>
            <w:r w:rsidRPr="00924D5E">
              <w:rPr>
                <w:rFonts w:hint="eastAsia"/>
                <w:b/>
                <w:bCs/>
                <w:color w:val="000000"/>
                <w:spacing w:val="1"/>
                <w:w w:val="25"/>
                <w:shd w:val="solid" w:color="000000" w:fill="000000"/>
                <w:fitText w:val="113" w:id="-961835257"/>
                <w14:textFill>
                  <w14:solidFill>
                    <w14:srgbClr w14:val="000000">
                      <w14:alpha w14:val="100000"/>
                    </w14:srgbClr>
                  </w14:solidFill>
                </w14:textFill>
              </w:rPr>
              <w:t xml:space="preserve">　</w:t>
            </w:r>
            <w:r w:rsidR="006B7B61" w:rsidRPr="00233CFE">
              <w:rPr>
                <w:vertAlign w:val="superscript"/>
              </w:rPr>
              <w:t>3</w:t>
            </w:r>
          </w:p>
        </w:tc>
        <w:tc>
          <w:tcPr>
            <w:tcW w:w="643" w:type="pct"/>
            <w:vAlign w:val="center"/>
          </w:tcPr>
          <w:p w14:paraId="01F9436C" w14:textId="264D6026" w:rsidR="0080448C" w:rsidRPr="00D221AB" w:rsidRDefault="00924D5E" w:rsidP="00D221AB">
            <w:pPr>
              <w:pStyle w:val="PBACTableText"/>
              <w:keepNext/>
              <w:keepLines/>
              <w:spacing w:before="0" w:after="0"/>
              <w:jc w:val="center"/>
              <w:rPr>
                <w:b/>
                <w:bCs/>
                <w:highlight w:val="lightGray"/>
              </w:rPr>
            </w:pPr>
            <w:r w:rsidRPr="00924D5E">
              <w:rPr>
                <w:rFonts w:hint="eastAsia"/>
                <w:b/>
                <w:bCs/>
                <w:color w:val="000000"/>
                <w:w w:val="19"/>
                <w:shd w:val="solid" w:color="000000" w:fill="000000"/>
                <w:fitText w:val="88" w:id="-961835256"/>
                <w14:textFill>
                  <w14:solidFill>
                    <w14:srgbClr w14:val="000000">
                      <w14:alpha w14:val="100000"/>
                    </w14:srgbClr>
                  </w14:solidFill>
                </w14:textFill>
              </w:rPr>
              <w:t xml:space="preserve">　</w:t>
            </w:r>
            <w:r w:rsidRPr="00924D5E">
              <w:rPr>
                <w:b/>
                <w:bCs/>
                <w:color w:val="000000"/>
                <w:w w:val="19"/>
                <w:shd w:val="solid" w:color="000000" w:fill="000000"/>
                <w:fitText w:val="88" w:id="-961835256"/>
                <w14:textFill>
                  <w14:solidFill>
                    <w14:srgbClr w14:val="000000">
                      <w14:alpha w14:val="100000"/>
                    </w14:srgbClr>
                  </w14:solidFill>
                </w14:textFill>
              </w:rPr>
              <w:t>|</w:t>
            </w:r>
            <w:r w:rsidRPr="00924D5E">
              <w:rPr>
                <w:rFonts w:hint="eastAsia"/>
                <w:b/>
                <w:bCs/>
                <w:color w:val="000000"/>
                <w:spacing w:val="4"/>
                <w:w w:val="19"/>
                <w:shd w:val="solid" w:color="000000" w:fill="000000"/>
                <w:fitText w:val="88" w:id="-961835256"/>
                <w14:textFill>
                  <w14:solidFill>
                    <w14:srgbClr w14:val="000000">
                      <w14:alpha w14:val="100000"/>
                    </w14:srgbClr>
                  </w14:solidFill>
                </w14:textFill>
              </w:rPr>
              <w:t xml:space="preserve">　</w:t>
            </w:r>
            <w:r w:rsidR="006B7B61" w:rsidRPr="00233CFE">
              <w:rPr>
                <w:vertAlign w:val="superscript"/>
              </w:rPr>
              <w:t>3</w:t>
            </w:r>
          </w:p>
        </w:tc>
        <w:tc>
          <w:tcPr>
            <w:tcW w:w="692" w:type="pct"/>
            <w:vAlign w:val="center"/>
          </w:tcPr>
          <w:p w14:paraId="529C2FE5" w14:textId="2D1DBA83" w:rsidR="0080448C" w:rsidRPr="00D221AB" w:rsidRDefault="00924D5E" w:rsidP="00D221AB">
            <w:pPr>
              <w:pStyle w:val="PBACTableText"/>
              <w:keepNext/>
              <w:keepLines/>
              <w:spacing w:before="0" w:after="0"/>
              <w:jc w:val="center"/>
              <w:rPr>
                <w:b/>
                <w:bCs/>
                <w:highlight w:val="lightGray"/>
              </w:rPr>
            </w:pPr>
            <w:r w:rsidRPr="00924D5E">
              <w:rPr>
                <w:rFonts w:hint="eastAsia"/>
                <w:b/>
                <w:bCs/>
                <w:color w:val="000000"/>
                <w:w w:val="15"/>
                <w:shd w:val="solid" w:color="000000" w:fill="000000"/>
                <w:fitText w:val="50" w:id="-961835255"/>
                <w14:textFill>
                  <w14:solidFill>
                    <w14:srgbClr w14:val="000000">
                      <w14:alpha w14:val="100000"/>
                    </w14:srgbClr>
                  </w14:solidFill>
                </w14:textFill>
              </w:rPr>
              <w:t xml:space="preserve">　</w:t>
            </w:r>
            <w:r w:rsidRPr="00924D5E">
              <w:rPr>
                <w:b/>
                <w:bCs/>
                <w:color w:val="000000"/>
                <w:w w:val="15"/>
                <w:shd w:val="solid" w:color="000000" w:fill="000000"/>
                <w:fitText w:val="50" w:id="-961835255"/>
                <w14:textFill>
                  <w14:solidFill>
                    <w14:srgbClr w14:val="000000">
                      <w14:alpha w14:val="100000"/>
                    </w14:srgbClr>
                  </w14:solidFill>
                </w14:textFill>
              </w:rPr>
              <w:t>|</w:t>
            </w:r>
            <w:r w:rsidRPr="00924D5E">
              <w:rPr>
                <w:rFonts w:hint="eastAsia"/>
                <w:b/>
                <w:bCs/>
                <w:color w:val="000000"/>
                <w:spacing w:val="-16"/>
                <w:w w:val="15"/>
                <w:shd w:val="solid" w:color="000000" w:fill="000000"/>
                <w:fitText w:val="50" w:id="-961835255"/>
                <w14:textFill>
                  <w14:solidFill>
                    <w14:srgbClr w14:val="000000">
                      <w14:alpha w14:val="100000"/>
                    </w14:srgbClr>
                  </w14:solidFill>
                </w14:textFill>
              </w:rPr>
              <w:t xml:space="preserve">　</w:t>
            </w:r>
            <w:r w:rsidR="006B7B61" w:rsidRPr="00233CFE">
              <w:rPr>
                <w:vertAlign w:val="superscript"/>
              </w:rPr>
              <w:t>3</w:t>
            </w:r>
          </w:p>
        </w:tc>
        <w:tc>
          <w:tcPr>
            <w:tcW w:w="707" w:type="pct"/>
            <w:vAlign w:val="center"/>
          </w:tcPr>
          <w:p w14:paraId="4CE63DBC" w14:textId="3DB09658" w:rsidR="0080448C" w:rsidRPr="00D221AB" w:rsidRDefault="00924D5E" w:rsidP="00D221AB">
            <w:pPr>
              <w:pStyle w:val="PBACTableText"/>
              <w:keepNext/>
              <w:keepLines/>
              <w:spacing w:before="0" w:after="0"/>
              <w:jc w:val="center"/>
              <w:rPr>
                <w:b/>
                <w:bCs/>
                <w:highlight w:val="lightGray"/>
              </w:rPr>
            </w:pPr>
            <w:r w:rsidRPr="00924D5E">
              <w:rPr>
                <w:rFonts w:hint="eastAsia"/>
                <w:b/>
                <w:bCs/>
                <w:color w:val="000000"/>
                <w:w w:val="15"/>
                <w:shd w:val="solid" w:color="000000" w:fill="000000"/>
                <w:fitText w:val="38" w:id="-961835254"/>
                <w14:textFill>
                  <w14:solidFill>
                    <w14:srgbClr w14:val="000000">
                      <w14:alpha w14:val="100000"/>
                    </w14:srgbClr>
                  </w14:solidFill>
                </w14:textFill>
              </w:rPr>
              <w:t xml:space="preserve">　</w:t>
            </w:r>
            <w:r w:rsidRPr="00924D5E">
              <w:rPr>
                <w:b/>
                <w:bCs/>
                <w:color w:val="000000"/>
                <w:w w:val="15"/>
                <w:shd w:val="solid" w:color="000000" w:fill="000000"/>
                <w:fitText w:val="38" w:id="-961835254"/>
                <w14:textFill>
                  <w14:solidFill>
                    <w14:srgbClr w14:val="000000">
                      <w14:alpha w14:val="100000"/>
                    </w14:srgbClr>
                  </w14:solidFill>
                </w14:textFill>
              </w:rPr>
              <w:t>|</w:t>
            </w:r>
            <w:r w:rsidRPr="00924D5E">
              <w:rPr>
                <w:rFonts w:hint="eastAsia"/>
                <w:b/>
                <w:bCs/>
                <w:color w:val="000000"/>
                <w:spacing w:val="-28"/>
                <w:w w:val="15"/>
                <w:shd w:val="solid" w:color="000000" w:fill="000000"/>
                <w:fitText w:val="38" w:id="-961835254"/>
                <w14:textFill>
                  <w14:solidFill>
                    <w14:srgbClr w14:val="000000">
                      <w14:alpha w14:val="100000"/>
                    </w14:srgbClr>
                  </w14:solidFill>
                </w14:textFill>
              </w:rPr>
              <w:t xml:space="preserve">　</w:t>
            </w:r>
            <w:r w:rsidR="006B7B61" w:rsidRPr="00233CFE">
              <w:rPr>
                <w:vertAlign w:val="superscript"/>
              </w:rPr>
              <w:t>3</w:t>
            </w:r>
          </w:p>
        </w:tc>
        <w:tc>
          <w:tcPr>
            <w:tcW w:w="677" w:type="pct"/>
            <w:vAlign w:val="center"/>
          </w:tcPr>
          <w:p w14:paraId="37DB2219" w14:textId="15B8606A" w:rsidR="0080448C" w:rsidRPr="00D221AB" w:rsidRDefault="00924D5E" w:rsidP="00D221AB">
            <w:pPr>
              <w:pStyle w:val="PBACTableText"/>
              <w:keepNext/>
              <w:keepLines/>
              <w:spacing w:before="0" w:after="0"/>
              <w:jc w:val="center"/>
              <w:rPr>
                <w:b/>
                <w:bCs/>
                <w:highlight w:val="lightGray"/>
              </w:rPr>
            </w:pPr>
            <w:r w:rsidRPr="00924D5E">
              <w:rPr>
                <w:rFonts w:hint="eastAsia"/>
                <w:b/>
                <w:bCs/>
                <w:color w:val="000000"/>
                <w:w w:val="16"/>
                <w:shd w:val="solid" w:color="000000" w:fill="000000"/>
                <w:fitText w:val="75" w:id="-961835253"/>
                <w14:textFill>
                  <w14:solidFill>
                    <w14:srgbClr w14:val="000000">
                      <w14:alpha w14:val="100000"/>
                    </w14:srgbClr>
                  </w14:solidFill>
                </w14:textFill>
              </w:rPr>
              <w:t xml:space="preserve">　</w:t>
            </w:r>
            <w:r w:rsidRPr="00924D5E">
              <w:rPr>
                <w:b/>
                <w:bCs/>
                <w:color w:val="000000"/>
                <w:w w:val="16"/>
                <w:shd w:val="solid" w:color="000000" w:fill="000000"/>
                <w:fitText w:val="75" w:id="-961835253"/>
                <w14:textFill>
                  <w14:solidFill>
                    <w14:srgbClr w14:val="000000">
                      <w14:alpha w14:val="100000"/>
                    </w14:srgbClr>
                  </w14:solidFill>
                </w14:textFill>
              </w:rPr>
              <w:t>|</w:t>
            </w:r>
            <w:r w:rsidRPr="00924D5E">
              <w:rPr>
                <w:rFonts w:hint="eastAsia"/>
                <w:b/>
                <w:bCs/>
                <w:color w:val="000000"/>
                <w:spacing w:val="5"/>
                <w:w w:val="16"/>
                <w:shd w:val="solid" w:color="000000" w:fill="000000"/>
                <w:fitText w:val="75" w:id="-961835253"/>
                <w14:textFill>
                  <w14:solidFill>
                    <w14:srgbClr w14:val="000000">
                      <w14:alpha w14:val="100000"/>
                    </w14:srgbClr>
                  </w14:solidFill>
                </w14:textFill>
              </w:rPr>
              <w:t xml:space="preserve">　</w:t>
            </w:r>
            <w:r w:rsidR="006B7B61" w:rsidRPr="00233CFE">
              <w:rPr>
                <w:vertAlign w:val="superscript"/>
              </w:rPr>
              <w:t>3</w:t>
            </w:r>
          </w:p>
        </w:tc>
      </w:tr>
    </w:tbl>
    <w:p w14:paraId="68FA6D60" w14:textId="52812464" w:rsidR="0080448C" w:rsidRPr="00233CFE" w:rsidRDefault="0080448C" w:rsidP="00D221AB">
      <w:pPr>
        <w:pStyle w:val="TableFooter"/>
        <w:keepNext/>
        <w:keepLines/>
        <w:rPr>
          <w:szCs w:val="18"/>
        </w:rPr>
      </w:pPr>
      <w:r w:rsidRPr="00233CFE">
        <w:rPr>
          <w:szCs w:val="18"/>
        </w:rPr>
        <w:t>Source</w:t>
      </w:r>
      <w:r w:rsidR="008A2BBB" w:rsidRPr="00233CFE">
        <w:rPr>
          <w:szCs w:val="18"/>
        </w:rPr>
        <w:t xml:space="preserve">: </w:t>
      </w:r>
      <w:r w:rsidRPr="00233CFE">
        <w:rPr>
          <w:szCs w:val="18"/>
        </w:rPr>
        <w:t xml:space="preserve"> </w:t>
      </w:r>
      <w:r w:rsidR="00730ECC" w:rsidRPr="00233CFE">
        <w:rPr>
          <w:szCs w:val="18"/>
        </w:rPr>
        <w:t>Table 4, n</w:t>
      </w:r>
      <w:r w:rsidR="008E687B" w:rsidRPr="00233CFE">
        <w:rPr>
          <w:szCs w:val="18"/>
        </w:rPr>
        <w:t xml:space="preserve">ivolumab </w:t>
      </w:r>
      <w:r w:rsidR="00436D30" w:rsidRPr="00233CFE">
        <w:rPr>
          <w:szCs w:val="18"/>
        </w:rPr>
        <w:t>PSD</w:t>
      </w:r>
      <w:r w:rsidR="00730ECC" w:rsidRPr="00233CFE">
        <w:rPr>
          <w:szCs w:val="18"/>
        </w:rPr>
        <w:t>, July 2023 PBAC Meeting</w:t>
      </w:r>
      <w:r w:rsidRPr="00233CFE">
        <w:rPr>
          <w:szCs w:val="18"/>
        </w:rPr>
        <w:t xml:space="preserve"> </w:t>
      </w:r>
    </w:p>
    <w:p w14:paraId="6A42FC13" w14:textId="77777777" w:rsidR="0080448C" w:rsidRPr="00233CFE" w:rsidRDefault="0080448C" w:rsidP="00D221AB">
      <w:pPr>
        <w:pStyle w:val="FooterTableFigure"/>
        <w:keepNext/>
        <w:keepLines/>
        <w:rPr>
          <w:szCs w:val="18"/>
          <w:vertAlign w:val="superscript"/>
        </w:rPr>
      </w:pPr>
      <w:r w:rsidRPr="00233CFE">
        <w:rPr>
          <w:szCs w:val="18"/>
          <w:vertAlign w:val="superscript"/>
        </w:rPr>
        <w:t>a</w:t>
      </w:r>
      <w:r w:rsidRPr="00233CFE">
        <w:rPr>
          <w:szCs w:val="18"/>
        </w:rPr>
        <w:t xml:space="preserve"> Adjuvant Stage II-IIIA, PD-L1 &gt;50% NSCLC</w:t>
      </w:r>
    </w:p>
    <w:p w14:paraId="26CD5CF0" w14:textId="5E12D06B" w:rsidR="0080448C" w:rsidRPr="00233CFE" w:rsidRDefault="0080448C" w:rsidP="00D221AB">
      <w:pPr>
        <w:pStyle w:val="FooterTableFigure"/>
        <w:keepNext/>
        <w:keepLines/>
        <w:rPr>
          <w:szCs w:val="18"/>
        </w:rPr>
      </w:pPr>
      <w:r w:rsidRPr="00233CFE">
        <w:rPr>
          <w:szCs w:val="18"/>
          <w:vertAlign w:val="superscript"/>
        </w:rPr>
        <w:t>b</w:t>
      </w:r>
      <w:r w:rsidR="00DD7289" w:rsidRPr="00233CFE">
        <w:rPr>
          <w:szCs w:val="18"/>
          <w:vertAlign w:val="superscript"/>
        </w:rPr>
        <w:t xml:space="preserve"> </w:t>
      </w:r>
      <w:r w:rsidRPr="00233CFE">
        <w:rPr>
          <w:szCs w:val="18"/>
        </w:rPr>
        <w:t>Unresectable Stage III NSCLC</w:t>
      </w:r>
    </w:p>
    <w:p w14:paraId="2F733C94" w14:textId="12D27F73" w:rsidR="0080448C" w:rsidRPr="00233CFE" w:rsidRDefault="0080448C" w:rsidP="00D221AB">
      <w:pPr>
        <w:pStyle w:val="FooterTableFigure"/>
        <w:keepNext/>
        <w:keepLines/>
        <w:spacing w:after="0"/>
        <w:rPr>
          <w:szCs w:val="18"/>
        </w:rPr>
      </w:pPr>
      <w:r w:rsidRPr="00233CFE">
        <w:rPr>
          <w:szCs w:val="18"/>
          <w:vertAlign w:val="superscript"/>
        </w:rPr>
        <w:t>c</w:t>
      </w:r>
      <w:r w:rsidR="00DD7289" w:rsidRPr="00233CFE">
        <w:rPr>
          <w:szCs w:val="18"/>
          <w:vertAlign w:val="superscript"/>
        </w:rPr>
        <w:t xml:space="preserve"> </w:t>
      </w:r>
      <w:r w:rsidRPr="00233CFE">
        <w:rPr>
          <w:szCs w:val="18"/>
        </w:rPr>
        <w:t xml:space="preserve">Pembrolizumab as a proxy for all metastatic PD-(L)1 treatment options. </w:t>
      </w:r>
    </w:p>
    <w:p w14:paraId="31C6BDE3" w14:textId="77777777" w:rsidR="00A427BF" w:rsidRPr="00D221AB" w:rsidRDefault="00A427BF" w:rsidP="00D221AB">
      <w:pPr>
        <w:keepNext/>
        <w:keepLines/>
        <w:rPr>
          <w:rFonts w:ascii="Arial Narrow" w:hAnsi="Arial Narrow" w:cstheme="minorHAnsi"/>
          <w:bCs/>
          <w:i/>
          <w:iCs/>
          <w:sz w:val="18"/>
          <w:szCs w:val="18"/>
          <w:lang w:eastAsia="en-AU"/>
        </w:rPr>
      </w:pPr>
      <w:r w:rsidRPr="00D221AB">
        <w:rPr>
          <w:rFonts w:ascii="Arial Narrow" w:hAnsi="Arial Narrow" w:cstheme="minorHAnsi"/>
          <w:bCs/>
          <w:i/>
          <w:iCs/>
          <w:sz w:val="18"/>
          <w:szCs w:val="18"/>
          <w:lang w:eastAsia="en-AU"/>
        </w:rPr>
        <w:t xml:space="preserve">The redacted values correspond to the following ranges: </w:t>
      </w:r>
    </w:p>
    <w:p w14:paraId="306F80F0" w14:textId="3F5DFA34" w:rsidR="00A427BF" w:rsidRPr="00D221AB" w:rsidRDefault="00A427BF" w:rsidP="00D221AB">
      <w:pPr>
        <w:keepNext/>
        <w:keepLines/>
        <w:rPr>
          <w:rFonts w:ascii="Arial Narrow" w:hAnsi="Arial Narrow" w:cstheme="minorHAnsi"/>
          <w:bCs/>
          <w:i/>
          <w:iCs/>
          <w:sz w:val="18"/>
          <w:szCs w:val="18"/>
          <w:lang w:eastAsia="en-AU"/>
        </w:rPr>
      </w:pPr>
      <w:r w:rsidRPr="00D221AB">
        <w:rPr>
          <w:rFonts w:ascii="Arial Narrow" w:hAnsi="Arial Narrow" w:cstheme="minorHAnsi"/>
          <w:bCs/>
          <w:i/>
          <w:iCs/>
          <w:sz w:val="18"/>
          <w:szCs w:val="18"/>
          <w:vertAlign w:val="superscript"/>
          <w:lang w:eastAsia="en-AU"/>
        </w:rPr>
        <w:t>1</w:t>
      </w:r>
      <w:r w:rsidRPr="00D221AB">
        <w:rPr>
          <w:rFonts w:ascii="Arial Narrow" w:hAnsi="Arial Narrow" w:cstheme="minorHAnsi"/>
          <w:bCs/>
          <w:i/>
          <w:iCs/>
          <w:sz w:val="18"/>
          <w:szCs w:val="18"/>
          <w:lang w:eastAsia="en-AU"/>
        </w:rPr>
        <w:t xml:space="preserve"> &lt; 500</w:t>
      </w:r>
    </w:p>
    <w:p w14:paraId="40B23800" w14:textId="1354699F" w:rsidR="00A427BF" w:rsidRPr="00D221AB" w:rsidRDefault="00A427BF" w:rsidP="00D221AB">
      <w:pPr>
        <w:keepNext/>
        <w:keepLines/>
        <w:rPr>
          <w:rFonts w:ascii="Arial Narrow" w:hAnsi="Arial Narrow" w:cstheme="minorHAnsi"/>
          <w:bCs/>
          <w:i/>
          <w:iCs/>
          <w:sz w:val="18"/>
          <w:szCs w:val="18"/>
          <w:lang w:eastAsia="en-AU"/>
        </w:rPr>
      </w:pPr>
      <w:r w:rsidRPr="00D221AB">
        <w:rPr>
          <w:rFonts w:ascii="Arial Narrow" w:hAnsi="Arial Narrow" w:cstheme="minorHAnsi"/>
          <w:bCs/>
          <w:i/>
          <w:iCs/>
          <w:sz w:val="18"/>
          <w:szCs w:val="18"/>
          <w:vertAlign w:val="superscript"/>
          <w:lang w:eastAsia="en-AU"/>
        </w:rPr>
        <w:t>2</w:t>
      </w:r>
      <w:r w:rsidRPr="00D221AB">
        <w:rPr>
          <w:rFonts w:ascii="Arial Narrow" w:hAnsi="Arial Narrow" w:cstheme="minorHAnsi"/>
          <w:bCs/>
          <w:i/>
          <w:iCs/>
          <w:sz w:val="18"/>
          <w:szCs w:val="18"/>
          <w:lang w:eastAsia="en-AU"/>
        </w:rPr>
        <w:t xml:space="preserve"> 500 to &lt; 5,000</w:t>
      </w:r>
    </w:p>
    <w:p w14:paraId="4FF387E2" w14:textId="393071D5" w:rsidR="0080448C" w:rsidRPr="00CD4FAB" w:rsidRDefault="00A427BF" w:rsidP="00D221AB">
      <w:pPr>
        <w:spacing w:after="120"/>
      </w:pPr>
      <w:r w:rsidRPr="00D221AB">
        <w:rPr>
          <w:rFonts w:ascii="Arial Narrow" w:hAnsi="Arial Narrow" w:cstheme="minorHAnsi"/>
          <w:bCs/>
          <w:i/>
          <w:iCs/>
          <w:sz w:val="18"/>
          <w:szCs w:val="18"/>
          <w:vertAlign w:val="superscript"/>
          <w:lang w:eastAsia="en-AU"/>
        </w:rPr>
        <w:t>3</w:t>
      </w:r>
      <w:r w:rsidRPr="00D221AB">
        <w:rPr>
          <w:rFonts w:ascii="Arial Narrow" w:hAnsi="Arial Narrow" w:cstheme="minorHAnsi"/>
          <w:bCs/>
          <w:i/>
          <w:iCs/>
          <w:sz w:val="18"/>
          <w:szCs w:val="18"/>
          <w:lang w:eastAsia="en-AU"/>
        </w:rPr>
        <w:t xml:space="preserve"> net cost saving</w:t>
      </w:r>
    </w:p>
    <w:p w14:paraId="0C5DC6A5" w14:textId="0F60F6D8" w:rsidR="00ED6786" w:rsidRPr="00CD4FAB" w:rsidRDefault="00ED6786" w:rsidP="00263DD8">
      <w:pPr>
        <w:pStyle w:val="3-BodyText"/>
      </w:pPr>
      <w:r w:rsidRPr="00CD4FAB">
        <w:t xml:space="preserve">The estimated net costs for </w:t>
      </w:r>
      <w:r w:rsidR="00FD4968" w:rsidRPr="00CD4FAB">
        <w:t xml:space="preserve">Option </w:t>
      </w:r>
      <w:r w:rsidRPr="00CD4FAB">
        <w:t>A to the PBS/RPBS a</w:t>
      </w:r>
      <w:r w:rsidR="00F93303" w:rsidRPr="00CD4FAB">
        <w:t>re</w:t>
      </w:r>
      <w:r w:rsidRPr="00CD4FAB">
        <w:t xml:space="preserve"> shown in</w:t>
      </w:r>
      <w:r w:rsidR="00885B14" w:rsidRPr="00CD4FAB">
        <w:t xml:space="preserve"> </w:t>
      </w:r>
      <w:r w:rsidR="00885B14" w:rsidRPr="00CD4FAB">
        <w:fldChar w:fldCharType="begin" w:fldLock="1"/>
      </w:r>
      <w:r w:rsidR="00885B14" w:rsidRPr="00CD4FAB">
        <w:instrText xml:space="preserve"> REF _Ref152327468 \h </w:instrText>
      </w:r>
      <w:r w:rsidR="00263DD8" w:rsidRPr="00CD4FAB">
        <w:instrText xml:space="preserve"> \* MERGEFORMAT </w:instrText>
      </w:r>
      <w:r w:rsidR="00885B14" w:rsidRPr="00CD4FAB">
        <w:fldChar w:fldCharType="separate"/>
      </w:r>
      <w:r w:rsidR="00885DA7" w:rsidRPr="00CD4FAB">
        <w:t xml:space="preserve">Table </w:t>
      </w:r>
      <w:r w:rsidR="00885DA7">
        <w:t>12</w:t>
      </w:r>
      <w:r w:rsidR="00885B14" w:rsidRPr="00CD4FAB">
        <w:fldChar w:fldCharType="end"/>
      </w:r>
      <w:r w:rsidRPr="00CD4FAB">
        <w:t>.</w:t>
      </w:r>
      <w:r w:rsidR="00F651CB" w:rsidRPr="00CD4FAB">
        <w:t xml:space="preserve"> </w:t>
      </w:r>
      <w:r w:rsidR="001043AA" w:rsidRPr="00CD4FAB">
        <w:rPr>
          <w:iCs/>
        </w:rPr>
        <w:t>These estimates assume 35% uptake of neoadjuvant nivolumab in years 1 and 2 and cost offsets in 21% of patients.</w:t>
      </w:r>
      <w:r w:rsidR="006C1D33" w:rsidRPr="00CD4FAB">
        <w:rPr>
          <w:iCs/>
        </w:rPr>
        <w:t xml:space="preserve"> </w:t>
      </w:r>
      <w:r w:rsidR="005C57D0" w:rsidRPr="00CD4FAB">
        <w:rPr>
          <w:iCs/>
        </w:rPr>
        <w:t xml:space="preserve">The offsets are based on the published prices for atezolizumab and </w:t>
      </w:r>
      <w:r w:rsidR="00CD4FAB" w:rsidRPr="00CD4FAB">
        <w:rPr>
          <w:iCs/>
        </w:rPr>
        <w:t>durvalumab and</w:t>
      </w:r>
      <w:r w:rsidR="005C57D0" w:rsidRPr="00CD4FAB">
        <w:rPr>
          <w:iCs/>
        </w:rPr>
        <w:t xml:space="preserve"> known effective price for pembrolizumab.</w:t>
      </w:r>
    </w:p>
    <w:p w14:paraId="45C05F6D" w14:textId="467DB744" w:rsidR="00ED6786" w:rsidRPr="00CD4FAB" w:rsidRDefault="00885B14" w:rsidP="00885B14">
      <w:pPr>
        <w:pStyle w:val="Caption"/>
      </w:pPr>
      <w:bookmarkStart w:id="44" w:name="_Ref152327468"/>
      <w:bookmarkStart w:id="45" w:name="_Toc149569437"/>
      <w:r w:rsidRPr="00CD4FAB">
        <w:t xml:space="preserve">Table </w:t>
      </w:r>
      <w:fldSimple w:instr=" SEQ Table \* ARABIC " w:fldLock="1">
        <w:r w:rsidR="00885DA7">
          <w:rPr>
            <w:noProof/>
          </w:rPr>
          <w:t>12</w:t>
        </w:r>
      </w:fldSimple>
      <w:bookmarkEnd w:id="44"/>
      <w:r w:rsidR="00ED6786" w:rsidRPr="00CD4FAB">
        <w:t>: Estimate of net overall financial impact to the PBS/RPBS</w:t>
      </w:r>
      <w:bookmarkEnd w:id="45"/>
      <w:r w:rsidR="00ED6786" w:rsidRPr="00CD4FAB">
        <w:t>, Option A</w:t>
      </w:r>
      <w:r w:rsidR="00F93303" w:rsidRPr="00CD4FAB">
        <w:t>.</w:t>
      </w:r>
      <w:r w:rsidR="001F73DE" w:rsidRPr="00CD4FAB">
        <w:t xml:space="preserve"> </w:t>
      </w:r>
      <w:r w:rsidR="001043AA" w:rsidRPr="00CD4FAB">
        <w:t>PSCR (</w:t>
      </w:r>
      <w:r w:rsidR="001043AA" w:rsidRPr="00CD4FAB">
        <w:rPr>
          <w:rStyle w:val="CommentReference"/>
          <w:b/>
          <w:szCs w:val="24"/>
        </w:rPr>
        <w:t>uptake 35% in years 1 and 2, 21% offset)</w:t>
      </w:r>
    </w:p>
    <w:tbl>
      <w:tblPr>
        <w:tblW w:w="4971" w:type="pct"/>
        <w:tblLayout w:type="fixed"/>
        <w:tblLook w:val="04A0" w:firstRow="1" w:lastRow="0" w:firstColumn="1" w:lastColumn="0" w:noHBand="0" w:noVBand="1"/>
        <w:tblCaption w:val="Table 12: Estimate of net overall financial impact to the PBS/RPBS, Option A. PSCR (uptake 35% in years 1 and 2, 21% offset)"/>
      </w:tblPr>
      <w:tblGrid>
        <w:gridCol w:w="2154"/>
        <w:gridCol w:w="1137"/>
        <w:gridCol w:w="1139"/>
        <w:gridCol w:w="1135"/>
        <w:gridCol w:w="1135"/>
        <w:gridCol w:w="1135"/>
        <w:gridCol w:w="1130"/>
      </w:tblGrid>
      <w:tr w:rsidR="006E162D" w:rsidRPr="00CD4FAB" w14:paraId="5CCDA3E5" w14:textId="77777777" w:rsidTr="006E162D">
        <w:trPr>
          <w:trHeight w:val="20"/>
        </w:trPr>
        <w:tc>
          <w:tcPr>
            <w:tcW w:w="12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9C33A" w14:textId="77777777" w:rsidR="0080448C" w:rsidRPr="00CD4FAB" w:rsidRDefault="0080448C" w:rsidP="00D221AB">
            <w:pPr>
              <w:pStyle w:val="PBACTableText"/>
              <w:spacing w:before="0" w:after="0"/>
            </w:pPr>
          </w:p>
        </w:tc>
        <w:tc>
          <w:tcPr>
            <w:tcW w:w="634" w:type="pct"/>
            <w:tcBorders>
              <w:top w:val="single" w:sz="4" w:space="0" w:color="auto"/>
              <w:left w:val="nil"/>
              <w:bottom w:val="single" w:sz="4" w:space="0" w:color="auto"/>
              <w:right w:val="single" w:sz="4" w:space="0" w:color="auto"/>
            </w:tcBorders>
            <w:shd w:val="clear" w:color="auto" w:fill="auto"/>
            <w:noWrap/>
            <w:vAlign w:val="center"/>
          </w:tcPr>
          <w:p w14:paraId="77632763" w14:textId="77777777" w:rsidR="00ED6786" w:rsidRPr="008C2798" w:rsidRDefault="00ED6786" w:rsidP="00233CFE">
            <w:pPr>
              <w:pStyle w:val="In-tableHeading"/>
              <w:jc w:val="center"/>
              <w:rPr>
                <w:szCs w:val="20"/>
                <w:lang w:val="en-AU"/>
              </w:rPr>
            </w:pPr>
            <w:r w:rsidRPr="008C2798">
              <w:rPr>
                <w:szCs w:val="20"/>
                <w:lang w:val="en-AU"/>
              </w:rPr>
              <w:t>2024</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31EAFE53" w14:textId="77777777" w:rsidR="00ED6786" w:rsidRPr="008C2798" w:rsidRDefault="00ED6786" w:rsidP="00233CFE">
            <w:pPr>
              <w:pStyle w:val="In-tableHeading"/>
              <w:jc w:val="center"/>
              <w:rPr>
                <w:szCs w:val="20"/>
                <w:lang w:val="en-AU"/>
              </w:rPr>
            </w:pPr>
            <w:r w:rsidRPr="008C2798">
              <w:rPr>
                <w:szCs w:val="20"/>
                <w:lang w:val="en-AU"/>
              </w:rPr>
              <w:t>2025</w:t>
            </w:r>
          </w:p>
        </w:tc>
        <w:tc>
          <w:tcPr>
            <w:tcW w:w="633" w:type="pct"/>
            <w:tcBorders>
              <w:top w:val="single" w:sz="4" w:space="0" w:color="auto"/>
              <w:left w:val="nil"/>
              <w:bottom w:val="single" w:sz="4" w:space="0" w:color="auto"/>
              <w:right w:val="single" w:sz="4" w:space="0" w:color="auto"/>
            </w:tcBorders>
            <w:shd w:val="clear" w:color="auto" w:fill="auto"/>
            <w:noWrap/>
            <w:vAlign w:val="center"/>
          </w:tcPr>
          <w:p w14:paraId="1F2B72EC" w14:textId="77777777" w:rsidR="00ED6786" w:rsidRPr="008C2798" w:rsidRDefault="00ED6786" w:rsidP="00233CFE">
            <w:pPr>
              <w:pStyle w:val="In-tableHeading"/>
              <w:jc w:val="center"/>
              <w:rPr>
                <w:szCs w:val="20"/>
                <w:lang w:val="en-AU"/>
              </w:rPr>
            </w:pPr>
            <w:r w:rsidRPr="008C2798">
              <w:rPr>
                <w:szCs w:val="20"/>
                <w:lang w:val="en-AU"/>
              </w:rPr>
              <w:t>2026</w:t>
            </w:r>
          </w:p>
        </w:tc>
        <w:tc>
          <w:tcPr>
            <w:tcW w:w="633" w:type="pct"/>
            <w:tcBorders>
              <w:top w:val="single" w:sz="4" w:space="0" w:color="auto"/>
              <w:left w:val="nil"/>
              <w:bottom w:val="single" w:sz="4" w:space="0" w:color="auto"/>
              <w:right w:val="single" w:sz="4" w:space="0" w:color="auto"/>
            </w:tcBorders>
            <w:shd w:val="clear" w:color="auto" w:fill="auto"/>
            <w:noWrap/>
            <w:vAlign w:val="center"/>
          </w:tcPr>
          <w:p w14:paraId="60E4871F" w14:textId="77777777" w:rsidR="00ED6786" w:rsidRPr="008C2798" w:rsidRDefault="00ED6786" w:rsidP="00233CFE">
            <w:pPr>
              <w:pStyle w:val="In-tableHeading"/>
              <w:jc w:val="center"/>
              <w:rPr>
                <w:szCs w:val="20"/>
                <w:lang w:val="en-AU"/>
              </w:rPr>
            </w:pPr>
            <w:r w:rsidRPr="008C2798">
              <w:rPr>
                <w:szCs w:val="20"/>
                <w:lang w:val="en-AU"/>
              </w:rPr>
              <w:t>2027</w:t>
            </w:r>
          </w:p>
        </w:tc>
        <w:tc>
          <w:tcPr>
            <w:tcW w:w="633" w:type="pct"/>
            <w:tcBorders>
              <w:top w:val="single" w:sz="4" w:space="0" w:color="auto"/>
              <w:left w:val="nil"/>
              <w:bottom w:val="single" w:sz="4" w:space="0" w:color="auto"/>
              <w:right w:val="single" w:sz="4" w:space="0" w:color="auto"/>
            </w:tcBorders>
            <w:shd w:val="clear" w:color="auto" w:fill="auto"/>
            <w:noWrap/>
            <w:vAlign w:val="center"/>
          </w:tcPr>
          <w:p w14:paraId="3A20A3BA" w14:textId="77777777" w:rsidR="00ED6786" w:rsidRPr="008C2798" w:rsidRDefault="00ED6786" w:rsidP="00233CFE">
            <w:pPr>
              <w:pStyle w:val="In-tableHeading"/>
              <w:jc w:val="center"/>
              <w:rPr>
                <w:szCs w:val="20"/>
                <w:lang w:val="en-AU"/>
              </w:rPr>
            </w:pPr>
            <w:r w:rsidRPr="008C2798">
              <w:rPr>
                <w:szCs w:val="20"/>
                <w:lang w:val="en-AU"/>
              </w:rPr>
              <w:t>2028</w:t>
            </w: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1135ECE4" w14:textId="77777777" w:rsidR="00ED6786" w:rsidRPr="008C2798" w:rsidRDefault="00ED6786" w:rsidP="00233CFE">
            <w:pPr>
              <w:pStyle w:val="In-tableHeading"/>
              <w:jc w:val="center"/>
              <w:rPr>
                <w:szCs w:val="20"/>
                <w:lang w:val="en-AU"/>
              </w:rPr>
            </w:pPr>
            <w:r w:rsidRPr="008C2798">
              <w:rPr>
                <w:szCs w:val="20"/>
                <w:lang w:val="en-AU"/>
              </w:rPr>
              <w:t>2029</w:t>
            </w:r>
          </w:p>
        </w:tc>
      </w:tr>
      <w:tr w:rsidR="006E162D" w:rsidRPr="00CD4FAB" w14:paraId="0B1B859B" w14:textId="77777777" w:rsidTr="006E162D">
        <w:trPr>
          <w:trHeight w:val="20"/>
        </w:trPr>
        <w:tc>
          <w:tcPr>
            <w:tcW w:w="1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56374" w14:textId="4F5920FD" w:rsidR="007F4AC7" w:rsidRPr="00CD4FAB" w:rsidRDefault="007F4AC7" w:rsidP="00D221AB">
            <w:pPr>
              <w:pStyle w:val="PBACTableText"/>
              <w:spacing w:before="0" w:after="0"/>
            </w:pPr>
            <w:r w:rsidRPr="00CD4FAB">
              <w:t>Cost to PBS/RPBS (neoNIVO)</w:t>
            </w:r>
            <w:r w:rsidR="00556B0E">
              <w:t xml:space="preserve"> </w:t>
            </w:r>
          </w:p>
        </w:tc>
        <w:tc>
          <w:tcPr>
            <w:tcW w:w="634" w:type="pct"/>
            <w:tcBorders>
              <w:top w:val="single" w:sz="4" w:space="0" w:color="auto"/>
              <w:left w:val="nil"/>
              <w:bottom w:val="single" w:sz="4" w:space="0" w:color="auto"/>
              <w:right w:val="single" w:sz="4" w:space="0" w:color="auto"/>
            </w:tcBorders>
            <w:shd w:val="clear" w:color="auto" w:fill="auto"/>
            <w:noWrap/>
            <w:vAlign w:val="center"/>
          </w:tcPr>
          <w:p w14:paraId="47953C1F" w14:textId="74BB829F" w:rsidR="007F4AC7" w:rsidRPr="00D221AB" w:rsidRDefault="00924D5E" w:rsidP="00D221AB">
            <w:pPr>
              <w:pStyle w:val="PBACTableText"/>
              <w:spacing w:before="0" w:after="0"/>
              <w:jc w:val="center"/>
              <w:rPr>
                <w:highlight w:val="lightGray"/>
                <w:vertAlign w:val="superscript"/>
              </w:rPr>
            </w:pPr>
            <w:r w:rsidRPr="00924D5E">
              <w:rPr>
                <w:rFonts w:hint="eastAsia"/>
                <w:color w:val="000000"/>
                <w:w w:val="19"/>
                <w:shd w:val="solid" w:color="000000" w:fill="000000"/>
                <w:fitText w:val="88" w:id="-961835252"/>
                <w14:textFill>
                  <w14:solidFill>
                    <w14:srgbClr w14:val="000000">
                      <w14:alpha w14:val="100000"/>
                    </w14:srgbClr>
                  </w14:solidFill>
                </w14:textFill>
              </w:rPr>
              <w:t xml:space="preserve">　</w:t>
            </w:r>
            <w:r w:rsidRPr="00924D5E">
              <w:rPr>
                <w:color w:val="000000"/>
                <w:w w:val="19"/>
                <w:shd w:val="solid" w:color="000000" w:fill="000000"/>
                <w:fitText w:val="88" w:id="-961835252"/>
                <w14:textFill>
                  <w14:solidFill>
                    <w14:srgbClr w14:val="000000">
                      <w14:alpha w14:val="100000"/>
                    </w14:srgbClr>
                  </w14:solidFill>
                </w14:textFill>
              </w:rPr>
              <w:t>|</w:t>
            </w:r>
            <w:r w:rsidRPr="00924D5E">
              <w:rPr>
                <w:rFonts w:hint="eastAsia"/>
                <w:color w:val="000000"/>
                <w:spacing w:val="4"/>
                <w:w w:val="19"/>
                <w:shd w:val="solid" w:color="000000" w:fill="000000"/>
                <w:fitText w:val="88" w:id="-961835252"/>
                <w14:textFill>
                  <w14:solidFill>
                    <w14:srgbClr w14:val="000000">
                      <w14:alpha w14:val="100000"/>
                    </w14:srgbClr>
                  </w14:solidFill>
                </w14:textFill>
              </w:rPr>
              <w:t xml:space="preserve">　</w:t>
            </w:r>
            <w:r w:rsidR="00556B0E" w:rsidRPr="00D221AB">
              <w:rPr>
                <w:vertAlign w:val="superscript"/>
              </w:rPr>
              <w:t>1</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43304914" w14:textId="3091F432" w:rsidR="007F4AC7" w:rsidRPr="00D221AB" w:rsidRDefault="00924D5E" w:rsidP="00D221AB">
            <w:pPr>
              <w:pStyle w:val="PBACTableText"/>
              <w:spacing w:before="0" w:after="0"/>
              <w:jc w:val="center"/>
              <w:rPr>
                <w:highlight w:val="lightGray"/>
              </w:rPr>
            </w:pPr>
            <w:r w:rsidRPr="00924D5E">
              <w:rPr>
                <w:rFonts w:hint="eastAsia"/>
                <w:color w:val="000000"/>
                <w:w w:val="19"/>
                <w:shd w:val="solid" w:color="000000" w:fill="000000"/>
                <w:fitText w:val="88" w:id="-961835251"/>
                <w14:textFill>
                  <w14:solidFill>
                    <w14:srgbClr w14:val="000000">
                      <w14:alpha w14:val="100000"/>
                    </w14:srgbClr>
                  </w14:solidFill>
                </w14:textFill>
              </w:rPr>
              <w:t xml:space="preserve">　</w:t>
            </w:r>
            <w:r w:rsidRPr="00924D5E">
              <w:rPr>
                <w:color w:val="000000"/>
                <w:w w:val="19"/>
                <w:shd w:val="solid" w:color="000000" w:fill="000000"/>
                <w:fitText w:val="88" w:id="-961835251"/>
                <w14:textFill>
                  <w14:solidFill>
                    <w14:srgbClr w14:val="000000">
                      <w14:alpha w14:val="100000"/>
                    </w14:srgbClr>
                  </w14:solidFill>
                </w14:textFill>
              </w:rPr>
              <w:t>|</w:t>
            </w:r>
            <w:r w:rsidRPr="00924D5E">
              <w:rPr>
                <w:rFonts w:hint="eastAsia"/>
                <w:color w:val="000000"/>
                <w:spacing w:val="4"/>
                <w:w w:val="19"/>
                <w:shd w:val="solid" w:color="000000" w:fill="000000"/>
                <w:fitText w:val="88" w:id="-961835251"/>
                <w14:textFill>
                  <w14:solidFill>
                    <w14:srgbClr w14:val="000000">
                      <w14:alpha w14:val="100000"/>
                    </w14:srgbClr>
                  </w14:solidFill>
                </w14:textFill>
              </w:rPr>
              <w:t xml:space="preserve">　</w:t>
            </w:r>
            <w:r w:rsidR="00556B0E" w:rsidRPr="00162C9D">
              <w:rPr>
                <w:vertAlign w:val="superscript"/>
              </w:rPr>
              <w:t>1</w:t>
            </w:r>
          </w:p>
        </w:tc>
        <w:tc>
          <w:tcPr>
            <w:tcW w:w="633" w:type="pct"/>
            <w:tcBorders>
              <w:top w:val="single" w:sz="4" w:space="0" w:color="auto"/>
              <w:left w:val="nil"/>
              <w:bottom w:val="single" w:sz="4" w:space="0" w:color="auto"/>
              <w:right w:val="single" w:sz="4" w:space="0" w:color="auto"/>
            </w:tcBorders>
            <w:shd w:val="clear" w:color="auto" w:fill="auto"/>
            <w:noWrap/>
            <w:vAlign w:val="center"/>
          </w:tcPr>
          <w:p w14:paraId="2E70599C" w14:textId="24C2294E" w:rsidR="007F4AC7" w:rsidRPr="00D221AB" w:rsidRDefault="00924D5E" w:rsidP="00D221AB">
            <w:pPr>
              <w:pStyle w:val="PBACTableText"/>
              <w:spacing w:before="0" w:after="0"/>
              <w:jc w:val="center"/>
              <w:rPr>
                <w:highlight w:val="lightGray"/>
              </w:rPr>
            </w:pPr>
            <w:r w:rsidRPr="00924D5E">
              <w:rPr>
                <w:rFonts w:hint="eastAsia"/>
                <w:color w:val="000000"/>
                <w:w w:val="19"/>
                <w:shd w:val="solid" w:color="000000" w:fill="000000"/>
                <w:fitText w:val="87" w:id="-961835250"/>
                <w14:textFill>
                  <w14:solidFill>
                    <w14:srgbClr w14:val="000000">
                      <w14:alpha w14:val="100000"/>
                    </w14:srgbClr>
                  </w14:solidFill>
                </w14:textFill>
              </w:rPr>
              <w:t xml:space="preserve">　</w:t>
            </w:r>
            <w:r w:rsidRPr="00924D5E">
              <w:rPr>
                <w:color w:val="000000"/>
                <w:w w:val="19"/>
                <w:shd w:val="solid" w:color="000000" w:fill="000000"/>
                <w:fitText w:val="87" w:id="-961835250"/>
                <w14:textFill>
                  <w14:solidFill>
                    <w14:srgbClr w14:val="000000">
                      <w14:alpha w14:val="100000"/>
                    </w14:srgbClr>
                  </w14:solidFill>
                </w14:textFill>
              </w:rPr>
              <w:t>|</w:t>
            </w:r>
            <w:r w:rsidRPr="00924D5E">
              <w:rPr>
                <w:rFonts w:hint="eastAsia"/>
                <w:color w:val="000000"/>
                <w:spacing w:val="3"/>
                <w:w w:val="19"/>
                <w:shd w:val="solid" w:color="000000" w:fill="000000"/>
                <w:fitText w:val="87" w:id="-961835250"/>
                <w14:textFill>
                  <w14:solidFill>
                    <w14:srgbClr w14:val="000000">
                      <w14:alpha w14:val="100000"/>
                    </w14:srgbClr>
                  </w14:solidFill>
                </w14:textFill>
              </w:rPr>
              <w:t xml:space="preserve">　</w:t>
            </w:r>
            <w:r w:rsidR="00556B0E">
              <w:rPr>
                <w:vertAlign w:val="superscript"/>
              </w:rPr>
              <w:t>2</w:t>
            </w:r>
          </w:p>
        </w:tc>
        <w:tc>
          <w:tcPr>
            <w:tcW w:w="633" w:type="pct"/>
            <w:tcBorders>
              <w:top w:val="single" w:sz="4" w:space="0" w:color="auto"/>
              <w:left w:val="nil"/>
              <w:bottom w:val="single" w:sz="4" w:space="0" w:color="auto"/>
              <w:right w:val="single" w:sz="4" w:space="0" w:color="auto"/>
            </w:tcBorders>
            <w:shd w:val="clear" w:color="auto" w:fill="auto"/>
            <w:noWrap/>
            <w:vAlign w:val="center"/>
          </w:tcPr>
          <w:p w14:paraId="272A8B3E" w14:textId="2DE52540" w:rsidR="007F4AC7" w:rsidRPr="00D221AB" w:rsidRDefault="00924D5E" w:rsidP="00D221AB">
            <w:pPr>
              <w:pStyle w:val="PBACTableText"/>
              <w:spacing w:before="0" w:after="0"/>
              <w:jc w:val="center"/>
              <w:rPr>
                <w:highlight w:val="lightGray"/>
              </w:rPr>
            </w:pPr>
            <w:r w:rsidRPr="00924D5E">
              <w:rPr>
                <w:rFonts w:hint="eastAsia"/>
                <w:color w:val="000000"/>
                <w:w w:val="19"/>
                <w:shd w:val="solid" w:color="000000" w:fill="000000"/>
                <w:fitText w:val="87" w:id="-961835249"/>
                <w14:textFill>
                  <w14:solidFill>
                    <w14:srgbClr w14:val="000000">
                      <w14:alpha w14:val="100000"/>
                    </w14:srgbClr>
                  </w14:solidFill>
                </w14:textFill>
              </w:rPr>
              <w:t xml:space="preserve">　</w:t>
            </w:r>
            <w:r w:rsidRPr="00924D5E">
              <w:rPr>
                <w:color w:val="000000"/>
                <w:w w:val="19"/>
                <w:shd w:val="solid" w:color="000000" w:fill="000000"/>
                <w:fitText w:val="87" w:id="-961835249"/>
                <w14:textFill>
                  <w14:solidFill>
                    <w14:srgbClr w14:val="000000">
                      <w14:alpha w14:val="100000"/>
                    </w14:srgbClr>
                  </w14:solidFill>
                </w14:textFill>
              </w:rPr>
              <w:t>|</w:t>
            </w:r>
            <w:r w:rsidRPr="00924D5E">
              <w:rPr>
                <w:rFonts w:hint="eastAsia"/>
                <w:color w:val="000000"/>
                <w:spacing w:val="3"/>
                <w:w w:val="19"/>
                <w:shd w:val="solid" w:color="000000" w:fill="000000"/>
                <w:fitText w:val="87" w:id="-961835249"/>
                <w14:textFill>
                  <w14:solidFill>
                    <w14:srgbClr w14:val="000000">
                      <w14:alpha w14:val="100000"/>
                    </w14:srgbClr>
                  </w14:solidFill>
                </w14:textFill>
              </w:rPr>
              <w:t xml:space="preserve">　</w:t>
            </w:r>
            <w:r w:rsidR="00556B0E">
              <w:rPr>
                <w:vertAlign w:val="superscript"/>
              </w:rPr>
              <w:t>2</w:t>
            </w:r>
          </w:p>
        </w:tc>
        <w:tc>
          <w:tcPr>
            <w:tcW w:w="633" w:type="pct"/>
            <w:tcBorders>
              <w:top w:val="single" w:sz="4" w:space="0" w:color="auto"/>
              <w:left w:val="nil"/>
              <w:bottom w:val="single" w:sz="4" w:space="0" w:color="auto"/>
              <w:right w:val="single" w:sz="4" w:space="0" w:color="auto"/>
            </w:tcBorders>
            <w:shd w:val="clear" w:color="auto" w:fill="auto"/>
            <w:noWrap/>
            <w:vAlign w:val="center"/>
          </w:tcPr>
          <w:p w14:paraId="262C8DA3" w14:textId="6B2E0320" w:rsidR="007F4AC7" w:rsidRPr="00D221AB" w:rsidRDefault="00924D5E" w:rsidP="00D221AB">
            <w:pPr>
              <w:pStyle w:val="PBACTableText"/>
              <w:spacing w:before="0" w:after="0"/>
              <w:jc w:val="center"/>
              <w:rPr>
                <w:highlight w:val="lightGray"/>
              </w:rPr>
            </w:pPr>
            <w:r w:rsidRPr="00924D5E">
              <w:rPr>
                <w:rFonts w:hint="eastAsia"/>
                <w:color w:val="000000"/>
                <w:w w:val="19"/>
                <w:shd w:val="solid" w:color="000000" w:fill="000000"/>
                <w:fitText w:val="88" w:id="-961835248"/>
                <w14:textFill>
                  <w14:solidFill>
                    <w14:srgbClr w14:val="000000">
                      <w14:alpha w14:val="100000"/>
                    </w14:srgbClr>
                  </w14:solidFill>
                </w14:textFill>
              </w:rPr>
              <w:t xml:space="preserve">　</w:t>
            </w:r>
            <w:r w:rsidRPr="00924D5E">
              <w:rPr>
                <w:color w:val="000000"/>
                <w:w w:val="19"/>
                <w:shd w:val="solid" w:color="000000" w:fill="000000"/>
                <w:fitText w:val="88" w:id="-961835248"/>
                <w14:textFill>
                  <w14:solidFill>
                    <w14:srgbClr w14:val="000000">
                      <w14:alpha w14:val="100000"/>
                    </w14:srgbClr>
                  </w14:solidFill>
                </w14:textFill>
              </w:rPr>
              <w:t>|</w:t>
            </w:r>
            <w:r w:rsidRPr="00924D5E">
              <w:rPr>
                <w:rFonts w:hint="eastAsia"/>
                <w:color w:val="000000"/>
                <w:spacing w:val="4"/>
                <w:w w:val="19"/>
                <w:shd w:val="solid" w:color="000000" w:fill="000000"/>
                <w:fitText w:val="88" w:id="-961835248"/>
                <w14:textFill>
                  <w14:solidFill>
                    <w14:srgbClr w14:val="000000">
                      <w14:alpha w14:val="100000"/>
                    </w14:srgbClr>
                  </w14:solidFill>
                </w14:textFill>
              </w:rPr>
              <w:t xml:space="preserve">　</w:t>
            </w:r>
            <w:r w:rsidR="00556B0E">
              <w:rPr>
                <w:vertAlign w:val="superscript"/>
              </w:rPr>
              <w:t>2</w:t>
            </w: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16425DF7" w14:textId="6B9FB752" w:rsidR="007F4AC7" w:rsidRPr="00D221AB" w:rsidRDefault="00924D5E" w:rsidP="00D221AB">
            <w:pPr>
              <w:pStyle w:val="PBACTableText"/>
              <w:spacing w:before="0" w:after="0"/>
              <w:jc w:val="center"/>
              <w:rPr>
                <w:highlight w:val="lightGray"/>
              </w:rPr>
            </w:pPr>
            <w:r w:rsidRPr="00924D5E">
              <w:rPr>
                <w:rFonts w:hint="eastAsia"/>
                <w:color w:val="000000"/>
                <w:w w:val="19"/>
                <w:shd w:val="solid" w:color="000000" w:fill="000000"/>
                <w:fitText w:val="88" w:id="-961835264"/>
                <w14:textFill>
                  <w14:solidFill>
                    <w14:srgbClr w14:val="000000">
                      <w14:alpha w14:val="100000"/>
                    </w14:srgbClr>
                  </w14:solidFill>
                </w14:textFill>
              </w:rPr>
              <w:t xml:space="preserve">　</w:t>
            </w:r>
            <w:r w:rsidRPr="00924D5E">
              <w:rPr>
                <w:color w:val="000000"/>
                <w:w w:val="19"/>
                <w:shd w:val="solid" w:color="000000" w:fill="000000"/>
                <w:fitText w:val="88" w:id="-961835264"/>
                <w14:textFill>
                  <w14:solidFill>
                    <w14:srgbClr w14:val="000000">
                      <w14:alpha w14:val="100000"/>
                    </w14:srgbClr>
                  </w14:solidFill>
                </w14:textFill>
              </w:rPr>
              <w:t>|</w:t>
            </w:r>
            <w:r w:rsidRPr="00924D5E">
              <w:rPr>
                <w:rFonts w:hint="eastAsia"/>
                <w:color w:val="000000"/>
                <w:spacing w:val="4"/>
                <w:w w:val="19"/>
                <w:shd w:val="solid" w:color="000000" w:fill="000000"/>
                <w:fitText w:val="88" w:id="-961835264"/>
                <w14:textFill>
                  <w14:solidFill>
                    <w14:srgbClr w14:val="000000">
                      <w14:alpha w14:val="100000"/>
                    </w14:srgbClr>
                  </w14:solidFill>
                </w14:textFill>
              </w:rPr>
              <w:t xml:space="preserve">　</w:t>
            </w:r>
            <w:r w:rsidR="00556B0E">
              <w:rPr>
                <w:vertAlign w:val="superscript"/>
              </w:rPr>
              <w:t>2</w:t>
            </w:r>
          </w:p>
        </w:tc>
      </w:tr>
      <w:tr w:rsidR="006E162D" w:rsidRPr="00CD4FAB" w14:paraId="7610BF32" w14:textId="77777777" w:rsidTr="006E162D">
        <w:trPr>
          <w:trHeight w:val="20"/>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39E1399D" w14:textId="2858217F" w:rsidR="007F4AC7" w:rsidRPr="00CD4FAB" w:rsidRDefault="007F4AC7" w:rsidP="00D221AB">
            <w:pPr>
              <w:pStyle w:val="PBACTableText"/>
              <w:spacing w:before="0" w:after="0"/>
            </w:pPr>
            <w:r w:rsidRPr="00CD4FAB">
              <w:t>Cost offset to PBS/RPBS (reduced immunotherapy use in other contexts)</w:t>
            </w:r>
            <w:r w:rsidR="00556B0E">
              <w:t xml:space="preserve"> </w:t>
            </w:r>
          </w:p>
        </w:tc>
        <w:tc>
          <w:tcPr>
            <w:tcW w:w="634" w:type="pct"/>
            <w:tcBorders>
              <w:top w:val="nil"/>
              <w:left w:val="nil"/>
              <w:bottom w:val="single" w:sz="4" w:space="0" w:color="auto"/>
              <w:right w:val="single" w:sz="4" w:space="0" w:color="auto"/>
            </w:tcBorders>
            <w:shd w:val="clear" w:color="auto" w:fill="auto"/>
            <w:vAlign w:val="center"/>
          </w:tcPr>
          <w:p w14:paraId="106C1F9E" w14:textId="0339D178" w:rsidR="007F4AC7" w:rsidRPr="00D221AB" w:rsidRDefault="00924D5E" w:rsidP="00D221AB">
            <w:pPr>
              <w:pStyle w:val="PBACTableText"/>
              <w:spacing w:before="0" w:after="0"/>
              <w:jc w:val="center"/>
              <w:rPr>
                <w:highlight w:val="lightGray"/>
              </w:rPr>
            </w:pPr>
            <w:r w:rsidRPr="00924D5E">
              <w:rPr>
                <w:rFonts w:hint="eastAsia"/>
                <w:color w:val="000000"/>
                <w:w w:val="19"/>
                <w:shd w:val="solid" w:color="000000" w:fill="000000"/>
                <w:fitText w:val="88" w:id="-961835263"/>
                <w14:textFill>
                  <w14:solidFill>
                    <w14:srgbClr w14:val="000000">
                      <w14:alpha w14:val="100000"/>
                    </w14:srgbClr>
                  </w14:solidFill>
                </w14:textFill>
              </w:rPr>
              <w:t xml:space="preserve">　</w:t>
            </w:r>
            <w:r w:rsidRPr="00924D5E">
              <w:rPr>
                <w:color w:val="000000"/>
                <w:w w:val="19"/>
                <w:shd w:val="solid" w:color="000000" w:fill="000000"/>
                <w:fitText w:val="88" w:id="-961835263"/>
                <w14:textFill>
                  <w14:solidFill>
                    <w14:srgbClr w14:val="000000">
                      <w14:alpha w14:val="100000"/>
                    </w14:srgbClr>
                  </w14:solidFill>
                </w14:textFill>
              </w:rPr>
              <w:t>|</w:t>
            </w:r>
            <w:r w:rsidRPr="00924D5E">
              <w:rPr>
                <w:rFonts w:hint="eastAsia"/>
                <w:color w:val="000000"/>
                <w:spacing w:val="4"/>
                <w:w w:val="19"/>
                <w:shd w:val="solid" w:color="000000" w:fill="000000"/>
                <w:fitText w:val="88" w:id="-961835263"/>
                <w14:textFill>
                  <w14:solidFill>
                    <w14:srgbClr w14:val="000000">
                      <w14:alpha w14:val="100000"/>
                    </w14:srgbClr>
                  </w14:solidFill>
                </w14:textFill>
              </w:rPr>
              <w:t xml:space="preserve">　</w:t>
            </w:r>
            <w:r w:rsidR="00556B0E">
              <w:rPr>
                <w:vertAlign w:val="superscript"/>
              </w:rPr>
              <w:t>3</w:t>
            </w:r>
          </w:p>
        </w:tc>
        <w:tc>
          <w:tcPr>
            <w:tcW w:w="635" w:type="pct"/>
            <w:tcBorders>
              <w:top w:val="nil"/>
              <w:left w:val="nil"/>
              <w:bottom w:val="single" w:sz="4" w:space="0" w:color="auto"/>
              <w:right w:val="single" w:sz="4" w:space="0" w:color="auto"/>
            </w:tcBorders>
            <w:shd w:val="clear" w:color="auto" w:fill="auto"/>
            <w:vAlign w:val="center"/>
          </w:tcPr>
          <w:p w14:paraId="1F05B33D" w14:textId="24B71E63" w:rsidR="007F4AC7" w:rsidRPr="00D221AB" w:rsidRDefault="00924D5E" w:rsidP="00D221AB">
            <w:pPr>
              <w:pStyle w:val="PBACTableText"/>
              <w:spacing w:before="0" w:after="0"/>
              <w:jc w:val="center"/>
              <w:rPr>
                <w:highlight w:val="lightGray"/>
              </w:rPr>
            </w:pPr>
            <w:r w:rsidRPr="00924D5E">
              <w:rPr>
                <w:rFonts w:hint="eastAsia"/>
                <w:color w:val="000000"/>
                <w:w w:val="19"/>
                <w:shd w:val="solid" w:color="000000" w:fill="000000"/>
                <w:fitText w:val="88" w:id="-961835262"/>
                <w14:textFill>
                  <w14:solidFill>
                    <w14:srgbClr w14:val="000000">
                      <w14:alpha w14:val="100000"/>
                    </w14:srgbClr>
                  </w14:solidFill>
                </w14:textFill>
              </w:rPr>
              <w:t xml:space="preserve">　</w:t>
            </w:r>
            <w:r w:rsidRPr="00924D5E">
              <w:rPr>
                <w:color w:val="000000"/>
                <w:w w:val="19"/>
                <w:shd w:val="solid" w:color="000000" w:fill="000000"/>
                <w:fitText w:val="88" w:id="-961835262"/>
                <w14:textFill>
                  <w14:solidFill>
                    <w14:srgbClr w14:val="000000">
                      <w14:alpha w14:val="100000"/>
                    </w14:srgbClr>
                  </w14:solidFill>
                </w14:textFill>
              </w:rPr>
              <w:t>|</w:t>
            </w:r>
            <w:r w:rsidRPr="00924D5E">
              <w:rPr>
                <w:rFonts w:hint="eastAsia"/>
                <w:color w:val="000000"/>
                <w:spacing w:val="4"/>
                <w:w w:val="19"/>
                <w:shd w:val="solid" w:color="000000" w:fill="000000"/>
                <w:fitText w:val="88" w:id="-961835262"/>
                <w14:textFill>
                  <w14:solidFill>
                    <w14:srgbClr w14:val="000000">
                      <w14:alpha w14:val="100000"/>
                    </w14:srgbClr>
                  </w14:solidFill>
                </w14:textFill>
              </w:rPr>
              <w:t xml:space="preserve">　</w:t>
            </w:r>
            <w:r w:rsidR="00556B0E">
              <w:rPr>
                <w:vertAlign w:val="superscript"/>
              </w:rPr>
              <w:t>3</w:t>
            </w:r>
          </w:p>
        </w:tc>
        <w:tc>
          <w:tcPr>
            <w:tcW w:w="633" w:type="pct"/>
            <w:tcBorders>
              <w:top w:val="nil"/>
              <w:left w:val="nil"/>
              <w:bottom w:val="single" w:sz="4" w:space="0" w:color="auto"/>
              <w:right w:val="single" w:sz="4" w:space="0" w:color="auto"/>
            </w:tcBorders>
            <w:shd w:val="clear" w:color="auto" w:fill="auto"/>
            <w:vAlign w:val="center"/>
          </w:tcPr>
          <w:p w14:paraId="38B9DF89" w14:textId="6AD92CF8" w:rsidR="007F4AC7" w:rsidRPr="00D221AB" w:rsidRDefault="00924D5E" w:rsidP="00D221AB">
            <w:pPr>
              <w:pStyle w:val="PBACTableText"/>
              <w:spacing w:before="0" w:after="0"/>
              <w:jc w:val="center"/>
              <w:rPr>
                <w:highlight w:val="lightGray"/>
              </w:rPr>
            </w:pPr>
            <w:r w:rsidRPr="00924D5E">
              <w:rPr>
                <w:rFonts w:hint="eastAsia"/>
                <w:color w:val="000000"/>
                <w:w w:val="19"/>
                <w:shd w:val="solid" w:color="000000" w:fill="000000"/>
                <w:fitText w:val="87" w:id="-961835261"/>
                <w14:textFill>
                  <w14:solidFill>
                    <w14:srgbClr w14:val="000000">
                      <w14:alpha w14:val="100000"/>
                    </w14:srgbClr>
                  </w14:solidFill>
                </w14:textFill>
              </w:rPr>
              <w:t xml:space="preserve">　</w:t>
            </w:r>
            <w:r w:rsidRPr="00924D5E">
              <w:rPr>
                <w:color w:val="000000"/>
                <w:w w:val="19"/>
                <w:shd w:val="solid" w:color="000000" w:fill="000000"/>
                <w:fitText w:val="87" w:id="-961835261"/>
                <w14:textFill>
                  <w14:solidFill>
                    <w14:srgbClr w14:val="000000">
                      <w14:alpha w14:val="100000"/>
                    </w14:srgbClr>
                  </w14:solidFill>
                </w14:textFill>
              </w:rPr>
              <w:t>|</w:t>
            </w:r>
            <w:r w:rsidRPr="00924D5E">
              <w:rPr>
                <w:rFonts w:hint="eastAsia"/>
                <w:color w:val="000000"/>
                <w:spacing w:val="3"/>
                <w:w w:val="19"/>
                <w:shd w:val="solid" w:color="000000" w:fill="000000"/>
                <w:fitText w:val="87" w:id="-961835261"/>
                <w14:textFill>
                  <w14:solidFill>
                    <w14:srgbClr w14:val="000000">
                      <w14:alpha w14:val="100000"/>
                    </w14:srgbClr>
                  </w14:solidFill>
                </w14:textFill>
              </w:rPr>
              <w:t xml:space="preserve">　</w:t>
            </w:r>
            <w:r w:rsidR="00556B0E">
              <w:rPr>
                <w:vertAlign w:val="superscript"/>
              </w:rPr>
              <w:t>3</w:t>
            </w:r>
          </w:p>
        </w:tc>
        <w:tc>
          <w:tcPr>
            <w:tcW w:w="633" w:type="pct"/>
            <w:tcBorders>
              <w:top w:val="nil"/>
              <w:left w:val="nil"/>
              <w:bottom w:val="single" w:sz="4" w:space="0" w:color="auto"/>
              <w:right w:val="single" w:sz="4" w:space="0" w:color="auto"/>
            </w:tcBorders>
            <w:shd w:val="clear" w:color="auto" w:fill="auto"/>
            <w:vAlign w:val="center"/>
          </w:tcPr>
          <w:p w14:paraId="4DC16356" w14:textId="0F988D9A" w:rsidR="007F4AC7" w:rsidRPr="00D221AB" w:rsidRDefault="00924D5E" w:rsidP="00D221AB">
            <w:pPr>
              <w:pStyle w:val="PBACTableText"/>
              <w:spacing w:before="0" w:after="0"/>
              <w:jc w:val="center"/>
              <w:rPr>
                <w:highlight w:val="lightGray"/>
              </w:rPr>
            </w:pPr>
            <w:r w:rsidRPr="00924D5E">
              <w:rPr>
                <w:rFonts w:hint="eastAsia"/>
                <w:color w:val="000000"/>
                <w:w w:val="19"/>
                <w:shd w:val="solid" w:color="000000" w:fill="000000"/>
                <w:fitText w:val="87" w:id="-961835260"/>
                <w14:textFill>
                  <w14:solidFill>
                    <w14:srgbClr w14:val="000000">
                      <w14:alpha w14:val="100000"/>
                    </w14:srgbClr>
                  </w14:solidFill>
                </w14:textFill>
              </w:rPr>
              <w:t xml:space="preserve">　</w:t>
            </w:r>
            <w:r w:rsidRPr="00924D5E">
              <w:rPr>
                <w:color w:val="000000"/>
                <w:w w:val="19"/>
                <w:shd w:val="solid" w:color="000000" w:fill="000000"/>
                <w:fitText w:val="87" w:id="-961835260"/>
                <w14:textFill>
                  <w14:solidFill>
                    <w14:srgbClr w14:val="000000">
                      <w14:alpha w14:val="100000"/>
                    </w14:srgbClr>
                  </w14:solidFill>
                </w14:textFill>
              </w:rPr>
              <w:t>|</w:t>
            </w:r>
            <w:r w:rsidRPr="00924D5E">
              <w:rPr>
                <w:rFonts w:hint="eastAsia"/>
                <w:color w:val="000000"/>
                <w:spacing w:val="3"/>
                <w:w w:val="19"/>
                <w:shd w:val="solid" w:color="000000" w:fill="000000"/>
                <w:fitText w:val="87" w:id="-961835260"/>
                <w14:textFill>
                  <w14:solidFill>
                    <w14:srgbClr w14:val="000000">
                      <w14:alpha w14:val="100000"/>
                    </w14:srgbClr>
                  </w14:solidFill>
                </w14:textFill>
              </w:rPr>
              <w:t xml:space="preserve">　</w:t>
            </w:r>
            <w:r w:rsidR="00556B0E">
              <w:rPr>
                <w:vertAlign w:val="superscript"/>
              </w:rPr>
              <w:t>3</w:t>
            </w:r>
          </w:p>
        </w:tc>
        <w:tc>
          <w:tcPr>
            <w:tcW w:w="633" w:type="pct"/>
            <w:tcBorders>
              <w:top w:val="nil"/>
              <w:left w:val="nil"/>
              <w:bottom w:val="single" w:sz="4" w:space="0" w:color="auto"/>
              <w:right w:val="single" w:sz="4" w:space="0" w:color="auto"/>
            </w:tcBorders>
            <w:shd w:val="clear" w:color="auto" w:fill="auto"/>
            <w:vAlign w:val="center"/>
          </w:tcPr>
          <w:p w14:paraId="0F0CA88C" w14:textId="544DBDF6" w:rsidR="007F4AC7" w:rsidRPr="00D221AB" w:rsidRDefault="00924D5E" w:rsidP="00D221AB">
            <w:pPr>
              <w:pStyle w:val="PBACTableText"/>
              <w:spacing w:before="0" w:after="0"/>
              <w:jc w:val="center"/>
              <w:rPr>
                <w:highlight w:val="lightGray"/>
              </w:rPr>
            </w:pPr>
            <w:r w:rsidRPr="00924D5E">
              <w:rPr>
                <w:rFonts w:hint="eastAsia"/>
                <w:color w:val="000000"/>
                <w:w w:val="19"/>
                <w:shd w:val="solid" w:color="000000" w:fill="000000"/>
                <w:fitText w:val="88" w:id="-961835259"/>
                <w14:textFill>
                  <w14:solidFill>
                    <w14:srgbClr w14:val="000000">
                      <w14:alpha w14:val="100000"/>
                    </w14:srgbClr>
                  </w14:solidFill>
                </w14:textFill>
              </w:rPr>
              <w:t xml:space="preserve">　</w:t>
            </w:r>
            <w:r w:rsidRPr="00924D5E">
              <w:rPr>
                <w:color w:val="000000"/>
                <w:w w:val="19"/>
                <w:shd w:val="solid" w:color="000000" w:fill="000000"/>
                <w:fitText w:val="88" w:id="-961835259"/>
                <w14:textFill>
                  <w14:solidFill>
                    <w14:srgbClr w14:val="000000">
                      <w14:alpha w14:val="100000"/>
                    </w14:srgbClr>
                  </w14:solidFill>
                </w14:textFill>
              </w:rPr>
              <w:t>|</w:t>
            </w:r>
            <w:r w:rsidRPr="00924D5E">
              <w:rPr>
                <w:rFonts w:hint="eastAsia"/>
                <w:color w:val="000000"/>
                <w:spacing w:val="4"/>
                <w:w w:val="19"/>
                <w:shd w:val="solid" w:color="000000" w:fill="000000"/>
                <w:fitText w:val="88" w:id="-961835259"/>
                <w14:textFill>
                  <w14:solidFill>
                    <w14:srgbClr w14:val="000000">
                      <w14:alpha w14:val="100000"/>
                    </w14:srgbClr>
                  </w14:solidFill>
                </w14:textFill>
              </w:rPr>
              <w:t xml:space="preserve">　</w:t>
            </w:r>
            <w:r w:rsidR="00556B0E">
              <w:rPr>
                <w:vertAlign w:val="superscript"/>
              </w:rPr>
              <w:t>3</w:t>
            </w:r>
          </w:p>
        </w:tc>
        <w:tc>
          <w:tcPr>
            <w:tcW w:w="630" w:type="pct"/>
            <w:tcBorders>
              <w:top w:val="nil"/>
              <w:left w:val="nil"/>
              <w:bottom w:val="single" w:sz="4" w:space="0" w:color="auto"/>
              <w:right w:val="single" w:sz="4" w:space="0" w:color="auto"/>
            </w:tcBorders>
            <w:shd w:val="clear" w:color="auto" w:fill="auto"/>
            <w:vAlign w:val="center"/>
          </w:tcPr>
          <w:p w14:paraId="73AAAF37" w14:textId="216E1A49" w:rsidR="007F4AC7" w:rsidRPr="00D221AB" w:rsidRDefault="00924D5E" w:rsidP="00D221AB">
            <w:pPr>
              <w:pStyle w:val="PBACTableText"/>
              <w:spacing w:before="0" w:after="0"/>
              <w:jc w:val="center"/>
              <w:rPr>
                <w:highlight w:val="lightGray"/>
              </w:rPr>
            </w:pPr>
            <w:r w:rsidRPr="00924D5E">
              <w:rPr>
                <w:rFonts w:hint="eastAsia"/>
                <w:color w:val="000000"/>
                <w:w w:val="19"/>
                <w:shd w:val="solid" w:color="000000" w:fill="000000"/>
                <w:fitText w:val="88" w:id="-961835258"/>
                <w14:textFill>
                  <w14:solidFill>
                    <w14:srgbClr w14:val="000000">
                      <w14:alpha w14:val="100000"/>
                    </w14:srgbClr>
                  </w14:solidFill>
                </w14:textFill>
              </w:rPr>
              <w:t xml:space="preserve">　</w:t>
            </w:r>
            <w:r w:rsidRPr="00924D5E">
              <w:rPr>
                <w:color w:val="000000"/>
                <w:w w:val="19"/>
                <w:shd w:val="solid" w:color="000000" w:fill="000000"/>
                <w:fitText w:val="88" w:id="-961835258"/>
                <w14:textFill>
                  <w14:solidFill>
                    <w14:srgbClr w14:val="000000">
                      <w14:alpha w14:val="100000"/>
                    </w14:srgbClr>
                  </w14:solidFill>
                </w14:textFill>
              </w:rPr>
              <w:t>|</w:t>
            </w:r>
            <w:r w:rsidRPr="00924D5E">
              <w:rPr>
                <w:rFonts w:hint="eastAsia"/>
                <w:color w:val="000000"/>
                <w:spacing w:val="4"/>
                <w:w w:val="19"/>
                <w:shd w:val="solid" w:color="000000" w:fill="000000"/>
                <w:fitText w:val="88" w:id="-961835258"/>
                <w14:textFill>
                  <w14:solidFill>
                    <w14:srgbClr w14:val="000000">
                      <w14:alpha w14:val="100000"/>
                    </w14:srgbClr>
                  </w14:solidFill>
                </w14:textFill>
              </w:rPr>
              <w:t xml:space="preserve">　</w:t>
            </w:r>
            <w:r w:rsidR="00556B0E">
              <w:rPr>
                <w:vertAlign w:val="superscript"/>
              </w:rPr>
              <w:t>3</w:t>
            </w:r>
          </w:p>
        </w:tc>
      </w:tr>
      <w:tr w:rsidR="006E162D" w:rsidRPr="00CD4FAB" w14:paraId="00E83B91" w14:textId="77777777" w:rsidTr="006E162D">
        <w:trPr>
          <w:trHeight w:val="20"/>
        </w:trPr>
        <w:tc>
          <w:tcPr>
            <w:tcW w:w="1201" w:type="pct"/>
            <w:tcBorders>
              <w:top w:val="nil"/>
              <w:left w:val="single" w:sz="4" w:space="0" w:color="auto"/>
              <w:bottom w:val="single" w:sz="4" w:space="0" w:color="auto"/>
              <w:right w:val="single" w:sz="4" w:space="0" w:color="auto"/>
            </w:tcBorders>
            <w:shd w:val="clear" w:color="auto" w:fill="auto"/>
            <w:noWrap/>
            <w:vAlign w:val="center"/>
            <w:hideMark/>
          </w:tcPr>
          <w:p w14:paraId="7B83E8DB" w14:textId="51AB678E" w:rsidR="007F4AC7" w:rsidRPr="00CD4FAB" w:rsidRDefault="007F4AC7" w:rsidP="00D221AB">
            <w:pPr>
              <w:pStyle w:val="PBACTableText"/>
              <w:spacing w:before="0" w:after="0"/>
              <w:rPr>
                <w:b/>
                <w:bCs/>
              </w:rPr>
            </w:pPr>
            <w:r w:rsidRPr="00CD4FAB">
              <w:rPr>
                <w:b/>
                <w:bCs/>
              </w:rPr>
              <w:t>Net cost to PBS/RPBS</w:t>
            </w:r>
          </w:p>
        </w:tc>
        <w:tc>
          <w:tcPr>
            <w:tcW w:w="634" w:type="pct"/>
            <w:tcBorders>
              <w:top w:val="nil"/>
              <w:left w:val="nil"/>
              <w:bottom w:val="single" w:sz="4" w:space="0" w:color="auto"/>
              <w:right w:val="single" w:sz="4" w:space="0" w:color="auto"/>
            </w:tcBorders>
            <w:shd w:val="clear" w:color="auto" w:fill="auto"/>
            <w:noWrap/>
            <w:vAlign w:val="center"/>
          </w:tcPr>
          <w:p w14:paraId="0E8917F7" w14:textId="7ACD4F68" w:rsidR="007F4AC7" w:rsidRPr="00D221AB" w:rsidRDefault="00924D5E" w:rsidP="00D221AB">
            <w:pPr>
              <w:pStyle w:val="PBACTableText"/>
              <w:spacing w:before="0" w:after="0"/>
              <w:jc w:val="center"/>
              <w:rPr>
                <w:b/>
                <w:bCs/>
                <w:highlight w:val="lightGray"/>
              </w:rPr>
            </w:pPr>
            <w:r w:rsidRPr="00924D5E">
              <w:rPr>
                <w:rFonts w:hint="eastAsia"/>
                <w:color w:val="000000"/>
                <w:w w:val="19"/>
                <w:shd w:val="solid" w:color="000000" w:fill="000000"/>
                <w:fitText w:val="88" w:id="-961835257"/>
                <w14:textFill>
                  <w14:solidFill>
                    <w14:srgbClr w14:val="000000">
                      <w14:alpha w14:val="100000"/>
                    </w14:srgbClr>
                  </w14:solidFill>
                </w14:textFill>
              </w:rPr>
              <w:t xml:space="preserve">　</w:t>
            </w:r>
            <w:r w:rsidRPr="00924D5E">
              <w:rPr>
                <w:color w:val="000000"/>
                <w:w w:val="19"/>
                <w:shd w:val="solid" w:color="000000" w:fill="000000"/>
                <w:fitText w:val="88" w:id="-961835257"/>
                <w14:textFill>
                  <w14:solidFill>
                    <w14:srgbClr w14:val="000000">
                      <w14:alpha w14:val="100000"/>
                    </w14:srgbClr>
                  </w14:solidFill>
                </w14:textFill>
              </w:rPr>
              <w:t>|</w:t>
            </w:r>
            <w:r w:rsidRPr="00924D5E">
              <w:rPr>
                <w:rFonts w:hint="eastAsia"/>
                <w:color w:val="000000"/>
                <w:spacing w:val="4"/>
                <w:w w:val="19"/>
                <w:shd w:val="solid" w:color="000000" w:fill="000000"/>
                <w:fitText w:val="88" w:id="-961835257"/>
                <w14:textFill>
                  <w14:solidFill>
                    <w14:srgbClr w14:val="000000">
                      <w14:alpha w14:val="100000"/>
                    </w14:srgbClr>
                  </w14:solidFill>
                </w14:textFill>
              </w:rPr>
              <w:t xml:space="preserve">　</w:t>
            </w:r>
            <w:r w:rsidR="00556B0E">
              <w:rPr>
                <w:vertAlign w:val="superscript"/>
              </w:rPr>
              <w:t>4</w:t>
            </w:r>
          </w:p>
        </w:tc>
        <w:tc>
          <w:tcPr>
            <w:tcW w:w="635" w:type="pct"/>
            <w:tcBorders>
              <w:top w:val="nil"/>
              <w:left w:val="nil"/>
              <w:bottom w:val="single" w:sz="4" w:space="0" w:color="auto"/>
              <w:right w:val="single" w:sz="4" w:space="0" w:color="auto"/>
            </w:tcBorders>
            <w:shd w:val="clear" w:color="auto" w:fill="auto"/>
            <w:noWrap/>
            <w:vAlign w:val="center"/>
          </w:tcPr>
          <w:p w14:paraId="3C6922B1" w14:textId="5B01D868" w:rsidR="007F4AC7" w:rsidRPr="00D221AB" w:rsidRDefault="00924D5E" w:rsidP="00D221AB">
            <w:pPr>
              <w:pStyle w:val="PBACTableText"/>
              <w:spacing w:before="0" w:after="0"/>
              <w:jc w:val="center"/>
              <w:rPr>
                <w:b/>
                <w:bCs/>
                <w:highlight w:val="lightGray"/>
              </w:rPr>
            </w:pPr>
            <w:r w:rsidRPr="00924D5E">
              <w:rPr>
                <w:rFonts w:hint="eastAsia"/>
                <w:color w:val="000000"/>
                <w:w w:val="19"/>
                <w:shd w:val="solid" w:color="000000" w:fill="000000"/>
                <w:fitText w:val="88" w:id="-961835256"/>
                <w14:textFill>
                  <w14:solidFill>
                    <w14:srgbClr w14:val="000000">
                      <w14:alpha w14:val="100000"/>
                    </w14:srgbClr>
                  </w14:solidFill>
                </w14:textFill>
              </w:rPr>
              <w:t xml:space="preserve">　</w:t>
            </w:r>
            <w:r w:rsidRPr="00924D5E">
              <w:rPr>
                <w:color w:val="000000"/>
                <w:w w:val="19"/>
                <w:shd w:val="solid" w:color="000000" w:fill="000000"/>
                <w:fitText w:val="88" w:id="-961835256"/>
                <w14:textFill>
                  <w14:solidFill>
                    <w14:srgbClr w14:val="000000">
                      <w14:alpha w14:val="100000"/>
                    </w14:srgbClr>
                  </w14:solidFill>
                </w14:textFill>
              </w:rPr>
              <w:t>|</w:t>
            </w:r>
            <w:r w:rsidRPr="00924D5E">
              <w:rPr>
                <w:rFonts w:hint="eastAsia"/>
                <w:color w:val="000000"/>
                <w:spacing w:val="4"/>
                <w:w w:val="19"/>
                <w:shd w:val="solid" w:color="000000" w:fill="000000"/>
                <w:fitText w:val="88" w:id="-961835256"/>
                <w14:textFill>
                  <w14:solidFill>
                    <w14:srgbClr w14:val="000000">
                      <w14:alpha w14:val="100000"/>
                    </w14:srgbClr>
                  </w14:solidFill>
                </w14:textFill>
              </w:rPr>
              <w:t xml:space="preserve">　</w:t>
            </w:r>
            <w:r w:rsidR="00556B0E">
              <w:rPr>
                <w:vertAlign w:val="superscript"/>
              </w:rPr>
              <w:t>4</w:t>
            </w:r>
          </w:p>
        </w:tc>
        <w:tc>
          <w:tcPr>
            <w:tcW w:w="633" w:type="pct"/>
            <w:tcBorders>
              <w:top w:val="nil"/>
              <w:left w:val="nil"/>
              <w:bottom w:val="single" w:sz="4" w:space="0" w:color="auto"/>
              <w:right w:val="single" w:sz="4" w:space="0" w:color="auto"/>
            </w:tcBorders>
            <w:shd w:val="clear" w:color="auto" w:fill="auto"/>
            <w:noWrap/>
            <w:vAlign w:val="center"/>
          </w:tcPr>
          <w:p w14:paraId="2864B07A" w14:textId="1EF44E75" w:rsidR="007F4AC7" w:rsidRPr="00D221AB" w:rsidRDefault="00924D5E" w:rsidP="00D221AB">
            <w:pPr>
              <w:pStyle w:val="PBACTableText"/>
              <w:spacing w:before="0" w:after="0"/>
              <w:jc w:val="center"/>
              <w:rPr>
                <w:b/>
                <w:bCs/>
                <w:highlight w:val="lightGray"/>
              </w:rPr>
            </w:pPr>
            <w:r w:rsidRPr="00924D5E">
              <w:rPr>
                <w:rFonts w:hint="eastAsia"/>
                <w:color w:val="000000"/>
                <w:w w:val="19"/>
                <w:shd w:val="solid" w:color="000000" w:fill="000000"/>
                <w:fitText w:val="87" w:id="-961835255"/>
                <w14:textFill>
                  <w14:solidFill>
                    <w14:srgbClr w14:val="000000">
                      <w14:alpha w14:val="100000"/>
                    </w14:srgbClr>
                  </w14:solidFill>
                </w14:textFill>
              </w:rPr>
              <w:t xml:space="preserve">　</w:t>
            </w:r>
            <w:r w:rsidRPr="00924D5E">
              <w:rPr>
                <w:color w:val="000000"/>
                <w:w w:val="19"/>
                <w:shd w:val="solid" w:color="000000" w:fill="000000"/>
                <w:fitText w:val="87" w:id="-961835255"/>
                <w14:textFill>
                  <w14:solidFill>
                    <w14:srgbClr w14:val="000000">
                      <w14:alpha w14:val="100000"/>
                    </w14:srgbClr>
                  </w14:solidFill>
                </w14:textFill>
              </w:rPr>
              <w:t>|</w:t>
            </w:r>
            <w:r w:rsidRPr="00924D5E">
              <w:rPr>
                <w:rFonts w:hint="eastAsia"/>
                <w:color w:val="000000"/>
                <w:spacing w:val="3"/>
                <w:w w:val="19"/>
                <w:shd w:val="solid" w:color="000000" w:fill="000000"/>
                <w:fitText w:val="87" w:id="-961835255"/>
                <w14:textFill>
                  <w14:solidFill>
                    <w14:srgbClr w14:val="000000">
                      <w14:alpha w14:val="100000"/>
                    </w14:srgbClr>
                  </w14:solidFill>
                </w14:textFill>
              </w:rPr>
              <w:t xml:space="preserve">　</w:t>
            </w:r>
            <w:r w:rsidR="00556B0E">
              <w:rPr>
                <w:vertAlign w:val="superscript"/>
              </w:rPr>
              <w:t>4</w:t>
            </w:r>
          </w:p>
        </w:tc>
        <w:tc>
          <w:tcPr>
            <w:tcW w:w="633" w:type="pct"/>
            <w:tcBorders>
              <w:top w:val="nil"/>
              <w:left w:val="nil"/>
              <w:bottom w:val="single" w:sz="4" w:space="0" w:color="auto"/>
              <w:right w:val="single" w:sz="4" w:space="0" w:color="auto"/>
            </w:tcBorders>
            <w:shd w:val="clear" w:color="auto" w:fill="auto"/>
            <w:noWrap/>
            <w:vAlign w:val="center"/>
          </w:tcPr>
          <w:p w14:paraId="39D2F96F" w14:textId="44B41363" w:rsidR="007F4AC7" w:rsidRPr="00D221AB" w:rsidRDefault="00924D5E" w:rsidP="00D221AB">
            <w:pPr>
              <w:pStyle w:val="PBACTableText"/>
              <w:spacing w:before="0" w:after="0"/>
              <w:jc w:val="center"/>
              <w:rPr>
                <w:b/>
                <w:bCs/>
                <w:highlight w:val="lightGray"/>
              </w:rPr>
            </w:pPr>
            <w:r w:rsidRPr="00924D5E">
              <w:rPr>
                <w:rFonts w:hint="eastAsia"/>
                <w:color w:val="000000"/>
                <w:w w:val="19"/>
                <w:shd w:val="solid" w:color="000000" w:fill="000000"/>
                <w:fitText w:val="87" w:id="-961835008"/>
                <w14:textFill>
                  <w14:solidFill>
                    <w14:srgbClr w14:val="000000">
                      <w14:alpha w14:val="100000"/>
                    </w14:srgbClr>
                  </w14:solidFill>
                </w14:textFill>
              </w:rPr>
              <w:t xml:space="preserve">　</w:t>
            </w:r>
            <w:r w:rsidRPr="00924D5E">
              <w:rPr>
                <w:color w:val="000000"/>
                <w:w w:val="19"/>
                <w:shd w:val="solid" w:color="000000" w:fill="000000"/>
                <w:fitText w:val="87" w:id="-961835008"/>
                <w14:textFill>
                  <w14:solidFill>
                    <w14:srgbClr w14:val="000000">
                      <w14:alpha w14:val="100000"/>
                    </w14:srgbClr>
                  </w14:solidFill>
                </w14:textFill>
              </w:rPr>
              <w:t>|</w:t>
            </w:r>
            <w:r w:rsidRPr="00924D5E">
              <w:rPr>
                <w:rFonts w:hint="eastAsia"/>
                <w:color w:val="000000"/>
                <w:spacing w:val="3"/>
                <w:w w:val="19"/>
                <w:shd w:val="solid" w:color="000000" w:fill="000000"/>
                <w:fitText w:val="87" w:id="-961835008"/>
                <w14:textFill>
                  <w14:solidFill>
                    <w14:srgbClr w14:val="000000">
                      <w14:alpha w14:val="100000"/>
                    </w14:srgbClr>
                  </w14:solidFill>
                </w14:textFill>
              </w:rPr>
              <w:t xml:space="preserve">　</w:t>
            </w:r>
            <w:r w:rsidR="00556B0E">
              <w:rPr>
                <w:vertAlign w:val="superscript"/>
              </w:rPr>
              <w:t>4</w:t>
            </w:r>
          </w:p>
        </w:tc>
        <w:tc>
          <w:tcPr>
            <w:tcW w:w="633" w:type="pct"/>
            <w:tcBorders>
              <w:top w:val="nil"/>
              <w:left w:val="nil"/>
              <w:bottom w:val="single" w:sz="4" w:space="0" w:color="auto"/>
              <w:right w:val="single" w:sz="4" w:space="0" w:color="auto"/>
            </w:tcBorders>
            <w:shd w:val="clear" w:color="auto" w:fill="auto"/>
            <w:noWrap/>
            <w:vAlign w:val="center"/>
          </w:tcPr>
          <w:p w14:paraId="6DB7EB3E" w14:textId="016010C5" w:rsidR="007F4AC7" w:rsidRPr="00D221AB" w:rsidRDefault="00924D5E" w:rsidP="00D221AB">
            <w:pPr>
              <w:pStyle w:val="PBACTableText"/>
              <w:spacing w:before="0" w:after="0"/>
              <w:jc w:val="center"/>
              <w:rPr>
                <w:b/>
                <w:bCs/>
                <w:highlight w:val="lightGray"/>
              </w:rPr>
            </w:pPr>
            <w:r w:rsidRPr="00924D5E">
              <w:rPr>
                <w:rFonts w:hint="eastAsia"/>
                <w:color w:val="000000"/>
                <w:w w:val="19"/>
                <w:shd w:val="solid" w:color="000000" w:fill="000000"/>
                <w:fitText w:val="88" w:id="-961835007"/>
                <w14:textFill>
                  <w14:solidFill>
                    <w14:srgbClr w14:val="000000">
                      <w14:alpha w14:val="100000"/>
                    </w14:srgbClr>
                  </w14:solidFill>
                </w14:textFill>
              </w:rPr>
              <w:t xml:space="preserve">　</w:t>
            </w:r>
            <w:r w:rsidRPr="00924D5E">
              <w:rPr>
                <w:color w:val="000000"/>
                <w:w w:val="19"/>
                <w:shd w:val="solid" w:color="000000" w:fill="000000"/>
                <w:fitText w:val="88" w:id="-961835007"/>
                <w14:textFill>
                  <w14:solidFill>
                    <w14:srgbClr w14:val="000000">
                      <w14:alpha w14:val="100000"/>
                    </w14:srgbClr>
                  </w14:solidFill>
                </w14:textFill>
              </w:rPr>
              <w:t>|</w:t>
            </w:r>
            <w:r w:rsidRPr="00924D5E">
              <w:rPr>
                <w:rFonts w:hint="eastAsia"/>
                <w:color w:val="000000"/>
                <w:spacing w:val="4"/>
                <w:w w:val="19"/>
                <w:shd w:val="solid" w:color="000000" w:fill="000000"/>
                <w:fitText w:val="88" w:id="-961835007"/>
                <w14:textFill>
                  <w14:solidFill>
                    <w14:srgbClr w14:val="000000">
                      <w14:alpha w14:val="100000"/>
                    </w14:srgbClr>
                  </w14:solidFill>
                </w14:textFill>
              </w:rPr>
              <w:t xml:space="preserve">　</w:t>
            </w:r>
            <w:r w:rsidR="00556B0E">
              <w:rPr>
                <w:vertAlign w:val="superscript"/>
              </w:rPr>
              <w:t>4</w:t>
            </w:r>
          </w:p>
        </w:tc>
        <w:tc>
          <w:tcPr>
            <w:tcW w:w="630" w:type="pct"/>
            <w:tcBorders>
              <w:top w:val="nil"/>
              <w:left w:val="nil"/>
              <w:bottom w:val="single" w:sz="4" w:space="0" w:color="auto"/>
              <w:right w:val="single" w:sz="4" w:space="0" w:color="auto"/>
            </w:tcBorders>
            <w:shd w:val="clear" w:color="auto" w:fill="auto"/>
            <w:noWrap/>
            <w:vAlign w:val="center"/>
          </w:tcPr>
          <w:p w14:paraId="43C89426" w14:textId="3AA8A6D7" w:rsidR="007F4AC7" w:rsidRPr="00D221AB" w:rsidRDefault="00924D5E" w:rsidP="00D221AB">
            <w:pPr>
              <w:pStyle w:val="PBACTableText"/>
              <w:spacing w:before="0" w:after="0"/>
              <w:jc w:val="center"/>
              <w:rPr>
                <w:b/>
                <w:bCs/>
                <w:highlight w:val="lightGray"/>
              </w:rPr>
            </w:pPr>
            <w:r w:rsidRPr="00924D5E">
              <w:rPr>
                <w:rFonts w:hint="eastAsia"/>
                <w:color w:val="000000"/>
                <w:w w:val="19"/>
                <w:shd w:val="solid" w:color="000000" w:fill="000000"/>
                <w:fitText w:val="88" w:id="-961835006"/>
                <w14:textFill>
                  <w14:solidFill>
                    <w14:srgbClr w14:val="000000">
                      <w14:alpha w14:val="100000"/>
                    </w14:srgbClr>
                  </w14:solidFill>
                </w14:textFill>
              </w:rPr>
              <w:t xml:space="preserve">　</w:t>
            </w:r>
            <w:r w:rsidRPr="00924D5E">
              <w:rPr>
                <w:color w:val="000000"/>
                <w:w w:val="19"/>
                <w:shd w:val="solid" w:color="000000" w:fill="000000"/>
                <w:fitText w:val="88" w:id="-961835006"/>
                <w14:textFill>
                  <w14:solidFill>
                    <w14:srgbClr w14:val="000000">
                      <w14:alpha w14:val="100000"/>
                    </w14:srgbClr>
                  </w14:solidFill>
                </w14:textFill>
              </w:rPr>
              <w:t>|</w:t>
            </w:r>
            <w:r w:rsidRPr="00924D5E">
              <w:rPr>
                <w:rFonts w:hint="eastAsia"/>
                <w:color w:val="000000"/>
                <w:spacing w:val="4"/>
                <w:w w:val="19"/>
                <w:shd w:val="solid" w:color="000000" w:fill="000000"/>
                <w:fitText w:val="88" w:id="-961835006"/>
                <w14:textFill>
                  <w14:solidFill>
                    <w14:srgbClr w14:val="000000">
                      <w14:alpha w14:val="100000"/>
                    </w14:srgbClr>
                  </w14:solidFill>
                </w14:textFill>
              </w:rPr>
              <w:t xml:space="preserve">　</w:t>
            </w:r>
            <w:r w:rsidR="00556B0E">
              <w:rPr>
                <w:vertAlign w:val="superscript"/>
              </w:rPr>
              <w:t>4</w:t>
            </w:r>
          </w:p>
        </w:tc>
      </w:tr>
    </w:tbl>
    <w:p w14:paraId="6841E145" w14:textId="097C7B28" w:rsidR="00ED6786" w:rsidRPr="00233CFE" w:rsidRDefault="00ED6786" w:rsidP="00D221AB">
      <w:pPr>
        <w:pStyle w:val="FooterTableFigure"/>
        <w:jc w:val="both"/>
        <w:rPr>
          <w:iCs/>
        </w:rPr>
      </w:pPr>
      <w:r w:rsidRPr="00233CFE">
        <w:t xml:space="preserve">Source: </w:t>
      </w:r>
      <w:r w:rsidR="00F93303" w:rsidRPr="00233CFE">
        <w:rPr>
          <w:iCs/>
        </w:rPr>
        <w:t>PSCR, attached workbook for Option A.</w:t>
      </w:r>
      <w:r w:rsidRPr="00233CFE">
        <w:rPr>
          <w:iCs/>
        </w:rPr>
        <w:t xml:space="preserve"> </w:t>
      </w:r>
    </w:p>
    <w:p w14:paraId="426C0BBA" w14:textId="77777777" w:rsidR="00ED6786" w:rsidRPr="00233CFE" w:rsidRDefault="00ED6786" w:rsidP="00D221AB">
      <w:pPr>
        <w:pStyle w:val="FooterTableFigure"/>
        <w:spacing w:after="0"/>
        <w:jc w:val="both"/>
      </w:pPr>
      <w:r w:rsidRPr="00233CFE">
        <w:t>Abbreviations: neoNIVO = neoadjuvant nivolumab; PBS = Pharmaceutical Benefits Scheme; RPBS = Repatriation Pharmaceutical Benefits Scheme.</w:t>
      </w:r>
    </w:p>
    <w:p w14:paraId="77FECA17" w14:textId="77777777" w:rsidR="00556B0E" w:rsidRPr="00D221AB" w:rsidRDefault="00556B0E" w:rsidP="00D221AB">
      <w:pPr>
        <w:jc w:val="both"/>
        <w:rPr>
          <w:rFonts w:ascii="Arial Narrow" w:hAnsi="Arial Narrow" w:cstheme="minorHAnsi"/>
          <w:bCs/>
          <w:i/>
          <w:iCs/>
          <w:sz w:val="18"/>
          <w:szCs w:val="18"/>
          <w:lang w:eastAsia="en-AU"/>
        </w:rPr>
      </w:pPr>
      <w:r w:rsidRPr="00D221AB">
        <w:rPr>
          <w:rFonts w:ascii="Arial Narrow" w:hAnsi="Arial Narrow" w:cstheme="minorHAnsi"/>
          <w:bCs/>
          <w:i/>
          <w:iCs/>
          <w:sz w:val="18"/>
          <w:szCs w:val="18"/>
          <w:lang w:eastAsia="en-AU"/>
        </w:rPr>
        <w:t xml:space="preserve">The redacted values correspond to the following ranges: </w:t>
      </w:r>
    </w:p>
    <w:p w14:paraId="049BBEFB" w14:textId="46D7BD6C" w:rsidR="00556B0E" w:rsidRPr="00D221AB" w:rsidRDefault="00556B0E" w:rsidP="00D221AB">
      <w:pPr>
        <w:jc w:val="both"/>
        <w:rPr>
          <w:rFonts w:ascii="Arial Narrow" w:hAnsi="Arial Narrow" w:cstheme="minorHAnsi"/>
          <w:bCs/>
          <w:i/>
          <w:iCs/>
          <w:sz w:val="18"/>
          <w:szCs w:val="18"/>
          <w:lang w:eastAsia="en-AU"/>
        </w:rPr>
      </w:pPr>
      <w:r w:rsidRPr="00D221AB">
        <w:rPr>
          <w:rFonts w:ascii="Arial Narrow" w:hAnsi="Arial Narrow" w:cstheme="minorHAnsi"/>
          <w:bCs/>
          <w:i/>
          <w:iCs/>
          <w:sz w:val="18"/>
          <w:szCs w:val="18"/>
          <w:vertAlign w:val="superscript"/>
          <w:lang w:eastAsia="en-AU"/>
        </w:rPr>
        <w:t>1</w:t>
      </w:r>
      <w:r w:rsidRPr="00D221AB">
        <w:rPr>
          <w:rFonts w:ascii="Arial Narrow" w:hAnsi="Arial Narrow" w:cstheme="minorHAnsi"/>
          <w:bCs/>
          <w:i/>
          <w:iCs/>
          <w:sz w:val="18"/>
          <w:szCs w:val="18"/>
          <w:lang w:eastAsia="en-AU"/>
        </w:rPr>
        <w:t xml:space="preserve"> $10 million to &lt; $20 million</w:t>
      </w:r>
    </w:p>
    <w:p w14:paraId="65FA68F1" w14:textId="52B0EA99" w:rsidR="00556B0E" w:rsidRPr="00D221AB" w:rsidRDefault="00556B0E" w:rsidP="00D221AB">
      <w:pPr>
        <w:jc w:val="both"/>
        <w:rPr>
          <w:rFonts w:ascii="Arial Narrow" w:hAnsi="Arial Narrow" w:cstheme="minorHAnsi"/>
          <w:bCs/>
          <w:i/>
          <w:iCs/>
          <w:sz w:val="18"/>
          <w:szCs w:val="18"/>
          <w:lang w:eastAsia="en-AU"/>
        </w:rPr>
      </w:pPr>
      <w:r w:rsidRPr="00D221AB">
        <w:rPr>
          <w:rFonts w:ascii="Arial Narrow" w:hAnsi="Arial Narrow" w:cstheme="minorHAnsi"/>
          <w:bCs/>
          <w:i/>
          <w:iCs/>
          <w:sz w:val="18"/>
          <w:szCs w:val="18"/>
          <w:vertAlign w:val="superscript"/>
          <w:lang w:eastAsia="en-AU"/>
        </w:rPr>
        <w:t>2</w:t>
      </w:r>
      <w:r w:rsidRPr="00D221AB">
        <w:rPr>
          <w:rFonts w:ascii="Arial Narrow" w:hAnsi="Arial Narrow" w:cstheme="minorHAnsi"/>
          <w:bCs/>
          <w:i/>
          <w:iCs/>
          <w:sz w:val="18"/>
          <w:szCs w:val="18"/>
          <w:lang w:eastAsia="en-AU"/>
        </w:rPr>
        <w:t xml:space="preserve"> $20 million to &lt; $30 million</w:t>
      </w:r>
    </w:p>
    <w:p w14:paraId="5298C383" w14:textId="06B5F230" w:rsidR="00556B0E" w:rsidRPr="00D221AB" w:rsidRDefault="00556B0E" w:rsidP="00D221AB">
      <w:pPr>
        <w:jc w:val="both"/>
        <w:rPr>
          <w:rFonts w:ascii="Arial Narrow" w:hAnsi="Arial Narrow" w:cstheme="minorHAnsi"/>
          <w:bCs/>
          <w:i/>
          <w:iCs/>
          <w:sz w:val="18"/>
          <w:szCs w:val="18"/>
          <w:lang w:eastAsia="en-AU"/>
        </w:rPr>
      </w:pPr>
      <w:r w:rsidRPr="00D221AB">
        <w:rPr>
          <w:rFonts w:ascii="Arial Narrow" w:hAnsi="Arial Narrow" w:cstheme="minorHAnsi"/>
          <w:bCs/>
          <w:i/>
          <w:iCs/>
          <w:sz w:val="18"/>
          <w:szCs w:val="18"/>
          <w:vertAlign w:val="superscript"/>
          <w:lang w:eastAsia="en-AU"/>
        </w:rPr>
        <w:t>3</w:t>
      </w:r>
      <w:r w:rsidRPr="00D221AB">
        <w:rPr>
          <w:rFonts w:ascii="Arial Narrow" w:hAnsi="Arial Narrow" w:cstheme="minorHAnsi"/>
          <w:bCs/>
          <w:i/>
          <w:iCs/>
          <w:sz w:val="18"/>
          <w:szCs w:val="18"/>
          <w:lang w:eastAsia="en-AU"/>
        </w:rPr>
        <w:t xml:space="preserve"> net cost saving</w:t>
      </w:r>
    </w:p>
    <w:p w14:paraId="75C0941B" w14:textId="128BD1C5" w:rsidR="00556B0E" w:rsidRPr="00CD4FAB" w:rsidRDefault="00556B0E" w:rsidP="00D221AB">
      <w:pPr>
        <w:spacing w:after="120"/>
        <w:jc w:val="both"/>
        <w:rPr>
          <w:iCs/>
        </w:rPr>
      </w:pPr>
      <w:r w:rsidRPr="00D221AB">
        <w:rPr>
          <w:rFonts w:ascii="Arial Narrow" w:hAnsi="Arial Narrow" w:cstheme="minorHAnsi"/>
          <w:bCs/>
          <w:i/>
          <w:iCs/>
          <w:sz w:val="18"/>
          <w:szCs w:val="18"/>
          <w:vertAlign w:val="superscript"/>
          <w:lang w:eastAsia="en-AU"/>
        </w:rPr>
        <w:t>4</w:t>
      </w:r>
      <w:r w:rsidRPr="00D221AB">
        <w:rPr>
          <w:rFonts w:ascii="Arial Narrow" w:hAnsi="Arial Narrow" w:cstheme="minorHAnsi"/>
          <w:bCs/>
          <w:i/>
          <w:iCs/>
          <w:sz w:val="18"/>
          <w:szCs w:val="18"/>
          <w:lang w:eastAsia="en-AU"/>
        </w:rPr>
        <w:t xml:space="preserve"> </w:t>
      </w:r>
      <w:r w:rsidR="00717AF2">
        <w:rPr>
          <w:rFonts w:ascii="Arial Narrow" w:hAnsi="Arial Narrow" w:cstheme="minorHAnsi"/>
          <w:bCs/>
          <w:i/>
          <w:iCs/>
          <w:sz w:val="18"/>
          <w:szCs w:val="18"/>
          <w:lang w:eastAsia="en-AU"/>
        </w:rPr>
        <w:t>$</w:t>
      </w:r>
      <w:r w:rsidRPr="00D221AB">
        <w:rPr>
          <w:rFonts w:ascii="Arial Narrow" w:hAnsi="Arial Narrow" w:cstheme="minorHAnsi"/>
          <w:bCs/>
          <w:i/>
          <w:iCs/>
          <w:sz w:val="18"/>
          <w:szCs w:val="18"/>
          <w:lang w:eastAsia="en-AU"/>
        </w:rPr>
        <w:t>0 to &lt; $10 million</w:t>
      </w:r>
    </w:p>
    <w:p w14:paraId="7028B257" w14:textId="6E28E15E" w:rsidR="00B24E51" w:rsidRPr="00CD4FAB" w:rsidRDefault="00B24E51" w:rsidP="00B24E51">
      <w:pPr>
        <w:pStyle w:val="3-BodyText"/>
        <w:rPr>
          <w:iCs/>
        </w:rPr>
      </w:pPr>
      <w:r w:rsidRPr="00CD4FAB">
        <w:rPr>
          <w:iCs/>
        </w:rPr>
        <w:t xml:space="preserve">The </w:t>
      </w:r>
      <w:r w:rsidR="00F93303" w:rsidRPr="00CD4FAB">
        <w:rPr>
          <w:iCs/>
        </w:rPr>
        <w:t xml:space="preserve">estimated </w:t>
      </w:r>
      <w:r w:rsidRPr="00CD4FAB">
        <w:rPr>
          <w:iCs/>
        </w:rPr>
        <w:t xml:space="preserve">net costs for Option B </w:t>
      </w:r>
      <w:r w:rsidR="00F93303" w:rsidRPr="00CD4FAB">
        <w:rPr>
          <w:iCs/>
        </w:rPr>
        <w:t xml:space="preserve">to the PBS/RPBS </w:t>
      </w:r>
      <w:r w:rsidRPr="00CD4FAB">
        <w:rPr>
          <w:iCs/>
        </w:rPr>
        <w:t>are shown in</w:t>
      </w:r>
      <w:r w:rsidR="005B7D0D" w:rsidRPr="00CD4FAB">
        <w:rPr>
          <w:iCs/>
        </w:rPr>
        <w:t xml:space="preserve"> </w:t>
      </w:r>
      <w:r w:rsidR="005B7D0D" w:rsidRPr="00CD4FAB">
        <w:rPr>
          <w:iCs/>
        </w:rPr>
        <w:fldChar w:fldCharType="begin" w:fldLock="1"/>
      </w:r>
      <w:r w:rsidR="005B7D0D" w:rsidRPr="00CD4FAB">
        <w:rPr>
          <w:iCs/>
        </w:rPr>
        <w:instrText xml:space="preserve"> REF _Ref152327512 \h </w:instrText>
      </w:r>
      <w:r w:rsidR="005B7D0D" w:rsidRPr="00CD4FAB">
        <w:rPr>
          <w:iCs/>
        </w:rPr>
      </w:r>
      <w:r w:rsidR="005B7D0D" w:rsidRPr="00CD4FAB">
        <w:rPr>
          <w:iCs/>
        </w:rPr>
        <w:fldChar w:fldCharType="separate"/>
      </w:r>
      <w:r w:rsidR="00885DA7" w:rsidRPr="00CD4FAB">
        <w:rPr>
          <w:iCs/>
        </w:rPr>
        <w:t xml:space="preserve">Table </w:t>
      </w:r>
      <w:r w:rsidR="00885DA7">
        <w:rPr>
          <w:iCs/>
          <w:noProof/>
        </w:rPr>
        <w:t>13</w:t>
      </w:r>
      <w:r w:rsidR="005B7D0D" w:rsidRPr="00CD4FAB">
        <w:rPr>
          <w:iCs/>
        </w:rPr>
        <w:fldChar w:fldCharType="end"/>
      </w:r>
      <w:r w:rsidRPr="00CD4FAB">
        <w:rPr>
          <w:iCs/>
        </w:rPr>
        <w:t xml:space="preserve">. </w:t>
      </w:r>
      <w:r w:rsidR="001043AA" w:rsidRPr="00CD4FAB">
        <w:rPr>
          <w:iCs/>
        </w:rPr>
        <w:t xml:space="preserve">These estimates assume 35% uptake of neoadjuvant nivolumab in </w:t>
      </w:r>
      <w:r w:rsidR="00370369" w:rsidRPr="00CD4FAB">
        <w:rPr>
          <w:iCs/>
        </w:rPr>
        <w:t>Y</w:t>
      </w:r>
      <w:r w:rsidR="001043AA" w:rsidRPr="00CD4FAB">
        <w:rPr>
          <w:iCs/>
        </w:rPr>
        <w:t>ears 1 and 2 and cost offsets in 29% of patients.</w:t>
      </w:r>
      <w:r w:rsidR="006C1D33" w:rsidRPr="00CD4FAB">
        <w:rPr>
          <w:iCs/>
        </w:rPr>
        <w:t xml:space="preserve"> The offsets are based on the published prices for atezolizumab</w:t>
      </w:r>
      <w:r w:rsidR="005C57D0" w:rsidRPr="00CD4FAB">
        <w:rPr>
          <w:iCs/>
        </w:rPr>
        <w:t xml:space="preserve"> and</w:t>
      </w:r>
      <w:r w:rsidR="006C1D33" w:rsidRPr="00CD4FAB">
        <w:rPr>
          <w:iCs/>
        </w:rPr>
        <w:t xml:space="preserve"> durvalumab</w:t>
      </w:r>
      <w:r w:rsidR="005C57D0" w:rsidRPr="00CD4FAB">
        <w:rPr>
          <w:iCs/>
        </w:rPr>
        <w:t>,</w:t>
      </w:r>
      <w:r w:rsidR="006C1D33" w:rsidRPr="00CD4FAB">
        <w:rPr>
          <w:iCs/>
        </w:rPr>
        <w:t xml:space="preserve"> and</w:t>
      </w:r>
      <w:r w:rsidR="00A06ECD" w:rsidRPr="00CD4FAB">
        <w:rPr>
          <w:iCs/>
        </w:rPr>
        <w:t xml:space="preserve"> the</w:t>
      </w:r>
      <w:r w:rsidR="006C1D33" w:rsidRPr="00CD4FAB">
        <w:rPr>
          <w:iCs/>
        </w:rPr>
        <w:t xml:space="preserve"> </w:t>
      </w:r>
      <w:r w:rsidR="005C57D0" w:rsidRPr="00CD4FAB">
        <w:rPr>
          <w:iCs/>
        </w:rPr>
        <w:t xml:space="preserve">known effective price for </w:t>
      </w:r>
      <w:r w:rsidR="006C1D33" w:rsidRPr="00CD4FAB">
        <w:rPr>
          <w:iCs/>
        </w:rPr>
        <w:t>pembrolizumab.</w:t>
      </w:r>
    </w:p>
    <w:p w14:paraId="35042C97" w14:textId="1F8E1D52" w:rsidR="00B24E51" w:rsidRPr="00CD4FAB" w:rsidRDefault="00885B14" w:rsidP="00885B14">
      <w:pPr>
        <w:pStyle w:val="Caption"/>
        <w:rPr>
          <w:iCs/>
        </w:rPr>
      </w:pPr>
      <w:bookmarkStart w:id="46" w:name="_Ref152327512"/>
      <w:r w:rsidRPr="00CD4FAB">
        <w:rPr>
          <w:iCs/>
        </w:rPr>
        <w:lastRenderedPageBreak/>
        <w:t xml:space="preserve">Table </w:t>
      </w:r>
      <w:r w:rsidRPr="00CD4FAB">
        <w:rPr>
          <w:iCs/>
        </w:rPr>
        <w:fldChar w:fldCharType="begin" w:fldLock="1"/>
      </w:r>
      <w:r w:rsidRPr="00CD4FAB">
        <w:rPr>
          <w:iCs/>
        </w:rPr>
        <w:instrText xml:space="preserve"> SEQ Table \* ARABIC </w:instrText>
      </w:r>
      <w:r w:rsidRPr="00CD4FAB">
        <w:rPr>
          <w:iCs/>
        </w:rPr>
        <w:fldChar w:fldCharType="separate"/>
      </w:r>
      <w:r w:rsidR="00885DA7">
        <w:rPr>
          <w:iCs/>
          <w:noProof/>
        </w:rPr>
        <w:t>13</w:t>
      </w:r>
      <w:r w:rsidRPr="00CD4FAB">
        <w:rPr>
          <w:iCs/>
        </w:rPr>
        <w:fldChar w:fldCharType="end"/>
      </w:r>
      <w:bookmarkEnd w:id="46"/>
      <w:r w:rsidR="00B24E51" w:rsidRPr="00CD4FAB">
        <w:rPr>
          <w:iCs/>
        </w:rPr>
        <w:t>: Estimate of net overall financial impact to the PBS/RPBS, Option B</w:t>
      </w:r>
      <w:r w:rsidR="00F93303" w:rsidRPr="00CD4FAB">
        <w:rPr>
          <w:iCs/>
        </w:rPr>
        <w:t>.</w:t>
      </w:r>
      <w:r w:rsidR="001043AA" w:rsidRPr="00CD4FAB">
        <w:t xml:space="preserve"> PSCR (</w:t>
      </w:r>
      <w:r w:rsidR="001043AA" w:rsidRPr="00CD4FAB">
        <w:rPr>
          <w:rStyle w:val="CommentReference"/>
          <w:b/>
          <w:szCs w:val="24"/>
        </w:rPr>
        <w:t xml:space="preserve">uptake 35% in years 1 and 2, </w:t>
      </w:r>
      <w:r w:rsidR="00173C37" w:rsidRPr="00CD4FAB">
        <w:rPr>
          <w:rStyle w:val="CommentReference"/>
          <w:b/>
          <w:szCs w:val="24"/>
        </w:rPr>
        <w:t xml:space="preserve">correct AEMP, </w:t>
      </w:r>
      <w:r w:rsidR="001043AA" w:rsidRPr="00CD4FAB">
        <w:rPr>
          <w:rStyle w:val="CommentReference"/>
          <w:b/>
          <w:szCs w:val="24"/>
        </w:rPr>
        <w:t>29% offset),</w:t>
      </w:r>
    </w:p>
    <w:tbl>
      <w:tblPr>
        <w:tblStyle w:val="TableGrid"/>
        <w:tblW w:w="4998" w:type="pct"/>
        <w:tblCellMar>
          <w:left w:w="57" w:type="dxa"/>
          <w:right w:w="57" w:type="dxa"/>
        </w:tblCellMar>
        <w:tblLook w:val="04A0" w:firstRow="1" w:lastRow="0" w:firstColumn="1" w:lastColumn="0" w:noHBand="0" w:noVBand="1"/>
        <w:tblCaption w:val="Table 13: Estimate of net overall financial impact to the PBS/RPBS, Option B. PSCR (uptake 35% in years 1 and 2, correct AEMP, 29% offset),"/>
      </w:tblPr>
      <w:tblGrid>
        <w:gridCol w:w="2211"/>
        <w:gridCol w:w="1134"/>
        <w:gridCol w:w="1134"/>
        <w:gridCol w:w="1134"/>
        <w:gridCol w:w="1134"/>
        <w:gridCol w:w="1134"/>
        <w:gridCol w:w="1132"/>
      </w:tblGrid>
      <w:tr w:rsidR="00B24E51" w:rsidRPr="00CD4FAB" w14:paraId="20073C32" w14:textId="77777777" w:rsidTr="006E162D">
        <w:trPr>
          <w:trHeight w:val="20"/>
        </w:trPr>
        <w:tc>
          <w:tcPr>
            <w:tcW w:w="1227" w:type="pct"/>
          </w:tcPr>
          <w:p w14:paraId="2777CA40" w14:textId="77777777" w:rsidR="00B24E51" w:rsidRPr="00CD4FAB" w:rsidRDefault="00B24E51" w:rsidP="00D221AB">
            <w:pPr>
              <w:pStyle w:val="PBACTableText"/>
              <w:spacing w:before="0" w:after="0"/>
              <w:rPr>
                <w:iCs/>
              </w:rPr>
            </w:pPr>
          </w:p>
        </w:tc>
        <w:tc>
          <w:tcPr>
            <w:tcW w:w="629" w:type="pct"/>
            <w:vAlign w:val="center"/>
          </w:tcPr>
          <w:p w14:paraId="3996B27F" w14:textId="24484442" w:rsidR="00B24E51" w:rsidRPr="008C2798" w:rsidRDefault="00B24E51" w:rsidP="00AB61C8">
            <w:pPr>
              <w:pStyle w:val="In-tableHeading"/>
              <w:jc w:val="center"/>
              <w:rPr>
                <w:iCs/>
                <w:lang w:val="en-AU"/>
              </w:rPr>
            </w:pPr>
            <w:r w:rsidRPr="008C2798">
              <w:rPr>
                <w:iCs/>
                <w:lang w:val="en-AU"/>
              </w:rPr>
              <w:t>2024</w:t>
            </w:r>
          </w:p>
        </w:tc>
        <w:tc>
          <w:tcPr>
            <w:tcW w:w="629" w:type="pct"/>
            <w:vAlign w:val="center"/>
          </w:tcPr>
          <w:p w14:paraId="654A8348" w14:textId="036F57BF" w:rsidR="00B24E51" w:rsidRPr="008C2798" w:rsidRDefault="00B24E51" w:rsidP="00AB61C8">
            <w:pPr>
              <w:pStyle w:val="In-tableHeading"/>
              <w:jc w:val="center"/>
              <w:rPr>
                <w:iCs/>
                <w:lang w:val="en-AU"/>
              </w:rPr>
            </w:pPr>
            <w:r w:rsidRPr="008C2798">
              <w:rPr>
                <w:iCs/>
                <w:lang w:val="en-AU"/>
              </w:rPr>
              <w:t>2025</w:t>
            </w:r>
          </w:p>
        </w:tc>
        <w:tc>
          <w:tcPr>
            <w:tcW w:w="629" w:type="pct"/>
            <w:vAlign w:val="center"/>
          </w:tcPr>
          <w:p w14:paraId="769B567E" w14:textId="6185DD9A" w:rsidR="00B24E51" w:rsidRPr="008C2798" w:rsidRDefault="00B24E51" w:rsidP="00AB61C8">
            <w:pPr>
              <w:pStyle w:val="In-tableHeading"/>
              <w:jc w:val="center"/>
              <w:rPr>
                <w:iCs/>
                <w:lang w:val="en-AU"/>
              </w:rPr>
            </w:pPr>
            <w:r w:rsidRPr="008C2798">
              <w:rPr>
                <w:iCs/>
                <w:lang w:val="en-AU"/>
              </w:rPr>
              <w:t>2026</w:t>
            </w:r>
          </w:p>
        </w:tc>
        <w:tc>
          <w:tcPr>
            <w:tcW w:w="629" w:type="pct"/>
            <w:vAlign w:val="center"/>
          </w:tcPr>
          <w:p w14:paraId="40520AD9" w14:textId="67934505" w:rsidR="00B24E51" w:rsidRPr="008C2798" w:rsidRDefault="00B24E51" w:rsidP="00AB61C8">
            <w:pPr>
              <w:pStyle w:val="In-tableHeading"/>
              <w:jc w:val="center"/>
              <w:rPr>
                <w:iCs/>
                <w:lang w:val="en-AU"/>
              </w:rPr>
            </w:pPr>
            <w:r w:rsidRPr="008C2798">
              <w:rPr>
                <w:iCs/>
                <w:lang w:val="en-AU"/>
              </w:rPr>
              <w:t>2027</w:t>
            </w:r>
          </w:p>
        </w:tc>
        <w:tc>
          <w:tcPr>
            <w:tcW w:w="629" w:type="pct"/>
            <w:vAlign w:val="center"/>
          </w:tcPr>
          <w:p w14:paraId="2676F00A" w14:textId="17CBB61F" w:rsidR="00B24E51" w:rsidRPr="008C2798" w:rsidRDefault="00B24E51" w:rsidP="00AB61C8">
            <w:pPr>
              <w:pStyle w:val="In-tableHeading"/>
              <w:jc w:val="center"/>
              <w:rPr>
                <w:iCs/>
                <w:lang w:val="en-AU"/>
              </w:rPr>
            </w:pPr>
            <w:r w:rsidRPr="008C2798">
              <w:rPr>
                <w:iCs/>
                <w:lang w:val="en-AU"/>
              </w:rPr>
              <w:t>2028</w:t>
            </w:r>
          </w:p>
        </w:tc>
        <w:tc>
          <w:tcPr>
            <w:tcW w:w="628" w:type="pct"/>
            <w:vAlign w:val="center"/>
          </w:tcPr>
          <w:p w14:paraId="3BE374DE" w14:textId="7D168CEA" w:rsidR="00B24E51" w:rsidRPr="008C2798" w:rsidRDefault="00B24E51" w:rsidP="00AB61C8">
            <w:pPr>
              <w:pStyle w:val="In-tableHeading"/>
              <w:jc w:val="center"/>
              <w:rPr>
                <w:iCs/>
                <w:lang w:val="en-AU"/>
              </w:rPr>
            </w:pPr>
            <w:r w:rsidRPr="008C2798">
              <w:rPr>
                <w:iCs/>
                <w:lang w:val="en-AU"/>
              </w:rPr>
              <w:t>2029</w:t>
            </w:r>
          </w:p>
        </w:tc>
      </w:tr>
      <w:tr w:rsidR="007F4AC7" w:rsidRPr="00CD4FAB" w14:paraId="61DCFFB8" w14:textId="77777777" w:rsidTr="006E162D">
        <w:trPr>
          <w:trHeight w:val="20"/>
        </w:trPr>
        <w:tc>
          <w:tcPr>
            <w:tcW w:w="1227" w:type="pct"/>
            <w:vAlign w:val="center"/>
          </w:tcPr>
          <w:p w14:paraId="6F0B8DD7" w14:textId="1BCA66EE" w:rsidR="007F4AC7" w:rsidRPr="00CD4FAB" w:rsidRDefault="007F4AC7" w:rsidP="00D221AB">
            <w:pPr>
              <w:pStyle w:val="PBACTableText"/>
              <w:spacing w:before="0" w:after="0"/>
              <w:rPr>
                <w:iCs/>
              </w:rPr>
            </w:pPr>
            <w:r w:rsidRPr="00CD4FAB">
              <w:rPr>
                <w:iCs/>
              </w:rPr>
              <w:t>Cost to PBS/RPBS (neoNIVO)</w:t>
            </w:r>
            <w:r w:rsidR="00556B0E">
              <w:t xml:space="preserve"> </w:t>
            </w:r>
          </w:p>
        </w:tc>
        <w:tc>
          <w:tcPr>
            <w:tcW w:w="629" w:type="pct"/>
            <w:vAlign w:val="center"/>
          </w:tcPr>
          <w:p w14:paraId="4738853E" w14:textId="6F649C8C" w:rsidR="007F4AC7" w:rsidRPr="00D221AB" w:rsidRDefault="00924D5E" w:rsidP="00D221AB">
            <w:pPr>
              <w:pStyle w:val="PBACTableText"/>
              <w:spacing w:before="0" w:after="0"/>
              <w:jc w:val="center"/>
              <w:rPr>
                <w:iCs/>
                <w:highlight w:val="lightGray"/>
              </w:rPr>
            </w:pPr>
            <w:r w:rsidRPr="00924D5E">
              <w:rPr>
                <w:rFonts w:hint="eastAsia"/>
                <w:color w:val="000000"/>
                <w:w w:val="15"/>
                <w:shd w:val="solid" w:color="000000" w:fill="000000"/>
                <w:fitText w:val="50" w:id="-961835005"/>
                <w14:textFill>
                  <w14:solidFill>
                    <w14:srgbClr w14:val="000000">
                      <w14:alpha w14:val="100000"/>
                    </w14:srgbClr>
                  </w14:solidFill>
                </w14:textFill>
              </w:rPr>
              <w:t xml:space="preserve">　</w:t>
            </w:r>
            <w:r w:rsidRPr="00924D5E">
              <w:rPr>
                <w:color w:val="000000"/>
                <w:w w:val="15"/>
                <w:shd w:val="solid" w:color="000000" w:fill="000000"/>
                <w:fitText w:val="50" w:id="-961835005"/>
                <w14:textFill>
                  <w14:solidFill>
                    <w14:srgbClr w14:val="000000">
                      <w14:alpha w14:val="100000"/>
                    </w14:srgbClr>
                  </w14:solidFill>
                </w14:textFill>
              </w:rPr>
              <w:t>|</w:t>
            </w:r>
            <w:r w:rsidRPr="00924D5E">
              <w:rPr>
                <w:rFonts w:hint="eastAsia"/>
                <w:color w:val="000000"/>
                <w:spacing w:val="-15"/>
                <w:w w:val="15"/>
                <w:shd w:val="solid" w:color="000000" w:fill="000000"/>
                <w:fitText w:val="50" w:id="-961835005"/>
                <w14:textFill>
                  <w14:solidFill>
                    <w14:srgbClr w14:val="000000">
                      <w14:alpha w14:val="100000"/>
                    </w14:srgbClr>
                  </w14:solidFill>
                </w14:textFill>
              </w:rPr>
              <w:t xml:space="preserve">　</w:t>
            </w:r>
            <w:r w:rsidR="00556B0E" w:rsidRPr="00162C9D">
              <w:rPr>
                <w:vertAlign w:val="superscript"/>
              </w:rPr>
              <w:t>1</w:t>
            </w:r>
          </w:p>
        </w:tc>
        <w:tc>
          <w:tcPr>
            <w:tcW w:w="629" w:type="pct"/>
            <w:vAlign w:val="center"/>
          </w:tcPr>
          <w:p w14:paraId="5E5C67F3" w14:textId="4439FD25" w:rsidR="007F4AC7" w:rsidRPr="00D221AB" w:rsidRDefault="00924D5E" w:rsidP="00D221AB">
            <w:pPr>
              <w:pStyle w:val="PBACTableText"/>
              <w:spacing w:before="0" w:after="0"/>
              <w:jc w:val="center"/>
              <w:rPr>
                <w:iCs/>
                <w:highlight w:val="lightGray"/>
              </w:rPr>
            </w:pPr>
            <w:r w:rsidRPr="00924D5E">
              <w:rPr>
                <w:rFonts w:hint="eastAsia"/>
                <w:color w:val="000000"/>
                <w:w w:val="15"/>
                <w:shd w:val="solid" w:color="000000" w:fill="000000"/>
                <w:fitText w:val="50" w:id="-961835004"/>
                <w14:textFill>
                  <w14:solidFill>
                    <w14:srgbClr w14:val="000000">
                      <w14:alpha w14:val="100000"/>
                    </w14:srgbClr>
                  </w14:solidFill>
                </w14:textFill>
              </w:rPr>
              <w:t xml:space="preserve">　</w:t>
            </w:r>
            <w:r w:rsidRPr="00924D5E">
              <w:rPr>
                <w:color w:val="000000"/>
                <w:w w:val="15"/>
                <w:shd w:val="solid" w:color="000000" w:fill="000000"/>
                <w:fitText w:val="50" w:id="-961835004"/>
                <w14:textFill>
                  <w14:solidFill>
                    <w14:srgbClr w14:val="000000">
                      <w14:alpha w14:val="100000"/>
                    </w14:srgbClr>
                  </w14:solidFill>
                </w14:textFill>
              </w:rPr>
              <w:t>|</w:t>
            </w:r>
            <w:r w:rsidRPr="00924D5E">
              <w:rPr>
                <w:rFonts w:hint="eastAsia"/>
                <w:color w:val="000000"/>
                <w:spacing w:val="-15"/>
                <w:w w:val="15"/>
                <w:shd w:val="solid" w:color="000000" w:fill="000000"/>
                <w:fitText w:val="50" w:id="-961835004"/>
                <w14:textFill>
                  <w14:solidFill>
                    <w14:srgbClr w14:val="000000">
                      <w14:alpha w14:val="100000"/>
                    </w14:srgbClr>
                  </w14:solidFill>
                </w14:textFill>
              </w:rPr>
              <w:t xml:space="preserve">　</w:t>
            </w:r>
            <w:r w:rsidR="00556B0E" w:rsidRPr="00162C9D">
              <w:rPr>
                <w:vertAlign w:val="superscript"/>
              </w:rPr>
              <w:t>1</w:t>
            </w:r>
          </w:p>
        </w:tc>
        <w:tc>
          <w:tcPr>
            <w:tcW w:w="629" w:type="pct"/>
            <w:vAlign w:val="center"/>
          </w:tcPr>
          <w:p w14:paraId="1A0CB99C" w14:textId="28F5039A" w:rsidR="007F4AC7" w:rsidRPr="00D221AB" w:rsidRDefault="00924D5E" w:rsidP="00D221AB">
            <w:pPr>
              <w:pStyle w:val="PBACTableText"/>
              <w:spacing w:before="0" w:after="0"/>
              <w:jc w:val="center"/>
              <w:rPr>
                <w:iCs/>
                <w:highlight w:val="lightGray"/>
              </w:rPr>
            </w:pPr>
            <w:r w:rsidRPr="00924D5E">
              <w:rPr>
                <w:rFonts w:hint="eastAsia"/>
                <w:color w:val="000000"/>
                <w:w w:val="15"/>
                <w:shd w:val="solid" w:color="000000" w:fill="000000"/>
                <w:fitText w:val="50" w:id="-961835003"/>
                <w14:textFill>
                  <w14:solidFill>
                    <w14:srgbClr w14:val="000000">
                      <w14:alpha w14:val="100000"/>
                    </w14:srgbClr>
                  </w14:solidFill>
                </w14:textFill>
              </w:rPr>
              <w:t xml:space="preserve">　</w:t>
            </w:r>
            <w:r w:rsidRPr="00924D5E">
              <w:rPr>
                <w:color w:val="000000"/>
                <w:w w:val="15"/>
                <w:shd w:val="solid" w:color="000000" w:fill="000000"/>
                <w:fitText w:val="50" w:id="-961835003"/>
                <w14:textFill>
                  <w14:solidFill>
                    <w14:srgbClr w14:val="000000">
                      <w14:alpha w14:val="100000"/>
                    </w14:srgbClr>
                  </w14:solidFill>
                </w14:textFill>
              </w:rPr>
              <w:t>|</w:t>
            </w:r>
            <w:r w:rsidRPr="00924D5E">
              <w:rPr>
                <w:rFonts w:hint="eastAsia"/>
                <w:color w:val="000000"/>
                <w:spacing w:val="-15"/>
                <w:w w:val="15"/>
                <w:shd w:val="solid" w:color="000000" w:fill="000000"/>
                <w:fitText w:val="50" w:id="-961835003"/>
                <w14:textFill>
                  <w14:solidFill>
                    <w14:srgbClr w14:val="000000">
                      <w14:alpha w14:val="100000"/>
                    </w14:srgbClr>
                  </w14:solidFill>
                </w14:textFill>
              </w:rPr>
              <w:t xml:space="preserve">　</w:t>
            </w:r>
            <w:r w:rsidR="00556B0E">
              <w:rPr>
                <w:vertAlign w:val="superscript"/>
              </w:rPr>
              <w:t>2</w:t>
            </w:r>
          </w:p>
        </w:tc>
        <w:tc>
          <w:tcPr>
            <w:tcW w:w="629" w:type="pct"/>
            <w:vAlign w:val="center"/>
          </w:tcPr>
          <w:p w14:paraId="75395176" w14:textId="3C5D3546" w:rsidR="007F4AC7" w:rsidRPr="00D221AB" w:rsidRDefault="00924D5E" w:rsidP="00D221AB">
            <w:pPr>
              <w:pStyle w:val="PBACTableText"/>
              <w:spacing w:before="0" w:after="0"/>
              <w:jc w:val="center"/>
              <w:rPr>
                <w:iCs/>
                <w:highlight w:val="lightGray"/>
              </w:rPr>
            </w:pPr>
            <w:r w:rsidRPr="00924D5E">
              <w:rPr>
                <w:rFonts w:hint="eastAsia"/>
                <w:color w:val="000000"/>
                <w:w w:val="15"/>
                <w:shd w:val="solid" w:color="000000" w:fill="000000"/>
                <w:fitText w:val="50" w:id="-961835002"/>
                <w14:textFill>
                  <w14:solidFill>
                    <w14:srgbClr w14:val="000000">
                      <w14:alpha w14:val="100000"/>
                    </w14:srgbClr>
                  </w14:solidFill>
                </w14:textFill>
              </w:rPr>
              <w:t xml:space="preserve">　</w:t>
            </w:r>
            <w:r w:rsidRPr="00924D5E">
              <w:rPr>
                <w:color w:val="000000"/>
                <w:w w:val="15"/>
                <w:shd w:val="solid" w:color="000000" w:fill="000000"/>
                <w:fitText w:val="50" w:id="-961835002"/>
                <w14:textFill>
                  <w14:solidFill>
                    <w14:srgbClr w14:val="000000">
                      <w14:alpha w14:val="100000"/>
                    </w14:srgbClr>
                  </w14:solidFill>
                </w14:textFill>
              </w:rPr>
              <w:t>|</w:t>
            </w:r>
            <w:r w:rsidRPr="00924D5E">
              <w:rPr>
                <w:rFonts w:hint="eastAsia"/>
                <w:color w:val="000000"/>
                <w:spacing w:val="-15"/>
                <w:w w:val="15"/>
                <w:shd w:val="solid" w:color="000000" w:fill="000000"/>
                <w:fitText w:val="50" w:id="-961835002"/>
                <w14:textFill>
                  <w14:solidFill>
                    <w14:srgbClr w14:val="000000">
                      <w14:alpha w14:val="100000"/>
                    </w14:srgbClr>
                  </w14:solidFill>
                </w14:textFill>
              </w:rPr>
              <w:t xml:space="preserve">　</w:t>
            </w:r>
            <w:r w:rsidR="00556B0E">
              <w:rPr>
                <w:vertAlign w:val="superscript"/>
              </w:rPr>
              <w:t>3</w:t>
            </w:r>
          </w:p>
        </w:tc>
        <w:tc>
          <w:tcPr>
            <w:tcW w:w="629" w:type="pct"/>
            <w:vAlign w:val="center"/>
          </w:tcPr>
          <w:p w14:paraId="32F71A1F" w14:textId="189F41C4" w:rsidR="007F4AC7" w:rsidRPr="00D221AB" w:rsidRDefault="00924D5E" w:rsidP="00D221AB">
            <w:pPr>
              <w:pStyle w:val="PBACTableText"/>
              <w:spacing w:before="0" w:after="0"/>
              <w:jc w:val="center"/>
              <w:rPr>
                <w:iCs/>
                <w:highlight w:val="lightGray"/>
              </w:rPr>
            </w:pPr>
            <w:r w:rsidRPr="00924D5E">
              <w:rPr>
                <w:rFonts w:hint="eastAsia"/>
                <w:color w:val="000000"/>
                <w:w w:val="15"/>
                <w:shd w:val="solid" w:color="000000" w:fill="000000"/>
                <w:fitText w:val="50" w:id="-961835001"/>
                <w14:textFill>
                  <w14:solidFill>
                    <w14:srgbClr w14:val="000000">
                      <w14:alpha w14:val="100000"/>
                    </w14:srgbClr>
                  </w14:solidFill>
                </w14:textFill>
              </w:rPr>
              <w:t xml:space="preserve">　</w:t>
            </w:r>
            <w:r w:rsidRPr="00924D5E">
              <w:rPr>
                <w:color w:val="000000"/>
                <w:w w:val="15"/>
                <w:shd w:val="solid" w:color="000000" w:fill="000000"/>
                <w:fitText w:val="50" w:id="-961835001"/>
                <w14:textFill>
                  <w14:solidFill>
                    <w14:srgbClr w14:val="000000">
                      <w14:alpha w14:val="100000"/>
                    </w14:srgbClr>
                  </w14:solidFill>
                </w14:textFill>
              </w:rPr>
              <w:t>|</w:t>
            </w:r>
            <w:r w:rsidRPr="00924D5E">
              <w:rPr>
                <w:rFonts w:hint="eastAsia"/>
                <w:color w:val="000000"/>
                <w:spacing w:val="-15"/>
                <w:w w:val="15"/>
                <w:shd w:val="solid" w:color="000000" w:fill="000000"/>
                <w:fitText w:val="50" w:id="-961835001"/>
                <w14:textFill>
                  <w14:solidFill>
                    <w14:srgbClr w14:val="000000">
                      <w14:alpha w14:val="100000"/>
                    </w14:srgbClr>
                  </w14:solidFill>
                </w14:textFill>
              </w:rPr>
              <w:t xml:space="preserve">　</w:t>
            </w:r>
            <w:r w:rsidR="00556B0E">
              <w:rPr>
                <w:vertAlign w:val="superscript"/>
              </w:rPr>
              <w:t>3</w:t>
            </w:r>
          </w:p>
        </w:tc>
        <w:tc>
          <w:tcPr>
            <w:tcW w:w="628" w:type="pct"/>
            <w:vAlign w:val="center"/>
          </w:tcPr>
          <w:p w14:paraId="4CB1F3A6" w14:textId="50D3D011" w:rsidR="007F4AC7" w:rsidRPr="00D221AB" w:rsidRDefault="00924D5E" w:rsidP="00D221AB">
            <w:pPr>
              <w:pStyle w:val="PBACTableText"/>
              <w:spacing w:before="0" w:after="0"/>
              <w:jc w:val="center"/>
              <w:rPr>
                <w:iCs/>
                <w:highlight w:val="lightGray"/>
              </w:rPr>
            </w:pPr>
            <w:r w:rsidRPr="00924D5E">
              <w:rPr>
                <w:rFonts w:hint="eastAsia"/>
                <w:color w:val="000000"/>
                <w:w w:val="15"/>
                <w:shd w:val="solid" w:color="000000" w:fill="000000"/>
                <w:fitText w:val="50" w:id="-961835000"/>
                <w14:textFill>
                  <w14:solidFill>
                    <w14:srgbClr w14:val="000000">
                      <w14:alpha w14:val="100000"/>
                    </w14:srgbClr>
                  </w14:solidFill>
                </w14:textFill>
              </w:rPr>
              <w:t xml:space="preserve">　</w:t>
            </w:r>
            <w:r w:rsidRPr="00924D5E">
              <w:rPr>
                <w:color w:val="000000"/>
                <w:w w:val="15"/>
                <w:shd w:val="solid" w:color="000000" w:fill="000000"/>
                <w:fitText w:val="50" w:id="-961835000"/>
                <w14:textFill>
                  <w14:solidFill>
                    <w14:srgbClr w14:val="000000">
                      <w14:alpha w14:val="100000"/>
                    </w14:srgbClr>
                  </w14:solidFill>
                </w14:textFill>
              </w:rPr>
              <w:t>|</w:t>
            </w:r>
            <w:r w:rsidRPr="00924D5E">
              <w:rPr>
                <w:rFonts w:hint="eastAsia"/>
                <w:color w:val="000000"/>
                <w:spacing w:val="-15"/>
                <w:w w:val="15"/>
                <w:shd w:val="solid" w:color="000000" w:fill="000000"/>
                <w:fitText w:val="50" w:id="-961835000"/>
                <w14:textFill>
                  <w14:solidFill>
                    <w14:srgbClr w14:val="000000">
                      <w14:alpha w14:val="100000"/>
                    </w14:srgbClr>
                  </w14:solidFill>
                </w14:textFill>
              </w:rPr>
              <w:t xml:space="preserve">　</w:t>
            </w:r>
            <w:r w:rsidR="00556B0E">
              <w:rPr>
                <w:vertAlign w:val="superscript"/>
              </w:rPr>
              <w:t>3</w:t>
            </w:r>
          </w:p>
        </w:tc>
      </w:tr>
      <w:tr w:rsidR="007F4AC7" w:rsidRPr="00CD4FAB" w14:paraId="01C1DAE8" w14:textId="77777777" w:rsidTr="006E162D">
        <w:trPr>
          <w:trHeight w:val="20"/>
        </w:trPr>
        <w:tc>
          <w:tcPr>
            <w:tcW w:w="1227" w:type="pct"/>
            <w:vAlign w:val="center"/>
          </w:tcPr>
          <w:p w14:paraId="1909AC01" w14:textId="7E5C2990" w:rsidR="007F4AC7" w:rsidRPr="00CD4FAB" w:rsidRDefault="007F4AC7" w:rsidP="00D221AB">
            <w:pPr>
              <w:pStyle w:val="PBACTableText"/>
              <w:spacing w:before="0" w:after="0"/>
              <w:rPr>
                <w:iCs/>
              </w:rPr>
            </w:pPr>
            <w:r w:rsidRPr="00CD4FAB">
              <w:rPr>
                <w:iCs/>
              </w:rPr>
              <w:t>Cost offset to PBS/RPBS (reduced immunotherapy use in other contexts)</w:t>
            </w:r>
            <w:r w:rsidR="00556B0E">
              <w:t xml:space="preserve"> </w:t>
            </w:r>
          </w:p>
        </w:tc>
        <w:tc>
          <w:tcPr>
            <w:tcW w:w="629" w:type="pct"/>
            <w:vAlign w:val="center"/>
          </w:tcPr>
          <w:p w14:paraId="764B1C91" w14:textId="79CCD544" w:rsidR="007F4AC7" w:rsidRPr="00D221AB" w:rsidRDefault="00924D5E" w:rsidP="00D221AB">
            <w:pPr>
              <w:pStyle w:val="PBACTableText"/>
              <w:spacing w:before="0" w:after="0"/>
              <w:jc w:val="center"/>
              <w:rPr>
                <w:iCs/>
                <w:highlight w:val="lightGray"/>
              </w:rPr>
            </w:pPr>
            <w:r w:rsidRPr="00924D5E">
              <w:rPr>
                <w:rFonts w:hint="eastAsia"/>
                <w:color w:val="000000"/>
                <w:w w:val="15"/>
                <w:shd w:val="solid" w:color="000000" w:fill="000000"/>
                <w:fitText w:val="50" w:id="-961834999"/>
                <w14:textFill>
                  <w14:solidFill>
                    <w14:srgbClr w14:val="000000">
                      <w14:alpha w14:val="100000"/>
                    </w14:srgbClr>
                  </w14:solidFill>
                </w14:textFill>
              </w:rPr>
              <w:t xml:space="preserve">　</w:t>
            </w:r>
            <w:r w:rsidRPr="00924D5E">
              <w:rPr>
                <w:color w:val="000000"/>
                <w:w w:val="15"/>
                <w:shd w:val="solid" w:color="000000" w:fill="000000"/>
                <w:fitText w:val="50" w:id="-961834999"/>
                <w14:textFill>
                  <w14:solidFill>
                    <w14:srgbClr w14:val="000000">
                      <w14:alpha w14:val="100000"/>
                    </w14:srgbClr>
                  </w14:solidFill>
                </w14:textFill>
              </w:rPr>
              <w:t>|</w:t>
            </w:r>
            <w:r w:rsidRPr="00924D5E">
              <w:rPr>
                <w:rFonts w:hint="eastAsia"/>
                <w:color w:val="000000"/>
                <w:spacing w:val="-15"/>
                <w:w w:val="15"/>
                <w:shd w:val="solid" w:color="000000" w:fill="000000"/>
                <w:fitText w:val="50" w:id="-961834999"/>
                <w14:textFill>
                  <w14:solidFill>
                    <w14:srgbClr w14:val="000000">
                      <w14:alpha w14:val="100000"/>
                    </w14:srgbClr>
                  </w14:solidFill>
                </w14:textFill>
              </w:rPr>
              <w:t xml:space="preserve">　</w:t>
            </w:r>
            <w:r w:rsidR="00556B0E">
              <w:rPr>
                <w:vertAlign w:val="superscript"/>
              </w:rPr>
              <w:t>4</w:t>
            </w:r>
          </w:p>
        </w:tc>
        <w:tc>
          <w:tcPr>
            <w:tcW w:w="629" w:type="pct"/>
            <w:vAlign w:val="center"/>
          </w:tcPr>
          <w:p w14:paraId="3A93E801" w14:textId="0D5E5DBE" w:rsidR="007F4AC7" w:rsidRPr="00D221AB" w:rsidRDefault="00924D5E" w:rsidP="00D221AB">
            <w:pPr>
              <w:pStyle w:val="PBACTableText"/>
              <w:spacing w:before="0" w:after="0"/>
              <w:jc w:val="center"/>
              <w:rPr>
                <w:iCs/>
                <w:highlight w:val="lightGray"/>
              </w:rPr>
            </w:pPr>
            <w:r w:rsidRPr="00924D5E">
              <w:rPr>
                <w:rFonts w:hint="eastAsia"/>
                <w:color w:val="000000"/>
                <w:w w:val="15"/>
                <w:shd w:val="solid" w:color="000000" w:fill="000000"/>
                <w:fitText w:val="50" w:id="-961834998"/>
                <w14:textFill>
                  <w14:solidFill>
                    <w14:srgbClr w14:val="000000">
                      <w14:alpha w14:val="100000"/>
                    </w14:srgbClr>
                  </w14:solidFill>
                </w14:textFill>
              </w:rPr>
              <w:t xml:space="preserve">　</w:t>
            </w:r>
            <w:r w:rsidRPr="00924D5E">
              <w:rPr>
                <w:color w:val="000000"/>
                <w:w w:val="15"/>
                <w:shd w:val="solid" w:color="000000" w:fill="000000"/>
                <w:fitText w:val="50" w:id="-961834998"/>
                <w14:textFill>
                  <w14:solidFill>
                    <w14:srgbClr w14:val="000000">
                      <w14:alpha w14:val="100000"/>
                    </w14:srgbClr>
                  </w14:solidFill>
                </w14:textFill>
              </w:rPr>
              <w:t>|</w:t>
            </w:r>
            <w:r w:rsidRPr="00924D5E">
              <w:rPr>
                <w:rFonts w:hint="eastAsia"/>
                <w:color w:val="000000"/>
                <w:spacing w:val="-15"/>
                <w:w w:val="15"/>
                <w:shd w:val="solid" w:color="000000" w:fill="000000"/>
                <w:fitText w:val="50" w:id="-961834998"/>
                <w14:textFill>
                  <w14:solidFill>
                    <w14:srgbClr w14:val="000000">
                      <w14:alpha w14:val="100000"/>
                    </w14:srgbClr>
                  </w14:solidFill>
                </w14:textFill>
              </w:rPr>
              <w:t xml:space="preserve">　</w:t>
            </w:r>
            <w:r w:rsidR="00556B0E">
              <w:rPr>
                <w:vertAlign w:val="superscript"/>
              </w:rPr>
              <w:t>4</w:t>
            </w:r>
          </w:p>
        </w:tc>
        <w:tc>
          <w:tcPr>
            <w:tcW w:w="629" w:type="pct"/>
            <w:vAlign w:val="center"/>
          </w:tcPr>
          <w:p w14:paraId="57383578" w14:textId="4F9F5930" w:rsidR="007F4AC7" w:rsidRPr="00D221AB" w:rsidRDefault="00924D5E" w:rsidP="00D221AB">
            <w:pPr>
              <w:pStyle w:val="PBACTableText"/>
              <w:spacing w:before="0" w:after="0"/>
              <w:jc w:val="center"/>
              <w:rPr>
                <w:iCs/>
                <w:highlight w:val="lightGray"/>
              </w:rPr>
            </w:pPr>
            <w:r w:rsidRPr="00924D5E">
              <w:rPr>
                <w:rFonts w:hint="eastAsia"/>
                <w:color w:val="000000"/>
                <w:w w:val="15"/>
                <w:shd w:val="solid" w:color="000000" w:fill="000000"/>
                <w:fitText w:val="50" w:id="-961834997"/>
                <w14:textFill>
                  <w14:solidFill>
                    <w14:srgbClr w14:val="000000">
                      <w14:alpha w14:val="100000"/>
                    </w14:srgbClr>
                  </w14:solidFill>
                </w14:textFill>
              </w:rPr>
              <w:t xml:space="preserve">　</w:t>
            </w:r>
            <w:r w:rsidRPr="00924D5E">
              <w:rPr>
                <w:color w:val="000000"/>
                <w:w w:val="15"/>
                <w:shd w:val="solid" w:color="000000" w:fill="000000"/>
                <w:fitText w:val="50" w:id="-961834997"/>
                <w14:textFill>
                  <w14:solidFill>
                    <w14:srgbClr w14:val="000000">
                      <w14:alpha w14:val="100000"/>
                    </w14:srgbClr>
                  </w14:solidFill>
                </w14:textFill>
              </w:rPr>
              <w:t>|</w:t>
            </w:r>
            <w:r w:rsidRPr="00924D5E">
              <w:rPr>
                <w:rFonts w:hint="eastAsia"/>
                <w:color w:val="000000"/>
                <w:spacing w:val="-15"/>
                <w:w w:val="15"/>
                <w:shd w:val="solid" w:color="000000" w:fill="000000"/>
                <w:fitText w:val="50" w:id="-961834997"/>
                <w14:textFill>
                  <w14:solidFill>
                    <w14:srgbClr w14:val="000000">
                      <w14:alpha w14:val="100000"/>
                    </w14:srgbClr>
                  </w14:solidFill>
                </w14:textFill>
              </w:rPr>
              <w:t xml:space="preserve">　</w:t>
            </w:r>
            <w:r w:rsidR="00556B0E">
              <w:rPr>
                <w:vertAlign w:val="superscript"/>
              </w:rPr>
              <w:t>4</w:t>
            </w:r>
          </w:p>
        </w:tc>
        <w:tc>
          <w:tcPr>
            <w:tcW w:w="629" w:type="pct"/>
            <w:vAlign w:val="center"/>
          </w:tcPr>
          <w:p w14:paraId="226824E5" w14:textId="4294660E" w:rsidR="007F4AC7" w:rsidRPr="00D221AB" w:rsidRDefault="00924D5E" w:rsidP="00D221AB">
            <w:pPr>
              <w:pStyle w:val="PBACTableText"/>
              <w:spacing w:before="0" w:after="0"/>
              <w:jc w:val="center"/>
              <w:rPr>
                <w:iCs/>
                <w:highlight w:val="lightGray"/>
              </w:rPr>
            </w:pPr>
            <w:r w:rsidRPr="00924D5E">
              <w:rPr>
                <w:rFonts w:hint="eastAsia"/>
                <w:color w:val="000000"/>
                <w:w w:val="15"/>
                <w:shd w:val="solid" w:color="000000" w:fill="000000"/>
                <w:fitText w:val="50" w:id="-961834996"/>
                <w14:textFill>
                  <w14:solidFill>
                    <w14:srgbClr w14:val="000000">
                      <w14:alpha w14:val="100000"/>
                    </w14:srgbClr>
                  </w14:solidFill>
                </w14:textFill>
              </w:rPr>
              <w:t xml:space="preserve">　</w:t>
            </w:r>
            <w:r w:rsidRPr="00924D5E">
              <w:rPr>
                <w:color w:val="000000"/>
                <w:w w:val="15"/>
                <w:shd w:val="solid" w:color="000000" w:fill="000000"/>
                <w:fitText w:val="50" w:id="-961834996"/>
                <w14:textFill>
                  <w14:solidFill>
                    <w14:srgbClr w14:val="000000">
                      <w14:alpha w14:val="100000"/>
                    </w14:srgbClr>
                  </w14:solidFill>
                </w14:textFill>
              </w:rPr>
              <w:t>|</w:t>
            </w:r>
            <w:r w:rsidRPr="00924D5E">
              <w:rPr>
                <w:rFonts w:hint="eastAsia"/>
                <w:color w:val="000000"/>
                <w:spacing w:val="-15"/>
                <w:w w:val="15"/>
                <w:shd w:val="solid" w:color="000000" w:fill="000000"/>
                <w:fitText w:val="50" w:id="-961834996"/>
                <w14:textFill>
                  <w14:solidFill>
                    <w14:srgbClr w14:val="000000">
                      <w14:alpha w14:val="100000"/>
                    </w14:srgbClr>
                  </w14:solidFill>
                </w14:textFill>
              </w:rPr>
              <w:t xml:space="preserve">　</w:t>
            </w:r>
            <w:r w:rsidR="00556B0E">
              <w:rPr>
                <w:vertAlign w:val="superscript"/>
              </w:rPr>
              <w:t>4</w:t>
            </w:r>
          </w:p>
        </w:tc>
        <w:tc>
          <w:tcPr>
            <w:tcW w:w="629" w:type="pct"/>
            <w:vAlign w:val="center"/>
          </w:tcPr>
          <w:p w14:paraId="105C390A" w14:textId="03F0EAA0" w:rsidR="007F4AC7" w:rsidRPr="00D221AB" w:rsidRDefault="00924D5E" w:rsidP="00D221AB">
            <w:pPr>
              <w:pStyle w:val="PBACTableText"/>
              <w:spacing w:before="0" w:after="0"/>
              <w:jc w:val="center"/>
              <w:rPr>
                <w:iCs/>
                <w:highlight w:val="lightGray"/>
              </w:rPr>
            </w:pPr>
            <w:r w:rsidRPr="00924D5E">
              <w:rPr>
                <w:rFonts w:hint="eastAsia"/>
                <w:color w:val="000000"/>
                <w:w w:val="15"/>
                <w:shd w:val="solid" w:color="000000" w:fill="000000"/>
                <w:fitText w:val="50" w:id="-961834995"/>
                <w14:textFill>
                  <w14:solidFill>
                    <w14:srgbClr w14:val="000000">
                      <w14:alpha w14:val="100000"/>
                    </w14:srgbClr>
                  </w14:solidFill>
                </w14:textFill>
              </w:rPr>
              <w:t xml:space="preserve">　</w:t>
            </w:r>
            <w:r w:rsidRPr="00924D5E">
              <w:rPr>
                <w:color w:val="000000"/>
                <w:w w:val="15"/>
                <w:shd w:val="solid" w:color="000000" w:fill="000000"/>
                <w:fitText w:val="50" w:id="-961834995"/>
                <w14:textFill>
                  <w14:solidFill>
                    <w14:srgbClr w14:val="000000">
                      <w14:alpha w14:val="100000"/>
                    </w14:srgbClr>
                  </w14:solidFill>
                </w14:textFill>
              </w:rPr>
              <w:t>|</w:t>
            </w:r>
            <w:r w:rsidRPr="00924D5E">
              <w:rPr>
                <w:rFonts w:hint="eastAsia"/>
                <w:color w:val="000000"/>
                <w:spacing w:val="-15"/>
                <w:w w:val="15"/>
                <w:shd w:val="solid" w:color="000000" w:fill="000000"/>
                <w:fitText w:val="50" w:id="-961834995"/>
                <w14:textFill>
                  <w14:solidFill>
                    <w14:srgbClr w14:val="000000">
                      <w14:alpha w14:val="100000"/>
                    </w14:srgbClr>
                  </w14:solidFill>
                </w14:textFill>
              </w:rPr>
              <w:t xml:space="preserve">　</w:t>
            </w:r>
            <w:r w:rsidR="00556B0E">
              <w:rPr>
                <w:vertAlign w:val="superscript"/>
              </w:rPr>
              <w:t>4</w:t>
            </w:r>
          </w:p>
        </w:tc>
        <w:tc>
          <w:tcPr>
            <w:tcW w:w="628" w:type="pct"/>
            <w:vAlign w:val="center"/>
          </w:tcPr>
          <w:p w14:paraId="3D04F1ED" w14:textId="07003096" w:rsidR="007F4AC7" w:rsidRPr="00D221AB" w:rsidRDefault="00924D5E" w:rsidP="00D221AB">
            <w:pPr>
              <w:pStyle w:val="PBACTableText"/>
              <w:spacing w:before="0" w:after="0"/>
              <w:jc w:val="center"/>
              <w:rPr>
                <w:iCs/>
                <w:highlight w:val="lightGray"/>
              </w:rPr>
            </w:pPr>
            <w:r w:rsidRPr="00924D5E">
              <w:rPr>
                <w:rFonts w:hint="eastAsia"/>
                <w:color w:val="000000"/>
                <w:w w:val="15"/>
                <w:shd w:val="solid" w:color="000000" w:fill="000000"/>
                <w:fitText w:val="50" w:id="-961834994"/>
                <w14:textFill>
                  <w14:solidFill>
                    <w14:srgbClr w14:val="000000">
                      <w14:alpha w14:val="100000"/>
                    </w14:srgbClr>
                  </w14:solidFill>
                </w14:textFill>
              </w:rPr>
              <w:t xml:space="preserve">　</w:t>
            </w:r>
            <w:r w:rsidRPr="00924D5E">
              <w:rPr>
                <w:color w:val="000000"/>
                <w:w w:val="15"/>
                <w:shd w:val="solid" w:color="000000" w:fill="000000"/>
                <w:fitText w:val="50" w:id="-961834994"/>
                <w14:textFill>
                  <w14:solidFill>
                    <w14:srgbClr w14:val="000000">
                      <w14:alpha w14:val="100000"/>
                    </w14:srgbClr>
                  </w14:solidFill>
                </w14:textFill>
              </w:rPr>
              <w:t>|</w:t>
            </w:r>
            <w:r w:rsidRPr="00924D5E">
              <w:rPr>
                <w:rFonts w:hint="eastAsia"/>
                <w:color w:val="000000"/>
                <w:spacing w:val="-15"/>
                <w:w w:val="15"/>
                <w:shd w:val="solid" w:color="000000" w:fill="000000"/>
                <w:fitText w:val="50" w:id="-961834994"/>
                <w14:textFill>
                  <w14:solidFill>
                    <w14:srgbClr w14:val="000000">
                      <w14:alpha w14:val="100000"/>
                    </w14:srgbClr>
                  </w14:solidFill>
                </w14:textFill>
              </w:rPr>
              <w:t xml:space="preserve">　</w:t>
            </w:r>
            <w:r w:rsidR="00556B0E">
              <w:rPr>
                <w:vertAlign w:val="superscript"/>
              </w:rPr>
              <w:t>4</w:t>
            </w:r>
          </w:p>
        </w:tc>
      </w:tr>
      <w:tr w:rsidR="00185C82" w:rsidRPr="00CD4FAB" w14:paraId="0ACFAB8D" w14:textId="77777777" w:rsidTr="006E162D">
        <w:trPr>
          <w:trHeight w:val="20"/>
        </w:trPr>
        <w:tc>
          <w:tcPr>
            <w:tcW w:w="1227" w:type="pct"/>
            <w:vAlign w:val="center"/>
          </w:tcPr>
          <w:p w14:paraId="7C2856A8" w14:textId="24F43AFA" w:rsidR="00185C82" w:rsidRPr="00CD4FAB" w:rsidRDefault="00185C82" w:rsidP="00D221AB">
            <w:pPr>
              <w:pStyle w:val="PBACTableText"/>
              <w:spacing w:before="0" w:after="0"/>
              <w:rPr>
                <w:b/>
                <w:bCs/>
                <w:iCs/>
              </w:rPr>
            </w:pPr>
            <w:r w:rsidRPr="00CD4FAB">
              <w:rPr>
                <w:b/>
                <w:bCs/>
                <w:iCs/>
              </w:rPr>
              <w:t>Net cost to PBS/RPBS</w:t>
            </w:r>
          </w:p>
        </w:tc>
        <w:tc>
          <w:tcPr>
            <w:tcW w:w="629" w:type="pct"/>
            <w:noWrap/>
          </w:tcPr>
          <w:p w14:paraId="04F7A68A" w14:textId="19E4C224" w:rsidR="00185C82" w:rsidRPr="00D221AB" w:rsidRDefault="00924D5E" w:rsidP="00D221AB">
            <w:pPr>
              <w:pStyle w:val="PBACTableText"/>
              <w:spacing w:before="0" w:after="0"/>
              <w:jc w:val="center"/>
              <w:rPr>
                <w:b/>
                <w:bCs/>
                <w:iCs/>
                <w:highlight w:val="lightGray"/>
              </w:rPr>
            </w:pPr>
            <w:r w:rsidRPr="00924D5E">
              <w:rPr>
                <w:rFonts w:hint="eastAsia"/>
                <w:color w:val="000000"/>
                <w:w w:val="15"/>
                <w:shd w:val="solid" w:color="000000" w:fill="000000"/>
                <w:fitText w:val="50" w:id="-961834993"/>
                <w14:textFill>
                  <w14:solidFill>
                    <w14:srgbClr w14:val="000000">
                      <w14:alpha w14:val="100000"/>
                    </w14:srgbClr>
                  </w14:solidFill>
                </w14:textFill>
              </w:rPr>
              <w:t xml:space="preserve">　</w:t>
            </w:r>
            <w:r w:rsidRPr="00924D5E">
              <w:rPr>
                <w:color w:val="000000"/>
                <w:w w:val="15"/>
                <w:shd w:val="solid" w:color="000000" w:fill="000000"/>
                <w:fitText w:val="50" w:id="-961834993"/>
                <w14:textFill>
                  <w14:solidFill>
                    <w14:srgbClr w14:val="000000">
                      <w14:alpha w14:val="100000"/>
                    </w14:srgbClr>
                  </w14:solidFill>
                </w14:textFill>
              </w:rPr>
              <w:t>|</w:t>
            </w:r>
            <w:r w:rsidRPr="00924D5E">
              <w:rPr>
                <w:rFonts w:hint="eastAsia"/>
                <w:color w:val="000000"/>
                <w:spacing w:val="-15"/>
                <w:w w:val="15"/>
                <w:shd w:val="solid" w:color="000000" w:fill="000000"/>
                <w:fitText w:val="50" w:id="-961834993"/>
                <w14:textFill>
                  <w14:solidFill>
                    <w14:srgbClr w14:val="000000">
                      <w14:alpha w14:val="100000"/>
                    </w14:srgbClr>
                  </w14:solidFill>
                </w14:textFill>
              </w:rPr>
              <w:t xml:space="preserve">　</w:t>
            </w:r>
            <w:r w:rsidR="00556B0E">
              <w:rPr>
                <w:vertAlign w:val="superscript"/>
              </w:rPr>
              <w:t>5</w:t>
            </w:r>
          </w:p>
        </w:tc>
        <w:tc>
          <w:tcPr>
            <w:tcW w:w="629" w:type="pct"/>
            <w:noWrap/>
          </w:tcPr>
          <w:p w14:paraId="2BBCAEB7" w14:textId="73790DAA" w:rsidR="00185C82" w:rsidRPr="00D221AB" w:rsidRDefault="00924D5E" w:rsidP="00D221AB">
            <w:pPr>
              <w:pStyle w:val="PBACTableText"/>
              <w:spacing w:before="0" w:after="0"/>
              <w:jc w:val="center"/>
              <w:rPr>
                <w:b/>
                <w:bCs/>
                <w:iCs/>
                <w:highlight w:val="lightGray"/>
              </w:rPr>
            </w:pPr>
            <w:r w:rsidRPr="00924D5E">
              <w:rPr>
                <w:rFonts w:hint="eastAsia"/>
                <w:color w:val="000000"/>
                <w:w w:val="15"/>
                <w:shd w:val="solid" w:color="000000" w:fill="000000"/>
                <w:fitText w:val="50" w:id="-961834992"/>
                <w14:textFill>
                  <w14:solidFill>
                    <w14:srgbClr w14:val="000000">
                      <w14:alpha w14:val="100000"/>
                    </w14:srgbClr>
                  </w14:solidFill>
                </w14:textFill>
              </w:rPr>
              <w:t xml:space="preserve">　</w:t>
            </w:r>
            <w:r w:rsidRPr="00924D5E">
              <w:rPr>
                <w:color w:val="000000"/>
                <w:w w:val="15"/>
                <w:shd w:val="solid" w:color="000000" w:fill="000000"/>
                <w:fitText w:val="50" w:id="-961834992"/>
                <w14:textFill>
                  <w14:solidFill>
                    <w14:srgbClr w14:val="000000">
                      <w14:alpha w14:val="100000"/>
                    </w14:srgbClr>
                  </w14:solidFill>
                </w14:textFill>
              </w:rPr>
              <w:t>|</w:t>
            </w:r>
            <w:r w:rsidRPr="00924D5E">
              <w:rPr>
                <w:rFonts w:hint="eastAsia"/>
                <w:color w:val="000000"/>
                <w:spacing w:val="-15"/>
                <w:w w:val="15"/>
                <w:shd w:val="solid" w:color="000000" w:fill="000000"/>
                <w:fitText w:val="50" w:id="-961834992"/>
                <w14:textFill>
                  <w14:solidFill>
                    <w14:srgbClr w14:val="000000">
                      <w14:alpha w14:val="100000"/>
                    </w14:srgbClr>
                  </w14:solidFill>
                </w14:textFill>
              </w:rPr>
              <w:t xml:space="preserve">　</w:t>
            </w:r>
            <w:r w:rsidR="00556B0E">
              <w:rPr>
                <w:vertAlign w:val="superscript"/>
              </w:rPr>
              <w:t>5</w:t>
            </w:r>
          </w:p>
        </w:tc>
        <w:tc>
          <w:tcPr>
            <w:tcW w:w="629" w:type="pct"/>
            <w:noWrap/>
          </w:tcPr>
          <w:p w14:paraId="00875DE6" w14:textId="7F27EBE5" w:rsidR="00185C82" w:rsidRPr="00D221AB" w:rsidRDefault="00924D5E" w:rsidP="00D221AB">
            <w:pPr>
              <w:pStyle w:val="PBACTableText"/>
              <w:spacing w:before="0" w:after="0"/>
              <w:jc w:val="center"/>
              <w:rPr>
                <w:b/>
                <w:bCs/>
                <w:iCs/>
                <w:highlight w:val="lightGray"/>
              </w:rPr>
            </w:pPr>
            <w:r w:rsidRPr="00924D5E">
              <w:rPr>
                <w:rFonts w:hint="eastAsia"/>
                <w:color w:val="000000"/>
                <w:w w:val="15"/>
                <w:shd w:val="solid" w:color="000000" w:fill="000000"/>
                <w:fitText w:val="50" w:id="-961835008"/>
                <w14:textFill>
                  <w14:solidFill>
                    <w14:srgbClr w14:val="000000">
                      <w14:alpha w14:val="100000"/>
                    </w14:srgbClr>
                  </w14:solidFill>
                </w14:textFill>
              </w:rPr>
              <w:t xml:space="preserve">　</w:t>
            </w:r>
            <w:r w:rsidRPr="00924D5E">
              <w:rPr>
                <w:color w:val="000000"/>
                <w:w w:val="15"/>
                <w:shd w:val="solid" w:color="000000" w:fill="000000"/>
                <w:fitText w:val="50" w:id="-961835008"/>
                <w14:textFill>
                  <w14:solidFill>
                    <w14:srgbClr w14:val="000000">
                      <w14:alpha w14:val="100000"/>
                    </w14:srgbClr>
                  </w14:solidFill>
                </w14:textFill>
              </w:rPr>
              <w:t>|</w:t>
            </w:r>
            <w:r w:rsidRPr="00924D5E">
              <w:rPr>
                <w:rFonts w:hint="eastAsia"/>
                <w:color w:val="000000"/>
                <w:spacing w:val="-15"/>
                <w:w w:val="15"/>
                <w:shd w:val="solid" w:color="000000" w:fill="000000"/>
                <w:fitText w:val="50" w:id="-961835008"/>
                <w14:textFill>
                  <w14:solidFill>
                    <w14:srgbClr w14:val="000000">
                      <w14:alpha w14:val="100000"/>
                    </w14:srgbClr>
                  </w14:solidFill>
                </w14:textFill>
              </w:rPr>
              <w:t xml:space="preserve">　</w:t>
            </w:r>
            <w:r w:rsidR="00556B0E">
              <w:rPr>
                <w:vertAlign w:val="superscript"/>
              </w:rPr>
              <w:t>5</w:t>
            </w:r>
          </w:p>
        </w:tc>
        <w:tc>
          <w:tcPr>
            <w:tcW w:w="629" w:type="pct"/>
            <w:noWrap/>
          </w:tcPr>
          <w:p w14:paraId="6429EDF6" w14:textId="313BF769" w:rsidR="00185C82" w:rsidRPr="00D221AB" w:rsidRDefault="00924D5E" w:rsidP="00D221AB">
            <w:pPr>
              <w:pStyle w:val="PBACTableText"/>
              <w:spacing w:before="0" w:after="0"/>
              <w:jc w:val="center"/>
              <w:rPr>
                <w:b/>
                <w:bCs/>
                <w:iCs/>
                <w:highlight w:val="lightGray"/>
              </w:rPr>
            </w:pPr>
            <w:r w:rsidRPr="00924D5E">
              <w:rPr>
                <w:rFonts w:hint="eastAsia"/>
                <w:color w:val="000000"/>
                <w:w w:val="15"/>
                <w:shd w:val="solid" w:color="000000" w:fill="000000"/>
                <w:fitText w:val="50" w:id="-961835007"/>
                <w14:textFill>
                  <w14:solidFill>
                    <w14:srgbClr w14:val="000000">
                      <w14:alpha w14:val="100000"/>
                    </w14:srgbClr>
                  </w14:solidFill>
                </w14:textFill>
              </w:rPr>
              <w:t xml:space="preserve">　</w:t>
            </w:r>
            <w:r w:rsidRPr="00924D5E">
              <w:rPr>
                <w:color w:val="000000"/>
                <w:w w:val="15"/>
                <w:shd w:val="solid" w:color="000000" w:fill="000000"/>
                <w:fitText w:val="50" w:id="-961835007"/>
                <w14:textFill>
                  <w14:solidFill>
                    <w14:srgbClr w14:val="000000">
                      <w14:alpha w14:val="100000"/>
                    </w14:srgbClr>
                  </w14:solidFill>
                </w14:textFill>
              </w:rPr>
              <w:t>|</w:t>
            </w:r>
            <w:r w:rsidRPr="00924D5E">
              <w:rPr>
                <w:rFonts w:hint="eastAsia"/>
                <w:color w:val="000000"/>
                <w:spacing w:val="-15"/>
                <w:w w:val="15"/>
                <w:shd w:val="solid" w:color="000000" w:fill="000000"/>
                <w:fitText w:val="50" w:id="-961835007"/>
                <w14:textFill>
                  <w14:solidFill>
                    <w14:srgbClr w14:val="000000">
                      <w14:alpha w14:val="100000"/>
                    </w14:srgbClr>
                  </w14:solidFill>
                </w14:textFill>
              </w:rPr>
              <w:t xml:space="preserve">　</w:t>
            </w:r>
            <w:r w:rsidR="00556B0E">
              <w:rPr>
                <w:vertAlign w:val="superscript"/>
              </w:rPr>
              <w:t>5</w:t>
            </w:r>
          </w:p>
        </w:tc>
        <w:tc>
          <w:tcPr>
            <w:tcW w:w="629" w:type="pct"/>
            <w:noWrap/>
          </w:tcPr>
          <w:p w14:paraId="379AD30E" w14:textId="7E56874D" w:rsidR="00185C82" w:rsidRPr="00D221AB" w:rsidRDefault="00924D5E" w:rsidP="00D221AB">
            <w:pPr>
              <w:pStyle w:val="PBACTableText"/>
              <w:spacing w:before="0" w:after="0"/>
              <w:jc w:val="center"/>
              <w:rPr>
                <w:b/>
                <w:bCs/>
                <w:iCs/>
                <w:highlight w:val="lightGray"/>
              </w:rPr>
            </w:pPr>
            <w:r w:rsidRPr="00924D5E">
              <w:rPr>
                <w:rFonts w:hint="eastAsia"/>
                <w:color w:val="000000"/>
                <w:w w:val="15"/>
                <w:shd w:val="solid" w:color="000000" w:fill="000000"/>
                <w:fitText w:val="50" w:id="-961835006"/>
                <w14:textFill>
                  <w14:solidFill>
                    <w14:srgbClr w14:val="000000">
                      <w14:alpha w14:val="100000"/>
                    </w14:srgbClr>
                  </w14:solidFill>
                </w14:textFill>
              </w:rPr>
              <w:t xml:space="preserve">　</w:t>
            </w:r>
            <w:r w:rsidRPr="00924D5E">
              <w:rPr>
                <w:color w:val="000000"/>
                <w:w w:val="15"/>
                <w:shd w:val="solid" w:color="000000" w:fill="000000"/>
                <w:fitText w:val="50" w:id="-961835006"/>
                <w14:textFill>
                  <w14:solidFill>
                    <w14:srgbClr w14:val="000000">
                      <w14:alpha w14:val="100000"/>
                    </w14:srgbClr>
                  </w14:solidFill>
                </w14:textFill>
              </w:rPr>
              <w:t>|</w:t>
            </w:r>
            <w:r w:rsidRPr="00924D5E">
              <w:rPr>
                <w:rFonts w:hint="eastAsia"/>
                <w:color w:val="000000"/>
                <w:spacing w:val="-15"/>
                <w:w w:val="15"/>
                <w:shd w:val="solid" w:color="000000" w:fill="000000"/>
                <w:fitText w:val="50" w:id="-961835006"/>
                <w14:textFill>
                  <w14:solidFill>
                    <w14:srgbClr w14:val="000000">
                      <w14:alpha w14:val="100000"/>
                    </w14:srgbClr>
                  </w14:solidFill>
                </w14:textFill>
              </w:rPr>
              <w:t xml:space="preserve">　</w:t>
            </w:r>
            <w:r w:rsidR="00556B0E">
              <w:rPr>
                <w:vertAlign w:val="superscript"/>
              </w:rPr>
              <w:t>5</w:t>
            </w:r>
          </w:p>
        </w:tc>
        <w:tc>
          <w:tcPr>
            <w:tcW w:w="628" w:type="pct"/>
            <w:noWrap/>
          </w:tcPr>
          <w:p w14:paraId="499F997A" w14:textId="49B1674D" w:rsidR="00185C82" w:rsidRPr="00D221AB" w:rsidRDefault="00924D5E" w:rsidP="00D221AB">
            <w:pPr>
              <w:pStyle w:val="PBACTableText"/>
              <w:spacing w:before="0" w:after="0"/>
              <w:jc w:val="center"/>
              <w:rPr>
                <w:b/>
                <w:bCs/>
                <w:iCs/>
                <w:highlight w:val="lightGray"/>
              </w:rPr>
            </w:pPr>
            <w:r w:rsidRPr="00924D5E">
              <w:rPr>
                <w:rFonts w:hint="eastAsia"/>
                <w:color w:val="000000"/>
                <w:w w:val="15"/>
                <w:shd w:val="solid" w:color="000000" w:fill="000000"/>
                <w:fitText w:val="50" w:id="-961835005"/>
                <w14:textFill>
                  <w14:solidFill>
                    <w14:srgbClr w14:val="000000">
                      <w14:alpha w14:val="100000"/>
                    </w14:srgbClr>
                  </w14:solidFill>
                </w14:textFill>
              </w:rPr>
              <w:t xml:space="preserve">　</w:t>
            </w:r>
            <w:r w:rsidRPr="00924D5E">
              <w:rPr>
                <w:color w:val="000000"/>
                <w:w w:val="15"/>
                <w:shd w:val="solid" w:color="000000" w:fill="000000"/>
                <w:fitText w:val="50" w:id="-961835005"/>
                <w14:textFill>
                  <w14:solidFill>
                    <w14:srgbClr w14:val="000000">
                      <w14:alpha w14:val="100000"/>
                    </w14:srgbClr>
                  </w14:solidFill>
                </w14:textFill>
              </w:rPr>
              <w:t>|</w:t>
            </w:r>
            <w:r w:rsidRPr="00924D5E">
              <w:rPr>
                <w:rFonts w:hint="eastAsia"/>
                <w:color w:val="000000"/>
                <w:spacing w:val="-15"/>
                <w:w w:val="15"/>
                <w:shd w:val="solid" w:color="000000" w:fill="000000"/>
                <w:fitText w:val="50" w:id="-961835005"/>
                <w14:textFill>
                  <w14:solidFill>
                    <w14:srgbClr w14:val="000000">
                      <w14:alpha w14:val="100000"/>
                    </w14:srgbClr>
                  </w14:solidFill>
                </w14:textFill>
              </w:rPr>
              <w:t xml:space="preserve">　</w:t>
            </w:r>
            <w:r w:rsidR="00556B0E">
              <w:rPr>
                <w:vertAlign w:val="superscript"/>
              </w:rPr>
              <w:t>5</w:t>
            </w:r>
          </w:p>
        </w:tc>
      </w:tr>
    </w:tbl>
    <w:p w14:paraId="7F935577" w14:textId="7C43358D" w:rsidR="00B24E51" w:rsidRPr="00CD4FAB" w:rsidRDefault="00B24E51" w:rsidP="00D221AB">
      <w:pPr>
        <w:pStyle w:val="TableFooter"/>
        <w:jc w:val="both"/>
        <w:rPr>
          <w:iCs/>
        </w:rPr>
      </w:pPr>
      <w:r w:rsidRPr="00CD4FAB">
        <w:rPr>
          <w:iCs/>
        </w:rPr>
        <w:t xml:space="preserve">Source: </w:t>
      </w:r>
      <w:r w:rsidR="002E5B2A" w:rsidRPr="00CD4FAB">
        <w:t>PSCR, attached workbook for Option B</w:t>
      </w:r>
      <w:r w:rsidRPr="00CD4FAB">
        <w:t>.</w:t>
      </w:r>
    </w:p>
    <w:p w14:paraId="24D17505" w14:textId="2EF2C999" w:rsidR="00ED6786" w:rsidRDefault="00B24E51" w:rsidP="00D221AB">
      <w:pPr>
        <w:pStyle w:val="TableFooter"/>
        <w:jc w:val="both"/>
        <w:rPr>
          <w:iCs/>
        </w:rPr>
      </w:pPr>
      <w:r w:rsidRPr="00CD4FAB">
        <w:rPr>
          <w:iCs/>
        </w:rPr>
        <w:t>Abbreviations: neoNIVO = neoadjuvant nivolumab; PBS = Pharmaceutical Benefits Scheme; RPBS = Repatriation Pharmaceutical Benefits Scheme.</w:t>
      </w:r>
    </w:p>
    <w:p w14:paraId="29FA0D1C" w14:textId="77777777" w:rsidR="00556B0E" w:rsidRPr="005104A3" w:rsidRDefault="00556B0E" w:rsidP="00D221AB">
      <w:pPr>
        <w:pStyle w:val="TableFooter"/>
        <w:jc w:val="both"/>
        <w:rPr>
          <w:rFonts w:cstheme="minorHAnsi"/>
          <w:bCs/>
          <w:i/>
          <w:iCs/>
          <w:szCs w:val="18"/>
          <w:lang w:eastAsia="en-AU"/>
        </w:rPr>
      </w:pPr>
      <w:r w:rsidRPr="005104A3">
        <w:rPr>
          <w:rFonts w:cstheme="minorHAnsi"/>
          <w:bCs/>
          <w:i/>
          <w:iCs/>
          <w:szCs w:val="18"/>
          <w:lang w:eastAsia="en-AU"/>
        </w:rPr>
        <w:t xml:space="preserve">The redacted values correspond to the following ranges: </w:t>
      </w:r>
    </w:p>
    <w:p w14:paraId="78D5B19A" w14:textId="6158F90D" w:rsidR="00556B0E" w:rsidRPr="005104A3" w:rsidRDefault="00556B0E" w:rsidP="00D221AB">
      <w:pPr>
        <w:pStyle w:val="TableFooter"/>
        <w:jc w:val="both"/>
        <w:rPr>
          <w:rFonts w:cstheme="minorHAnsi"/>
          <w:bCs/>
          <w:i/>
          <w:iCs/>
          <w:szCs w:val="18"/>
          <w:lang w:eastAsia="en-AU"/>
        </w:rPr>
      </w:pPr>
      <w:r w:rsidRPr="005104A3">
        <w:rPr>
          <w:rFonts w:cstheme="minorHAnsi"/>
          <w:bCs/>
          <w:i/>
          <w:iCs/>
          <w:szCs w:val="18"/>
          <w:vertAlign w:val="superscript"/>
          <w:lang w:eastAsia="en-AU"/>
        </w:rPr>
        <w:t>1</w:t>
      </w:r>
      <w:r w:rsidRPr="005104A3">
        <w:rPr>
          <w:rFonts w:cstheme="minorHAnsi"/>
          <w:bCs/>
          <w:i/>
          <w:iCs/>
          <w:szCs w:val="18"/>
          <w:lang w:eastAsia="en-AU"/>
        </w:rPr>
        <w:t xml:space="preserve"> </w:t>
      </w:r>
      <w:r w:rsidRPr="00556B0E">
        <w:rPr>
          <w:rFonts w:cstheme="minorHAnsi"/>
          <w:bCs/>
          <w:i/>
          <w:iCs/>
          <w:szCs w:val="18"/>
          <w:lang w:eastAsia="en-AU"/>
        </w:rPr>
        <w:t>$10 million to &lt; $20 million</w:t>
      </w:r>
    </w:p>
    <w:p w14:paraId="390B5742" w14:textId="191F3559" w:rsidR="00556B0E" w:rsidRPr="005104A3" w:rsidRDefault="00556B0E" w:rsidP="00D221AB">
      <w:pPr>
        <w:pStyle w:val="TableFooter"/>
        <w:jc w:val="both"/>
        <w:rPr>
          <w:rFonts w:cstheme="minorHAnsi"/>
          <w:bCs/>
          <w:i/>
          <w:iCs/>
          <w:szCs w:val="18"/>
          <w:lang w:eastAsia="en-AU"/>
        </w:rPr>
      </w:pPr>
      <w:r w:rsidRPr="005104A3">
        <w:rPr>
          <w:rFonts w:cstheme="minorHAnsi"/>
          <w:bCs/>
          <w:i/>
          <w:iCs/>
          <w:szCs w:val="18"/>
          <w:vertAlign w:val="superscript"/>
          <w:lang w:eastAsia="en-AU"/>
        </w:rPr>
        <w:t>2</w:t>
      </w:r>
      <w:r w:rsidRPr="005104A3">
        <w:rPr>
          <w:rFonts w:cstheme="minorHAnsi"/>
          <w:bCs/>
          <w:i/>
          <w:iCs/>
          <w:szCs w:val="18"/>
          <w:lang w:eastAsia="en-AU"/>
        </w:rPr>
        <w:t xml:space="preserve"> </w:t>
      </w:r>
      <w:r w:rsidRPr="00556B0E">
        <w:rPr>
          <w:rFonts w:cstheme="minorHAnsi"/>
          <w:bCs/>
          <w:i/>
          <w:iCs/>
          <w:szCs w:val="18"/>
          <w:lang w:eastAsia="en-AU"/>
        </w:rPr>
        <w:t>$</w:t>
      </w:r>
      <w:r>
        <w:rPr>
          <w:rFonts w:cstheme="minorHAnsi"/>
          <w:bCs/>
          <w:i/>
          <w:iCs/>
          <w:szCs w:val="18"/>
          <w:lang w:eastAsia="en-AU"/>
        </w:rPr>
        <w:t>2</w:t>
      </w:r>
      <w:r w:rsidRPr="00556B0E">
        <w:rPr>
          <w:rFonts w:cstheme="minorHAnsi"/>
          <w:bCs/>
          <w:i/>
          <w:iCs/>
          <w:szCs w:val="18"/>
          <w:lang w:eastAsia="en-AU"/>
        </w:rPr>
        <w:t>0 million to &lt; $</w:t>
      </w:r>
      <w:r>
        <w:rPr>
          <w:rFonts w:cstheme="minorHAnsi"/>
          <w:bCs/>
          <w:i/>
          <w:iCs/>
          <w:szCs w:val="18"/>
          <w:lang w:eastAsia="en-AU"/>
        </w:rPr>
        <w:t>3</w:t>
      </w:r>
      <w:r w:rsidRPr="00556B0E">
        <w:rPr>
          <w:rFonts w:cstheme="minorHAnsi"/>
          <w:bCs/>
          <w:i/>
          <w:iCs/>
          <w:szCs w:val="18"/>
          <w:lang w:eastAsia="en-AU"/>
        </w:rPr>
        <w:t>0 million</w:t>
      </w:r>
    </w:p>
    <w:p w14:paraId="031F51A0" w14:textId="21F93293" w:rsidR="00556B0E" w:rsidRPr="005104A3" w:rsidRDefault="00556B0E" w:rsidP="00D221AB">
      <w:pPr>
        <w:pStyle w:val="TableFooter"/>
        <w:jc w:val="both"/>
        <w:rPr>
          <w:rFonts w:cstheme="minorHAnsi"/>
          <w:bCs/>
          <w:i/>
          <w:iCs/>
          <w:szCs w:val="18"/>
          <w:lang w:eastAsia="en-AU"/>
        </w:rPr>
      </w:pPr>
      <w:r w:rsidRPr="005104A3">
        <w:rPr>
          <w:rFonts w:cstheme="minorHAnsi"/>
          <w:bCs/>
          <w:i/>
          <w:iCs/>
          <w:szCs w:val="18"/>
          <w:vertAlign w:val="superscript"/>
          <w:lang w:eastAsia="en-AU"/>
        </w:rPr>
        <w:t>3</w:t>
      </w:r>
      <w:r w:rsidRPr="005104A3">
        <w:rPr>
          <w:rFonts w:cstheme="minorHAnsi"/>
          <w:bCs/>
          <w:i/>
          <w:iCs/>
          <w:szCs w:val="18"/>
          <w:lang w:eastAsia="en-AU"/>
        </w:rPr>
        <w:t xml:space="preserve"> </w:t>
      </w:r>
      <w:bookmarkStart w:id="47" w:name="_Hlk167089324"/>
      <w:r>
        <w:rPr>
          <w:rFonts w:cstheme="minorHAnsi"/>
          <w:bCs/>
          <w:i/>
          <w:iCs/>
          <w:szCs w:val="18"/>
          <w:lang w:eastAsia="en-AU"/>
        </w:rPr>
        <w:t>$3</w:t>
      </w:r>
      <w:r w:rsidRPr="00556B0E">
        <w:rPr>
          <w:rFonts w:cstheme="minorHAnsi"/>
          <w:bCs/>
          <w:i/>
          <w:iCs/>
          <w:szCs w:val="18"/>
          <w:lang w:eastAsia="en-AU"/>
        </w:rPr>
        <w:t>0 million to &lt; $</w:t>
      </w:r>
      <w:r>
        <w:rPr>
          <w:rFonts w:cstheme="minorHAnsi"/>
          <w:bCs/>
          <w:i/>
          <w:iCs/>
          <w:szCs w:val="18"/>
          <w:lang w:eastAsia="en-AU"/>
        </w:rPr>
        <w:t>4</w:t>
      </w:r>
      <w:r w:rsidRPr="00556B0E">
        <w:rPr>
          <w:rFonts w:cstheme="minorHAnsi"/>
          <w:bCs/>
          <w:i/>
          <w:iCs/>
          <w:szCs w:val="18"/>
          <w:lang w:eastAsia="en-AU"/>
        </w:rPr>
        <w:t>0 million</w:t>
      </w:r>
      <w:bookmarkEnd w:id="47"/>
    </w:p>
    <w:p w14:paraId="638B2803" w14:textId="21968952" w:rsidR="00556B0E" w:rsidRDefault="00556B0E" w:rsidP="00D221AB">
      <w:pPr>
        <w:pStyle w:val="TableFooter"/>
        <w:jc w:val="both"/>
        <w:rPr>
          <w:rFonts w:cstheme="minorHAnsi"/>
          <w:bCs/>
          <w:i/>
          <w:iCs/>
          <w:szCs w:val="18"/>
          <w:lang w:eastAsia="en-AU"/>
        </w:rPr>
      </w:pPr>
      <w:r w:rsidRPr="005104A3">
        <w:rPr>
          <w:rFonts w:cstheme="minorHAnsi"/>
          <w:bCs/>
          <w:i/>
          <w:iCs/>
          <w:szCs w:val="18"/>
          <w:vertAlign w:val="superscript"/>
          <w:lang w:eastAsia="en-AU"/>
        </w:rPr>
        <w:t>4</w:t>
      </w:r>
      <w:r w:rsidRPr="005104A3">
        <w:rPr>
          <w:rFonts w:cstheme="minorHAnsi"/>
          <w:bCs/>
          <w:i/>
          <w:iCs/>
          <w:szCs w:val="18"/>
          <w:lang w:eastAsia="en-AU"/>
        </w:rPr>
        <w:t xml:space="preserve"> </w:t>
      </w:r>
      <w:r w:rsidR="00C33A15">
        <w:rPr>
          <w:rFonts w:cstheme="minorHAnsi"/>
          <w:bCs/>
          <w:i/>
          <w:iCs/>
          <w:szCs w:val="18"/>
          <w:lang w:eastAsia="en-AU"/>
        </w:rPr>
        <w:t>net cost saving</w:t>
      </w:r>
    </w:p>
    <w:p w14:paraId="62567602" w14:textId="2CA68D53" w:rsidR="00556B0E" w:rsidRPr="00CD4FAB" w:rsidRDefault="00C33A15" w:rsidP="00D221AB">
      <w:pPr>
        <w:pStyle w:val="TableFooter"/>
        <w:spacing w:after="120"/>
        <w:jc w:val="both"/>
        <w:rPr>
          <w:iCs/>
        </w:rPr>
      </w:pPr>
      <w:r w:rsidRPr="005104A3">
        <w:rPr>
          <w:rFonts w:cstheme="minorHAnsi"/>
          <w:bCs/>
          <w:i/>
          <w:iCs/>
          <w:szCs w:val="18"/>
          <w:vertAlign w:val="superscript"/>
          <w:lang w:eastAsia="en-AU"/>
        </w:rPr>
        <w:t>5</w:t>
      </w:r>
      <w:r w:rsidRPr="005104A3">
        <w:rPr>
          <w:rFonts w:cstheme="minorHAnsi"/>
          <w:bCs/>
          <w:i/>
          <w:iCs/>
          <w:szCs w:val="18"/>
          <w:lang w:eastAsia="en-AU"/>
        </w:rPr>
        <w:t xml:space="preserve"> </w:t>
      </w:r>
      <w:r w:rsidRPr="00C33A15">
        <w:rPr>
          <w:rFonts w:cstheme="minorHAnsi"/>
          <w:bCs/>
          <w:i/>
          <w:iCs/>
          <w:szCs w:val="18"/>
          <w:lang w:eastAsia="en-AU"/>
        </w:rPr>
        <w:t>$0 to &lt; $10 million</w:t>
      </w:r>
    </w:p>
    <w:p w14:paraId="0F5311C3" w14:textId="2A936F98" w:rsidR="00ED6786" w:rsidRPr="00CD4FAB" w:rsidRDefault="000902D9" w:rsidP="00ED6786">
      <w:pPr>
        <w:pStyle w:val="3-BodyText"/>
      </w:pPr>
      <w:r w:rsidRPr="00CD4FAB">
        <w:t>The total cost to the PBS/RPBS of listing</w:t>
      </w:r>
      <w:r w:rsidR="004A2802" w:rsidRPr="00CD4FAB">
        <w:t xml:space="preserve"> nivolumab according to O</w:t>
      </w:r>
      <w:r w:rsidR="00651C45" w:rsidRPr="00CD4FAB">
        <w:t>ption</w:t>
      </w:r>
      <w:r w:rsidR="004A2802" w:rsidRPr="00CD4FAB">
        <w:t xml:space="preserve"> A</w:t>
      </w:r>
      <w:r w:rsidRPr="00CD4FAB">
        <w:t xml:space="preserve"> was estimated </w:t>
      </w:r>
      <w:r w:rsidR="00A05C32" w:rsidRPr="00CD4FAB">
        <w:t>to be</w:t>
      </w:r>
      <w:r w:rsidRPr="00CD4FAB">
        <w:t xml:space="preserve"> </w:t>
      </w:r>
      <w:r w:rsidR="00436D30" w:rsidRPr="00436D30">
        <w:t>$20 million to &lt; $30 million</w:t>
      </w:r>
      <w:r w:rsidR="00436D30">
        <w:t xml:space="preserve"> </w:t>
      </w:r>
      <w:r w:rsidRPr="00CD4FAB">
        <w:t xml:space="preserve">in Year 6, and a total of </w:t>
      </w:r>
      <w:r w:rsidR="00436D30" w:rsidRPr="00436D30">
        <w:t>$100 million</w:t>
      </w:r>
      <w:r w:rsidR="00640E59">
        <w:t> </w:t>
      </w:r>
      <w:r w:rsidR="00436D30" w:rsidRPr="00436D30">
        <w:t>to &lt;</w:t>
      </w:r>
      <w:r w:rsidR="00717AF2">
        <w:t> </w:t>
      </w:r>
      <w:r w:rsidR="00436D30" w:rsidRPr="00436D30">
        <w:t>$200 million</w:t>
      </w:r>
      <w:r w:rsidR="00436D30" w:rsidRPr="00436D30" w:rsidDel="00436D30">
        <w:t xml:space="preserve"> </w:t>
      </w:r>
      <w:r w:rsidRPr="00CD4FAB">
        <w:t xml:space="preserve">in the first 6 years of </w:t>
      </w:r>
      <w:r w:rsidRPr="00CC3FDF">
        <w:t>listing</w:t>
      </w:r>
      <w:r w:rsidR="00CD4FAB" w:rsidRPr="00CC3FDF">
        <w:t xml:space="preserve">. </w:t>
      </w:r>
      <w:r w:rsidR="00EA5BD2" w:rsidRPr="00CC3FDF">
        <w:t xml:space="preserve">For Option B, the estimated costs were </w:t>
      </w:r>
      <w:r w:rsidR="00717AF2" w:rsidRPr="00717AF2">
        <w:t>$30</w:t>
      </w:r>
      <w:r w:rsidR="00640E59">
        <w:t> </w:t>
      </w:r>
      <w:r w:rsidR="00717AF2" w:rsidRPr="00717AF2">
        <w:t>million to &lt; $40 million</w:t>
      </w:r>
      <w:r w:rsidR="00717AF2" w:rsidRPr="00717AF2" w:rsidDel="00717AF2">
        <w:t xml:space="preserve"> </w:t>
      </w:r>
      <w:r w:rsidR="00EA5BD2" w:rsidRPr="00CC3FDF">
        <w:t>in year 6 and $</w:t>
      </w:r>
      <w:r w:rsidR="00436D30" w:rsidRPr="00436D30">
        <w:t>100 million to &lt; $200 million</w:t>
      </w:r>
      <w:r w:rsidR="00436D30" w:rsidRPr="00436D30" w:rsidDel="00436D30">
        <w:t xml:space="preserve"> </w:t>
      </w:r>
      <w:r w:rsidR="00EA5BD2" w:rsidRPr="00CC3FDF">
        <w:t>ove</w:t>
      </w:r>
      <w:r w:rsidR="00EA5BD2" w:rsidRPr="00CD4FAB">
        <w:t xml:space="preserve">r 6 years. </w:t>
      </w:r>
    </w:p>
    <w:p w14:paraId="31E49AEF" w14:textId="0DFA620B" w:rsidR="00A26131" w:rsidRPr="00CD4FAB" w:rsidRDefault="00173C37" w:rsidP="00ED6786">
      <w:pPr>
        <w:pStyle w:val="3-BodyText"/>
        <w:rPr>
          <w:iCs/>
        </w:rPr>
      </w:pPr>
      <w:r w:rsidRPr="00CD4FAB">
        <w:rPr>
          <w:iCs/>
        </w:rPr>
        <w:t>The impact of</w:t>
      </w:r>
      <w:r w:rsidR="00A26131" w:rsidRPr="00CD4FAB">
        <w:rPr>
          <w:iCs/>
        </w:rPr>
        <w:t xml:space="preserve"> using the PBAC recommended </w:t>
      </w:r>
      <w:r w:rsidR="009972FE" w:rsidRPr="00CD4FAB">
        <w:rPr>
          <w:iCs/>
        </w:rPr>
        <w:t>offset</w:t>
      </w:r>
      <w:r w:rsidR="00676E3D" w:rsidRPr="00CD4FAB">
        <w:rPr>
          <w:iCs/>
        </w:rPr>
        <w:t xml:space="preserve"> for reduced immunotherapy use in other contexts (50%)</w:t>
      </w:r>
      <w:r w:rsidRPr="00CD4FAB">
        <w:rPr>
          <w:iCs/>
        </w:rPr>
        <w:t xml:space="preserve"> for Option B</w:t>
      </w:r>
      <w:r w:rsidR="004F2682" w:rsidRPr="00CD4FAB">
        <w:rPr>
          <w:iCs/>
        </w:rPr>
        <w:t xml:space="preserve"> is shown below</w:t>
      </w:r>
      <w:r w:rsidR="009972FE" w:rsidRPr="00CD4FAB">
        <w:rPr>
          <w:iCs/>
        </w:rPr>
        <w:t>.</w:t>
      </w:r>
      <w:r w:rsidRPr="00CD4FAB">
        <w:rPr>
          <w:iCs/>
        </w:rPr>
        <w:t xml:space="preserve"> </w:t>
      </w:r>
      <w:r w:rsidR="00C15ACF" w:rsidRPr="00CD4FAB">
        <w:rPr>
          <w:iCs/>
        </w:rPr>
        <w:t>The offsets are based on the published prices for atezolizumab and durvalumab, and the known effective price for pembrolizumab.</w:t>
      </w:r>
    </w:p>
    <w:p w14:paraId="4C102C33" w14:textId="752CDF60" w:rsidR="009972FE" w:rsidRPr="00CD4FAB" w:rsidRDefault="005B7D0D" w:rsidP="005B7D0D">
      <w:pPr>
        <w:pStyle w:val="Caption"/>
        <w:rPr>
          <w:iCs/>
        </w:rPr>
      </w:pPr>
      <w:bookmarkStart w:id="48" w:name="_Ref159838838"/>
      <w:r w:rsidRPr="00CD4FAB">
        <w:rPr>
          <w:iCs/>
        </w:rPr>
        <w:t xml:space="preserve">Table </w:t>
      </w:r>
      <w:r w:rsidRPr="00CD4FAB">
        <w:rPr>
          <w:iCs/>
        </w:rPr>
        <w:fldChar w:fldCharType="begin" w:fldLock="1"/>
      </w:r>
      <w:r w:rsidRPr="00CD4FAB">
        <w:rPr>
          <w:iCs/>
        </w:rPr>
        <w:instrText xml:space="preserve"> SEQ Table \* ARABIC </w:instrText>
      </w:r>
      <w:r w:rsidRPr="00CD4FAB">
        <w:rPr>
          <w:iCs/>
        </w:rPr>
        <w:fldChar w:fldCharType="separate"/>
      </w:r>
      <w:r w:rsidR="00885DA7">
        <w:rPr>
          <w:iCs/>
          <w:noProof/>
        </w:rPr>
        <w:t>14</w:t>
      </w:r>
      <w:r w:rsidRPr="00CD4FAB">
        <w:rPr>
          <w:iCs/>
        </w:rPr>
        <w:fldChar w:fldCharType="end"/>
      </w:r>
      <w:bookmarkEnd w:id="48"/>
      <w:r w:rsidRPr="00CD4FAB">
        <w:rPr>
          <w:iCs/>
        </w:rPr>
        <w:t>:</w:t>
      </w:r>
      <w:r w:rsidRPr="00CD4FAB">
        <w:t xml:space="preserve"> </w:t>
      </w:r>
      <w:r w:rsidR="009972FE" w:rsidRPr="00CD4FAB">
        <w:rPr>
          <w:iCs/>
        </w:rPr>
        <w:t>Estimate of net overall financial impact to the PBS/RPBS, Option B</w:t>
      </w:r>
      <w:r w:rsidR="00173C37" w:rsidRPr="00CD4FAB">
        <w:rPr>
          <w:iCs/>
        </w:rPr>
        <w:t xml:space="preserve"> </w:t>
      </w:r>
      <w:r w:rsidR="00173C37" w:rsidRPr="00CD4FAB">
        <w:t>(</w:t>
      </w:r>
      <w:r w:rsidR="00173C37" w:rsidRPr="00CD4FAB">
        <w:rPr>
          <w:rStyle w:val="CommentReference"/>
          <w:b/>
          <w:szCs w:val="24"/>
        </w:rPr>
        <w:t>uptake 35% in years 1 and 2, correct AEMP, 50% offset)</w:t>
      </w:r>
      <w:r w:rsidR="00B5138D">
        <w:rPr>
          <w:rStyle w:val="CommentReference"/>
          <w:b/>
          <w:szCs w:val="24"/>
        </w:rPr>
        <w:t xml:space="preserve"> </w:t>
      </w:r>
    </w:p>
    <w:tbl>
      <w:tblPr>
        <w:tblStyle w:val="TableGrid"/>
        <w:tblW w:w="4966" w:type="pct"/>
        <w:tblLook w:val="04A0" w:firstRow="1" w:lastRow="0" w:firstColumn="1" w:lastColumn="0" w:noHBand="0" w:noVBand="1"/>
        <w:tblCaption w:val="Table 14: Estimate of net overall financial impact to the PBS/RPBS, Option B (uptake 35% in years 1 and 2, correct AEMP, 50% offset) "/>
      </w:tblPr>
      <w:tblGrid>
        <w:gridCol w:w="2154"/>
        <w:gridCol w:w="1135"/>
        <w:gridCol w:w="1136"/>
        <w:gridCol w:w="1136"/>
        <w:gridCol w:w="1134"/>
        <w:gridCol w:w="1134"/>
        <w:gridCol w:w="1127"/>
      </w:tblGrid>
      <w:tr w:rsidR="006E162D" w:rsidRPr="00CD4FAB" w14:paraId="7C15EE86" w14:textId="13F3AC8C" w:rsidTr="006E162D">
        <w:trPr>
          <w:trHeight w:val="283"/>
        </w:trPr>
        <w:tc>
          <w:tcPr>
            <w:tcW w:w="1203" w:type="pct"/>
          </w:tcPr>
          <w:p w14:paraId="237C7BCB" w14:textId="5034445D" w:rsidR="009972FE" w:rsidRPr="00CD4FAB" w:rsidRDefault="009972FE" w:rsidP="006E4C34">
            <w:pPr>
              <w:pStyle w:val="PBACTableText"/>
              <w:keepNext/>
              <w:spacing w:before="0" w:after="0"/>
              <w:rPr>
                <w:iCs/>
              </w:rPr>
            </w:pPr>
          </w:p>
        </w:tc>
        <w:tc>
          <w:tcPr>
            <w:tcW w:w="634" w:type="pct"/>
            <w:vAlign w:val="center"/>
          </w:tcPr>
          <w:p w14:paraId="79A5D75C" w14:textId="3801BFA9" w:rsidR="009972FE" w:rsidRPr="00CD4FAB" w:rsidRDefault="009972FE" w:rsidP="006E4C34">
            <w:pPr>
              <w:pStyle w:val="PBACTableText"/>
              <w:keepNext/>
              <w:spacing w:before="0" w:after="0"/>
              <w:jc w:val="center"/>
              <w:rPr>
                <w:b/>
                <w:bCs/>
                <w:iCs/>
              </w:rPr>
            </w:pPr>
            <w:r w:rsidRPr="00CD4FAB">
              <w:rPr>
                <w:b/>
                <w:bCs/>
                <w:iCs/>
              </w:rPr>
              <w:t>2024</w:t>
            </w:r>
          </w:p>
        </w:tc>
        <w:tc>
          <w:tcPr>
            <w:tcW w:w="634" w:type="pct"/>
            <w:vAlign w:val="center"/>
          </w:tcPr>
          <w:p w14:paraId="6A43E299" w14:textId="67156D14" w:rsidR="009972FE" w:rsidRPr="00CD4FAB" w:rsidRDefault="009972FE" w:rsidP="006E4C34">
            <w:pPr>
              <w:pStyle w:val="PBACTableText"/>
              <w:keepNext/>
              <w:spacing w:before="0" w:after="0"/>
              <w:jc w:val="center"/>
              <w:rPr>
                <w:b/>
                <w:bCs/>
                <w:iCs/>
              </w:rPr>
            </w:pPr>
            <w:r w:rsidRPr="00CD4FAB">
              <w:rPr>
                <w:b/>
                <w:bCs/>
                <w:iCs/>
              </w:rPr>
              <w:t>2025</w:t>
            </w:r>
          </w:p>
        </w:tc>
        <w:tc>
          <w:tcPr>
            <w:tcW w:w="634" w:type="pct"/>
            <w:vAlign w:val="center"/>
          </w:tcPr>
          <w:p w14:paraId="4959034A" w14:textId="5F9638FF" w:rsidR="009972FE" w:rsidRPr="00CD4FAB" w:rsidRDefault="009972FE" w:rsidP="006E4C34">
            <w:pPr>
              <w:pStyle w:val="PBACTableText"/>
              <w:keepNext/>
              <w:spacing w:before="0" w:after="0"/>
              <w:jc w:val="center"/>
              <w:rPr>
                <w:b/>
                <w:bCs/>
                <w:iCs/>
              </w:rPr>
            </w:pPr>
            <w:r w:rsidRPr="00CD4FAB">
              <w:rPr>
                <w:b/>
                <w:bCs/>
                <w:iCs/>
              </w:rPr>
              <w:t>2026</w:t>
            </w:r>
          </w:p>
        </w:tc>
        <w:tc>
          <w:tcPr>
            <w:tcW w:w="633" w:type="pct"/>
            <w:vAlign w:val="center"/>
          </w:tcPr>
          <w:p w14:paraId="76E00373" w14:textId="4D16A4D6" w:rsidR="009972FE" w:rsidRPr="00CD4FAB" w:rsidRDefault="009972FE" w:rsidP="006E4C34">
            <w:pPr>
              <w:pStyle w:val="PBACTableText"/>
              <w:keepNext/>
              <w:spacing w:before="0" w:after="0"/>
              <w:jc w:val="center"/>
              <w:rPr>
                <w:b/>
                <w:bCs/>
                <w:iCs/>
              </w:rPr>
            </w:pPr>
            <w:r w:rsidRPr="00CD4FAB">
              <w:rPr>
                <w:b/>
                <w:bCs/>
                <w:iCs/>
              </w:rPr>
              <w:t>2027</w:t>
            </w:r>
          </w:p>
        </w:tc>
        <w:tc>
          <w:tcPr>
            <w:tcW w:w="633" w:type="pct"/>
            <w:vAlign w:val="center"/>
          </w:tcPr>
          <w:p w14:paraId="0AF13D41" w14:textId="4136B186" w:rsidR="009972FE" w:rsidRPr="00CD4FAB" w:rsidRDefault="009972FE" w:rsidP="006E4C34">
            <w:pPr>
              <w:pStyle w:val="PBACTableText"/>
              <w:keepNext/>
              <w:spacing w:before="0" w:after="0"/>
              <w:jc w:val="center"/>
              <w:rPr>
                <w:b/>
                <w:bCs/>
                <w:iCs/>
              </w:rPr>
            </w:pPr>
            <w:r w:rsidRPr="00CD4FAB">
              <w:rPr>
                <w:b/>
                <w:bCs/>
                <w:iCs/>
              </w:rPr>
              <w:t>2028</w:t>
            </w:r>
          </w:p>
        </w:tc>
        <w:tc>
          <w:tcPr>
            <w:tcW w:w="629" w:type="pct"/>
            <w:vAlign w:val="center"/>
          </w:tcPr>
          <w:p w14:paraId="63C79E6F" w14:textId="7B0F45BF" w:rsidR="009972FE" w:rsidRPr="00CD4FAB" w:rsidRDefault="009972FE" w:rsidP="006E4C34">
            <w:pPr>
              <w:pStyle w:val="PBACTableText"/>
              <w:keepNext/>
              <w:spacing w:before="0" w:after="0"/>
              <w:jc w:val="center"/>
              <w:rPr>
                <w:b/>
                <w:bCs/>
                <w:iCs/>
              </w:rPr>
            </w:pPr>
            <w:r w:rsidRPr="00CD4FAB">
              <w:rPr>
                <w:b/>
                <w:bCs/>
                <w:iCs/>
              </w:rPr>
              <w:t>2029</w:t>
            </w:r>
          </w:p>
        </w:tc>
      </w:tr>
      <w:tr w:rsidR="006E162D" w:rsidRPr="00CD4FAB" w14:paraId="5781F88D" w14:textId="77777777" w:rsidTr="006E162D">
        <w:trPr>
          <w:trHeight w:val="283"/>
        </w:trPr>
        <w:tc>
          <w:tcPr>
            <w:tcW w:w="1203" w:type="pct"/>
            <w:vAlign w:val="center"/>
          </w:tcPr>
          <w:p w14:paraId="357913AE" w14:textId="0CB4D0FD" w:rsidR="00B5138D" w:rsidRPr="00CD4FAB" w:rsidRDefault="00B5138D" w:rsidP="00B5138D">
            <w:pPr>
              <w:pStyle w:val="PBACTableText"/>
              <w:keepNext/>
              <w:spacing w:before="0" w:after="0"/>
              <w:rPr>
                <w:b/>
                <w:bCs/>
                <w:iCs/>
              </w:rPr>
            </w:pPr>
            <w:r w:rsidRPr="00CD4FAB">
              <w:rPr>
                <w:iCs/>
              </w:rPr>
              <w:t>Cost to PBS/RPBS (neoNIVO)</w:t>
            </w:r>
          </w:p>
        </w:tc>
        <w:tc>
          <w:tcPr>
            <w:tcW w:w="634" w:type="pct"/>
            <w:vAlign w:val="center"/>
          </w:tcPr>
          <w:p w14:paraId="00F4BDBA" w14:textId="285D8758" w:rsidR="00B5138D" w:rsidRPr="00D221AB" w:rsidRDefault="00924D5E" w:rsidP="00B5138D">
            <w:pPr>
              <w:pStyle w:val="PBACTableText"/>
              <w:keepNext/>
              <w:spacing w:before="0" w:after="0"/>
              <w:jc w:val="center"/>
              <w:rPr>
                <w:highlight w:val="lightGray"/>
              </w:rPr>
            </w:pPr>
            <w:r w:rsidRPr="00924D5E">
              <w:rPr>
                <w:rFonts w:hint="eastAsia"/>
                <w:color w:val="000000"/>
                <w:w w:val="22"/>
                <w:shd w:val="solid" w:color="000000" w:fill="000000"/>
                <w:fitText w:val="100" w:id="-961835004"/>
                <w14:textFill>
                  <w14:solidFill>
                    <w14:srgbClr w14:val="000000">
                      <w14:alpha w14:val="100000"/>
                    </w14:srgbClr>
                  </w14:solidFill>
                </w14:textFill>
              </w:rPr>
              <w:t xml:space="preserve">　</w:t>
            </w:r>
            <w:r w:rsidRPr="00924D5E">
              <w:rPr>
                <w:color w:val="000000"/>
                <w:w w:val="22"/>
                <w:shd w:val="solid" w:color="000000" w:fill="000000"/>
                <w:fitText w:val="100" w:id="-961835004"/>
                <w14:textFill>
                  <w14:solidFill>
                    <w14:srgbClr w14:val="000000">
                      <w14:alpha w14:val="100000"/>
                    </w14:srgbClr>
                  </w14:solidFill>
                </w14:textFill>
              </w:rPr>
              <w:t>|</w:t>
            </w:r>
            <w:r w:rsidRPr="00924D5E">
              <w:rPr>
                <w:rFonts w:hint="eastAsia"/>
                <w:color w:val="000000"/>
                <w:spacing w:val="3"/>
                <w:w w:val="22"/>
                <w:shd w:val="solid" w:color="000000" w:fill="000000"/>
                <w:fitText w:val="100" w:id="-961835004"/>
                <w14:textFill>
                  <w14:solidFill>
                    <w14:srgbClr w14:val="000000">
                      <w14:alpha w14:val="100000"/>
                    </w14:srgbClr>
                  </w14:solidFill>
                </w14:textFill>
              </w:rPr>
              <w:t xml:space="preserve">　</w:t>
            </w:r>
            <w:r w:rsidR="00D61644" w:rsidRPr="00D221AB">
              <w:rPr>
                <w:vertAlign w:val="superscript"/>
              </w:rPr>
              <w:t>1</w:t>
            </w:r>
          </w:p>
        </w:tc>
        <w:tc>
          <w:tcPr>
            <w:tcW w:w="634" w:type="pct"/>
            <w:vAlign w:val="center"/>
          </w:tcPr>
          <w:p w14:paraId="481F2EEF" w14:textId="2AFF2B49" w:rsidR="00B5138D" w:rsidRPr="00D221AB" w:rsidRDefault="00924D5E" w:rsidP="00B5138D">
            <w:pPr>
              <w:pStyle w:val="PBACTableText"/>
              <w:keepNext/>
              <w:spacing w:before="0" w:after="0"/>
              <w:jc w:val="center"/>
              <w:rPr>
                <w:highlight w:val="lightGray"/>
              </w:rPr>
            </w:pPr>
            <w:r w:rsidRPr="00924D5E">
              <w:rPr>
                <w:rFonts w:hint="eastAsia"/>
                <w:color w:val="000000"/>
                <w:w w:val="22"/>
                <w:shd w:val="solid" w:color="000000" w:fill="000000"/>
                <w:fitText w:val="100" w:id="-961835003"/>
                <w14:textFill>
                  <w14:solidFill>
                    <w14:srgbClr w14:val="000000">
                      <w14:alpha w14:val="100000"/>
                    </w14:srgbClr>
                  </w14:solidFill>
                </w14:textFill>
              </w:rPr>
              <w:t xml:space="preserve">　</w:t>
            </w:r>
            <w:r w:rsidRPr="00924D5E">
              <w:rPr>
                <w:color w:val="000000"/>
                <w:w w:val="22"/>
                <w:shd w:val="solid" w:color="000000" w:fill="000000"/>
                <w:fitText w:val="100" w:id="-961835003"/>
                <w14:textFill>
                  <w14:solidFill>
                    <w14:srgbClr w14:val="000000">
                      <w14:alpha w14:val="100000"/>
                    </w14:srgbClr>
                  </w14:solidFill>
                </w14:textFill>
              </w:rPr>
              <w:t>|</w:t>
            </w:r>
            <w:r w:rsidRPr="00924D5E">
              <w:rPr>
                <w:rFonts w:hint="eastAsia"/>
                <w:color w:val="000000"/>
                <w:spacing w:val="3"/>
                <w:w w:val="22"/>
                <w:shd w:val="solid" w:color="000000" w:fill="000000"/>
                <w:fitText w:val="100" w:id="-961835003"/>
                <w14:textFill>
                  <w14:solidFill>
                    <w14:srgbClr w14:val="000000">
                      <w14:alpha w14:val="100000"/>
                    </w14:srgbClr>
                  </w14:solidFill>
                </w14:textFill>
              </w:rPr>
              <w:t xml:space="preserve">　</w:t>
            </w:r>
            <w:r w:rsidR="00D61644" w:rsidRPr="00162C9D">
              <w:rPr>
                <w:vertAlign w:val="superscript"/>
              </w:rPr>
              <w:t>1</w:t>
            </w:r>
          </w:p>
        </w:tc>
        <w:tc>
          <w:tcPr>
            <w:tcW w:w="634" w:type="pct"/>
            <w:vAlign w:val="center"/>
          </w:tcPr>
          <w:p w14:paraId="6F5860A9" w14:textId="149FFFCD" w:rsidR="00B5138D" w:rsidRPr="00D221AB" w:rsidRDefault="00924D5E" w:rsidP="00B5138D">
            <w:pPr>
              <w:pStyle w:val="PBACTableText"/>
              <w:keepNext/>
              <w:spacing w:before="0" w:after="0"/>
              <w:jc w:val="center"/>
              <w:rPr>
                <w:highlight w:val="lightGray"/>
              </w:rPr>
            </w:pPr>
            <w:r w:rsidRPr="00924D5E">
              <w:rPr>
                <w:rFonts w:hint="eastAsia"/>
                <w:color w:val="000000"/>
                <w:w w:val="22"/>
                <w:shd w:val="solid" w:color="000000" w:fill="000000"/>
                <w:fitText w:val="100" w:id="-961835002"/>
                <w14:textFill>
                  <w14:solidFill>
                    <w14:srgbClr w14:val="000000">
                      <w14:alpha w14:val="100000"/>
                    </w14:srgbClr>
                  </w14:solidFill>
                </w14:textFill>
              </w:rPr>
              <w:t xml:space="preserve">　</w:t>
            </w:r>
            <w:r w:rsidRPr="00924D5E">
              <w:rPr>
                <w:color w:val="000000"/>
                <w:w w:val="22"/>
                <w:shd w:val="solid" w:color="000000" w:fill="000000"/>
                <w:fitText w:val="100" w:id="-961835002"/>
                <w14:textFill>
                  <w14:solidFill>
                    <w14:srgbClr w14:val="000000">
                      <w14:alpha w14:val="100000"/>
                    </w14:srgbClr>
                  </w14:solidFill>
                </w14:textFill>
              </w:rPr>
              <w:t>|</w:t>
            </w:r>
            <w:r w:rsidRPr="00924D5E">
              <w:rPr>
                <w:rFonts w:hint="eastAsia"/>
                <w:color w:val="000000"/>
                <w:spacing w:val="3"/>
                <w:w w:val="22"/>
                <w:shd w:val="solid" w:color="000000" w:fill="000000"/>
                <w:fitText w:val="100" w:id="-961835002"/>
                <w14:textFill>
                  <w14:solidFill>
                    <w14:srgbClr w14:val="000000">
                      <w14:alpha w14:val="100000"/>
                    </w14:srgbClr>
                  </w14:solidFill>
                </w14:textFill>
              </w:rPr>
              <w:t xml:space="preserve">　</w:t>
            </w:r>
            <w:r w:rsidR="00D61644">
              <w:rPr>
                <w:vertAlign w:val="superscript"/>
              </w:rPr>
              <w:t>2</w:t>
            </w:r>
          </w:p>
        </w:tc>
        <w:tc>
          <w:tcPr>
            <w:tcW w:w="633" w:type="pct"/>
            <w:vAlign w:val="center"/>
          </w:tcPr>
          <w:p w14:paraId="2C8136E5" w14:textId="22F19679" w:rsidR="00B5138D" w:rsidRPr="00D221AB" w:rsidRDefault="00924D5E" w:rsidP="00B5138D">
            <w:pPr>
              <w:pStyle w:val="PBACTableText"/>
              <w:keepNext/>
              <w:spacing w:before="0" w:after="0"/>
              <w:jc w:val="center"/>
              <w:rPr>
                <w:highlight w:val="lightGray"/>
              </w:rPr>
            </w:pPr>
            <w:r w:rsidRPr="00924D5E">
              <w:rPr>
                <w:rFonts w:hint="eastAsia"/>
                <w:color w:val="000000"/>
                <w:w w:val="22"/>
                <w:shd w:val="solid" w:color="000000" w:fill="000000"/>
                <w:fitText w:val="100" w:id="-961835001"/>
                <w14:textFill>
                  <w14:solidFill>
                    <w14:srgbClr w14:val="000000">
                      <w14:alpha w14:val="100000"/>
                    </w14:srgbClr>
                  </w14:solidFill>
                </w14:textFill>
              </w:rPr>
              <w:t xml:space="preserve">　</w:t>
            </w:r>
            <w:r w:rsidRPr="00924D5E">
              <w:rPr>
                <w:color w:val="000000"/>
                <w:w w:val="22"/>
                <w:shd w:val="solid" w:color="000000" w:fill="000000"/>
                <w:fitText w:val="100" w:id="-961835001"/>
                <w14:textFill>
                  <w14:solidFill>
                    <w14:srgbClr w14:val="000000">
                      <w14:alpha w14:val="100000"/>
                    </w14:srgbClr>
                  </w14:solidFill>
                </w14:textFill>
              </w:rPr>
              <w:t>|</w:t>
            </w:r>
            <w:r w:rsidRPr="00924D5E">
              <w:rPr>
                <w:rFonts w:hint="eastAsia"/>
                <w:color w:val="000000"/>
                <w:spacing w:val="3"/>
                <w:w w:val="22"/>
                <w:shd w:val="solid" w:color="000000" w:fill="000000"/>
                <w:fitText w:val="100" w:id="-961835001"/>
                <w14:textFill>
                  <w14:solidFill>
                    <w14:srgbClr w14:val="000000">
                      <w14:alpha w14:val="100000"/>
                    </w14:srgbClr>
                  </w14:solidFill>
                </w14:textFill>
              </w:rPr>
              <w:t xml:space="preserve">　</w:t>
            </w:r>
            <w:r w:rsidR="00D61644">
              <w:rPr>
                <w:vertAlign w:val="superscript"/>
              </w:rPr>
              <w:t>3</w:t>
            </w:r>
          </w:p>
        </w:tc>
        <w:tc>
          <w:tcPr>
            <w:tcW w:w="633" w:type="pct"/>
            <w:vAlign w:val="center"/>
          </w:tcPr>
          <w:p w14:paraId="7423C0A3" w14:textId="72DCDA36" w:rsidR="00B5138D" w:rsidRPr="00D221AB" w:rsidRDefault="00924D5E" w:rsidP="00B5138D">
            <w:pPr>
              <w:pStyle w:val="PBACTableText"/>
              <w:keepNext/>
              <w:spacing w:before="0" w:after="0"/>
              <w:jc w:val="center"/>
              <w:rPr>
                <w:highlight w:val="lightGray"/>
              </w:rPr>
            </w:pPr>
            <w:r w:rsidRPr="00924D5E">
              <w:rPr>
                <w:rFonts w:hint="eastAsia"/>
                <w:color w:val="000000"/>
                <w:w w:val="22"/>
                <w:shd w:val="solid" w:color="000000" w:fill="000000"/>
                <w:fitText w:val="100" w:id="-961835000"/>
                <w14:textFill>
                  <w14:solidFill>
                    <w14:srgbClr w14:val="000000">
                      <w14:alpha w14:val="100000"/>
                    </w14:srgbClr>
                  </w14:solidFill>
                </w14:textFill>
              </w:rPr>
              <w:t xml:space="preserve">　</w:t>
            </w:r>
            <w:r w:rsidRPr="00924D5E">
              <w:rPr>
                <w:color w:val="000000"/>
                <w:w w:val="22"/>
                <w:shd w:val="solid" w:color="000000" w:fill="000000"/>
                <w:fitText w:val="100" w:id="-961835000"/>
                <w14:textFill>
                  <w14:solidFill>
                    <w14:srgbClr w14:val="000000">
                      <w14:alpha w14:val="100000"/>
                    </w14:srgbClr>
                  </w14:solidFill>
                </w14:textFill>
              </w:rPr>
              <w:t>|</w:t>
            </w:r>
            <w:r w:rsidRPr="00924D5E">
              <w:rPr>
                <w:rFonts w:hint="eastAsia"/>
                <w:color w:val="000000"/>
                <w:spacing w:val="3"/>
                <w:w w:val="22"/>
                <w:shd w:val="solid" w:color="000000" w:fill="000000"/>
                <w:fitText w:val="100" w:id="-961835000"/>
                <w14:textFill>
                  <w14:solidFill>
                    <w14:srgbClr w14:val="000000">
                      <w14:alpha w14:val="100000"/>
                    </w14:srgbClr>
                  </w14:solidFill>
                </w14:textFill>
              </w:rPr>
              <w:t xml:space="preserve">　</w:t>
            </w:r>
            <w:r w:rsidR="00D61644">
              <w:rPr>
                <w:vertAlign w:val="superscript"/>
              </w:rPr>
              <w:t>3</w:t>
            </w:r>
          </w:p>
        </w:tc>
        <w:tc>
          <w:tcPr>
            <w:tcW w:w="629" w:type="pct"/>
            <w:vAlign w:val="center"/>
          </w:tcPr>
          <w:p w14:paraId="1AA21811" w14:textId="62F15FE7" w:rsidR="00B5138D" w:rsidRPr="00D221AB" w:rsidRDefault="00924D5E" w:rsidP="00B5138D">
            <w:pPr>
              <w:pStyle w:val="PBACTableText"/>
              <w:keepNext/>
              <w:spacing w:before="0" w:after="0"/>
              <w:jc w:val="center"/>
              <w:rPr>
                <w:highlight w:val="lightGray"/>
              </w:rPr>
            </w:pPr>
            <w:r w:rsidRPr="00924D5E">
              <w:rPr>
                <w:rFonts w:hint="eastAsia"/>
                <w:color w:val="000000"/>
                <w:w w:val="22"/>
                <w:shd w:val="solid" w:color="000000" w:fill="000000"/>
                <w:fitText w:val="100" w:id="-961834999"/>
                <w14:textFill>
                  <w14:solidFill>
                    <w14:srgbClr w14:val="000000">
                      <w14:alpha w14:val="100000"/>
                    </w14:srgbClr>
                  </w14:solidFill>
                </w14:textFill>
              </w:rPr>
              <w:t xml:space="preserve">　</w:t>
            </w:r>
            <w:r w:rsidRPr="00924D5E">
              <w:rPr>
                <w:color w:val="000000"/>
                <w:w w:val="22"/>
                <w:shd w:val="solid" w:color="000000" w:fill="000000"/>
                <w:fitText w:val="100" w:id="-961834999"/>
                <w14:textFill>
                  <w14:solidFill>
                    <w14:srgbClr w14:val="000000">
                      <w14:alpha w14:val="100000"/>
                    </w14:srgbClr>
                  </w14:solidFill>
                </w14:textFill>
              </w:rPr>
              <w:t>|</w:t>
            </w:r>
            <w:r w:rsidRPr="00924D5E">
              <w:rPr>
                <w:rFonts w:hint="eastAsia"/>
                <w:color w:val="000000"/>
                <w:spacing w:val="3"/>
                <w:w w:val="22"/>
                <w:shd w:val="solid" w:color="000000" w:fill="000000"/>
                <w:fitText w:val="100" w:id="-961834999"/>
                <w14:textFill>
                  <w14:solidFill>
                    <w14:srgbClr w14:val="000000">
                      <w14:alpha w14:val="100000"/>
                    </w14:srgbClr>
                  </w14:solidFill>
                </w14:textFill>
              </w:rPr>
              <w:t xml:space="preserve">　</w:t>
            </w:r>
            <w:r w:rsidR="00D61644">
              <w:rPr>
                <w:vertAlign w:val="superscript"/>
              </w:rPr>
              <w:t>3</w:t>
            </w:r>
          </w:p>
        </w:tc>
      </w:tr>
      <w:tr w:rsidR="006E162D" w:rsidRPr="00CD4FAB" w14:paraId="40B27B7B" w14:textId="77777777" w:rsidTr="006E162D">
        <w:trPr>
          <w:trHeight w:val="283"/>
        </w:trPr>
        <w:tc>
          <w:tcPr>
            <w:tcW w:w="1203" w:type="pct"/>
            <w:vAlign w:val="center"/>
          </w:tcPr>
          <w:p w14:paraId="575E69A3" w14:textId="7764AF45" w:rsidR="00B5138D" w:rsidRPr="00CD4FAB" w:rsidRDefault="00B5138D" w:rsidP="00B5138D">
            <w:pPr>
              <w:pStyle w:val="PBACTableText"/>
              <w:keepNext/>
              <w:spacing w:before="0" w:after="0"/>
              <w:rPr>
                <w:b/>
                <w:bCs/>
                <w:iCs/>
              </w:rPr>
            </w:pPr>
            <w:r w:rsidRPr="00CD4FAB">
              <w:rPr>
                <w:iCs/>
              </w:rPr>
              <w:t>Cost offset to PBS/RPBS (reduced immunotherapy use in other contexts)</w:t>
            </w:r>
          </w:p>
        </w:tc>
        <w:tc>
          <w:tcPr>
            <w:tcW w:w="634" w:type="pct"/>
            <w:tcMar>
              <w:left w:w="57" w:type="dxa"/>
              <w:right w:w="57" w:type="dxa"/>
            </w:tcMar>
            <w:vAlign w:val="center"/>
          </w:tcPr>
          <w:p w14:paraId="5C076EE6" w14:textId="2A610DF1" w:rsidR="00B5138D" w:rsidRPr="00D221AB" w:rsidRDefault="00924D5E" w:rsidP="00B5138D">
            <w:pPr>
              <w:pStyle w:val="PBACTableText"/>
              <w:keepNext/>
              <w:spacing w:before="0" w:after="0"/>
              <w:jc w:val="center"/>
              <w:rPr>
                <w:highlight w:val="lightGray"/>
              </w:rPr>
            </w:pPr>
            <w:r w:rsidRPr="00924D5E">
              <w:rPr>
                <w:rFonts w:hint="eastAsia"/>
                <w:color w:val="000000"/>
                <w:w w:val="15"/>
                <w:shd w:val="solid" w:color="000000" w:fill="000000"/>
                <w:fitText w:val="50" w:id="-961834998"/>
                <w14:textFill>
                  <w14:solidFill>
                    <w14:srgbClr w14:val="000000">
                      <w14:alpha w14:val="100000"/>
                    </w14:srgbClr>
                  </w14:solidFill>
                </w14:textFill>
              </w:rPr>
              <w:t xml:space="preserve">　</w:t>
            </w:r>
            <w:r w:rsidRPr="00924D5E">
              <w:rPr>
                <w:color w:val="000000"/>
                <w:w w:val="15"/>
                <w:shd w:val="solid" w:color="000000" w:fill="000000"/>
                <w:fitText w:val="50" w:id="-961834998"/>
                <w14:textFill>
                  <w14:solidFill>
                    <w14:srgbClr w14:val="000000">
                      <w14:alpha w14:val="100000"/>
                    </w14:srgbClr>
                  </w14:solidFill>
                </w14:textFill>
              </w:rPr>
              <w:t>|</w:t>
            </w:r>
            <w:r w:rsidRPr="00924D5E">
              <w:rPr>
                <w:rFonts w:hint="eastAsia"/>
                <w:color w:val="000000"/>
                <w:spacing w:val="-15"/>
                <w:w w:val="15"/>
                <w:shd w:val="solid" w:color="000000" w:fill="000000"/>
                <w:fitText w:val="50" w:id="-961834998"/>
                <w14:textFill>
                  <w14:solidFill>
                    <w14:srgbClr w14:val="000000">
                      <w14:alpha w14:val="100000"/>
                    </w14:srgbClr>
                  </w14:solidFill>
                </w14:textFill>
              </w:rPr>
              <w:t xml:space="preserve">　</w:t>
            </w:r>
            <w:r w:rsidR="00D61644">
              <w:rPr>
                <w:vertAlign w:val="superscript"/>
              </w:rPr>
              <w:t>4</w:t>
            </w:r>
          </w:p>
        </w:tc>
        <w:tc>
          <w:tcPr>
            <w:tcW w:w="634" w:type="pct"/>
            <w:tcMar>
              <w:left w:w="57" w:type="dxa"/>
              <w:right w:w="57" w:type="dxa"/>
            </w:tcMar>
            <w:vAlign w:val="center"/>
          </w:tcPr>
          <w:p w14:paraId="243661D8" w14:textId="34B8EAB6" w:rsidR="00B5138D" w:rsidRPr="00D221AB" w:rsidRDefault="00924D5E" w:rsidP="00B5138D">
            <w:pPr>
              <w:pStyle w:val="PBACTableText"/>
              <w:keepNext/>
              <w:spacing w:before="0" w:after="0"/>
              <w:jc w:val="center"/>
              <w:rPr>
                <w:highlight w:val="lightGray"/>
              </w:rPr>
            </w:pPr>
            <w:r w:rsidRPr="00924D5E">
              <w:rPr>
                <w:rFonts w:hint="eastAsia"/>
                <w:color w:val="000000"/>
                <w:w w:val="15"/>
                <w:shd w:val="solid" w:color="000000" w:fill="000000"/>
                <w:fitText w:val="50" w:id="-961834997"/>
                <w14:textFill>
                  <w14:solidFill>
                    <w14:srgbClr w14:val="000000">
                      <w14:alpha w14:val="100000"/>
                    </w14:srgbClr>
                  </w14:solidFill>
                </w14:textFill>
              </w:rPr>
              <w:t xml:space="preserve">　</w:t>
            </w:r>
            <w:r w:rsidRPr="00924D5E">
              <w:rPr>
                <w:color w:val="000000"/>
                <w:w w:val="15"/>
                <w:shd w:val="solid" w:color="000000" w:fill="000000"/>
                <w:fitText w:val="50" w:id="-961834997"/>
                <w14:textFill>
                  <w14:solidFill>
                    <w14:srgbClr w14:val="000000">
                      <w14:alpha w14:val="100000"/>
                    </w14:srgbClr>
                  </w14:solidFill>
                </w14:textFill>
              </w:rPr>
              <w:t>|</w:t>
            </w:r>
            <w:r w:rsidRPr="00924D5E">
              <w:rPr>
                <w:rFonts w:hint="eastAsia"/>
                <w:color w:val="000000"/>
                <w:spacing w:val="-15"/>
                <w:w w:val="15"/>
                <w:shd w:val="solid" w:color="000000" w:fill="000000"/>
                <w:fitText w:val="50" w:id="-961834997"/>
                <w14:textFill>
                  <w14:solidFill>
                    <w14:srgbClr w14:val="000000">
                      <w14:alpha w14:val="100000"/>
                    </w14:srgbClr>
                  </w14:solidFill>
                </w14:textFill>
              </w:rPr>
              <w:t xml:space="preserve">　</w:t>
            </w:r>
            <w:r w:rsidR="00D61644">
              <w:rPr>
                <w:vertAlign w:val="superscript"/>
              </w:rPr>
              <w:t>4</w:t>
            </w:r>
          </w:p>
        </w:tc>
        <w:tc>
          <w:tcPr>
            <w:tcW w:w="634" w:type="pct"/>
            <w:tcMar>
              <w:left w:w="57" w:type="dxa"/>
              <w:right w:w="57" w:type="dxa"/>
            </w:tcMar>
            <w:vAlign w:val="center"/>
          </w:tcPr>
          <w:p w14:paraId="555471B6" w14:textId="1470D043" w:rsidR="00B5138D" w:rsidRPr="00D221AB" w:rsidRDefault="00924D5E" w:rsidP="00B5138D">
            <w:pPr>
              <w:pStyle w:val="PBACTableText"/>
              <w:keepNext/>
              <w:spacing w:before="0" w:after="0"/>
              <w:jc w:val="center"/>
              <w:rPr>
                <w:highlight w:val="lightGray"/>
              </w:rPr>
            </w:pPr>
            <w:r w:rsidRPr="00924D5E">
              <w:rPr>
                <w:rFonts w:hint="eastAsia"/>
                <w:color w:val="000000"/>
                <w:w w:val="15"/>
                <w:shd w:val="solid" w:color="000000" w:fill="000000"/>
                <w:fitText w:val="50" w:id="-961834996"/>
                <w14:textFill>
                  <w14:solidFill>
                    <w14:srgbClr w14:val="000000">
                      <w14:alpha w14:val="100000"/>
                    </w14:srgbClr>
                  </w14:solidFill>
                </w14:textFill>
              </w:rPr>
              <w:t xml:space="preserve">　</w:t>
            </w:r>
            <w:r w:rsidRPr="00924D5E">
              <w:rPr>
                <w:color w:val="000000"/>
                <w:w w:val="15"/>
                <w:shd w:val="solid" w:color="000000" w:fill="000000"/>
                <w:fitText w:val="50" w:id="-961834996"/>
                <w14:textFill>
                  <w14:solidFill>
                    <w14:srgbClr w14:val="000000">
                      <w14:alpha w14:val="100000"/>
                    </w14:srgbClr>
                  </w14:solidFill>
                </w14:textFill>
              </w:rPr>
              <w:t>|</w:t>
            </w:r>
            <w:r w:rsidRPr="00924D5E">
              <w:rPr>
                <w:rFonts w:hint="eastAsia"/>
                <w:color w:val="000000"/>
                <w:spacing w:val="-15"/>
                <w:w w:val="15"/>
                <w:shd w:val="solid" w:color="000000" w:fill="000000"/>
                <w:fitText w:val="50" w:id="-961834996"/>
                <w14:textFill>
                  <w14:solidFill>
                    <w14:srgbClr w14:val="000000">
                      <w14:alpha w14:val="100000"/>
                    </w14:srgbClr>
                  </w14:solidFill>
                </w14:textFill>
              </w:rPr>
              <w:t xml:space="preserve">　</w:t>
            </w:r>
            <w:r w:rsidR="00D61644">
              <w:rPr>
                <w:vertAlign w:val="superscript"/>
              </w:rPr>
              <w:t>4</w:t>
            </w:r>
          </w:p>
        </w:tc>
        <w:tc>
          <w:tcPr>
            <w:tcW w:w="633" w:type="pct"/>
            <w:tcMar>
              <w:left w:w="57" w:type="dxa"/>
              <w:right w:w="57" w:type="dxa"/>
            </w:tcMar>
            <w:vAlign w:val="center"/>
          </w:tcPr>
          <w:p w14:paraId="239B2F95" w14:textId="4821FBF0" w:rsidR="00B5138D" w:rsidRPr="00D221AB" w:rsidRDefault="00924D5E" w:rsidP="00B5138D">
            <w:pPr>
              <w:pStyle w:val="PBACTableText"/>
              <w:keepNext/>
              <w:spacing w:before="0" w:after="0"/>
              <w:jc w:val="center"/>
              <w:rPr>
                <w:highlight w:val="lightGray"/>
              </w:rPr>
            </w:pPr>
            <w:r w:rsidRPr="00924D5E">
              <w:rPr>
                <w:rFonts w:hint="eastAsia"/>
                <w:color w:val="000000"/>
                <w:w w:val="15"/>
                <w:shd w:val="solid" w:color="000000" w:fill="000000"/>
                <w:fitText w:val="50" w:id="-961834995"/>
                <w14:textFill>
                  <w14:solidFill>
                    <w14:srgbClr w14:val="000000">
                      <w14:alpha w14:val="100000"/>
                    </w14:srgbClr>
                  </w14:solidFill>
                </w14:textFill>
              </w:rPr>
              <w:t xml:space="preserve">　</w:t>
            </w:r>
            <w:r w:rsidRPr="00924D5E">
              <w:rPr>
                <w:color w:val="000000"/>
                <w:w w:val="15"/>
                <w:shd w:val="solid" w:color="000000" w:fill="000000"/>
                <w:fitText w:val="50" w:id="-961834995"/>
                <w14:textFill>
                  <w14:solidFill>
                    <w14:srgbClr w14:val="000000">
                      <w14:alpha w14:val="100000"/>
                    </w14:srgbClr>
                  </w14:solidFill>
                </w14:textFill>
              </w:rPr>
              <w:t>|</w:t>
            </w:r>
            <w:r w:rsidRPr="00924D5E">
              <w:rPr>
                <w:rFonts w:hint="eastAsia"/>
                <w:color w:val="000000"/>
                <w:spacing w:val="-15"/>
                <w:w w:val="15"/>
                <w:shd w:val="solid" w:color="000000" w:fill="000000"/>
                <w:fitText w:val="50" w:id="-961834995"/>
                <w14:textFill>
                  <w14:solidFill>
                    <w14:srgbClr w14:val="000000">
                      <w14:alpha w14:val="100000"/>
                    </w14:srgbClr>
                  </w14:solidFill>
                </w14:textFill>
              </w:rPr>
              <w:t xml:space="preserve">　</w:t>
            </w:r>
            <w:r w:rsidR="00D61644">
              <w:rPr>
                <w:vertAlign w:val="superscript"/>
              </w:rPr>
              <w:t>4</w:t>
            </w:r>
          </w:p>
        </w:tc>
        <w:tc>
          <w:tcPr>
            <w:tcW w:w="633" w:type="pct"/>
            <w:tcMar>
              <w:left w:w="57" w:type="dxa"/>
              <w:right w:w="57" w:type="dxa"/>
            </w:tcMar>
            <w:vAlign w:val="center"/>
          </w:tcPr>
          <w:p w14:paraId="137D2027" w14:textId="315D22AC" w:rsidR="00B5138D" w:rsidRPr="00D221AB" w:rsidRDefault="00924D5E" w:rsidP="00B5138D">
            <w:pPr>
              <w:pStyle w:val="PBACTableText"/>
              <w:keepNext/>
              <w:spacing w:before="0" w:after="0"/>
              <w:jc w:val="center"/>
              <w:rPr>
                <w:highlight w:val="lightGray"/>
              </w:rPr>
            </w:pPr>
            <w:r w:rsidRPr="00924D5E">
              <w:rPr>
                <w:rFonts w:hint="eastAsia"/>
                <w:color w:val="000000"/>
                <w:w w:val="15"/>
                <w:shd w:val="solid" w:color="000000" w:fill="000000"/>
                <w:fitText w:val="50" w:id="-961834994"/>
                <w14:textFill>
                  <w14:solidFill>
                    <w14:srgbClr w14:val="000000">
                      <w14:alpha w14:val="100000"/>
                    </w14:srgbClr>
                  </w14:solidFill>
                </w14:textFill>
              </w:rPr>
              <w:t xml:space="preserve">　</w:t>
            </w:r>
            <w:r w:rsidRPr="00924D5E">
              <w:rPr>
                <w:color w:val="000000"/>
                <w:w w:val="15"/>
                <w:shd w:val="solid" w:color="000000" w:fill="000000"/>
                <w:fitText w:val="50" w:id="-961834994"/>
                <w14:textFill>
                  <w14:solidFill>
                    <w14:srgbClr w14:val="000000">
                      <w14:alpha w14:val="100000"/>
                    </w14:srgbClr>
                  </w14:solidFill>
                </w14:textFill>
              </w:rPr>
              <w:t>|</w:t>
            </w:r>
            <w:r w:rsidRPr="00924D5E">
              <w:rPr>
                <w:rFonts w:hint="eastAsia"/>
                <w:color w:val="000000"/>
                <w:spacing w:val="-15"/>
                <w:w w:val="15"/>
                <w:shd w:val="solid" w:color="000000" w:fill="000000"/>
                <w:fitText w:val="50" w:id="-961834994"/>
                <w14:textFill>
                  <w14:solidFill>
                    <w14:srgbClr w14:val="000000">
                      <w14:alpha w14:val="100000"/>
                    </w14:srgbClr>
                  </w14:solidFill>
                </w14:textFill>
              </w:rPr>
              <w:t xml:space="preserve">　</w:t>
            </w:r>
            <w:r w:rsidR="00D61644">
              <w:rPr>
                <w:vertAlign w:val="superscript"/>
              </w:rPr>
              <w:t>4</w:t>
            </w:r>
          </w:p>
        </w:tc>
        <w:tc>
          <w:tcPr>
            <w:tcW w:w="629" w:type="pct"/>
            <w:tcMar>
              <w:left w:w="57" w:type="dxa"/>
              <w:right w:w="57" w:type="dxa"/>
            </w:tcMar>
            <w:vAlign w:val="center"/>
          </w:tcPr>
          <w:p w14:paraId="42473469" w14:textId="3983FDF3" w:rsidR="00B5138D" w:rsidRPr="00D221AB" w:rsidRDefault="00924D5E" w:rsidP="00B5138D">
            <w:pPr>
              <w:pStyle w:val="PBACTableText"/>
              <w:keepNext/>
              <w:spacing w:before="0" w:after="0"/>
              <w:jc w:val="center"/>
              <w:rPr>
                <w:highlight w:val="lightGray"/>
              </w:rPr>
            </w:pPr>
            <w:r w:rsidRPr="00924D5E">
              <w:rPr>
                <w:rFonts w:hint="eastAsia"/>
                <w:color w:val="000000"/>
                <w:w w:val="15"/>
                <w:shd w:val="solid" w:color="000000" w:fill="000000"/>
                <w:fitText w:val="50" w:id="-961834993"/>
                <w14:textFill>
                  <w14:solidFill>
                    <w14:srgbClr w14:val="000000">
                      <w14:alpha w14:val="100000"/>
                    </w14:srgbClr>
                  </w14:solidFill>
                </w14:textFill>
              </w:rPr>
              <w:t xml:space="preserve">　</w:t>
            </w:r>
            <w:r w:rsidRPr="00924D5E">
              <w:rPr>
                <w:color w:val="000000"/>
                <w:w w:val="15"/>
                <w:shd w:val="solid" w:color="000000" w:fill="000000"/>
                <w:fitText w:val="50" w:id="-961834993"/>
                <w14:textFill>
                  <w14:solidFill>
                    <w14:srgbClr w14:val="000000">
                      <w14:alpha w14:val="100000"/>
                    </w14:srgbClr>
                  </w14:solidFill>
                </w14:textFill>
              </w:rPr>
              <w:t>|</w:t>
            </w:r>
            <w:r w:rsidRPr="00924D5E">
              <w:rPr>
                <w:rFonts w:hint="eastAsia"/>
                <w:color w:val="000000"/>
                <w:spacing w:val="-15"/>
                <w:w w:val="15"/>
                <w:shd w:val="solid" w:color="000000" w:fill="000000"/>
                <w:fitText w:val="50" w:id="-961834993"/>
                <w14:textFill>
                  <w14:solidFill>
                    <w14:srgbClr w14:val="000000">
                      <w14:alpha w14:val="100000"/>
                    </w14:srgbClr>
                  </w14:solidFill>
                </w14:textFill>
              </w:rPr>
              <w:t xml:space="preserve">　</w:t>
            </w:r>
            <w:r w:rsidR="00D61644">
              <w:rPr>
                <w:vertAlign w:val="superscript"/>
              </w:rPr>
              <w:t>4</w:t>
            </w:r>
          </w:p>
        </w:tc>
      </w:tr>
      <w:tr w:rsidR="006E162D" w:rsidRPr="00CD4FAB" w14:paraId="7CED5DDF" w14:textId="7B575BEB" w:rsidTr="006E162D">
        <w:trPr>
          <w:trHeight w:val="283"/>
        </w:trPr>
        <w:tc>
          <w:tcPr>
            <w:tcW w:w="1203" w:type="pct"/>
            <w:vAlign w:val="center"/>
          </w:tcPr>
          <w:p w14:paraId="3B505CF3" w14:textId="1D44F8B2" w:rsidR="00185C82" w:rsidRPr="00CD4FAB" w:rsidRDefault="00CC1E7A" w:rsidP="00185C82">
            <w:pPr>
              <w:pStyle w:val="PBACTableText"/>
              <w:keepNext/>
              <w:spacing w:before="0" w:after="0"/>
              <w:rPr>
                <w:iCs/>
              </w:rPr>
            </w:pPr>
            <w:r w:rsidRPr="00CD4FAB">
              <w:rPr>
                <w:b/>
                <w:bCs/>
                <w:iCs/>
              </w:rPr>
              <w:t>Net cost to PBS/RPBS</w:t>
            </w:r>
          </w:p>
        </w:tc>
        <w:tc>
          <w:tcPr>
            <w:tcW w:w="634" w:type="pct"/>
            <w:vAlign w:val="center"/>
          </w:tcPr>
          <w:p w14:paraId="150AB165" w14:textId="33750ADF" w:rsidR="00185C82" w:rsidRPr="00D221AB" w:rsidRDefault="00924D5E" w:rsidP="00185C82">
            <w:pPr>
              <w:pStyle w:val="PBACTableText"/>
              <w:keepNext/>
              <w:spacing w:before="0" w:after="0"/>
              <w:jc w:val="center"/>
              <w:rPr>
                <w:iCs/>
                <w:highlight w:val="lightGray"/>
              </w:rPr>
            </w:pPr>
            <w:r w:rsidRPr="00924D5E">
              <w:rPr>
                <w:rFonts w:hint="eastAsia"/>
                <w:color w:val="000000"/>
                <w:w w:val="22"/>
                <w:shd w:val="solid" w:color="000000" w:fill="000000"/>
                <w:fitText w:val="100" w:id="-961834992"/>
                <w14:textFill>
                  <w14:solidFill>
                    <w14:srgbClr w14:val="000000">
                      <w14:alpha w14:val="100000"/>
                    </w14:srgbClr>
                  </w14:solidFill>
                </w14:textFill>
              </w:rPr>
              <w:t xml:space="preserve">　</w:t>
            </w:r>
            <w:r w:rsidRPr="00924D5E">
              <w:rPr>
                <w:color w:val="000000"/>
                <w:w w:val="22"/>
                <w:shd w:val="solid" w:color="000000" w:fill="000000"/>
                <w:fitText w:val="100" w:id="-961834992"/>
                <w14:textFill>
                  <w14:solidFill>
                    <w14:srgbClr w14:val="000000">
                      <w14:alpha w14:val="100000"/>
                    </w14:srgbClr>
                  </w14:solidFill>
                </w14:textFill>
              </w:rPr>
              <w:t>|</w:t>
            </w:r>
            <w:r w:rsidRPr="00924D5E">
              <w:rPr>
                <w:rFonts w:hint="eastAsia"/>
                <w:color w:val="000000"/>
                <w:spacing w:val="3"/>
                <w:w w:val="22"/>
                <w:shd w:val="solid" w:color="000000" w:fill="000000"/>
                <w:fitText w:val="100" w:id="-961834992"/>
                <w14:textFill>
                  <w14:solidFill>
                    <w14:srgbClr w14:val="000000">
                      <w14:alpha w14:val="100000"/>
                    </w14:srgbClr>
                  </w14:solidFill>
                </w14:textFill>
              </w:rPr>
              <w:t xml:space="preserve">　</w:t>
            </w:r>
            <w:r w:rsidR="00D61644">
              <w:rPr>
                <w:vertAlign w:val="superscript"/>
              </w:rPr>
              <w:t>4</w:t>
            </w:r>
          </w:p>
        </w:tc>
        <w:tc>
          <w:tcPr>
            <w:tcW w:w="634" w:type="pct"/>
            <w:vAlign w:val="center"/>
          </w:tcPr>
          <w:p w14:paraId="56441E5F" w14:textId="3805B2D1" w:rsidR="00185C82" w:rsidRPr="00D221AB" w:rsidRDefault="00924D5E" w:rsidP="00185C82">
            <w:pPr>
              <w:pStyle w:val="PBACTableText"/>
              <w:keepNext/>
              <w:spacing w:before="0" w:after="0"/>
              <w:jc w:val="center"/>
              <w:rPr>
                <w:iCs/>
                <w:highlight w:val="lightGray"/>
              </w:rPr>
            </w:pPr>
            <w:r w:rsidRPr="00924D5E">
              <w:rPr>
                <w:rFonts w:hint="eastAsia"/>
                <w:color w:val="000000"/>
                <w:w w:val="22"/>
                <w:shd w:val="solid" w:color="000000" w:fill="000000"/>
                <w:fitText w:val="100" w:id="-961835008"/>
                <w14:textFill>
                  <w14:solidFill>
                    <w14:srgbClr w14:val="000000">
                      <w14:alpha w14:val="100000"/>
                    </w14:srgbClr>
                  </w14:solidFill>
                </w14:textFill>
              </w:rPr>
              <w:t xml:space="preserve">　</w:t>
            </w:r>
            <w:r w:rsidRPr="00924D5E">
              <w:rPr>
                <w:color w:val="000000"/>
                <w:w w:val="22"/>
                <w:shd w:val="solid" w:color="000000" w:fill="000000"/>
                <w:fitText w:val="100" w:id="-961835008"/>
                <w14:textFill>
                  <w14:solidFill>
                    <w14:srgbClr w14:val="000000">
                      <w14:alpha w14:val="100000"/>
                    </w14:srgbClr>
                  </w14:solidFill>
                </w14:textFill>
              </w:rPr>
              <w:t>|</w:t>
            </w:r>
            <w:r w:rsidRPr="00924D5E">
              <w:rPr>
                <w:rFonts w:hint="eastAsia"/>
                <w:color w:val="000000"/>
                <w:spacing w:val="3"/>
                <w:w w:val="22"/>
                <w:shd w:val="solid" w:color="000000" w:fill="000000"/>
                <w:fitText w:val="100" w:id="-961835008"/>
                <w14:textFill>
                  <w14:solidFill>
                    <w14:srgbClr w14:val="000000">
                      <w14:alpha w14:val="100000"/>
                    </w14:srgbClr>
                  </w14:solidFill>
                </w14:textFill>
              </w:rPr>
              <w:t xml:space="preserve">　</w:t>
            </w:r>
            <w:r w:rsidR="00D61644">
              <w:rPr>
                <w:vertAlign w:val="superscript"/>
              </w:rPr>
              <w:t>4</w:t>
            </w:r>
          </w:p>
        </w:tc>
        <w:tc>
          <w:tcPr>
            <w:tcW w:w="634" w:type="pct"/>
            <w:vAlign w:val="center"/>
          </w:tcPr>
          <w:p w14:paraId="0E4E0293" w14:textId="2A774D07" w:rsidR="00185C82" w:rsidRPr="00D221AB" w:rsidRDefault="00924D5E" w:rsidP="00185C82">
            <w:pPr>
              <w:pStyle w:val="PBACTableText"/>
              <w:keepNext/>
              <w:spacing w:before="0" w:after="0"/>
              <w:jc w:val="center"/>
              <w:rPr>
                <w:iCs/>
                <w:highlight w:val="lightGray"/>
              </w:rPr>
            </w:pPr>
            <w:r w:rsidRPr="00924D5E">
              <w:rPr>
                <w:rFonts w:hint="eastAsia"/>
                <w:color w:val="000000"/>
                <w:w w:val="22"/>
                <w:shd w:val="solid" w:color="000000" w:fill="000000"/>
                <w:fitText w:val="100" w:id="-961835007"/>
                <w14:textFill>
                  <w14:solidFill>
                    <w14:srgbClr w14:val="000000">
                      <w14:alpha w14:val="100000"/>
                    </w14:srgbClr>
                  </w14:solidFill>
                </w14:textFill>
              </w:rPr>
              <w:t xml:space="preserve">　</w:t>
            </w:r>
            <w:r w:rsidRPr="00924D5E">
              <w:rPr>
                <w:color w:val="000000"/>
                <w:w w:val="22"/>
                <w:shd w:val="solid" w:color="000000" w:fill="000000"/>
                <w:fitText w:val="100" w:id="-961835007"/>
                <w14:textFill>
                  <w14:solidFill>
                    <w14:srgbClr w14:val="000000">
                      <w14:alpha w14:val="100000"/>
                    </w14:srgbClr>
                  </w14:solidFill>
                </w14:textFill>
              </w:rPr>
              <w:t>|</w:t>
            </w:r>
            <w:r w:rsidRPr="00924D5E">
              <w:rPr>
                <w:rFonts w:hint="eastAsia"/>
                <w:color w:val="000000"/>
                <w:spacing w:val="3"/>
                <w:w w:val="22"/>
                <w:shd w:val="solid" w:color="000000" w:fill="000000"/>
                <w:fitText w:val="100" w:id="-961835007"/>
                <w14:textFill>
                  <w14:solidFill>
                    <w14:srgbClr w14:val="000000">
                      <w14:alpha w14:val="100000"/>
                    </w14:srgbClr>
                  </w14:solidFill>
                </w14:textFill>
              </w:rPr>
              <w:t xml:space="preserve">　</w:t>
            </w:r>
            <w:r w:rsidR="00D61644">
              <w:rPr>
                <w:vertAlign w:val="superscript"/>
              </w:rPr>
              <w:t>4</w:t>
            </w:r>
          </w:p>
        </w:tc>
        <w:tc>
          <w:tcPr>
            <w:tcW w:w="633" w:type="pct"/>
            <w:vAlign w:val="center"/>
          </w:tcPr>
          <w:p w14:paraId="61C56FA2" w14:textId="4435EE71" w:rsidR="00185C82" w:rsidRPr="00D221AB" w:rsidRDefault="00924D5E" w:rsidP="00185C82">
            <w:pPr>
              <w:pStyle w:val="PBACTableText"/>
              <w:keepNext/>
              <w:spacing w:before="0" w:after="0"/>
              <w:jc w:val="center"/>
              <w:rPr>
                <w:iCs/>
                <w:highlight w:val="lightGray"/>
              </w:rPr>
            </w:pPr>
            <w:r w:rsidRPr="00924D5E">
              <w:rPr>
                <w:rFonts w:hint="eastAsia"/>
                <w:color w:val="000000"/>
                <w:w w:val="22"/>
                <w:shd w:val="solid" w:color="000000" w:fill="000000"/>
                <w:fitText w:val="100" w:id="-961835006"/>
                <w14:textFill>
                  <w14:solidFill>
                    <w14:srgbClr w14:val="000000">
                      <w14:alpha w14:val="100000"/>
                    </w14:srgbClr>
                  </w14:solidFill>
                </w14:textFill>
              </w:rPr>
              <w:t xml:space="preserve">　</w:t>
            </w:r>
            <w:r w:rsidRPr="00924D5E">
              <w:rPr>
                <w:color w:val="000000"/>
                <w:w w:val="22"/>
                <w:shd w:val="solid" w:color="000000" w:fill="000000"/>
                <w:fitText w:val="100" w:id="-961835006"/>
                <w14:textFill>
                  <w14:solidFill>
                    <w14:srgbClr w14:val="000000">
                      <w14:alpha w14:val="100000"/>
                    </w14:srgbClr>
                  </w14:solidFill>
                </w14:textFill>
              </w:rPr>
              <w:t>|</w:t>
            </w:r>
            <w:r w:rsidRPr="00924D5E">
              <w:rPr>
                <w:rFonts w:hint="eastAsia"/>
                <w:color w:val="000000"/>
                <w:spacing w:val="3"/>
                <w:w w:val="22"/>
                <w:shd w:val="solid" w:color="000000" w:fill="000000"/>
                <w:fitText w:val="100" w:id="-961835006"/>
                <w14:textFill>
                  <w14:solidFill>
                    <w14:srgbClr w14:val="000000">
                      <w14:alpha w14:val="100000"/>
                    </w14:srgbClr>
                  </w14:solidFill>
                </w14:textFill>
              </w:rPr>
              <w:t xml:space="preserve">　</w:t>
            </w:r>
            <w:r w:rsidR="00D61644">
              <w:rPr>
                <w:vertAlign w:val="superscript"/>
              </w:rPr>
              <w:t>4</w:t>
            </w:r>
          </w:p>
        </w:tc>
        <w:tc>
          <w:tcPr>
            <w:tcW w:w="633" w:type="pct"/>
            <w:vAlign w:val="center"/>
          </w:tcPr>
          <w:p w14:paraId="6E587676" w14:textId="2178BFA6" w:rsidR="00185C82" w:rsidRPr="00D221AB" w:rsidRDefault="00924D5E" w:rsidP="00185C82">
            <w:pPr>
              <w:pStyle w:val="PBACTableText"/>
              <w:keepNext/>
              <w:spacing w:before="0" w:after="0"/>
              <w:jc w:val="center"/>
              <w:rPr>
                <w:iCs/>
                <w:highlight w:val="lightGray"/>
              </w:rPr>
            </w:pPr>
            <w:r w:rsidRPr="00924D5E">
              <w:rPr>
                <w:rFonts w:hint="eastAsia"/>
                <w:color w:val="000000"/>
                <w:w w:val="22"/>
                <w:shd w:val="solid" w:color="000000" w:fill="000000"/>
                <w:fitText w:val="100" w:id="-961835005"/>
                <w14:textFill>
                  <w14:solidFill>
                    <w14:srgbClr w14:val="000000">
                      <w14:alpha w14:val="100000"/>
                    </w14:srgbClr>
                  </w14:solidFill>
                </w14:textFill>
              </w:rPr>
              <w:t xml:space="preserve">　</w:t>
            </w:r>
            <w:r w:rsidRPr="00924D5E">
              <w:rPr>
                <w:color w:val="000000"/>
                <w:w w:val="22"/>
                <w:shd w:val="solid" w:color="000000" w:fill="000000"/>
                <w:fitText w:val="100" w:id="-961835005"/>
                <w14:textFill>
                  <w14:solidFill>
                    <w14:srgbClr w14:val="000000">
                      <w14:alpha w14:val="100000"/>
                    </w14:srgbClr>
                  </w14:solidFill>
                </w14:textFill>
              </w:rPr>
              <w:t>|</w:t>
            </w:r>
            <w:r w:rsidRPr="00924D5E">
              <w:rPr>
                <w:rFonts w:hint="eastAsia"/>
                <w:color w:val="000000"/>
                <w:spacing w:val="3"/>
                <w:w w:val="22"/>
                <w:shd w:val="solid" w:color="000000" w:fill="000000"/>
                <w:fitText w:val="100" w:id="-961835005"/>
                <w14:textFill>
                  <w14:solidFill>
                    <w14:srgbClr w14:val="000000">
                      <w14:alpha w14:val="100000"/>
                    </w14:srgbClr>
                  </w14:solidFill>
                </w14:textFill>
              </w:rPr>
              <w:t xml:space="preserve">　</w:t>
            </w:r>
            <w:r w:rsidR="00D61644">
              <w:rPr>
                <w:vertAlign w:val="superscript"/>
              </w:rPr>
              <w:t>4</w:t>
            </w:r>
          </w:p>
        </w:tc>
        <w:tc>
          <w:tcPr>
            <w:tcW w:w="629" w:type="pct"/>
            <w:vAlign w:val="center"/>
          </w:tcPr>
          <w:p w14:paraId="52C57A30" w14:textId="26B7D294" w:rsidR="00185C82" w:rsidRPr="00D221AB" w:rsidRDefault="00924D5E" w:rsidP="00185C82">
            <w:pPr>
              <w:pStyle w:val="PBACTableText"/>
              <w:keepNext/>
              <w:spacing w:before="0" w:after="0"/>
              <w:jc w:val="center"/>
              <w:rPr>
                <w:iCs/>
                <w:highlight w:val="lightGray"/>
              </w:rPr>
            </w:pPr>
            <w:r w:rsidRPr="00924D5E">
              <w:rPr>
                <w:rFonts w:hint="eastAsia"/>
                <w:color w:val="000000"/>
                <w:w w:val="22"/>
                <w:shd w:val="solid" w:color="000000" w:fill="000000"/>
                <w:fitText w:val="100" w:id="-961835004"/>
                <w14:textFill>
                  <w14:solidFill>
                    <w14:srgbClr w14:val="000000">
                      <w14:alpha w14:val="100000"/>
                    </w14:srgbClr>
                  </w14:solidFill>
                </w14:textFill>
              </w:rPr>
              <w:t xml:space="preserve">　</w:t>
            </w:r>
            <w:r w:rsidRPr="00924D5E">
              <w:rPr>
                <w:color w:val="000000"/>
                <w:w w:val="22"/>
                <w:shd w:val="solid" w:color="000000" w:fill="000000"/>
                <w:fitText w:val="100" w:id="-961835004"/>
                <w14:textFill>
                  <w14:solidFill>
                    <w14:srgbClr w14:val="000000">
                      <w14:alpha w14:val="100000"/>
                    </w14:srgbClr>
                  </w14:solidFill>
                </w14:textFill>
              </w:rPr>
              <w:t>|</w:t>
            </w:r>
            <w:r w:rsidRPr="00924D5E">
              <w:rPr>
                <w:rFonts w:hint="eastAsia"/>
                <w:color w:val="000000"/>
                <w:spacing w:val="3"/>
                <w:w w:val="22"/>
                <w:shd w:val="solid" w:color="000000" w:fill="000000"/>
                <w:fitText w:val="100" w:id="-961835004"/>
                <w14:textFill>
                  <w14:solidFill>
                    <w14:srgbClr w14:val="000000">
                      <w14:alpha w14:val="100000"/>
                    </w14:srgbClr>
                  </w14:solidFill>
                </w14:textFill>
              </w:rPr>
              <w:t xml:space="preserve">　</w:t>
            </w:r>
            <w:r w:rsidR="00D61644">
              <w:rPr>
                <w:vertAlign w:val="superscript"/>
              </w:rPr>
              <w:t>4</w:t>
            </w:r>
          </w:p>
        </w:tc>
      </w:tr>
    </w:tbl>
    <w:p w14:paraId="02045A28" w14:textId="3919470C" w:rsidR="009972FE" w:rsidRPr="00AB61C8" w:rsidRDefault="009972FE" w:rsidP="00D221AB">
      <w:pPr>
        <w:pStyle w:val="FooterTableFigure"/>
        <w:keepNext/>
        <w:keepLines/>
        <w:jc w:val="both"/>
        <w:rPr>
          <w:iCs/>
        </w:rPr>
      </w:pPr>
      <w:r w:rsidRPr="00AB61C8">
        <w:rPr>
          <w:iCs/>
        </w:rPr>
        <w:t xml:space="preserve">Source: Constructed </w:t>
      </w:r>
      <w:r w:rsidR="004F2682" w:rsidRPr="00AB61C8">
        <w:rPr>
          <w:iCs/>
        </w:rPr>
        <w:t>using the PSCR attached workbook for Option B.</w:t>
      </w:r>
    </w:p>
    <w:p w14:paraId="7C036581" w14:textId="19C770E7" w:rsidR="009972FE" w:rsidRPr="00AB61C8" w:rsidRDefault="009972FE" w:rsidP="00D221AB">
      <w:pPr>
        <w:pStyle w:val="FooterTableFigure"/>
        <w:keepNext/>
        <w:keepLines/>
        <w:spacing w:after="0"/>
        <w:jc w:val="both"/>
        <w:rPr>
          <w:iCs/>
        </w:rPr>
      </w:pPr>
      <w:r w:rsidRPr="00AB61C8">
        <w:rPr>
          <w:iCs/>
        </w:rPr>
        <w:t>Abbreviations: PBS = Pharmaceutical Benefits Scheme; RPBS = Repatriation Pharmaceutical Benefits Scheme.</w:t>
      </w:r>
    </w:p>
    <w:p w14:paraId="389B8ABD" w14:textId="77777777" w:rsidR="00D61644" w:rsidRPr="00D221AB" w:rsidRDefault="00D61644" w:rsidP="00D221AB">
      <w:pPr>
        <w:keepNext/>
        <w:keepLines/>
        <w:jc w:val="both"/>
        <w:rPr>
          <w:rFonts w:ascii="Arial Narrow" w:hAnsi="Arial Narrow" w:cstheme="minorHAnsi"/>
          <w:bCs/>
          <w:i/>
          <w:iCs/>
          <w:sz w:val="18"/>
          <w:szCs w:val="18"/>
          <w:lang w:eastAsia="en-AU"/>
        </w:rPr>
      </w:pPr>
      <w:r w:rsidRPr="00D221AB">
        <w:rPr>
          <w:rFonts w:ascii="Arial Narrow" w:hAnsi="Arial Narrow" w:cstheme="minorHAnsi"/>
          <w:bCs/>
          <w:i/>
          <w:iCs/>
          <w:sz w:val="18"/>
          <w:szCs w:val="18"/>
          <w:lang w:eastAsia="en-AU"/>
        </w:rPr>
        <w:t xml:space="preserve">The redacted values correspond to the following ranges: </w:t>
      </w:r>
    </w:p>
    <w:p w14:paraId="42264CB3" w14:textId="77777777" w:rsidR="00D61644" w:rsidRPr="00D221AB" w:rsidRDefault="00D61644" w:rsidP="00D221AB">
      <w:pPr>
        <w:keepNext/>
        <w:keepLines/>
        <w:jc w:val="both"/>
        <w:rPr>
          <w:rFonts w:ascii="Arial Narrow" w:hAnsi="Arial Narrow" w:cstheme="minorHAnsi"/>
          <w:bCs/>
          <w:i/>
          <w:iCs/>
          <w:sz w:val="18"/>
          <w:szCs w:val="18"/>
          <w:lang w:eastAsia="en-AU"/>
        </w:rPr>
      </w:pPr>
      <w:r w:rsidRPr="00D221AB">
        <w:rPr>
          <w:rFonts w:ascii="Arial Narrow" w:hAnsi="Arial Narrow" w:cstheme="minorHAnsi"/>
          <w:bCs/>
          <w:i/>
          <w:iCs/>
          <w:sz w:val="18"/>
          <w:szCs w:val="18"/>
          <w:vertAlign w:val="superscript"/>
          <w:lang w:eastAsia="en-AU"/>
        </w:rPr>
        <w:t>1</w:t>
      </w:r>
      <w:r w:rsidRPr="00D221AB">
        <w:rPr>
          <w:rFonts w:ascii="Arial Narrow" w:hAnsi="Arial Narrow" w:cstheme="minorHAnsi"/>
          <w:bCs/>
          <w:i/>
          <w:iCs/>
          <w:sz w:val="18"/>
          <w:szCs w:val="18"/>
          <w:lang w:eastAsia="en-AU"/>
        </w:rPr>
        <w:t xml:space="preserve"> $10 million to &lt; $20 million</w:t>
      </w:r>
    </w:p>
    <w:p w14:paraId="52595946" w14:textId="77777777" w:rsidR="00D61644" w:rsidRPr="00D221AB" w:rsidRDefault="00D61644" w:rsidP="00D221AB">
      <w:pPr>
        <w:keepNext/>
        <w:keepLines/>
        <w:jc w:val="both"/>
        <w:rPr>
          <w:rFonts w:ascii="Arial Narrow" w:hAnsi="Arial Narrow" w:cstheme="minorHAnsi"/>
          <w:bCs/>
          <w:i/>
          <w:iCs/>
          <w:sz w:val="18"/>
          <w:szCs w:val="18"/>
          <w:lang w:eastAsia="en-AU"/>
        </w:rPr>
      </w:pPr>
      <w:r w:rsidRPr="00D221AB">
        <w:rPr>
          <w:rFonts w:ascii="Arial Narrow" w:hAnsi="Arial Narrow" w:cstheme="minorHAnsi"/>
          <w:bCs/>
          <w:i/>
          <w:iCs/>
          <w:sz w:val="18"/>
          <w:szCs w:val="18"/>
          <w:vertAlign w:val="superscript"/>
          <w:lang w:eastAsia="en-AU"/>
        </w:rPr>
        <w:t>2</w:t>
      </w:r>
      <w:r w:rsidRPr="00D221AB">
        <w:rPr>
          <w:rFonts w:ascii="Arial Narrow" w:hAnsi="Arial Narrow" w:cstheme="minorHAnsi"/>
          <w:bCs/>
          <w:i/>
          <w:iCs/>
          <w:sz w:val="18"/>
          <w:szCs w:val="18"/>
          <w:lang w:eastAsia="en-AU"/>
        </w:rPr>
        <w:t xml:space="preserve"> $20 million to &lt; $30 million</w:t>
      </w:r>
    </w:p>
    <w:p w14:paraId="48C2C1FF" w14:textId="77777777" w:rsidR="00D61644" w:rsidRPr="00D221AB" w:rsidRDefault="00D61644" w:rsidP="00D221AB">
      <w:pPr>
        <w:keepNext/>
        <w:keepLines/>
        <w:jc w:val="both"/>
        <w:rPr>
          <w:rFonts w:ascii="Arial Narrow" w:hAnsi="Arial Narrow" w:cstheme="minorHAnsi"/>
          <w:bCs/>
          <w:i/>
          <w:iCs/>
          <w:sz w:val="18"/>
          <w:szCs w:val="18"/>
          <w:lang w:eastAsia="en-AU"/>
        </w:rPr>
      </w:pPr>
      <w:r w:rsidRPr="00D221AB">
        <w:rPr>
          <w:rFonts w:ascii="Arial Narrow" w:hAnsi="Arial Narrow" w:cstheme="minorHAnsi"/>
          <w:bCs/>
          <w:i/>
          <w:iCs/>
          <w:sz w:val="18"/>
          <w:szCs w:val="18"/>
          <w:vertAlign w:val="superscript"/>
          <w:lang w:eastAsia="en-AU"/>
        </w:rPr>
        <w:t>3</w:t>
      </w:r>
      <w:r w:rsidRPr="00D221AB">
        <w:rPr>
          <w:rFonts w:ascii="Arial Narrow" w:hAnsi="Arial Narrow" w:cstheme="minorHAnsi"/>
          <w:bCs/>
          <w:i/>
          <w:iCs/>
          <w:sz w:val="18"/>
          <w:szCs w:val="18"/>
          <w:lang w:eastAsia="en-AU"/>
        </w:rPr>
        <w:t xml:space="preserve"> $30 million to &lt; $40 million</w:t>
      </w:r>
    </w:p>
    <w:p w14:paraId="3158D977" w14:textId="049615FB" w:rsidR="00D61644" w:rsidRPr="00CD4FAB" w:rsidRDefault="00D61644" w:rsidP="00D221AB">
      <w:pPr>
        <w:spacing w:after="120"/>
        <w:jc w:val="both"/>
      </w:pPr>
      <w:r w:rsidRPr="00D221AB">
        <w:rPr>
          <w:rFonts w:ascii="Arial Narrow" w:hAnsi="Arial Narrow" w:cstheme="minorHAnsi"/>
          <w:bCs/>
          <w:i/>
          <w:iCs/>
          <w:sz w:val="18"/>
          <w:szCs w:val="18"/>
          <w:vertAlign w:val="superscript"/>
          <w:lang w:eastAsia="en-AU"/>
        </w:rPr>
        <w:t>4</w:t>
      </w:r>
      <w:r w:rsidRPr="00D221AB">
        <w:rPr>
          <w:rFonts w:ascii="Arial Narrow" w:hAnsi="Arial Narrow" w:cstheme="minorHAnsi"/>
          <w:bCs/>
          <w:i/>
          <w:iCs/>
          <w:sz w:val="18"/>
          <w:szCs w:val="18"/>
          <w:lang w:eastAsia="en-AU"/>
        </w:rPr>
        <w:t xml:space="preserve"> net cost saving</w:t>
      </w:r>
    </w:p>
    <w:p w14:paraId="6015A395" w14:textId="2EDB6A4E" w:rsidR="00576972" w:rsidRPr="00CD4FAB" w:rsidRDefault="00576972" w:rsidP="00606FBA">
      <w:pPr>
        <w:pStyle w:val="4-SubsectionHeading"/>
      </w:pPr>
      <w:bookmarkStart w:id="49" w:name="_Toc22897649"/>
      <w:bookmarkStart w:id="50" w:name="_Toc156979623"/>
      <w:r w:rsidRPr="00CD4FAB">
        <w:t>Financial Management – Risk Sharing Arrangements</w:t>
      </w:r>
      <w:bookmarkEnd w:id="49"/>
      <w:bookmarkEnd w:id="50"/>
    </w:p>
    <w:p w14:paraId="25BA2464" w14:textId="1D7F656B" w:rsidR="00894CD6" w:rsidRPr="00CD4FAB" w:rsidRDefault="00ED6786" w:rsidP="004C2AC2">
      <w:pPr>
        <w:pStyle w:val="3-BodyText"/>
      </w:pPr>
      <w:r w:rsidRPr="00CD4FAB">
        <w:t>The</w:t>
      </w:r>
      <w:r w:rsidR="00974064" w:rsidRPr="00CD4FAB">
        <w:t xml:space="preserve"> </w:t>
      </w:r>
      <w:r w:rsidRPr="00CD4FAB">
        <w:t xml:space="preserve">submission stated: </w:t>
      </w:r>
    </w:p>
    <w:p w14:paraId="54436EBB" w14:textId="5DCFF043" w:rsidR="00ED6786" w:rsidRPr="00CC3FDF" w:rsidRDefault="00CC3FDF" w:rsidP="0004786A">
      <w:pPr>
        <w:ind w:left="720"/>
        <w:jc w:val="both"/>
      </w:pPr>
      <w:r>
        <w:t>‘</w:t>
      </w:r>
      <w:r w:rsidR="00ED6786" w:rsidRPr="00CC3FDF">
        <w:t xml:space="preserve">The application of a reduced effective price and incorporation of cost-offsets from reduced use of immunotherapy in other settings results in a modest overall net cost to the PBS/RPBS. The modest overall net cost was calculated using the published price of atezolizumab and durvalumab and the known effective price of pembrolizumab. As </w:t>
      </w:r>
      <w:r w:rsidR="00ED6786" w:rsidRPr="00CC3FDF">
        <w:lastRenderedPageBreak/>
        <w:t xml:space="preserve">such, the Sponsor acknowledges that the estimated overall net cost will be greater than the estimate presented in </w:t>
      </w:r>
      <w:r w:rsidR="003A4A60" w:rsidRPr="00CC3FDF">
        <w:fldChar w:fldCharType="begin" w:fldLock="1"/>
      </w:r>
      <w:r w:rsidR="003A4A60" w:rsidRPr="00CC3FDF">
        <w:instrText xml:space="preserve"> REF _Ref156559144 \h </w:instrText>
      </w:r>
      <w:r w:rsidR="00CD4FAB" w:rsidRPr="00CC3FDF">
        <w:instrText xml:space="preserve"> \* MERGEFORMAT </w:instrText>
      </w:r>
      <w:r w:rsidR="003A4A60" w:rsidRPr="00CC3FDF">
        <w:fldChar w:fldCharType="separate"/>
      </w:r>
      <w:r w:rsidR="00885DA7" w:rsidRPr="00CD4FAB">
        <w:t xml:space="preserve">Table </w:t>
      </w:r>
      <w:r w:rsidR="00885DA7">
        <w:t>10</w:t>
      </w:r>
      <w:r w:rsidR="003A4A60" w:rsidRPr="00CC3FDF">
        <w:fldChar w:fldCharType="end"/>
      </w:r>
      <w:r w:rsidR="00ED6786" w:rsidRPr="00CC3FDF">
        <w:t>, however likely to remain &lt;</w:t>
      </w:r>
      <w:r w:rsidR="00924D5E" w:rsidRPr="006E162D">
        <w:rPr>
          <w:color w:val="000000"/>
          <w:w w:val="15"/>
          <w:shd w:val="solid" w:color="000000" w:fill="000000"/>
          <w:fitText w:val="-20" w:id="-961835003"/>
          <w14:textFill>
            <w14:solidFill>
              <w14:srgbClr w14:val="000000">
                <w14:alpha w14:val="100000"/>
              </w14:srgbClr>
            </w14:solidFill>
          </w14:textFill>
        </w:rPr>
        <w:t xml:space="preserve">|  </w:t>
      </w:r>
      <w:r w:rsidR="00924D5E" w:rsidRPr="006E162D">
        <w:rPr>
          <w:color w:val="000000"/>
          <w:spacing w:val="-69"/>
          <w:w w:val="15"/>
          <w:shd w:val="solid" w:color="000000" w:fill="000000"/>
          <w:fitText w:val="-20" w:id="-961835003"/>
          <w14:textFill>
            <w14:solidFill>
              <w14:srgbClr w14:val="000000">
                <w14:alpha w14:val="100000"/>
              </w14:srgbClr>
            </w14:solidFill>
          </w14:textFill>
        </w:rPr>
        <w:t>|</w:t>
      </w:r>
      <w:r w:rsidR="00ED6786" w:rsidRPr="00CC3FDF">
        <w:t>% of the current NSCLC cap value.</w:t>
      </w:r>
    </w:p>
    <w:p w14:paraId="63BAF531" w14:textId="77777777" w:rsidR="00ED6786" w:rsidRPr="00CC3FDF" w:rsidRDefault="00ED6786" w:rsidP="00ED6786">
      <w:pPr>
        <w:ind w:left="720"/>
      </w:pPr>
    </w:p>
    <w:p w14:paraId="530F25D0" w14:textId="318FFC15" w:rsidR="007347B0" w:rsidRPr="00CD4FAB" w:rsidRDefault="00ED6786" w:rsidP="007347B0">
      <w:pPr>
        <w:ind w:left="720"/>
        <w:jc w:val="both"/>
        <w:rPr>
          <w:i/>
          <w:iCs/>
        </w:rPr>
      </w:pPr>
      <w:r w:rsidRPr="00CC3FDF">
        <w:t>The Sponsor is willing to negotiate increased financial caps and enter into a RSA in order to provide greater certainty of forecast expenditure for this indication. However, it is proposed that the requirement for an RSA and negotiated increase in financial caps be re-assessed in consideration of the overall net cost to the PBS/RPBS calculated using the effective price for neoNIVO (applied above) and effective prices for adjuvant atezolizumab, durvalumab and metastatic pembrolizumab.</w:t>
      </w:r>
      <w:r w:rsidR="00CC3FDF">
        <w:t>’</w:t>
      </w:r>
    </w:p>
    <w:p w14:paraId="51BA70FB" w14:textId="77777777" w:rsidR="007347B0" w:rsidRPr="005155E6" w:rsidRDefault="007347B0" w:rsidP="00D221AB">
      <w:pPr>
        <w:pStyle w:val="2-SectionHeading"/>
      </w:pPr>
      <w:bookmarkStart w:id="51" w:name="_Hlk76381249"/>
      <w:r w:rsidRPr="005155E6">
        <w:t>PBAC Outcome</w:t>
      </w:r>
    </w:p>
    <w:p w14:paraId="60101EC9" w14:textId="23AF84C2" w:rsidR="00CC7B76" w:rsidRDefault="008E5103" w:rsidP="00CC7B76">
      <w:pPr>
        <w:widowControl w:val="0"/>
        <w:numPr>
          <w:ilvl w:val="1"/>
          <w:numId w:val="1"/>
        </w:numPr>
        <w:spacing w:after="120"/>
        <w:jc w:val="both"/>
      </w:pPr>
      <w:r>
        <w:t>At its</w:t>
      </w:r>
      <w:r w:rsidRPr="00CD4FAB">
        <w:t xml:space="preserve"> July 2023</w:t>
      </w:r>
      <w:r>
        <w:t xml:space="preserve"> meeting, t</w:t>
      </w:r>
      <w:r w:rsidR="005D6537" w:rsidRPr="00CD4FAB">
        <w:t>he PBAC recommend</w:t>
      </w:r>
      <w:r w:rsidR="005508E6">
        <w:t>ed</w:t>
      </w:r>
      <w:r w:rsidR="005D6537" w:rsidRPr="00CD4FAB">
        <w:t xml:space="preserve"> the listing of nivolumab (Opdivo®) for the neoadjuvant treatment of surgically-resectable non-small cell lung cancer (NSCLC).</w:t>
      </w:r>
      <w:r w:rsidR="00257697">
        <w:t xml:space="preserve"> </w:t>
      </w:r>
      <w:r>
        <w:t>At the March 2024 meeting, t</w:t>
      </w:r>
      <w:r w:rsidR="00257697">
        <w:t>he PBAC did not recommend</w:t>
      </w:r>
      <w:r w:rsidR="00275C59">
        <w:t xml:space="preserve"> any revisions to its previous advice. Specifically, the PBAC did not recommend</w:t>
      </w:r>
      <w:r w:rsidR="00257697">
        <w:t xml:space="preserve"> retreatment with </w:t>
      </w:r>
      <w:r w:rsidR="00257697" w:rsidRPr="00CD4FAB">
        <w:t xml:space="preserve">immunotherapy (IO) </w:t>
      </w:r>
      <w:r w:rsidR="00AC40C7" w:rsidRPr="00CD4FAB">
        <w:t>in those who relapse with metastatic disease</w:t>
      </w:r>
      <w:r w:rsidR="00AC40C7">
        <w:t xml:space="preserve"> </w:t>
      </w:r>
      <w:r w:rsidR="00257697">
        <w:t>(presented as Option A in the submission)</w:t>
      </w:r>
      <w:r w:rsidR="00275C59">
        <w:t xml:space="preserve"> as</w:t>
      </w:r>
      <w:r w:rsidR="005D6537" w:rsidRPr="00CD4FAB">
        <w:t xml:space="preserve"> there was </w:t>
      </w:r>
      <w:r w:rsidR="00AB025B">
        <w:t>insufficient</w:t>
      </w:r>
      <w:r w:rsidR="00AB025B" w:rsidRPr="00CD4FAB">
        <w:t xml:space="preserve"> </w:t>
      </w:r>
      <w:r w:rsidR="005D6537" w:rsidRPr="00CD4FAB">
        <w:t>evidence to support the effectiveness of IO retreatment following use in surgically-resectable NSCLC</w:t>
      </w:r>
      <w:r w:rsidR="00275C59">
        <w:t xml:space="preserve">, and </w:t>
      </w:r>
      <w:r w:rsidR="005462D0">
        <w:t>this</w:t>
      </w:r>
      <w:r w:rsidR="00275C59">
        <w:t xml:space="preserve"> resulted in it being unknown if </w:t>
      </w:r>
      <w:r w:rsidR="00275C59" w:rsidRPr="00CC7B76">
        <w:t xml:space="preserve">retreatment was cost-effective. </w:t>
      </w:r>
      <w:r w:rsidR="00D75A77" w:rsidRPr="00CC7B76">
        <w:t>The PBAC advised further discussions were required with relevant stakeholders regarding retreatment across</w:t>
      </w:r>
      <w:r w:rsidR="00DA7806" w:rsidRPr="00CC7B76">
        <w:t xml:space="preserve"> cancer listings</w:t>
      </w:r>
      <w:r w:rsidR="002A5C5E" w:rsidRPr="00CC7B76">
        <w:t xml:space="preserve"> more generally</w:t>
      </w:r>
      <w:r w:rsidR="00D75A77" w:rsidRPr="00CC7B76">
        <w:t xml:space="preserve">. </w:t>
      </w:r>
      <w:r w:rsidR="005D6537" w:rsidRPr="00CC7B76">
        <w:t>The</w:t>
      </w:r>
      <w:r w:rsidR="005D6537" w:rsidRPr="00CD4FAB">
        <w:t xml:space="preserve"> PBAC also </w:t>
      </w:r>
      <w:r w:rsidR="00D75A77">
        <w:t>did not recommend a price increase for nivolumab</w:t>
      </w:r>
      <w:r w:rsidR="00D75A77" w:rsidRPr="00257697">
        <w:t xml:space="preserve"> </w:t>
      </w:r>
      <w:r w:rsidR="00D75A77">
        <w:t>for the scenario</w:t>
      </w:r>
      <w:r w:rsidR="00D75A77" w:rsidRPr="00CD4FAB">
        <w:t xml:space="preserve"> of no IO retreatment</w:t>
      </w:r>
      <w:r w:rsidR="00D75A77" w:rsidRPr="00257697">
        <w:t xml:space="preserve"> </w:t>
      </w:r>
      <w:r w:rsidR="00D75A77">
        <w:t xml:space="preserve">(presented as Option B in the submission). The PBAC noted the economic model was sensitive to the </w:t>
      </w:r>
      <w:r w:rsidR="00824B6D">
        <w:t>inputs</w:t>
      </w:r>
      <w:r w:rsidR="00D75A77">
        <w:t xml:space="preserve"> </w:t>
      </w:r>
      <w:r w:rsidR="00710708">
        <w:t xml:space="preserve">regarding </w:t>
      </w:r>
      <w:r w:rsidR="00D75A77">
        <w:t>treatment</w:t>
      </w:r>
      <w:r w:rsidR="005462D0">
        <w:t xml:space="preserve"> in the metastatic setting</w:t>
      </w:r>
      <w:r w:rsidR="00D75A77">
        <w:t xml:space="preserve"> </w:t>
      </w:r>
      <w:r w:rsidR="00341A2C">
        <w:t xml:space="preserve">and </w:t>
      </w:r>
      <w:r w:rsidR="00D75A77">
        <w:t xml:space="preserve">considered it was </w:t>
      </w:r>
      <w:r w:rsidR="00341A2C">
        <w:t xml:space="preserve">unlikely </w:t>
      </w:r>
      <w:r w:rsidR="005D6537" w:rsidRPr="00CD4FAB">
        <w:t xml:space="preserve">that neoadjuvant nivolumab was cost-effective </w:t>
      </w:r>
      <w:r w:rsidR="00824B6D">
        <w:t>with</w:t>
      </w:r>
      <w:r w:rsidR="00824B6D" w:rsidRPr="00CD4FAB">
        <w:t xml:space="preserve"> </w:t>
      </w:r>
      <w:r w:rsidR="005D6537" w:rsidRPr="00CD4FAB">
        <w:t>the</w:t>
      </w:r>
      <w:r w:rsidR="00824B6D">
        <w:t xml:space="preserve"> proposed </w:t>
      </w:r>
      <w:r w:rsidR="00924D5E" w:rsidRPr="006E162D">
        <w:rPr>
          <w:color w:val="000000"/>
          <w:w w:val="15"/>
          <w:shd w:val="solid" w:color="000000" w:fill="000000"/>
          <w:fitText w:val="-20" w:id="-961835002"/>
          <w14:textFill>
            <w14:solidFill>
              <w14:srgbClr w14:val="000000">
                <w14:alpha w14:val="100000"/>
              </w14:srgbClr>
            </w14:solidFill>
          </w14:textFill>
        </w:rPr>
        <w:t xml:space="preserve">|  </w:t>
      </w:r>
      <w:r w:rsidR="00924D5E" w:rsidRPr="006E162D">
        <w:rPr>
          <w:color w:val="000000"/>
          <w:spacing w:val="-69"/>
          <w:w w:val="15"/>
          <w:shd w:val="solid" w:color="000000" w:fill="000000"/>
          <w:fitText w:val="-20" w:id="-961835002"/>
          <w14:textFill>
            <w14:solidFill>
              <w14:srgbClr w14:val="000000">
                <w14:alpha w14:val="100000"/>
              </w14:srgbClr>
            </w14:solidFill>
          </w14:textFill>
        </w:rPr>
        <w:t>|</w:t>
      </w:r>
      <w:r w:rsidR="00D8057F">
        <w:t xml:space="preserve">% </w:t>
      </w:r>
      <w:r w:rsidR="005D6537" w:rsidRPr="00CD4FAB">
        <w:t xml:space="preserve">increase </w:t>
      </w:r>
      <w:r w:rsidR="00824B6D">
        <w:t xml:space="preserve">in </w:t>
      </w:r>
      <w:r w:rsidR="005D6537" w:rsidRPr="00CD4FAB">
        <w:t>price</w:t>
      </w:r>
      <w:r w:rsidR="00341A2C">
        <w:t xml:space="preserve">. </w:t>
      </w:r>
    </w:p>
    <w:p w14:paraId="13AF81E6" w14:textId="77777777" w:rsidR="00E61763" w:rsidRDefault="00702CBC" w:rsidP="00E61763">
      <w:pPr>
        <w:pStyle w:val="3-BodyText"/>
      </w:pPr>
      <w:r>
        <w:t xml:space="preserve">The primary reason for this outcome was due to the </w:t>
      </w:r>
      <w:r w:rsidRPr="00D34E46">
        <w:t xml:space="preserve">comparative clinical evidence </w:t>
      </w:r>
      <w:r>
        <w:t xml:space="preserve">presented. </w:t>
      </w:r>
    </w:p>
    <w:p w14:paraId="337F4E1A" w14:textId="506F45A8" w:rsidR="00D8057F" w:rsidRDefault="00D8057F" w:rsidP="00E61763">
      <w:pPr>
        <w:pStyle w:val="3-BodyText"/>
      </w:pPr>
      <w:r w:rsidRPr="00E61763">
        <w:rPr>
          <w:rFonts w:cs="Times New Roman"/>
        </w:rPr>
        <w:t xml:space="preserve">The PBAC noted that the submission </w:t>
      </w:r>
      <w:r w:rsidRPr="00CD4FAB">
        <w:t xml:space="preserve">requested modification to </w:t>
      </w:r>
      <w:r w:rsidRPr="00E61763">
        <w:rPr>
          <w:rFonts w:cs="Times New Roman"/>
          <w:snapToGrid/>
          <w:lang w:eastAsia="en-GB"/>
        </w:rPr>
        <w:t xml:space="preserve">the listing for nivolumab </w:t>
      </w:r>
      <w:r w:rsidR="005462D0" w:rsidRPr="00E61763">
        <w:rPr>
          <w:rFonts w:cs="Times New Roman"/>
          <w:snapToGrid/>
          <w:lang w:eastAsia="en-GB"/>
        </w:rPr>
        <w:t>recommended</w:t>
      </w:r>
      <w:r w:rsidRPr="00E61763">
        <w:rPr>
          <w:rFonts w:cs="Times New Roman"/>
          <w:snapToGrid/>
          <w:lang w:eastAsia="en-GB"/>
        </w:rPr>
        <w:t xml:space="preserve"> in July 2023: </w:t>
      </w:r>
      <w:r w:rsidRPr="00CD4FAB">
        <w:t>Option A allowing IO retreatment; Option B not permitting IO retreatment.</w:t>
      </w:r>
      <w:r>
        <w:t xml:space="preserve"> </w:t>
      </w:r>
      <w:r w:rsidRPr="00CD4FAB">
        <w:t xml:space="preserve">The PBAC noted </w:t>
      </w:r>
      <w:r>
        <w:t xml:space="preserve">for Option A </w:t>
      </w:r>
      <w:r w:rsidRPr="00CD4FAB">
        <w:t>the Pre-PBAC Response proposed flow-on changes to IO listings in the metastatic setting restricting retreatment to patients who had not experienced disease progression while receiving or within 6 months of receiving neoadjuvant treatment. The PBAC noted Option B proposed a PBS restriction aligned with previous PBAC advice but increased the ex-manufacturer price from $</w:t>
      </w:r>
      <w:r w:rsidR="00924D5E" w:rsidRPr="006E162D">
        <w:rPr>
          <w:color w:val="000000"/>
          <w:w w:val="15"/>
          <w:shd w:val="solid" w:color="000000" w:fill="000000"/>
          <w:fitText w:val="-20" w:id="-961835001"/>
          <w14:textFill>
            <w14:solidFill>
              <w14:srgbClr w14:val="000000">
                <w14:alpha w14:val="100000"/>
              </w14:srgbClr>
            </w14:solidFill>
          </w14:textFill>
        </w:rPr>
        <w:t xml:space="preserve">|  </w:t>
      </w:r>
      <w:r w:rsidR="00924D5E" w:rsidRPr="006E162D">
        <w:rPr>
          <w:color w:val="000000"/>
          <w:spacing w:val="-69"/>
          <w:w w:val="15"/>
          <w:shd w:val="solid" w:color="000000" w:fill="000000"/>
          <w:fitText w:val="-20" w:id="-961835001"/>
          <w14:textFill>
            <w14:solidFill>
              <w14:srgbClr w14:val="000000">
                <w14:alpha w14:val="100000"/>
              </w14:srgbClr>
            </w14:solidFill>
          </w14:textFill>
        </w:rPr>
        <w:t>|</w:t>
      </w:r>
      <w:r w:rsidRPr="00CD4FAB">
        <w:t xml:space="preserve"> per 100 mg to $</w:t>
      </w:r>
      <w:r w:rsidR="00924D5E" w:rsidRPr="006E162D">
        <w:rPr>
          <w:color w:val="000000"/>
          <w:w w:val="15"/>
          <w:shd w:val="solid" w:color="000000" w:fill="000000"/>
          <w:fitText w:val="-20" w:id="-961835000"/>
          <w14:textFill>
            <w14:solidFill>
              <w14:srgbClr w14:val="000000">
                <w14:alpha w14:val="100000"/>
              </w14:srgbClr>
            </w14:solidFill>
          </w14:textFill>
        </w:rPr>
        <w:t xml:space="preserve">|  </w:t>
      </w:r>
      <w:r w:rsidR="00924D5E" w:rsidRPr="006E162D">
        <w:rPr>
          <w:color w:val="000000"/>
          <w:spacing w:val="-69"/>
          <w:w w:val="15"/>
          <w:shd w:val="solid" w:color="000000" w:fill="000000"/>
          <w:fitText w:val="-20" w:id="-961835000"/>
          <w14:textFill>
            <w14:solidFill>
              <w14:srgbClr w14:val="000000">
                <w14:alpha w14:val="100000"/>
              </w14:srgbClr>
            </w14:solidFill>
          </w14:textFill>
        </w:rPr>
        <w:t>|</w:t>
      </w:r>
      <w:r w:rsidRPr="00CD4FAB">
        <w:t xml:space="preserve"> per 100 mg. </w:t>
      </w:r>
    </w:p>
    <w:p w14:paraId="5E060791" w14:textId="52635F1A" w:rsidR="00D8057F" w:rsidRPr="005508E6" w:rsidRDefault="00D8057F" w:rsidP="005508E6">
      <w:pPr>
        <w:pStyle w:val="3-BodyText"/>
        <w:numPr>
          <w:ilvl w:val="0"/>
          <w:numId w:val="0"/>
        </w:numPr>
        <w:rPr>
          <w:u w:val="single"/>
        </w:rPr>
      </w:pPr>
      <w:r>
        <w:rPr>
          <w:u w:val="single"/>
        </w:rPr>
        <w:t>Option A: Allowing IO retreatment</w:t>
      </w:r>
    </w:p>
    <w:p w14:paraId="3E6BDB29" w14:textId="5B757BBB" w:rsidR="00AC7C2D" w:rsidRPr="005508E6" w:rsidRDefault="00AC7C2D" w:rsidP="007347B0">
      <w:pPr>
        <w:widowControl w:val="0"/>
        <w:numPr>
          <w:ilvl w:val="1"/>
          <w:numId w:val="1"/>
        </w:numPr>
        <w:spacing w:after="120"/>
        <w:jc w:val="both"/>
        <w:rPr>
          <w:rFonts w:cs="Arial"/>
          <w:snapToGrid w:val="0"/>
        </w:rPr>
      </w:pPr>
      <w:r w:rsidRPr="005508E6">
        <w:t xml:space="preserve">The PBAC noted comments from health care professionals </w:t>
      </w:r>
      <w:r w:rsidR="00DB00F3" w:rsidRPr="005508E6">
        <w:t xml:space="preserve">and organisations </w:t>
      </w:r>
      <w:r w:rsidR="00F07655" w:rsidRPr="005508E6">
        <w:t xml:space="preserve">expressing support for IO retreatment </w:t>
      </w:r>
      <w:r w:rsidR="00DB00F3" w:rsidRPr="005508E6">
        <w:t xml:space="preserve">following use in surgically-resectable NSCLC for those who relapse with metastatic disease. The PBAC noted input from </w:t>
      </w:r>
      <w:r w:rsidR="00DB00F3" w:rsidRPr="00CD4FAB">
        <w:rPr>
          <w:rFonts w:cs="Arial"/>
          <w:bCs/>
          <w:snapToGrid w:val="0"/>
        </w:rPr>
        <w:t>Lung Foundation Australia supporting a nivolumab listing that allows IO retreatment</w:t>
      </w:r>
      <w:r w:rsidR="000D3C4C" w:rsidRPr="00CD4FAB">
        <w:rPr>
          <w:rFonts w:cs="Arial"/>
          <w:bCs/>
          <w:snapToGrid w:val="0"/>
        </w:rPr>
        <w:t xml:space="preserve"> and </w:t>
      </w:r>
      <w:r w:rsidRPr="00CD4FAB">
        <w:rPr>
          <w:rFonts w:ascii="Calibri" w:hAnsi="Calibri" w:cs="Calibri"/>
        </w:rPr>
        <w:lastRenderedPageBreak/>
        <w:t xml:space="preserve">the Medical Oncology Group of Australia’s </w:t>
      </w:r>
      <w:r w:rsidR="00DB00F3" w:rsidRPr="00CD4FAB">
        <w:rPr>
          <w:rFonts w:ascii="Calibri" w:hAnsi="Calibri" w:cs="Calibri"/>
        </w:rPr>
        <w:t xml:space="preserve">(MOGA) </w:t>
      </w:r>
      <w:r w:rsidRPr="00CD4FAB">
        <w:rPr>
          <w:rFonts w:ascii="Calibri" w:hAnsi="Calibri" w:cs="Calibri"/>
        </w:rPr>
        <w:t xml:space="preserve">strong support for the submission. </w:t>
      </w:r>
    </w:p>
    <w:p w14:paraId="0831D1E8" w14:textId="69F8E7EE" w:rsidR="0054336A" w:rsidRPr="005508E6" w:rsidRDefault="0054336A" w:rsidP="0054336A">
      <w:pPr>
        <w:widowControl w:val="0"/>
        <w:numPr>
          <w:ilvl w:val="1"/>
          <w:numId w:val="1"/>
        </w:numPr>
        <w:spacing w:after="120"/>
        <w:jc w:val="both"/>
      </w:pPr>
      <w:r w:rsidRPr="00CD4FAB">
        <w:rPr>
          <w:szCs w:val="20"/>
        </w:rPr>
        <w:t xml:space="preserve">The PBAC recalled that it previously </w:t>
      </w:r>
      <w:r w:rsidR="00F32B6E">
        <w:rPr>
          <w:szCs w:val="20"/>
        </w:rPr>
        <w:t>considered</w:t>
      </w:r>
      <w:r w:rsidRPr="00CD4FAB">
        <w:rPr>
          <w:szCs w:val="20"/>
        </w:rPr>
        <w:t xml:space="preserve"> in </w:t>
      </w:r>
      <w:r w:rsidR="00F61E99">
        <w:rPr>
          <w:szCs w:val="20"/>
        </w:rPr>
        <w:t xml:space="preserve">March 2023 that </w:t>
      </w:r>
      <w:r w:rsidR="00500929">
        <w:rPr>
          <w:szCs w:val="20"/>
        </w:rPr>
        <w:t>s</w:t>
      </w:r>
      <w:r w:rsidR="00500929" w:rsidRPr="00500929">
        <w:rPr>
          <w:szCs w:val="20"/>
        </w:rPr>
        <w:t xml:space="preserve">ubsequent use of immunotherapy </w:t>
      </w:r>
      <w:r w:rsidR="00500929">
        <w:rPr>
          <w:szCs w:val="20"/>
        </w:rPr>
        <w:t>may be clinically appropriate</w:t>
      </w:r>
      <w:r w:rsidR="00262A56">
        <w:rPr>
          <w:szCs w:val="20"/>
        </w:rPr>
        <w:t xml:space="preserve"> </w:t>
      </w:r>
      <w:r w:rsidR="00500929" w:rsidRPr="00500929">
        <w:rPr>
          <w:szCs w:val="20"/>
        </w:rPr>
        <w:t>in those who relapse with metastatic disease</w:t>
      </w:r>
      <w:r w:rsidR="008D3012">
        <w:rPr>
          <w:szCs w:val="20"/>
        </w:rPr>
        <w:t xml:space="preserve">, </w:t>
      </w:r>
      <w:r w:rsidR="00F32B6E">
        <w:t xml:space="preserve">but expressed a preference for evidence to support such use (para 7.5, nivolumab </w:t>
      </w:r>
      <w:r w:rsidR="002F0548">
        <w:t>PSD</w:t>
      </w:r>
      <w:r w:rsidR="00F32B6E">
        <w:t>, March 2023 PBAC meeting). I</w:t>
      </w:r>
      <w:r w:rsidR="00FA1206">
        <w:t>n</w:t>
      </w:r>
      <w:r w:rsidR="00500929" w:rsidRPr="00500929">
        <w:rPr>
          <w:szCs w:val="20"/>
        </w:rPr>
        <w:t xml:space="preserve"> </w:t>
      </w:r>
      <w:r w:rsidRPr="00CD4FAB">
        <w:rPr>
          <w:szCs w:val="20"/>
        </w:rPr>
        <w:t>July 2023</w:t>
      </w:r>
      <w:r w:rsidR="00F32B6E">
        <w:rPr>
          <w:szCs w:val="20"/>
        </w:rPr>
        <w:t xml:space="preserve">, </w:t>
      </w:r>
      <w:r w:rsidRPr="00CD4FAB">
        <w:rPr>
          <w:szCs w:val="20"/>
        </w:rPr>
        <w:t xml:space="preserve">due to a lack of clinical </w:t>
      </w:r>
      <w:r w:rsidRPr="005508E6">
        <w:t xml:space="preserve">evidence repeat use of immunotherapy in NSCLC patients who relapse with metastatic disease could not be supported by the Committee. The PBAC also recalled it previously noted that it would reconsider the recommendation to exclude retreatment in metastatic disease should evidence supporting such use become available (para 5.3, nivolumab PSD, July 2023 PBAC </w:t>
      </w:r>
      <w:r w:rsidR="002F0548">
        <w:t>m</w:t>
      </w:r>
      <w:r w:rsidRPr="005508E6">
        <w:t>eeting).</w:t>
      </w:r>
    </w:p>
    <w:p w14:paraId="6AEB5D9A" w14:textId="045E440F" w:rsidR="00520731" w:rsidRDefault="001804E0" w:rsidP="004E4E51">
      <w:pPr>
        <w:widowControl w:val="0"/>
        <w:numPr>
          <w:ilvl w:val="1"/>
          <w:numId w:val="1"/>
        </w:numPr>
        <w:spacing w:after="120"/>
        <w:jc w:val="both"/>
      </w:pPr>
      <w:r w:rsidRPr="005508E6">
        <w:t>The PBAC noted the primary evidence for IO retreatment in the submission was based on 18 st</w:t>
      </w:r>
      <w:r w:rsidR="00BD14F9" w:rsidRPr="005508E6">
        <w:t xml:space="preserve">udies, including 11 retrospective case series, 1 single arm clinical trial and 5 systematic reviews and/or meta-analyses. </w:t>
      </w:r>
      <w:r w:rsidR="00AD533B" w:rsidRPr="00217551">
        <w:t>T</w:t>
      </w:r>
      <w:r w:rsidR="007927F9" w:rsidRPr="00217551">
        <w:t>he PBAC noted the evidence presented in the submission to support IO retreatment did not include patients receiving neoadjuvant treatment for resectable disease and did not report an estimate for the magnitude of benefit associated with IO retreatment.</w:t>
      </w:r>
      <w:r w:rsidR="00217551">
        <w:t xml:space="preserve"> </w:t>
      </w:r>
      <w:r w:rsidR="00D8057F">
        <w:t>Overall, t</w:t>
      </w:r>
      <w:r w:rsidR="00C35900" w:rsidRPr="00CD4FAB">
        <w:t>he PBAC considered</w:t>
      </w:r>
      <w:r w:rsidR="005462D0">
        <w:t>,</w:t>
      </w:r>
      <w:r w:rsidR="00C35900" w:rsidRPr="00CD4FAB">
        <w:t xml:space="preserve"> although there may be a clinical rationale for IO retreatment in the absence of progression while on neoNIVO or within 6 months of receiving neoNIVO, </w:t>
      </w:r>
      <w:r w:rsidR="00D8057F">
        <w:t>that</w:t>
      </w:r>
      <w:r w:rsidR="00365D32">
        <w:t xml:space="preserve"> without an estimate of the magnitude of benefit for IO retreatment it was unknown if retreatment was cost-effective</w:t>
      </w:r>
      <w:r w:rsidR="00380455" w:rsidRPr="00CD4FAB">
        <w:t xml:space="preserve">. </w:t>
      </w:r>
    </w:p>
    <w:p w14:paraId="03000D6E" w14:textId="38B9D961" w:rsidR="00365D32" w:rsidRPr="00A35E6A" w:rsidRDefault="00C35900" w:rsidP="00365D32">
      <w:pPr>
        <w:pStyle w:val="3-BodyText"/>
        <w:rPr>
          <w:b/>
        </w:rPr>
      </w:pPr>
      <w:r>
        <w:t xml:space="preserve">The </w:t>
      </w:r>
      <w:r w:rsidR="00365D32" w:rsidRPr="00CD4FAB">
        <w:t>PBAC</w:t>
      </w:r>
      <w:r>
        <w:t xml:space="preserve"> recalled </w:t>
      </w:r>
      <w:r w:rsidR="00365D32" w:rsidRPr="00CD4FAB">
        <w:t>in March 2023 that it</w:t>
      </w:r>
      <w:r>
        <w:t xml:space="preserve"> considered it</w:t>
      </w:r>
      <w:r w:rsidR="00365D32" w:rsidRPr="00CD4FAB">
        <w:t xml:space="preserve"> would be appropriate to manage the uncertainties associated with retreatment with </w:t>
      </w:r>
      <w:r w:rsidR="00D8057F">
        <w:t>IO</w:t>
      </w:r>
      <w:r w:rsidR="00365D32" w:rsidRPr="00CD4FAB">
        <w:t xml:space="preserve"> in metastatic disease within the </w:t>
      </w:r>
      <w:r w:rsidR="005B23E5" w:rsidRPr="00CD4FAB">
        <w:t xml:space="preserve">risk-sharing agreement </w:t>
      </w:r>
      <w:r w:rsidR="005B23E5">
        <w:t>(</w:t>
      </w:r>
      <w:r w:rsidR="00365D32" w:rsidRPr="00CD4FAB">
        <w:t>RSA</w:t>
      </w:r>
      <w:r w:rsidR="005B23E5">
        <w:t>)</w:t>
      </w:r>
      <w:r w:rsidR="00365D32" w:rsidRPr="00CD4FAB">
        <w:t>, given there is no clinical data to support such use (para 7.20, nivolumab PSD, March 2023 PBAC meeting)</w:t>
      </w:r>
      <w:r w:rsidR="00D8057F">
        <w:t>. The PBAC noted</w:t>
      </w:r>
      <w:r>
        <w:t xml:space="preserve"> </w:t>
      </w:r>
      <w:r w:rsidR="00D8057F">
        <w:t xml:space="preserve">the submission </w:t>
      </w:r>
      <w:r w:rsidR="009B6DF3">
        <w:t xml:space="preserve">proposed an </w:t>
      </w:r>
      <w:r w:rsidR="00D8057F">
        <w:t xml:space="preserve">increase </w:t>
      </w:r>
      <w:r w:rsidR="00217551">
        <w:t xml:space="preserve">to </w:t>
      </w:r>
      <w:r w:rsidR="00D8057F">
        <w:t>the</w:t>
      </w:r>
      <w:r w:rsidR="009B6DF3">
        <w:t xml:space="preserve"> RSA</w:t>
      </w:r>
      <w:r w:rsidR="00D8057F">
        <w:t xml:space="preserve"> financial caps to account for retreatment </w:t>
      </w:r>
      <w:r w:rsidR="00B75F91">
        <w:t>which</w:t>
      </w:r>
      <w:r w:rsidR="00D8057F">
        <w:t xml:space="preserve"> did not address the uncertain cost-effectiveness of such use</w:t>
      </w:r>
      <w:r>
        <w:t>.</w:t>
      </w:r>
    </w:p>
    <w:p w14:paraId="17B99E05" w14:textId="69364032" w:rsidR="00D8057F" w:rsidRPr="00CD4FAB" w:rsidRDefault="00365D32" w:rsidP="00365D32">
      <w:pPr>
        <w:pStyle w:val="3-BodyText"/>
        <w:spacing w:before="120"/>
      </w:pPr>
      <w:r w:rsidRPr="00CD4FAB">
        <w:t>The PBAC advised further discussions were required with relevant stakeholders regarding retreatment across</w:t>
      </w:r>
      <w:r w:rsidR="0019112C">
        <w:t xml:space="preserve"> cancer listings</w:t>
      </w:r>
      <w:r w:rsidR="002A5C5E">
        <w:t xml:space="preserve"> more generally</w:t>
      </w:r>
      <w:r w:rsidRPr="00CD4FAB">
        <w:t>.</w:t>
      </w:r>
    </w:p>
    <w:p w14:paraId="3E3C8B62" w14:textId="13FDA454" w:rsidR="00D8057F" w:rsidRPr="00A35E6A" w:rsidRDefault="00D8057F" w:rsidP="00A35E6A">
      <w:pPr>
        <w:pStyle w:val="3-BodyText"/>
        <w:numPr>
          <w:ilvl w:val="0"/>
          <w:numId w:val="0"/>
        </w:numPr>
        <w:rPr>
          <w:u w:val="single"/>
        </w:rPr>
      </w:pPr>
      <w:r w:rsidRPr="00A35E6A">
        <w:rPr>
          <w:u w:val="single"/>
        </w:rPr>
        <w:t xml:space="preserve">Option </w:t>
      </w:r>
      <w:r>
        <w:rPr>
          <w:u w:val="single"/>
        </w:rPr>
        <w:t>B</w:t>
      </w:r>
      <w:r w:rsidRPr="00A35E6A">
        <w:rPr>
          <w:u w:val="single"/>
        </w:rPr>
        <w:t xml:space="preserve">: </w:t>
      </w:r>
      <w:r>
        <w:rPr>
          <w:u w:val="single"/>
        </w:rPr>
        <w:t>Not permitting</w:t>
      </w:r>
      <w:r w:rsidRPr="00A35E6A">
        <w:rPr>
          <w:u w:val="single"/>
        </w:rPr>
        <w:t xml:space="preserve"> IO retreatment</w:t>
      </w:r>
    </w:p>
    <w:p w14:paraId="6399AE54" w14:textId="75E6A898" w:rsidR="009D0433" w:rsidRPr="00CD4FAB" w:rsidRDefault="00AB55F2" w:rsidP="009D0433">
      <w:pPr>
        <w:pStyle w:val="3-BodyText"/>
        <w:spacing w:before="120"/>
      </w:pPr>
      <w:r w:rsidRPr="00CD4FAB">
        <w:t xml:space="preserve">The PBAC recalled </w:t>
      </w:r>
      <w:r w:rsidR="00CF349B" w:rsidRPr="00CD4FAB">
        <w:t xml:space="preserve">it had previously </w:t>
      </w:r>
      <w:r w:rsidR="009269C2">
        <w:t>considered</w:t>
      </w:r>
      <w:r w:rsidR="009269C2" w:rsidRPr="00CD4FAB">
        <w:t xml:space="preserve"> </w:t>
      </w:r>
      <w:r w:rsidR="00CF349B" w:rsidRPr="00CD4FAB">
        <w:t xml:space="preserve">nivolumab </w:t>
      </w:r>
      <w:r w:rsidR="009269C2">
        <w:t xml:space="preserve">to be </w:t>
      </w:r>
      <w:r w:rsidR="00CF349B" w:rsidRPr="00CD4FAB">
        <w:t>acceptably cost-effective based on the economic model included in the July 2023 resubmission</w:t>
      </w:r>
      <w:r w:rsidR="000607D0" w:rsidRPr="00CD4FAB">
        <w:t xml:space="preserve"> and a re-specified base case that resulted in an ICER of </w:t>
      </w:r>
      <w:r w:rsidR="00D61644" w:rsidRPr="00D61644">
        <w:t>$25,000 to &lt; $35,000</w:t>
      </w:r>
      <w:r w:rsidR="00D61644">
        <w:t xml:space="preserve"> </w:t>
      </w:r>
      <w:r w:rsidR="000607D0" w:rsidRPr="00CD4FAB">
        <w:t>per QALY gained</w:t>
      </w:r>
      <w:r w:rsidR="00CF349B" w:rsidRPr="00CD4FAB">
        <w:t xml:space="preserve"> (para 5.7, nivolumab PSD, July 2023 PBAC Meeting).</w:t>
      </w:r>
      <w:r w:rsidR="00CD14A3" w:rsidRPr="00CD4FAB">
        <w:t xml:space="preserve"> The PBAC noted that the current submission</w:t>
      </w:r>
      <w:r w:rsidR="000607D0" w:rsidRPr="00CD4FAB">
        <w:t xml:space="preserve"> stated that while IO retreatment was not supported</w:t>
      </w:r>
      <w:r w:rsidR="0067179A" w:rsidRPr="00CD4FAB">
        <w:t xml:space="preserve"> in July 2023</w:t>
      </w:r>
      <w:r w:rsidR="000607D0" w:rsidRPr="00CD4FAB">
        <w:t>, the accepted economic model included IO retreatment</w:t>
      </w:r>
      <w:r w:rsidR="009D0433" w:rsidRPr="00CD4FAB">
        <w:t xml:space="preserve"> and therefore the </w:t>
      </w:r>
      <w:r w:rsidR="000607D0" w:rsidRPr="00CD4FAB">
        <w:t>economic model for Option B</w:t>
      </w:r>
      <w:r w:rsidR="0067179A" w:rsidRPr="00CD4FAB">
        <w:t xml:space="preserve"> in the current submission</w:t>
      </w:r>
      <w:r w:rsidR="000607D0" w:rsidRPr="00CD4FAB">
        <w:t xml:space="preserve"> </w:t>
      </w:r>
      <w:r w:rsidR="00EE6553" w:rsidRPr="00CD4FAB">
        <w:t xml:space="preserve">was amended to </w:t>
      </w:r>
      <w:r w:rsidR="00B51981" w:rsidRPr="00CD4FAB">
        <w:t>remove</w:t>
      </w:r>
      <w:r w:rsidR="000607D0" w:rsidRPr="00CD4FAB">
        <w:t xml:space="preserve"> IO retreatment</w:t>
      </w:r>
      <w:r w:rsidR="009D0433" w:rsidRPr="00CD4FAB">
        <w:t xml:space="preserve"> for those who relapse with metastatic disease</w:t>
      </w:r>
      <w:r w:rsidR="00EE6553" w:rsidRPr="00CD4FAB">
        <w:t>.</w:t>
      </w:r>
      <w:r w:rsidR="004B176F">
        <w:t xml:space="preserve"> Removal of IO retreatment decrease</w:t>
      </w:r>
      <w:r w:rsidR="00B75F91">
        <w:t>d</w:t>
      </w:r>
      <w:r w:rsidR="004B176F">
        <w:t xml:space="preserve"> the </w:t>
      </w:r>
      <w:r w:rsidR="00B75F91" w:rsidRPr="00CD4FAB">
        <w:t xml:space="preserve">quality adjusted life years </w:t>
      </w:r>
      <w:r w:rsidR="00B75F91">
        <w:t>(</w:t>
      </w:r>
      <w:r w:rsidR="004B176F">
        <w:t>QALYs</w:t>
      </w:r>
      <w:r w:rsidR="00B75F91">
        <w:t>)</w:t>
      </w:r>
      <w:r w:rsidR="004B176F">
        <w:t xml:space="preserve"> and costs for the neoadjuvant nivolumab arm and hence reduce</w:t>
      </w:r>
      <w:r w:rsidR="00B75F91">
        <w:t>d</w:t>
      </w:r>
      <w:r w:rsidR="004B176F">
        <w:t xml:space="preserve"> both the incremental QALYs and costs.</w:t>
      </w:r>
      <w:r w:rsidR="00EE6553" w:rsidRPr="00CD4FAB">
        <w:t xml:space="preserve"> The PBAC noted </w:t>
      </w:r>
      <w:r w:rsidR="00B51981" w:rsidRPr="00CD4FAB">
        <w:t xml:space="preserve">that </w:t>
      </w:r>
      <w:r w:rsidR="00B47E30" w:rsidRPr="00CD4FAB">
        <w:t>the</w:t>
      </w:r>
      <w:r w:rsidR="009E099A" w:rsidRPr="00CD4FAB">
        <w:t xml:space="preserve"> </w:t>
      </w:r>
      <w:r w:rsidR="00B75F91">
        <w:t xml:space="preserve">incremental </w:t>
      </w:r>
      <w:r w:rsidR="00071A96" w:rsidRPr="00CD4FAB">
        <w:t xml:space="preserve">QALYs </w:t>
      </w:r>
      <w:r w:rsidR="009E099A" w:rsidRPr="00CD4FAB">
        <w:t>gained</w:t>
      </w:r>
      <w:r w:rsidR="009D0433" w:rsidRPr="00CD4FAB">
        <w:t xml:space="preserve"> </w:t>
      </w:r>
      <w:r w:rsidR="00B75F91">
        <w:t xml:space="preserve">reduced </w:t>
      </w:r>
      <w:r w:rsidR="009E099A" w:rsidRPr="00CD4FAB">
        <w:t>from 0.66 to 0.51</w:t>
      </w:r>
      <w:r w:rsidR="00B47E30" w:rsidRPr="00CD4FAB">
        <w:t xml:space="preserve"> </w:t>
      </w:r>
      <w:r w:rsidR="00354C94">
        <w:t xml:space="preserve">(23% reduction) but </w:t>
      </w:r>
      <w:r w:rsidR="00B75F91">
        <w:t>there was</w:t>
      </w:r>
      <w:r w:rsidR="00354C94">
        <w:t xml:space="preserve"> a larger impact on </w:t>
      </w:r>
      <w:r w:rsidR="00071A96" w:rsidRPr="00CD4FAB">
        <w:t xml:space="preserve">the </w:t>
      </w:r>
      <w:r w:rsidR="00B47E30" w:rsidRPr="00CD4FAB">
        <w:t>incremental cost</w:t>
      </w:r>
      <w:r w:rsidR="00B75F91">
        <w:t>s</w:t>
      </w:r>
      <w:r w:rsidR="00B47E30" w:rsidRPr="00CD4FAB">
        <w:t xml:space="preserve"> </w:t>
      </w:r>
      <w:r w:rsidR="00B75F91">
        <w:t>which were reduced</w:t>
      </w:r>
      <w:r w:rsidR="00354C94">
        <w:t xml:space="preserve"> </w:t>
      </w:r>
      <w:r w:rsidR="00B47E30" w:rsidRPr="00CD4FAB">
        <w:t>from $</w:t>
      </w:r>
      <w:r w:rsidR="00924D5E" w:rsidRPr="006E162D">
        <w:rPr>
          <w:color w:val="000000"/>
          <w:w w:val="15"/>
          <w:shd w:val="solid" w:color="000000" w:fill="000000"/>
          <w:fitText w:val="-20" w:id="-961834999"/>
          <w14:textFill>
            <w14:solidFill>
              <w14:srgbClr w14:val="000000">
                <w14:alpha w14:val="100000"/>
              </w14:srgbClr>
            </w14:solidFill>
          </w14:textFill>
        </w:rPr>
        <w:t xml:space="preserve">|  </w:t>
      </w:r>
      <w:r w:rsidR="00924D5E" w:rsidRPr="006E162D">
        <w:rPr>
          <w:color w:val="000000"/>
          <w:spacing w:val="-69"/>
          <w:w w:val="15"/>
          <w:shd w:val="solid" w:color="000000" w:fill="000000"/>
          <w:fitText w:val="-20" w:id="-961834999"/>
          <w14:textFill>
            <w14:solidFill>
              <w14:srgbClr w14:val="000000">
                <w14:alpha w14:val="100000"/>
              </w14:srgbClr>
            </w14:solidFill>
          </w14:textFill>
        </w:rPr>
        <w:t>|</w:t>
      </w:r>
      <w:r w:rsidR="00B47E30" w:rsidRPr="00CD4FAB">
        <w:t xml:space="preserve"> to $</w:t>
      </w:r>
      <w:r w:rsidR="00924D5E" w:rsidRPr="006E162D">
        <w:rPr>
          <w:color w:val="000000"/>
          <w:w w:val="15"/>
          <w:shd w:val="solid" w:color="000000" w:fill="000000"/>
          <w:fitText w:val="-20" w:id="-961834998"/>
          <w14:textFill>
            <w14:solidFill>
              <w14:srgbClr w14:val="000000">
                <w14:alpha w14:val="100000"/>
              </w14:srgbClr>
            </w14:solidFill>
          </w14:textFill>
        </w:rPr>
        <w:t xml:space="preserve">|  </w:t>
      </w:r>
      <w:r w:rsidR="00924D5E" w:rsidRPr="006E162D">
        <w:rPr>
          <w:color w:val="000000"/>
          <w:spacing w:val="-69"/>
          <w:w w:val="15"/>
          <w:shd w:val="solid" w:color="000000" w:fill="000000"/>
          <w:fitText w:val="-20" w:id="-961834998"/>
          <w14:textFill>
            <w14:solidFill>
              <w14:srgbClr w14:val="000000">
                <w14:alpha w14:val="100000"/>
              </w14:srgbClr>
            </w14:solidFill>
          </w14:textFill>
        </w:rPr>
        <w:t>|</w:t>
      </w:r>
      <w:r w:rsidR="00354C94">
        <w:t xml:space="preserve"> (50%)</w:t>
      </w:r>
      <w:r w:rsidR="00071A96" w:rsidRPr="00CD4FAB">
        <w:t>,</w:t>
      </w:r>
      <w:r w:rsidR="00B47E30" w:rsidRPr="00CD4FAB">
        <w:t xml:space="preserve"> </w:t>
      </w:r>
      <w:r w:rsidR="00354C94">
        <w:t xml:space="preserve">and </w:t>
      </w:r>
      <w:r w:rsidR="00183C99">
        <w:lastRenderedPageBreak/>
        <w:t xml:space="preserve">hence </w:t>
      </w:r>
      <w:r w:rsidR="00183C99" w:rsidRPr="00CD4FAB">
        <w:t>the</w:t>
      </w:r>
      <w:r w:rsidR="00B47E30" w:rsidRPr="00CD4FAB">
        <w:t xml:space="preserve"> ICER </w:t>
      </w:r>
      <w:r w:rsidR="00354C94">
        <w:t xml:space="preserve">reduced </w:t>
      </w:r>
      <w:r w:rsidR="00B47E30" w:rsidRPr="00CD4FAB">
        <w:t xml:space="preserve">from </w:t>
      </w:r>
      <w:r w:rsidR="00D61644" w:rsidRPr="00D61644">
        <w:t>$25,000</w:t>
      </w:r>
      <w:r w:rsidR="00640E59">
        <w:t xml:space="preserve"> </w:t>
      </w:r>
      <w:r w:rsidR="00D61644" w:rsidRPr="00D61644">
        <w:t>to &lt;</w:t>
      </w:r>
      <w:r w:rsidR="00640E59">
        <w:t> </w:t>
      </w:r>
      <w:r w:rsidR="00D61644" w:rsidRPr="00D61644">
        <w:t>$35,000</w:t>
      </w:r>
      <w:r w:rsidR="00B47E30" w:rsidRPr="00CD4FAB">
        <w:t xml:space="preserve"> to </w:t>
      </w:r>
      <w:r w:rsidR="00D61644" w:rsidRPr="00D61644">
        <w:t>$</w:t>
      </w:r>
      <w:r w:rsidR="00183C99">
        <w:t>1</w:t>
      </w:r>
      <w:r w:rsidR="00D61644" w:rsidRPr="00D61644">
        <w:t>5,000</w:t>
      </w:r>
      <w:r w:rsidR="00640E59">
        <w:t> </w:t>
      </w:r>
      <w:r w:rsidR="00D61644" w:rsidRPr="00D61644">
        <w:t>to</w:t>
      </w:r>
      <w:r w:rsidR="00640E59">
        <w:t> </w:t>
      </w:r>
      <w:r w:rsidR="00D61644" w:rsidRPr="00D61644">
        <w:t>&lt;</w:t>
      </w:r>
      <w:r w:rsidR="00640E59">
        <w:t> </w:t>
      </w:r>
      <w:r w:rsidR="00D61644" w:rsidRPr="00D61644">
        <w:t>$</w:t>
      </w:r>
      <w:r w:rsidR="00183C99">
        <w:t>2</w:t>
      </w:r>
      <w:r w:rsidR="00D61644" w:rsidRPr="00D61644">
        <w:t xml:space="preserve">5,000 </w:t>
      </w:r>
      <w:r w:rsidR="00B47E30" w:rsidRPr="00CD4FAB">
        <w:t>per QALY gained.</w:t>
      </w:r>
      <w:r w:rsidR="00071A96" w:rsidRPr="00CD4FAB">
        <w:t xml:space="preserve"> The PBAC </w:t>
      </w:r>
      <w:r w:rsidR="00AD533B" w:rsidRPr="00CD4FAB">
        <w:t xml:space="preserve">further </w:t>
      </w:r>
      <w:r w:rsidR="00071A96" w:rsidRPr="00CD4FAB">
        <w:t xml:space="preserve">noted that the submission </w:t>
      </w:r>
      <w:r w:rsidR="006C26DB" w:rsidRPr="00CD4FAB">
        <w:t>stated</w:t>
      </w:r>
      <w:r w:rsidR="00071A96" w:rsidRPr="00CD4FAB">
        <w:t xml:space="preserve"> that if IO retreatment is precluded from the economic model, the unit price for nivolumab should be increased to maintain an ICER of </w:t>
      </w:r>
      <w:r w:rsidR="00D61644" w:rsidRPr="00D61644">
        <w:t>$25,000 to &lt; $35,000</w:t>
      </w:r>
      <w:r w:rsidR="00D61644" w:rsidRPr="00CD4FAB">
        <w:t xml:space="preserve"> </w:t>
      </w:r>
      <w:r w:rsidR="00071A96" w:rsidRPr="00CD4FAB">
        <w:t xml:space="preserve">per QALY gained. </w:t>
      </w:r>
    </w:p>
    <w:p w14:paraId="319ABDD4" w14:textId="4C1E8F0D" w:rsidR="00C937C8" w:rsidRDefault="009D0433" w:rsidP="00EE6553">
      <w:pPr>
        <w:pStyle w:val="3-BodyText"/>
        <w:spacing w:before="120"/>
      </w:pPr>
      <w:r w:rsidRPr="00CD4FAB">
        <w:t>T</w:t>
      </w:r>
      <w:r w:rsidR="006C26DB" w:rsidRPr="00CD4FAB">
        <w:t>he</w:t>
      </w:r>
      <w:r w:rsidR="001E24F3" w:rsidRPr="00CD4FAB">
        <w:t xml:space="preserve"> PBAC </w:t>
      </w:r>
      <w:r w:rsidR="003D75B0" w:rsidRPr="00CD4FAB">
        <w:t>noted that uncertainties with the economic model related to the clinical and modelled benefits associated with IO retreatment had not been addressed</w:t>
      </w:r>
      <w:r w:rsidR="006C26DB" w:rsidRPr="00CD4FAB">
        <w:t xml:space="preserve"> in the submission</w:t>
      </w:r>
      <w:r w:rsidR="003D75B0" w:rsidRPr="00CD4FAB">
        <w:t xml:space="preserve"> and </w:t>
      </w:r>
      <w:r w:rsidR="001E24F3" w:rsidRPr="00CD4FAB">
        <w:t xml:space="preserve">reiterated its previous advice that the </w:t>
      </w:r>
      <w:r w:rsidR="001E24F3" w:rsidRPr="00CD4FAB">
        <w:rPr>
          <w:iCs/>
        </w:rPr>
        <w:t xml:space="preserve">one-off costs and health outcomes associated with metastatic treatment options applied on transition to the </w:t>
      </w:r>
      <w:r w:rsidR="00071A96" w:rsidRPr="00CD4FAB">
        <w:t>distant metastasis (</w:t>
      </w:r>
      <w:r w:rsidR="001E24F3" w:rsidRPr="00CD4FAB">
        <w:rPr>
          <w:iCs/>
        </w:rPr>
        <w:t>DM</w:t>
      </w:r>
      <w:r w:rsidR="00071A96" w:rsidRPr="00CD4FAB">
        <w:rPr>
          <w:iCs/>
        </w:rPr>
        <w:t>)</w:t>
      </w:r>
      <w:r w:rsidR="001E24F3" w:rsidRPr="00CD4FAB">
        <w:rPr>
          <w:iCs/>
        </w:rPr>
        <w:t xml:space="preserve"> health state</w:t>
      </w:r>
      <w:r w:rsidR="00B47E30" w:rsidRPr="00CD4FAB">
        <w:rPr>
          <w:iCs/>
        </w:rPr>
        <w:t xml:space="preserve"> </w:t>
      </w:r>
      <w:r w:rsidR="001E24F3" w:rsidRPr="00CD4FAB">
        <w:t>and their application in the model were not appropriate</w:t>
      </w:r>
      <w:r w:rsidR="003D75B0" w:rsidRPr="00CD4FAB">
        <w:t xml:space="preserve">. For this </w:t>
      </w:r>
      <w:r w:rsidR="00CD4FAB" w:rsidRPr="00CD4FAB">
        <w:t>reason,</w:t>
      </w:r>
      <w:r w:rsidR="003D75B0" w:rsidRPr="00CD4FAB">
        <w:t xml:space="preserve"> the PBAC </w:t>
      </w:r>
      <w:r w:rsidR="00071A96" w:rsidRPr="00CD4FAB">
        <w:t xml:space="preserve">advised that </w:t>
      </w:r>
      <w:r w:rsidRPr="00CD4FAB">
        <w:t>it was not appropriate to determine an increase in price for nivolumab based on</w:t>
      </w:r>
      <w:r w:rsidR="003D75B0" w:rsidRPr="00CD4FAB">
        <w:t xml:space="preserve"> the </w:t>
      </w:r>
      <w:r w:rsidR="00AD533B" w:rsidRPr="00CD4FAB">
        <w:t>modelled reduction in</w:t>
      </w:r>
      <w:r w:rsidR="00B47E30" w:rsidRPr="00CD4FAB">
        <w:t xml:space="preserve"> </w:t>
      </w:r>
      <w:r w:rsidR="00071A96" w:rsidRPr="00CD4FAB">
        <w:t>incremental costs and health outcomes</w:t>
      </w:r>
      <w:r w:rsidR="00B47E30" w:rsidRPr="00CD4FAB">
        <w:t xml:space="preserve"> </w:t>
      </w:r>
      <w:r w:rsidR="00C608A4" w:rsidRPr="00CD4FAB">
        <w:t xml:space="preserve">associated with the removal </w:t>
      </w:r>
      <w:r w:rsidR="00B75F91">
        <w:t>of</w:t>
      </w:r>
      <w:r w:rsidR="00C608A4" w:rsidRPr="00CD4FAB">
        <w:t xml:space="preserve"> IO retreatment in the economic model</w:t>
      </w:r>
      <w:r w:rsidR="00C937C8" w:rsidRPr="00CD4FAB">
        <w:t>. The PBAC also noted that the Option B</w:t>
      </w:r>
      <w:r w:rsidR="00C608A4" w:rsidRPr="00CD4FAB">
        <w:t xml:space="preserve"> economic</w:t>
      </w:r>
      <w:r w:rsidR="00C937C8" w:rsidRPr="00CD4FAB">
        <w:t xml:space="preserve"> model was sensitive to changes to the assumptions associated with the one-off costs and health benefits of IO treatment </w:t>
      </w:r>
      <w:r w:rsidR="004B176F">
        <w:t xml:space="preserve">in the metastatic state </w:t>
      </w:r>
      <w:r w:rsidR="00C937C8" w:rsidRPr="00CD4FAB">
        <w:t xml:space="preserve">and that plausible changes in either the assumed costs or benefits resulted in ICERs of approximately </w:t>
      </w:r>
      <w:r w:rsidR="00D61644" w:rsidRPr="00D61644">
        <w:t>$45,000</w:t>
      </w:r>
      <w:r w:rsidR="00640E59">
        <w:t> </w:t>
      </w:r>
      <w:r w:rsidR="00D61644" w:rsidRPr="00D61644">
        <w:t>to</w:t>
      </w:r>
      <w:r w:rsidR="00640E59">
        <w:t> </w:t>
      </w:r>
      <w:r w:rsidR="00D61644" w:rsidRPr="00D61644">
        <w:t>&lt;</w:t>
      </w:r>
      <w:r w:rsidR="00640E59">
        <w:t> </w:t>
      </w:r>
      <w:r w:rsidR="00D61644" w:rsidRPr="00D61644">
        <w:t>$55,000</w:t>
      </w:r>
      <w:r w:rsidR="00D61644">
        <w:t xml:space="preserve"> </w:t>
      </w:r>
      <w:r w:rsidR="00C937C8" w:rsidRPr="00CD4FAB">
        <w:t>per QALY gained.</w:t>
      </w:r>
      <w:r w:rsidR="003D75B0" w:rsidRPr="00CD4FAB">
        <w:t xml:space="preserve"> </w:t>
      </w:r>
      <w:r w:rsidR="00C608A4" w:rsidRPr="00CD4FAB">
        <w:t>Overall, t</w:t>
      </w:r>
      <w:r w:rsidRPr="00CD4FAB">
        <w:t>he PBAC</w:t>
      </w:r>
      <w:r w:rsidR="004B176F">
        <w:t xml:space="preserve"> considered it was unlikely </w:t>
      </w:r>
      <w:r w:rsidR="004B176F" w:rsidRPr="00CD4FAB">
        <w:t xml:space="preserve">that neoadjuvant nivolumab was cost-effective </w:t>
      </w:r>
      <w:r w:rsidR="004B176F">
        <w:t>with</w:t>
      </w:r>
      <w:r w:rsidR="004B176F" w:rsidRPr="00CD4FAB">
        <w:t xml:space="preserve"> the</w:t>
      </w:r>
      <w:r w:rsidR="004B176F">
        <w:t xml:space="preserve"> </w:t>
      </w:r>
      <w:r w:rsidR="004B176F" w:rsidRPr="00CF5ECF">
        <w:t xml:space="preserve">proposed </w:t>
      </w:r>
      <w:r w:rsidR="00924D5E" w:rsidRPr="006E162D">
        <w:rPr>
          <w:color w:val="000000"/>
          <w:w w:val="15"/>
          <w:shd w:val="solid" w:color="000000" w:fill="000000"/>
          <w:fitText w:val="-20" w:id="-961834997"/>
          <w14:textFill>
            <w14:solidFill>
              <w14:srgbClr w14:val="000000">
                <w14:alpha w14:val="100000"/>
              </w14:srgbClr>
            </w14:solidFill>
          </w14:textFill>
        </w:rPr>
        <w:t xml:space="preserve">|  </w:t>
      </w:r>
      <w:r w:rsidR="00924D5E" w:rsidRPr="006E162D">
        <w:rPr>
          <w:color w:val="000000"/>
          <w:spacing w:val="-69"/>
          <w:w w:val="15"/>
          <w:shd w:val="solid" w:color="000000" w:fill="000000"/>
          <w:fitText w:val="-20" w:id="-961834997"/>
          <w14:textFill>
            <w14:solidFill>
              <w14:srgbClr w14:val="000000">
                <w14:alpha w14:val="100000"/>
              </w14:srgbClr>
            </w14:solidFill>
          </w14:textFill>
        </w:rPr>
        <w:t>|</w:t>
      </w:r>
      <w:r w:rsidR="00CF5ECF" w:rsidRPr="00CF5ECF">
        <w:t>%</w:t>
      </w:r>
      <w:r w:rsidR="004B176F" w:rsidRPr="00CF5ECF">
        <w:t xml:space="preserve"> increase</w:t>
      </w:r>
      <w:r w:rsidR="004B176F" w:rsidRPr="00CD4FAB">
        <w:t xml:space="preserve"> </w:t>
      </w:r>
      <w:r w:rsidR="004B176F">
        <w:t xml:space="preserve">in </w:t>
      </w:r>
      <w:r w:rsidR="004B176F" w:rsidRPr="00CD4FAB">
        <w:t>price</w:t>
      </w:r>
      <w:r w:rsidR="003D75B0" w:rsidRPr="00CD4FAB">
        <w:t>.</w:t>
      </w:r>
    </w:p>
    <w:p w14:paraId="68B1E27F" w14:textId="5E03BB80" w:rsidR="00396FFC" w:rsidRPr="005508E6" w:rsidRDefault="00396FFC" w:rsidP="009C232E">
      <w:pPr>
        <w:pStyle w:val="3-BodyText"/>
        <w:keepNext/>
        <w:numPr>
          <w:ilvl w:val="0"/>
          <w:numId w:val="0"/>
        </w:numPr>
        <w:rPr>
          <w:u w:val="single"/>
        </w:rPr>
      </w:pPr>
      <w:r w:rsidRPr="005508E6">
        <w:rPr>
          <w:u w:val="single"/>
        </w:rPr>
        <w:t>Option</w:t>
      </w:r>
      <w:r>
        <w:rPr>
          <w:u w:val="single"/>
        </w:rPr>
        <w:t>s A and</w:t>
      </w:r>
      <w:r w:rsidRPr="005508E6">
        <w:rPr>
          <w:u w:val="single"/>
        </w:rPr>
        <w:t xml:space="preserve"> B</w:t>
      </w:r>
    </w:p>
    <w:p w14:paraId="151A7A56" w14:textId="6AF64176" w:rsidR="00AB5C71" w:rsidRPr="00CD4FAB" w:rsidRDefault="00AB5C71" w:rsidP="00AB5C71">
      <w:pPr>
        <w:pStyle w:val="3-BodyText"/>
        <w:spacing w:before="120"/>
      </w:pPr>
      <w:r w:rsidRPr="00CD4FAB">
        <w:t xml:space="preserve">The PBAC noted the submission had provided revised financial estimates that removed duplicated atezolizumab and durvalumab patients. The PBAC also noted that the Pre-Sub Committee Response (PSCR) provided </w:t>
      </w:r>
      <w:r w:rsidR="00CD51BD" w:rsidRPr="00CD4FAB">
        <w:t xml:space="preserve">further </w:t>
      </w:r>
      <w:r w:rsidR="00F06C39" w:rsidRPr="00CD4FAB">
        <w:t>updates to</w:t>
      </w:r>
      <w:r w:rsidRPr="00CD4FAB">
        <w:t xml:space="preserve"> </w:t>
      </w:r>
      <w:r w:rsidR="00C608A4" w:rsidRPr="00CD4FAB">
        <w:t xml:space="preserve">the </w:t>
      </w:r>
      <w:r w:rsidRPr="00CD4FAB">
        <w:t>financial</w:t>
      </w:r>
      <w:r w:rsidR="00F06C39" w:rsidRPr="00CD4FAB">
        <w:t xml:space="preserve"> estimates</w:t>
      </w:r>
      <w:r w:rsidRPr="00CD4FAB">
        <w:t xml:space="preserve"> that incorporated an uptake of 35% per annum in the</w:t>
      </w:r>
      <w:r w:rsidR="00640204">
        <w:t xml:space="preserve"> first</w:t>
      </w:r>
      <w:r w:rsidRPr="00CD4FAB">
        <w:t xml:space="preserve"> </w:t>
      </w:r>
      <w:r w:rsidR="00CD51BD" w:rsidRPr="00CD4FAB">
        <w:t>two</w:t>
      </w:r>
      <w:r w:rsidRPr="00CD4FAB">
        <w:t xml:space="preserve"> year</w:t>
      </w:r>
      <w:r w:rsidR="00F06C39" w:rsidRPr="00CD4FAB">
        <w:t>s</w:t>
      </w:r>
      <w:r w:rsidRPr="00CD4FAB">
        <w:t xml:space="preserve"> of listing and </w:t>
      </w:r>
      <w:r w:rsidR="00CD51BD" w:rsidRPr="00CD4FAB">
        <w:t xml:space="preserve">increased the cost-offset </w:t>
      </w:r>
      <w:r w:rsidR="00F06C39" w:rsidRPr="00CD4FAB">
        <w:t xml:space="preserve">percentage </w:t>
      </w:r>
      <w:r w:rsidR="00CD51BD" w:rsidRPr="00CD4FAB">
        <w:t xml:space="preserve">associated </w:t>
      </w:r>
      <w:r w:rsidR="00F06C39" w:rsidRPr="00CD4FAB">
        <w:t>with the</w:t>
      </w:r>
      <w:r w:rsidR="00CD51BD" w:rsidRPr="00CD4FAB">
        <w:t xml:space="preserve"> reduced use of </w:t>
      </w:r>
      <w:r w:rsidR="00396FFC">
        <w:t>IO</w:t>
      </w:r>
      <w:r w:rsidR="00396FFC" w:rsidRPr="00CD4FAB">
        <w:t xml:space="preserve"> </w:t>
      </w:r>
      <w:r w:rsidR="00CD51BD" w:rsidRPr="00CD4FAB">
        <w:t>in the metastatic setting</w:t>
      </w:r>
      <w:r w:rsidR="00F06C39" w:rsidRPr="00CD4FAB">
        <w:t xml:space="preserve"> to 50% (noting that the increased percentage should be applied to the Option B financial model)</w:t>
      </w:r>
      <w:r w:rsidR="00CD51BD" w:rsidRPr="00CD4FAB">
        <w:t xml:space="preserve">. The PBAC considered that </w:t>
      </w:r>
      <w:r w:rsidR="00F06C39" w:rsidRPr="00CD4FAB">
        <w:t>these amendments</w:t>
      </w:r>
      <w:r w:rsidR="00CD51BD" w:rsidRPr="00CD4FAB">
        <w:t xml:space="preserve"> </w:t>
      </w:r>
      <w:r w:rsidR="00F06C39" w:rsidRPr="00CD4FAB">
        <w:t>were</w:t>
      </w:r>
      <w:r w:rsidR="00CD51BD" w:rsidRPr="00CD4FAB">
        <w:t xml:space="preserve"> appropriate and aligned with previous advice</w:t>
      </w:r>
      <w:r w:rsidR="00F06C39" w:rsidRPr="00CD4FAB">
        <w:t xml:space="preserve"> (para 5.</w:t>
      </w:r>
      <w:r w:rsidR="00C608A4" w:rsidRPr="00CD4FAB">
        <w:t>1</w:t>
      </w:r>
      <w:r w:rsidR="00F06C39" w:rsidRPr="00CD4FAB">
        <w:t>1, nivolumab PSD, July 2023 PBAC Meeting)</w:t>
      </w:r>
      <w:r w:rsidR="00CD51BD" w:rsidRPr="00CD4FAB">
        <w:t xml:space="preserve">. </w:t>
      </w:r>
    </w:p>
    <w:p w14:paraId="35B1223B" w14:textId="095F1D34" w:rsidR="00EA3D22" w:rsidRPr="006E162D" w:rsidRDefault="00AB55F2" w:rsidP="004F5AF7">
      <w:pPr>
        <w:widowControl w:val="0"/>
        <w:numPr>
          <w:ilvl w:val="1"/>
          <w:numId w:val="1"/>
        </w:numPr>
        <w:spacing w:after="120"/>
        <w:jc w:val="both"/>
        <w:rPr>
          <w:snapToGrid w:val="0"/>
        </w:rPr>
      </w:pPr>
      <w:r w:rsidRPr="004941D0">
        <w:rPr>
          <w:snapToGrid w:val="0"/>
        </w:rPr>
        <w:t xml:space="preserve">The PBAC noted that this submission is eligible for an Independent Review. </w:t>
      </w:r>
    </w:p>
    <w:p w14:paraId="66796919" w14:textId="77777777" w:rsidR="007347B0" w:rsidRPr="004941D0" w:rsidRDefault="007347B0" w:rsidP="006E162D">
      <w:pPr>
        <w:spacing w:before="120"/>
        <w:jc w:val="both"/>
        <w:rPr>
          <w:rFonts w:cs="Arial"/>
          <w:b/>
          <w:bCs/>
          <w:snapToGrid w:val="0"/>
        </w:rPr>
      </w:pPr>
      <w:r w:rsidRPr="004941D0">
        <w:rPr>
          <w:rFonts w:cs="Arial"/>
          <w:b/>
          <w:bCs/>
          <w:snapToGrid w:val="0"/>
        </w:rPr>
        <w:t>Outcome:</w:t>
      </w:r>
    </w:p>
    <w:p w14:paraId="46C2ADC1" w14:textId="3ACAF0C1" w:rsidR="00FE4BBB" w:rsidRPr="00FE4BBB" w:rsidRDefault="007347B0" w:rsidP="00FE4BBB">
      <w:pPr>
        <w:jc w:val="both"/>
        <w:rPr>
          <w:rFonts w:cs="Arial"/>
          <w:bCs/>
          <w:snapToGrid w:val="0"/>
        </w:rPr>
      </w:pPr>
      <w:r w:rsidRPr="004941D0">
        <w:rPr>
          <w:rFonts w:cs="Arial"/>
          <w:bCs/>
          <w:snapToGrid w:val="0"/>
        </w:rPr>
        <w:t xml:space="preserve">Not recommended </w:t>
      </w:r>
    </w:p>
    <w:p w14:paraId="3590AEFD" w14:textId="396D1FF3" w:rsidR="00FE4BBB" w:rsidRPr="00061CBE" w:rsidRDefault="00FE4BBB" w:rsidP="00D221AB">
      <w:pPr>
        <w:pStyle w:val="2-SectionHeading"/>
        <w:numPr>
          <w:ilvl w:val="0"/>
          <w:numId w:val="0"/>
        </w:numPr>
        <w:ind w:left="720" w:hanging="720"/>
        <w:jc w:val="both"/>
        <w:rPr>
          <w:lang w:val="en-GB"/>
        </w:rPr>
      </w:pPr>
      <w:r>
        <w:t>6</w:t>
      </w:r>
      <w:r w:rsidRPr="00061CBE">
        <w:tab/>
        <w:t>Context for Decision</w:t>
      </w:r>
    </w:p>
    <w:p w14:paraId="0A95ECA4" w14:textId="77777777" w:rsidR="00FE4BBB" w:rsidRPr="00061CBE" w:rsidRDefault="00FE4BBB" w:rsidP="00D221AB">
      <w:pPr>
        <w:ind w:left="720"/>
        <w:jc w:val="both"/>
        <w:rPr>
          <w:bCs/>
          <w:lang w:val="en-GB" w:eastAsia="en-AU"/>
        </w:rPr>
      </w:pPr>
      <w:r w:rsidRPr="00061CBE">
        <w:rPr>
          <w:bCs/>
          <w:lang w:val="en-GB"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4A4030E" w14:textId="770A267E" w:rsidR="00FE4BBB" w:rsidRPr="00061CBE" w:rsidRDefault="00FE4BBB" w:rsidP="00D221AB">
      <w:pPr>
        <w:pStyle w:val="2-SectionHeading"/>
        <w:numPr>
          <w:ilvl w:val="0"/>
          <w:numId w:val="0"/>
        </w:numPr>
        <w:ind w:left="720" w:hanging="720"/>
        <w:jc w:val="both"/>
      </w:pPr>
      <w:r>
        <w:lastRenderedPageBreak/>
        <w:t>7</w:t>
      </w:r>
      <w:r w:rsidRPr="00061CBE">
        <w:tab/>
        <w:t>Sponsor’s Comment</w:t>
      </w:r>
    </w:p>
    <w:p w14:paraId="140A883D" w14:textId="77777777" w:rsidR="00CF5ECF" w:rsidRDefault="00CF5ECF" w:rsidP="00CF5ECF">
      <w:pPr>
        <w:ind w:left="720"/>
        <w:jc w:val="both"/>
        <w:rPr>
          <w:bCs/>
        </w:rPr>
      </w:pPr>
      <w:r w:rsidRPr="000D7B97">
        <w:rPr>
          <w:bCs/>
        </w:rPr>
        <w:t>The Sponsor would like to reiterate its commitment to finding a pathway forward for immuno-oncology retreatment across early and advanced disease, as evidenced by this submission and a previous submission provided for melanoma which was recommended (Item 6.09, Nov 2022 PBAC Meeting). BMS Australia are looking forward to working with the PBAC to achieve this important change in treatment paradigm for cancer patients.</w:t>
      </w:r>
    </w:p>
    <w:bookmarkEnd w:id="51"/>
    <w:p w14:paraId="5AEF7B3C" w14:textId="77777777" w:rsidR="007347B0" w:rsidRPr="00CD4FAB" w:rsidRDefault="007347B0" w:rsidP="007347B0">
      <w:pPr>
        <w:widowControl w:val="0"/>
        <w:jc w:val="both"/>
        <w:rPr>
          <w:rFonts w:cs="Arial"/>
          <w:b/>
          <w:bCs/>
          <w:snapToGrid w:val="0"/>
        </w:rPr>
      </w:pPr>
    </w:p>
    <w:sectPr w:rsidR="007347B0" w:rsidRPr="00CD4FAB" w:rsidSect="007131B8">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09A9" w14:textId="77777777" w:rsidR="000F7334" w:rsidRDefault="000F7334" w:rsidP="00124A51">
      <w:r>
        <w:separator/>
      </w:r>
    </w:p>
    <w:p w14:paraId="52E9474C" w14:textId="77777777" w:rsidR="000F7334" w:rsidRDefault="000F7334"/>
  </w:endnote>
  <w:endnote w:type="continuationSeparator" w:id="0">
    <w:p w14:paraId="5B9E86A2" w14:textId="77777777" w:rsidR="000F7334" w:rsidRDefault="000F7334" w:rsidP="00124A51">
      <w:r>
        <w:continuationSeparator/>
      </w:r>
    </w:p>
    <w:p w14:paraId="6B9FD296" w14:textId="77777777" w:rsidR="000F7334" w:rsidRDefault="000F7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451D" w14:textId="77777777" w:rsidR="00924D5E" w:rsidRDefault="00924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bookmarkStart w:id="52" w:name="_Hlk76375156"/>
  <w:p w14:paraId="37484CD3" w14:textId="76D8B312" w:rsidR="00D843F2" w:rsidRPr="005A6B83" w:rsidRDefault="005A6B83" w:rsidP="005A6B83">
    <w:pPr>
      <w:pStyle w:val="Footer"/>
      <w:keepNext/>
      <w:ind w:left="360"/>
      <w:jc w:val="center"/>
      <w:rPr>
        <w:rFonts w:cs="Arial"/>
      </w:rPr>
    </w:pPr>
    <w:r w:rsidRPr="00836F75">
      <w:rPr>
        <w:rFonts w:ascii="Calibri" w:hAnsi="Calibri" w:cs="Arial"/>
        <w:b/>
      </w:rPr>
      <w:fldChar w:fldCharType="begin"/>
    </w:r>
    <w:r w:rsidRPr="00836F75">
      <w:rPr>
        <w:rFonts w:ascii="Calibri" w:hAnsi="Calibri" w:cs="Arial"/>
        <w:b/>
      </w:rPr>
      <w:instrText xml:space="preserve"> PAGE   \* MERGEFORMAT </w:instrText>
    </w:r>
    <w:r w:rsidRPr="00836F75">
      <w:rPr>
        <w:rFonts w:ascii="Calibri" w:hAnsi="Calibri" w:cs="Arial"/>
        <w:b/>
      </w:rPr>
      <w:fldChar w:fldCharType="separate"/>
    </w:r>
    <w:r w:rsidRPr="00836F75">
      <w:rPr>
        <w:rFonts w:ascii="Calibri" w:hAnsi="Calibri" w:cs="Arial"/>
        <w:b/>
        <w:noProof/>
      </w:rPr>
      <w:t>1</w:t>
    </w:r>
    <w:r w:rsidRPr="00836F75">
      <w:rPr>
        <w:rFonts w:ascii="Calibri" w:hAnsi="Calibri" w:cs="Arial"/>
        <w:b/>
        <w:noProof/>
      </w:rPr>
      <w:fldChar w:fldCharType="end"/>
    </w:r>
    <w:r>
      <w:rPr>
        <w:rFonts w:ascii="Calibri" w:hAnsi="Calibri" w:cs="Arial"/>
        <w:b/>
        <w:noProof/>
      </w:rPr>
      <w:t xml:space="preserve"> </w:t>
    </w:r>
    <w:bookmarkEnd w:id="5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8817" w14:textId="77777777" w:rsidR="00924D5E" w:rsidRDefault="0092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3AB9E" w14:textId="77777777" w:rsidR="000F7334" w:rsidRDefault="000F7334" w:rsidP="00124A51">
      <w:r>
        <w:separator/>
      </w:r>
    </w:p>
    <w:p w14:paraId="378BBD9E" w14:textId="77777777" w:rsidR="000F7334" w:rsidRDefault="000F7334"/>
  </w:footnote>
  <w:footnote w:type="continuationSeparator" w:id="0">
    <w:p w14:paraId="2A8C0987" w14:textId="77777777" w:rsidR="000F7334" w:rsidRDefault="000F7334" w:rsidP="00124A51">
      <w:r>
        <w:continuationSeparator/>
      </w:r>
    </w:p>
    <w:p w14:paraId="59564BF2" w14:textId="77777777" w:rsidR="000F7334" w:rsidRDefault="000F7334"/>
  </w:footnote>
  <w:footnote w:id="1">
    <w:p w14:paraId="77803A6B" w14:textId="22D51406" w:rsidR="00E543D5" w:rsidRDefault="00E543D5">
      <w:pPr>
        <w:pStyle w:val="FootnoteText"/>
      </w:pPr>
      <w:r>
        <w:rPr>
          <w:rStyle w:val="FootnoteReference"/>
        </w:rPr>
        <w:footnoteRef/>
      </w:r>
      <w:r>
        <w:t xml:space="preserve"> </w:t>
      </w:r>
      <w:r w:rsidR="00F82766" w:rsidRPr="00F82766">
        <w:t>https://www.tga.gov.au/sites/default/files/2023-06/auspar-opdivo-230606-pi.</w:t>
      </w:r>
      <w:r w:rsidR="00F82766" w:rsidRPr="005A31C0">
        <w:t>pdf</w:t>
      </w:r>
      <w:r w:rsidR="00F82766" w:rsidRPr="004C20B7">
        <w:rPr>
          <w:rStyle w:val="Hyperlink"/>
          <w:color w:val="auto"/>
        </w:rPr>
        <w:t>,</w:t>
      </w:r>
      <w:r w:rsidRPr="005A31C0">
        <w:t xml:space="preserve"> accessed </w:t>
      </w:r>
      <w:r>
        <w:t xml:space="preserve">13 November, 2023. </w:t>
      </w:r>
    </w:p>
  </w:footnote>
  <w:footnote w:id="2">
    <w:p w14:paraId="3F8ABA88" w14:textId="1ECE6CC9" w:rsidR="001C5EE4" w:rsidRPr="001C5EE4" w:rsidRDefault="001C5EE4">
      <w:pPr>
        <w:pStyle w:val="FootnoteText"/>
        <w:rPr>
          <w:rFonts w:cstheme="minorHAnsi"/>
        </w:rPr>
      </w:pPr>
      <w:r w:rsidRPr="001C5EE4">
        <w:rPr>
          <w:rStyle w:val="FootnoteReference"/>
          <w:rFonts w:cstheme="minorHAnsi"/>
        </w:rPr>
        <w:footnoteRef/>
      </w:r>
      <w:r w:rsidRPr="001C5EE4">
        <w:rPr>
          <w:rFonts w:cstheme="minorHAnsi"/>
        </w:rPr>
        <w:t xml:space="preserve"> </w:t>
      </w:r>
      <w:r w:rsidRPr="001C5EE4">
        <w:rPr>
          <w:rFonts w:cstheme="minorHAnsi"/>
          <w:bCs/>
        </w:rPr>
        <w:t>Rizvi, N., et al (2023). Society for Immunotherapy of Cancer (SITC) consensus definitions for resistance to combinations of immune checkpoint inhibitors with chemotherapy. Journal for ImmunoTherapy of Cancer, 11(3), 5920.</w:t>
      </w:r>
    </w:p>
  </w:footnote>
  <w:footnote w:id="3">
    <w:p w14:paraId="49A71CA2" w14:textId="4088A940" w:rsidR="001C5EE4" w:rsidRDefault="001C5EE4">
      <w:pPr>
        <w:pStyle w:val="FootnoteText"/>
      </w:pPr>
      <w:r>
        <w:rPr>
          <w:rStyle w:val="FootnoteReference"/>
        </w:rPr>
        <w:footnoteRef/>
      </w:r>
      <w:r>
        <w:t xml:space="preserve"> </w:t>
      </w:r>
      <w:r w:rsidRPr="001C5EE4">
        <w:t>Tawbi, H., et al (2023). Society for Immunotherapy of Cancer (SITC) checkpoint inhibitor resistance definitions: Efforts to harmonize terminology and accelerate immuno-oncology drug development. In Journal for ImmunoTherapy of Cancer (Vol. 11, Issue 7, p. e007309). BMJ Specialist Journals.</w:t>
      </w:r>
    </w:p>
  </w:footnote>
  <w:footnote w:id="4">
    <w:p w14:paraId="12AFAF99" w14:textId="35B5D8BF" w:rsidR="002F198B" w:rsidRDefault="002F198B">
      <w:pPr>
        <w:pStyle w:val="FootnoteText"/>
      </w:pPr>
      <w:r>
        <w:rPr>
          <w:rStyle w:val="FootnoteReference"/>
        </w:rPr>
        <w:footnoteRef/>
      </w:r>
      <w:r>
        <w:t xml:space="preserve"> Eggermont AMM, Mescheryakov A, Atkinson V, et al. Crossover and rechallenge with pembrolizumab in recurrent patients from the EORTC 1325-MG/Keynote-054 phase III trial, pembrolizumab versus placebo after complete resection of high-risk stage III melanoma. </w:t>
      </w:r>
      <w:r w:rsidRPr="005B7D0D">
        <w:rPr>
          <w:i/>
          <w:iCs/>
        </w:rPr>
        <w:t>Eur J Cancer</w:t>
      </w:r>
      <w:r>
        <w:t xml:space="preserve"> 2021; 158:156-168</w:t>
      </w:r>
      <w:r w:rsidR="00CD4FAB">
        <w:t xml:space="preserve">. </w:t>
      </w:r>
    </w:p>
  </w:footnote>
  <w:footnote w:id="5">
    <w:p w14:paraId="5E44A361" w14:textId="77777777" w:rsidR="002D7AA4" w:rsidRDefault="002D7AA4" w:rsidP="002D7AA4">
      <w:pPr>
        <w:pStyle w:val="FootnoteText"/>
      </w:pPr>
      <w:r>
        <w:rPr>
          <w:rStyle w:val="FootnoteReference"/>
        </w:rPr>
        <w:footnoteRef/>
      </w:r>
      <w:r>
        <w:t xml:space="preserve"> </w:t>
      </w:r>
      <w:r w:rsidRPr="00480B2B">
        <w:t>Gonzalez, H., Hagerling, C., &amp; Werb, Z. (2018). Roles of the immune system in cancer: From tumor initiation to metastatic progression. In Genes and Development (Vol. 32, Issues 19–20, pp. 1267–1284).</w:t>
      </w:r>
    </w:p>
  </w:footnote>
  <w:footnote w:id="6">
    <w:p w14:paraId="0A3C9B5B" w14:textId="77777777" w:rsidR="002D7AA4" w:rsidRDefault="002D7AA4" w:rsidP="002D7AA4">
      <w:pPr>
        <w:pStyle w:val="FootnoteText"/>
      </w:pPr>
      <w:r>
        <w:rPr>
          <w:rStyle w:val="FootnoteReference"/>
        </w:rPr>
        <w:footnoteRef/>
      </w:r>
      <w:r>
        <w:t xml:space="preserve"> </w:t>
      </w:r>
      <w:r w:rsidRPr="00480B2B">
        <w:t>McGranahan, N., et al (2016). Clonal neoantigens elicit T cell immunoreactivity and sensitivity to immune checkpoint blockade. Science, 351(6280), 1463–1469.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8B61" w14:textId="77777777" w:rsidR="00924D5E" w:rsidRDefault="00924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943B" w14:textId="5CB50E0D" w:rsidR="00D843F2" w:rsidRDefault="00790A6A" w:rsidP="009652EC">
    <w:pPr>
      <w:pStyle w:val="Header"/>
      <w:ind w:left="360"/>
      <w:rPr>
        <w:rFonts w:cs="Arial"/>
        <w:i/>
        <w:color w:val="808080"/>
      </w:rPr>
    </w:pPr>
    <w:r>
      <w:rPr>
        <w:rFonts w:cs="Arial"/>
        <w:i/>
        <w:color w:val="808080"/>
      </w:rPr>
      <w:t xml:space="preserve">Public Summary Document </w:t>
    </w:r>
    <w:r w:rsidR="005A6B83" w:rsidRPr="00056684">
      <w:rPr>
        <w:rFonts w:cs="Arial"/>
        <w:i/>
        <w:color w:val="808080"/>
      </w:rPr>
      <w:t xml:space="preserve">– </w:t>
    </w:r>
    <w:r w:rsidR="005A6B83">
      <w:rPr>
        <w:rFonts w:cs="Arial"/>
        <w:i/>
        <w:color w:val="808080"/>
      </w:rPr>
      <w:t>March 202</w:t>
    </w:r>
    <w:r w:rsidR="00F94671">
      <w:rPr>
        <w:rFonts w:cs="Arial"/>
        <w:i/>
        <w:color w:val="808080"/>
      </w:rPr>
      <w:t>4</w:t>
    </w:r>
    <w:r w:rsidR="005A6B83" w:rsidRPr="00056684">
      <w:rPr>
        <w:rFonts w:cs="Arial"/>
        <w:i/>
        <w:color w:val="808080"/>
      </w:rPr>
      <w:t xml:space="preserve"> PBAC Meeting</w:t>
    </w:r>
  </w:p>
  <w:p w14:paraId="0D3C5277" w14:textId="77777777" w:rsidR="009652EC" w:rsidRPr="009652EC" w:rsidRDefault="009652EC" w:rsidP="009652EC">
    <w:pPr>
      <w:pStyle w:val="Header"/>
      <w:ind w:left="360"/>
      <w:rPr>
        <w:rFonts w:cs="Arial"/>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5F43" w14:textId="77777777" w:rsidR="00924D5E" w:rsidRDefault="00924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388EFC"/>
    <w:lvl w:ilvl="0">
      <w:start w:val="1"/>
      <w:numFmt w:val="bullet"/>
      <w:lvlText w:val="o"/>
      <w:lvlJc w:val="left"/>
      <w:pPr>
        <w:ind w:left="360" w:hanging="360"/>
      </w:pPr>
      <w:rPr>
        <w:rFonts w:ascii="Courier New" w:hAnsi="Courier New" w:cs="Courier New"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330077"/>
    <w:multiLevelType w:val="hybridMultilevel"/>
    <w:tmpl w:val="0FA21F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51050B"/>
    <w:multiLevelType w:val="hybridMultilevel"/>
    <w:tmpl w:val="4B86D7E4"/>
    <w:lvl w:ilvl="0" w:tplc="F0CE92EC">
      <w:start w:val="1"/>
      <w:numFmt w:val="decimal"/>
      <w:lvlText w:val="%1."/>
      <w:lvlJc w:val="left"/>
      <w:pPr>
        <w:ind w:left="720"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B53F04"/>
    <w:multiLevelType w:val="hybridMultilevel"/>
    <w:tmpl w:val="A3A45E28"/>
    <w:lvl w:ilvl="0" w:tplc="52FE5B8C">
      <w:numFmt w:val="bullet"/>
      <w:lvlText w:val="-"/>
      <w:lvlJc w:val="left"/>
      <w:pPr>
        <w:ind w:left="720" w:hanging="360"/>
      </w:pPr>
      <w:rPr>
        <w:rFonts w:ascii="Arial Narrow" w:eastAsiaTheme="majorEastAsia" w:hAnsi="Arial Narrow" w:cstheme="majorBid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070D64"/>
    <w:multiLevelType w:val="hybridMultilevel"/>
    <w:tmpl w:val="24ECBFA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346AD7"/>
    <w:multiLevelType w:val="hybridMultilevel"/>
    <w:tmpl w:val="432A33A4"/>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27A1E1B"/>
    <w:multiLevelType w:val="hybridMultilevel"/>
    <w:tmpl w:val="51F8262E"/>
    <w:lvl w:ilvl="0" w:tplc="5D168BD8">
      <w:numFmt w:val="bullet"/>
      <w:lvlText w:val="-"/>
      <w:lvlJc w:val="left"/>
      <w:pPr>
        <w:ind w:left="720" w:hanging="360"/>
      </w:pPr>
      <w:rPr>
        <w:rFonts w:ascii="Arial Narrow" w:eastAsiaTheme="majorEastAsia" w:hAnsi="Arial Narrow" w:cstheme="majorBid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930F05"/>
    <w:multiLevelType w:val="hybridMultilevel"/>
    <w:tmpl w:val="DBFE22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376C72"/>
    <w:multiLevelType w:val="hybridMultilevel"/>
    <w:tmpl w:val="6A525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302C7C"/>
    <w:multiLevelType w:val="hybridMultilevel"/>
    <w:tmpl w:val="2BEC4D8A"/>
    <w:lvl w:ilvl="0" w:tplc="E5F6CD44">
      <w:numFmt w:val="bullet"/>
      <w:lvlText w:val="-"/>
      <w:lvlJc w:val="left"/>
      <w:pPr>
        <w:ind w:left="720" w:hanging="360"/>
      </w:pPr>
      <w:rPr>
        <w:rFonts w:ascii="Arial Narrow" w:eastAsiaTheme="majorEastAsia" w:hAnsi="Arial Narrow" w:cstheme="majorBid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94786C"/>
    <w:multiLevelType w:val="hybridMultilevel"/>
    <w:tmpl w:val="D508400C"/>
    <w:lvl w:ilvl="0" w:tplc="968291D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AF22442"/>
    <w:multiLevelType w:val="hybridMultilevel"/>
    <w:tmpl w:val="5BBCC6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C74F24"/>
    <w:multiLevelType w:val="hybridMultilevel"/>
    <w:tmpl w:val="1A4EAA7A"/>
    <w:lvl w:ilvl="0" w:tplc="026A1162">
      <w:numFmt w:val="bullet"/>
      <w:lvlText w:val="-"/>
      <w:lvlJc w:val="left"/>
      <w:pPr>
        <w:ind w:left="720" w:hanging="360"/>
      </w:pPr>
      <w:rPr>
        <w:rFonts w:ascii="Arial Narrow" w:eastAsiaTheme="majorEastAsia" w:hAnsi="Arial Narrow" w:cstheme="majorBid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9D1933"/>
    <w:multiLevelType w:val="hybridMultilevel"/>
    <w:tmpl w:val="1DC6941E"/>
    <w:lvl w:ilvl="0" w:tplc="EC18EB72">
      <w:numFmt w:val="bullet"/>
      <w:lvlText w:val="-"/>
      <w:lvlJc w:val="left"/>
      <w:pPr>
        <w:ind w:left="720" w:hanging="360"/>
      </w:pPr>
      <w:rPr>
        <w:rFonts w:ascii="Arial Narrow" w:eastAsiaTheme="majorEastAsia" w:hAnsi="Arial Narrow" w:cstheme="majorBid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9379937">
    <w:abstractNumId w:val="26"/>
  </w:num>
  <w:num w:numId="2" w16cid:durableId="2013675690">
    <w:abstractNumId w:val="15"/>
  </w:num>
  <w:num w:numId="3" w16cid:durableId="625238796">
    <w:abstractNumId w:val="16"/>
  </w:num>
  <w:num w:numId="4" w16cid:durableId="1440832984">
    <w:abstractNumId w:val="0"/>
  </w:num>
  <w:num w:numId="5" w16cid:durableId="1279529864">
    <w:abstractNumId w:val="26"/>
  </w:num>
  <w:num w:numId="6" w16cid:durableId="968240099">
    <w:abstractNumId w:val="27"/>
  </w:num>
  <w:num w:numId="7" w16cid:durableId="2030832587">
    <w:abstractNumId w:val="14"/>
  </w:num>
  <w:num w:numId="8" w16cid:durableId="1155299138">
    <w:abstractNumId w:val="22"/>
  </w:num>
  <w:num w:numId="9" w16cid:durableId="763306141">
    <w:abstractNumId w:val="20"/>
  </w:num>
  <w:num w:numId="10" w16cid:durableId="178742046">
    <w:abstractNumId w:val="2"/>
  </w:num>
  <w:num w:numId="11" w16cid:durableId="1022321476">
    <w:abstractNumId w:val="9"/>
  </w:num>
  <w:num w:numId="12" w16cid:durableId="1809129162">
    <w:abstractNumId w:val="13"/>
  </w:num>
  <w:num w:numId="13" w16cid:durableId="1968464237">
    <w:abstractNumId w:val="23"/>
  </w:num>
  <w:num w:numId="14" w16cid:durableId="1063212053">
    <w:abstractNumId w:val="17"/>
  </w:num>
  <w:num w:numId="15" w16cid:durableId="286087436">
    <w:abstractNumId w:val="4"/>
  </w:num>
  <w:num w:numId="16" w16cid:durableId="864170635">
    <w:abstractNumId w:val="18"/>
  </w:num>
  <w:num w:numId="17" w16cid:durableId="266040262">
    <w:abstractNumId w:val="5"/>
  </w:num>
  <w:num w:numId="18" w16cid:durableId="8216005">
    <w:abstractNumId w:val="1"/>
  </w:num>
  <w:num w:numId="19" w16cid:durableId="753282239">
    <w:abstractNumId w:val="8"/>
  </w:num>
  <w:num w:numId="20" w16cid:durableId="350644193">
    <w:abstractNumId w:val="10"/>
  </w:num>
  <w:num w:numId="21" w16cid:durableId="1121458439">
    <w:abstractNumId w:val="7"/>
  </w:num>
  <w:num w:numId="22" w16cid:durableId="147864208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5165420">
    <w:abstractNumId w:val="24"/>
  </w:num>
  <w:num w:numId="24" w16cid:durableId="21156638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528110">
    <w:abstractNumId w:val="26"/>
  </w:num>
  <w:num w:numId="26" w16cid:durableId="1131944544">
    <w:abstractNumId w:val="26"/>
  </w:num>
  <w:num w:numId="27" w16cid:durableId="1960260844">
    <w:abstractNumId w:val="26"/>
  </w:num>
  <w:num w:numId="28" w16cid:durableId="1843886015">
    <w:abstractNumId w:val="11"/>
  </w:num>
  <w:num w:numId="29" w16cid:durableId="841503526">
    <w:abstractNumId w:val="3"/>
  </w:num>
  <w:num w:numId="30" w16cid:durableId="1713994195">
    <w:abstractNumId w:val="26"/>
  </w:num>
  <w:num w:numId="31" w16cid:durableId="2061318120">
    <w:abstractNumId w:val="28"/>
  </w:num>
  <w:num w:numId="32" w16cid:durableId="1587887025">
    <w:abstractNumId w:val="12"/>
  </w:num>
  <w:num w:numId="33" w16cid:durableId="580719036">
    <w:abstractNumId w:val="25"/>
  </w:num>
  <w:num w:numId="34" w16cid:durableId="2044400998">
    <w:abstractNumId w:val="6"/>
  </w:num>
  <w:num w:numId="35" w16cid:durableId="534973262">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790"/>
    <w:rsid w:val="00000D2F"/>
    <w:rsid w:val="0000110B"/>
    <w:rsid w:val="0000255C"/>
    <w:rsid w:val="00003499"/>
    <w:rsid w:val="000039B7"/>
    <w:rsid w:val="00005096"/>
    <w:rsid w:val="000056B9"/>
    <w:rsid w:val="0000639A"/>
    <w:rsid w:val="0000677B"/>
    <w:rsid w:val="00007497"/>
    <w:rsid w:val="00010138"/>
    <w:rsid w:val="0001028A"/>
    <w:rsid w:val="00011C09"/>
    <w:rsid w:val="00013247"/>
    <w:rsid w:val="00013ACA"/>
    <w:rsid w:val="00014163"/>
    <w:rsid w:val="00015886"/>
    <w:rsid w:val="000162EF"/>
    <w:rsid w:val="0002017A"/>
    <w:rsid w:val="000207C9"/>
    <w:rsid w:val="0002225F"/>
    <w:rsid w:val="00023763"/>
    <w:rsid w:val="00024EB5"/>
    <w:rsid w:val="00027154"/>
    <w:rsid w:val="000274B8"/>
    <w:rsid w:val="00027D1B"/>
    <w:rsid w:val="00033863"/>
    <w:rsid w:val="0003392E"/>
    <w:rsid w:val="00033EB4"/>
    <w:rsid w:val="0003494A"/>
    <w:rsid w:val="00035DC0"/>
    <w:rsid w:val="00036829"/>
    <w:rsid w:val="00040895"/>
    <w:rsid w:val="0004089D"/>
    <w:rsid w:val="00040F77"/>
    <w:rsid w:val="000410A0"/>
    <w:rsid w:val="000435EE"/>
    <w:rsid w:val="00043676"/>
    <w:rsid w:val="00043C37"/>
    <w:rsid w:val="00045017"/>
    <w:rsid w:val="00045A2B"/>
    <w:rsid w:val="0004698F"/>
    <w:rsid w:val="00046D64"/>
    <w:rsid w:val="0004786A"/>
    <w:rsid w:val="000504F8"/>
    <w:rsid w:val="000508C2"/>
    <w:rsid w:val="00051D49"/>
    <w:rsid w:val="00051F78"/>
    <w:rsid w:val="000523C9"/>
    <w:rsid w:val="000539D0"/>
    <w:rsid w:val="00054621"/>
    <w:rsid w:val="000546D7"/>
    <w:rsid w:val="00054A8D"/>
    <w:rsid w:val="000556C5"/>
    <w:rsid w:val="00056ECF"/>
    <w:rsid w:val="00057AF7"/>
    <w:rsid w:val="000604DF"/>
    <w:rsid w:val="000607D0"/>
    <w:rsid w:val="00062324"/>
    <w:rsid w:val="00062F9F"/>
    <w:rsid w:val="000653B5"/>
    <w:rsid w:val="0006544D"/>
    <w:rsid w:val="00065D49"/>
    <w:rsid w:val="00066360"/>
    <w:rsid w:val="00066AF8"/>
    <w:rsid w:val="00071248"/>
    <w:rsid w:val="00071A96"/>
    <w:rsid w:val="000720B9"/>
    <w:rsid w:val="000737F7"/>
    <w:rsid w:val="000739B6"/>
    <w:rsid w:val="0007672F"/>
    <w:rsid w:val="00076B54"/>
    <w:rsid w:val="000774F0"/>
    <w:rsid w:val="00080909"/>
    <w:rsid w:val="00080C08"/>
    <w:rsid w:val="000812CA"/>
    <w:rsid w:val="000818EF"/>
    <w:rsid w:val="00081E63"/>
    <w:rsid w:val="00081F4A"/>
    <w:rsid w:val="0008258D"/>
    <w:rsid w:val="00082602"/>
    <w:rsid w:val="00083687"/>
    <w:rsid w:val="00083E99"/>
    <w:rsid w:val="00084A9D"/>
    <w:rsid w:val="00084FA8"/>
    <w:rsid w:val="000856C5"/>
    <w:rsid w:val="00085C31"/>
    <w:rsid w:val="000901A5"/>
    <w:rsid w:val="000902D9"/>
    <w:rsid w:val="00090C7E"/>
    <w:rsid w:val="000911AC"/>
    <w:rsid w:val="00091314"/>
    <w:rsid w:val="00091851"/>
    <w:rsid w:val="000923D5"/>
    <w:rsid w:val="00092600"/>
    <w:rsid w:val="0009262B"/>
    <w:rsid w:val="00092B0B"/>
    <w:rsid w:val="00093310"/>
    <w:rsid w:val="0009445C"/>
    <w:rsid w:val="00095200"/>
    <w:rsid w:val="00095FE5"/>
    <w:rsid w:val="00096284"/>
    <w:rsid w:val="000976C7"/>
    <w:rsid w:val="000A0410"/>
    <w:rsid w:val="000A0FCF"/>
    <w:rsid w:val="000A1BC0"/>
    <w:rsid w:val="000A2C6C"/>
    <w:rsid w:val="000A2F9E"/>
    <w:rsid w:val="000A3E47"/>
    <w:rsid w:val="000A522B"/>
    <w:rsid w:val="000A6039"/>
    <w:rsid w:val="000A7453"/>
    <w:rsid w:val="000A7D08"/>
    <w:rsid w:val="000B0121"/>
    <w:rsid w:val="000B0670"/>
    <w:rsid w:val="000B0E75"/>
    <w:rsid w:val="000B2DCB"/>
    <w:rsid w:val="000B5CE0"/>
    <w:rsid w:val="000B654D"/>
    <w:rsid w:val="000B6CAC"/>
    <w:rsid w:val="000B7612"/>
    <w:rsid w:val="000B76C3"/>
    <w:rsid w:val="000B78AE"/>
    <w:rsid w:val="000C093E"/>
    <w:rsid w:val="000C3DF9"/>
    <w:rsid w:val="000C4CF2"/>
    <w:rsid w:val="000C6713"/>
    <w:rsid w:val="000C6749"/>
    <w:rsid w:val="000D1BFC"/>
    <w:rsid w:val="000D1D5D"/>
    <w:rsid w:val="000D281A"/>
    <w:rsid w:val="000D2848"/>
    <w:rsid w:val="000D326A"/>
    <w:rsid w:val="000D3C4C"/>
    <w:rsid w:val="000D43D6"/>
    <w:rsid w:val="000D51FB"/>
    <w:rsid w:val="000E0640"/>
    <w:rsid w:val="000E0D5C"/>
    <w:rsid w:val="000E135D"/>
    <w:rsid w:val="000E2789"/>
    <w:rsid w:val="000E315B"/>
    <w:rsid w:val="000F00BA"/>
    <w:rsid w:val="000F013B"/>
    <w:rsid w:val="000F05B0"/>
    <w:rsid w:val="000F316A"/>
    <w:rsid w:val="000F3C74"/>
    <w:rsid w:val="000F4BB8"/>
    <w:rsid w:val="000F4FA9"/>
    <w:rsid w:val="000F53FB"/>
    <w:rsid w:val="000F6901"/>
    <w:rsid w:val="000F7127"/>
    <w:rsid w:val="000F7334"/>
    <w:rsid w:val="000F7AB3"/>
    <w:rsid w:val="000F7B54"/>
    <w:rsid w:val="001000B3"/>
    <w:rsid w:val="00100C48"/>
    <w:rsid w:val="00100F8A"/>
    <w:rsid w:val="001043AA"/>
    <w:rsid w:val="0010452E"/>
    <w:rsid w:val="00104B39"/>
    <w:rsid w:val="001055AD"/>
    <w:rsid w:val="0010560C"/>
    <w:rsid w:val="00105AE2"/>
    <w:rsid w:val="001060C6"/>
    <w:rsid w:val="00106272"/>
    <w:rsid w:val="00106B80"/>
    <w:rsid w:val="0011032E"/>
    <w:rsid w:val="00111D88"/>
    <w:rsid w:val="0011348B"/>
    <w:rsid w:val="00113ADE"/>
    <w:rsid w:val="00115982"/>
    <w:rsid w:val="00116C53"/>
    <w:rsid w:val="00121799"/>
    <w:rsid w:val="00121D38"/>
    <w:rsid w:val="001222FC"/>
    <w:rsid w:val="00123902"/>
    <w:rsid w:val="00123C1C"/>
    <w:rsid w:val="00124A51"/>
    <w:rsid w:val="00125A7A"/>
    <w:rsid w:val="00125D17"/>
    <w:rsid w:val="00126621"/>
    <w:rsid w:val="00126B1D"/>
    <w:rsid w:val="001301E9"/>
    <w:rsid w:val="0013041D"/>
    <w:rsid w:val="00131D82"/>
    <w:rsid w:val="00132B22"/>
    <w:rsid w:val="00133D36"/>
    <w:rsid w:val="00137645"/>
    <w:rsid w:val="0014015A"/>
    <w:rsid w:val="00140684"/>
    <w:rsid w:val="00140801"/>
    <w:rsid w:val="00140E99"/>
    <w:rsid w:val="001411C3"/>
    <w:rsid w:val="00143F67"/>
    <w:rsid w:val="00145234"/>
    <w:rsid w:val="00145540"/>
    <w:rsid w:val="001456B0"/>
    <w:rsid w:val="00150B1C"/>
    <w:rsid w:val="00153FB4"/>
    <w:rsid w:val="0015463C"/>
    <w:rsid w:val="001547AB"/>
    <w:rsid w:val="00156F8F"/>
    <w:rsid w:val="00157130"/>
    <w:rsid w:val="001576B1"/>
    <w:rsid w:val="0016047B"/>
    <w:rsid w:val="001605EF"/>
    <w:rsid w:val="00160A4C"/>
    <w:rsid w:val="001627EF"/>
    <w:rsid w:val="00162913"/>
    <w:rsid w:val="00163EFF"/>
    <w:rsid w:val="00163F66"/>
    <w:rsid w:val="00164318"/>
    <w:rsid w:val="0016478E"/>
    <w:rsid w:val="00165614"/>
    <w:rsid w:val="00165EC4"/>
    <w:rsid w:val="00165FF9"/>
    <w:rsid w:val="001661FB"/>
    <w:rsid w:val="001671A0"/>
    <w:rsid w:val="0016756E"/>
    <w:rsid w:val="0016767F"/>
    <w:rsid w:val="0017030F"/>
    <w:rsid w:val="0017138F"/>
    <w:rsid w:val="001726D2"/>
    <w:rsid w:val="00173565"/>
    <w:rsid w:val="001736C3"/>
    <w:rsid w:val="00173B07"/>
    <w:rsid w:val="00173C37"/>
    <w:rsid w:val="00174FF1"/>
    <w:rsid w:val="001751FA"/>
    <w:rsid w:val="00175717"/>
    <w:rsid w:val="001804E0"/>
    <w:rsid w:val="001818D1"/>
    <w:rsid w:val="00181C10"/>
    <w:rsid w:val="00181D9C"/>
    <w:rsid w:val="001837FF"/>
    <w:rsid w:val="00183C99"/>
    <w:rsid w:val="001847E8"/>
    <w:rsid w:val="00184B0E"/>
    <w:rsid w:val="00185C82"/>
    <w:rsid w:val="0018752F"/>
    <w:rsid w:val="0019112C"/>
    <w:rsid w:val="00192C61"/>
    <w:rsid w:val="001935B6"/>
    <w:rsid w:val="00193838"/>
    <w:rsid w:val="00193C9C"/>
    <w:rsid w:val="0019464C"/>
    <w:rsid w:val="00194AD8"/>
    <w:rsid w:val="00195222"/>
    <w:rsid w:val="00195452"/>
    <w:rsid w:val="00195E0F"/>
    <w:rsid w:val="001975D8"/>
    <w:rsid w:val="001A178E"/>
    <w:rsid w:val="001A1F47"/>
    <w:rsid w:val="001A43FA"/>
    <w:rsid w:val="001A47C5"/>
    <w:rsid w:val="001A59FB"/>
    <w:rsid w:val="001A5E9E"/>
    <w:rsid w:val="001A619C"/>
    <w:rsid w:val="001A6354"/>
    <w:rsid w:val="001A6366"/>
    <w:rsid w:val="001A6789"/>
    <w:rsid w:val="001A7AE8"/>
    <w:rsid w:val="001B204E"/>
    <w:rsid w:val="001B2372"/>
    <w:rsid w:val="001B3443"/>
    <w:rsid w:val="001B4D20"/>
    <w:rsid w:val="001B7F84"/>
    <w:rsid w:val="001B7FB2"/>
    <w:rsid w:val="001C16B3"/>
    <w:rsid w:val="001C2A9B"/>
    <w:rsid w:val="001C344B"/>
    <w:rsid w:val="001C3DD6"/>
    <w:rsid w:val="001C4299"/>
    <w:rsid w:val="001C4874"/>
    <w:rsid w:val="001C53B7"/>
    <w:rsid w:val="001C5EE4"/>
    <w:rsid w:val="001C5F94"/>
    <w:rsid w:val="001C6E66"/>
    <w:rsid w:val="001D0022"/>
    <w:rsid w:val="001D1100"/>
    <w:rsid w:val="001D1391"/>
    <w:rsid w:val="001D1DE9"/>
    <w:rsid w:val="001D25D7"/>
    <w:rsid w:val="001D378E"/>
    <w:rsid w:val="001D50B2"/>
    <w:rsid w:val="001D5662"/>
    <w:rsid w:val="001D71F4"/>
    <w:rsid w:val="001D7645"/>
    <w:rsid w:val="001E1E86"/>
    <w:rsid w:val="001E238E"/>
    <w:rsid w:val="001E2420"/>
    <w:rsid w:val="001E2483"/>
    <w:rsid w:val="001E24F3"/>
    <w:rsid w:val="001E2B1E"/>
    <w:rsid w:val="001E2CFF"/>
    <w:rsid w:val="001E2F24"/>
    <w:rsid w:val="001E30D4"/>
    <w:rsid w:val="001E34DF"/>
    <w:rsid w:val="001E3CFF"/>
    <w:rsid w:val="001E52EB"/>
    <w:rsid w:val="001E61D2"/>
    <w:rsid w:val="001E740C"/>
    <w:rsid w:val="001F1235"/>
    <w:rsid w:val="001F1CB3"/>
    <w:rsid w:val="001F38B5"/>
    <w:rsid w:val="001F3F6C"/>
    <w:rsid w:val="001F4081"/>
    <w:rsid w:val="001F40C7"/>
    <w:rsid w:val="001F4522"/>
    <w:rsid w:val="001F7361"/>
    <w:rsid w:val="001F73DE"/>
    <w:rsid w:val="0020109D"/>
    <w:rsid w:val="002011B0"/>
    <w:rsid w:val="00202EF8"/>
    <w:rsid w:val="00203181"/>
    <w:rsid w:val="00203783"/>
    <w:rsid w:val="0020385F"/>
    <w:rsid w:val="0020501A"/>
    <w:rsid w:val="0020596B"/>
    <w:rsid w:val="00205D2E"/>
    <w:rsid w:val="0020655A"/>
    <w:rsid w:val="002068A0"/>
    <w:rsid w:val="00207021"/>
    <w:rsid w:val="0020732F"/>
    <w:rsid w:val="00207D00"/>
    <w:rsid w:val="002105C1"/>
    <w:rsid w:val="00210B86"/>
    <w:rsid w:val="002116FD"/>
    <w:rsid w:val="00213EF5"/>
    <w:rsid w:val="00214EEF"/>
    <w:rsid w:val="002166FA"/>
    <w:rsid w:val="00216BF5"/>
    <w:rsid w:val="00216D7A"/>
    <w:rsid w:val="00217551"/>
    <w:rsid w:val="00223B49"/>
    <w:rsid w:val="00223D5A"/>
    <w:rsid w:val="00224DD4"/>
    <w:rsid w:val="00226646"/>
    <w:rsid w:val="002278A0"/>
    <w:rsid w:val="002309CC"/>
    <w:rsid w:val="0023180C"/>
    <w:rsid w:val="00231BA9"/>
    <w:rsid w:val="0023209F"/>
    <w:rsid w:val="0023264C"/>
    <w:rsid w:val="0023296D"/>
    <w:rsid w:val="002335D2"/>
    <w:rsid w:val="00233C01"/>
    <w:rsid w:val="00233CFE"/>
    <w:rsid w:val="0023413C"/>
    <w:rsid w:val="002346F0"/>
    <w:rsid w:val="0023629D"/>
    <w:rsid w:val="0023714A"/>
    <w:rsid w:val="00237255"/>
    <w:rsid w:val="00240C4D"/>
    <w:rsid w:val="002420B8"/>
    <w:rsid w:val="002424AF"/>
    <w:rsid w:val="00242726"/>
    <w:rsid w:val="00242D46"/>
    <w:rsid w:val="00242DC4"/>
    <w:rsid w:val="002439DC"/>
    <w:rsid w:val="002441D2"/>
    <w:rsid w:val="00244DC8"/>
    <w:rsid w:val="002458BA"/>
    <w:rsid w:val="00245CE9"/>
    <w:rsid w:val="0024636C"/>
    <w:rsid w:val="00246558"/>
    <w:rsid w:val="002478C6"/>
    <w:rsid w:val="00247925"/>
    <w:rsid w:val="00251006"/>
    <w:rsid w:val="002524D5"/>
    <w:rsid w:val="00253B1D"/>
    <w:rsid w:val="00254DCF"/>
    <w:rsid w:val="0025534B"/>
    <w:rsid w:val="00255BB7"/>
    <w:rsid w:val="00257541"/>
    <w:rsid w:val="00257697"/>
    <w:rsid w:val="00257A39"/>
    <w:rsid w:val="00257AC4"/>
    <w:rsid w:val="00257BBE"/>
    <w:rsid w:val="0026029D"/>
    <w:rsid w:val="00261EEF"/>
    <w:rsid w:val="00262133"/>
    <w:rsid w:val="00262956"/>
    <w:rsid w:val="00262A1A"/>
    <w:rsid w:val="00262A56"/>
    <w:rsid w:val="00262A87"/>
    <w:rsid w:val="002638D4"/>
    <w:rsid w:val="00263DD8"/>
    <w:rsid w:val="00264D26"/>
    <w:rsid w:val="00264DA6"/>
    <w:rsid w:val="00267227"/>
    <w:rsid w:val="002673CB"/>
    <w:rsid w:val="0026748F"/>
    <w:rsid w:val="00267642"/>
    <w:rsid w:val="00267AEA"/>
    <w:rsid w:val="002700E6"/>
    <w:rsid w:val="0027294B"/>
    <w:rsid w:val="00273A37"/>
    <w:rsid w:val="00273EB4"/>
    <w:rsid w:val="00274682"/>
    <w:rsid w:val="00275158"/>
    <w:rsid w:val="002755F0"/>
    <w:rsid w:val="00275C59"/>
    <w:rsid w:val="00275C5A"/>
    <w:rsid w:val="00281014"/>
    <w:rsid w:val="0028419A"/>
    <w:rsid w:val="002856B5"/>
    <w:rsid w:val="00285BCE"/>
    <w:rsid w:val="0028665D"/>
    <w:rsid w:val="002923FE"/>
    <w:rsid w:val="00293544"/>
    <w:rsid w:val="0029416E"/>
    <w:rsid w:val="002967B4"/>
    <w:rsid w:val="002A14AB"/>
    <w:rsid w:val="002A26A7"/>
    <w:rsid w:val="002A2ADE"/>
    <w:rsid w:val="002A2F50"/>
    <w:rsid w:val="002A3EC2"/>
    <w:rsid w:val="002A5C5E"/>
    <w:rsid w:val="002A7943"/>
    <w:rsid w:val="002B05A1"/>
    <w:rsid w:val="002B09A4"/>
    <w:rsid w:val="002B1C1F"/>
    <w:rsid w:val="002B432F"/>
    <w:rsid w:val="002B4975"/>
    <w:rsid w:val="002B563F"/>
    <w:rsid w:val="002B574C"/>
    <w:rsid w:val="002B62B3"/>
    <w:rsid w:val="002B6754"/>
    <w:rsid w:val="002B6C4D"/>
    <w:rsid w:val="002B6CCE"/>
    <w:rsid w:val="002B7520"/>
    <w:rsid w:val="002C2510"/>
    <w:rsid w:val="002C2775"/>
    <w:rsid w:val="002C27C1"/>
    <w:rsid w:val="002C36E3"/>
    <w:rsid w:val="002C3DF5"/>
    <w:rsid w:val="002C5099"/>
    <w:rsid w:val="002C5889"/>
    <w:rsid w:val="002C5EA0"/>
    <w:rsid w:val="002C71CE"/>
    <w:rsid w:val="002D08F8"/>
    <w:rsid w:val="002D1C65"/>
    <w:rsid w:val="002D577C"/>
    <w:rsid w:val="002D5888"/>
    <w:rsid w:val="002D7832"/>
    <w:rsid w:val="002D7AA4"/>
    <w:rsid w:val="002E1071"/>
    <w:rsid w:val="002E15B9"/>
    <w:rsid w:val="002E2158"/>
    <w:rsid w:val="002E4F02"/>
    <w:rsid w:val="002E5B2A"/>
    <w:rsid w:val="002E6903"/>
    <w:rsid w:val="002E7722"/>
    <w:rsid w:val="002F0548"/>
    <w:rsid w:val="002F07BA"/>
    <w:rsid w:val="002F0D3E"/>
    <w:rsid w:val="002F0DA9"/>
    <w:rsid w:val="002F1014"/>
    <w:rsid w:val="002F198B"/>
    <w:rsid w:val="002F1E3B"/>
    <w:rsid w:val="002F37C3"/>
    <w:rsid w:val="002F483F"/>
    <w:rsid w:val="002F643C"/>
    <w:rsid w:val="002F71C0"/>
    <w:rsid w:val="002F74F1"/>
    <w:rsid w:val="002F7682"/>
    <w:rsid w:val="00301017"/>
    <w:rsid w:val="0030155F"/>
    <w:rsid w:val="00304D17"/>
    <w:rsid w:val="00305401"/>
    <w:rsid w:val="0030587B"/>
    <w:rsid w:val="00306D98"/>
    <w:rsid w:val="0030786C"/>
    <w:rsid w:val="0031031A"/>
    <w:rsid w:val="0031048B"/>
    <w:rsid w:val="00310981"/>
    <w:rsid w:val="00311D9B"/>
    <w:rsid w:val="003124D9"/>
    <w:rsid w:val="00312594"/>
    <w:rsid w:val="00312792"/>
    <w:rsid w:val="00315498"/>
    <w:rsid w:val="003158D0"/>
    <w:rsid w:val="00316474"/>
    <w:rsid w:val="00322107"/>
    <w:rsid w:val="00322355"/>
    <w:rsid w:val="00322846"/>
    <w:rsid w:val="003229BF"/>
    <w:rsid w:val="00326DA7"/>
    <w:rsid w:val="003270E4"/>
    <w:rsid w:val="00330227"/>
    <w:rsid w:val="003307E8"/>
    <w:rsid w:val="00330DAA"/>
    <w:rsid w:val="00330F5C"/>
    <w:rsid w:val="003315AA"/>
    <w:rsid w:val="00332FC5"/>
    <w:rsid w:val="0033345D"/>
    <w:rsid w:val="003336B6"/>
    <w:rsid w:val="00335402"/>
    <w:rsid w:val="00335C8B"/>
    <w:rsid w:val="003366C9"/>
    <w:rsid w:val="00336AC0"/>
    <w:rsid w:val="003371B0"/>
    <w:rsid w:val="00340DF1"/>
    <w:rsid w:val="003414C1"/>
    <w:rsid w:val="00341A2C"/>
    <w:rsid w:val="00341BD5"/>
    <w:rsid w:val="00343DE4"/>
    <w:rsid w:val="003444F6"/>
    <w:rsid w:val="0035060A"/>
    <w:rsid w:val="003517F9"/>
    <w:rsid w:val="00351BA9"/>
    <w:rsid w:val="00352DB0"/>
    <w:rsid w:val="00354C94"/>
    <w:rsid w:val="00354F64"/>
    <w:rsid w:val="00355092"/>
    <w:rsid w:val="0035620E"/>
    <w:rsid w:val="003575BE"/>
    <w:rsid w:val="00360345"/>
    <w:rsid w:val="00361A05"/>
    <w:rsid w:val="003624C4"/>
    <w:rsid w:val="003633D9"/>
    <w:rsid w:val="00363B00"/>
    <w:rsid w:val="00364198"/>
    <w:rsid w:val="00364378"/>
    <w:rsid w:val="003654AC"/>
    <w:rsid w:val="00365D32"/>
    <w:rsid w:val="0036608A"/>
    <w:rsid w:val="00370369"/>
    <w:rsid w:val="00370CB0"/>
    <w:rsid w:val="003710CF"/>
    <w:rsid w:val="00373034"/>
    <w:rsid w:val="0037358A"/>
    <w:rsid w:val="003750F6"/>
    <w:rsid w:val="003760FC"/>
    <w:rsid w:val="0037712A"/>
    <w:rsid w:val="00380455"/>
    <w:rsid w:val="00382CF1"/>
    <w:rsid w:val="0038365C"/>
    <w:rsid w:val="0038369B"/>
    <w:rsid w:val="00383B78"/>
    <w:rsid w:val="003846B2"/>
    <w:rsid w:val="00385A9D"/>
    <w:rsid w:val="00387121"/>
    <w:rsid w:val="003902B1"/>
    <w:rsid w:val="0039099C"/>
    <w:rsid w:val="003913E2"/>
    <w:rsid w:val="0039179C"/>
    <w:rsid w:val="00392F9D"/>
    <w:rsid w:val="0039617E"/>
    <w:rsid w:val="00396896"/>
    <w:rsid w:val="00396EFF"/>
    <w:rsid w:val="00396FD0"/>
    <w:rsid w:val="00396FFC"/>
    <w:rsid w:val="00397256"/>
    <w:rsid w:val="00397A50"/>
    <w:rsid w:val="00397E6C"/>
    <w:rsid w:val="003A0A29"/>
    <w:rsid w:val="003A0AFE"/>
    <w:rsid w:val="003A1A7A"/>
    <w:rsid w:val="003A2056"/>
    <w:rsid w:val="003A2392"/>
    <w:rsid w:val="003A2831"/>
    <w:rsid w:val="003A3135"/>
    <w:rsid w:val="003A3CB6"/>
    <w:rsid w:val="003A3ED1"/>
    <w:rsid w:val="003A44DB"/>
    <w:rsid w:val="003A4A60"/>
    <w:rsid w:val="003A4C14"/>
    <w:rsid w:val="003A6154"/>
    <w:rsid w:val="003B3971"/>
    <w:rsid w:val="003B4FF0"/>
    <w:rsid w:val="003B55D1"/>
    <w:rsid w:val="003B5A80"/>
    <w:rsid w:val="003B5B61"/>
    <w:rsid w:val="003B7999"/>
    <w:rsid w:val="003C14F4"/>
    <w:rsid w:val="003C1654"/>
    <w:rsid w:val="003C1D65"/>
    <w:rsid w:val="003C2A72"/>
    <w:rsid w:val="003C3D7C"/>
    <w:rsid w:val="003C4152"/>
    <w:rsid w:val="003C5542"/>
    <w:rsid w:val="003C6B5D"/>
    <w:rsid w:val="003C7C15"/>
    <w:rsid w:val="003C7D19"/>
    <w:rsid w:val="003C7D2F"/>
    <w:rsid w:val="003D0C5A"/>
    <w:rsid w:val="003D1828"/>
    <w:rsid w:val="003D1DE4"/>
    <w:rsid w:val="003D1E5D"/>
    <w:rsid w:val="003D1E9A"/>
    <w:rsid w:val="003D2422"/>
    <w:rsid w:val="003D39A1"/>
    <w:rsid w:val="003D3FBF"/>
    <w:rsid w:val="003D4A30"/>
    <w:rsid w:val="003D4ECA"/>
    <w:rsid w:val="003D7452"/>
    <w:rsid w:val="003D75B0"/>
    <w:rsid w:val="003D79BB"/>
    <w:rsid w:val="003D7C98"/>
    <w:rsid w:val="003D7D9D"/>
    <w:rsid w:val="003E0543"/>
    <w:rsid w:val="003E2364"/>
    <w:rsid w:val="003E5603"/>
    <w:rsid w:val="003E6218"/>
    <w:rsid w:val="003E749E"/>
    <w:rsid w:val="003E754E"/>
    <w:rsid w:val="003E79BF"/>
    <w:rsid w:val="003F4156"/>
    <w:rsid w:val="003F5ADF"/>
    <w:rsid w:val="003F618D"/>
    <w:rsid w:val="00400B29"/>
    <w:rsid w:val="00401EB7"/>
    <w:rsid w:val="00402812"/>
    <w:rsid w:val="0040292C"/>
    <w:rsid w:val="004043E1"/>
    <w:rsid w:val="004045AA"/>
    <w:rsid w:val="0040504B"/>
    <w:rsid w:val="004059F4"/>
    <w:rsid w:val="00405FFC"/>
    <w:rsid w:val="00406517"/>
    <w:rsid w:val="0040661D"/>
    <w:rsid w:val="00407FE5"/>
    <w:rsid w:val="004101B0"/>
    <w:rsid w:val="00410326"/>
    <w:rsid w:val="00410708"/>
    <w:rsid w:val="0041095F"/>
    <w:rsid w:val="00410EC7"/>
    <w:rsid w:val="00411353"/>
    <w:rsid w:val="00411B39"/>
    <w:rsid w:val="004127A7"/>
    <w:rsid w:val="00413A1E"/>
    <w:rsid w:val="00414476"/>
    <w:rsid w:val="00414C2E"/>
    <w:rsid w:val="004151CF"/>
    <w:rsid w:val="004151F2"/>
    <w:rsid w:val="00415C31"/>
    <w:rsid w:val="00416364"/>
    <w:rsid w:val="0042047F"/>
    <w:rsid w:val="0042078A"/>
    <w:rsid w:val="00420AA6"/>
    <w:rsid w:val="00420B9F"/>
    <w:rsid w:val="00420F0A"/>
    <w:rsid w:val="0042192C"/>
    <w:rsid w:val="00422260"/>
    <w:rsid w:val="004225AC"/>
    <w:rsid w:val="0042413F"/>
    <w:rsid w:val="0042415A"/>
    <w:rsid w:val="004242B7"/>
    <w:rsid w:val="00431600"/>
    <w:rsid w:val="004319F8"/>
    <w:rsid w:val="00431E55"/>
    <w:rsid w:val="004321F6"/>
    <w:rsid w:val="00433044"/>
    <w:rsid w:val="00434088"/>
    <w:rsid w:val="004355E6"/>
    <w:rsid w:val="00436D30"/>
    <w:rsid w:val="004375B9"/>
    <w:rsid w:val="004407B3"/>
    <w:rsid w:val="00441ECD"/>
    <w:rsid w:val="004428D0"/>
    <w:rsid w:val="00444185"/>
    <w:rsid w:val="004443A7"/>
    <w:rsid w:val="0044442C"/>
    <w:rsid w:val="00445941"/>
    <w:rsid w:val="004464EB"/>
    <w:rsid w:val="00447D26"/>
    <w:rsid w:val="00447DFC"/>
    <w:rsid w:val="00452585"/>
    <w:rsid w:val="0045470F"/>
    <w:rsid w:val="00454C4E"/>
    <w:rsid w:val="00455D45"/>
    <w:rsid w:val="0046417F"/>
    <w:rsid w:val="00464555"/>
    <w:rsid w:val="00464595"/>
    <w:rsid w:val="00464F97"/>
    <w:rsid w:val="0046572C"/>
    <w:rsid w:val="004658B5"/>
    <w:rsid w:val="00471037"/>
    <w:rsid w:val="00471EA5"/>
    <w:rsid w:val="00472A79"/>
    <w:rsid w:val="0047343A"/>
    <w:rsid w:val="0047384D"/>
    <w:rsid w:val="00473F19"/>
    <w:rsid w:val="00473FFC"/>
    <w:rsid w:val="00475E22"/>
    <w:rsid w:val="00476FC3"/>
    <w:rsid w:val="00480350"/>
    <w:rsid w:val="0048088E"/>
    <w:rsid w:val="00480B2B"/>
    <w:rsid w:val="00480F2B"/>
    <w:rsid w:val="00482720"/>
    <w:rsid w:val="00483051"/>
    <w:rsid w:val="004835E7"/>
    <w:rsid w:val="004859E1"/>
    <w:rsid w:val="004867E2"/>
    <w:rsid w:val="0048753A"/>
    <w:rsid w:val="00490B17"/>
    <w:rsid w:val="004914FD"/>
    <w:rsid w:val="00491B3A"/>
    <w:rsid w:val="00492CFD"/>
    <w:rsid w:val="00493B01"/>
    <w:rsid w:val="004941D0"/>
    <w:rsid w:val="00494207"/>
    <w:rsid w:val="00494DD5"/>
    <w:rsid w:val="00495F6B"/>
    <w:rsid w:val="004962D2"/>
    <w:rsid w:val="004A0DA1"/>
    <w:rsid w:val="004A13D6"/>
    <w:rsid w:val="004A24D6"/>
    <w:rsid w:val="004A2802"/>
    <w:rsid w:val="004A52E9"/>
    <w:rsid w:val="004A597C"/>
    <w:rsid w:val="004A6040"/>
    <w:rsid w:val="004A6597"/>
    <w:rsid w:val="004A7828"/>
    <w:rsid w:val="004A7848"/>
    <w:rsid w:val="004A793B"/>
    <w:rsid w:val="004B0646"/>
    <w:rsid w:val="004B176F"/>
    <w:rsid w:val="004B1CB4"/>
    <w:rsid w:val="004B2F18"/>
    <w:rsid w:val="004B3DDB"/>
    <w:rsid w:val="004B44FD"/>
    <w:rsid w:val="004B5C6D"/>
    <w:rsid w:val="004B5CFC"/>
    <w:rsid w:val="004B6F79"/>
    <w:rsid w:val="004B774D"/>
    <w:rsid w:val="004C10A4"/>
    <w:rsid w:val="004C20B7"/>
    <w:rsid w:val="004C2AC2"/>
    <w:rsid w:val="004C2FC2"/>
    <w:rsid w:val="004C3321"/>
    <w:rsid w:val="004C4151"/>
    <w:rsid w:val="004C4AED"/>
    <w:rsid w:val="004C4C5C"/>
    <w:rsid w:val="004C6785"/>
    <w:rsid w:val="004C7C7A"/>
    <w:rsid w:val="004D2C2D"/>
    <w:rsid w:val="004D2E46"/>
    <w:rsid w:val="004D3173"/>
    <w:rsid w:val="004D384F"/>
    <w:rsid w:val="004D4FAF"/>
    <w:rsid w:val="004D69B5"/>
    <w:rsid w:val="004D7227"/>
    <w:rsid w:val="004D7B5E"/>
    <w:rsid w:val="004E0428"/>
    <w:rsid w:val="004E0E7F"/>
    <w:rsid w:val="004E0EB8"/>
    <w:rsid w:val="004E18E9"/>
    <w:rsid w:val="004E1D05"/>
    <w:rsid w:val="004E2ADC"/>
    <w:rsid w:val="004E43B2"/>
    <w:rsid w:val="004E4E51"/>
    <w:rsid w:val="004F1D02"/>
    <w:rsid w:val="004F2679"/>
    <w:rsid w:val="004F2682"/>
    <w:rsid w:val="004F2F21"/>
    <w:rsid w:val="004F3DE5"/>
    <w:rsid w:val="004F5AF7"/>
    <w:rsid w:val="004F6913"/>
    <w:rsid w:val="004F7865"/>
    <w:rsid w:val="00500929"/>
    <w:rsid w:val="0050174E"/>
    <w:rsid w:val="00501854"/>
    <w:rsid w:val="0050219B"/>
    <w:rsid w:val="00503F17"/>
    <w:rsid w:val="00503F3A"/>
    <w:rsid w:val="00506928"/>
    <w:rsid w:val="005077EF"/>
    <w:rsid w:val="00511AD5"/>
    <w:rsid w:val="00511C5E"/>
    <w:rsid w:val="00511DC7"/>
    <w:rsid w:val="0051209E"/>
    <w:rsid w:val="005136A0"/>
    <w:rsid w:val="005142C5"/>
    <w:rsid w:val="00514AE7"/>
    <w:rsid w:val="0051501B"/>
    <w:rsid w:val="005152B5"/>
    <w:rsid w:val="005155E6"/>
    <w:rsid w:val="00515886"/>
    <w:rsid w:val="00520631"/>
    <w:rsid w:val="00520731"/>
    <w:rsid w:val="0052123C"/>
    <w:rsid w:val="00521319"/>
    <w:rsid w:val="005214CB"/>
    <w:rsid w:val="00522A6A"/>
    <w:rsid w:val="00522BC8"/>
    <w:rsid w:val="00523C28"/>
    <w:rsid w:val="00527E73"/>
    <w:rsid w:val="0053176B"/>
    <w:rsid w:val="005327CA"/>
    <w:rsid w:val="005341B3"/>
    <w:rsid w:val="00536F42"/>
    <w:rsid w:val="00537182"/>
    <w:rsid w:val="00541EDD"/>
    <w:rsid w:val="00542743"/>
    <w:rsid w:val="00542C2D"/>
    <w:rsid w:val="0054336A"/>
    <w:rsid w:val="00544356"/>
    <w:rsid w:val="005462D0"/>
    <w:rsid w:val="0054654D"/>
    <w:rsid w:val="00547568"/>
    <w:rsid w:val="005478BD"/>
    <w:rsid w:val="005479E3"/>
    <w:rsid w:val="005508E6"/>
    <w:rsid w:val="005513B5"/>
    <w:rsid w:val="0055195F"/>
    <w:rsid w:val="00551985"/>
    <w:rsid w:val="00552BD3"/>
    <w:rsid w:val="005531D3"/>
    <w:rsid w:val="005532A0"/>
    <w:rsid w:val="00555109"/>
    <w:rsid w:val="00556B0E"/>
    <w:rsid w:val="00556B35"/>
    <w:rsid w:val="00556B65"/>
    <w:rsid w:val="0055741A"/>
    <w:rsid w:val="00557F74"/>
    <w:rsid w:val="00560537"/>
    <w:rsid w:val="005611B7"/>
    <w:rsid w:val="00561320"/>
    <w:rsid w:val="005618D4"/>
    <w:rsid w:val="00563212"/>
    <w:rsid w:val="00563B2F"/>
    <w:rsid w:val="00564867"/>
    <w:rsid w:val="00565C79"/>
    <w:rsid w:val="00565DF0"/>
    <w:rsid w:val="0056696F"/>
    <w:rsid w:val="00572269"/>
    <w:rsid w:val="0057244A"/>
    <w:rsid w:val="00572CFF"/>
    <w:rsid w:val="00572F26"/>
    <w:rsid w:val="005750C5"/>
    <w:rsid w:val="005752DE"/>
    <w:rsid w:val="00575D60"/>
    <w:rsid w:val="00575D8D"/>
    <w:rsid w:val="00576972"/>
    <w:rsid w:val="00577110"/>
    <w:rsid w:val="00577248"/>
    <w:rsid w:val="00577EDF"/>
    <w:rsid w:val="00581825"/>
    <w:rsid w:val="00582CF5"/>
    <w:rsid w:val="00583699"/>
    <w:rsid w:val="00585CDD"/>
    <w:rsid w:val="00586226"/>
    <w:rsid w:val="00587058"/>
    <w:rsid w:val="00587AA8"/>
    <w:rsid w:val="00591957"/>
    <w:rsid w:val="00597BF9"/>
    <w:rsid w:val="005A0C11"/>
    <w:rsid w:val="005A0F7E"/>
    <w:rsid w:val="005A2772"/>
    <w:rsid w:val="005A309A"/>
    <w:rsid w:val="005A31C0"/>
    <w:rsid w:val="005A373D"/>
    <w:rsid w:val="005A6242"/>
    <w:rsid w:val="005A6B83"/>
    <w:rsid w:val="005B0B58"/>
    <w:rsid w:val="005B23E5"/>
    <w:rsid w:val="005B4E53"/>
    <w:rsid w:val="005B5857"/>
    <w:rsid w:val="005B6DFC"/>
    <w:rsid w:val="005B7D0D"/>
    <w:rsid w:val="005C19C4"/>
    <w:rsid w:val="005C1AA3"/>
    <w:rsid w:val="005C1B83"/>
    <w:rsid w:val="005C25FF"/>
    <w:rsid w:val="005C2D55"/>
    <w:rsid w:val="005C346B"/>
    <w:rsid w:val="005C57D0"/>
    <w:rsid w:val="005C5ABC"/>
    <w:rsid w:val="005C7668"/>
    <w:rsid w:val="005C7810"/>
    <w:rsid w:val="005D0116"/>
    <w:rsid w:val="005D044D"/>
    <w:rsid w:val="005D0880"/>
    <w:rsid w:val="005D0ABD"/>
    <w:rsid w:val="005D18AD"/>
    <w:rsid w:val="005D26B4"/>
    <w:rsid w:val="005D3673"/>
    <w:rsid w:val="005D6537"/>
    <w:rsid w:val="005D7217"/>
    <w:rsid w:val="005E16F3"/>
    <w:rsid w:val="005E1995"/>
    <w:rsid w:val="005E61A7"/>
    <w:rsid w:val="005E6CBC"/>
    <w:rsid w:val="005E72FF"/>
    <w:rsid w:val="005E73C0"/>
    <w:rsid w:val="005F0544"/>
    <w:rsid w:val="005F07ED"/>
    <w:rsid w:val="005F0E1C"/>
    <w:rsid w:val="005F1F19"/>
    <w:rsid w:val="005F2706"/>
    <w:rsid w:val="005F49BE"/>
    <w:rsid w:val="005F6A8F"/>
    <w:rsid w:val="005F6BB7"/>
    <w:rsid w:val="005F7588"/>
    <w:rsid w:val="00603DB9"/>
    <w:rsid w:val="00605071"/>
    <w:rsid w:val="00606FBA"/>
    <w:rsid w:val="00607669"/>
    <w:rsid w:val="006076F4"/>
    <w:rsid w:val="00607AFD"/>
    <w:rsid w:val="0061137F"/>
    <w:rsid w:val="00611B12"/>
    <w:rsid w:val="00612F97"/>
    <w:rsid w:val="0061345D"/>
    <w:rsid w:val="0061392C"/>
    <w:rsid w:val="0061478D"/>
    <w:rsid w:val="006149C0"/>
    <w:rsid w:val="0061549B"/>
    <w:rsid w:val="00615787"/>
    <w:rsid w:val="00616802"/>
    <w:rsid w:val="0061737D"/>
    <w:rsid w:val="00617E12"/>
    <w:rsid w:val="00620C25"/>
    <w:rsid w:val="00620EFE"/>
    <w:rsid w:val="00621477"/>
    <w:rsid w:val="00621ADA"/>
    <w:rsid w:val="006224CE"/>
    <w:rsid w:val="00623222"/>
    <w:rsid w:val="00623F7B"/>
    <w:rsid w:val="00624BD4"/>
    <w:rsid w:val="00630660"/>
    <w:rsid w:val="0063158F"/>
    <w:rsid w:val="00631D6B"/>
    <w:rsid w:val="00632183"/>
    <w:rsid w:val="006330A1"/>
    <w:rsid w:val="006330A9"/>
    <w:rsid w:val="00633585"/>
    <w:rsid w:val="0063479F"/>
    <w:rsid w:val="006353F0"/>
    <w:rsid w:val="00635651"/>
    <w:rsid w:val="006357B5"/>
    <w:rsid w:val="006364A1"/>
    <w:rsid w:val="0063678E"/>
    <w:rsid w:val="00637BFD"/>
    <w:rsid w:val="00637C5C"/>
    <w:rsid w:val="00640204"/>
    <w:rsid w:val="00640320"/>
    <w:rsid w:val="00640E59"/>
    <w:rsid w:val="00641C4E"/>
    <w:rsid w:val="00641FB3"/>
    <w:rsid w:val="00641FD2"/>
    <w:rsid w:val="0064434C"/>
    <w:rsid w:val="0064440E"/>
    <w:rsid w:val="00644CA4"/>
    <w:rsid w:val="006471CC"/>
    <w:rsid w:val="006472FE"/>
    <w:rsid w:val="00647A29"/>
    <w:rsid w:val="0065079F"/>
    <w:rsid w:val="00651C45"/>
    <w:rsid w:val="00652A28"/>
    <w:rsid w:val="00653502"/>
    <w:rsid w:val="00653520"/>
    <w:rsid w:val="0065379F"/>
    <w:rsid w:val="00653CA9"/>
    <w:rsid w:val="00656188"/>
    <w:rsid w:val="0065715A"/>
    <w:rsid w:val="00660DE4"/>
    <w:rsid w:val="006610F1"/>
    <w:rsid w:val="00661C6B"/>
    <w:rsid w:val="00662D3E"/>
    <w:rsid w:val="00663DD3"/>
    <w:rsid w:val="00665D8D"/>
    <w:rsid w:val="00666C71"/>
    <w:rsid w:val="00666DE8"/>
    <w:rsid w:val="006679F1"/>
    <w:rsid w:val="00667BE3"/>
    <w:rsid w:val="00670D22"/>
    <w:rsid w:val="00671004"/>
    <w:rsid w:val="00671381"/>
    <w:rsid w:val="0067179A"/>
    <w:rsid w:val="00672646"/>
    <w:rsid w:val="00674E42"/>
    <w:rsid w:val="00676563"/>
    <w:rsid w:val="00676E3D"/>
    <w:rsid w:val="00680F72"/>
    <w:rsid w:val="006813F8"/>
    <w:rsid w:val="00682112"/>
    <w:rsid w:val="00682AD6"/>
    <w:rsid w:val="00682BA6"/>
    <w:rsid w:val="006845D1"/>
    <w:rsid w:val="006860A7"/>
    <w:rsid w:val="00686957"/>
    <w:rsid w:val="006872BA"/>
    <w:rsid w:val="00687354"/>
    <w:rsid w:val="006875FE"/>
    <w:rsid w:val="00690795"/>
    <w:rsid w:val="00691648"/>
    <w:rsid w:val="006917D7"/>
    <w:rsid w:val="0069434C"/>
    <w:rsid w:val="00694C82"/>
    <w:rsid w:val="00694F44"/>
    <w:rsid w:val="00695D37"/>
    <w:rsid w:val="00696EF9"/>
    <w:rsid w:val="00696F51"/>
    <w:rsid w:val="0069790A"/>
    <w:rsid w:val="006979A5"/>
    <w:rsid w:val="006A016F"/>
    <w:rsid w:val="006A0DF7"/>
    <w:rsid w:val="006A2005"/>
    <w:rsid w:val="006A4321"/>
    <w:rsid w:val="006A43D9"/>
    <w:rsid w:val="006A473E"/>
    <w:rsid w:val="006A6B99"/>
    <w:rsid w:val="006A704D"/>
    <w:rsid w:val="006A7E5F"/>
    <w:rsid w:val="006B1874"/>
    <w:rsid w:val="006B261B"/>
    <w:rsid w:val="006B2C90"/>
    <w:rsid w:val="006B35E6"/>
    <w:rsid w:val="006B465A"/>
    <w:rsid w:val="006B4881"/>
    <w:rsid w:val="006B6DD0"/>
    <w:rsid w:val="006B7B61"/>
    <w:rsid w:val="006C007A"/>
    <w:rsid w:val="006C0399"/>
    <w:rsid w:val="006C07EB"/>
    <w:rsid w:val="006C13FC"/>
    <w:rsid w:val="006C1D33"/>
    <w:rsid w:val="006C26DB"/>
    <w:rsid w:val="006C2A8E"/>
    <w:rsid w:val="006C3255"/>
    <w:rsid w:val="006C3F26"/>
    <w:rsid w:val="006D0D17"/>
    <w:rsid w:val="006D2138"/>
    <w:rsid w:val="006D2E02"/>
    <w:rsid w:val="006D3C7D"/>
    <w:rsid w:val="006D4659"/>
    <w:rsid w:val="006D4962"/>
    <w:rsid w:val="006D55C3"/>
    <w:rsid w:val="006D5D5F"/>
    <w:rsid w:val="006D5FAE"/>
    <w:rsid w:val="006D665D"/>
    <w:rsid w:val="006D68FB"/>
    <w:rsid w:val="006D6953"/>
    <w:rsid w:val="006E162D"/>
    <w:rsid w:val="006E1C16"/>
    <w:rsid w:val="006E2868"/>
    <w:rsid w:val="006E3109"/>
    <w:rsid w:val="006E4C34"/>
    <w:rsid w:val="006E5879"/>
    <w:rsid w:val="006E5D0D"/>
    <w:rsid w:val="006E7516"/>
    <w:rsid w:val="006E7945"/>
    <w:rsid w:val="006F26D3"/>
    <w:rsid w:val="006F306C"/>
    <w:rsid w:val="006F566D"/>
    <w:rsid w:val="006F63A5"/>
    <w:rsid w:val="0070142B"/>
    <w:rsid w:val="00701B27"/>
    <w:rsid w:val="0070276E"/>
    <w:rsid w:val="00702CBC"/>
    <w:rsid w:val="00702F8F"/>
    <w:rsid w:val="007045FE"/>
    <w:rsid w:val="007079FC"/>
    <w:rsid w:val="00710708"/>
    <w:rsid w:val="00711308"/>
    <w:rsid w:val="00711A36"/>
    <w:rsid w:val="007120B9"/>
    <w:rsid w:val="007125D3"/>
    <w:rsid w:val="007126EA"/>
    <w:rsid w:val="007131B8"/>
    <w:rsid w:val="00714C26"/>
    <w:rsid w:val="0071529C"/>
    <w:rsid w:val="00716032"/>
    <w:rsid w:val="007170DA"/>
    <w:rsid w:val="007172AD"/>
    <w:rsid w:val="00717546"/>
    <w:rsid w:val="00717AF2"/>
    <w:rsid w:val="00720801"/>
    <w:rsid w:val="00720CF3"/>
    <w:rsid w:val="0072107E"/>
    <w:rsid w:val="00721391"/>
    <w:rsid w:val="00722A51"/>
    <w:rsid w:val="00722B1B"/>
    <w:rsid w:val="0072416F"/>
    <w:rsid w:val="00727C94"/>
    <w:rsid w:val="00730ECC"/>
    <w:rsid w:val="00731B0A"/>
    <w:rsid w:val="00731EAE"/>
    <w:rsid w:val="00732022"/>
    <w:rsid w:val="00732831"/>
    <w:rsid w:val="00733073"/>
    <w:rsid w:val="007347B0"/>
    <w:rsid w:val="00735033"/>
    <w:rsid w:val="00735328"/>
    <w:rsid w:val="00735734"/>
    <w:rsid w:val="007361AE"/>
    <w:rsid w:val="00736516"/>
    <w:rsid w:val="0073685B"/>
    <w:rsid w:val="00742520"/>
    <w:rsid w:val="007449BF"/>
    <w:rsid w:val="00744BAE"/>
    <w:rsid w:val="00744C57"/>
    <w:rsid w:val="007463FE"/>
    <w:rsid w:val="00746870"/>
    <w:rsid w:val="00746BC0"/>
    <w:rsid w:val="007510B4"/>
    <w:rsid w:val="00752142"/>
    <w:rsid w:val="007523F9"/>
    <w:rsid w:val="00752EA1"/>
    <w:rsid w:val="00752F3F"/>
    <w:rsid w:val="0075357E"/>
    <w:rsid w:val="00753914"/>
    <w:rsid w:val="00753B29"/>
    <w:rsid w:val="00755011"/>
    <w:rsid w:val="0075575F"/>
    <w:rsid w:val="007573E8"/>
    <w:rsid w:val="00760C4E"/>
    <w:rsid w:val="00760F9E"/>
    <w:rsid w:val="00761598"/>
    <w:rsid w:val="007616E6"/>
    <w:rsid w:val="00762657"/>
    <w:rsid w:val="007627BE"/>
    <w:rsid w:val="00764F03"/>
    <w:rsid w:val="00765B1A"/>
    <w:rsid w:val="00765DC1"/>
    <w:rsid w:val="00777335"/>
    <w:rsid w:val="00783A4B"/>
    <w:rsid w:val="007843F2"/>
    <w:rsid w:val="007846FA"/>
    <w:rsid w:val="00784E01"/>
    <w:rsid w:val="00785A9F"/>
    <w:rsid w:val="00787737"/>
    <w:rsid w:val="00787E23"/>
    <w:rsid w:val="007903AB"/>
    <w:rsid w:val="00790842"/>
    <w:rsid w:val="00790A6A"/>
    <w:rsid w:val="007918E4"/>
    <w:rsid w:val="007925DF"/>
    <w:rsid w:val="00792753"/>
    <w:rsid w:val="007927F9"/>
    <w:rsid w:val="007952C3"/>
    <w:rsid w:val="007A08AA"/>
    <w:rsid w:val="007A0A12"/>
    <w:rsid w:val="007A132D"/>
    <w:rsid w:val="007A1345"/>
    <w:rsid w:val="007A1A47"/>
    <w:rsid w:val="007A21C8"/>
    <w:rsid w:val="007A2D29"/>
    <w:rsid w:val="007A2DDB"/>
    <w:rsid w:val="007A561E"/>
    <w:rsid w:val="007A602E"/>
    <w:rsid w:val="007A70BA"/>
    <w:rsid w:val="007B0D68"/>
    <w:rsid w:val="007B251D"/>
    <w:rsid w:val="007B2851"/>
    <w:rsid w:val="007B31FB"/>
    <w:rsid w:val="007B3533"/>
    <w:rsid w:val="007B4F58"/>
    <w:rsid w:val="007B528D"/>
    <w:rsid w:val="007B63CA"/>
    <w:rsid w:val="007B77D1"/>
    <w:rsid w:val="007C07C7"/>
    <w:rsid w:val="007C1CC0"/>
    <w:rsid w:val="007C1CD9"/>
    <w:rsid w:val="007C32EF"/>
    <w:rsid w:val="007C3377"/>
    <w:rsid w:val="007C361D"/>
    <w:rsid w:val="007C4B84"/>
    <w:rsid w:val="007C5FF7"/>
    <w:rsid w:val="007C70FF"/>
    <w:rsid w:val="007C7C25"/>
    <w:rsid w:val="007D004F"/>
    <w:rsid w:val="007D035F"/>
    <w:rsid w:val="007D06B2"/>
    <w:rsid w:val="007D0B38"/>
    <w:rsid w:val="007D1765"/>
    <w:rsid w:val="007D2D0C"/>
    <w:rsid w:val="007D422B"/>
    <w:rsid w:val="007D4786"/>
    <w:rsid w:val="007D5440"/>
    <w:rsid w:val="007D69EB"/>
    <w:rsid w:val="007D6C0A"/>
    <w:rsid w:val="007D7811"/>
    <w:rsid w:val="007D7A55"/>
    <w:rsid w:val="007D7DC1"/>
    <w:rsid w:val="007E0791"/>
    <w:rsid w:val="007E128F"/>
    <w:rsid w:val="007E22FE"/>
    <w:rsid w:val="007E5A1D"/>
    <w:rsid w:val="007E6C10"/>
    <w:rsid w:val="007F1017"/>
    <w:rsid w:val="007F2B15"/>
    <w:rsid w:val="007F4A3F"/>
    <w:rsid w:val="007F4A61"/>
    <w:rsid w:val="007F4AC7"/>
    <w:rsid w:val="007F5255"/>
    <w:rsid w:val="007F56CC"/>
    <w:rsid w:val="007F61C2"/>
    <w:rsid w:val="007F6E4E"/>
    <w:rsid w:val="007F74BB"/>
    <w:rsid w:val="00803FF2"/>
    <w:rsid w:val="0080448C"/>
    <w:rsid w:val="00805142"/>
    <w:rsid w:val="00805FCE"/>
    <w:rsid w:val="00806806"/>
    <w:rsid w:val="00807A8B"/>
    <w:rsid w:val="00807B6F"/>
    <w:rsid w:val="00811383"/>
    <w:rsid w:val="00812149"/>
    <w:rsid w:val="00812CAC"/>
    <w:rsid w:val="0081387B"/>
    <w:rsid w:val="0081522F"/>
    <w:rsid w:val="00816361"/>
    <w:rsid w:val="008166EF"/>
    <w:rsid w:val="00816D48"/>
    <w:rsid w:val="00816FEF"/>
    <w:rsid w:val="00820A8C"/>
    <w:rsid w:val="008215FB"/>
    <w:rsid w:val="008220CC"/>
    <w:rsid w:val="00823174"/>
    <w:rsid w:val="00824B6D"/>
    <w:rsid w:val="00825751"/>
    <w:rsid w:val="00826021"/>
    <w:rsid w:val="008264EB"/>
    <w:rsid w:val="00826862"/>
    <w:rsid w:val="008268CE"/>
    <w:rsid w:val="00827C23"/>
    <w:rsid w:val="00831860"/>
    <w:rsid w:val="00832E46"/>
    <w:rsid w:val="0083385E"/>
    <w:rsid w:val="00833B05"/>
    <w:rsid w:val="008362B4"/>
    <w:rsid w:val="00837672"/>
    <w:rsid w:val="00840CA2"/>
    <w:rsid w:val="0084374F"/>
    <w:rsid w:val="00844A22"/>
    <w:rsid w:val="00846C3E"/>
    <w:rsid w:val="00847703"/>
    <w:rsid w:val="00847ACD"/>
    <w:rsid w:val="00847DF5"/>
    <w:rsid w:val="00852550"/>
    <w:rsid w:val="0085309D"/>
    <w:rsid w:val="00854FA5"/>
    <w:rsid w:val="00856897"/>
    <w:rsid w:val="00856E9A"/>
    <w:rsid w:val="00857316"/>
    <w:rsid w:val="0086075D"/>
    <w:rsid w:val="00862502"/>
    <w:rsid w:val="00862CC1"/>
    <w:rsid w:val="008642A7"/>
    <w:rsid w:val="008652F2"/>
    <w:rsid w:val="008660D4"/>
    <w:rsid w:val="0086699B"/>
    <w:rsid w:val="008709D8"/>
    <w:rsid w:val="00870BD0"/>
    <w:rsid w:val="00871FA9"/>
    <w:rsid w:val="008728E9"/>
    <w:rsid w:val="008731CE"/>
    <w:rsid w:val="00873D76"/>
    <w:rsid w:val="0087717C"/>
    <w:rsid w:val="00877469"/>
    <w:rsid w:val="0088173D"/>
    <w:rsid w:val="00881E39"/>
    <w:rsid w:val="00882874"/>
    <w:rsid w:val="00882E3C"/>
    <w:rsid w:val="0088308A"/>
    <w:rsid w:val="008831AF"/>
    <w:rsid w:val="00883787"/>
    <w:rsid w:val="0088476E"/>
    <w:rsid w:val="008848A2"/>
    <w:rsid w:val="008855E4"/>
    <w:rsid w:val="00885B14"/>
    <w:rsid w:val="00885DA7"/>
    <w:rsid w:val="00885F6A"/>
    <w:rsid w:val="00886058"/>
    <w:rsid w:val="00886CD2"/>
    <w:rsid w:val="00887D37"/>
    <w:rsid w:val="00891E6F"/>
    <w:rsid w:val="0089275D"/>
    <w:rsid w:val="00892A36"/>
    <w:rsid w:val="00893239"/>
    <w:rsid w:val="00894489"/>
    <w:rsid w:val="00894CD6"/>
    <w:rsid w:val="008963A5"/>
    <w:rsid w:val="00896D5D"/>
    <w:rsid w:val="008A1147"/>
    <w:rsid w:val="008A2BBB"/>
    <w:rsid w:val="008A3158"/>
    <w:rsid w:val="008A3363"/>
    <w:rsid w:val="008A3371"/>
    <w:rsid w:val="008A3C3E"/>
    <w:rsid w:val="008A4D2E"/>
    <w:rsid w:val="008A5850"/>
    <w:rsid w:val="008A64C5"/>
    <w:rsid w:val="008A79DE"/>
    <w:rsid w:val="008B1757"/>
    <w:rsid w:val="008B1C33"/>
    <w:rsid w:val="008B21D6"/>
    <w:rsid w:val="008B3BFF"/>
    <w:rsid w:val="008B3E71"/>
    <w:rsid w:val="008B4B6F"/>
    <w:rsid w:val="008B6375"/>
    <w:rsid w:val="008B7992"/>
    <w:rsid w:val="008B7D7E"/>
    <w:rsid w:val="008C2798"/>
    <w:rsid w:val="008C3F3A"/>
    <w:rsid w:val="008C49D0"/>
    <w:rsid w:val="008C50C9"/>
    <w:rsid w:val="008C5610"/>
    <w:rsid w:val="008C5739"/>
    <w:rsid w:val="008C6F47"/>
    <w:rsid w:val="008C7282"/>
    <w:rsid w:val="008C7ECB"/>
    <w:rsid w:val="008D3012"/>
    <w:rsid w:val="008D3B86"/>
    <w:rsid w:val="008D43FD"/>
    <w:rsid w:val="008D4755"/>
    <w:rsid w:val="008D4C3D"/>
    <w:rsid w:val="008D6A16"/>
    <w:rsid w:val="008D6BBD"/>
    <w:rsid w:val="008D73B9"/>
    <w:rsid w:val="008D743C"/>
    <w:rsid w:val="008E00B1"/>
    <w:rsid w:val="008E0D3C"/>
    <w:rsid w:val="008E1B9E"/>
    <w:rsid w:val="008E3455"/>
    <w:rsid w:val="008E3E78"/>
    <w:rsid w:val="008E4278"/>
    <w:rsid w:val="008E4CCE"/>
    <w:rsid w:val="008E5103"/>
    <w:rsid w:val="008E52BD"/>
    <w:rsid w:val="008E55AB"/>
    <w:rsid w:val="008E5E0B"/>
    <w:rsid w:val="008E687B"/>
    <w:rsid w:val="008F10C8"/>
    <w:rsid w:val="008F120A"/>
    <w:rsid w:val="008F27E0"/>
    <w:rsid w:val="008F48EB"/>
    <w:rsid w:val="008F4F0B"/>
    <w:rsid w:val="008F6CFC"/>
    <w:rsid w:val="008F7C5C"/>
    <w:rsid w:val="0090225B"/>
    <w:rsid w:val="009029F7"/>
    <w:rsid w:val="00903966"/>
    <w:rsid w:val="009046C4"/>
    <w:rsid w:val="009061D9"/>
    <w:rsid w:val="009062A5"/>
    <w:rsid w:val="00907699"/>
    <w:rsid w:val="00910C0C"/>
    <w:rsid w:val="00910FA7"/>
    <w:rsid w:val="00911272"/>
    <w:rsid w:val="00911339"/>
    <w:rsid w:val="009135D6"/>
    <w:rsid w:val="00914C77"/>
    <w:rsid w:val="00916304"/>
    <w:rsid w:val="00917EB0"/>
    <w:rsid w:val="00920237"/>
    <w:rsid w:val="00921490"/>
    <w:rsid w:val="00921ACB"/>
    <w:rsid w:val="0092369B"/>
    <w:rsid w:val="00924D5E"/>
    <w:rsid w:val="009269C2"/>
    <w:rsid w:val="00927933"/>
    <w:rsid w:val="009309BF"/>
    <w:rsid w:val="00933C04"/>
    <w:rsid w:val="00934988"/>
    <w:rsid w:val="00934DF2"/>
    <w:rsid w:val="009350E6"/>
    <w:rsid w:val="00937089"/>
    <w:rsid w:val="00941F03"/>
    <w:rsid w:val="00942019"/>
    <w:rsid w:val="0094220A"/>
    <w:rsid w:val="00942AA9"/>
    <w:rsid w:val="00944F8A"/>
    <w:rsid w:val="0094596C"/>
    <w:rsid w:val="009510A2"/>
    <w:rsid w:val="00951DFB"/>
    <w:rsid w:val="00953257"/>
    <w:rsid w:val="00953B7A"/>
    <w:rsid w:val="0095474C"/>
    <w:rsid w:val="0095614B"/>
    <w:rsid w:val="00957D92"/>
    <w:rsid w:val="00962CB9"/>
    <w:rsid w:val="00964312"/>
    <w:rsid w:val="009652EC"/>
    <w:rsid w:val="00965742"/>
    <w:rsid w:val="00965B8A"/>
    <w:rsid w:val="0097071F"/>
    <w:rsid w:val="009717AC"/>
    <w:rsid w:val="00974064"/>
    <w:rsid w:val="009751C1"/>
    <w:rsid w:val="0097557D"/>
    <w:rsid w:val="0097576D"/>
    <w:rsid w:val="0097754B"/>
    <w:rsid w:val="00977FD9"/>
    <w:rsid w:val="009811F1"/>
    <w:rsid w:val="00983E57"/>
    <w:rsid w:val="00985DE2"/>
    <w:rsid w:val="0098675D"/>
    <w:rsid w:val="00987BA4"/>
    <w:rsid w:val="009926E0"/>
    <w:rsid w:val="0099451E"/>
    <w:rsid w:val="00996B1A"/>
    <w:rsid w:val="009972FE"/>
    <w:rsid w:val="009A18F6"/>
    <w:rsid w:val="009A2456"/>
    <w:rsid w:val="009A24FB"/>
    <w:rsid w:val="009A2DCC"/>
    <w:rsid w:val="009A2F15"/>
    <w:rsid w:val="009A3D21"/>
    <w:rsid w:val="009A5ABC"/>
    <w:rsid w:val="009A78D6"/>
    <w:rsid w:val="009A7D45"/>
    <w:rsid w:val="009A7F10"/>
    <w:rsid w:val="009B0B83"/>
    <w:rsid w:val="009B10AC"/>
    <w:rsid w:val="009B3E26"/>
    <w:rsid w:val="009B6497"/>
    <w:rsid w:val="009B6DF3"/>
    <w:rsid w:val="009C1271"/>
    <w:rsid w:val="009C1D37"/>
    <w:rsid w:val="009C232E"/>
    <w:rsid w:val="009C3706"/>
    <w:rsid w:val="009C3A3A"/>
    <w:rsid w:val="009C6CEA"/>
    <w:rsid w:val="009C7B85"/>
    <w:rsid w:val="009D0254"/>
    <w:rsid w:val="009D0433"/>
    <w:rsid w:val="009D13C1"/>
    <w:rsid w:val="009D1A64"/>
    <w:rsid w:val="009D5B66"/>
    <w:rsid w:val="009D5B91"/>
    <w:rsid w:val="009D66C6"/>
    <w:rsid w:val="009D792E"/>
    <w:rsid w:val="009E099A"/>
    <w:rsid w:val="009E0DFE"/>
    <w:rsid w:val="009E2F85"/>
    <w:rsid w:val="009E31F6"/>
    <w:rsid w:val="009E4C07"/>
    <w:rsid w:val="009E58C6"/>
    <w:rsid w:val="009E6A67"/>
    <w:rsid w:val="009E753C"/>
    <w:rsid w:val="009E777F"/>
    <w:rsid w:val="009F513A"/>
    <w:rsid w:val="009F6120"/>
    <w:rsid w:val="00A00D76"/>
    <w:rsid w:val="00A01184"/>
    <w:rsid w:val="00A01449"/>
    <w:rsid w:val="00A0220B"/>
    <w:rsid w:val="00A037C2"/>
    <w:rsid w:val="00A03D43"/>
    <w:rsid w:val="00A03D76"/>
    <w:rsid w:val="00A04380"/>
    <w:rsid w:val="00A04786"/>
    <w:rsid w:val="00A05472"/>
    <w:rsid w:val="00A05C32"/>
    <w:rsid w:val="00A0653F"/>
    <w:rsid w:val="00A06ECD"/>
    <w:rsid w:val="00A07BCB"/>
    <w:rsid w:val="00A11CD0"/>
    <w:rsid w:val="00A13809"/>
    <w:rsid w:val="00A13948"/>
    <w:rsid w:val="00A1555B"/>
    <w:rsid w:val="00A155C5"/>
    <w:rsid w:val="00A16AD8"/>
    <w:rsid w:val="00A17DCA"/>
    <w:rsid w:val="00A2021E"/>
    <w:rsid w:val="00A202B9"/>
    <w:rsid w:val="00A21C95"/>
    <w:rsid w:val="00A21CF3"/>
    <w:rsid w:val="00A24813"/>
    <w:rsid w:val="00A26131"/>
    <w:rsid w:val="00A27AEC"/>
    <w:rsid w:val="00A320DB"/>
    <w:rsid w:val="00A3254A"/>
    <w:rsid w:val="00A32F4A"/>
    <w:rsid w:val="00A335B9"/>
    <w:rsid w:val="00A358FB"/>
    <w:rsid w:val="00A35D16"/>
    <w:rsid w:val="00A35E6A"/>
    <w:rsid w:val="00A37BCD"/>
    <w:rsid w:val="00A401CF"/>
    <w:rsid w:val="00A41689"/>
    <w:rsid w:val="00A42592"/>
    <w:rsid w:val="00A427BF"/>
    <w:rsid w:val="00A42E57"/>
    <w:rsid w:val="00A43C59"/>
    <w:rsid w:val="00A4412D"/>
    <w:rsid w:val="00A44C96"/>
    <w:rsid w:val="00A50D9D"/>
    <w:rsid w:val="00A50ECD"/>
    <w:rsid w:val="00A50F17"/>
    <w:rsid w:val="00A51634"/>
    <w:rsid w:val="00A518F3"/>
    <w:rsid w:val="00A52729"/>
    <w:rsid w:val="00A53675"/>
    <w:rsid w:val="00A564D7"/>
    <w:rsid w:val="00A56AB8"/>
    <w:rsid w:val="00A56B6A"/>
    <w:rsid w:val="00A578DC"/>
    <w:rsid w:val="00A61F69"/>
    <w:rsid w:val="00A640E2"/>
    <w:rsid w:val="00A64D65"/>
    <w:rsid w:val="00A65EA0"/>
    <w:rsid w:val="00A66E46"/>
    <w:rsid w:val="00A6725B"/>
    <w:rsid w:val="00A70605"/>
    <w:rsid w:val="00A72A40"/>
    <w:rsid w:val="00A73134"/>
    <w:rsid w:val="00A7365A"/>
    <w:rsid w:val="00A74CE5"/>
    <w:rsid w:val="00A76001"/>
    <w:rsid w:val="00A7761F"/>
    <w:rsid w:val="00A777B2"/>
    <w:rsid w:val="00A825D4"/>
    <w:rsid w:val="00A828F6"/>
    <w:rsid w:val="00A82B73"/>
    <w:rsid w:val="00A86E8B"/>
    <w:rsid w:val="00A87164"/>
    <w:rsid w:val="00A871A9"/>
    <w:rsid w:val="00A918AD"/>
    <w:rsid w:val="00A93072"/>
    <w:rsid w:val="00A938BD"/>
    <w:rsid w:val="00A93953"/>
    <w:rsid w:val="00A959D8"/>
    <w:rsid w:val="00A96B25"/>
    <w:rsid w:val="00A96E4F"/>
    <w:rsid w:val="00AA113D"/>
    <w:rsid w:val="00AA1AE3"/>
    <w:rsid w:val="00AA6703"/>
    <w:rsid w:val="00AA6BD5"/>
    <w:rsid w:val="00AA6BD8"/>
    <w:rsid w:val="00AA6C7D"/>
    <w:rsid w:val="00AA6DBC"/>
    <w:rsid w:val="00AA7679"/>
    <w:rsid w:val="00AA7FD6"/>
    <w:rsid w:val="00AB0130"/>
    <w:rsid w:val="00AB025B"/>
    <w:rsid w:val="00AB042A"/>
    <w:rsid w:val="00AB11AD"/>
    <w:rsid w:val="00AB19EF"/>
    <w:rsid w:val="00AB2495"/>
    <w:rsid w:val="00AB2D34"/>
    <w:rsid w:val="00AB3430"/>
    <w:rsid w:val="00AB37B9"/>
    <w:rsid w:val="00AB3BD1"/>
    <w:rsid w:val="00AB3C9C"/>
    <w:rsid w:val="00AB3E5C"/>
    <w:rsid w:val="00AB4AD1"/>
    <w:rsid w:val="00AB55F2"/>
    <w:rsid w:val="00AB5C71"/>
    <w:rsid w:val="00AB5E07"/>
    <w:rsid w:val="00AB61C8"/>
    <w:rsid w:val="00AB7CFA"/>
    <w:rsid w:val="00AC0402"/>
    <w:rsid w:val="00AC40C7"/>
    <w:rsid w:val="00AC43A2"/>
    <w:rsid w:val="00AC5B42"/>
    <w:rsid w:val="00AC5B48"/>
    <w:rsid w:val="00AC5F73"/>
    <w:rsid w:val="00AC7C2D"/>
    <w:rsid w:val="00AD1450"/>
    <w:rsid w:val="00AD15E8"/>
    <w:rsid w:val="00AD356D"/>
    <w:rsid w:val="00AD3C76"/>
    <w:rsid w:val="00AD533B"/>
    <w:rsid w:val="00AD6502"/>
    <w:rsid w:val="00AD65ED"/>
    <w:rsid w:val="00AE04A5"/>
    <w:rsid w:val="00AE0695"/>
    <w:rsid w:val="00AE2CAB"/>
    <w:rsid w:val="00AE3E7E"/>
    <w:rsid w:val="00AE441B"/>
    <w:rsid w:val="00AE48F1"/>
    <w:rsid w:val="00AE636F"/>
    <w:rsid w:val="00AE7E53"/>
    <w:rsid w:val="00AF084F"/>
    <w:rsid w:val="00AF1315"/>
    <w:rsid w:val="00AF1976"/>
    <w:rsid w:val="00AF19BF"/>
    <w:rsid w:val="00AF2C7B"/>
    <w:rsid w:val="00AF2DC3"/>
    <w:rsid w:val="00AF43B5"/>
    <w:rsid w:val="00AF534F"/>
    <w:rsid w:val="00AF62D8"/>
    <w:rsid w:val="00B00488"/>
    <w:rsid w:val="00B023A3"/>
    <w:rsid w:val="00B033E5"/>
    <w:rsid w:val="00B03A63"/>
    <w:rsid w:val="00B04943"/>
    <w:rsid w:val="00B05DBA"/>
    <w:rsid w:val="00B06980"/>
    <w:rsid w:val="00B06ED6"/>
    <w:rsid w:val="00B108F8"/>
    <w:rsid w:val="00B10A4E"/>
    <w:rsid w:val="00B129A4"/>
    <w:rsid w:val="00B1656A"/>
    <w:rsid w:val="00B20131"/>
    <w:rsid w:val="00B201A4"/>
    <w:rsid w:val="00B201D1"/>
    <w:rsid w:val="00B213A6"/>
    <w:rsid w:val="00B235B0"/>
    <w:rsid w:val="00B24D2C"/>
    <w:rsid w:val="00B24DF6"/>
    <w:rsid w:val="00B24DFB"/>
    <w:rsid w:val="00B24E51"/>
    <w:rsid w:val="00B25E87"/>
    <w:rsid w:val="00B27A61"/>
    <w:rsid w:val="00B33BE9"/>
    <w:rsid w:val="00B34FE2"/>
    <w:rsid w:val="00B35166"/>
    <w:rsid w:val="00B357D8"/>
    <w:rsid w:val="00B360F4"/>
    <w:rsid w:val="00B36A00"/>
    <w:rsid w:val="00B3792B"/>
    <w:rsid w:val="00B37BFC"/>
    <w:rsid w:val="00B40358"/>
    <w:rsid w:val="00B41614"/>
    <w:rsid w:val="00B42851"/>
    <w:rsid w:val="00B42F80"/>
    <w:rsid w:val="00B42FBB"/>
    <w:rsid w:val="00B435CB"/>
    <w:rsid w:val="00B442E8"/>
    <w:rsid w:val="00B45091"/>
    <w:rsid w:val="00B465EC"/>
    <w:rsid w:val="00B47DE1"/>
    <w:rsid w:val="00B47E30"/>
    <w:rsid w:val="00B505C8"/>
    <w:rsid w:val="00B50DB8"/>
    <w:rsid w:val="00B5138D"/>
    <w:rsid w:val="00B51981"/>
    <w:rsid w:val="00B53654"/>
    <w:rsid w:val="00B53905"/>
    <w:rsid w:val="00B53D25"/>
    <w:rsid w:val="00B546DB"/>
    <w:rsid w:val="00B54B5B"/>
    <w:rsid w:val="00B5562E"/>
    <w:rsid w:val="00B55862"/>
    <w:rsid w:val="00B55D65"/>
    <w:rsid w:val="00B56305"/>
    <w:rsid w:val="00B57000"/>
    <w:rsid w:val="00B60939"/>
    <w:rsid w:val="00B60AFD"/>
    <w:rsid w:val="00B6168A"/>
    <w:rsid w:val="00B622E3"/>
    <w:rsid w:val="00B6260E"/>
    <w:rsid w:val="00B62715"/>
    <w:rsid w:val="00B63ED6"/>
    <w:rsid w:val="00B65611"/>
    <w:rsid w:val="00B65953"/>
    <w:rsid w:val="00B67E53"/>
    <w:rsid w:val="00B70BE2"/>
    <w:rsid w:val="00B70E8E"/>
    <w:rsid w:val="00B75F91"/>
    <w:rsid w:val="00B76A99"/>
    <w:rsid w:val="00B76C92"/>
    <w:rsid w:val="00B7749B"/>
    <w:rsid w:val="00B80EFD"/>
    <w:rsid w:val="00B818A4"/>
    <w:rsid w:val="00B83739"/>
    <w:rsid w:val="00B84117"/>
    <w:rsid w:val="00B858F0"/>
    <w:rsid w:val="00B85AA2"/>
    <w:rsid w:val="00B8649C"/>
    <w:rsid w:val="00B8695D"/>
    <w:rsid w:val="00B87F0A"/>
    <w:rsid w:val="00B9279E"/>
    <w:rsid w:val="00B92D0B"/>
    <w:rsid w:val="00B94945"/>
    <w:rsid w:val="00B94DD6"/>
    <w:rsid w:val="00B953E1"/>
    <w:rsid w:val="00BA322D"/>
    <w:rsid w:val="00BA337A"/>
    <w:rsid w:val="00BA63FA"/>
    <w:rsid w:val="00BA7B67"/>
    <w:rsid w:val="00BB00B3"/>
    <w:rsid w:val="00BB0BDD"/>
    <w:rsid w:val="00BB176C"/>
    <w:rsid w:val="00BB2A73"/>
    <w:rsid w:val="00BB36E8"/>
    <w:rsid w:val="00BB3A45"/>
    <w:rsid w:val="00BB4ACC"/>
    <w:rsid w:val="00BB6A22"/>
    <w:rsid w:val="00BB703E"/>
    <w:rsid w:val="00BB732D"/>
    <w:rsid w:val="00BB7405"/>
    <w:rsid w:val="00BC0741"/>
    <w:rsid w:val="00BC3631"/>
    <w:rsid w:val="00BC43B7"/>
    <w:rsid w:val="00BC4BF5"/>
    <w:rsid w:val="00BC4F56"/>
    <w:rsid w:val="00BC591F"/>
    <w:rsid w:val="00BC7D6D"/>
    <w:rsid w:val="00BD0C09"/>
    <w:rsid w:val="00BD14F9"/>
    <w:rsid w:val="00BD1FB6"/>
    <w:rsid w:val="00BD2108"/>
    <w:rsid w:val="00BD2921"/>
    <w:rsid w:val="00BD68A3"/>
    <w:rsid w:val="00BD6938"/>
    <w:rsid w:val="00BD6CF3"/>
    <w:rsid w:val="00BD7F72"/>
    <w:rsid w:val="00BE0B7D"/>
    <w:rsid w:val="00BE0ECA"/>
    <w:rsid w:val="00BE2180"/>
    <w:rsid w:val="00BE21F2"/>
    <w:rsid w:val="00BE4275"/>
    <w:rsid w:val="00BE596B"/>
    <w:rsid w:val="00BE62FA"/>
    <w:rsid w:val="00BE6604"/>
    <w:rsid w:val="00BF06AE"/>
    <w:rsid w:val="00BF0F95"/>
    <w:rsid w:val="00BF2433"/>
    <w:rsid w:val="00BF2E6E"/>
    <w:rsid w:val="00BF32C5"/>
    <w:rsid w:val="00BF61C9"/>
    <w:rsid w:val="00BF6C94"/>
    <w:rsid w:val="00C00424"/>
    <w:rsid w:val="00C00BB0"/>
    <w:rsid w:val="00C016B7"/>
    <w:rsid w:val="00C0263B"/>
    <w:rsid w:val="00C02D52"/>
    <w:rsid w:val="00C02EFB"/>
    <w:rsid w:val="00C03A63"/>
    <w:rsid w:val="00C052BE"/>
    <w:rsid w:val="00C06246"/>
    <w:rsid w:val="00C0639C"/>
    <w:rsid w:val="00C11741"/>
    <w:rsid w:val="00C1179F"/>
    <w:rsid w:val="00C127B9"/>
    <w:rsid w:val="00C128FA"/>
    <w:rsid w:val="00C12C14"/>
    <w:rsid w:val="00C14CA5"/>
    <w:rsid w:val="00C15ACF"/>
    <w:rsid w:val="00C15F04"/>
    <w:rsid w:val="00C16B34"/>
    <w:rsid w:val="00C179B3"/>
    <w:rsid w:val="00C17E3F"/>
    <w:rsid w:val="00C200AA"/>
    <w:rsid w:val="00C20E1F"/>
    <w:rsid w:val="00C211F2"/>
    <w:rsid w:val="00C2319D"/>
    <w:rsid w:val="00C237ED"/>
    <w:rsid w:val="00C23C2B"/>
    <w:rsid w:val="00C23DD5"/>
    <w:rsid w:val="00C24632"/>
    <w:rsid w:val="00C25418"/>
    <w:rsid w:val="00C25D9C"/>
    <w:rsid w:val="00C2778B"/>
    <w:rsid w:val="00C30A6E"/>
    <w:rsid w:val="00C3159F"/>
    <w:rsid w:val="00C31649"/>
    <w:rsid w:val="00C318B5"/>
    <w:rsid w:val="00C33A15"/>
    <w:rsid w:val="00C3434C"/>
    <w:rsid w:val="00C34C7F"/>
    <w:rsid w:val="00C35900"/>
    <w:rsid w:val="00C369BF"/>
    <w:rsid w:val="00C40385"/>
    <w:rsid w:val="00C40D6C"/>
    <w:rsid w:val="00C41768"/>
    <w:rsid w:val="00C42E28"/>
    <w:rsid w:val="00C4364D"/>
    <w:rsid w:val="00C454E7"/>
    <w:rsid w:val="00C475AA"/>
    <w:rsid w:val="00C47FC7"/>
    <w:rsid w:val="00C50252"/>
    <w:rsid w:val="00C527C7"/>
    <w:rsid w:val="00C53C98"/>
    <w:rsid w:val="00C56FCF"/>
    <w:rsid w:val="00C57B6C"/>
    <w:rsid w:val="00C606DB"/>
    <w:rsid w:val="00C608A4"/>
    <w:rsid w:val="00C61A59"/>
    <w:rsid w:val="00C628A6"/>
    <w:rsid w:val="00C64344"/>
    <w:rsid w:val="00C65108"/>
    <w:rsid w:val="00C65576"/>
    <w:rsid w:val="00C66165"/>
    <w:rsid w:val="00C6618A"/>
    <w:rsid w:val="00C7060A"/>
    <w:rsid w:val="00C7151A"/>
    <w:rsid w:val="00C717E3"/>
    <w:rsid w:val="00C71F60"/>
    <w:rsid w:val="00C72241"/>
    <w:rsid w:val="00C7284F"/>
    <w:rsid w:val="00C73613"/>
    <w:rsid w:val="00C750C8"/>
    <w:rsid w:val="00C7560F"/>
    <w:rsid w:val="00C75C01"/>
    <w:rsid w:val="00C76503"/>
    <w:rsid w:val="00C808DE"/>
    <w:rsid w:val="00C80A0E"/>
    <w:rsid w:val="00C80FA0"/>
    <w:rsid w:val="00C8213F"/>
    <w:rsid w:val="00C8303F"/>
    <w:rsid w:val="00C83692"/>
    <w:rsid w:val="00C84133"/>
    <w:rsid w:val="00C85154"/>
    <w:rsid w:val="00C85A70"/>
    <w:rsid w:val="00C85B8C"/>
    <w:rsid w:val="00C8797A"/>
    <w:rsid w:val="00C900B8"/>
    <w:rsid w:val="00C900D4"/>
    <w:rsid w:val="00C90197"/>
    <w:rsid w:val="00C908ED"/>
    <w:rsid w:val="00C90C71"/>
    <w:rsid w:val="00C91BE5"/>
    <w:rsid w:val="00C91FD1"/>
    <w:rsid w:val="00C92358"/>
    <w:rsid w:val="00C92DFF"/>
    <w:rsid w:val="00C93123"/>
    <w:rsid w:val="00C931CF"/>
    <w:rsid w:val="00C937C8"/>
    <w:rsid w:val="00C938CF"/>
    <w:rsid w:val="00C94053"/>
    <w:rsid w:val="00C9624D"/>
    <w:rsid w:val="00C96717"/>
    <w:rsid w:val="00C969DA"/>
    <w:rsid w:val="00CA141B"/>
    <w:rsid w:val="00CA1BD3"/>
    <w:rsid w:val="00CA1D9B"/>
    <w:rsid w:val="00CA29D5"/>
    <w:rsid w:val="00CA2C77"/>
    <w:rsid w:val="00CA2D66"/>
    <w:rsid w:val="00CA444F"/>
    <w:rsid w:val="00CA5245"/>
    <w:rsid w:val="00CA71F4"/>
    <w:rsid w:val="00CA7B09"/>
    <w:rsid w:val="00CB0CCE"/>
    <w:rsid w:val="00CB12A5"/>
    <w:rsid w:val="00CB1CAC"/>
    <w:rsid w:val="00CB2F2A"/>
    <w:rsid w:val="00CB2FBA"/>
    <w:rsid w:val="00CB32AE"/>
    <w:rsid w:val="00CB5B1A"/>
    <w:rsid w:val="00CB6B22"/>
    <w:rsid w:val="00CB6F5B"/>
    <w:rsid w:val="00CB7F5F"/>
    <w:rsid w:val="00CC1B39"/>
    <w:rsid w:val="00CC1BFA"/>
    <w:rsid w:val="00CC1E7A"/>
    <w:rsid w:val="00CC2E9F"/>
    <w:rsid w:val="00CC35EA"/>
    <w:rsid w:val="00CC3848"/>
    <w:rsid w:val="00CC3FDF"/>
    <w:rsid w:val="00CC6D5E"/>
    <w:rsid w:val="00CC6F99"/>
    <w:rsid w:val="00CC7B76"/>
    <w:rsid w:val="00CC7FBD"/>
    <w:rsid w:val="00CD0200"/>
    <w:rsid w:val="00CD14A3"/>
    <w:rsid w:val="00CD386A"/>
    <w:rsid w:val="00CD3F77"/>
    <w:rsid w:val="00CD4FAB"/>
    <w:rsid w:val="00CD51BD"/>
    <w:rsid w:val="00CD546E"/>
    <w:rsid w:val="00CD5D27"/>
    <w:rsid w:val="00CD68D0"/>
    <w:rsid w:val="00CD6ADC"/>
    <w:rsid w:val="00CD7193"/>
    <w:rsid w:val="00CD75B0"/>
    <w:rsid w:val="00CE295B"/>
    <w:rsid w:val="00CE38C8"/>
    <w:rsid w:val="00CE4F63"/>
    <w:rsid w:val="00CE5015"/>
    <w:rsid w:val="00CE524F"/>
    <w:rsid w:val="00CE526D"/>
    <w:rsid w:val="00CE58CC"/>
    <w:rsid w:val="00CE6274"/>
    <w:rsid w:val="00CE63E8"/>
    <w:rsid w:val="00CE7231"/>
    <w:rsid w:val="00CE77B6"/>
    <w:rsid w:val="00CF141F"/>
    <w:rsid w:val="00CF2B8D"/>
    <w:rsid w:val="00CF349B"/>
    <w:rsid w:val="00CF3A1B"/>
    <w:rsid w:val="00CF456B"/>
    <w:rsid w:val="00CF461D"/>
    <w:rsid w:val="00CF5A22"/>
    <w:rsid w:val="00CF5ECF"/>
    <w:rsid w:val="00CF6D9F"/>
    <w:rsid w:val="00D00E60"/>
    <w:rsid w:val="00D00FAC"/>
    <w:rsid w:val="00D0262E"/>
    <w:rsid w:val="00D03679"/>
    <w:rsid w:val="00D05E3D"/>
    <w:rsid w:val="00D06139"/>
    <w:rsid w:val="00D1063F"/>
    <w:rsid w:val="00D10753"/>
    <w:rsid w:val="00D110BD"/>
    <w:rsid w:val="00D12717"/>
    <w:rsid w:val="00D13675"/>
    <w:rsid w:val="00D141E1"/>
    <w:rsid w:val="00D15314"/>
    <w:rsid w:val="00D15AEB"/>
    <w:rsid w:val="00D15B48"/>
    <w:rsid w:val="00D17D6C"/>
    <w:rsid w:val="00D20164"/>
    <w:rsid w:val="00D2155B"/>
    <w:rsid w:val="00D21B9C"/>
    <w:rsid w:val="00D221AB"/>
    <w:rsid w:val="00D23D11"/>
    <w:rsid w:val="00D244B6"/>
    <w:rsid w:val="00D25AD2"/>
    <w:rsid w:val="00D2754D"/>
    <w:rsid w:val="00D27B27"/>
    <w:rsid w:val="00D30D5B"/>
    <w:rsid w:val="00D329D2"/>
    <w:rsid w:val="00D335CD"/>
    <w:rsid w:val="00D33BE9"/>
    <w:rsid w:val="00D33F93"/>
    <w:rsid w:val="00D3474F"/>
    <w:rsid w:val="00D357FF"/>
    <w:rsid w:val="00D376F8"/>
    <w:rsid w:val="00D4026D"/>
    <w:rsid w:val="00D40AE4"/>
    <w:rsid w:val="00D424C7"/>
    <w:rsid w:val="00D43B2A"/>
    <w:rsid w:val="00D43CF1"/>
    <w:rsid w:val="00D43D83"/>
    <w:rsid w:val="00D47575"/>
    <w:rsid w:val="00D50084"/>
    <w:rsid w:val="00D5243B"/>
    <w:rsid w:val="00D533EC"/>
    <w:rsid w:val="00D53896"/>
    <w:rsid w:val="00D56A95"/>
    <w:rsid w:val="00D6076E"/>
    <w:rsid w:val="00D61644"/>
    <w:rsid w:val="00D663AF"/>
    <w:rsid w:val="00D70F16"/>
    <w:rsid w:val="00D70FC9"/>
    <w:rsid w:val="00D72617"/>
    <w:rsid w:val="00D72F57"/>
    <w:rsid w:val="00D73613"/>
    <w:rsid w:val="00D74917"/>
    <w:rsid w:val="00D75A77"/>
    <w:rsid w:val="00D76A44"/>
    <w:rsid w:val="00D8057F"/>
    <w:rsid w:val="00D815EF"/>
    <w:rsid w:val="00D81949"/>
    <w:rsid w:val="00D81F26"/>
    <w:rsid w:val="00D822E2"/>
    <w:rsid w:val="00D828CC"/>
    <w:rsid w:val="00D843F2"/>
    <w:rsid w:val="00D84658"/>
    <w:rsid w:val="00D84DF0"/>
    <w:rsid w:val="00D8617D"/>
    <w:rsid w:val="00D86231"/>
    <w:rsid w:val="00D86D91"/>
    <w:rsid w:val="00D90CEE"/>
    <w:rsid w:val="00D912AB"/>
    <w:rsid w:val="00D91923"/>
    <w:rsid w:val="00D9197C"/>
    <w:rsid w:val="00D93753"/>
    <w:rsid w:val="00D967A7"/>
    <w:rsid w:val="00DA03F7"/>
    <w:rsid w:val="00DA3167"/>
    <w:rsid w:val="00DA3F77"/>
    <w:rsid w:val="00DA4004"/>
    <w:rsid w:val="00DA4BB5"/>
    <w:rsid w:val="00DA4DC3"/>
    <w:rsid w:val="00DA5935"/>
    <w:rsid w:val="00DA65D6"/>
    <w:rsid w:val="00DA77A5"/>
    <w:rsid w:val="00DA7806"/>
    <w:rsid w:val="00DA7B2B"/>
    <w:rsid w:val="00DA7F6C"/>
    <w:rsid w:val="00DB00F3"/>
    <w:rsid w:val="00DB0E36"/>
    <w:rsid w:val="00DB18B2"/>
    <w:rsid w:val="00DB3DBF"/>
    <w:rsid w:val="00DB484F"/>
    <w:rsid w:val="00DB4CFC"/>
    <w:rsid w:val="00DB770E"/>
    <w:rsid w:val="00DC04F6"/>
    <w:rsid w:val="00DC0690"/>
    <w:rsid w:val="00DC1D65"/>
    <w:rsid w:val="00DC2A6A"/>
    <w:rsid w:val="00DC34BB"/>
    <w:rsid w:val="00DC3C57"/>
    <w:rsid w:val="00DC5501"/>
    <w:rsid w:val="00DC5DE4"/>
    <w:rsid w:val="00DC7154"/>
    <w:rsid w:val="00DC7E8A"/>
    <w:rsid w:val="00DD0381"/>
    <w:rsid w:val="00DD0F78"/>
    <w:rsid w:val="00DD273C"/>
    <w:rsid w:val="00DD2A5E"/>
    <w:rsid w:val="00DD3F28"/>
    <w:rsid w:val="00DD4446"/>
    <w:rsid w:val="00DD4537"/>
    <w:rsid w:val="00DD4E15"/>
    <w:rsid w:val="00DD61D5"/>
    <w:rsid w:val="00DD7289"/>
    <w:rsid w:val="00DE2304"/>
    <w:rsid w:val="00DE3138"/>
    <w:rsid w:val="00DE34E5"/>
    <w:rsid w:val="00DE37F8"/>
    <w:rsid w:val="00DE38A2"/>
    <w:rsid w:val="00DE4273"/>
    <w:rsid w:val="00DE4FCB"/>
    <w:rsid w:val="00DE5D07"/>
    <w:rsid w:val="00DE72A7"/>
    <w:rsid w:val="00DE7832"/>
    <w:rsid w:val="00DE7CDF"/>
    <w:rsid w:val="00DF01FF"/>
    <w:rsid w:val="00DF1868"/>
    <w:rsid w:val="00DF18FC"/>
    <w:rsid w:val="00DF5050"/>
    <w:rsid w:val="00DF54E0"/>
    <w:rsid w:val="00DF5D2B"/>
    <w:rsid w:val="00DF6341"/>
    <w:rsid w:val="00DF6452"/>
    <w:rsid w:val="00E00E8E"/>
    <w:rsid w:val="00E01CEC"/>
    <w:rsid w:val="00E032B7"/>
    <w:rsid w:val="00E042A0"/>
    <w:rsid w:val="00E05630"/>
    <w:rsid w:val="00E06DBB"/>
    <w:rsid w:val="00E10149"/>
    <w:rsid w:val="00E11340"/>
    <w:rsid w:val="00E117B4"/>
    <w:rsid w:val="00E122A1"/>
    <w:rsid w:val="00E159EB"/>
    <w:rsid w:val="00E15B24"/>
    <w:rsid w:val="00E16372"/>
    <w:rsid w:val="00E16AD8"/>
    <w:rsid w:val="00E17FFA"/>
    <w:rsid w:val="00E20B1B"/>
    <w:rsid w:val="00E20E4D"/>
    <w:rsid w:val="00E20ED6"/>
    <w:rsid w:val="00E21358"/>
    <w:rsid w:val="00E2249B"/>
    <w:rsid w:val="00E22A0D"/>
    <w:rsid w:val="00E244F6"/>
    <w:rsid w:val="00E258DB"/>
    <w:rsid w:val="00E2771E"/>
    <w:rsid w:val="00E30441"/>
    <w:rsid w:val="00E311EF"/>
    <w:rsid w:val="00E32180"/>
    <w:rsid w:val="00E3219A"/>
    <w:rsid w:val="00E34948"/>
    <w:rsid w:val="00E349DD"/>
    <w:rsid w:val="00E37569"/>
    <w:rsid w:val="00E401B2"/>
    <w:rsid w:val="00E41E30"/>
    <w:rsid w:val="00E42DBD"/>
    <w:rsid w:val="00E42F73"/>
    <w:rsid w:val="00E43D70"/>
    <w:rsid w:val="00E45BA5"/>
    <w:rsid w:val="00E466F3"/>
    <w:rsid w:val="00E47598"/>
    <w:rsid w:val="00E47B2C"/>
    <w:rsid w:val="00E51560"/>
    <w:rsid w:val="00E51821"/>
    <w:rsid w:val="00E531FD"/>
    <w:rsid w:val="00E53FC8"/>
    <w:rsid w:val="00E54347"/>
    <w:rsid w:val="00E543D5"/>
    <w:rsid w:val="00E547DF"/>
    <w:rsid w:val="00E55424"/>
    <w:rsid w:val="00E55915"/>
    <w:rsid w:val="00E55BB5"/>
    <w:rsid w:val="00E5706E"/>
    <w:rsid w:val="00E57D0A"/>
    <w:rsid w:val="00E57E16"/>
    <w:rsid w:val="00E611DF"/>
    <w:rsid w:val="00E61763"/>
    <w:rsid w:val="00E62484"/>
    <w:rsid w:val="00E64031"/>
    <w:rsid w:val="00E651DF"/>
    <w:rsid w:val="00E65DEC"/>
    <w:rsid w:val="00E65E79"/>
    <w:rsid w:val="00E66533"/>
    <w:rsid w:val="00E66BA2"/>
    <w:rsid w:val="00E67416"/>
    <w:rsid w:val="00E67648"/>
    <w:rsid w:val="00E71522"/>
    <w:rsid w:val="00E718B6"/>
    <w:rsid w:val="00E723BA"/>
    <w:rsid w:val="00E72E3C"/>
    <w:rsid w:val="00E73581"/>
    <w:rsid w:val="00E74D0D"/>
    <w:rsid w:val="00E75158"/>
    <w:rsid w:val="00E75C20"/>
    <w:rsid w:val="00E80038"/>
    <w:rsid w:val="00E82494"/>
    <w:rsid w:val="00E833F7"/>
    <w:rsid w:val="00E83BDF"/>
    <w:rsid w:val="00E86FCC"/>
    <w:rsid w:val="00E87A1D"/>
    <w:rsid w:val="00E87B40"/>
    <w:rsid w:val="00E9094A"/>
    <w:rsid w:val="00E9162B"/>
    <w:rsid w:val="00E91695"/>
    <w:rsid w:val="00E91D35"/>
    <w:rsid w:val="00E926A5"/>
    <w:rsid w:val="00E93608"/>
    <w:rsid w:val="00E937DA"/>
    <w:rsid w:val="00E94CD2"/>
    <w:rsid w:val="00E95D5E"/>
    <w:rsid w:val="00E962CC"/>
    <w:rsid w:val="00E972AF"/>
    <w:rsid w:val="00E97BB7"/>
    <w:rsid w:val="00E97E7B"/>
    <w:rsid w:val="00EA17C3"/>
    <w:rsid w:val="00EA2936"/>
    <w:rsid w:val="00EA2CAA"/>
    <w:rsid w:val="00EA379A"/>
    <w:rsid w:val="00EA3864"/>
    <w:rsid w:val="00EA3D22"/>
    <w:rsid w:val="00EA5BD2"/>
    <w:rsid w:val="00EA5DF2"/>
    <w:rsid w:val="00EA7F1C"/>
    <w:rsid w:val="00EB0098"/>
    <w:rsid w:val="00EB0B37"/>
    <w:rsid w:val="00EB15B6"/>
    <w:rsid w:val="00EB3D06"/>
    <w:rsid w:val="00EB4916"/>
    <w:rsid w:val="00EB6AE1"/>
    <w:rsid w:val="00EB7BA5"/>
    <w:rsid w:val="00EC00C9"/>
    <w:rsid w:val="00EC0DD9"/>
    <w:rsid w:val="00EC16B3"/>
    <w:rsid w:val="00EC21CB"/>
    <w:rsid w:val="00EC2649"/>
    <w:rsid w:val="00EC31ED"/>
    <w:rsid w:val="00EC5836"/>
    <w:rsid w:val="00EC688C"/>
    <w:rsid w:val="00EC7AE4"/>
    <w:rsid w:val="00ED12E3"/>
    <w:rsid w:val="00ED4B04"/>
    <w:rsid w:val="00ED545C"/>
    <w:rsid w:val="00ED57EA"/>
    <w:rsid w:val="00ED5BD4"/>
    <w:rsid w:val="00ED6786"/>
    <w:rsid w:val="00EE00FF"/>
    <w:rsid w:val="00EE07D3"/>
    <w:rsid w:val="00EE1996"/>
    <w:rsid w:val="00EE1C01"/>
    <w:rsid w:val="00EE2146"/>
    <w:rsid w:val="00EE22AF"/>
    <w:rsid w:val="00EE6553"/>
    <w:rsid w:val="00EF015C"/>
    <w:rsid w:val="00EF0171"/>
    <w:rsid w:val="00EF036B"/>
    <w:rsid w:val="00EF0455"/>
    <w:rsid w:val="00EF0A5D"/>
    <w:rsid w:val="00EF1B25"/>
    <w:rsid w:val="00EF1DA0"/>
    <w:rsid w:val="00EF4747"/>
    <w:rsid w:val="00EF4BF8"/>
    <w:rsid w:val="00EF549E"/>
    <w:rsid w:val="00F02253"/>
    <w:rsid w:val="00F0267C"/>
    <w:rsid w:val="00F03C2E"/>
    <w:rsid w:val="00F04A66"/>
    <w:rsid w:val="00F04B4B"/>
    <w:rsid w:val="00F0505F"/>
    <w:rsid w:val="00F0516C"/>
    <w:rsid w:val="00F067A2"/>
    <w:rsid w:val="00F06C39"/>
    <w:rsid w:val="00F07655"/>
    <w:rsid w:val="00F07B9E"/>
    <w:rsid w:val="00F10698"/>
    <w:rsid w:val="00F1116F"/>
    <w:rsid w:val="00F1263A"/>
    <w:rsid w:val="00F131B4"/>
    <w:rsid w:val="00F139C5"/>
    <w:rsid w:val="00F14052"/>
    <w:rsid w:val="00F1481C"/>
    <w:rsid w:val="00F15453"/>
    <w:rsid w:val="00F15B77"/>
    <w:rsid w:val="00F167F0"/>
    <w:rsid w:val="00F210B4"/>
    <w:rsid w:val="00F21236"/>
    <w:rsid w:val="00F2156B"/>
    <w:rsid w:val="00F239DF"/>
    <w:rsid w:val="00F23D76"/>
    <w:rsid w:val="00F24837"/>
    <w:rsid w:val="00F2575F"/>
    <w:rsid w:val="00F27565"/>
    <w:rsid w:val="00F30695"/>
    <w:rsid w:val="00F310D4"/>
    <w:rsid w:val="00F31D5A"/>
    <w:rsid w:val="00F32B6E"/>
    <w:rsid w:val="00F33975"/>
    <w:rsid w:val="00F33DE9"/>
    <w:rsid w:val="00F35E6D"/>
    <w:rsid w:val="00F3619A"/>
    <w:rsid w:val="00F377F3"/>
    <w:rsid w:val="00F37FF0"/>
    <w:rsid w:val="00F40AAA"/>
    <w:rsid w:val="00F40BA7"/>
    <w:rsid w:val="00F40F9D"/>
    <w:rsid w:val="00F41ACD"/>
    <w:rsid w:val="00F43B74"/>
    <w:rsid w:val="00F46CB6"/>
    <w:rsid w:val="00F4756D"/>
    <w:rsid w:val="00F47DE8"/>
    <w:rsid w:val="00F50C16"/>
    <w:rsid w:val="00F50F0F"/>
    <w:rsid w:val="00F519AC"/>
    <w:rsid w:val="00F51C1E"/>
    <w:rsid w:val="00F5399D"/>
    <w:rsid w:val="00F53AD8"/>
    <w:rsid w:val="00F54192"/>
    <w:rsid w:val="00F542C1"/>
    <w:rsid w:val="00F546D2"/>
    <w:rsid w:val="00F550E3"/>
    <w:rsid w:val="00F55E73"/>
    <w:rsid w:val="00F55EDA"/>
    <w:rsid w:val="00F56C80"/>
    <w:rsid w:val="00F57231"/>
    <w:rsid w:val="00F60092"/>
    <w:rsid w:val="00F6114A"/>
    <w:rsid w:val="00F61C18"/>
    <w:rsid w:val="00F61E99"/>
    <w:rsid w:val="00F634CD"/>
    <w:rsid w:val="00F64070"/>
    <w:rsid w:val="00F651CB"/>
    <w:rsid w:val="00F65F4B"/>
    <w:rsid w:val="00F67A69"/>
    <w:rsid w:val="00F70BFF"/>
    <w:rsid w:val="00F70C8B"/>
    <w:rsid w:val="00F70C9D"/>
    <w:rsid w:val="00F72489"/>
    <w:rsid w:val="00F72F0D"/>
    <w:rsid w:val="00F73E08"/>
    <w:rsid w:val="00F7436C"/>
    <w:rsid w:val="00F74CD9"/>
    <w:rsid w:val="00F74E36"/>
    <w:rsid w:val="00F74FFE"/>
    <w:rsid w:val="00F7760C"/>
    <w:rsid w:val="00F80A7B"/>
    <w:rsid w:val="00F80E5D"/>
    <w:rsid w:val="00F81773"/>
    <w:rsid w:val="00F81E78"/>
    <w:rsid w:val="00F824C5"/>
    <w:rsid w:val="00F82766"/>
    <w:rsid w:val="00F83916"/>
    <w:rsid w:val="00F851CE"/>
    <w:rsid w:val="00F8620A"/>
    <w:rsid w:val="00F90257"/>
    <w:rsid w:val="00F9061F"/>
    <w:rsid w:val="00F90F8C"/>
    <w:rsid w:val="00F91219"/>
    <w:rsid w:val="00F92444"/>
    <w:rsid w:val="00F92C22"/>
    <w:rsid w:val="00F931CB"/>
    <w:rsid w:val="00F93303"/>
    <w:rsid w:val="00F9393E"/>
    <w:rsid w:val="00F9413A"/>
    <w:rsid w:val="00F94671"/>
    <w:rsid w:val="00F96C06"/>
    <w:rsid w:val="00F96FD0"/>
    <w:rsid w:val="00F9753B"/>
    <w:rsid w:val="00F97A78"/>
    <w:rsid w:val="00FA0B20"/>
    <w:rsid w:val="00FA1206"/>
    <w:rsid w:val="00FA17F7"/>
    <w:rsid w:val="00FA24E7"/>
    <w:rsid w:val="00FA27C4"/>
    <w:rsid w:val="00FA5EE6"/>
    <w:rsid w:val="00FA7956"/>
    <w:rsid w:val="00FA7EA8"/>
    <w:rsid w:val="00FB0824"/>
    <w:rsid w:val="00FB0C7C"/>
    <w:rsid w:val="00FB1E53"/>
    <w:rsid w:val="00FB2FCB"/>
    <w:rsid w:val="00FB4C9C"/>
    <w:rsid w:val="00FB7C55"/>
    <w:rsid w:val="00FC0502"/>
    <w:rsid w:val="00FC1074"/>
    <w:rsid w:val="00FC1884"/>
    <w:rsid w:val="00FC371D"/>
    <w:rsid w:val="00FC5F01"/>
    <w:rsid w:val="00FC5F0B"/>
    <w:rsid w:val="00FC65CF"/>
    <w:rsid w:val="00FD175B"/>
    <w:rsid w:val="00FD2100"/>
    <w:rsid w:val="00FD215A"/>
    <w:rsid w:val="00FD36DB"/>
    <w:rsid w:val="00FD436C"/>
    <w:rsid w:val="00FD446D"/>
    <w:rsid w:val="00FD4968"/>
    <w:rsid w:val="00FD4A41"/>
    <w:rsid w:val="00FD4F2C"/>
    <w:rsid w:val="00FD5149"/>
    <w:rsid w:val="00FD6394"/>
    <w:rsid w:val="00FD7955"/>
    <w:rsid w:val="00FE0E6C"/>
    <w:rsid w:val="00FE1CDC"/>
    <w:rsid w:val="00FE34F8"/>
    <w:rsid w:val="00FE3BE6"/>
    <w:rsid w:val="00FE4BBB"/>
    <w:rsid w:val="00FE70C3"/>
    <w:rsid w:val="00FF1A8B"/>
    <w:rsid w:val="00FF2AD9"/>
    <w:rsid w:val="00FF359F"/>
    <w:rsid w:val="00FF3C30"/>
    <w:rsid w:val="00FF3CD2"/>
    <w:rsid w:val="00FF3DCF"/>
    <w:rsid w:val="00FF492C"/>
    <w:rsid w:val="00FF4A21"/>
    <w:rsid w:val="00FF5AA3"/>
    <w:rsid w:val="00FF5AD8"/>
    <w:rsid w:val="00FF77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5D2"/>
    <w:rPr>
      <w:rFonts w:asciiTheme="minorHAnsi" w:hAnsiTheme="minorHAnsi"/>
      <w:sz w:val="24"/>
      <w:szCs w:val="24"/>
      <w:lang w:eastAsia="en-GB"/>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Char"/>
    <w:basedOn w:val="Normal"/>
    <w:next w:val="Normal"/>
    <w:link w:val="CaptionChar"/>
    <w:uiPriority w:val="1"/>
    <w:unhideWhenUsed/>
    <w:qFormat/>
    <w:rsid w:val="00E16AD8"/>
    <w:pPr>
      <w:keepNext/>
      <w:keepLines/>
    </w:pPr>
    <w:rPr>
      <w:rFonts w:ascii="Arial Narrow" w:hAnsi="Arial Narrow"/>
      <w:b/>
      <w:bCs/>
      <w:sz w:val="20"/>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1"/>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1. Bullet Blank,Bullet1,Bulleted - 2,Bullets Points,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1. Bullet Blank Char,Bullet1 Char,Bulleted - 2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eader Table,Source table_,NICE instructions,HealthConsult,RTI AMCP Table,YHEC table,Lash Style Table,HTAtableplain,Dossier table,Section 3- footnote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Table HEADER PBAC,Annotationmark"/>
    <w:qFormat/>
    <w:rsid w:val="001E30D4"/>
    <w:rPr>
      <w:rFonts w:ascii="Arial Narrow" w:hAnsi="Arial Narrow"/>
      <w:b/>
      <w:sz w:val="20"/>
      <w:szCs w:val="16"/>
    </w:rPr>
  </w:style>
  <w:style w:type="paragraph" w:customStyle="1" w:styleId="Tabletext">
    <w:name w:val="Table text"/>
    <w:basedOn w:val="Normal"/>
    <w:link w:val="TabletextChar"/>
    <w:rsid w:val="00A518F3"/>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pPr>
    <w:rPr>
      <w:rFonts w:ascii="Times New Roman" w:hAnsi="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B7749B"/>
    <w:pPr>
      <w:tabs>
        <w:tab w:val="left" w:pos="440"/>
        <w:tab w:val="right" w:leader="dot" w:pos="9016"/>
      </w:tabs>
      <w:spacing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sz w:val="20"/>
    </w:rPr>
  </w:style>
  <w:style w:type="paragraph" w:styleId="TOC4">
    <w:name w:val="toc 4"/>
    <w:basedOn w:val="Normal"/>
    <w:next w:val="Normal"/>
    <w:autoRedefine/>
    <w:rsid w:val="00D0262E"/>
    <w:pPr>
      <w:ind w:left="660"/>
    </w:pPr>
    <w:rPr>
      <w:sz w:val="20"/>
    </w:rPr>
  </w:style>
  <w:style w:type="paragraph" w:styleId="TOC5">
    <w:name w:val="toc 5"/>
    <w:basedOn w:val="Normal"/>
    <w:next w:val="Normal"/>
    <w:autoRedefine/>
    <w:rsid w:val="00D0262E"/>
    <w:pPr>
      <w:ind w:left="880"/>
    </w:pPr>
    <w:rPr>
      <w:sz w:val="20"/>
    </w:rPr>
  </w:style>
  <w:style w:type="paragraph" w:styleId="TOC6">
    <w:name w:val="toc 6"/>
    <w:basedOn w:val="Normal"/>
    <w:next w:val="Normal"/>
    <w:autoRedefine/>
    <w:rsid w:val="00D0262E"/>
    <w:pPr>
      <w:ind w:left="1100"/>
    </w:pPr>
    <w:rPr>
      <w:sz w:val="20"/>
    </w:rPr>
  </w:style>
  <w:style w:type="paragraph" w:styleId="TOC7">
    <w:name w:val="toc 7"/>
    <w:basedOn w:val="Normal"/>
    <w:next w:val="Normal"/>
    <w:autoRedefine/>
    <w:rsid w:val="00D0262E"/>
    <w:pPr>
      <w:ind w:left="1320"/>
    </w:pPr>
    <w:rPr>
      <w:sz w:val="20"/>
    </w:rPr>
  </w:style>
  <w:style w:type="paragraph" w:styleId="TOC8">
    <w:name w:val="toc 8"/>
    <w:basedOn w:val="Normal"/>
    <w:next w:val="Normal"/>
    <w:autoRedefine/>
    <w:rsid w:val="00D0262E"/>
    <w:pPr>
      <w:ind w:left="1540"/>
    </w:pPr>
    <w:rPr>
      <w:sz w:val="20"/>
    </w:rPr>
  </w:style>
  <w:style w:type="paragraph" w:styleId="TOC9">
    <w:name w:val="toc 9"/>
    <w:basedOn w:val="Normal"/>
    <w:next w:val="Normal"/>
    <w:autoRedefine/>
    <w:rsid w:val="00D0262E"/>
    <w:pPr>
      <w:ind w:left="1760"/>
    </w:pPr>
    <w:rPr>
      <w:sz w:val="20"/>
    </w:rPr>
  </w:style>
  <w:style w:type="paragraph" w:styleId="CommentText">
    <w:name w:val="annotation text"/>
    <w:aliases w:val="- H19,Annotationtext, Char,Char2,Comment Text Char1 Char,Comment Text Char Char Char,list paragraph 2,Comment Text ZS,Comment Text Char Char,Comment Text Char2 Char,Comment Text Char Char1 Char, Car17, Car17 Car,Car17,Car17 Car,Char1"/>
    <w:basedOn w:val="Normal"/>
    <w:link w:val="CommentTextChar"/>
    <w:qFormat/>
    <w:rsid w:val="00FD2100"/>
    <w:rPr>
      <w:rFonts w:ascii="Times New Roman" w:hAnsi="Times New Roman"/>
      <w:sz w:val="20"/>
    </w:rPr>
  </w:style>
  <w:style w:type="character" w:customStyle="1" w:styleId="CommentTextChar">
    <w:name w:val="Comment Text Char"/>
    <w:aliases w:val="- H19 Char,Annotationtext Char, Char Char,Char2 Char,Comment Text Char1 Char Char,Comment Text Char Char Char Char,list paragraph 2 Char,Comment Text ZS Char,Comment Text Char Char Char1,Comment Text Char2 Char Char, Car17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eastAsia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eastAsiaTheme="majorEastAsia"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8"/>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1C16B3"/>
    <w:rPr>
      <w:sz w:val="20"/>
      <w:szCs w:val="20"/>
    </w:rPr>
  </w:style>
  <w:style w:type="character" w:customStyle="1" w:styleId="FootnoteTextChar">
    <w:name w:val="Footnote Text Char"/>
    <w:basedOn w:val="DefaultParagraphFont"/>
    <w:link w:val="FootnoteText"/>
    <w:semiHidden/>
    <w:rsid w:val="001C16B3"/>
    <w:rPr>
      <w:rFonts w:ascii="Calibri" w:hAnsi="Calibri"/>
      <w:lang w:eastAsia="en-GB"/>
    </w:rPr>
  </w:style>
  <w:style w:type="character" w:styleId="FootnoteReference">
    <w:name w:val="footnote reference"/>
    <w:basedOn w:val="DefaultParagraphFont"/>
    <w:semiHidden/>
    <w:unhideWhenUsed/>
    <w:rsid w:val="001C16B3"/>
    <w:rPr>
      <w:vertAlign w:val="superscript"/>
    </w:rPr>
  </w:style>
  <w:style w:type="table" w:customStyle="1" w:styleId="Summarybox2">
    <w:name w:val="Summary box2"/>
    <w:basedOn w:val="TableNormal"/>
    <w:uiPriority w:val="59"/>
    <w:rsid w:val="001C16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623222"/>
    <w:pPr>
      <w:spacing w:before="40" w:after="40"/>
    </w:pPr>
    <w:rPr>
      <w:rFonts w:ascii="Arial Narrow" w:hAnsi="Arial Narrow"/>
      <w:sz w:val="20"/>
      <w:szCs w:val="20"/>
      <w:lang w:eastAsia="en-US"/>
    </w:rPr>
  </w:style>
  <w:style w:type="character" w:customStyle="1" w:styleId="PBACTableTextChar">
    <w:name w:val="PBAC Table Text Char"/>
    <w:basedOn w:val="DefaultParagraphFont"/>
    <w:link w:val="PBACTableText"/>
    <w:rsid w:val="00623222"/>
    <w:rPr>
      <w:rFonts w:ascii="Arial Narrow" w:hAnsi="Arial Narrow"/>
      <w:lang w:eastAsia="en-US"/>
    </w:rPr>
  </w:style>
  <w:style w:type="paragraph" w:customStyle="1" w:styleId="PbacTableHeading">
    <w:name w:val="Pbac Table Heading"/>
    <w:basedOn w:val="PBACTableText"/>
    <w:rsid w:val="00623222"/>
    <w:pPr>
      <w:spacing w:before="0" w:after="80"/>
    </w:pPr>
    <w:rPr>
      <w:rFonts w:eastAsiaTheme="minorHAnsi" w:cs="Arial"/>
      <w:b/>
    </w:rPr>
  </w:style>
  <w:style w:type="character" w:styleId="UnresolvedMention">
    <w:name w:val="Unresolved Mention"/>
    <w:basedOn w:val="DefaultParagraphFont"/>
    <w:uiPriority w:val="99"/>
    <w:semiHidden/>
    <w:unhideWhenUsed/>
    <w:rsid w:val="00E543D5"/>
    <w:rPr>
      <w:color w:val="605E5C"/>
      <w:shd w:val="clear" w:color="auto" w:fill="E1DFDD"/>
    </w:rPr>
  </w:style>
  <w:style w:type="paragraph" w:customStyle="1" w:styleId="TableNotes">
    <w:name w:val="Table Notes"/>
    <w:basedOn w:val="Normal"/>
    <w:next w:val="Normal"/>
    <w:link w:val="TableNotesChar"/>
    <w:qFormat/>
    <w:rsid w:val="00ED6786"/>
    <w:pPr>
      <w:keepNext/>
      <w:keepLines/>
      <w:widowControl w:val="0"/>
    </w:pPr>
    <w:rPr>
      <w:rFonts w:ascii="Trebuchet MS" w:hAnsi="Trebuchet MS"/>
      <w:color w:val="000000"/>
      <w:sz w:val="16"/>
    </w:rPr>
  </w:style>
  <w:style w:type="character" w:customStyle="1" w:styleId="TableNotesChar">
    <w:name w:val="Table Notes Char"/>
    <w:link w:val="TableNotes"/>
    <w:rsid w:val="00ED6786"/>
    <w:rPr>
      <w:rFonts w:ascii="Trebuchet MS" w:hAnsi="Trebuchet MS"/>
      <w:color w:val="000000"/>
      <w:sz w:val="16"/>
      <w:szCs w:val="24"/>
    </w:rPr>
  </w:style>
  <w:style w:type="character" w:styleId="Strong">
    <w:name w:val="Strong"/>
    <w:basedOn w:val="DefaultParagraphFont"/>
    <w:uiPriority w:val="22"/>
    <w:qFormat/>
    <w:rsid w:val="00CB0CCE"/>
    <w:rPr>
      <w:b/>
      <w:bCs/>
    </w:rPr>
  </w:style>
  <w:style w:type="character" w:customStyle="1" w:styleId="normaltextrun">
    <w:name w:val="normaltextrun"/>
    <w:basedOn w:val="DefaultParagraphFont"/>
    <w:rsid w:val="001D0022"/>
  </w:style>
  <w:style w:type="paragraph" w:customStyle="1" w:styleId="Tablenotes1">
    <w:name w:val="Table notes"/>
    <w:basedOn w:val="Normal"/>
    <w:link w:val="TablenotesChar0"/>
    <w:qFormat/>
    <w:rsid w:val="00C20E1F"/>
    <w:rPr>
      <w:rFonts w:ascii="Trebuchet MS" w:hAnsi="Trebuchet MS"/>
      <w:sz w:val="16"/>
      <w:szCs w:val="20"/>
      <w:lang w:eastAsia="en-US"/>
    </w:rPr>
  </w:style>
  <w:style w:type="character" w:customStyle="1" w:styleId="TablenotesChar0">
    <w:name w:val="Table notes Char"/>
    <w:basedOn w:val="DefaultParagraphFont"/>
    <w:link w:val="Tablenotes1"/>
    <w:rsid w:val="00C20E1F"/>
    <w:rPr>
      <w:rFonts w:ascii="Trebuchet MS" w:hAnsi="Trebuchet MS"/>
      <w:sz w:val="16"/>
      <w:lang w:eastAsia="en-US"/>
    </w:rPr>
  </w:style>
  <w:style w:type="table" w:customStyle="1" w:styleId="TableGrid1">
    <w:name w:val="Table Grid1"/>
    <w:basedOn w:val="TableNormal"/>
    <w:next w:val="TableGrid"/>
    <w:uiPriority w:val="39"/>
    <w:rsid w:val="00BC4F56"/>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tyle1">
    <w:name w:val="new style1"/>
    <w:basedOn w:val="TableNormal"/>
    <w:next w:val="TableGrid"/>
    <w:rsid w:val="0049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7347B0"/>
    <w:pPr>
      <w:keepNext/>
      <w:spacing w:before="120" w:after="120"/>
      <w:jc w:val="both"/>
      <w:outlineLvl w:val="9"/>
    </w:pPr>
    <w:rPr>
      <w:rFonts w:eastAsiaTheme="majorEastAsia" w:cstheme="majorBidi"/>
      <w:spacing w:val="5"/>
      <w:kern w:val="28"/>
      <w:szCs w:val="36"/>
      <w:lang w:eastAsia="en-US"/>
    </w:rPr>
  </w:style>
  <w:style w:type="character" w:customStyle="1" w:styleId="3-SubsectionHeadingChar">
    <w:name w:val="3-Subsection Heading Char"/>
    <w:basedOn w:val="Heading2Char"/>
    <w:link w:val="3-SubsectionHeading"/>
    <w:rsid w:val="007347B0"/>
    <w:rPr>
      <w:rFonts w:asciiTheme="minorHAnsi" w:eastAsiaTheme="majorEastAsia" w:hAnsiTheme="minorHAnsi" w:cstheme="majorBidi"/>
      <w:b/>
      <w:i/>
      <w:snapToGrid/>
      <w:spacing w:val="5"/>
      <w:kern w:val="28"/>
      <w:sz w:val="28"/>
      <w:szCs w:val="36"/>
      <w:lang w:eastAsia="en-US"/>
    </w:rPr>
  </w:style>
  <w:style w:type="paragraph" w:styleId="EndnoteText">
    <w:name w:val="endnote text"/>
    <w:basedOn w:val="Normal"/>
    <w:link w:val="EndnoteTextChar"/>
    <w:semiHidden/>
    <w:unhideWhenUsed/>
    <w:rsid w:val="001C5EE4"/>
    <w:rPr>
      <w:sz w:val="20"/>
      <w:szCs w:val="20"/>
    </w:rPr>
  </w:style>
  <w:style w:type="character" w:customStyle="1" w:styleId="EndnoteTextChar">
    <w:name w:val="Endnote Text Char"/>
    <w:basedOn w:val="DefaultParagraphFont"/>
    <w:link w:val="EndnoteText"/>
    <w:semiHidden/>
    <w:rsid w:val="001C5EE4"/>
    <w:rPr>
      <w:rFonts w:asciiTheme="minorHAnsi" w:hAnsiTheme="minorHAnsi"/>
      <w:lang w:eastAsia="en-GB"/>
    </w:rPr>
  </w:style>
  <w:style w:type="character" w:styleId="EndnoteReference">
    <w:name w:val="endnote reference"/>
    <w:basedOn w:val="DefaultParagraphFont"/>
    <w:semiHidden/>
    <w:unhideWhenUsed/>
    <w:rsid w:val="001C5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2114880">
      <w:bodyDiv w:val="1"/>
      <w:marLeft w:val="0"/>
      <w:marRight w:val="0"/>
      <w:marTop w:val="0"/>
      <w:marBottom w:val="0"/>
      <w:divBdr>
        <w:top w:val="none" w:sz="0" w:space="0" w:color="auto"/>
        <w:left w:val="none" w:sz="0" w:space="0" w:color="auto"/>
        <w:bottom w:val="none" w:sz="0" w:space="0" w:color="auto"/>
        <w:right w:val="none" w:sz="0" w:space="0" w:color="auto"/>
      </w:divBdr>
    </w:div>
    <w:div w:id="183370921">
      <w:bodyDiv w:val="1"/>
      <w:marLeft w:val="0"/>
      <w:marRight w:val="0"/>
      <w:marTop w:val="0"/>
      <w:marBottom w:val="0"/>
      <w:divBdr>
        <w:top w:val="none" w:sz="0" w:space="0" w:color="auto"/>
        <w:left w:val="none" w:sz="0" w:space="0" w:color="auto"/>
        <w:bottom w:val="none" w:sz="0" w:space="0" w:color="auto"/>
        <w:right w:val="none" w:sz="0" w:space="0" w:color="auto"/>
      </w:divBdr>
    </w:div>
    <w:div w:id="222526729">
      <w:bodyDiv w:val="1"/>
      <w:marLeft w:val="0"/>
      <w:marRight w:val="0"/>
      <w:marTop w:val="0"/>
      <w:marBottom w:val="0"/>
      <w:divBdr>
        <w:top w:val="none" w:sz="0" w:space="0" w:color="auto"/>
        <w:left w:val="none" w:sz="0" w:space="0" w:color="auto"/>
        <w:bottom w:val="none" w:sz="0" w:space="0" w:color="auto"/>
        <w:right w:val="none" w:sz="0" w:space="0" w:color="auto"/>
      </w:divBdr>
    </w:div>
    <w:div w:id="231893903">
      <w:bodyDiv w:val="1"/>
      <w:marLeft w:val="0"/>
      <w:marRight w:val="0"/>
      <w:marTop w:val="0"/>
      <w:marBottom w:val="0"/>
      <w:divBdr>
        <w:top w:val="none" w:sz="0" w:space="0" w:color="auto"/>
        <w:left w:val="none" w:sz="0" w:space="0" w:color="auto"/>
        <w:bottom w:val="none" w:sz="0" w:space="0" w:color="auto"/>
        <w:right w:val="none" w:sz="0" w:space="0" w:color="auto"/>
      </w:divBdr>
    </w:div>
    <w:div w:id="246043124">
      <w:bodyDiv w:val="1"/>
      <w:marLeft w:val="0"/>
      <w:marRight w:val="0"/>
      <w:marTop w:val="0"/>
      <w:marBottom w:val="0"/>
      <w:divBdr>
        <w:top w:val="none" w:sz="0" w:space="0" w:color="auto"/>
        <w:left w:val="none" w:sz="0" w:space="0" w:color="auto"/>
        <w:bottom w:val="none" w:sz="0" w:space="0" w:color="auto"/>
        <w:right w:val="none" w:sz="0" w:space="0" w:color="auto"/>
      </w:divBdr>
    </w:div>
    <w:div w:id="295524377">
      <w:bodyDiv w:val="1"/>
      <w:marLeft w:val="0"/>
      <w:marRight w:val="0"/>
      <w:marTop w:val="0"/>
      <w:marBottom w:val="0"/>
      <w:divBdr>
        <w:top w:val="none" w:sz="0" w:space="0" w:color="auto"/>
        <w:left w:val="none" w:sz="0" w:space="0" w:color="auto"/>
        <w:bottom w:val="none" w:sz="0" w:space="0" w:color="auto"/>
        <w:right w:val="none" w:sz="0" w:space="0" w:color="auto"/>
      </w:divBdr>
    </w:div>
    <w:div w:id="30732063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5521686">
      <w:bodyDiv w:val="1"/>
      <w:marLeft w:val="0"/>
      <w:marRight w:val="0"/>
      <w:marTop w:val="0"/>
      <w:marBottom w:val="0"/>
      <w:divBdr>
        <w:top w:val="none" w:sz="0" w:space="0" w:color="auto"/>
        <w:left w:val="none" w:sz="0" w:space="0" w:color="auto"/>
        <w:bottom w:val="none" w:sz="0" w:space="0" w:color="auto"/>
        <w:right w:val="none" w:sz="0" w:space="0" w:color="auto"/>
      </w:divBdr>
    </w:div>
    <w:div w:id="366687586">
      <w:bodyDiv w:val="1"/>
      <w:marLeft w:val="0"/>
      <w:marRight w:val="0"/>
      <w:marTop w:val="0"/>
      <w:marBottom w:val="0"/>
      <w:divBdr>
        <w:top w:val="none" w:sz="0" w:space="0" w:color="auto"/>
        <w:left w:val="none" w:sz="0" w:space="0" w:color="auto"/>
        <w:bottom w:val="none" w:sz="0" w:space="0" w:color="auto"/>
        <w:right w:val="none" w:sz="0" w:space="0" w:color="auto"/>
      </w:divBdr>
    </w:div>
    <w:div w:id="413547249">
      <w:bodyDiv w:val="1"/>
      <w:marLeft w:val="0"/>
      <w:marRight w:val="0"/>
      <w:marTop w:val="0"/>
      <w:marBottom w:val="0"/>
      <w:divBdr>
        <w:top w:val="none" w:sz="0" w:space="0" w:color="auto"/>
        <w:left w:val="none" w:sz="0" w:space="0" w:color="auto"/>
        <w:bottom w:val="none" w:sz="0" w:space="0" w:color="auto"/>
        <w:right w:val="none" w:sz="0" w:space="0" w:color="auto"/>
      </w:divBdr>
    </w:div>
    <w:div w:id="614678208">
      <w:bodyDiv w:val="1"/>
      <w:marLeft w:val="0"/>
      <w:marRight w:val="0"/>
      <w:marTop w:val="0"/>
      <w:marBottom w:val="0"/>
      <w:divBdr>
        <w:top w:val="none" w:sz="0" w:space="0" w:color="auto"/>
        <w:left w:val="none" w:sz="0" w:space="0" w:color="auto"/>
        <w:bottom w:val="none" w:sz="0" w:space="0" w:color="auto"/>
        <w:right w:val="none" w:sz="0" w:space="0" w:color="auto"/>
      </w:divBdr>
    </w:div>
    <w:div w:id="635915285">
      <w:bodyDiv w:val="1"/>
      <w:marLeft w:val="0"/>
      <w:marRight w:val="0"/>
      <w:marTop w:val="0"/>
      <w:marBottom w:val="0"/>
      <w:divBdr>
        <w:top w:val="none" w:sz="0" w:space="0" w:color="auto"/>
        <w:left w:val="none" w:sz="0" w:space="0" w:color="auto"/>
        <w:bottom w:val="none" w:sz="0" w:space="0" w:color="auto"/>
        <w:right w:val="none" w:sz="0" w:space="0" w:color="auto"/>
      </w:divBdr>
    </w:div>
    <w:div w:id="678851840">
      <w:bodyDiv w:val="1"/>
      <w:marLeft w:val="0"/>
      <w:marRight w:val="0"/>
      <w:marTop w:val="0"/>
      <w:marBottom w:val="0"/>
      <w:divBdr>
        <w:top w:val="none" w:sz="0" w:space="0" w:color="auto"/>
        <w:left w:val="none" w:sz="0" w:space="0" w:color="auto"/>
        <w:bottom w:val="none" w:sz="0" w:space="0" w:color="auto"/>
        <w:right w:val="none" w:sz="0" w:space="0" w:color="auto"/>
      </w:divBdr>
    </w:div>
    <w:div w:id="69785720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11427648">
      <w:bodyDiv w:val="1"/>
      <w:marLeft w:val="0"/>
      <w:marRight w:val="0"/>
      <w:marTop w:val="0"/>
      <w:marBottom w:val="0"/>
      <w:divBdr>
        <w:top w:val="none" w:sz="0" w:space="0" w:color="auto"/>
        <w:left w:val="none" w:sz="0" w:space="0" w:color="auto"/>
        <w:bottom w:val="none" w:sz="0" w:space="0" w:color="auto"/>
        <w:right w:val="none" w:sz="0" w:space="0" w:color="auto"/>
      </w:divBdr>
    </w:div>
    <w:div w:id="932278318">
      <w:bodyDiv w:val="1"/>
      <w:marLeft w:val="0"/>
      <w:marRight w:val="0"/>
      <w:marTop w:val="0"/>
      <w:marBottom w:val="0"/>
      <w:divBdr>
        <w:top w:val="none" w:sz="0" w:space="0" w:color="auto"/>
        <w:left w:val="none" w:sz="0" w:space="0" w:color="auto"/>
        <w:bottom w:val="none" w:sz="0" w:space="0" w:color="auto"/>
        <w:right w:val="none" w:sz="0" w:space="0" w:color="auto"/>
      </w:divBdr>
    </w:div>
    <w:div w:id="994720286">
      <w:bodyDiv w:val="1"/>
      <w:marLeft w:val="0"/>
      <w:marRight w:val="0"/>
      <w:marTop w:val="0"/>
      <w:marBottom w:val="0"/>
      <w:divBdr>
        <w:top w:val="none" w:sz="0" w:space="0" w:color="auto"/>
        <w:left w:val="none" w:sz="0" w:space="0" w:color="auto"/>
        <w:bottom w:val="none" w:sz="0" w:space="0" w:color="auto"/>
        <w:right w:val="none" w:sz="0" w:space="0" w:color="auto"/>
      </w:divBdr>
    </w:div>
    <w:div w:id="999966828">
      <w:bodyDiv w:val="1"/>
      <w:marLeft w:val="0"/>
      <w:marRight w:val="0"/>
      <w:marTop w:val="0"/>
      <w:marBottom w:val="0"/>
      <w:divBdr>
        <w:top w:val="none" w:sz="0" w:space="0" w:color="auto"/>
        <w:left w:val="none" w:sz="0" w:space="0" w:color="auto"/>
        <w:bottom w:val="none" w:sz="0" w:space="0" w:color="auto"/>
        <w:right w:val="none" w:sz="0" w:space="0" w:color="auto"/>
      </w:divBdr>
    </w:div>
    <w:div w:id="1008599050">
      <w:bodyDiv w:val="1"/>
      <w:marLeft w:val="0"/>
      <w:marRight w:val="0"/>
      <w:marTop w:val="0"/>
      <w:marBottom w:val="0"/>
      <w:divBdr>
        <w:top w:val="none" w:sz="0" w:space="0" w:color="auto"/>
        <w:left w:val="none" w:sz="0" w:space="0" w:color="auto"/>
        <w:bottom w:val="none" w:sz="0" w:space="0" w:color="auto"/>
        <w:right w:val="none" w:sz="0" w:space="0" w:color="auto"/>
      </w:divBdr>
    </w:div>
    <w:div w:id="1070729858">
      <w:bodyDiv w:val="1"/>
      <w:marLeft w:val="0"/>
      <w:marRight w:val="0"/>
      <w:marTop w:val="0"/>
      <w:marBottom w:val="0"/>
      <w:divBdr>
        <w:top w:val="none" w:sz="0" w:space="0" w:color="auto"/>
        <w:left w:val="none" w:sz="0" w:space="0" w:color="auto"/>
        <w:bottom w:val="none" w:sz="0" w:space="0" w:color="auto"/>
        <w:right w:val="none" w:sz="0" w:space="0" w:color="auto"/>
      </w:divBdr>
    </w:div>
    <w:div w:id="1133016371">
      <w:bodyDiv w:val="1"/>
      <w:marLeft w:val="0"/>
      <w:marRight w:val="0"/>
      <w:marTop w:val="0"/>
      <w:marBottom w:val="0"/>
      <w:divBdr>
        <w:top w:val="none" w:sz="0" w:space="0" w:color="auto"/>
        <w:left w:val="none" w:sz="0" w:space="0" w:color="auto"/>
        <w:bottom w:val="none" w:sz="0" w:space="0" w:color="auto"/>
        <w:right w:val="none" w:sz="0" w:space="0" w:color="auto"/>
      </w:divBdr>
    </w:div>
    <w:div w:id="113668180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208840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5237468">
      <w:bodyDiv w:val="1"/>
      <w:marLeft w:val="0"/>
      <w:marRight w:val="0"/>
      <w:marTop w:val="0"/>
      <w:marBottom w:val="0"/>
      <w:divBdr>
        <w:top w:val="none" w:sz="0" w:space="0" w:color="auto"/>
        <w:left w:val="none" w:sz="0" w:space="0" w:color="auto"/>
        <w:bottom w:val="none" w:sz="0" w:space="0" w:color="auto"/>
        <w:right w:val="none" w:sz="0" w:space="0" w:color="auto"/>
      </w:divBdr>
    </w:div>
    <w:div w:id="1288004661">
      <w:bodyDiv w:val="1"/>
      <w:marLeft w:val="0"/>
      <w:marRight w:val="0"/>
      <w:marTop w:val="0"/>
      <w:marBottom w:val="0"/>
      <w:divBdr>
        <w:top w:val="none" w:sz="0" w:space="0" w:color="auto"/>
        <w:left w:val="none" w:sz="0" w:space="0" w:color="auto"/>
        <w:bottom w:val="none" w:sz="0" w:space="0" w:color="auto"/>
        <w:right w:val="none" w:sz="0" w:space="0" w:color="auto"/>
      </w:divBdr>
    </w:div>
    <w:div w:id="1324313518">
      <w:bodyDiv w:val="1"/>
      <w:marLeft w:val="0"/>
      <w:marRight w:val="0"/>
      <w:marTop w:val="0"/>
      <w:marBottom w:val="0"/>
      <w:divBdr>
        <w:top w:val="none" w:sz="0" w:space="0" w:color="auto"/>
        <w:left w:val="none" w:sz="0" w:space="0" w:color="auto"/>
        <w:bottom w:val="none" w:sz="0" w:space="0" w:color="auto"/>
        <w:right w:val="none" w:sz="0" w:space="0" w:color="auto"/>
      </w:divBdr>
    </w:div>
    <w:div w:id="1489514986">
      <w:bodyDiv w:val="1"/>
      <w:marLeft w:val="0"/>
      <w:marRight w:val="0"/>
      <w:marTop w:val="0"/>
      <w:marBottom w:val="0"/>
      <w:divBdr>
        <w:top w:val="none" w:sz="0" w:space="0" w:color="auto"/>
        <w:left w:val="none" w:sz="0" w:space="0" w:color="auto"/>
        <w:bottom w:val="none" w:sz="0" w:space="0" w:color="auto"/>
        <w:right w:val="none" w:sz="0" w:space="0" w:color="auto"/>
      </w:divBdr>
    </w:div>
    <w:div w:id="1534226825">
      <w:bodyDiv w:val="1"/>
      <w:marLeft w:val="0"/>
      <w:marRight w:val="0"/>
      <w:marTop w:val="0"/>
      <w:marBottom w:val="0"/>
      <w:divBdr>
        <w:top w:val="none" w:sz="0" w:space="0" w:color="auto"/>
        <w:left w:val="none" w:sz="0" w:space="0" w:color="auto"/>
        <w:bottom w:val="none" w:sz="0" w:space="0" w:color="auto"/>
        <w:right w:val="none" w:sz="0" w:space="0" w:color="auto"/>
      </w:divBdr>
    </w:div>
    <w:div w:id="1638803110">
      <w:bodyDiv w:val="1"/>
      <w:marLeft w:val="0"/>
      <w:marRight w:val="0"/>
      <w:marTop w:val="0"/>
      <w:marBottom w:val="0"/>
      <w:divBdr>
        <w:top w:val="none" w:sz="0" w:space="0" w:color="auto"/>
        <w:left w:val="none" w:sz="0" w:space="0" w:color="auto"/>
        <w:bottom w:val="none" w:sz="0" w:space="0" w:color="auto"/>
        <w:right w:val="none" w:sz="0" w:space="0" w:color="auto"/>
      </w:divBdr>
    </w:div>
    <w:div w:id="1684361347">
      <w:bodyDiv w:val="1"/>
      <w:marLeft w:val="0"/>
      <w:marRight w:val="0"/>
      <w:marTop w:val="0"/>
      <w:marBottom w:val="0"/>
      <w:divBdr>
        <w:top w:val="none" w:sz="0" w:space="0" w:color="auto"/>
        <w:left w:val="none" w:sz="0" w:space="0" w:color="auto"/>
        <w:bottom w:val="none" w:sz="0" w:space="0" w:color="auto"/>
        <w:right w:val="none" w:sz="0" w:space="0" w:color="auto"/>
      </w:divBdr>
    </w:div>
    <w:div w:id="185083123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0785351">
      <w:bodyDiv w:val="1"/>
      <w:marLeft w:val="0"/>
      <w:marRight w:val="0"/>
      <w:marTop w:val="0"/>
      <w:marBottom w:val="0"/>
      <w:divBdr>
        <w:top w:val="none" w:sz="0" w:space="0" w:color="auto"/>
        <w:left w:val="none" w:sz="0" w:space="0" w:color="auto"/>
        <w:bottom w:val="none" w:sz="0" w:space="0" w:color="auto"/>
        <w:right w:val="none" w:sz="0" w:space="0" w:color="auto"/>
      </w:divBdr>
    </w:div>
    <w:div w:id="2057195406">
      <w:bodyDiv w:val="1"/>
      <w:marLeft w:val="0"/>
      <w:marRight w:val="0"/>
      <w:marTop w:val="0"/>
      <w:marBottom w:val="0"/>
      <w:divBdr>
        <w:top w:val="none" w:sz="0" w:space="0" w:color="auto"/>
        <w:left w:val="none" w:sz="0" w:space="0" w:color="auto"/>
        <w:bottom w:val="none" w:sz="0" w:space="0" w:color="auto"/>
        <w:right w:val="none" w:sz="0" w:space="0" w:color="auto"/>
      </w:divBdr>
    </w:div>
    <w:div w:id="2074039890">
      <w:bodyDiv w:val="1"/>
      <w:marLeft w:val="0"/>
      <w:marRight w:val="0"/>
      <w:marTop w:val="0"/>
      <w:marBottom w:val="0"/>
      <w:divBdr>
        <w:top w:val="none" w:sz="0" w:space="0" w:color="auto"/>
        <w:left w:val="none" w:sz="0" w:space="0" w:color="auto"/>
        <w:bottom w:val="none" w:sz="0" w:space="0" w:color="auto"/>
        <w:right w:val="none" w:sz="0" w:space="0" w:color="auto"/>
      </w:divBdr>
    </w:div>
    <w:div w:id="2099406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2BD2-A123-4CDB-956C-F56AA8B8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22579</Words>
  <Characters>128704</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2024-07-04T00:00:00Z</dcterms:created>
  <dcterms:modified xsi:type="dcterms:W3CDTF">2024-07-17T07:25:00Z</dcterms:modified>
</cp:coreProperties>
</file>