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04350630" w:rsidR="00872E8F" w:rsidRPr="00EB31F2" w:rsidRDefault="00D07792" w:rsidP="00591DDE">
      <w:pPr>
        <w:pStyle w:val="1MainTitle"/>
        <w:ind w:left="851" w:hanging="851"/>
        <w:jc w:val="left"/>
      </w:pPr>
      <w:r w:rsidRPr="00EB31F2">
        <w:t>6.</w:t>
      </w:r>
      <w:r w:rsidR="002535A2" w:rsidRPr="00EB31F2">
        <w:t>13</w:t>
      </w:r>
      <w:r w:rsidR="00872E8F" w:rsidRPr="00EB31F2">
        <w:tab/>
      </w:r>
      <w:r w:rsidRPr="00EB31F2">
        <w:t>MEPOLIZUMAB</w:t>
      </w:r>
      <w:r w:rsidR="70971A32" w:rsidRPr="00EB31F2">
        <w:t xml:space="preserve"> </w:t>
      </w:r>
      <w:r w:rsidRPr="00EB31F2">
        <w:br/>
        <w:t>Powder for injection 100 mg;</w:t>
      </w:r>
      <w:r w:rsidRPr="00EB31F2">
        <w:br/>
        <w:t>Injection 100 mg in 1 mL single dose pre-filled pen</w:t>
      </w:r>
      <w:r w:rsidR="70971A32" w:rsidRPr="00EB31F2">
        <w:t>,</w:t>
      </w:r>
      <w:r w:rsidR="00872E8F" w:rsidRPr="00EB31F2">
        <w:br/>
      </w:r>
      <w:r w:rsidRPr="00EB31F2">
        <w:t>Nucala</w:t>
      </w:r>
      <w:r w:rsidR="70971A32" w:rsidRPr="00EB31F2">
        <w:t>®,</w:t>
      </w:r>
      <w:r w:rsidR="00872E8F" w:rsidRPr="00EB31F2">
        <w:br/>
      </w:r>
      <w:r w:rsidRPr="00EB31F2">
        <w:t>GlaxoSmithKline Australia Pty Ltd</w:t>
      </w:r>
    </w:p>
    <w:p w14:paraId="5F4D54C1" w14:textId="4D8EF9AC" w:rsidR="00E11F44" w:rsidRPr="00EB31F2" w:rsidRDefault="007E490F" w:rsidP="00CD6257">
      <w:pPr>
        <w:pStyle w:val="2-SectionHeading"/>
        <w:rPr>
          <w:rFonts w:cstheme="minorHAnsi"/>
          <w:color w:val="FF0000"/>
        </w:rPr>
      </w:pPr>
      <w:r w:rsidRPr="00EB31F2">
        <w:t xml:space="preserve">Purpose of </w:t>
      </w:r>
      <w:r w:rsidR="00FA0B04" w:rsidRPr="00EB31F2">
        <w:t>Submission</w:t>
      </w:r>
    </w:p>
    <w:p w14:paraId="62133E15" w14:textId="4262CE69" w:rsidR="00DC4575" w:rsidRPr="00EB31F2" w:rsidRDefault="006C6C10" w:rsidP="008231F0">
      <w:pPr>
        <w:pStyle w:val="3Bodytext"/>
        <w:jc w:val="both"/>
        <w:rPr>
          <w:rFonts w:cstheme="minorHAnsi"/>
          <w:szCs w:val="24"/>
        </w:rPr>
      </w:pPr>
      <w:r w:rsidRPr="00EB31F2">
        <w:rPr>
          <w:rFonts w:cstheme="minorHAnsi"/>
          <w:szCs w:val="24"/>
        </w:rPr>
        <w:t>The</w:t>
      </w:r>
      <w:r w:rsidR="00EF3FDE" w:rsidRPr="00EB31F2">
        <w:rPr>
          <w:rFonts w:cstheme="minorHAnsi"/>
          <w:szCs w:val="24"/>
        </w:rPr>
        <w:t xml:space="preserve"> Category 3 submission requested to amend</w:t>
      </w:r>
      <w:r w:rsidR="00EC511C" w:rsidRPr="00EB31F2">
        <w:rPr>
          <w:rFonts w:cstheme="minorHAnsi"/>
          <w:szCs w:val="24"/>
        </w:rPr>
        <w:t xml:space="preserve"> the restriction level of mepolizumab for the treatment of uncontrolled severe asthma</w:t>
      </w:r>
      <w:r w:rsidR="00456030" w:rsidRPr="00EB31F2">
        <w:rPr>
          <w:rFonts w:cstheme="minorHAnsi"/>
          <w:szCs w:val="24"/>
        </w:rPr>
        <w:t xml:space="preserve"> </w:t>
      </w:r>
      <w:r w:rsidR="00DC4575" w:rsidRPr="00EB31F2">
        <w:rPr>
          <w:rFonts w:cstheme="minorHAnsi"/>
          <w:szCs w:val="24"/>
        </w:rPr>
        <w:t>as follow</w:t>
      </w:r>
      <w:r w:rsidR="00CD682A" w:rsidRPr="00EB31F2">
        <w:rPr>
          <w:rFonts w:cstheme="minorHAnsi"/>
          <w:szCs w:val="24"/>
        </w:rPr>
        <w:t>s</w:t>
      </w:r>
      <w:r w:rsidR="00DC4575" w:rsidRPr="00EB31F2">
        <w:rPr>
          <w:rFonts w:cstheme="minorHAnsi"/>
          <w:szCs w:val="24"/>
        </w:rPr>
        <w:t>:</w:t>
      </w:r>
    </w:p>
    <w:p w14:paraId="745F4C56" w14:textId="36B1A286" w:rsidR="00DC4575" w:rsidRPr="00EB31F2" w:rsidRDefault="00DC4575" w:rsidP="008231F0">
      <w:pPr>
        <w:pStyle w:val="3Bodytext"/>
        <w:numPr>
          <w:ilvl w:val="0"/>
          <w:numId w:val="8"/>
        </w:numPr>
        <w:jc w:val="both"/>
        <w:rPr>
          <w:rFonts w:cstheme="minorHAnsi"/>
          <w:szCs w:val="24"/>
        </w:rPr>
      </w:pPr>
      <w:r w:rsidRPr="00EB31F2">
        <w:rPr>
          <w:rFonts w:cstheme="minorHAnsi"/>
          <w:szCs w:val="24"/>
        </w:rPr>
        <w:t xml:space="preserve">Initiation: </w:t>
      </w:r>
      <w:r w:rsidR="00EC511C" w:rsidRPr="00EB31F2">
        <w:rPr>
          <w:rFonts w:cstheme="minorHAnsi"/>
          <w:szCs w:val="24"/>
        </w:rPr>
        <w:t>Authority Required (Written) to Authority Required (Telephone/</w:t>
      </w:r>
      <w:r w:rsidR="00357FF2" w:rsidRPr="00EB31F2">
        <w:rPr>
          <w:rFonts w:cstheme="minorHAnsi"/>
          <w:szCs w:val="24"/>
        </w:rPr>
        <w:t>Online</w:t>
      </w:r>
      <w:r w:rsidR="00EC511C" w:rsidRPr="00EB31F2">
        <w:rPr>
          <w:rFonts w:cstheme="minorHAnsi"/>
          <w:szCs w:val="24"/>
        </w:rPr>
        <w:t>)</w:t>
      </w:r>
      <w:r w:rsidR="00A75324" w:rsidRPr="00EB31F2">
        <w:rPr>
          <w:rFonts w:cstheme="minorHAnsi"/>
          <w:szCs w:val="24"/>
        </w:rPr>
        <w:t xml:space="preserve"> </w:t>
      </w:r>
    </w:p>
    <w:p w14:paraId="04557F51" w14:textId="59A992DC" w:rsidR="00EC511C" w:rsidRPr="00EB31F2" w:rsidRDefault="00DC4575" w:rsidP="00240123">
      <w:pPr>
        <w:pStyle w:val="3Bodytext"/>
        <w:numPr>
          <w:ilvl w:val="0"/>
          <w:numId w:val="8"/>
        </w:numPr>
        <w:jc w:val="both"/>
        <w:rPr>
          <w:rFonts w:cstheme="minorHAnsi"/>
          <w:szCs w:val="24"/>
        </w:rPr>
      </w:pPr>
      <w:r w:rsidRPr="00EB31F2">
        <w:rPr>
          <w:rFonts w:cstheme="minorHAnsi"/>
          <w:szCs w:val="24"/>
        </w:rPr>
        <w:t>Continuation: Authority Required (Written) to</w:t>
      </w:r>
      <w:r w:rsidR="00EC511C" w:rsidRPr="00EB31F2">
        <w:rPr>
          <w:rFonts w:cstheme="minorHAnsi"/>
          <w:szCs w:val="24"/>
        </w:rPr>
        <w:t xml:space="preserve"> Authority Required (STREAMLINED)</w:t>
      </w:r>
      <w:r w:rsidR="00A75324" w:rsidRPr="00EB31F2">
        <w:rPr>
          <w:rFonts w:cstheme="minorHAnsi"/>
          <w:szCs w:val="24"/>
        </w:rPr>
        <w:t xml:space="preserve"> </w:t>
      </w:r>
    </w:p>
    <w:p w14:paraId="02FE6016" w14:textId="550A84CC" w:rsidR="00A552CC" w:rsidRPr="00EB31F2" w:rsidRDefault="00EC511C" w:rsidP="008231F0">
      <w:pPr>
        <w:pStyle w:val="3Bodytext"/>
        <w:jc w:val="both"/>
        <w:rPr>
          <w:rFonts w:cstheme="minorHAnsi"/>
          <w:szCs w:val="24"/>
        </w:rPr>
      </w:pPr>
      <w:r w:rsidRPr="00EB31F2">
        <w:rPr>
          <w:rFonts w:cstheme="minorHAnsi"/>
          <w:szCs w:val="24"/>
        </w:rPr>
        <w:t xml:space="preserve">The submission also requested </w:t>
      </w:r>
      <w:r w:rsidR="00365C14" w:rsidRPr="00EB31F2">
        <w:rPr>
          <w:rFonts w:cstheme="minorHAnsi"/>
          <w:szCs w:val="24"/>
        </w:rPr>
        <w:t>to remove the oral corticosteroids (OC</w:t>
      </w:r>
      <w:r w:rsidR="002452D5" w:rsidRPr="00EB31F2">
        <w:rPr>
          <w:rFonts w:cstheme="minorHAnsi"/>
          <w:szCs w:val="24"/>
        </w:rPr>
        <w:t>S</w:t>
      </w:r>
      <w:r w:rsidR="00365C14" w:rsidRPr="00EB31F2">
        <w:rPr>
          <w:rFonts w:cstheme="minorHAnsi"/>
          <w:szCs w:val="24"/>
        </w:rPr>
        <w:t>s) requirement within the</w:t>
      </w:r>
      <w:r w:rsidR="00050E62" w:rsidRPr="00EB31F2">
        <w:rPr>
          <w:rFonts w:cstheme="minorHAnsi"/>
          <w:szCs w:val="24"/>
        </w:rPr>
        <w:t xml:space="preserve"> </w:t>
      </w:r>
      <w:r w:rsidR="00365C14" w:rsidRPr="00EB31F2">
        <w:rPr>
          <w:rFonts w:cstheme="minorHAnsi"/>
          <w:szCs w:val="24"/>
        </w:rPr>
        <w:t>‘</w:t>
      </w:r>
      <w:r w:rsidR="00050E62" w:rsidRPr="00EB31F2">
        <w:rPr>
          <w:rFonts w:cstheme="minorHAnsi"/>
          <w:szCs w:val="24"/>
        </w:rPr>
        <w:t>optimised asthma therapy</w:t>
      </w:r>
      <w:r w:rsidR="00365C14" w:rsidRPr="00EB31F2">
        <w:rPr>
          <w:rFonts w:cstheme="minorHAnsi"/>
          <w:szCs w:val="24"/>
        </w:rPr>
        <w:t xml:space="preserve">’ </w:t>
      </w:r>
      <w:r w:rsidR="00E05516" w:rsidRPr="00EB31F2">
        <w:rPr>
          <w:rFonts w:cstheme="minorHAnsi"/>
          <w:szCs w:val="24"/>
        </w:rPr>
        <w:t xml:space="preserve">in the clinical criteria </w:t>
      </w:r>
      <w:r w:rsidR="00365C14" w:rsidRPr="00EB31F2">
        <w:rPr>
          <w:rFonts w:cstheme="minorHAnsi"/>
          <w:szCs w:val="24"/>
        </w:rPr>
        <w:t>as follow</w:t>
      </w:r>
      <w:r w:rsidR="00CD682A" w:rsidRPr="00EB31F2">
        <w:rPr>
          <w:rFonts w:cstheme="minorHAnsi"/>
          <w:szCs w:val="24"/>
        </w:rPr>
        <w:t>s</w:t>
      </w:r>
      <w:r w:rsidR="00050E62" w:rsidRPr="00EB31F2">
        <w:rPr>
          <w:rFonts w:cstheme="minorHAnsi"/>
          <w:szCs w:val="24"/>
        </w:rPr>
        <w:t xml:space="preserve">: </w:t>
      </w:r>
    </w:p>
    <w:p w14:paraId="116F493E" w14:textId="343E04B8" w:rsidR="0073736F" w:rsidRPr="00EB31F2" w:rsidRDefault="00050E62" w:rsidP="008231F0">
      <w:pPr>
        <w:pStyle w:val="3Bodytext"/>
        <w:numPr>
          <w:ilvl w:val="0"/>
          <w:numId w:val="8"/>
        </w:numPr>
        <w:spacing w:after="0"/>
        <w:jc w:val="both"/>
        <w:rPr>
          <w:rFonts w:cstheme="minorHAnsi"/>
          <w:szCs w:val="24"/>
        </w:rPr>
      </w:pPr>
      <w:r w:rsidRPr="00EB31F2">
        <w:rPr>
          <w:rFonts w:cstheme="minorHAnsi"/>
          <w:szCs w:val="24"/>
        </w:rPr>
        <w:t>‘</w:t>
      </w:r>
      <w:r w:rsidR="00B166BA" w:rsidRPr="00EB31F2">
        <w:rPr>
          <w:rFonts w:cstheme="minorHAnsi"/>
          <w:szCs w:val="24"/>
        </w:rPr>
        <w:t>Treatment</w:t>
      </w:r>
      <w:r w:rsidRPr="00EB31F2">
        <w:rPr>
          <w:rFonts w:cstheme="minorHAnsi"/>
          <w:szCs w:val="24"/>
        </w:rPr>
        <w:t xml:space="preserve"> with oral corticosteroids, either daily oral corticosteroids for at least 6</w:t>
      </w:r>
      <w:r w:rsidR="007878B3">
        <w:rPr>
          <w:rFonts w:cstheme="minorHAnsi"/>
          <w:szCs w:val="24"/>
        </w:rPr>
        <w:t> </w:t>
      </w:r>
      <w:r w:rsidRPr="00EB31F2">
        <w:rPr>
          <w:rFonts w:cstheme="minorHAnsi"/>
          <w:szCs w:val="24"/>
        </w:rPr>
        <w:t>weeks, OR a cumulative dose of oral corticosteroids of at least 500</w:t>
      </w:r>
      <w:r w:rsidR="007878B3">
        <w:rPr>
          <w:rFonts w:cstheme="minorHAnsi"/>
          <w:szCs w:val="24"/>
        </w:rPr>
        <w:t> </w:t>
      </w:r>
      <w:r w:rsidRPr="00EB31F2">
        <w:rPr>
          <w:rFonts w:cstheme="minorHAnsi"/>
          <w:szCs w:val="24"/>
        </w:rPr>
        <w:t>mg prednisolone equivalent in the previous 12 months, unless contraindicated or not tolerated’</w:t>
      </w:r>
      <w:r w:rsidR="00EC511C" w:rsidRPr="00EB31F2">
        <w:rPr>
          <w:rFonts w:cstheme="minorHAnsi"/>
          <w:szCs w:val="24"/>
        </w:rPr>
        <w:t xml:space="preserve">. </w:t>
      </w:r>
    </w:p>
    <w:p w14:paraId="3D1D4320" w14:textId="77777777" w:rsidR="007E490F" w:rsidRPr="00EB31F2" w:rsidRDefault="007E490F" w:rsidP="00240123">
      <w:pPr>
        <w:pStyle w:val="2-SectionHeading"/>
        <w:numPr>
          <w:ilvl w:val="0"/>
          <w:numId w:val="1"/>
        </w:numPr>
        <w:jc w:val="both"/>
      </w:pPr>
      <w:r w:rsidRPr="00EB31F2">
        <w:t xml:space="preserve">Background </w:t>
      </w:r>
    </w:p>
    <w:p w14:paraId="440A961A" w14:textId="37489759" w:rsidR="003B6EF7" w:rsidRPr="00EB31F2" w:rsidRDefault="006E4EE6" w:rsidP="006E4EE6">
      <w:pPr>
        <w:pStyle w:val="3Bodytext"/>
        <w:jc w:val="both"/>
      </w:pPr>
      <w:r w:rsidRPr="00EB31F2">
        <w:t xml:space="preserve">Mepolizumab is currently </w:t>
      </w:r>
      <w:r w:rsidR="003E1F9E" w:rsidRPr="00EB31F2">
        <w:t>PBS-listed</w:t>
      </w:r>
      <w:r w:rsidRPr="00EB31F2">
        <w:t xml:space="preserve"> as an</w:t>
      </w:r>
      <w:r w:rsidR="003B6EF7" w:rsidRPr="00EB31F2">
        <w:t>:</w:t>
      </w:r>
    </w:p>
    <w:p w14:paraId="0B778030" w14:textId="04720AD8" w:rsidR="003B6EF7" w:rsidRPr="00EB31F2" w:rsidRDefault="006E4EE6" w:rsidP="008231F0">
      <w:pPr>
        <w:pStyle w:val="3Bodytext"/>
        <w:numPr>
          <w:ilvl w:val="0"/>
          <w:numId w:val="8"/>
        </w:numPr>
        <w:jc w:val="both"/>
      </w:pPr>
      <w:r w:rsidRPr="00EB31F2">
        <w:rPr>
          <w:rFonts w:cstheme="minorHAnsi"/>
          <w:szCs w:val="24"/>
        </w:rPr>
        <w:t>Authority</w:t>
      </w:r>
      <w:r w:rsidRPr="00EB31F2">
        <w:t xml:space="preserve"> Required (Written) </w:t>
      </w:r>
      <w:r w:rsidR="005C19FD" w:rsidRPr="00EB31F2">
        <w:t xml:space="preserve">listing </w:t>
      </w:r>
      <w:r w:rsidRPr="00EB31F2">
        <w:t xml:space="preserve">for initiation and continuation treatment for </w:t>
      </w:r>
      <w:r w:rsidRPr="00EB31F2">
        <w:rPr>
          <w:rFonts w:cstheme="minorHAnsi"/>
          <w:szCs w:val="24"/>
        </w:rPr>
        <w:t>uncontrolled severe asthma</w:t>
      </w:r>
      <w:r w:rsidRPr="00EB31F2">
        <w:t xml:space="preserve">. The balance of supply is PBS-listed as Authority Required (Telephone/Online). </w:t>
      </w:r>
    </w:p>
    <w:p w14:paraId="48CCE144" w14:textId="3DA9994D" w:rsidR="003B6EF7" w:rsidRPr="00EB31F2" w:rsidRDefault="003B6EF7" w:rsidP="00240123">
      <w:pPr>
        <w:pStyle w:val="3Bodytext"/>
        <w:numPr>
          <w:ilvl w:val="0"/>
          <w:numId w:val="8"/>
        </w:numPr>
        <w:jc w:val="both"/>
      </w:pPr>
      <w:r w:rsidRPr="00EB31F2">
        <w:t>Authority Required (Written) listing for initiation and Authority Required (Telephone/</w:t>
      </w:r>
      <w:r w:rsidR="00801A19" w:rsidRPr="00EB31F2">
        <w:t>Online</w:t>
      </w:r>
      <w:r w:rsidRPr="00EB31F2">
        <w:t>) listing for continuation treatment of chronic rhinosinusitis with nasal polyps (CRSwNP).</w:t>
      </w:r>
    </w:p>
    <w:p w14:paraId="33C2C319" w14:textId="66DF215F" w:rsidR="007E490F" w:rsidRPr="00EB31F2" w:rsidRDefault="007E490F" w:rsidP="00335E19">
      <w:pPr>
        <w:pStyle w:val="4-SubsectionHeading"/>
      </w:pPr>
      <w:r w:rsidRPr="00EB31F2">
        <w:t>Registration status</w:t>
      </w:r>
    </w:p>
    <w:p w14:paraId="59AD75BA" w14:textId="71A72BA6" w:rsidR="00335E19" w:rsidRPr="00EB31F2" w:rsidRDefault="00335E19" w:rsidP="00B166BA">
      <w:pPr>
        <w:pStyle w:val="3Bodytext"/>
      </w:pPr>
      <w:r w:rsidRPr="00EB31F2">
        <w:t>Mepolizumab</w:t>
      </w:r>
      <w:r w:rsidR="007E490F" w:rsidRPr="00EB31F2">
        <w:t xml:space="preserve"> </w:t>
      </w:r>
      <w:r w:rsidRPr="00EB31F2">
        <w:t xml:space="preserve">is TGA registered for the </w:t>
      </w:r>
      <w:r w:rsidR="00456030" w:rsidRPr="00EB31F2">
        <w:t>following indications:</w:t>
      </w:r>
    </w:p>
    <w:p w14:paraId="08D0094C" w14:textId="0B9FEE48" w:rsidR="00335E19" w:rsidRPr="00EB31F2" w:rsidRDefault="00335E19" w:rsidP="00B166BA">
      <w:pPr>
        <w:pStyle w:val="3Bodytext"/>
        <w:numPr>
          <w:ilvl w:val="0"/>
          <w:numId w:val="7"/>
        </w:numPr>
      </w:pPr>
      <w:r w:rsidRPr="00EB31F2">
        <w:t>Severe eosinophilic asthma</w:t>
      </w:r>
      <w:r w:rsidR="004771E9" w:rsidRPr="00EB31F2">
        <w:t xml:space="preserve"> (SEA)</w:t>
      </w:r>
    </w:p>
    <w:p w14:paraId="1A4AFBD5" w14:textId="768AA579" w:rsidR="00335E19" w:rsidRPr="00EB31F2" w:rsidRDefault="00335E19" w:rsidP="00B166BA">
      <w:pPr>
        <w:pStyle w:val="3Bodytext"/>
        <w:numPr>
          <w:ilvl w:val="0"/>
          <w:numId w:val="7"/>
        </w:numPr>
      </w:pPr>
      <w:r w:rsidRPr="00EB31F2">
        <w:t xml:space="preserve">Chronic </w:t>
      </w:r>
      <w:r w:rsidR="005C19FD" w:rsidRPr="00EB31F2">
        <w:t>r</w:t>
      </w:r>
      <w:r w:rsidRPr="00EB31F2">
        <w:t xml:space="preserve">hinosinusitis with </w:t>
      </w:r>
      <w:r w:rsidR="005C19FD" w:rsidRPr="00EB31F2">
        <w:t>n</w:t>
      </w:r>
      <w:r w:rsidRPr="00EB31F2">
        <w:t xml:space="preserve">asal </w:t>
      </w:r>
      <w:r w:rsidR="005C19FD" w:rsidRPr="00EB31F2">
        <w:t>p</w:t>
      </w:r>
      <w:r w:rsidRPr="00EB31F2">
        <w:t>olyps</w:t>
      </w:r>
      <w:r w:rsidR="004771E9" w:rsidRPr="00EB31F2">
        <w:t xml:space="preserve"> (CRSwNP)</w:t>
      </w:r>
    </w:p>
    <w:p w14:paraId="4D7EBD64" w14:textId="67D856B8" w:rsidR="00335E19" w:rsidRPr="00EB31F2" w:rsidRDefault="00335E19" w:rsidP="007878B3">
      <w:pPr>
        <w:pStyle w:val="3Bodytext"/>
        <w:numPr>
          <w:ilvl w:val="0"/>
          <w:numId w:val="7"/>
        </w:numPr>
      </w:pPr>
      <w:r w:rsidRPr="00EB31F2">
        <w:t xml:space="preserve">Relapsed or refractory </w:t>
      </w:r>
      <w:r w:rsidR="005C19FD" w:rsidRPr="00EB31F2">
        <w:t>e</w:t>
      </w:r>
      <w:r w:rsidRPr="00EB31F2">
        <w:t xml:space="preserve">osinophilic </w:t>
      </w:r>
      <w:r w:rsidR="005C19FD" w:rsidRPr="00EB31F2">
        <w:t>g</w:t>
      </w:r>
      <w:r w:rsidRPr="00EB31F2">
        <w:t xml:space="preserve">ranulomatosis with </w:t>
      </w:r>
      <w:r w:rsidR="005C19FD" w:rsidRPr="00EB31F2">
        <w:t>p</w:t>
      </w:r>
      <w:r w:rsidRPr="00EB31F2">
        <w:t>olyangiitis (EGPA)</w:t>
      </w:r>
    </w:p>
    <w:p w14:paraId="0094486E" w14:textId="77777777" w:rsidR="007E490F" w:rsidRPr="00EB31F2" w:rsidRDefault="007E490F" w:rsidP="007E490F">
      <w:pPr>
        <w:pStyle w:val="4-SubsectionHeading"/>
      </w:pPr>
      <w:r w:rsidRPr="00EB31F2">
        <w:lastRenderedPageBreak/>
        <w:t xml:space="preserve">Previous PBAC consideration </w:t>
      </w:r>
    </w:p>
    <w:p w14:paraId="35FE80B8" w14:textId="58DAEBDD" w:rsidR="002452D5" w:rsidRPr="00EB31F2" w:rsidRDefault="00E05516" w:rsidP="008231F0">
      <w:pPr>
        <w:pStyle w:val="3Bodytext"/>
        <w:spacing w:after="80"/>
        <w:jc w:val="both"/>
      </w:pPr>
      <w:r w:rsidRPr="00EB31F2">
        <w:t xml:space="preserve">At its July 2016 meeting, the PBAC recommended the listing of mepolizumab for the treatment of </w:t>
      </w:r>
      <w:r w:rsidR="00435A95" w:rsidRPr="00EB31F2">
        <w:t>SEA</w:t>
      </w:r>
      <w:r w:rsidRPr="00EB31F2">
        <w:t xml:space="preserve"> in patients aged 12 years and over. </w:t>
      </w:r>
      <w:r w:rsidR="005C19FD" w:rsidRPr="00EB31F2">
        <w:t>The PBS listing occurred</w:t>
      </w:r>
      <w:r w:rsidR="002452D5" w:rsidRPr="00EB31F2">
        <w:t xml:space="preserve"> on </w:t>
      </w:r>
      <w:r w:rsidR="00597D6C" w:rsidRPr="00EB31F2">
        <w:t>1</w:t>
      </w:r>
      <w:r w:rsidR="00597D6C">
        <w:t> </w:t>
      </w:r>
      <w:r w:rsidR="002452D5" w:rsidRPr="00EB31F2">
        <w:t xml:space="preserve">January 2017. </w:t>
      </w:r>
    </w:p>
    <w:p w14:paraId="7AD1F880" w14:textId="13967C56" w:rsidR="00E05516" w:rsidRPr="00EB31F2" w:rsidRDefault="00037E6F" w:rsidP="008231F0">
      <w:pPr>
        <w:pStyle w:val="3Bodytext"/>
        <w:spacing w:after="80"/>
        <w:jc w:val="both"/>
      </w:pPr>
      <w:bookmarkStart w:id="0" w:name="_Hlk159847800"/>
      <w:r w:rsidRPr="00EB31F2">
        <w:t xml:space="preserve">On 1 July 2021, </w:t>
      </w:r>
      <w:r w:rsidR="001E3B38" w:rsidRPr="00EB31F2">
        <w:t xml:space="preserve">the </w:t>
      </w:r>
      <w:r w:rsidR="00F16772" w:rsidRPr="00EB31F2">
        <w:t xml:space="preserve">‘severe eosinophilic asthma’ </w:t>
      </w:r>
      <w:r w:rsidR="00CD682A" w:rsidRPr="00EB31F2">
        <w:t xml:space="preserve">and ‘severe allergic asthma’ </w:t>
      </w:r>
      <w:r w:rsidR="001E3B38" w:rsidRPr="00EB31F2">
        <w:t>indications</w:t>
      </w:r>
      <w:r w:rsidR="00462D36" w:rsidRPr="00EB31F2">
        <w:t xml:space="preserve"> for </w:t>
      </w:r>
      <w:r w:rsidR="001E3B38" w:rsidRPr="00EB31F2">
        <w:t xml:space="preserve">omalizumab, mepolizumab, benralizumab and dupilumab were amended </w:t>
      </w:r>
      <w:r w:rsidR="00F16772" w:rsidRPr="00EB31F2">
        <w:t xml:space="preserve">to </w:t>
      </w:r>
      <w:r w:rsidR="00E05516" w:rsidRPr="00EB31F2">
        <w:t>‘uncontrolled severe asthma’</w:t>
      </w:r>
      <w:r w:rsidRPr="00EB31F2">
        <w:t xml:space="preserve"> </w:t>
      </w:r>
      <w:r w:rsidR="001E3B38" w:rsidRPr="00EB31F2">
        <w:t>for consistency</w:t>
      </w:r>
      <w:r w:rsidR="00CD682A" w:rsidRPr="00EB31F2">
        <w:t>. Omalizumab</w:t>
      </w:r>
      <w:r w:rsidR="001E3B38" w:rsidRPr="00EB31F2">
        <w:t xml:space="preserve">’s </w:t>
      </w:r>
      <w:r w:rsidR="00CD682A" w:rsidRPr="00EB31F2">
        <w:t>‘severe allergic asthma’ listings for the population aged 6-12</w:t>
      </w:r>
      <w:r w:rsidR="001E3B38" w:rsidRPr="00EB31F2">
        <w:t xml:space="preserve"> years were maintained</w:t>
      </w:r>
      <w:r w:rsidRPr="00EB31F2">
        <w:t>.</w:t>
      </w:r>
      <w:r w:rsidR="00E05516" w:rsidRPr="00EB31F2">
        <w:t xml:space="preserve"> </w:t>
      </w:r>
    </w:p>
    <w:p w14:paraId="0AACC8C0" w14:textId="01760F57" w:rsidR="00350C9E" w:rsidRPr="00EB31F2" w:rsidRDefault="00350C9E" w:rsidP="008231F0">
      <w:pPr>
        <w:pStyle w:val="3Bodytext"/>
        <w:spacing w:after="80"/>
        <w:jc w:val="both"/>
        <w:rPr>
          <w:iCs/>
        </w:rPr>
      </w:pPr>
      <w:bookmarkStart w:id="1" w:name="_Hlk169508370"/>
      <w:bookmarkEnd w:id="0"/>
      <w:r w:rsidRPr="00EB31F2">
        <w:rPr>
          <w:iCs/>
        </w:rPr>
        <w:t xml:space="preserve">At its July 2021 meeting, the PBAC recommended that the </w:t>
      </w:r>
      <w:r w:rsidRPr="00EB31F2">
        <w:rPr>
          <w:rFonts w:cstheme="minorHAnsi"/>
        </w:rPr>
        <w:t>authority requirements for continuing treatment with omalizumab for</w:t>
      </w:r>
      <w:r w:rsidR="00EF556B" w:rsidRPr="00EB31F2">
        <w:rPr>
          <w:rFonts w:cstheme="minorHAnsi"/>
        </w:rPr>
        <w:t xml:space="preserve"> severe allergic asthma (</w:t>
      </w:r>
      <w:r w:rsidRPr="00EB31F2">
        <w:rPr>
          <w:rFonts w:cstheme="minorHAnsi"/>
        </w:rPr>
        <w:t>SAA</w:t>
      </w:r>
      <w:r w:rsidR="00EF556B" w:rsidRPr="00EB31F2">
        <w:rPr>
          <w:rFonts w:cstheme="minorHAnsi"/>
        </w:rPr>
        <w:t xml:space="preserve">) </w:t>
      </w:r>
      <w:r w:rsidRPr="00EB31F2">
        <w:rPr>
          <w:rFonts w:cstheme="minorHAnsi"/>
        </w:rPr>
        <w:t>be amended from Authority Required (Written) to Authority Required (Telephone/</w:t>
      </w:r>
      <w:r w:rsidR="009502A9" w:rsidRPr="00EB31F2">
        <w:rPr>
          <w:rFonts w:cstheme="minorHAnsi"/>
        </w:rPr>
        <w:t>Online</w:t>
      </w:r>
      <w:r w:rsidRPr="00EB31F2">
        <w:rPr>
          <w:rFonts w:cstheme="minorHAnsi"/>
        </w:rPr>
        <w:t xml:space="preserve">) to ease administrative burden for prescribers and for consistency with the continuing authority requirements for omalizumab for </w:t>
      </w:r>
      <w:r w:rsidR="00EF556B" w:rsidRPr="00EB31F2">
        <w:rPr>
          <w:rFonts w:cstheme="minorHAnsi"/>
        </w:rPr>
        <w:t>chronic spontaneous urticaria (</w:t>
      </w:r>
      <w:r w:rsidRPr="00EB31F2">
        <w:rPr>
          <w:rFonts w:cstheme="minorHAnsi"/>
        </w:rPr>
        <w:t>CSU</w:t>
      </w:r>
      <w:r w:rsidR="00EF556B" w:rsidRPr="00EB31F2">
        <w:rPr>
          <w:rFonts w:cstheme="minorHAnsi"/>
        </w:rPr>
        <w:t>)</w:t>
      </w:r>
      <w:r w:rsidRPr="00EB31F2">
        <w:rPr>
          <w:rFonts w:cstheme="minorHAnsi"/>
        </w:rPr>
        <w:t xml:space="preserve"> </w:t>
      </w:r>
      <w:r w:rsidRPr="00EB31F2">
        <w:rPr>
          <w:iCs/>
        </w:rPr>
        <w:t>(Review of Authority Required (Written) PBS listings Tranche 3</w:t>
      </w:r>
      <w:r w:rsidR="00D9758D">
        <w:rPr>
          <w:iCs/>
        </w:rPr>
        <w:t>,</w:t>
      </w:r>
      <w:r w:rsidRPr="00EB31F2">
        <w:rPr>
          <w:iCs/>
        </w:rPr>
        <w:t xml:space="preserve"> </w:t>
      </w:r>
      <w:r w:rsidR="00D9758D" w:rsidRPr="003D60FA">
        <w:t>July 2021 PBAC Meeting outcomes</w:t>
      </w:r>
      <w:r w:rsidRPr="00EB31F2">
        <w:rPr>
          <w:iCs/>
        </w:rPr>
        <w:t xml:space="preserve">). </w:t>
      </w:r>
      <w:r w:rsidRPr="00EB31F2">
        <w:rPr>
          <w:szCs w:val="24"/>
        </w:rPr>
        <w:t xml:space="preserve">This has yet to be implemented. </w:t>
      </w:r>
      <w:bookmarkEnd w:id="1"/>
      <w:r w:rsidR="00B7395F" w:rsidRPr="00EB31F2">
        <w:rPr>
          <w:szCs w:val="24"/>
        </w:rPr>
        <w:t xml:space="preserve">See paragraph </w:t>
      </w:r>
      <w:r w:rsidR="00631B9B" w:rsidRPr="00EB31F2">
        <w:rPr>
          <w:szCs w:val="24"/>
        </w:rPr>
        <w:fldChar w:fldCharType="begin" w:fldLock="1"/>
      </w:r>
      <w:r w:rsidR="00631B9B" w:rsidRPr="00EB31F2">
        <w:rPr>
          <w:szCs w:val="24"/>
        </w:rPr>
        <w:instrText xml:space="preserve"> REF _Ref159828225 \r \h </w:instrText>
      </w:r>
      <w:r w:rsidR="00631B9B" w:rsidRPr="00EB31F2">
        <w:rPr>
          <w:szCs w:val="24"/>
        </w:rPr>
      </w:r>
      <w:r w:rsidR="00631B9B" w:rsidRPr="00EB31F2">
        <w:rPr>
          <w:szCs w:val="24"/>
        </w:rPr>
        <w:fldChar w:fldCharType="separate"/>
      </w:r>
      <w:r w:rsidR="000A3CEA" w:rsidRPr="00EB31F2">
        <w:rPr>
          <w:szCs w:val="24"/>
        </w:rPr>
        <w:t>4.8</w:t>
      </w:r>
      <w:r w:rsidR="00631B9B" w:rsidRPr="00EB31F2">
        <w:rPr>
          <w:szCs w:val="24"/>
        </w:rPr>
        <w:fldChar w:fldCharType="end"/>
      </w:r>
      <w:r w:rsidR="00651AFE" w:rsidRPr="00EB31F2">
        <w:rPr>
          <w:szCs w:val="24"/>
        </w:rPr>
        <w:t xml:space="preserve"> </w:t>
      </w:r>
      <w:r w:rsidR="00B7395F" w:rsidRPr="00EB31F2">
        <w:rPr>
          <w:szCs w:val="24"/>
        </w:rPr>
        <w:t xml:space="preserve">for a summary of the PBAC’s consideration of mepolizumab in its </w:t>
      </w:r>
      <w:r w:rsidR="00B7395F" w:rsidRPr="00EB31F2">
        <w:rPr>
          <w:iCs/>
        </w:rPr>
        <w:t>Review of Authority Required (Written) PBS listings.</w:t>
      </w:r>
    </w:p>
    <w:p w14:paraId="19892FD1" w14:textId="61975806" w:rsidR="00EF556B" w:rsidRPr="00EB31F2" w:rsidRDefault="00EF556B" w:rsidP="008231F0">
      <w:pPr>
        <w:pStyle w:val="3Bodytext"/>
        <w:spacing w:after="80"/>
        <w:jc w:val="both"/>
      </w:pPr>
      <w:r w:rsidRPr="00EB31F2">
        <w:t>At its November 2022 meeting, the PBAC recommended the listing of mepolizumab for the treatment of CRSwNP as Authority Required (Written) for initiation and Authority Required (Telephone/</w:t>
      </w:r>
      <w:r w:rsidR="009502A9" w:rsidRPr="00EB31F2">
        <w:t>Online</w:t>
      </w:r>
      <w:r w:rsidRPr="00EB31F2">
        <w:t xml:space="preserve">) for continuation. This </w:t>
      </w:r>
      <w:r w:rsidR="00597D6C">
        <w:t xml:space="preserve">indication </w:t>
      </w:r>
      <w:r w:rsidRPr="00EB31F2">
        <w:t>was PBS-listed on 1</w:t>
      </w:r>
      <w:r w:rsidR="00597D6C">
        <w:t> </w:t>
      </w:r>
      <w:r w:rsidR="00597D6C" w:rsidRPr="00EB31F2">
        <w:t>April</w:t>
      </w:r>
      <w:r w:rsidR="00597D6C">
        <w:t> </w:t>
      </w:r>
      <w:r w:rsidRPr="00EB31F2">
        <w:t>2023</w:t>
      </w:r>
      <w:r w:rsidR="002722F7" w:rsidRPr="00EB31F2">
        <w:t>.</w:t>
      </w:r>
    </w:p>
    <w:p w14:paraId="5C6809F1" w14:textId="7311A557" w:rsidR="007E490F" w:rsidRPr="00EB31F2" w:rsidRDefault="003C2C02" w:rsidP="008231F0">
      <w:pPr>
        <w:pStyle w:val="3Bodytext"/>
        <w:spacing w:after="80"/>
        <w:rPr>
          <w:i/>
        </w:rPr>
      </w:pPr>
      <w:r w:rsidRPr="00EB31F2">
        <w:t xml:space="preserve">Please </w:t>
      </w:r>
      <w:r w:rsidRPr="00EB31F2">
        <w:rPr>
          <w:rFonts w:cstheme="minorHAnsi"/>
          <w:szCs w:val="24"/>
        </w:rPr>
        <w:t xml:space="preserve">see </w:t>
      </w:r>
      <w:r w:rsidR="00F27F09" w:rsidRPr="00EB31F2">
        <w:rPr>
          <w:rFonts w:cstheme="minorHAnsi"/>
          <w:szCs w:val="24"/>
        </w:rPr>
        <w:fldChar w:fldCharType="begin" w:fldLock="1"/>
      </w:r>
      <w:r w:rsidR="00F27F09" w:rsidRPr="00EB31F2">
        <w:rPr>
          <w:rFonts w:cstheme="minorHAnsi"/>
          <w:szCs w:val="24"/>
        </w:rPr>
        <w:instrText xml:space="preserve"> REF _Ref157668724 \h  \* MERGEFORMAT </w:instrText>
      </w:r>
      <w:r w:rsidR="00F27F09" w:rsidRPr="00EB31F2">
        <w:rPr>
          <w:rFonts w:cstheme="minorHAnsi"/>
          <w:szCs w:val="24"/>
        </w:rPr>
      </w:r>
      <w:r w:rsidR="00F27F09" w:rsidRPr="00EB31F2">
        <w:rPr>
          <w:rFonts w:cstheme="minorHAnsi"/>
          <w:szCs w:val="24"/>
        </w:rPr>
        <w:fldChar w:fldCharType="separate"/>
      </w:r>
      <w:r w:rsidR="000A3CEA" w:rsidRPr="00EB31F2">
        <w:rPr>
          <w:rFonts w:cstheme="minorHAnsi"/>
          <w:szCs w:val="24"/>
        </w:rPr>
        <w:t>Table 1</w:t>
      </w:r>
      <w:r w:rsidR="00F27F09" w:rsidRPr="00EB31F2">
        <w:rPr>
          <w:rFonts w:cstheme="minorHAnsi"/>
          <w:szCs w:val="24"/>
        </w:rPr>
        <w:fldChar w:fldCharType="end"/>
      </w:r>
      <w:r w:rsidR="00F27F09" w:rsidRPr="00EB31F2">
        <w:rPr>
          <w:rFonts w:cstheme="minorHAnsi"/>
          <w:szCs w:val="24"/>
        </w:rPr>
        <w:t xml:space="preserve"> </w:t>
      </w:r>
      <w:r w:rsidRPr="00EB31F2">
        <w:rPr>
          <w:rFonts w:cstheme="minorHAnsi"/>
          <w:szCs w:val="24"/>
        </w:rPr>
        <w:t>for</w:t>
      </w:r>
      <w:r w:rsidRPr="00EB31F2">
        <w:t xml:space="preserve"> summary of previous PBAC consideration for mepolizumab and other PBS-listed </w:t>
      </w:r>
      <w:r w:rsidR="002452D5" w:rsidRPr="00EB31F2">
        <w:t>OCSs.</w:t>
      </w:r>
    </w:p>
    <w:p w14:paraId="0D1509BB" w14:textId="77777777" w:rsidR="00631B9B" w:rsidRPr="00EB31F2" w:rsidRDefault="00631B9B" w:rsidP="008231F0">
      <w:pPr>
        <w:pStyle w:val="2Sections"/>
        <w:jc w:val="center"/>
        <w:outlineLvl w:val="2"/>
        <w:rPr>
          <w:sz w:val="24"/>
          <w:szCs w:val="24"/>
          <w:u w:val="single"/>
        </w:rPr>
      </w:pPr>
      <w:r w:rsidRPr="00EB31F2">
        <w:rPr>
          <w:sz w:val="24"/>
          <w:szCs w:val="24"/>
          <w:u w:val="single"/>
        </w:rPr>
        <w:t>Committee-In-Confidence information</w:t>
      </w:r>
    </w:p>
    <w:p w14:paraId="0FD112BB" w14:textId="63EFB1DB" w:rsidR="00631B9B" w:rsidRPr="00591DDE" w:rsidRDefault="00591DDE" w:rsidP="00631B9B">
      <w:pPr>
        <w:pStyle w:val="3Bodytext"/>
        <w:jc w:val="both"/>
      </w:pPr>
      <w:r w:rsidRPr="00591DDE">
        <w:rPr>
          <w:color w:val="000000"/>
          <w:w w:val="61"/>
          <w:shd w:val="solid" w:color="000000" w:fill="000000"/>
          <w:fitText w:val="475" w:id="-1003822080"/>
          <w14:textFill>
            <w14:solidFill>
              <w14:srgbClr w14:val="000000">
                <w14:alpha w14:val="100000"/>
              </w14:srgbClr>
            </w14:solidFill>
          </w14:textFill>
        </w:rPr>
        <w:t>|||  ||</w:t>
      </w:r>
      <w:r w:rsidRPr="00591DDE">
        <w:rPr>
          <w:color w:val="000000"/>
          <w:spacing w:val="7"/>
          <w:w w:val="61"/>
          <w:shd w:val="solid" w:color="000000" w:fill="000000"/>
          <w:fitText w:val="475" w:id="-1003822080"/>
          <w14:textFill>
            <w14:solidFill>
              <w14:srgbClr w14:val="000000">
                <w14:alpha w14:val="100000"/>
              </w14:srgbClr>
            </w14:solidFill>
          </w14:textFill>
        </w:rPr>
        <w:t>|</w:t>
      </w:r>
      <w:r w:rsidRPr="00591DDE">
        <w:t xml:space="preserve"> </w:t>
      </w:r>
      <w:r w:rsidRPr="00591DDE">
        <w:rPr>
          <w:color w:val="000000"/>
          <w:w w:val="61"/>
          <w:shd w:val="solid" w:color="000000" w:fill="000000"/>
          <w:fitText w:val="475" w:id="-1003822079"/>
          <w14:textFill>
            <w14:solidFill>
              <w14:srgbClr w14:val="000000">
                <w14:alpha w14:val="100000"/>
              </w14:srgbClr>
            </w14:solidFill>
          </w14:textFill>
        </w:rPr>
        <w:t>|||  ||</w:t>
      </w:r>
      <w:r w:rsidRPr="00591DDE">
        <w:rPr>
          <w:color w:val="000000"/>
          <w:spacing w:val="7"/>
          <w:w w:val="61"/>
          <w:shd w:val="solid" w:color="000000" w:fill="000000"/>
          <w:fitText w:val="475" w:id="-1003822079"/>
          <w14:textFill>
            <w14:solidFill>
              <w14:srgbClr w14:val="000000">
                <w14:alpha w14:val="100000"/>
              </w14:srgbClr>
            </w14:solidFill>
          </w14:textFill>
        </w:rPr>
        <w:t>|</w:t>
      </w:r>
      <w:r w:rsidRPr="00591DDE">
        <w:t xml:space="preserve"> </w:t>
      </w:r>
      <w:r w:rsidRPr="00165390">
        <w:rPr>
          <w:color w:val="000000"/>
          <w:w w:val="58"/>
          <w:shd w:val="solid" w:color="000000" w:fill="000000"/>
          <w:fitText w:val="460" w:id="-1003822078"/>
          <w14:textFill>
            <w14:solidFill>
              <w14:srgbClr w14:val="000000">
                <w14:alpha w14:val="100000"/>
              </w14:srgbClr>
            </w14:solidFill>
          </w14:textFill>
        </w:rPr>
        <w:t>|||  ||</w:t>
      </w:r>
      <w:r w:rsidRPr="00165390">
        <w:rPr>
          <w:color w:val="000000"/>
          <w:spacing w:val="-21"/>
          <w:w w:val="58"/>
          <w:shd w:val="solid" w:color="000000" w:fill="000000"/>
          <w:fitText w:val="460" w:id="-1003822078"/>
          <w14:textFill>
            <w14:solidFill>
              <w14:srgbClr w14:val="000000">
                <w14:alpha w14:val="100000"/>
              </w14:srgbClr>
            </w14:solidFill>
          </w14:textFill>
        </w:rPr>
        <w:t>|</w:t>
      </w:r>
      <w:r w:rsidRPr="00591DDE">
        <w:t xml:space="preserve"> </w:t>
      </w:r>
      <w:r w:rsidRPr="00165390">
        <w:rPr>
          <w:color w:val="000000"/>
          <w:w w:val="58"/>
          <w:shd w:val="solid" w:color="000000" w:fill="000000"/>
          <w:fitText w:val="460" w:id="-1003822077"/>
          <w14:textFill>
            <w14:solidFill>
              <w14:srgbClr w14:val="000000">
                <w14:alpha w14:val="100000"/>
              </w14:srgbClr>
            </w14:solidFill>
          </w14:textFill>
        </w:rPr>
        <w:t>|||  ||</w:t>
      </w:r>
      <w:r w:rsidRPr="00165390">
        <w:rPr>
          <w:color w:val="000000"/>
          <w:spacing w:val="-21"/>
          <w:w w:val="58"/>
          <w:shd w:val="solid" w:color="000000" w:fill="000000"/>
          <w:fitText w:val="460" w:id="-1003822077"/>
          <w14:textFill>
            <w14:solidFill>
              <w14:srgbClr w14:val="000000">
                <w14:alpha w14:val="100000"/>
              </w14:srgbClr>
            </w14:solidFill>
          </w14:textFill>
        </w:rPr>
        <w:t>|</w:t>
      </w:r>
      <w:r w:rsidRPr="00591DDE">
        <w:t xml:space="preserve"> </w:t>
      </w:r>
      <w:r w:rsidRPr="00591DDE">
        <w:rPr>
          <w:color w:val="000000"/>
          <w:w w:val="61"/>
          <w:shd w:val="solid" w:color="000000" w:fill="000000"/>
          <w:fitText w:val="475" w:id="-1003822076"/>
          <w14:textFill>
            <w14:solidFill>
              <w14:srgbClr w14:val="000000">
                <w14:alpha w14:val="100000"/>
              </w14:srgbClr>
            </w14:solidFill>
          </w14:textFill>
        </w:rPr>
        <w:t>|||  ||</w:t>
      </w:r>
      <w:r w:rsidRPr="00591DDE">
        <w:rPr>
          <w:color w:val="000000"/>
          <w:spacing w:val="7"/>
          <w:w w:val="61"/>
          <w:shd w:val="solid" w:color="000000" w:fill="000000"/>
          <w:fitText w:val="475" w:id="-1003822076"/>
          <w14:textFill>
            <w14:solidFill>
              <w14:srgbClr w14:val="000000">
                <w14:alpha w14:val="100000"/>
              </w14:srgbClr>
            </w14:solidFill>
          </w14:textFill>
        </w:rPr>
        <w:t>|</w:t>
      </w:r>
      <w:r w:rsidRPr="00591DDE">
        <w:t xml:space="preserve"> </w:t>
      </w:r>
      <w:r w:rsidRPr="00591DDE">
        <w:rPr>
          <w:color w:val="000000"/>
          <w:w w:val="61"/>
          <w:shd w:val="solid" w:color="000000" w:fill="000000"/>
          <w:fitText w:val="475" w:id="-1003822075"/>
          <w14:textFill>
            <w14:solidFill>
              <w14:srgbClr w14:val="000000">
                <w14:alpha w14:val="100000"/>
              </w14:srgbClr>
            </w14:solidFill>
          </w14:textFill>
        </w:rPr>
        <w:t>|||  ||</w:t>
      </w:r>
      <w:r w:rsidRPr="00591DDE">
        <w:rPr>
          <w:color w:val="000000"/>
          <w:spacing w:val="7"/>
          <w:w w:val="61"/>
          <w:shd w:val="solid" w:color="000000" w:fill="000000"/>
          <w:fitText w:val="475" w:id="-1003822075"/>
          <w14:textFill>
            <w14:solidFill>
              <w14:srgbClr w14:val="000000">
                <w14:alpha w14:val="100000"/>
              </w14:srgbClr>
            </w14:solidFill>
          </w14:textFill>
        </w:rPr>
        <w:t>|</w:t>
      </w:r>
      <w:r w:rsidRPr="00591DDE">
        <w:t xml:space="preserve"> </w:t>
      </w:r>
      <w:r w:rsidRPr="00591DDE">
        <w:rPr>
          <w:color w:val="000000"/>
          <w:w w:val="61"/>
          <w:shd w:val="solid" w:color="000000" w:fill="000000"/>
          <w:fitText w:val="475" w:id="-1003822074"/>
          <w14:textFill>
            <w14:solidFill>
              <w14:srgbClr w14:val="000000">
                <w14:alpha w14:val="100000"/>
              </w14:srgbClr>
            </w14:solidFill>
          </w14:textFill>
        </w:rPr>
        <w:t>|||  ||</w:t>
      </w:r>
      <w:r w:rsidRPr="00591DDE">
        <w:rPr>
          <w:color w:val="000000"/>
          <w:spacing w:val="7"/>
          <w:w w:val="61"/>
          <w:shd w:val="solid" w:color="000000" w:fill="000000"/>
          <w:fitText w:val="475" w:id="-1003822074"/>
          <w14:textFill>
            <w14:solidFill>
              <w14:srgbClr w14:val="000000">
                <w14:alpha w14:val="100000"/>
              </w14:srgbClr>
            </w14:solidFill>
          </w14:textFill>
        </w:rPr>
        <w:t>|</w:t>
      </w:r>
      <w:r w:rsidRPr="00591DDE">
        <w:t xml:space="preserve"> </w:t>
      </w:r>
      <w:r w:rsidRPr="00591DDE">
        <w:rPr>
          <w:color w:val="000000"/>
          <w:w w:val="61"/>
          <w:shd w:val="solid" w:color="000000" w:fill="000000"/>
          <w:fitText w:val="475" w:id="-1003822073"/>
          <w14:textFill>
            <w14:solidFill>
              <w14:srgbClr w14:val="000000">
                <w14:alpha w14:val="100000"/>
              </w14:srgbClr>
            </w14:solidFill>
          </w14:textFill>
        </w:rPr>
        <w:t>|||  ||</w:t>
      </w:r>
      <w:r w:rsidRPr="00591DDE">
        <w:rPr>
          <w:color w:val="000000"/>
          <w:spacing w:val="7"/>
          <w:w w:val="61"/>
          <w:shd w:val="solid" w:color="000000" w:fill="000000"/>
          <w:fitText w:val="475" w:id="-1003822073"/>
          <w14:textFill>
            <w14:solidFill>
              <w14:srgbClr w14:val="000000">
                <w14:alpha w14:val="100000"/>
              </w14:srgbClr>
            </w14:solidFill>
          </w14:textFill>
        </w:rPr>
        <w:t>|</w:t>
      </w:r>
      <w:r w:rsidRPr="00591DDE">
        <w:t xml:space="preserve"> </w:t>
      </w:r>
      <w:r w:rsidRPr="00591DDE">
        <w:rPr>
          <w:color w:val="000000"/>
          <w:w w:val="61"/>
          <w:shd w:val="solid" w:color="000000" w:fill="000000"/>
          <w:fitText w:val="475" w:id="-1003822072"/>
          <w14:textFill>
            <w14:solidFill>
              <w14:srgbClr w14:val="000000">
                <w14:alpha w14:val="100000"/>
              </w14:srgbClr>
            </w14:solidFill>
          </w14:textFill>
        </w:rPr>
        <w:t>|||  ||</w:t>
      </w:r>
      <w:r w:rsidRPr="00591DDE">
        <w:rPr>
          <w:color w:val="000000"/>
          <w:spacing w:val="7"/>
          <w:w w:val="61"/>
          <w:shd w:val="solid" w:color="000000" w:fill="000000"/>
          <w:fitText w:val="475" w:id="-1003822072"/>
          <w14:textFill>
            <w14:solidFill>
              <w14:srgbClr w14:val="000000">
                <w14:alpha w14:val="100000"/>
              </w14:srgbClr>
            </w14:solidFill>
          </w14:textFill>
        </w:rPr>
        <w:t>|</w:t>
      </w:r>
      <w:r w:rsidRPr="00591DDE">
        <w:t xml:space="preserve"> </w:t>
      </w:r>
      <w:r w:rsidRPr="00591DDE">
        <w:rPr>
          <w:color w:val="000000"/>
          <w:w w:val="61"/>
          <w:shd w:val="solid" w:color="000000" w:fill="000000"/>
          <w:fitText w:val="475" w:id="-1003822071"/>
          <w14:textFill>
            <w14:solidFill>
              <w14:srgbClr w14:val="000000">
                <w14:alpha w14:val="100000"/>
              </w14:srgbClr>
            </w14:solidFill>
          </w14:textFill>
        </w:rPr>
        <w:t>|||  ||</w:t>
      </w:r>
      <w:r w:rsidRPr="00591DDE">
        <w:rPr>
          <w:color w:val="000000"/>
          <w:spacing w:val="7"/>
          <w:w w:val="61"/>
          <w:shd w:val="solid" w:color="000000" w:fill="000000"/>
          <w:fitText w:val="475" w:id="-1003822071"/>
          <w14:textFill>
            <w14:solidFill>
              <w14:srgbClr w14:val="000000">
                <w14:alpha w14:val="100000"/>
              </w14:srgbClr>
            </w14:solidFill>
          </w14:textFill>
        </w:rPr>
        <w:t>|</w:t>
      </w:r>
      <w:r w:rsidRPr="00591DDE">
        <w:t xml:space="preserve"> </w:t>
      </w:r>
      <w:r w:rsidRPr="00591DDE">
        <w:rPr>
          <w:color w:val="000000"/>
          <w:w w:val="61"/>
          <w:shd w:val="solid" w:color="000000" w:fill="000000"/>
          <w:fitText w:val="475" w:id="-1003822070"/>
          <w14:textFill>
            <w14:solidFill>
              <w14:srgbClr w14:val="000000">
                <w14:alpha w14:val="100000"/>
              </w14:srgbClr>
            </w14:solidFill>
          </w14:textFill>
        </w:rPr>
        <w:t>|||  ||</w:t>
      </w:r>
      <w:r w:rsidRPr="00591DDE">
        <w:rPr>
          <w:color w:val="000000"/>
          <w:spacing w:val="7"/>
          <w:w w:val="61"/>
          <w:shd w:val="solid" w:color="000000" w:fill="000000"/>
          <w:fitText w:val="475" w:id="-1003822070"/>
          <w14:textFill>
            <w14:solidFill>
              <w14:srgbClr w14:val="000000">
                <w14:alpha w14:val="100000"/>
              </w14:srgbClr>
            </w14:solidFill>
          </w14:textFill>
        </w:rPr>
        <w:t>|</w:t>
      </w:r>
      <w:r w:rsidRPr="00591DDE">
        <w:t xml:space="preserve"> </w:t>
      </w:r>
      <w:r w:rsidRPr="00591DDE">
        <w:rPr>
          <w:color w:val="000000"/>
          <w:w w:val="61"/>
          <w:shd w:val="solid" w:color="000000" w:fill="000000"/>
          <w:fitText w:val="475" w:id="-1003822069"/>
          <w14:textFill>
            <w14:solidFill>
              <w14:srgbClr w14:val="000000">
                <w14:alpha w14:val="100000"/>
              </w14:srgbClr>
            </w14:solidFill>
          </w14:textFill>
        </w:rPr>
        <w:t>|||  ||</w:t>
      </w:r>
      <w:r w:rsidRPr="00591DDE">
        <w:rPr>
          <w:color w:val="000000"/>
          <w:spacing w:val="7"/>
          <w:w w:val="61"/>
          <w:shd w:val="solid" w:color="000000" w:fill="000000"/>
          <w:fitText w:val="475" w:id="-1003822069"/>
          <w14:textFill>
            <w14:solidFill>
              <w14:srgbClr w14:val="000000">
                <w14:alpha w14:val="100000"/>
              </w14:srgbClr>
            </w14:solidFill>
          </w14:textFill>
        </w:rPr>
        <w:t>|</w:t>
      </w:r>
      <w:r w:rsidRPr="00591DDE">
        <w:t xml:space="preserve"> </w:t>
      </w:r>
      <w:r w:rsidRPr="00165390">
        <w:rPr>
          <w:color w:val="000000"/>
          <w:w w:val="58"/>
          <w:shd w:val="solid" w:color="000000" w:fill="000000"/>
          <w:fitText w:val="460" w:id="-1003822068"/>
          <w14:textFill>
            <w14:solidFill>
              <w14:srgbClr w14:val="000000">
                <w14:alpha w14:val="100000"/>
              </w14:srgbClr>
            </w14:solidFill>
          </w14:textFill>
        </w:rPr>
        <w:t>|||  ||</w:t>
      </w:r>
      <w:r w:rsidRPr="00165390">
        <w:rPr>
          <w:color w:val="000000"/>
          <w:spacing w:val="-21"/>
          <w:w w:val="58"/>
          <w:shd w:val="solid" w:color="000000" w:fill="000000"/>
          <w:fitText w:val="460" w:id="-1003822068"/>
          <w14:textFill>
            <w14:solidFill>
              <w14:srgbClr w14:val="000000">
                <w14:alpha w14:val="100000"/>
              </w14:srgbClr>
            </w14:solidFill>
          </w14:textFill>
        </w:rPr>
        <w:t>|</w:t>
      </w:r>
      <w:r w:rsidRPr="00591DDE">
        <w:t xml:space="preserve"> </w:t>
      </w:r>
      <w:r w:rsidRPr="00591DDE">
        <w:rPr>
          <w:color w:val="000000"/>
          <w:w w:val="61"/>
          <w:shd w:val="solid" w:color="000000" w:fill="000000"/>
          <w:fitText w:val="475" w:id="-1003822067"/>
          <w14:textFill>
            <w14:solidFill>
              <w14:srgbClr w14:val="000000">
                <w14:alpha w14:val="100000"/>
              </w14:srgbClr>
            </w14:solidFill>
          </w14:textFill>
        </w:rPr>
        <w:t>|||  ||</w:t>
      </w:r>
      <w:r w:rsidRPr="00591DDE">
        <w:rPr>
          <w:color w:val="000000"/>
          <w:spacing w:val="7"/>
          <w:w w:val="61"/>
          <w:shd w:val="solid" w:color="000000" w:fill="000000"/>
          <w:fitText w:val="475" w:id="-1003822067"/>
          <w14:textFill>
            <w14:solidFill>
              <w14:srgbClr w14:val="000000">
                <w14:alpha w14:val="100000"/>
              </w14:srgbClr>
            </w14:solidFill>
          </w14:textFill>
        </w:rPr>
        <w:t>|</w:t>
      </w:r>
      <w:r w:rsidRPr="00591DDE">
        <w:t xml:space="preserve"> </w:t>
      </w:r>
      <w:r w:rsidRPr="00591DDE">
        <w:rPr>
          <w:color w:val="000000"/>
          <w:w w:val="61"/>
          <w:shd w:val="solid" w:color="000000" w:fill="000000"/>
          <w:fitText w:val="475" w:id="-1003822066"/>
          <w14:textFill>
            <w14:solidFill>
              <w14:srgbClr w14:val="000000">
                <w14:alpha w14:val="100000"/>
              </w14:srgbClr>
            </w14:solidFill>
          </w14:textFill>
        </w:rPr>
        <w:t>|||  ||</w:t>
      </w:r>
      <w:r w:rsidRPr="00591DDE">
        <w:rPr>
          <w:color w:val="000000"/>
          <w:spacing w:val="7"/>
          <w:w w:val="61"/>
          <w:shd w:val="solid" w:color="000000" w:fill="000000"/>
          <w:fitText w:val="475" w:id="-1003822066"/>
          <w14:textFill>
            <w14:solidFill>
              <w14:srgbClr w14:val="000000">
                <w14:alpha w14:val="100000"/>
              </w14:srgbClr>
            </w14:solidFill>
          </w14:textFill>
        </w:rPr>
        <w:t>|</w:t>
      </w:r>
      <w:r w:rsidRPr="00591DDE">
        <w:t xml:space="preserve"> </w:t>
      </w:r>
      <w:r w:rsidRPr="00591DDE">
        <w:rPr>
          <w:color w:val="000000"/>
          <w:w w:val="61"/>
          <w:shd w:val="solid" w:color="000000" w:fill="000000"/>
          <w:fitText w:val="475" w:id="-1003822065"/>
          <w14:textFill>
            <w14:solidFill>
              <w14:srgbClr w14:val="000000">
                <w14:alpha w14:val="100000"/>
              </w14:srgbClr>
            </w14:solidFill>
          </w14:textFill>
        </w:rPr>
        <w:t>|||  ||</w:t>
      </w:r>
      <w:r w:rsidRPr="00591DDE">
        <w:rPr>
          <w:color w:val="000000"/>
          <w:spacing w:val="7"/>
          <w:w w:val="61"/>
          <w:shd w:val="solid" w:color="000000" w:fill="000000"/>
          <w:fitText w:val="475" w:id="-1003822065"/>
          <w14:textFill>
            <w14:solidFill>
              <w14:srgbClr w14:val="000000">
                <w14:alpha w14:val="100000"/>
              </w14:srgbClr>
            </w14:solidFill>
          </w14:textFill>
        </w:rPr>
        <w:t>|</w:t>
      </w:r>
      <w:r w:rsidRPr="00591DDE">
        <w:t xml:space="preserve"> </w:t>
      </w:r>
      <w:r w:rsidRPr="00165390">
        <w:rPr>
          <w:color w:val="000000"/>
          <w:shd w:val="solid" w:color="000000" w:fill="000000"/>
          <w:fitText w:val="-20" w:id="-1003822064"/>
          <w14:textFill>
            <w14:solidFill>
              <w14:srgbClr w14:val="000000">
                <w14:alpha w14:val="100000"/>
              </w14:srgbClr>
            </w14:solidFill>
          </w14:textFill>
        </w:rPr>
        <w:t>|  |</w:t>
      </w:r>
      <w:r w:rsidRPr="00591DDE">
        <w:t xml:space="preserve"> </w:t>
      </w:r>
      <w:r w:rsidRPr="00165390">
        <w:rPr>
          <w:color w:val="000000"/>
          <w:shd w:val="solid" w:color="000000" w:fill="000000"/>
          <w:fitText w:val="-20" w:id="-1003822080"/>
          <w14:textFill>
            <w14:solidFill>
              <w14:srgbClr w14:val="000000">
                <w14:alpha w14:val="100000"/>
              </w14:srgbClr>
            </w14:solidFill>
          </w14:textFill>
        </w:rPr>
        <w:t>|  |</w:t>
      </w:r>
      <w:r w:rsidRPr="00591DDE">
        <w:t xml:space="preserve"> </w:t>
      </w:r>
      <w:r w:rsidRPr="00165390">
        <w:rPr>
          <w:color w:val="000000"/>
          <w:shd w:val="solid" w:color="000000" w:fill="000000"/>
          <w:fitText w:val="-20" w:id="-1003822079"/>
          <w14:textFill>
            <w14:solidFill>
              <w14:srgbClr w14:val="000000">
                <w14:alpha w14:val="100000"/>
              </w14:srgbClr>
            </w14:solidFill>
          </w14:textFill>
        </w:rPr>
        <w:t>|  |</w:t>
      </w:r>
      <w:r w:rsidRPr="00591DDE">
        <w:t xml:space="preserve"> </w:t>
      </w:r>
      <w:r w:rsidRPr="00165390">
        <w:rPr>
          <w:color w:val="000000"/>
          <w:shd w:val="solid" w:color="000000" w:fill="000000"/>
          <w:fitText w:val="-20" w:id="-1003822078"/>
          <w14:textFill>
            <w14:solidFill>
              <w14:srgbClr w14:val="000000">
                <w14:alpha w14:val="100000"/>
              </w14:srgbClr>
            </w14:solidFill>
          </w14:textFill>
        </w:rPr>
        <w:t>|  |</w:t>
      </w:r>
      <w:r w:rsidRPr="00591DDE">
        <w:t xml:space="preserve"> </w:t>
      </w:r>
      <w:r w:rsidRPr="00165390">
        <w:rPr>
          <w:color w:val="000000"/>
          <w:shd w:val="solid" w:color="000000" w:fill="000000"/>
          <w:fitText w:val="-20" w:id="-1003822077"/>
          <w14:textFill>
            <w14:solidFill>
              <w14:srgbClr w14:val="000000">
                <w14:alpha w14:val="100000"/>
              </w14:srgbClr>
            </w14:solidFill>
          </w14:textFill>
        </w:rPr>
        <w:t>|  |</w:t>
      </w:r>
      <w:r w:rsidRPr="00591DDE">
        <w:t xml:space="preserve"> </w:t>
      </w:r>
      <w:r w:rsidRPr="00165390">
        <w:rPr>
          <w:color w:val="000000"/>
          <w:shd w:val="solid" w:color="000000" w:fill="000000"/>
          <w:fitText w:val="-20" w:id="-1003822076"/>
          <w14:textFill>
            <w14:solidFill>
              <w14:srgbClr w14:val="000000">
                <w14:alpha w14:val="100000"/>
              </w14:srgbClr>
            </w14:solidFill>
          </w14:textFill>
        </w:rPr>
        <w:t>|  |</w:t>
      </w:r>
      <w:r w:rsidRPr="00591DDE">
        <w:t xml:space="preserve"> </w:t>
      </w:r>
      <w:r w:rsidRPr="00165390">
        <w:rPr>
          <w:color w:val="000000"/>
          <w:shd w:val="solid" w:color="000000" w:fill="000000"/>
          <w:fitText w:val="-20" w:id="-1003822075"/>
          <w14:textFill>
            <w14:solidFill>
              <w14:srgbClr w14:val="000000">
                <w14:alpha w14:val="100000"/>
              </w14:srgbClr>
            </w14:solidFill>
          </w14:textFill>
        </w:rPr>
        <w:t>|  |</w:t>
      </w:r>
      <w:r w:rsidRPr="00591DDE">
        <w:t xml:space="preserve"> </w:t>
      </w:r>
      <w:r w:rsidRPr="00165390">
        <w:rPr>
          <w:color w:val="000000"/>
          <w:shd w:val="solid" w:color="000000" w:fill="000000"/>
          <w:fitText w:val="-20" w:id="-1003822074"/>
          <w14:textFill>
            <w14:solidFill>
              <w14:srgbClr w14:val="000000">
                <w14:alpha w14:val="100000"/>
              </w14:srgbClr>
            </w14:solidFill>
          </w14:textFill>
        </w:rPr>
        <w:t>|  |</w:t>
      </w:r>
      <w:r w:rsidRPr="00591DDE">
        <w:t xml:space="preserve"> </w:t>
      </w:r>
      <w:r w:rsidRPr="00165390">
        <w:rPr>
          <w:color w:val="000000"/>
          <w:shd w:val="solid" w:color="000000" w:fill="000000"/>
          <w:fitText w:val="-20" w:id="-1003822073"/>
          <w14:textFill>
            <w14:solidFill>
              <w14:srgbClr w14:val="000000">
                <w14:alpha w14:val="100000"/>
              </w14:srgbClr>
            </w14:solidFill>
          </w14:textFill>
        </w:rPr>
        <w:t>|  |</w:t>
      </w:r>
      <w:r w:rsidRPr="00591DDE">
        <w:t xml:space="preserve"> </w:t>
      </w:r>
      <w:r w:rsidRPr="00165390">
        <w:rPr>
          <w:color w:val="000000"/>
          <w:shd w:val="solid" w:color="000000" w:fill="000000"/>
          <w:fitText w:val="-20" w:id="-1003822072"/>
          <w14:textFill>
            <w14:solidFill>
              <w14:srgbClr w14:val="000000">
                <w14:alpha w14:val="100000"/>
              </w14:srgbClr>
            </w14:solidFill>
          </w14:textFill>
        </w:rPr>
        <w:t>|  |</w:t>
      </w:r>
      <w:r w:rsidRPr="00591DDE">
        <w:t xml:space="preserve"> </w:t>
      </w:r>
      <w:r w:rsidRPr="00165390">
        <w:rPr>
          <w:color w:val="000000"/>
          <w:shd w:val="solid" w:color="000000" w:fill="000000"/>
          <w:fitText w:val="-20" w:id="-1003822071"/>
          <w14:textFill>
            <w14:solidFill>
              <w14:srgbClr w14:val="000000">
                <w14:alpha w14:val="100000"/>
              </w14:srgbClr>
            </w14:solidFill>
          </w14:textFill>
        </w:rPr>
        <w:t>|  |</w:t>
      </w:r>
      <w:r w:rsidRPr="00591DDE">
        <w:t xml:space="preserve"> </w:t>
      </w:r>
      <w:r w:rsidRPr="00165390">
        <w:rPr>
          <w:color w:val="000000"/>
          <w:shd w:val="solid" w:color="000000" w:fill="000000"/>
          <w:fitText w:val="-20" w:id="-1003822070"/>
          <w14:textFill>
            <w14:solidFill>
              <w14:srgbClr w14:val="000000">
                <w14:alpha w14:val="100000"/>
              </w14:srgbClr>
            </w14:solidFill>
          </w14:textFill>
        </w:rPr>
        <w:t>|  |</w:t>
      </w:r>
      <w:r w:rsidRPr="00591DDE">
        <w:t xml:space="preserve"> </w:t>
      </w:r>
      <w:r w:rsidRPr="00165390">
        <w:rPr>
          <w:color w:val="000000"/>
          <w:shd w:val="solid" w:color="000000" w:fill="000000"/>
          <w:fitText w:val="-20" w:id="-1003822069"/>
          <w14:textFill>
            <w14:solidFill>
              <w14:srgbClr w14:val="000000">
                <w14:alpha w14:val="100000"/>
              </w14:srgbClr>
            </w14:solidFill>
          </w14:textFill>
        </w:rPr>
        <w:t>|  |</w:t>
      </w:r>
      <w:r w:rsidRPr="00591DDE">
        <w:t xml:space="preserve"> </w:t>
      </w:r>
      <w:r w:rsidRPr="00165390">
        <w:rPr>
          <w:color w:val="000000"/>
          <w:shd w:val="solid" w:color="000000" w:fill="000000"/>
          <w:fitText w:val="-20" w:id="-1003822068"/>
          <w14:textFill>
            <w14:solidFill>
              <w14:srgbClr w14:val="000000">
                <w14:alpha w14:val="100000"/>
              </w14:srgbClr>
            </w14:solidFill>
          </w14:textFill>
        </w:rPr>
        <w:t>|  |</w:t>
      </w:r>
      <w:r w:rsidRPr="00591DDE">
        <w:t xml:space="preserve"> </w:t>
      </w:r>
      <w:r w:rsidRPr="00165390">
        <w:rPr>
          <w:color w:val="000000"/>
          <w:shd w:val="solid" w:color="000000" w:fill="000000"/>
          <w:fitText w:val="-20" w:id="-1003822067"/>
          <w14:textFill>
            <w14:solidFill>
              <w14:srgbClr w14:val="000000">
                <w14:alpha w14:val="100000"/>
              </w14:srgbClr>
            </w14:solidFill>
          </w14:textFill>
        </w:rPr>
        <w:t>|  |</w:t>
      </w:r>
      <w:r w:rsidRPr="00591DDE">
        <w:t xml:space="preserve"> </w:t>
      </w:r>
      <w:r w:rsidRPr="00165390">
        <w:rPr>
          <w:color w:val="000000"/>
          <w:shd w:val="solid" w:color="000000" w:fill="000000"/>
          <w:fitText w:val="-20" w:id="-1003822066"/>
          <w14:textFill>
            <w14:solidFill>
              <w14:srgbClr w14:val="000000">
                <w14:alpha w14:val="100000"/>
              </w14:srgbClr>
            </w14:solidFill>
          </w14:textFill>
        </w:rPr>
        <w:t>|  |</w:t>
      </w:r>
      <w:r w:rsidRPr="00591DDE">
        <w:t xml:space="preserve"> </w:t>
      </w:r>
      <w:r w:rsidRPr="00165390">
        <w:rPr>
          <w:color w:val="000000"/>
          <w:shd w:val="solid" w:color="000000" w:fill="000000"/>
          <w:fitText w:val="-20" w:id="-1003822065"/>
          <w14:textFill>
            <w14:solidFill>
              <w14:srgbClr w14:val="000000">
                <w14:alpha w14:val="100000"/>
              </w14:srgbClr>
            </w14:solidFill>
          </w14:textFill>
        </w:rPr>
        <w:t>|  |</w:t>
      </w:r>
      <w:r w:rsidRPr="00591DDE">
        <w:t xml:space="preserve"> </w:t>
      </w:r>
      <w:r w:rsidRPr="00165390">
        <w:rPr>
          <w:color w:val="000000"/>
          <w:shd w:val="solid" w:color="000000" w:fill="000000"/>
          <w:fitText w:val="-20" w:id="-1003822064"/>
          <w14:textFill>
            <w14:solidFill>
              <w14:srgbClr w14:val="000000">
                <w14:alpha w14:val="100000"/>
              </w14:srgbClr>
            </w14:solidFill>
          </w14:textFill>
        </w:rPr>
        <w:t>|  |</w:t>
      </w:r>
      <w:r w:rsidRPr="00591DDE">
        <w:t xml:space="preserve"> </w:t>
      </w:r>
      <w:r w:rsidRPr="00165390">
        <w:rPr>
          <w:color w:val="000000"/>
          <w:shd w:val="solid" w:color="000000" w:fill="000000"/>
          <w:fitText w:val="-20" w:id="-1003822080"/>
          <w14:textFill>
            <w14:solidFill>
              <w14:srgbClr w14:val="000000">
                <w14:alpha w14:val="100000"/>
              </w14:srgbClr>
            </w14:solidFill>
          </w14:textFill>
        </w:rPr>
        <w:t>|  |</w:t>
      </w:r>
      <w:r w:rsidRPr="00591DDE">
        <w:t xml:space="preserve"> </w:t>
      </w:r>
      <w:r w:rsidRPr="00165390">
        <w:rPr>
          <w:color w:val="000000"/>
          <w:shd w:val="solid" w:color="000000" w:fill="000000"/>
          <w:fitText w:val="-20" w:id="-1003822079"/>
          <w14:textFill>
            <w14:solidFill>
              <w14:srgbClr w14:val="000000">
                <w14:alpha w14:val="100000"/>
              </w14:srgbClr>
            </w14:solidFill>
          </w14:textFill>
        </w:rPr>
        <w:t>|  |</w:t>
      </w:r>
      <w:r w:rsidRPr="00591DDE">
        <w:t xml:space="preserve"> </w:t>
      </w:r>
      <w:r w:rsidRPr="00165390">
        <w:rPr>
          <w:color w:val="000000"/>
          <w:shd w:val="solid" w:color="000000" w:fill="000000"/>
          <w:fitText w:val="-20" w:id="-1003822078"/>
          <w14:textFill>
            <w14:solidFill>
              <w14:srgbClr w14:val="000000">
                <w14:alpha w14:val="100000"/>
              </w14:srgbClr>
            </w14:solidFill>
          </w14:textFill>
        </w:rPr>
        <w:t>|  |</w:t>
      </w:r>
      <w:r w:rsidRPr="00591DDE">
        <w:t xml:space="preserve"> </w:t>
      </w:r>
      <w:r w:rsidRPr="00165390">
        <w:rPr>
          <w:color w:val="000000"/>
          <w:shd w:val="solid" w:color="000000" w:fill="000000"/>
          <w:fitText w:val="-20" w:id="-1003822077"/>
          <w14:textFill>
            <w14:solidFill>
              <w14:srgbClr w14:val="000000">
                <w14:alpha w14:val="100000"/>
              </w14:srgbClr>
            </w14:solidFill>
          </w14:textFill>
        </w:rPr>
        <w:t>|  |</w:t>
      </w:r>
      <w:r w:rsidRPr="00591DDE">
        <w:t xml:space="preserve"> </w:t>
      </w:r>
      <w:r w:rsidRPr="00165390">
        <w:rPr>
          <w:color w:val="000000"/>
          <w:shd w:val="solid" w:color="000000" w:fill="000000"/>
          <w:fitText w:val="-20" w:id="-1003822076"/>
          <w14:textFill>
            <w14:solidFill>
              <w14:srgbClr w14:val="000000">
                <w14:alpha w14:val="100000"/>
              </w14:srgbClr>
            </w14:solidFill>
          </w14:textFill>
        </w:rPr>
        <w:t>|  |</w:t>
      </w:r>
      <w:r w:rsidRPr="00591DDE">
        <w:t xml:space="preserve"> </w:t>
      </w:r>
      <w:r w:rsidRPr="00165390">
        <w:rPr>
          <w:color w:val="000000"/>
          <w:shd w:val="solid" w:color="000000" w:fill="000000"/>
          <w:fitText w:val="-20" w:id="-1003822075"/>
          <w14:textFill>
            <w14:solidFill>
              <w14:srgbClr w14:val="000000">
                <w14:alpha w14:val="100000"/>
              </w14:srgbClr>
            </w14:solidFill>
          </w14:textFill>
        </w:rPr>
        <w:t>|  |</w:t>
      </w:r>
      <w:r w:rsidRPr="00591DDE">
        <w:t xml:space="preserve"> </w:t>
      </w:r>
      <w:r w:rsidRPr="00165390">
        <w:rPr>
          <w:color w:val="000000"/>
          <w:shd w:val="solid" w:color="000000" w:fill="000000"/>
          <w:fitText w:val="-20" w:id="-1003822074"/>
          <w14:textFill>
            <w14:solidFill>
              <w14:srgbClr w14:val="000000">
                <w14:alpha w14:val="100000"/>
              </w14:srgbClr>
            </w14:solidFill>
          </w14:textFill>
        </w:rPr>
        <w:t>|  |</w:t>
      </w:r>
      <w:r w:rsidRPr="00591DDE">
        <w:t xml:space="preserve"> </w:t>
      </w:r>
      <w:r w:rsidRPr="00165390">
        <w:rPr>
          <w:color w:val="000000"/>
          <w:shd w:val="solid" w:color="000000" w:fill="000000"/>
          <w:fitText w:val="-20" w:id="-1003822073"/>
          <w14:textFill>
            <w14:solidFill>
              <w14:srgbClr w14:val="000000">
                <w14:alpha w14:val="100000"/>
              </w14:srgbClr>
            </w14:solidFill>
          </w14:textFill>
        </w:rPr>
        <w:t>|  |</w:t>
      </w:r>
      <w:r w:rsidRPr="00591DDE">
        <w:t xml:space="preserve"> </w:t>
      </w:r>
      <w:r w:rsidRPr="00165390">
        <w:rPr>
          <w:color w:val="000000"/>
          <w:shd w:val="solid" w:color="000000" w:fill="000000"/>
          <w:fitText w:val="-20" w:id="-1003822072"/>
          <w14:textFill>
            <w14:solidFill>
              <w14:srgbClr w14:val="000000">
                <w14:alpha w14:val="100000"/>
              </w14:srgbClr>
            </w14:solidFill>
          </w14:textFill>
        </w:rPr>
        <w:t>|  |</w:t>
      </w:r>
      <w:r w:rsidRPr="00591DDE">
        <w:t xml:space="preserve"> </w:t>
      </w:r>
      <w:r w:rsidRPr="00165390">
        <w:rPr>
          <w:color w:val="000000"/>
          <w:shd w:val="solid" w:color="000000" w:fill="000000"/>
          <w:fitText w:val="-20" w:id="-1003822071"/>
          <w14:textFill>
            <w14:solidFill>
              <w14:srgbClr w14:val="000000">
                <w14:alpha w14:val="100000"/>
              </w14:srgbClr>
            </w14:solidFill>
          </w14:textFill>
        </w:rPr>
        <w:t>|  |</w:t>
      </w:r>
      <w:r w:rsidRPr="00591DDE">
        <w:t xml:space="preserve"> </w:t>
      </w:r>
      <w:r w:rsidRPr="00165390">
        <w:rPr>
          <w:color w:val="000000"/>
          <w:shd w:val="solid" w:color="000000" w:fill="000000"/>
          <w:fitText w:val="-20" w:id="-1003822070"/>
          <w14:textFill>
            <w14:solidFill>
              <w14:srgbClr w14:val="000000">
                <w14:alpha w14:val="100000"/>
              </w14:srgbClr>
            </w14:solidFill>
          </w14:textFill>
        </w:rPr>
        <w:t>|  |</w:t>
      </w:r>
      <w:r w:rsidRPr="00591DDE">
        <w:t xml:space="preserve"> </w:t>
      </w:r>
      <w:r w:rsidRPr="00165390">
        <w:rPr>
          <w:color w:val="000000"/>
          <w:shd w:val="solid" w:color="000000" w:fill="000000"/>
          <w:fitText w:val="-20" w:id="-1003822069"/>
          <w14:textFill>
            <w14:solidFill>
              <w14:srgbClr w14:val="000000">
                <w14:alpha w14:val="100000"/>
              </w14:srgbClr>
            </w14:solidFill>
          </w14:textFill>
        </w:rPr>
        <w:t>|  |</w:t>
      </w:r>
      <w:r w:rsidRPr="00591DDE">
        <w:t xml:space="preserve"> </w:t>
      </w:r>
      <w:r w:rsidRPr="00165390">
        <w:rPr>
          <w:color w:val="000000"/>
          <w:shd w:val="solid" w:color="000000" w:fill="000000"/>
          <w:fitText w:val="-20" w:id="-1003822068"/>
          <w14:textFill>
            <w14:solidFill>
              <w14:srgbClr w14:val="000000">
                <w14:alpha w14:val="100000"/>
              </w14:srgbClr>
            </w14:solidFill>
          </w14:textFill>
        </w:rPr>
        <w:t>|  |</w:t>
      </w:r>
      <w:r w:rsidRPr="00591DDE">
        <w:t xml:space="preserve"> </w:t>
      </w:r>
      <w:r w:rsidRPr="00165390">
        <w:rPr>
          <w:color w:val="000000"/>
          <w:shd w:val="solid" w:color="000000" w:fill="000000"/>
          <w:fitText w:val="-20" w:id="-1003822067"/>
          <w14:textFill>
            <w14:solidFill>
              <w14:srgbClr w14:val="000000">
                <w14:alpha w14:val="100000"/>
              </w14:srgbClr>
            </w14:solidFill>
          </w14:textFill>
        </w:rPr>
        <w:t>|  |</w:t>
      </w:r>
      <w:r w:rsidRPr="00591DDE">
        <w:t xml:space="preserve"> </w:t>
      </w:r>
      <w:r w:rsidRPr="00165390">
        <w:rPr>
          <w:color w:val="000000"/>
          <w:shd w:val="solid" w:color="000000" w:fill="000000"/>
          <w:fitText w:val="-20" w:id="-1003822066"/>
          <w14:textFill>
            <w14:solidFill>
              <w14:srgbClr w14:val="000000">
                <w14:alpha w14:val="100000"/>
              </w14:srgbClr>
            </w14:solidFill>
          </w14:textFill>
        </w:rPr>
        <w:t>|  |</w:t>
      </w:r>
      <w:r w:rsidRPr="00591DDE">
        <w:t xml:space="preserve"> </w:t>
      </w:r>
      <w:r w:rsidRPr="00165390">
        <w:rPr>
          <w:color w:val="000000"/>
          <w:shd w:val="solid" w:color="000000" w:fill="000000"/>
          <w:fitText w:val="-20" w:id="-1003822065"/>
          <w14:textFill>
            <w14:solidFill>
              <w14:srgbClr w14:val="000000">
                <w14:alpha w14:val="100000"/>
              </w14:srgbClr>
            </w14:solidFill>
          </w14:textFill>
        </w:rPr>
        <w:t>|  |</w:t>
      </w:r>
      <w:r w:rsidRPr="00591DDE">
        <w:t xml:space="preserve"> </w:t>
      </w:r>
      <w:r w:rsidRPr="00165390">
        <w:rPr>
          <w:color w:val="000000"/>
          <w:shd w:val="solid" w:color="000000" w:fill="000000"/>
          <w:fitText w:val="-20" w:id="-1003822064"/>
          <w14:textFill>
            <w14:solidFill>
              <w14:srgbClr w14:val="000000">
                <w14:alpha w14:val="100000"/>
              </w14:srgbClr>
            </w14:solidFill>
          </w14:textFill>
        </w:rPr>
        <w:t>|  |</w:t>
      </w:r>
      <w:r w:rsidRPr="00591DDE">
        <w:t xml:space="preserve"> </w:t>
      </w:r>
      <w:r w:rsidRPr="00165390">
        <w:rPr>
          <w:color w:val="000000"/>
          <w:shd w:val="solid" w:color="000000" w:fill="000000"/>
          <w:fitText w:val="-20" w:id="-1003822080"/>
          <w14:textFill>
            <w14:solidFill>
              <w14:srgbClr w14:val="000000">
                <w14:alpha w14:val="100000"/>
              </w14:srgbClr>
            </w14:solidFill>
          </w14:textFill>
        </w:rPr>
        <w:t>|  |</w:t>
      </w:r>
      <w:r w:rsidRPr="00591DDE">
        <w:t xml:space="preserve"> </w:t>
      </w:r>
      <w:r w:rsidRPr="00165390">
        <w:rPr>
          <w:color w:val="000000"/>
          <w:shd w:val="solid" w:color="000000" w:fill="000000"/>
          <w:fitText w:val="-20" w:id="-1003822078"/>
          <w14:textFill>
            <w14:solidFill>
              <w14:srgbClr w14:val="000000">
                <w14:alpha w14:val="100000"/>
              </w14:srgbClr>
            </w14:solidFill>
          </w14:textFill>
        </w:rPr>
        <w:t>|  |</w:t>
      </w:r>
      <w:r w:rsidRPr="00591DDE">
        <w:t xml:space="preserve"> </w:t>
      </w:r>
      <w:r w:rsidRPr="00165390">
        <w:rPr>
          <w:color w:val="000000"/>
          <w:shd w:val="solid" w:color="000000" w:fill="000000"/>
          <w:fitText w:val="-20" w:id="-1003822077"/>
          <w14:textFill>
            <w14:solidFill>
              <w14:srgbClr w14:val="000000">
                <w14:alpha w14:val="100000"/>
              </w14:srgbClr>
            </w14:solidFill>
          </w14:textFill>
        </w:rPr>
        <w:t>|  |</w:t>
      </w:r>
      <w:r w:rsidRPr="00591DDE">
        <w:t xml:space="preserve"> </w:t>
      </w:r>
      <w:r w:rsidRPr="00165390">
        <w:rPr>
          <w:color w:val="000000"/>
          <w:shd w:val="solid" w:color="000000" w:fill="000000"/>
          <w:fitText w:val="-20" w:id="-1003822076"/>
          <w14:textFill>
            <w14:solidFill>
              <w14:srgbClr w14:val="000000">
                <w14:alpha w14:val="100000"/>
              </w14:srgbClr>
            </w14:solidFill>
          </w14:textFill>
        </w:rPr>
        <w:t>|  |</w:t>
      </w:r>
      <w:r w:rsidRPr="00591DDE">
        <w:t xml:space="preserve"> </w:t>
      </w:r>
      <w:r w:rsidRPr="00165390">
        <w:rPr>
          <w:color w:val="000000"/>
          <w:shd w:val="solid" w:color="000000" w:fill="000000"/>
          <w:fitText w:val="-20" w:id="-1003822075"/>
          <w14:textFill>
            <w14:solidFill>
              <w14:srgbClr w14:val="000000">
                <w14:alpha w14:val="100000"/>
              </w14:srgbClr>
            </w14:solidFill>
          </w14:textFill>
        </w:rPr>
        <w:t>|  |</w:t>
      </w:r>
      <w:r w:rsidRPr="00591DDE">
        <w:t xml:space="preserve"> </w:t>
      </w:r>
      <w:r w:rsidRPr="00165390">
        <w:rPr>
          <w:color w:val="000000"/>
          <w:shd w:val="solid" w:color="000000" w:fill="000000"/>
          <w:fitText w:val="-20" w:id="-1003822074"/>
          <w14:textFill>
            <w14:solidFill>
              <w14:srgbClr w14:val="000000">
                <w14:alpha w14:val="100000"/>
              </w14:srgbClr>
            </w14:solidFill>
          </w14:textFill>
        </w:rPr>
        <w:t>|  |</w:t>
      </w:r>
      <w:r w:rsidRPr="00591DDE">
        <w:t xml:space="preserve"> </w:t>
      </w:r>
      <w:r w:rsidRPr="00165390">
        <w:rPr>
          <w:color w:val="000000"/>
          <w:shd w:val="solid" w:color="000000" w:fill="000000"/>
          <w:fitText w:val="-20" w:id="-1003822073"/>
          <w14:textFill>
            <w14:solidFill>
              <w14:srgbClr w14:val="000000">
                <w14:alpha w14:val="100000"/>
              </w14:srgbClr>
            </w14:solidFill>
          </w14:textFill>
        </w:rPr>
        <w:t>|  |</w:t>
      </w:r>
      <w:r w:rsidRPr="00591DDE">
        <w:t xml:space="preserve"> </w:t>
      </w:r>
      <w:r w:rsidRPr="00165390">
        <w:rPr>
          <w:color w:val="000000"/>
          <w:shd w:val="solid" w:color="000000" w:fill="000000"/>
          <w:fitText w:val="-20" w:id="-1003822072"/>
          <w14:textFill>
            <w14:solidFill>
              <w14:srgbClr w14:val="000000">
                <w14:alpha w14:val="100000"/>
              </w14:srgbClr>
            </w14:solidFill>
          </w14:textFill>
        </w:rPr>
        <w:t>|  |</w:t>
      </w:r>
      <w:r w:rsidRPr="00591DDE">
        <w:t xml:space="preserve"> </w:t>
      </w:r>
      <w:r w:rsidRPr="00165390">
        <w:rPr>
          <w:color w:val="000000"/>
          <w:shd w:val="solid" w:color="000000" w:fill="000000"/>
          <w:fitText w:val="-20" w:id="-1003822071"/>
          <w14:textFill>
            <w14:solidFill>
              <w14:srgbClr w14:val="000000">
                <w14:alpha w14:val="100000"/>
              </w14:srgbClr>
            </w14:solidFill>
          </w14:textFill>
        </w:rPr>
        <w:t>|  |</w:t>
      </w:r>
      <w:r w:rsidRPr="00591DDE">
        <w:t xml:space="preserve"> </w:t>
      </w:r>
      <w:r w:rsidRPr="00165390">
        <w:rPr>
          <w:color w:val="000000"/>
          <w:w w:val="15"/>
          <w:shd w:val="solid" w:color="000000" w:fill="000000"/>
          <w:fitText w:val="-20" w:id="-1003822070"/>
          <w14:textFill>
            <w14:solidFill>
              <w14:srgbClr w14:val="000000">
                <w14:alpha w14:val="100000"/>
              </w14:srgbClr>
            </w14:solidFill>
          </w14:textFill>
        </w:rPr>
        <w:t xml:space="preserve">|  </w:t>
      </w:r>
      <w:r w:rsidRPr="00165390">
        <w:rPr>
          <w:color w:val="000000"/>
          <w:spacing w:val="-69"/>
          <w:w w:val="15"/>
          <w:shd w:val="solid" w:color="000000" w:fill="000000"/>
          <w:fitText w:val="-20" w:id="-1003822070"/>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2069"/>
          <w14:textFill>
            <w14:solidFill>
              <w14:srgbClr w14:val="000000">
                <w14:alpha w14:val="100000"/>
              </w14:srgbClr>
            </w14:solidFill>
          </w14:textFill>
        </w:rPr>
        <w:t xml:space="preserve">|  </w:t>
      </w:r>
      <w:r w:rsidRPr="00165390">
        <w:rPr>
          <w:color w:val="000000"/>
          <w:spacing w:val="-69"/>
          <w:w w:val="15"/>
          <w:shd w:val="solid" w:color="000000" w:fill="000000"/>
          <w:fitText w:val="-20" w:id="-1003822069"/>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2068"/>
          <w14:textFill>
            <w14:solidFill>
              <w14:srgbClr w14:val="000000">
                <w14:alpha w14:val="100000"/>
              </w14:srgbClr>
            </w14:solidFill>
          </w14:textFill>
        </w:rPr>
        <w:t xml:space="preserve">|  </w:t>
      </w:r>
      <w:r w:rsidRPr="00165390">
        <w:rPr>
          <w:color w:val="000000"/>
          <w:spacing w:val="-69"/>
          <w:w w:val="15"/>
          <w:shd w:val="solid" w:color="000000" w:fill="000000"/>
          <w:fitText w:val="-20" w:id="-1003822068"/>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2067"/>
          <w14:textFill>
            <w14:solidFill>
              <w14:srgbClr w14:val="000000">
                <w14:alpha w14:val="100000"/>
              </w14:srgbClr>
            </w14:solidFill>
          </w14:textFill>
        </w:rPr>
        <w:t xml:space="preserve">|  </w:t>
      </w:r>
      <w:r w:rsidRPr="00165390">
        <w:rPr>
          <w:color w:val="000000"/>
          <w:spacing w:val="-69"/>
          <w:w w:val="15"/>
          <w:shd w:val="solid" w:color="000000" w:fill="000000"/>
          <w:fitText w:val="-20" w:id="-1003822067"/>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2066"/>
          <w14:textFill>
            <w14:solidFill>
              <w14:srgbClr w14:val="000000">
                <w14:alpha w14:val="100000"/>
              </w14:srgbClr>
            </w14:solidFill>
          </w14:textFill>
        </w:rPr>
        <w:t xml:space="preserve">|  </w:t>
      </w:r>
      <w:r w:rsidRPr="00165390">
        <w:rPr>
          <w:color w:val="000000"/>
          <w:spacing w:val="-69"/>
          <w:w w:val="15"/>
          <w:shd w:val="solid" w:color="000000" w:fill="000000"/>
          <w:fitText w:val="-20" w:id="-1003822066"/>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2065"/>
          <w14:textFill>
            <w14:solidFill>
              <w14:srgbClr w14:val="000000">
                <w14:alpha w14:val="100000"/>
              </w14:srgbClr>
            </w14:solidFill>
          </w14:textFill>
        </w:rPr>
        <w:t xml:space="preserve">|  </w:t>
      </w:r>
      <w:r w:rsidRPr="00165390">
        <w:rPr>
          <w:color w:val="000000"/>
          <w:spacing w:val="-69"/>
          <w:w w:val="15"/>
          <w:shd w:val="solid" w:color="000000" w:fill="000000"/>
          <w:fitText w:val="-20" w:id="-1003822065"/>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2064"/>
          <w14:textFill>
            <w14:solidFill>
              <w14:srgbClr w14:val="000000">
                <w14:alpha w14:val="100000"/>
              </w14:srgbClr>
            </w14:solidFill>
          </w14:textFill>
        </w:rPr>
        <w:t xml:space="preserve">|  </w:t>
      </w:r>
      <w:r w:rsidRPr="00165390">
        <w:rPr>
          <w:color w:val="000000"/>
          <w:spacing w:val="-69"/>
          <w:w w:val="15"/>
          <w:shd w:val="solid" w:color="000000" w:fill="000000"/>
          <w:fitText w:val="-20" w:id="-1003822064"/>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2080"/>
          <w14:textFill>
            <w14:solidFill>
              <w14:srgbClr w14:val="000000">
                <w14:alpha w14:val="100000"/>
              </w14:srgbClr>
            </w14:solidFill>
          </w14:textFill>
        </w:rPr>
        <w:t xml:space="preserve">|  </w:t>
      </w:r>
      <w:r w:rsidRPr="00165390">
        <w:rPr>
          <w:color w:val="000000"/>
          <w:spacing w:val="-69"/>
          <w:w w:val="15"/>
          <w:shd w:val="solid" w:color="000000" w:fill="000000"/>
          <w:fitText w:val="-20" w:id="-1003822080"/>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2079"/>
          <w14:textFill>
            <w14:solidFill>
              <w14:srgbClr w14:val="000000">
                <w14:alpha w14:val="100000"/>
              </w14:srgbClr>
            </w14:solidFill>
          </w14:textFill>
        </w:rPr>
        <w:t xml:space="preserve">|  </w:t>
      </w:r>
      <w:r w:rsidRPr="00165390">
        <w:rPr>
          <w:color w:val="000000"/>
          <w:spacing w:val="-69"/>
          <w:w w:val="15"/>
          <w:shd w:val="solid" w:color="000000" w:fill="000000"/>
          <w:fitText w:val="-20" w:id="-1003822079"/>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2078"/>
          <w14:textFill>
            <w14:solidFill>
              <w14:srgbClr w14:val="000000">
                <w14:alpha w14:val="100000"/>
              </w14:srgbClr>
            </w14:solidFill>
          </w14:textFill>
        </w:rPr>
        <w:t xml:space="preserve">|  </w:t>
      </w:r>
      <w:r w:rsidRPr="00165390">
        <w:rPr>
          <w:color w:val="000000"/>
          <w:spacing w:val="-69"/>
          <w:w w:val="15"/>
          <w:shd w:val="solid" w:color="000000" w:fill="000000"/>
          <w:fitText w:val="-20" w:id="-1003822078"/>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2077"/>
          <w14:textFill>
            <w14:solidFill>
              <w14:srgbClr w14:val="000000">
                <w14:alpha w14:val="100000"/>
              </w14:srgbClr>
            </w14:solidFill>
          </w14:textFill>
        </w:rPr>
        <w:t xml:space="preserve">|  </w:t>
      </w:r>
      <w:r w:rsidRPr="00165390">
        <w:rPr>
          <w:color w:val="000000"/>
          <w:spacing w:val="-69"/>
          <w:w w:val="15"/>
          <w:shd w:val="solid" w:color="000000" w:fill="000000"/>
          <w:fitText w:val="-20" w:id="-1003822077"/>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2076"/>
          <w14:textFill>
            <w14:solidFill>
              <w14:srgbClr w14:val="000000">
                <w14:alpha w14:val="100000"/>
              </w14:srgbClr>
            </w14:solidFill>
          </w14:textFill>
        </w:rPr>
        <w:t xml:space="preserve">|  </w:t>
      </w:r>
      <w:r w:rsidRPr="00165390">
        <w:rPr>
          <w:color w:val="000000"/>
          <w:spacing w:val="-69"/>
          <w:w w:val="15"/>
          <w:shd w:val="solid" w:color="000000" w:fill="000000"/>
          <w:fitText w:val="-20" w:id="-1003822076"/>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2075"/>
          <w14:textFill>
            <w14:solidFill>
              <w14:srgbClr w14:val="000000">
                <w14:alpha w14:val="100000"/>
              </w14:srgbClr>
            </w14:solidFill>
          </w14:textFill>
        </w:rPr>
        <w:t xml:space="preserve">|  </w:t>
      </w:r>
      <w:r w:rsidRPr="00165390">
        <w:rPr>
          <w:color w:val="000000"/>
          <w:spacing w:val="-69"/>
          <w:w w:val="15"/>
          <w:shd w:val="solid" w:color="000000" w:fill="000000"/>
          <w:fitText w:val="-20" w:id="-1003822075"/>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2074"/>
          <w14:textFill>
            <w14:solidFill>
              <w14:srgbClr w14:val="000000">
                <w14:alpha w14:val="100000"/>
              </w14:srgbClr>
            </w14:solidFill>
          </w14:textFill>
        </w:rPr>
        <w:t xml:space="preserve">|  </w:t>
      </w:r>
      <w:r w:rsidRPr="00165390">
        <w:rPr>
          <w:color w:val="000000"/>
          <w:spacing w:val="-69"/>
          <w:w w:val="15"/>
          <w:shd w:val="solid" w:color="000000" w:fill="000000"/>
          <w:fitText w:val="-20" w:id="-1003822074"/>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2073"/>
          <w14:textFill>
            <w14:solidFill>
              <w14:srgbClr w14:val="000000">
                <w14:alpha w14:val="100000"/>
              </w14:srgbClr>
            </w14:solidFill>
          </w14:textFill>
        </w:rPr>
        <w:t xml:space="preserve">|  </w:t>
      </w:r>
      <w:r w:rsidRPr="00165390">
        <w:rPr>
          <w:color w:val="000000"/>
          <w:spacing w:val="-69"/>
          <w:w w:val="15"/>
          <w:shd w:val="solid" w:color="000000" w:fill="000000"/>
          <w:fitText w:val="-20" w:id="-1003822073"/>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2072"/>
          <w14:textFill>
            <w14:solidFill>
              <w14:srgbClr w14:val="000000">
                <w14:alpha w14:val="100000"/>
              </w14:srgbClr>
            </w14:solidFill>
          </w14:textFill>
        </w:rPr>
        <w:t xml:space="preserve">|  </w:t>
      </w:r>
      <w:r w:rsidRPr="00165390">
        <w:rPr>
          <w:color w:val="000000"/>
          <w:spacing w:val="-69"/>
          <w:w w:val="15"/>
          <w:shd w:val="solid" w:color="000000" w:fill="000000"/>
          <w:fitText w:val="-20" w:id="-1003822072"/>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2071"/>
          <w14:textFill>
            <w14:solidFill>
              <w14:srgbClr w14:val="000000">
                <w14:alpha w14:val="100000"/>
              </w14:srgbClr>
            </w14:solidFill>
          </w14:textFill>
        </w:rPr>
        <w:t xml:space="preserve">|  </w:t>
      </w:r>
      <w:r w:rsidRPr="00165390">
        <w:rPr>
          <w:color w:val="000000"/>
          <w:spacing w:val="-69"/>
          <w:w w:val="15"/>
          <w:shd w:val="solid" w:color="000000" w:fill="000000"/>
          <w:fitText w:val="-20" w:id="-1003822071"/>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2070"/>
          <w14:textFill>
            <w14:solidFill>
              <w14:srgbClr w14:val="000000">
                <w14:alpha w14:val="100000"/>
              </w14:srgbClr>
            </w14:solidFill>
          </w14:textFill>
        </w:rPr>
        <w:t xml:space="preserve">|  </w:t>
      </w:r>
      <w:r w:rsidRPr="00165390">
        <w:rPr>
          <w:color w:val="000000"/>
          <w:spacing w:val="-69"/>
          <w:w w:val="15"/>
          <w:shd w:val="solid" w:color="000000" w:fill="000000"/>
          <w:fitText w:val="-20" w:id="-1003822070"/>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2069"/>
          <w14:textFill>
            <w14:solidFill>
              <w14:srgbClr w14:val="000000">
                <w14:alpha w14:val="100000"/>
              </w14:srgbClr>
            </w14:solidFill>
          </w14:textFill>
        </w:rPr>
        <w:t xml:space="preserve">|  </w:t>
      </w:r>
      <w:r w:rsidRPr="00165390">
        <w:rPr>
          <w:color w:val="000000"/>
          <w:spacing w:val="-69"/>
          <w:w w:val="15"/>
          <w:shd w:val="solid" w:color="000000" w:fill="000000"/>
          <w:fitText w:val="-20" w:id="-1003822069"/>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24"/>
          <w14:textFill>
            <w14:solidFill>
              <w14:srgbClr w14:val="000000">
                <w14:alpha w14:val="100000"/>
              </w14:srgbClr>
            </w14:solidFill>
          </w14:textFill>
        </w:rPr>
        <w:t xml:space="preserve">|  </w:t>
      </w:r>
      <w:r w:rsidRPr="00165390">
        <w:rPr>
          <w:color w:val="000000"/>
          <w:spacing w:val="-69"/>
          <w:w w:val="15"/>
          <w:shd w:val="solid" w:color="000000" w:fill="000000"/>
          <w:fitText w:val="-20" w:id="-1003821824"/>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23"/>
          <w14:textFill>
            <w14:solidFill>
              <w14:srgbClr w14:val="000000">
                <w14:alpha w14:val="100000"/>
              </w14:srgbClr>
            </w14:solidFill>
          </w14:textFill>
        </w:rPr>
        <w:t xml:space="preserve">|  </w:t>
      </w:r>
      <w:r w:rsidRPr="00165390">
        <w:rPr>
          <w:color w:val="000000"/>
          <w:spacing w:val="-69"/>
          <w:w w:val="15"/>
          <w:shd w:val="solid" w:color="000000" w:fill="000000"/>
          <w:fitText w:val="-20" w:id="-1003821823"/>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22"/>
          <w14:textFill>
            <w14:solidFill>
              <w14:srgbClr w14:val="000000">
                <w14:alpha w14:val="100000"/>
              </w14:srgbClr>
            </w14:solidFill>
          </w14:textFill>
        </w:rPr>
        <w:t xml:space="preserve">|  </w:t>
      </w:r>
      <w:r w:rsidRPr="00165390">
        <w:rPr>
          <w:color w:val="000000"/>
          <w:spacing w:val="-69"/>
          <w:w w:val="15"/>
          <w:shd w:val="solid" w:color="000000" w:fill="000000"/>
          <w:fitText w:val="-20" w:id="-1003821822"/>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21"/>
          <w14:textFill>
            <w14:solidFill>
              <w14:srgbClr w14:val="000000">
                <w14:alpha w14:val="100000"/>
              </w14:srgbClr>
            </w14:solidFill>
          </w14:textFill>
        </w:rPr>
        <w:t xml:space="preserve">|  </w:t>
      </w:r>
      <w:r w:rsidRPr="00165390">
        <w:rPr>
          <w:color w:val="000000"/>
          <w:spacing w:val="-69"/>
          <w:w w:val="15"/>
          <w:shd w:val="solid" w:color="000000" w:fill="000000"/>
          <w:fitText w:val="-20" w:id="-1003821821"/>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20"/>
          <w14:textFill>
            <w14:solidFill>
              <w14:srgbClr w14:val="000000">
                <w14:alpha w14:val="100000"/>
              </w14:srgbClr>
            </w14:solidFill>
          </w14:textFill>
        </w:rPr>
        <w:t xml:space="preserve">|  </w:t>
      </w:r>
      <w:r w:rsidRPr="00165390">
        <w:rPr>
          <w:color w:val="000000"/>
          <w:spacing w:val="-69"/>
          <w:w w:val="15"/>
          <w:shd w:val="solid" w:color="000000" w:fill="000000"/>
          <w:fitText w:val="-20" w:id="-1003821820"/>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19"/>
          <w14:textFill>
            <w14:solidFill>
              <w14:srgbClr w14:val="000000">
                <w14:alpha w14:val="100000"/>
              </w14:srgbClr>
            </w14:solidFill>
          </w14:textFill>
        </w:rPr>
        <w:t xml:space="preserve">|  </w:t>
      </w:r>
      <w:r w:rsidRPr="00165390">
        <w:rPr>
          <w:color w:val="000000"/>
          <w:spacing w:val="-69"/>
          <w:w w:val="15"/>
          <w:shd w:val="solid" w:color="000000" w:fill="000000"/>
          <w:fitText w:val="-20" w:id="-1003821819"/>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18"/>
          <w14:textFill>
            <w14:solidFill>
              <w14:srgbClr w14:val="000000">
                <w14:alpha w14:val="100000"/>
              </w14:srgbClr>
            </w14:solidFill>
          </w14:textFill>
        </w:rPr>
        <w:t xml:space="preserve">|  </w:t>
      </w:r>
      <w:r w:rsidRPr="00165390">
        <w:rPr>
          <w:color w:val="000000"/>
          <w:spacing w:val="-69"/>
          <w:w w:val="15"/>
          <w:shd w:val="solid" w:color="000000" w:fill="000000"/>
          <w:fitText w:val="-20" w:id="-1003821818"/>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17"/>
          <w14:textFill>
            <w14:solidFill>
              <w14:srgbClr w14:val="000000">
                <w14:alpha w14:val="100000"/>
              </w14:srgbClr>
            </w14:solidFill>
          </w14:textFill>
        </w:rPr>
        <w:t xml:space="preserve">|  </w:t>
      </w:r>
      <w:r w:rsidRPr="00165390">
        <w:rPr>
          <w:color w:val="000000"/>
          <w:spacing w:val="-69"/>
          <w:w w:val="15"/>
          <w:shd w:val="solid" w:color="000000" w:fill="000000"/>
          <w:fitText w:val="-20" w:id="-1003821817"/>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16"/>
          <w14:textFill>
            <w14:solidFill>
              <w14:srgbClr w14:val="000000">
                <w14:alpha w14:val="100000"/>
              </w14:srgbClr>
            </w14:solidFill>
          </w14:textFill>
        </w:rPr>
        <w:t xml:space="preserve">|  </w:t>
      </w:r>
      <w:r w:rsidRPr="00165390">
        <w:rPr>
          <w:color w:val="000000"/>
          <w:spacing w:val="-69"/>
          <w:w w:val="15"/>
          <w:shd w:val="solid" w:color="000000" w:fill="000000"/>
          <w:fitText w:val="-20" w:id="-1003821816"/>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15"/>
          <w14:textFill>
            <w14:solidFill>
              <w14:srgbClr w14:val="000000">
                <w14:alpha w14:val="100000"/>
              </w14:srgbClr>
            </w14:solidFill>
          </w14:textFill>
        </w:rPr>
        <w:t xml:space="preserve">|  </w:t>
      </w:r>
      <w:r w:rsidRPr="00165390">
        <w:rPr>
          <w:color w:val="000000"/>
          <w:spacing w:val="-69"/>
          <w:w w:val="15"/>
          <w:shd w:val="solid" w:color="000000" w:fill="000000"/>
          <w:fitText w:val="-20" w:id="-1003821815"/>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14"/>
          <w14:textFill>
            <w14:solidFill>
              <w14:srgbClr w14:val="000000">
                <w14:alpha w14:val="100000"/>
              </w14:srgbClr>
            </w14:solidFill>
          </w14:textFill>
        </w:rPr>
        <w:t xml:space="preserve">|  </w:t>
      </w:r>
      <w:r w:rsidRPr="00165390">
        <w:rPr>
          <w:color w:val="000000"/>
          <w:spacing w:val="-69"/>
          <w:w w:val="15"/>
          <w:shd w:val="solid" w:color="000000" w:fill="000000"/>
          <w:fitText w:val="-20" w:id="-1003821814"/>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13"/>
          <w14:textFill>
            <w14:solidFill>
              <w14:srgbClr w14:val="000000">
                <w14:alpha w14:val="100000"/>
              </w14:srgbClr>
            </w14:solidFill>
          </w14:textFill>
        </w:rPr>
        <w:t xml:space="preserve">|  </w:t>
      </w:r>
      <w:r w:rsidRPr="00165390">
        <w:rPr>
          <w:color w:val="000000"/>
          <w:spacing w:val="-69"/>
          <w:w w:val="15"/>
          <w:shd w:val="solid" w:color="000000" w:fill="000000"/>
          <w:fitText w:val="-20" w:id="-1003821813"/>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12"/>
          <w14:textFill>
            <w14:solidFill>
              <w14:srgbClr w14:val="000000">
                <w14:alpha w14:val="100000"/>
              </w14:srgbClr>
            </w14:solidFill>
          </w14:textFill>
        </w:rPr>
        <w:t xml:space="preserve">|  </w:t>
      </w:r>
      <w:r w:rsidRPr="00165390">
        <w:rPr>
          <w:color w:val="000000"/>
          <w:spacing w:val="-69"/>
          <w:w w:val="15"/>
          <w:shd w:val="solid" w:color="000000" w:fill="000000"/>
          <w:fitText w:val="-20" w:id="-1003821812"/>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11"/>
          <w14:textFill>
            <w14:solidFill>
              <w14:srgbClr w14:val="000000">
                <w14:alpha w14:val="100000"/>
              </w14:srgbClr>
            </w14:solidFill>
          </w14:textFill>
        </w:rPr>
        <w:t xml:space="preserve">|  </w:t>
      </w:r>
      <w:r w:rsidRPr="00165390">
        <w:rPr>
          <w:color w:val="000000"/>
          <w:spacing w:val="-69"/>
          <w:w w:val="15"/>
          <w:shd w:val="solid" w:color="000000" w:fill="000000"/>
          <w:fitText w:val="-20" w:id="-1003821811"/>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10"/>
          <w14:textFill>
            <w14:solidFill>
              <w14:srgbClr w14:val="000000">
                <w14:alpha w14:val="100000"/>
              </w14:srgbClr>
            </w14:solidFill>
          </w14:textFill>
        </w:rPr>
        <w:t xml:space="preserve">|  </w:t>
      </w:r>
      <w:r w:rsidRPr="00165390">
        <w:rPr>
          <w:color w:val="000000"/>
          <w:spacing w:val="-69"/>
          <w:w w:val="15"/>
          <w:shd w:val="solid" w:color="000000" w:fill="000000"/>
          <w:fitText w:val="-20" w:id="-1003821810"/>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09"/>
          <w14:textFill>
            <w14:solidFill>
              <w14:srgbClr w14:val="000000">
                <w14:alpha w14:val="100000"/>
              </w14:srgbClr>
            </w14:solidFill>
          </w14:textFill>
        </w:rPr>
        <w:t xml:space="preserve">|  </w:t>
      </w:r>
      <w:r w:rsidRPr="00165390">
        <w:rPr>
          <w:color w:val="000000"/>
          <w:spacing w:val="-69"/>
          <w:w w:val="15"/>
          <w:shd w:val="solid" w:color="000000" w:fill="000000"/>
          <w:fitText w:val="-20" w:id="-1003821809"/>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08"/>
          <w14:textFill>
            <w14:solidFill>
              <w14:srgbClr w14:val="000000">
                <w14:alpha w14:val="100000"/>
              </w14:srgbClr>
            </w14:solidFill>
          </w14:textFill>
        </w:rPr>
        <w:t xml:space="preserve">|  </w:t>
      </w:r>
      <w:r w:rsidRPr="00165390">
        <w:rPr>
          <w:color w:val="000000"/>
          <w:spacing w:val="-69"/>
          <w:w w:val="15"/>
          <w:shd w:val="solid" w:color="000000" w:fill="000000"/>
          <w:fitText w:val="-20" w:id="-1003821808"/>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24"/>
          <w14:textFill>
            <w14:solidFill>
              <w14:srgbClr w14:val="000000">
                <w14:alpha w14:val="100000"/>
              </w14:srgbClr>
            </w14:solidFill>
          </w14:textFill>
        </w:rPr>
        <w:t xml:space="preserve">|  </w:t>
      </w:r>
      <w:r w:rsidRPr="00165390">
        <w:rPr>
          <w:color w:val="000000"/>
          <w:spacing w:val="-69"/>
          <w:w w:val="15"/>
          <w:shd w:val="solid" w:color="000000" w:fill="000000"/>
          <w:fitText w:val="-20" w:id="-1003821824"/>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23"/>
          <w14:textFill>
            <w14:solidFill>
              <w14:srgbClr w14:val="000000">
                <w14:alpha w14:val="100000"/>
              </w14:srgbClr>
            </w14:solidFill>
          </w14:textFill>
        </w:rPr>
        <w:t xml:space="preserve">|  </w:t>
      </w:r>
      <w:r w:rsidRPr="00165390">
        <w:rPr>
          <w:color w:val="000000"/>
          <w:spacing w:val="-69"/>
          <w:w w:val="15"/>
          <w:shd w:val="solid" w:color="000000" w:fill="000000"/>
          <w:fitText w:val="-20" w:id="-1003821823"/>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22"/>
          <w14:textFill>
            <w14:solidFill>
              <w14:srgbClr w14:val="000000">
                <w14:alpha w14:val="100000"/>
              </w14:srgbClr>
            </w14:solidFill>
          </w14:textFill>
        </w:rPr>
        <w:t xml:space="preserve">|  </w:t>
      </w:r>
      <w:r w:rsidRPr="00165390">
        <w:rPr>
          <w:color w:val="000000"/>
          <w:spacing w:val="-69"/>
          <w:w w:val="15"/>
          <w:shd w:val="solid" w:color="000000" w:fill="000000"/>
          <w:fitText w:val="-20" w:id="-1003821822"/>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21"/>
          <w14:textFill>
            <w14:solidFill>
              <w14:srgbClr w14:val="000000">
                <w14:alpha w14:val="100000"/>
              </w14:srgbClr>
            </w14:solidFill>
          </w14:textFill>
        </w:rPr>
        <w:t xml:space="preserve">|  </w:t>
      </w:r>
      <w:r w:rsidRPr="00165390">
        <w:rPr>
          <w:color w:val="000000"/>
          <w:spacing w:val="-69"/>
          <w:w w:val="15"/>
          <w:shd w:val="solid" w:color="000000" w:fill="000000"/>
          <w:fitText w:val="-20" w:id="-1003821821"/>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20"/>
          <w14:textFill>
            <w14:solidFill>
              <w14:srgbClr w14:val="000000">
                <w14:alpha w14:val="100000"/>
              </w14:srgbClr>
            </w14:solidFill>
          </w14:textFill>
        </w:rPr>
        <w:t xml:space="preserve">|  </w:t>
      </w:r>
      <w:r w:rsidRPr="00165390">
        <w:rPr>
          <w:color w:val="000000"/>
          <w:spacing w:val="-69"/>
          <w:w w:val="15"/>
          <w:shd w:val="solid" w:color="000000" w:fill="000000"/>
          <w:fitText w:val="-20" w:id="-1003821820"/>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19"/>
          <w14:textFill>
            <w14:solidFill>
              <w14:srgbClr w14:val="000000">
                <w14:alpha w14:val="100000"/>
              </w14:srgbClr>
            </w14:solidFill>
          </w14:textFill>
        </w:rPr>
        <w:t xml:space="preserve">|  </w:t>
      </w:r>
      <w:r w:rsidRPr="00165390">
        <w:rPr>
          <w:color w:val="000000"/>
          <w:spacing w:val="-69"/>
          <w:w w:val="15"/>
          <w:shd w:val="solid" w:color="000000" w:fill="000000"/>
          <w:fitText w:val="-20" w:id="-1003821819"/>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18"/>
          <w14:textFill>
            <w14:solidFill>
              <w14:srgbClr w14:val="000000">
                <w14:alpha w14:val="100000"/>
              </w14:srgbClr>
            </w14:solidFill>
          </w14:textFill>
        </w:rPr>
        <w:t xml:space="preserve">|  </w:t>
      </w:r>
      <w:r w:rsidRPr="00165390">
        <w:rPr>
          <w:color w:val="000000"/>
          <w:spacing w:val="-69"/>
          <w:w w:val="15"/>
          <w:shd w:val="solid" w:color="000000" w:fill="000000"/>
          <w:fitText w:val="-20" w:id="-1003821818"/>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17"/>
          <w14:textFill>
            <w14:solidFill>
              <w14:srgbClr w14:val="000000">
                <w14:alpha w14:val="100000"/>
              </w14:srgbClr>
            </w14:solidFill>
          </w14:textFill>
        </w:rPr>
        <w:t xml:space="preserve">|  </w:t>
      </w:r>
      <w:r w:rsidRPr="00165390">
        <w:rPr>
          <w:color w:val="000000"/>
          <w:spacing w:val="-69"/>
          <w:w w:val="15"/>
          <w:shd w:val="solid" w:color="000000" w:fill="000000"/>
          <w:fitText w:val="-20" w:id="-1003821817"/>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16"/>
          <w14:textFill>
            <w14:solidFill>
              <w14:srgbClr w14:val="000000">
                <w14:alpha w14:val="100000"/>
              </w14:srgbClr>
            </w14:solidFill>
          </w14:textFill>
        </w:rPr>
        <w:t xml:space="preserve">|  </w:t>
      </w:r>
      <w:r w:rsidRPr="00165390">
        <w:rPr>
          <w:color w:val="000000"/>
          <w:spacing w:val="-69"/>
          <w:w w:val="15"/>
          <w:shd w:val="solid" w:color="000000" w:fill="000000"/>
          <w:fitText w:val="-20" w:id="-1003821816"/>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15"/>
          <w14:textFill>
            <w14:solidFill>
              <w14:srgbClr w14:val="000000">
                <w14:alpha w14:val="100000"/>
              </w14:srgbClr>
            </w14:solidFill>
          </w14:textFill>
        </w:rPr>
        <w:t xml:space="preserve">|  </w:t>
      </w:r>
      <w:r w:rsidRPr="00165390">
        <w:rPr>
          <w:color w:val="000000"/>
          <w:spacing w:val="-69"/>
          <w:w w:val="15"/>
          <w:shd w:val="solid" w:color="000000" w:fill="000000"/>
          <w:fitText w:val="-20" w:id="-1003821815"/>
          <w14:textFill>
            <w14:solidFill>
              <w14:srgbClr w14:val="000000">
                <w14:alpha w14:val="100000"/>
              </w14:srgbClr>
            </w14:solidFill>
          </w14:textFill>
        </w:rPr>
        <w:t>|</w:t>
      </w:r>
      <w:r w:rsidRPr="00591DDE">
        <w:t xml:space="preserve"> </w:t>
      </w:r>
      <w:r w:rsidRPr="00165390">
        <w:rPr>
          <w:color w:val="000000"/>
          <w:w w:val="15"/>
          <w:shd w:val="solid" w:color="000000" w:fill="000000"/>
          <w:fitText w:val="-20" w:id="-1003821814"/>
          <w14:textFill>
            <w14:solidFill>
              <w14:srgbClr w14:val="000000">
                <w14:alpha w14:val="100000"/>
              </w14:srgbClr>
            </w14:solidFill>
          </w14:textFill>
        </w:rPr>
        <w:t xml:space="preserve">|  </w:t>
      </w:r>
      <w:r w:rsidRPr="00165390">
        <w:rPr>
          <w:color w:val="000000"/>
          <w:spacing w:val="-69"/>
          <w:w w:val="15"/>
          <w:shd w:val="solid" w:color="000000" w:fill="000000"/>
          <w:fitText w:val="-20" w:id="-1003821814"/>
          <w14:textFill>
            <w14:solidFill>
              <w14:srgbClr w14:val="000000">
                <w14:alpha w14:val="100000"/>
              </w14:srgbClr>
            </w14:solidFill>
          </w14:textFill>
        </w:rPr>
        <w:t>|</w:t>
      </w:r>
      <w:r w:rsidR="00631B9B" w:rsidRPr="00591DDE">
        <w:t xml:space="preserve">. </w:t>
      </w:r>
    </w:p>
    <w:p w14:paraId="312689D6" w14:textId="77777777" w:rsidR="00631B9B" w:rsidRPr="00EB31F2" w:rsidRDefault="00631B9B" w:rsidP="00591DDE">
      <w:pPr>
        <w:spacing w:after="120"/>
        <w:jc w:val="center"/>
        <w:rPr>
          <w:rFonts w:cs="Arial"/>
          <w:snapToGrid w:val="0"/>
          <w:szCs w:val="22"/>
          <w:lang w:eastAsia="en-US"/>
        </w:rPr>
      </w:pPr>
      <w:r w:rsidRPr="00EB31F2">
        <w:rPr>
          <w:rFonts w:cs="Arial"/>
          <w:b/>
          <w:snapToGrid w:val="0"/>
          <w:szCs w:val="22"/>
          <w:u w:val="single"/>
          <w:lang w:eastAsia="en-US"/>
        </w:rPr>
        <w:t>End Committee-In-Confidence information</w:t>
      </w:r>
    </w:p>
    <w:p w14:paraId="3F9A31F1" w14:textId="22C06F2E" w:rsidR="00F27F09" w:rsidRPr="00EB31F2" w:rsidRDefault="00F27F09" w:rsidP="00F27F09">
      <w:pPr>
        <w:pStyle w:val="Caption"/>
        <w:keepNext/>
        <w:rPr>
          <w:szCs w:val="20"/>
        </w:rPr>
      </w:pPr>
      <w:bookmarkStart w:id="2" w:name="_Ref157668724"/>
      <w:bookmarkStart w:id="3" w:name="_Ref157668715"/>
      <w:r w:rsidRPr="00EB31F2">
        <w:rPr>
          <w:szCs w:val="20"/>
        </w:rPr>
        <w:lastRenderedPageBreak/>
        <w:t xml:space="preserve">Table </w:t>
      </w:r>
      <w:r w:rsidRPr="00EB31F2">
        <w:rPr>
          <w:szCs w:val="20"/>
        </w:rPr>
        <w:fldChar w:fldCharType="begin" w:fldLock="1"/>
      </w:r>
      <w:r w:rsidRPr="00EB31F2">
        <w:rPr>
          <w:szCs w:val="20"/>
        </w:rPr>
        <w:instrText xml:space="preserve"> SEQ Table \* ARABIC </w:instrText>
      </w:r>
      <w:r w:rsidRPr="00EB31F2">
        <w:rPr>
          <w:szCs w:val="20"/>
        </w:rPr>
        <w:fldChar w:fldCharType="separate"/>
      </w:r>
      <w:r w:rsidR="000A3CEA" w:rsidRPr="003D60FA">
        <w:rPr>
          <w:szCs w:val="20"/>
        </w:rPr>
        <w:t>1</w:t>
      </w:r>
      <w:r w:rsidRPr="00EB31F2">
        <w:rPr>
          <w:szCs w:val="20"/>
        </w:rPr>
        <w:fldChar w:fldCharType="end"/>
      </w:r>
      <w:bookmarkEnd w:id="2"/>
      <w:r w:rsidRPr="00EB31F2">
        <w:rPr>
          <w:szCs w:val="20"/>
        </w:rPr>
        <w:t>: Summary of previous PBAC considerations</w:t>
      </w:r>
      <w:bookmarkEnd w:id="3"/>
    </w:p>
    <w:tbl>
      <w:tblPr>
        <w:tblStyle w:val="TableGrid"/>
        <w:tblW w:w="0" w:type="auto"/>
        <w:tblLook w:val="04A0" w:firstRow="1" w:lastRow="0" w:firstColumn="1" w:lastColumn="0" w:noHBand="0" w:noVBand="1"/>
        <w:tblCaption w:val="Table 1: Summary of previous PBAC considerations"/>
      </w:tblPr>
      <w:tblGrid>
        <w:gridCol w:w="1315"/>
        <w:gridCol w:w="1440"/>
        <w:gridCol w:w="1440"/>
        <w:gridCol w:w="4821"/>
      </w:tblGrid>
      <w:tr w:rsidR="004D38B3" w:rsidRPr="00EB31F2" w14:paraId="3B9444B9" w14:textId="77777777" w:rsidTr="00E06FEA">
        <w:tc>
          <w:tcPr>
            <w:tcW w:w="1315" w:type="dxa"/>
          </w:tcPr>
          <w:p w14:paraId="2C94A3C7" w14:textId="77777777" w:rsidR="004D38B3" w:rsidRPr="00EB31F2" w:rsidRDefault="004D38B3">
            <w:pPr>
              <w:keepNext/>
              <w:rPr>
                <w:rFonts w:ascii="Arial Narrow" w:hAnsi="Arial Narrow" w:cstheme="minorHAnsi"/>
                <w:sz w:val="20"/>
                <w:szCs w:val="20"/>
              </w:rPr>
            </w:pPr>
            <w:r w:rsidRPr="00EB31F2">
              <w:rPr>
                <w:rFonts w:ascii="Arial Narrow" w:hAnsi="Arial Narrow" w:cstheme="minorHAnsi"/>
                <w:sz w:val="20"/>
                <w:szCs w:val="20"/>
              </w:rPr>
              <w:t>PBAC Meeting</w:t>
            </w:r>
          </w:p>
        </w:tc>
        <w:tc>
          <w:tcPr>
            <w:tcW w:w="1440" w:type="dxa"/>
          </w:tcPr>
          <w:p w14:paraId="5D5BE049" w14:textId="77777777" w:rsidR="004D38B3" w:rsidRPr="00EB31F2" w:rsidRDefault="004D38B3">
            <w:pPr>
              <w:keepNext/>
              <w:rPr>
                <w:rFonts w:ascii="Arial Narrow" w:hAnsi="Arial Narrow" w:cstheme="minorHAnsi"/>
                <w:sz w:val="20"/>
                <w:szCs w:val="20"/>
              </w:rPr>
            </w:pPr>
            <w:r w:rsidRPr="00EB31F2">
              <w:rPr>
                <w:rFonts w:ascii="Arial Narrow" w:hAnsi="Arial Narrow" w:cstheme="minorHAnsi"/>
                <w:sz w:val="20"/>
                <w:szCs w:val="20"/>
              </w:rPr>
              <w:t>Item</w:t>
            </w:r>
          </w:p>
        </w:tc>
        <w:tc>
          <w:tcPr>
            <w:tcW w:w="1440" w:type="dxa"/>
          </w:tcPr>
          <w:p w14:paraId="1EB97D98" w14:textId="668F12E2" w:rsidR="004D38B3" w:rsidRPr="00EB31F2" w:rsidRDefault="004D38B3">
            <w:pPr>
              <w:keepNext/>
              <w:rPr>
                <w:rFonts w:ascii="Arial Narrow" w:hAnsi="Arial Narrow" w:cstheme="minorHAnsi"/>
                <w:sz w:val="20"/>
                <w:szCs w:val="20"/>
              </w:rPr>
            </w:pPr>
            <w:r w:rsidRPr="00EB31F2">
              <w:rPr>
                <w:rFonts w:ascii="Arial Narrow" w:hAnsi="Arial Narrow" w:cstheme="minorHAnsi"/>
                <w:sz w:val="20"/>
                <w:szCs w:val="20"/>
              </w:rPr>
              <w:t>Mechanism of action – target pathway</w:t>
            </w:r>
          </w:p>
        </w:tc>
        <w:tc>
          <w:tcPr>
            <w:tcW w:w="4821" w:type="dxa"/>
          </w:tcPr>
          <w:p w14:paraId="28B825F1" w14:textId="0F071B93" w:rsidR="004D38B3" w:rsidRPr="00EB31F2" w:rsidRDefault="004D38B3">
            <w:pPr>
              <w:keepNext/>
              <w:rPr>
                <w:rFonts w:ascii="Arial Narrow" w:hAnsi="Arial Narrow" w:cstheme="minorHAnsi"/>
                <w:sz w:val="20"/>
                <w:szCs w:val="20"/>
              </w:rPr>
            </w:pPr>
            <w:r w:rsidRPr="00EB31F2">
              <w:rPr>
                <w:rFonts w:ascii="Arial Narrow" w:hAnsi="Arial Narrow" w:cstheme="minorHAnsi"/>
                <w:sz w:val="20"/>
                <w:szCs w:val="20"/>
              </w:rPr>
              <w:t>Outcome</w:t>
            </w:r>
          </w:p>
        </w:tc>
      </w:tr>
      <w:tr w:rsidR="004D38B3" w:rsidRPr="00EB31F2" w14:paraId="45ED50B2" w14:textId="77777777" w:rsidTr="00E06FEA">
        <w:tc>
          <w:tcPr>
            <w:tcW w:w="1315" w:type="dxa"/>
          </w:tcPr>
          <w:p w14:paraId="421D538F" w14:textId="77777777" w:rsidR="004D38B3" w:rsidRPr="00EB31F2" w:rsidRDefault="004D38B3" w:rsidP="00A75324">
            <w:pPr>
              <w:keepNext/>
              <w:jc w:val="left"/>
              <w:rPr>
                <w:rFonts w:ascii="Arial Narrow" w:hAnsi="Arial Narrow" w:cstheme="minorHAnsi"/>
                <w:sz w:val="20"/>
                <w:szCs w:val="20"/>
              </w:rPr>
            </w:pPr>
            <w:r w:rsidRPr="00EB31F2">
              <w:rPr>
                <w:rFonts w:ascii="Arial Narrow" w:hAnsi="Arial Narrow" w:cstheme="minorHAnsi"/>
                <w:sz w:val="20"/>
                <w:szCs w:val="20"/>
              </w:rPr>
              <w:t xml:space="preserve">November 2010 </w:t>
            </w:r>
          </w:p>
        </w:tc>
        <w:tc>
          <w:tcPr>
            <w:tcW w:w="1440" w:type="dxa"/>
          </w:tcPr>
          <w:p w14:paraId="7A1B736E" w14:textId="77777777" w:rsidR="004D38B3" w:rsidRPr="00EB31F2" w:rsidRDefault="004D38B3" w:rsidP="00A75324">
            <w:pPr>
              <w:keepNext/>
              <w:jc w:val="left"/>
              <w:rPr>
                <w:rFonts w:ascii="Arial Narrow" w:hAnsi="Arial Narrow" w:cstheme="minorHAnsi"/>
                <w:sz w:val="20"/>
                <w:szCs w:val="20"/>
              </w:rPr>
            </w:pPr>
            <w:r w:rsidRPr="00EB31F2">
              <w:rPr>
                <w:rFonts w:ascii="Arial Narrow" w:hAnsi="Arial Narrow" w:cstheme="minorHAnsi"/>
                <w:sz w:val="20"/>
                <w:szCs w:val="20"/>
              </w:rPr>
              <w:t>OOS omalizumab for SAA</w:t>
            </w:r>
          </w:p>
        </w:tc>
        <w:tc>
          <w:tcPr>
            <w:tcW w:w="1440" w:type="dxa"/>
          </w:tcPr>
          <w:p w14:paraId="0F101578" w14:textId="438631A3" w:rsidR="004D38B3" w:rsidRPr="00EB31F2" w:rsidRDefault="004D38B3">
            <w:pPr>
              <w:keepNext/>
              <w:rPr>
                <w:rFonts w:ascii="Arial Narrow" w:hAnsi="Arial Narrow" w:cstheme="minorHAnsi"/>
                <w:sz w:val="20"/>
                <w:szCs w:val="20"/>
              </w:rPr>
            </w:pPr>
            <w:r w:rsidRPr="00EB31F2">
              <w:rPr>
                <w:rFonts w:ascii="Arial Narrow" w:hAnsi="Arial Narrow" w:cstheme="minorHAnsi"/>
                <w:sz w:val="20"/>
                <w:szCs w:val="20"/>
              </w:rPr>
              <w:t>Anti-IgE</w:t>
            </w:r>
          </w:p>
        </w:tc>
        <w:tc>
          <w:tcPr>
            <w:tcW w:w="4821" w:type="dxa"/>
          </w:tcPr>
          <w:p w14:paraId="0A28450A" w14:textId="4D13E39E" w:rsidR="004D38B3" w:rsidRPr="00EB31F2" w:rsidRDefault="004D38B3">
            <w:pPr>
              <w:keepNext/>
              <w:rPr>
                <w:rFonts w:ascii="Arial Narrow" w:hAnsi="Arial Narrow" w:cstheme="minorHAnsi"/>
                <w:sz w:val="20"/>
                <w:szCs w:val="20"/>
              </w:rPr>
            </w:pPr>
            <w:r w:rsidRPr="00EB31F2">
              <w:rPr>
                <w:rFonts w:ascii="Arial Narrow" w:hAnsi="Arial Narrow" w:cstheme="minorHAnsi"/>
                <w:sz w:val="20"/>
                <w:szCs w:val="20"/>
              </w:rPr>
              <w:t>The PBAC recommended the Authority Required (Written) (S100 HSD) listing of omalizumab for SAA on the basis of an acceptable cost-effectiveness ratio in a severe patient group with limited treatment options, whose asthma was uncontrolled while on at least 10mg per day prednisolone equivalent.</w:t>
            </w:r>
          </w:p>
        </w:tc>
      </w:tr>
      <w:tr w:rsidR="003B6EF7" w:rsidRPr="00EB31F2" w14:paraId="387D838D" w14:textId="77777777" w:rsidTr="00F27F09">
        <w:tc>
          <w:tcPr>
            <w:tcW w:w="1315" w:type="dxa"/>
            <w:vMerge w:val="restart"/>
            <w:shd w:val="clear" w:color="auto" w:fill="auto"/>
          </w:tcPr>
          <w:p w14:paraId="3C3DA21E" w14:textId="77777777" w:rsidR="003B6EF7" w:rsidRPr="00EB31F2" w:rsidRDefault="003B6EF7" w:rsidP="00A75324">
            <w:pPr>
              <w:keepNext/>
              <w:jc w:val="left"/>
              <w:rPr>
                <w:rFonts w:ascii="Arial Narrow" w:hAnsi="Arial Narrow" w:cstheme="minorHAnsi"/>
                <w:sz w:val="20"/>
                <w:szCs w:val="20"/>
              </w:rPr>
            </w:pPr>
            <w:r w:rsidRPr="00EB31F2">
              <w:rPr>
                <w:rFonts w:ascii="Arial Narrow" w:hAnsi="Arial Narrow" w:cstheme="minorHAnsi"/>
                <w:sz w:val="20"/>
                <w:szCs w:val="20"/>
              </w:rPr>
              <w:t>July 2016</w:t>
            </w:r>
          </w:p>
        </w:tc>
        <w:tc>
          <w:tcPr>
            <w:tcW w:w="1440" w:type="dxa"/>
            <w:vMerge w:val="restart"/>
            <w:shd w:val="clear" w:color="auto" w:fill="auto"/>
          </w:tcPr>
          <w:p w14:paraId="2381307E" w14:textId="77777777" w:rsidR="003B6EF7" w:rsidRPr="00EB31F2" w:rsidRDefault="003B6EF7" w:rsidP="00A75324">
            <w:pPr>
              <w:keepNext/>
              <w:jc w:val="left"/>
              <w:rPr>
                <w:rFonts w:ascii="Arial Narrow" w:hAnsi="Arial Narrow" w:cstheme="minorHAnsi"/>
                <w:sz w:val="20"/>
                <w:szCs w:val="20"/>
              </w:rPr>
            </w:pPr>
            <w:r w:rsidRPr="00EB31F2">
              <w:rPr>
                <w:rFonts w:ascii="Arial Narrow" w:hAnsi="Arial Narrow" w:cstheme="minorHAnsi"/>
                <w:sz w:val="20"/>
                <w:szCs w:val="20"/>
              </w:rPr>
              <w:t>7.04 mepolizumab for SEA</w:t>
            </w:r>
          </w:p>
        </w:tc>
        <w:tc>
          <w:tcPr>
            <w:tcW w:w="1440" w:type="dxa"/>
            <w:vMerge w:val="restart"/>
            <w:shd w:val="clear" w:color="auto" w:fill="auto"/>
          </w:tcPr>
          <w:p w14:paraId="61DD6DDF" w14:textId="6CAD22E4" w:rsidR="003B6EF7" w:rsidRPr="00EB31F2" w:rsidRDefault="003B6EF7">
            <w:pPr>
              <w:keepNext/>
              <w:rPr>
                <w:rFonts w:ascii="Arial Narrow" w:hAnsi="Arial Narrow" w:cstheme="minorHAnsi"/>
                <w:sz w:val="20"/>
                <w:szCs w:val="20"/>
              </w:rPr>
            </w:pPr>
            <w:r w:rsidRPr="00EB31F2">
              <w:rPr>
                <w:rFonts w:ascii="Arial Narrow" w:hAnsi="Arial Narrow" w:cstheme="minorHAnsi"/>
                <w:sz w:val="20"/>
                <w:szCs w:val="20"/>
              </w:rPr>
              <w:t>Anti-IL5</w:t>
            </w:r>
          </w:p>
        </w:tc>
        <w:tc>
          <w:tcPr>
            <w:tcW w:w="4821" w:type="dxa"/>
            <w:shd w:val="clear" w:color="auto" w:fill="auto"/>
          </w:tcPr>
          <w:p w14:paraId="2E2E1237" w14:textId="771453BD" w:rsidR="003B6EF7" w:rsidRPr="00EB31F2" w:rsidRDefault="003B6EF7">
            <w:pPr>
              <w:keepNext/>
              <w:rPr>
                <w:rFonts w:ascii="Arial Narrow" w:hAnsi="Arial Narrow" w:cstheme="minorHAnsi"/>
                <w:sz w:val="20"/>
                <w:szCs w:val="20"/>
              </w:rPr>
            </w:pPr>
            <w:r w:rsidRPr="00EB31F2">
              <w:rPr>
                <w:rFonts w:ascii="Arial Narrow" w:hAnsi="Arial Narrow" w:cstheme="minorHAnsi"/>
                <w:sz w:val="20"/>
                <w:szCs w:val="20"/>
              </w:rPr>
              <w:t>The PBAC recommended the Authority Required (Written) (S100 HSD) listing of mepolizumab for SEA on a cost-minimisation basis with omalizumab.</w:t>
            </w:r>
          </w:p>
        </w:tc>
      </w:tr>
      <w:tr w:rsidR="003B6EF7" w:rsidRPr="00EB31F2" w14:paraId="02D50623" w14:textId="77777777" w:rsidTr="00F27F09">
        <w:tc>
          <w:tcPr>
            <w:tcW w:w="1315" w:type="dxa"/>
            <w:vMerge/>
            <w:shd w:val="clear" w:color="auto" w:fill="auto"/>
          </w:tcPr>
          <w:p w14:paraId="79FDA583" w14:textId="77777777" w:rsidR="003B6EF7" w:rsidRPr="00EB31F2" w:rsidRDefault="003B6EF7" w:rsidP="00A75324">
            <w:pPr>
              <w:keepNext/>
              <w:jc w:val="left"/>
              <w:rPr>
                <w:rFonts w:ascii="Arial Narrow" w:hAnsi="Arial Narrow" w:cstheme="minorHAnsi"/>
                <w:sz w:val="20"/>
                <w:szCs w:val="20"/>
              </w:rPr>
            </w:pPr>
          </w:p>
        </w:tc>
        <w:tc>
          <w:tcPr>
            <w:tcW w:w="1440" w:type="dxa"/>
            <w:vMerge/>
            <w:shd w:val="clear" w:color="auto" w:fill="auto"/>
          </w:tcPr>
          <w:p w14:paraId="12C39797" w14:textId="77777777" w:rsidR="003B6EF7" w:rsidRPr="00EB31F2" w:rsidRDefault="003B6EF7" w:rsidP="00A75324">
            <w:pPr>
              <w:keepNext/>
              <w:jc w:val="left"/>
              <w:rPr>
                <w:rFonts w:ascii="Arial Narrow" w:hAnsi="Arial Narrow" w:cstheme="minorHAnsi"/>
                <w:sz w:val="20"/>
                <w:szCs w:val="20"/>
              </w:rPr>
            </w:pPr>
          </w:p>
        </w:tc>
        <w:tc>
          <w:tcPr>
            <w:tcW w:w="1440" w:type="dxa"/>
            <w:vMerge/>
            <w:shd w:val="clear" w:color="auto" w:fill="auto"/>
          </w:tcPr>
          <w:p w14:paraId="009515C3" w14:textId="77777777" w:rsidR="003B6EF7" w:rsidRPr="00EB31F2" w:rsidRDefault="003B6EF7">
            <w:pPr>
              <w:keepNext/>
              <w:rPr>
                <w:rFonts w:ascii="Arial Narrow" w:hAnsi="Arial Narrow" w:cstheme="minorHAnsi"/>
                <w:sz w:val="20"/>
                <w:szCs w:val="20"/>
              </w:rPr>
            </w:pPr>
          </w:p>
        </w:tc>
        <w:tc>
          <w:tcPr>
            <w:tcW w:w="4821" w:type="dxa"/>
            <w:shd w:val="clear" w:color="auto" w:fill="auto"/>
          </w:tcPr>
          <w:p w14:paraId="749B3F37" w14:textId="06CCF9BA" w:rsidR="003B6EF7" w:rsidRPr="00EB31F2" w:rsidRDefault="003B6EF7">
            <w:pPr>
              <w:keepNext/>
              <w:rPr>
                <w:rFonts w:ascii="Arial Narrow" w:hAnsi="Arial Narrow" w:cstheme="minorHAnsi"/>
                <w:sz w:val="20"/>
                <w:szCs w:val="20"/>
              </w:rPr>
            </w:pPr>
            <w:r w:rsidRPr="00EB31F2">
              <w:rPr>
                <w:rFonts w:ascii="Arial Narrow" w:hAnsi="Arial Narrow" w:cstheme="minorHAnsi"/>
                <w:sz w:val="20"/>
                <w:szCs w:val="20"/>
              </w:rPr>
              <w:t xml:space="preserve">Mepolizumab was listed on the PBS on 1 January 2017. </w:t>
            </w:r>
          </w:p>
        </w:tc>
      </w:tr>
      <w:tr w:rsidR="004D38B3" w:rsidRPr="00EB31F2" w14:paraId="286D0812" w14:textId="77777777" w:rsidTr="00F27F09">
        <w:tc>
          <w:tcPr>
            <w:tcW w:w="1315" w:type="dxa"/>
            <w:shd w:val="clear" w:color="auto" w:fill="auto"/>
          </w:tcPr>
          <w:p w14:paraId="422C7B35" w14:textId="77777777" w:rsidR="004D38B3" w:rsidRPr="00EB31F2" w:rsidRDefault="004D38B3" w:rsidP="00A75324">
            <w:pPr>
              <w:keepNext/>
              <w:jc w:val="left"/>
              <w:rPr>
                <w:rFonts w:ascii="Arial Narrow" w:hAnsi="Arial Narrow" w:cstheme="minorHAnsi"/>
                <w:sz w:val="20"/>
                <w:szCs w:val="20"/>
              </w:rPr>
            </w:pPr>
            <w:r w:rsidRPr="00EB31F2">
              <w:rPr>
                <w:rFonts w:ascii="Arial Narrow" w:hAnsi="Arial Narrow" w:cstheme="minorHAnsi"/>
                <w:sz w:val="20"/>
                <w:szCs w:val="20"/>
              </w:rPr>
              <w:t>March 2018</w:t>
            </w:r>
          </w:p>
        </w:tc>
        <w:tc>
          <w:tcPr>
            <w:tcW w:w="1440" w:type="dxa"/>
            <w:shd w:val="clear" w:color="auto" w:fill="auto"/>
          </w:tcPr>
          <w:p w14:paraId="3F7F88EE" w14:textId="77777777" w:rsidR="004D38B3" w:rsidRPr="00EB31F2" w:rsidRDefault="004D38B3" w:rsidP="00A75324">
            <w:pPr>
              <w:keepNext/>
              <w:jc w:val="left"/>
              <w:rPr>
                <w:rFonts w:ascii="Arial Narrow" w:hAnsi="Arial Narrow" w:cstheme="minorHAnsi"/>
                <w:sz w:val="20"/>
                <w:szCs w:val="20"/>
              </w:rPr>
            </w:pPr>
            <w:r w:rsidRPr="00EB31F2">
              <w:rPr>
                <w:rFonts w:ascii="Arial Narrow" w:hAnsi="Arial Narrow" w:cstheme="minorHAnsi"/>
                <w:sz w:val="20"/>
                <w:szCs w:val="20"/>
              </w:rPr>
              <w:t>5.01 benralizumab for SEA</w:t>
            </w:r>
          </w:p>
        </w:tc>
        <w:tc>
          <w:tcPr>
            <w:tcW w:w="1440" w:type="dxa"/>
            <w:shd w:val="clear" w:color="auto" w:fill="auto"/>
          </w:tcPr>
          <w:p w14:paraId="63126C49" w14:textId="2683E7D8" w:rsidR="004D38B3" w:rsidRPr="00EB31F2" w:rsidRDefault="004D38B3">
            <w:pPr>
              <w:keepNext/>
              <w:rPr>
                <w:rFonts w:ascii="Arial Narrow" w:hAnsi="Arial Narrow" w:cstheme="minorHAnsi"/>
                <w:sz w:val="20"/>
                <w:szCs w:val="20"/>
              </w:rPr>
            </w:pPr>
            <w:r w:rsidRPr="00EB31F2">
              <w:rPr>
                <w:rFonts w:ascii="Arial Narrow" w:hAnsi="Arial Narrow" w:cstheme="minorHAnsi"/>
                <w:sz w:val="20"/>
                <w:szCs w:val="20"/>
              </w:rPr>
              <w:t>Anti-IL5</w:t>
            </w:r>
          </w:p>
        </w:tc>
        <w:tc>
          <w:tcPr>
            <w:tcW w:w="4821" w:type="dxa"/>
            <w:shd w:val="clear" w:color="auto" w:fill="auto"/>
          </w:tcPr>
          <w:p w14:paraId="1AB4E2C9" w14:textId="72708E5D" w:rsidR="004D38B3" w:rsidRPr="00EB31F2" w:rsidRDefault="004D38B3">
            <w:pPr>
              <w:keepNext/>
              <w:rPr>
                <w:rFonts w:ascii="Arial Narrow" w:hAnsi="Arial Narrow" w:cstheme="minorHAnsi"/>
                <w:sz w:val="20"/>
                <w:szCs w:val="20"/>
              </w:rPr>
            </w:pPr>
            <w:r w:rsidRPr="00EB31F2">
              <w:rPr>
                <w:rFonts w:ascii="Arial Narrow" w:hAnsi="Arial Narrow" w:cstheme="minorHAnsi"/>
                <w:sz w:val="20"/>
                <w:szCs w:val="20"/>
              </w:rPr>
              <w:t>The PBAC recommended the Authority Required (Written) (S100 HSD) listing of benralizumab for SEA on a cost-minimisation basis with mepolizumab, noting the clinical need for additional treatment options in SEA</w:t>
            </w:r>
          </w:p>
        </w:tc>
      </w:tr>
      <w:tr w:rsidR="004D38B3" w:rsidRPr="00EB31F2" w14:paraId="1D4DB985" w14:textId="77777777" w:rsidTr="00F27F09">
        <w:tc>
          <w:tcPr>
            <w:tcW w:w="1315" w:type="dxa"/>
            <w:shd w:val="clear" w:color="auto" w:fill="auto"/>
          </w:tcPr>
          <w:p w14:paraId="764972FF" w14:textId="64D722CD" w:rsidR="004D38B3" w:rsidRPr="00EB31F2" w:rsidRDefault="004D38B3" w:rsidP="00A75324">
            <w:pPr>
              <w:keepNext/>
              <w:jc w:val="left"/>
              <w:rPr>
                <w:rFonts w:ascii="Arial Narrow" w:hAnsi="Arial Narrow" w:cstheme="minorHAnsi"/>
                <w:sz w:val="20"/>
                <w:szCs w:val="20"/>
              </w:rPr>
            </w:pPr>
            <w:r w:rsidRPr="00EB31F2">
              <w:rPr>
                <w:rFonts w:ascii="Arial Narrow" w:hAnsi="Arial Narrow" w:cstheme="minorHAnsi"/>
                <w:sz w:val="20"/>
                <w:szCs w:val="20"/>
              </w:rPr>
              <w:t>December 2018</w:t>
            </w:r>
          </w:p>
        </w:tc>
        <w:tc>
          <w:tcPr>
            <w:tcW w:w="1440" w:type="dxa"/>
            <w:shd w:val="clear" w:color="auto" w:fill="auto"/>
          </w:tcPr>
          <w:p w14:paraId="7ACD96B8" w14:textId="6FC17DA2" w:rsidR="004D38B3" w:rsidRPr="00EB31F2" w:rsidRDefault="004D38B3" w:rsidP="00A75324">
            <w:pPr>
              <w:keepNext/>
              <w:jc w:val="left"/>
              <w:rPr>
                <w:rFonts w:ascii="Arial Narrow" w:hAnsi="Arial Narrow" w:cstheme="minorHAnsi"/>
                <w:sz w:val="20"/>
                <w:szCs w:val="20"/>
              </w:rPr>
            </w:pPr>
            <w:r w:rsidRPr="00EB31F2">
              <w:rPr>
                <w:rFonts w:ascii="Arial Narrow" w:hAnsi="Arial Narrow" w:cstheme="minorHAnsi"/>
                <w:sz w:val="20"/>
                <w:szCs w:val="20"/>
              </w:rPr>
              <w:t>Severe asthma stakeholder Meeting</w:t>
            </w:r>
          </w:p>
        </w:tc>
        <w:tc>
          <w:tcPr>
            <w:tcW w:w="1440" w:type="dxa"/>
            <w:shd w:val="clear" w:color="auto" w:fill="auto"/>
          </w:tcPr>
          <w:p w14:paraId="7671551A" w14:textId="239C7F85" w:rsidR="004D38B3" w:rsidRPr="00EB31F2" w:rsidRDefault="004D38B3">
            <w:pPr>
              <w:keepNext/>
              <w:rPr>
                <w:rFonts w:ascii="Arial Narrow" w:hAnsi="Arial Narrow" w:cstheme="minorHAnsi"/>
                <w:sz w:val="20"/>
                <w:szCs w:val="20"/>
              </w:rPr>
            </w:pPr>
            <w:r w:rsidRPr="00EB31F2">
              <w:rPr>
                <w:rFonts w:ascii="Arial Narrow" w:hAnsi="Arial Narrow" w:cstheme="minorHAnsi"/>
                <w:sz w:val="20"/>
                <w:szCs w:val="20"/>
              </w:rPr>
              <w:t>N/A</w:t>
            </w:r>
          </w:p>
        </w:tc>
        <w:tc>
          <w:tcPr>
            <w:tcW w:w="4821" w:type="dxa"/>
            <w:shd w:val="clear" w:color="auto" w:fill="auto"/>
          </w:tcPr>
          <w:p w14:paraId="3C1C1B3D" w14:textId="54D1247B" w:rsidR="004D38B3" w:rsidRPr="00EB31F2" w:rsidRDefault="004D38B3">
            <w:pPr>
              <w:keepNext/>
              <w:rPr>
                <w:rFonts w:ascii="Arial Narrow" w:hAnsi="Arial Narrow" w:cstheme="minorHAnsi"/>
                <w:sz w:val="20"/>
                <w:szCs w:val="20"/>
              </w:rPr>
            </w:pPr>
            <w:r w:rsidRPr="00EB31F2">
              <w:rPr>
                <w:rFonts w:ascii="Arial Narrow" w:hAnsi="Arial Narrow" w:cstheme="minorHAnsi"/>
                <w:sz w:val="20"/>
                <w:szCs w:val="20"/>
              </w:rPr>
              <w:t>In a meeting with members of the PBAC and DUSC, representatives of the Centre of Excellence in Severe Asthma, Asthma Australia, National Asthma Council Australia, the Department of Health and sponsors in December 2018, stakeholders agreed that the principal objectives are to control asthma and reduce OCS use, and that re-examining some of the PBS initiation criteria for biologic medicines would be beneficial.</w:t>
            </w:r>
          </w:p>
        </w:tc>
      </w:tr>
      <w:tr w:rsidR="004D38B3" w:rsidRPr="00EB31F2" w14:paraId="3300F31E" w14:textId="77777777" w:rsidTr="00F27F09">
        <w:tc>
          <w:tcPr>
            <w:tcW w:w="1315" w:type="dxa"/>
            <w:shd w:val="clear" w:color="auto" w:fill="auto"/>
          </w:tcPr>
          <w:p w14:paraId="79DB6637" w14:textId="77777777" w:rsidR="004D38B3" w:rsidRPr="00EB31F2" w:rsidRDefault="004D38B3" w:rsidP="00A75324">
            <w:pPr>
              <w:keepNext/>
              <w:jc w:val="left"/>
              <w:rPr>
                <w:rFonts w:ascii="Arial Narrow" w:hAnsi="Arial Narrow" w:cstheme="minorHAnsi"/>
                <w:sz w:val="20"/>
                <w:szCs w:val="20"/>
              </w:rPr>
            </w:pPr>
            <w:r w:rsidRPr="00EB31F2">
              <w:rPr>
                <w:rFonts w:ascii="Arial Narrow" w:hAnsi="Arial Narrow" w:cstheme="minorHAnsi"/>
                <w:sz w:val="20"/>
                <w:szCs w:val="20"/>
              </w:rPr>
              <w:t>November 2020</w:t>
            </w:r>
          </w:p>
        </w:tc>
        <w:tc>
          <w:tcPr>
            <w:tcW w:w="1440" w:type="dxa"/>
            <w:shd w:val="clear" w:color="auto" w:fill="auto"/>
          </w:tcPr>
          <w:p w14:paraId="70ED375A" w14:textId="736E2249" w:rsidR="004D38B3" w:rsidRPr="00EB31F2" w:rsidRDefault="004D38B3" w:rsidP="00A75324">
            <w:pPr>
              <w:keepNext/>
              <w:jc w:val="left"/>
              <w:rPr>
                <w:rFonts w:ascii="Arial Narrow" w:hAnsi="Arial Narrow" w:cstheme="minorHAnsi"/>
                <w:sz w:val="20"/>
                <w:szCs w:val="20"/>
              </w:rPr>
            </w:pPr>
            <w:r w:rsidRPr="00EB31F2">
              <w:rPr>
                <w:rFonts w:ascii="Arial Narrow" w:hAnsi="Arial Narrow" w:cstheme="minorHAnsi"/>
                <w:sz w:val="20"/>
                <w:szCs w:val="20"/>
              </w:rPr>
              <w:t>6.02 dupilumab for uncontrolled severe eosinophilic or allergic asthma</w:t>
            </w:r>
          </w:p>
        </w:tc>
        <w:tc>
          <w:tcPr>
            <w:tcW w:w="1440" w:type="dxa"/>
            <w:shd w:val="clear" w:color="auto" w:fill="auto"/>
          </w:tcPr>
          <w:p w14:paraId="06E42CFD" w14:textId="60F652EB" w:rsidR="004D38B3" w:rsidRPr="00EB31F2" w:rsidRDefault="004D38B3">
            <w:pPr>
              <w:keepNext/>
              <w:rPr>
                <w:rFonts w:ascii="Arial Narrow" w:hAnsi="Arial Narrow" w:cstheme="minorHAnsi"/>
                <w:sz w:val="20"/>
                <w:szCs w:val="20"/>
              </w:rPr>
            </w:pPr>
            <w:r w:rsidRPr="00EB31F2">
              <w:rPr>
                <w:rFonts w:ascii="Arial Narrow" w:hAnsi="Arial Narrow" w:cstheme="minorHAnsi"/>
                <w:sz w:val="20"/>
                <w:szCs w:val="20"/>
              </w:rPr>
              <w:t>Anti-IL4</w:t>
            </w:r>
          </w:p>
        </w:tc>
        <w:tc>
          <w:tcPr>
            <w:tcW w:w="4821" w:type="dxa"/>
            <w:shd w:val="clear" w:color="auto" w:fill="auto"/>
          </w:tcPr>
          <w:p w14:paraId="57715CC6" w14:textId="0763249C" w:rsidR="004D38B3" w:rsidRPr="00EB31F2" w:rsidRDefault="004D38B3">
            <w:pPr>
              <w:keepNext/>
              <w:rPr>
                <w:rFonts w:ascii="Arial Narrow" w:hAnsi="Arial Narrow" w:cstheme="minorHAnsi"/>
                <w:sz w:val="20"/>
                <w:szCs w:val="20"/>
              </w:rPr>
            </w:pPr>
            <w:r w:rsidRPr="00EB31F2">
              <w:rPr>
                <w:rFonts w:ascii="Arial Narrow" w:hAnsi="Arial Narrow" w:cstheme="minorHAnsi"/>
                <w:sz w:val="20"/>
                <w:szCs w:val="20"/>
              </w:rPr>
              <w:t>The PBAC recommended the listing of dupilumab for uncontrolled severe eosinophilic or allergic asthma under the same authority conditions as benralizumab, mepolizumab and omalizumab.</w:t>
            </w:r>
          </w:p>
        </w:tc>
      </w:tr>
      <w:tr w:rsidR="004D38B3" w:rsidRPr="00EB31F2" w14:paraId="36DF28B3" w14:textId="77777777" w:rsidTr="00F27F09">
        <w:tc>
          <w:tcPr>
            <w:tcW w:w="1315" w:type="dxa"/>
            <w:shd w:val="clear" w:color="auto" w:fill="auto"/>
          </w:tcPr>
          <w:p w14:paraId="467BA1E9" w14:textId="77777777" w:rsidR="004D38B3" w:rsidRPr="00EB31F2" w:rsidRDefault="004D38B3" w:rsidP="00A75324">
            <w:pPr>
              <w:keepNext/>
              <w:jc w:val="left"/>
              <w:rPr>
                <w:rFonts w:ascii="Arial Narrow" w:hAnsi="Arial Narrow" w:cstheme="minorHAnsi"/>
                <w:sz w:val="20"/>
                <w:szCs w:val="20"/>
              </w:rPr>
            </w:pPr>
            <w:r w:rsidRPr="00EB31F2">
              <w:rPr>
                <w:rFonts w:ascii="Arial Narrow" w:hAnsi="Arial Narrow" w:cstheme="minorHAnsi"/>
                <w:sz w:val="20"/>
                <w:szCs w:val="20"/>
              </w:rPr>
              <w:t>April 2021 Administrative change with PBAC specialist input</w:t>
            </w:r>
          </w:p>
        </w:tc>
        <w:tc>
          <w:tcPr>
            <w:tcW w:w="1440" w:type="dxa"/>
            <w:shd w:val="clear" w:color="auto" w:fill="auto"/>
          </w:tcPr>
          <w:p w14:paraId="0FFF4396" w14:textId="77777777" w:rsidR="004D38B3" w:rsidRPr="00EB31F2" w:rsidRDefault="004D38B3" w:rsidP="00A75324">
            <w:pPr>
              <w:keepNext/>
              <w:jc w:val="left"/>
              <w:rPr>
                <w:rFonts w:ascii="Arial Narrow" w:hAnsi="Arial Narrow" w:cstheme="minorHAnsi"/>
                <w:sz w:val="20"/>
                <w:szCs w:val="20"/>
              </w:rPr>
            </w:pPr>
            <w:r w:rsidRPr="00EB31F2">
              <w:rPr>
                <w:rFonts w:ascii="Arial Narrow" w:hAnsi="Arial Narrow" w:cstheme="minorHAnsi"/>
                <w:sz w:val="20"/>
                <w:szCs w:val="20"/>
              </w:rPr>
              <w:t>N/A</w:t>
            </w:r>
          </w:p>
        </w:tc>
        <w:tc>
          <w:tcPr>
            <w:tcW w:w="1440" w:type="dxa"/>
            <w:shd w:val="clear" w:color="auto" w:fill="auto"/>
          </w:tcPr>
          <w:p w14:paraId="30F0C254" w14:textId="68AB985E" w:rsidR="004D38B3" w:rsidRPr="00EB31F2" w:rsidRDefault="004D38B3">
            <w:pPr>
              <w:keepNext/>
              <w:rPr>
                <w:rFonts w:ascii="Arial Narrow" w:hAnsi="Arial Narrow" w:cstheme="minorHAnsi"/>
                <w:sz w:val="20"/>
                <w:szCs w:val="20"/>
              </w:rPr>
            </w:pPr>
            <w:r w:rsidRPr="00EB31F2">
              <w:rPr>
                <w:rFonts w:ascii="Arial Narrow" w:hAnsi="Arial Narrow" w:cstheme="minorHAnsi"/>
                <w:sz w:val="20"/>
                <w:szCs w:val="20"/>
              </w:rPr>
              <w:t>N/A</w:t>
            </w:r>
          </w:p>
        </w:tc>
        <w:tc>
          <w:tcPr>
            <w:tcW w:w="4821" w:type="dxa"/>
            <w:shd w:val="clear" w:color="auto" w:fill="auto"/>
          </w:tcPr>
          <w:p w14:paraId="4ED08019" w14:textId="7A9E9616" w:rsidR="004D38B3" w:rsidRPr="00EB31F2" w:rsidRDefault="004D38B3">
            <w:pPr>
              <w:keepNext/>
              <w:rPr>
                <w:rFonts w:ascii="Arial Narrow" w:hAnsi="Arial Narrow" w:cstheme="minorHAnsi"/>
                <w:sz w:val="20"/>
                <w:szCs w:val="20"/>
              </w:rPr>
            </w:pPr>
            <w:r w:rsidRPr="00EB31F2">
              <w:rPr>
                <w:rFonts w:ascii="Arial Narrow" w:hAnsi="Arial Narrow" w:cstheme="minorHAnsi"/>
                <w:sz w:val="20"/>
                <w:szCs w:val="20"/>
              </w:rPr>
              <w:t>The Department considered changes to all indications of omalizumab, mepolizumab, benralizumab and dupilumab to be amended to ‘uncontrolled severe asthma’. Implemented 1 July 2021.</w:t>
            </w:r>
          </w:p>
          <w:p w14:paraId="2FCF182C" w14:textId="2BF34DBE" w:rsidR="004D38B3" w:rsidRPr="00EB31F2" w:rsidRDefault="004D38B3">
            <w:pPr>
              <w:keepNext/>
              <w:rPr>
                <w:rFonts w:ascii="Arial Narrow" w:hAnsi="Arial Narrow" w:cstheme="minorHAnsi"/>
                <w:sz w:val="20"/>
                <w:szCs w:val="20"/>
              </w:rPr>
            </w:pPr>
            <w:r w:rsidRPr="00EB31F2">
              <w:rPr>
                <w:rFonts w:ascii="Arial Narrow" w:hAnsi="Arial Narrow" w:cstheme="minorHAnsi"/>
                <w:sz w:val="20"/>
                <w:szCs w:val="20"/>
              </w:rPr>
              <w:t>Omalizumab maintained severe allergic asthma listings for the population aged 6-12.</w:t>
            </w:r>
          </w:p>
        </w:tc>
      </w:tr>
      <w:tr w:rsidR="00A656C1" w:rsidRPr="00EB31F2" w14:paraId="3ECCBA6D" w14:textId="77777777" w:rsidTr="00F27F09">
        <w:tc>
          <w:tcPr>
            <w:tcW w:w="1315" w:type="dxa"/>
            <w:vMerge w:val="restart"/>
            <w:shd w:val="clear" w:color="auto" w:fill="auto"/>
          </w:tcPr>
          <w:p w14:paraId="2A293744" w14:textId="77777777" w:rsidR="00A656C1" w:rsidRPr="00EB31F2" w:rsidRDefault="00A656C1" w:rsidP="00A75324">
            <w:pPr>
              <w:keepNext/>
              <w:jc w:val="left"/>
              <w:rPr>
                <w:rFonts w:ascii="Arial Narrow" w:hAnsi="Arial Narrow" w:cstheme="minorHAnsi"/>
                <w:sz w:val="20"/>
                <w:szCs w:val="20"/>
              </w:rPr>
            </w:pPr>
            <w:r w:rsidRPr="00EB31F2">
              <w:rPr>
                <w:rFonts w:ascii="Arial Narrow" w:hAnsi="Arial Narrow" w:cstheme="minorHAnsi"/>
                <w:sz w:val="20"/>
                <w:szCs w:val="20"/>
              </w:rPr>
              <w:t>July 2021</w:t>
            </w:r>
          </w:p>
        </w:tc>
        <w:tc>
          <w:tcPr>
            <w:tcW w:w="1440" w:type="dxa"/>
            <w:vMerge w:val="restart"/>
            <w:shd w:val="clear" w:color="auto" w:fill="auto"/>
          </w:tcPr>
          <w:p w14:paraId="0A39F62F" w14:textId="4F72782E" w:rsidR="00A656C1" w:rsidRPr="00EB31F2" w:rsidRDefault="00A656C1" w:rsidP="00A75324">
            <w:pPr>
              <w:keepNext/>
              <w:jc w:val="left"/>
              <w:rPr>
                <w:rFonts w:ascii="Arial Narrow" w:hAnsi="Arial Narrow" w:cstheme="minorHAnsi"/>
                <w:sz w:val="20"/>
                <w:szCs w:val="20"/>
              </w:rPr>
            </w:pPr>
            <w:r w:rsidRPr="00EB31F2">
              <w:rPr>
                <w:rFonts w:ascii="Arial Narrow" w:hAnsi="Arial Narrow" w:cstheme="minorHAnsi"/>
                <w:sz w:val="20"/>
                <w:szCs w:val="20"/>
              </w:rPr>
              <w:t>9.02 Tranche 3 DUSC/PBAC review of Authority Required (written) listings</w:t>
            </w:r>
          </w:p>
        </w:tc>
        <w:tc>
          <w:tcPr>
            <w:tcW w:w="1440" w:type="dxa"/>
            <w:vMerge w:val="restart"/>
            <w:shd w:val="clear" w:color="auto" w:fill="auto"/>
          </w:tcPr>
          <w:p w14:paraId="229C895B" w14:textId="22BA57B6" w:rsidR="00A656C1" w:rsidRPr="00EB31F2" w:rsidRDefault="00A656C1">
            <w:pPr>
              <w:keepNext/>
              <w:rPr>
                <w:rFonts w:ascii="Arial Narrow" w:hAnsi="Arial Narrow" w:cstheme="minorHAnsi"/>
                <w:sz w:val="20"/>
                <w:szCs w:val="20"/>
              </w:rPr>
            </w:pPr>
            <w:r w:rsidRPr="00EB31F2">
              <w:rPr>
                <w:rFonts w:ascii="Arial Narrow" w:hAnsi="Arial Narrow" w:cstheme="minorHAnsi"/>
                <w:sz w:val="20"/>
                <w:szCs w:val="20"/>
              </w:rPr>
              <w:t>N/A</w:t>
            </w:r>
          </w:p>
        </w:tc>
        <w:tc>
          <w:tcPr>
            <w:tcW w:w="4821" w:type="dxa"/>
            <w:shd w:val="clear" w:color="auto" w:fill="auto"/>
          </w:tcPr>
          <w:p w14:paraId="6CA631AD" w14:textId="3717939E" w:rsidR="00A656C1" w:rsidRPr="00EB31F2" w:rsidRDefault="00A656C1">
            <w:pPr>
              <w:keepNext/>
              <w:rPr>
                <w:rFonts w:ascii="Arial Narrow" w:hAnsi="Arial Narrow" w:cstheme="minorHAnsi"/>
                <w:sz w:val="20"/>
                <w:szCs w:val="20"/>
              </w:rPr>
            </w:pPr>
            <w:r w:rsidRPr="00EB31F2">
              <w:rPr>
                <w:rFonts w:ascii="Arial Narrow" w:hAnsi="Arial Narrow" w:cstheme="minorHAnsi"/>
                <w:sz w:val="20"/>
                <w:szCs w:val="20"/>
              </w:rPr>
              <w:t>The PBAC did not recommend an amendment to the authority requirements for benralizumab or mepolizumab for SEA at this time, given that the market is not yet stable.</w:t>
            </w:r>
          </w:p>
        </w:tc>
      </w:tr>
      <w:tr w:rsidR="00A656C1" w:rsidRPr="00EB31F2" w14:paraId="6597A328" w14:textId="77777777" w:rsidTr="00F27F09">
        <w:tc>
          <w:tcPr>
            <w:tcW w:w="1315" w:type="dxa"/>
            <w:vMerge/>
            <w:shd w:val="clear" w:color="auto" w:fill="auto"/>
          </w:tcPr>
          <w:p w14:paraId="4F18B5BF" w14:textId="77777777" w:rsidR="00A656C1" w:rsidRPr="00EB31F2" w:rsidRDefault="00A656C1" w:rsidP="00A75324">
            <w:pPr>
              <w:keepNext/>
              <w:jc w:val="left"/>
              <w:rPr>
                <w:rFonts w:ascii="Arial Narrow" w:hAnsi="Arial Narrow" w:cstheme="minorHAnsi"/>
                <w:sz w:val="20"/>
                <w:szCs w:val="20"/>
              </w:rPr>
            </w:pPr>
          </w:p>
        </w:tc>
        <w:tc>
          <w:tcPr>
            <w:tcW w:w="1440" w:type="dxa"/>
            <w:vMerge/>
            <w:shd w:val="clear" w:color="auto" w:fill="auto"/>
          </w:tcPr>
          <w:p w14:paraId="02014B8A" w14:textId="77777777" w:rsidR="00A656C1" w:rsidRPr="00EB31F2" w:rsidRDefault="00A656C1" w:rsidP="00A75324">
            <w:pPr>
              <w:keepNext/>
              <w:jc w:val="left"/>
              <w:rPr>
                <w:rFonts w:ascii="Arial Narrow" w:hAnsi="Arial Narrow" w:cstheme="minorHAnsi"/>
                <w:sz w:val="20"/>
                <w:szCs w:val="20"/>
              </w:rPr>
            </w:pPr>
          </w:p>
        </w:tc>
        <w:tc>
          <w:tcPr>
            <w:tcW w:w="1440" w:type="dxa"/>
            <w:vMerge/>
            <w:shd w:val="clear" w:color="auto" w:fill="auto"/>
          </w:tcPr>
          <w:p w14:paraId="5423CA2E" w14:textId="77777777" w:rsidR="00A656C1" w:rsidRPr="00EB31F2" w:rsidRDefault="00A656C1">
            <w:pPr>
              <w:keepNext/>
              <w:spacing w:after="120"/>
              <w:rPr>
                <w:rFonts w:ascii="Arial Narrow" w:hAnsi="Arial Narrow" w:cstheme="minorHAnsi"/>
                <w:sz w:val="20"/>
                <w:szCs w:val="20"/>
              </w:rPr>
            </w:pPr>
          </w:p>
        </w:tc>
        <w:tc>
          <w:tcPr>
            <w:tcW w:w="4821" w:type="dxa"/>
            <w:shd w:val="clear" w:color="auto" w:fill="auto"/>
          </w:tcPr>
          <w:p w14:paraId="06BB96DF" w14:textId="75B9A469" w:rsidR="00A656C1" w:rsidRPr="00EB31F2" w:rsidRDefault="00A656C1" w:rsidP="00A656C1">
            <w:pPr>
              <w:keepNext/>
              <w:rPr>
                <w:rFonts w:ascii="Arial Narrow" w:hAnsi="Arial Narrow" w:cstheme="minorHAnsi"/>
                <w:sz w:val="20"/>
                <w:szCs w:val="20"/>
              </w:rPr>
            </w:pPr>
            <w:r w:rsidRPr="00EB31F2">
              <w:rPr>
                <w:rFonts w:ascii="Arial Narrow" w:hAnsi="Arial Narrow" w:cstheme="minorHAnsi"/>
                <w:sz w:val="20"/>
                <w:szCs w:val="20"/>
              </w:rPr>
              <w:t>The PBAC recommended that the authority requirements for continuing treatment with omalizumab for SAA be amended from Authority Required (Written) to Authority Required (Telephone/</w:t>
            </w:r>
            <w:r w:rsidR="009502A9" w:rsidRPr="00EB31F2">
              <w:rPr>
                <w:rFonts w:ascii="Arial Narrow" w:hAnsi="Arial Narrow" w:cstheme="minorHAnsi"/>
                <w:sz w:val="20"/>
                <w:szCs w:val="20"/>
              </w:rPr>
              <w:t>Online</w:t>
            </w:r>
            <w:r w:rsidRPr="00EB31F2">
              <w:rPr>
                <w:rFonts w:ascii="Arial Narrow" w:hAnsi="Arial Narrow" w:cstheme="minorHAnsi"/>
                <w:sz w:val="20"/>
                <w:szCs w:val="20"/>
              </w:rPr>
              <w:t xml:space="preserve">) to ease administrative burden for prescribers and for consistency with the continuing authority requirements for omalizumab for CSU. </w:t>
            </w:r>
          </w:p>
        </w:tc>
      </w:tr>
      <w:tr w:rsidR="004D38B3" w:rsidRPr="00EB31F2" w14:paraId="3965E420" w14:textId="77777777" w:rsidTr="00E06FEA">
        <w:tc>
          <w:tcPr>
            <w:tcW w:w="1315" w:type="dxa"/>
          </w:tcPr>
          <w:p w14:paraId="511CD48B" w14:textId="1AE44226" w:rsidR="004D38B3" w:rsidRPr="00EB31F2" w:rsidRDefault="004D38B3" w:rsidP="00A75324">
            <w:pPr>
              <w:keepNext/>
              <w:jc w:val="left"/>
              <w:rPr>
                <w:rFonts w:ascii="Arial Narrow" w:hAnsi="Arial Narrow" w:cstheme="minorHAnsi"/>
                <w:sz w:val="20"/>
                <w:szCs w:val="20"/>
              </w:rPr>
            </w:pPr>
            <w:r w:rsidRPr="00EB31F2">
              <w:rPr>
                <w:rFonts w:ascii="Arial Narrow" w:hAnsi="Arial Narrow" w:cstheme="minorHAnsi"/>
                <w:sz w:val="20"/>
                <w:szCs w:val="20"/>
              </w:rPr>
              <w:t>November 2022</w:t>
            </w:r>
          </w:p>
        </w:tc>
        <w:tc>
          <w:tcPr>
            <w:tcW w:w="1440" w:type="dxa"/>
          </w:tcPr>
          <w:p w14:paraId="5A12C2F8" w14:textId="6B693F44" w:rsidR="004D38B3" w:rsidRPr="00EB31F2" w:rsidRDefault="004D38B3" w:rsidP="00A75324">
            <w:pPr>
              <w:keepNext/>
              <w:jc w:val="left"/>
              <w:rPr>
                <w:rFonts w:ascii="Arial Narrow" w:hAnsi="Arial Narrow" w:cstheme="minorHAnsi"/>
                <w:sz w:val="20"/>
                <w:szCs w:val="20"/>
              </w:rPr>
            </w:pPr>
            <w:r w:rsidRPr="00EB31F2">
              <w:rPr>
                <w:rFonts w:ascii="Arial Narrow" w:hAnsi="Arial Narrow" w:cstheme="minorHAnsi"/>
                <w:sz w:val="20"/>
                <w:szCs w:val="20"/>
              </w:rPr>
              <w:t>7.04 mepolizumab CRSwNP</w:t>
            </w:r>
          </w:p>
        </w:tc>
        <w:tc>
          <w:tcPr>
            <w:tcW w:w="1440" w:type="dxa"/>
          </w:tcPr>
          <w:p w14:paraId="10E31CBA" w14:textId="4356B3A0" w:rsidR="004D38B3" w:rsidRPr="00EB31F2" w:rsidRDefault="004D38B3" w:rsidP="00C04821">
            <w:pPr>
              <w:keepNext/>
              <w:rPr>
                <w:rFonts w:ascii="Arial Narrow" w:hAnsi="Arial Narrow" w:cstheme="minorHAnsi"/>
                <w:sz w:val="20"/>
                <w:szCs w:val="20"/>
              </w:rPr>
            </w:pPr>
            <w:r w:rsidRPr="00EB31F2">
              <w:rPr>
                <w:rFonts w:ascii="Arial Narrow" w:hAnsi="Arial Narrow" w:cstheme="minorHAnsi"/>
                <w:sz w:val="20"/>
                <w:szCs w:val="20"/>
              </w:rPr>
              <w:t>Anti-IL5</w:t>
            </w:r>
          </w:p>
        </w:tc>
        <w:tc>
          <w:tcPr>
            <w:tcW w:w="4821" w:type="dxa"/>
          </w:tcPr>
          <w:p w14:paraId="1CCE8235" w14:textId="7C101ADA" w:rsidR="004D38B3" w:rsidRPr="00EB31F2" w:rsidRDefault="004D38B3" w:rsidP="00C04821">
            <w:pPr>
              <w:keepNext/>
              <w:rPr>
                <w:rFonts w:ascii="Arial Narrow" w:hAnsi="Arial Narrow" w:cstheme="minorHAnsi"/>
                <w:sz w:val="20"/>
                <w:szCs w:val="20"/>
              </w:rPr>
            </w:pPr>
            <w:bookmarkStart w:id="4" w:name="_Hlk169508389"/>
            <w:r w:rsidRPr="00EB31F2">
              <w:rPr>
                <w:rFonts w:ascii="Arial Narrow" w:hAnsi="Arial Narrow" w:cstheme="minorHAnsi"/>
                <w:sz w:val="20"/>
                <w:szCs w:val="20"/>
              </w:rPr>
              <w:t xml:space="preserve">The PBAC recommended the Authority Required listing of mepolizumab for the treatment of CRSwNP, on the basis that it should be available only under special arrangements under Section 100 (HSD) program. </w:t>
            </w:r>
            <w:bookmarkEnd w:id="4"/>
          </w:p>
        </w:tc>
      </w:tr>
    </w:tbl>
    <w:p w14:paraId="055B2492" w14:textId="41209A31" w:rsidR="00EC511C" w:rsidRPr="00EB31F2" w:rsidRDefault="00EC511C" w:rsidP="00A61BF3">
      <w:pPr>
        <w:pStyle w:val="4Bodytextnumbered"/>
        <w:tabs>
          <w:tab w:val="clear" w:pos="360"/>
        </w:tabs>
        <w:ind w:left="0"/>
        <w:rPr>
          <w:rFonts w:ascii="Arial Narrow" w:hAnsi="Arial Narrow"/>
          <w:sz w:val="18"/>
          <w:szCs w:val="18"/>
          <w:lang w:eastAsia="en-AU"/>
        </w:rPr>
      </w:pPr>
      <w:r w:rsidRPr="00EB31F2">
        <w:rPr>
          <w:rFonts w:ascii="Arial Narrow" w:hAnsi="Arial Narrow"/>
          <w:sz w:val="18"/>
          <w:szCs w:val="18"/>
          <w:lang w:eastAsia="en-AU"/>
        </w:rPr>
        <w:t xml:space="preserve">Abbreviations: </w:t>
      </w:r>
      <w:r w:rsidR="00094764" w:rsidRPr="00EB31F2">
        <w:rPr>
          <w:rFonts w:ascii="Arial Narrow" w:hAnsi="Arial Narrow" w:cstheme="minorHAnsi"/>
          <w:sz w:val="18"/>
          <w:szCs w:val="18"/>
        </w:rPr>
        <w:t>CRSwNP</w:t>
      </w:r>
      <w:r w:rsidR="00094764" w:rsidRPr="00EB31F2">
        <w:rPr>
          <w:rFonts w:ascii="Arial Narrow" w:hAnsi="Arial Narrow"/>
          <w:sz w:val="18"/>
          <w:szCs w:val="18"/>
          <w:lang w:eastAsia="en-AU"/>
        </w:rPr>
        <w:t xml:space="preserve"> chronic rhinosinusitis with nasal polyps</w:t>
      </w:r>
      <w:r w:rsidR="00094764">
        <w:rPr>
          <w:rFonts w:ascii="Arial Narrow" w:hAnsi="Arial Narrow"/>
          <w:sz w:val="18"/>
          <w:szCs w:val="18"/>
          <w:lang w:eastAsia="en-AU"/>
        </w:rPr>
        <w:t xml:space="preserve">; </w:t>
      </w:r>
      <w:r w:rsidR="00094764" w:rsidRPr="00EB31F2">
        <w:rPr>
          <w:rFonts w:ascii="Arial Narrow" w:hAnsi="Arial Narrow"/>
          <w:sz w:val="18"/>
          <w:szCs w:val="18"/>
          <w:lang w:eastAsia="en-AU"/>
        </w:rPr>
        <w:t>CSU chronic spontaneous urticaria</w:t>
      </w:r>
      <w:r w:rsidR="00094764">
        <w:rPr>
          <w:rFonts w:ascii="Arial Narrow" w:hAnsi="Arial Narrow"/>
          <w:sz w:val="18"/>
          <w:szCs w:val="18"/>
          <w:lang w:eastAsia="en-AU"/>
        </w:rPr>
        <w:t>; DUSC drug utilisation sub-committee;</w:t>
      </w:r>
      <w:r w:rsidR="00094764" w:rsidRPr="00EB31F2">
        <w:rPr>
          <w:rFonts w:ascii="Arial Narrow" w:hAnsi="Arial Narrow"/>
          <w:sz w:val="18"/>
          <w:szCs w:val="18"/>
          <w:lang w:eastAsia="en-AU"/>
        </w:rPr>
        <w:t xml:space="preserve"> </w:t>
      </w:r>
      <w:r w:rsidR="00335E19" w:rsidRPr="00EB31F2">
        <w:rPr>
          <w:rFonts w:ascii="Arial Narrow" w:hAnsi="Arial Narrow"/>
          <w:sz w:val="18"/>
          <w:szCs w:val="18"/>
          <w:lang w:eastAsia="en-AU"/>
        </w:rPr>
        <w:t xml:space="preserve">HSD highly specialised drugs; </w:t>
      </w:r>
      <w:r w:rsidRPr="00EB31F2">
        <w:rPr>
          <w:rFonts w:ascii="Arial Narrow" w:hAnsi="Arial Narrow"/>
          <w:sz w:val="18"/>
          <w:szCs w:val="18"/>
          <w:lang w:eastAsia="en-AU"/>
        </w:rPr>
        <w:t xml:space="preserve">OOS out-of-session; PBAC pharmaceutical benefits advisory committee; SAA severe allergic asthma; SEA severe eosinophilic </w:t>
      </w:r>
      <w:r w:rsidR="00B166BA" w:rsidRPr="00EB31F2">
        <w:rPr>
          <w:rFonts w:ascii="Arial Narrow" w:hAnsi="Arial Narrow"/>
          <w:sz w:val="18"/>
          <w:szCs w:val="18"/>
          <w:lang w:eastAsia="en-AU"/>
        </w:rPr>
        <w:t>asthma.</w:t>
      </w:r>
      <w:r w:rsidR="00AE2E99" w:rsidRPr="00EB31F2">
        <w:rPr>
          <w:rFonts w:ascii="Arial Narrow" w:hAnsi="Arial Narrow"/>
          <w:sz w:val="18"/>
          <w:szCs w:val="18"/>
          <w:lang w:eastAsia="en-AU"/>
        </w:rPr>
        <w:t xml:space="preserve"> </w:t>
      </w:r>
    </w:p>
    <w:p w14:paraId="1B8790B6" w14:textId="77777777" w:rsidR="00964A9F" w:rsidRPr="00EB31F2" w:rsidRDefault="00964A9F" w:rsidP="00A61BF3">
      <w:pPr>
        <w:pStyle w:val="2-SectionHeading"/>
      </w:pPr>
      <w:r w:rsidRPr="00EB31F2">
        <w:lastRenderedPageBreak/>
        <w:t xml:space="preserve">Requested listing </w:t>
      </w:r>
    </w:p>
    <w:p w14:paraId="4BC46289" w14:textId="729307DD" w:rsidR="0025517E" w:rsidRPr="00EB31F2" w:rsidRDefault="00964A9F" w:rsidP="00A61BF3">
      <w:pPr>
        <w:pStyle w:val="3Bodytext"/>
        <w:keepNext/>
        <w:rPr>
          <w:rFonts w:cstheme="minorHAnsi"/>
          <w:u w:val="single"/>
        </w:rPr>
      </w:pPr>
      <w:r w:rsidRPr="00EB31F2">
        <w:t>The submission requested the following changes to the existing listing</w:t>
      </w:r>
      <w:r w:rsidR="00597D6C">
        <w:t xml:space="preserve"> </w:t>
      </w:r>
      <w:r w:rsidR="00597D6C" w:rsidRPr="00EB31F2">
        <w:rPr>
          <w:rFonts w:cstheme="minorHAnsi"/>
          <w:szCs w:val="24"/>
        </w:rPr>
        <w:t>for the treatment of uncontrolled severe asthma</w:t>
      </w:r>
      <w:r w:rsidR="00B825A1" w:rsidRPr="00EB31F2">
        <w:t xml:space="preserve">. </w:t>
      </w:r>
    </w:p>
    <w:p w14:paraId="3E725E2D" w14:textId="074DB925" w:rsidR="004A0AA0" w:rsidRPr="00EB31F2" w:rsidRDefault="00B825A1" w:rsidP="00A61BF3">
      <w:pPr>
        <w:pStyle w:val="3Bodytext"/>
        <w:keepNext/>
        <w:numPr>
          <w:ilvl w:val="0"/>
          <w:numId w:val="0"/>
        </w:numPr>
        <w:rPr>
          <w:rFonts w:cstheme="minorHAnsi"/>
          <w:b/>
          <w:bCs/>
          <w:u w:val="single"/>
        </w:rPr>
      </w:pPr>
      <w:r w:rsidRPr="00EB31F2">
        <w:rPr>
          <w:rFonts w:cstheme="minorHAnsi"/>
          <w:b/>
          <w:bCs/>
          <w:u w:val="single"/>
        </w:rPr>
        <w:t>Amendment of Authority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4A0AA0" w:rsidRPr="00EB31F2" w14:paraId="276D0695" w14:textId="77777777">
        <w:trPr>
          <w:cantSplit/>
          <w:trHeight w:val="20"/>
        </w:trPr>
        <w:tc>
          <w:tcPr>
            <w:tcW w:w="3939" w:type="dxa"/>
            <w:gridSpan w:val="2"/>
            <w:vAlign w:val="center"/>
          </w:tcPr>
          <w:p w14:paraId="4493B4AC" w14:textId="77777777" w:rsidR="004A0AA0" w:rsidRPr="00EB31F2" w:rsidRDefault="004A0AA0">
            <w:pPr>
              <w:keepLines/>
              <w:rPr>
                <w:rFonts w:ascii="Arial Narrow" w:hAnsi="Arial Narrow" w:cs="Arial"/>
                <w:b/>
                <w:bCs/>
                <w:sz w:val="20"/>
                <w:szCs w:val="20"/>
              </w:rPr>
            </w:pPr>
            <w:r w:rsidRPr="00EB31F2">
              <w:rPr>
                <w:rFonts w:ascii="Arial Narrow" w:hAnsi="Arial Narrow" w:cs="Arial"/>
                <w:b/>
                <w:bCs/>
                <w:sz w:val="20"/>
                <w:szCs w:val="20"/>
              </w:rPr>
              <w:t>MEDICINAL PRODUCT</w:t>
            </w:r>
          </w:p>
          <w:p w14:paraId="7186F988" w14:textId="77777777" w:rsidR="004A0AA0" w:rsidRPr="00EB31F2" w:rsidRDefault="004A0AA0">
            <w:pPr>
              <w:keepLines/>
              <w:rPr>
                <w:rFonts w:ascii="Arial Narrow" w:hAnsi="Arial Narrow" w:cs="Arial"/>
                <w:b/>
                <w:sz w:val="20"/>
                <w:szCs w:val="20"/>
              </w:rPr>
            </w:pPr>
            <w:r w:rsidRPr="00EB31F2">
              <w:rPr>
                <w:rFonts w:ascii="Arial Narrow" w:hAnsi="Arial Narrow" w:cs="Arial"/>
                <w:b/>
                <w:bCs/>
                <w:sz w:val="20"/>
                <w:szCs w:val="20"/>
              </w:rPr>
              <w:t>medicinal product pack</w:t>
            </w:r>
          </w:p>
        </w:tc>
        <w:tc>
          <w:tcPr>
            <w:tcW w:w="811" w:type="dxa"/>
            <w:vAlign w:val="center"/>
          </w:tcPr>
          <w:p w14:paraId="621FC872" w14:textId="77777777" w:rsidR="004A0AA0" w:rsidRPr="00EB31F2" w:rsidRDefault="004A0AA0">
            <w:pPr>
              <w:keepLines/>
              <w:jc w:val="center"/>
              <w:rPr>
                <w:rFonts w:ascii="Arial Narrow" w:hAnsi="Arial Narrow" w:cs="Arial"/>
                <w:b/>
                <w:sz w:val="20"/>
                <w:szCs w:val="20"/>
              </w:rPr>
            </w:pPr>
            <w:r w:rsidRPr="00EB31F2">
              <w:rPr>
                <w:rFonts w:ascii="Arial Narrow" w:hAnsi="Arial Narrow" w:cs="Arial"/>
                <w:b/>
                <w:sz w:val="20"/>
                <w:szCs w:val="20"/>
              </w:rPr>
              <w:t>PBS item code</w:t>
            </w:r>
          </w:p>
        </w:tc>
        <w:tc>
          <w:tcPr>
            <w:tcW w:w="812" w:type="dxa"/>
            <w:vAlign w:val="center"/>
          </w:tcPr>
          <w:p w14:paraId="7859A8EF" w14:textId="77777777" w:rsidR="004A0AA0" w:rsidRPr="00EB31F2" w:rsidRDefault="004A0AA0">
            <w:pPr>
              <w:keepLines/>
              <w:jc w:val="center"/>
              <w:rPr>
                <w:rFonts w:ascii="Arial Narrow" w:hAnsi="Arial Narrow" w:cs="Arial"/>
                <w:b/>
                <w:sz w:val="20"/>
                <w:szCs w:val="20"/>
              </w:rPr>
            </w:pPr>
            <w:r w:rsidRPr="00EB31F2">
              <w:rPr>
                <w:rFonts w:ascii="Arial Narrow" w:hAnsi="Arial Narrow" w:cs="Arial"/>
                <w:b/>
                <w:sz w:val="20"/>
                <w:szCs w:val="20"/>
              </w:rPr>
              <w:t>Max. qty packs</w:t>
            </w:r>
          </w:p>
        </w:tc>
        <w:tc>
          <w:tcPr>
            <w:tcW w:w="811" w:type="dxa"/>
            <w:vAlign w:val="center"/>
          </w:tcPr>
          <w:p w14:paraId="22B2CBC4" w14:textId="77777777" w:rsidR="004A0AA0" w:rsidRPr="00EB31F2" w:rsidRDefault="004A0AA0">
            <w:pPr>
              <w:keepLines/>
              <w:jc w:val="center"/>
              <w:rPr>
                <w:rFonts w:ascii="Arial Narrow" w:hAnsi="Arial Narrow" w:cs="Arial"/>
                <w:b/>
                <w:sz w:val="20"/>
                <w:szCs w:val="20"/>
              </w:rPr>
            </w:pPr>
            <w:r w:rsidRPr="00EB31F2">
              <w:rPr>
                <w:rFonts w:ascii="Arial Narrow" w:hAnsi="Arial Narrow" w:cs="Arial"/>
                <w:b/>
                <w:sz w:val="20"/>
                <w:szCs w:val="20"/>
              </w:rPr>
              <w:t>Max. qty units</w:t>
            </w:r>
          </w:p>
        </w:tc>
        <w:tc>
          <w:tcPr>
            <w:tcW w:w="812" w:type="dxa"/>
            <w:vAlign w:val="center"/>
          </w:tcPr>
          <w:p w14:paraId="403FEA41" w14:textId="23BE4434" w:rsidR="004A0AA0" w:rsidRPr="00EB31F2" w:rsidRDefault="00B166BA">
            <w:pPr>
              <w:keepLines/>
              <w:jc w:val="center"/>
              <w:rPr>
                <w:rFonts w:ascii="Arial Narrow" w:hAnsi="Arial Narrow" w:cs="Arial"/>
                <w:b/>
                <w:sz w:val="20"/>
                <w:szCs w:val="20"/>
              </w:rPr>
            </w:pPr>
            <w:r w:rsidRPr="00EB31F2">
              <w:rPr>
                <w:rFonts w:ascii="Arial Narrow" w:hAnsi="Arial Narrow" w:cs="Arial"/>
                <w:b/>
                <w:sz w:val="20"/>
                <w:szCs w:val="20"/>
              </w:rPr>
              <w:t>№. of</w:t>
            </w:r>
          </w:p>
          <w:p w14:paraId="6F0AA776" w14:textId="77777777" w:rsidR="004A0AA0" w:rsidRPr="00EB31F2" w:rsidRDefault="004A0AA0">
            <w:pPr>
              <w:keepLines/>
              <w:jc w:val="center"/>
              <w:rPr>
                <w:rFonts w:ascii="Arial Narrow" w:hAnsi="Arial Narrow" w:cs="Arial"/>
                <w:b/>
                <w:sz w:val="20"/>
                <w:szCs w:val="20"/>
              </w:rPr>
            </w:pPr>
            <w:r w:rsidRPr="00EB31F2">
              <w:rPr>
                <w:rFonts w:ascii="Arial Narrow" w:hAnsi="Arial Narrow" w:cs="Arial"/>
                <w:b/>
                <w:sz w:val="20"/>
                <w:szCs w:val="20"/>
              </w:rPr>
              <w:t>Rpts</w:t>
            </w:r>
          </w:p>
        </w:tc>
        <w:tc>
          <w:tcPr>
            <w:tcW w:w="1831" w:type="dxa"/>
            <w:vAlign w:val="center"/>
          </w:tcPr>
          <w:p w14:paraId="06C750A2" w14:textId="77777777" w:rsidR="004A0AA0" w:rsidRPr="00EB31F2" w:rsidRDefault="004A0AA0">
            <w:pPr>
              <w:keepLines/>
              <w:rPr>
                <w:rFonts w:ascii="Arial Narrow" w:hAnsi="Arial Narrow" w:cs="Arial"/>
                <w:b/>
                <w:sz w:val="20"/>
                <w:szCs w:val="20"/>
              </w:rPr>
            </w:pPr>
            <w:r w:rsidRPr="00EB31F2">
              <w:rPr>
                <w:rFonts w:ascii="Arial Narrow" w:hAnsi="Arial Narrow" w:cs="Arial"/>
                <w:b/>
                <w:sz w:val="20"/>
                <w:szCs w:val="20"/>
              </w:rPr>
              <w:t>Available brands</w:t>
            </w:r>
          </w:p>
        </w:tc>
      </w:tr>
      <w:tr w:rsidR="004A0AA0" w:rsidRPr="00EB31F2" w14:paraId="19FCFE4C" w14:textId="77777777">
        <w:trPr>
          <w:cantSplit/>
          <w:trHeight w:val="20"/>
        </w:trPr>
        <w:tc>
          <w:tcPr>
            <w:tcW w:w="9016" w:type="dxa"/>
            <w:gridSpan w:val="7"/>
            <w:vAlign w:val="center"/>
          </w:tcPr>
          <w:p w14:paraId="1CA250A8" w14:textId="72E5E18D" w:rsidR="004A0AA0" w:rsidRPr="00EB31F2" w:rsidRDefault="004A0AA0">
            <w:pPr>
              <w:keepLines/>
              <w:rPr>
                <w:rFonts w:ascii="Arial Narrow" w:hAnsi="Arial Narrow" w:cs="Arial"/>
                <w:sz w:val="20"/>
                <w:szCs w:val="20"/>
              </w:rPr>
            </w:pPr>
            <w:r w:rsidRPr="00EB31F2">
              <w:rPr>
                <w:rFonts w:ascii="Arial Narrow" w:hAnsi="Arial Narrow" w:cs="Arial"/>
                <w:sz w:val="20"/>
                <w:szCs w:val="20"/>
              </w:rPr>
              <w:t>MEPOLIZUMAB</w:t>
            </w:r>
          </w:p>
        </w:tc>
      </w:tr>
      <w:tr w:rsidR="00357FF2" w:rsidRPr="00EB31F2" w14:paraId="102C4FED" w14:textId="77777777">
        <w:trPr>
          <w:cantSplit/>
          <w:trHeight w:val="20"/>
        </w:trPr>
        <w:tc>
          <w:tcPr>
            <w:tcW w:w="3939" w:type="dxa"/>
            <w:gridSpan w:val="2"/>
            <w:vMerge w:val="restart"/>
            <w:vAlign w:val="center"/>
          </w:tcPr>
          <w:p w14:paraId="19B4651B" w14:textId="7C42CC4C" w:rsidR="00357FF2" w:rsidRPr="00EB31F2" w:rsidRDefault="00357FF2">
            <w:pPr>
              <w:keepLines/>
              <w:rPr>
                <w:rFonts w:ascii="Arial Narrow" w:hAnsi="Arial Narrow" w:cs="Arial"/>
                <w:sz w:val="20"/>
                <w:szCs w:val="20"/>
              </w:rPr>
            </w:pPr>
            <w:r w:rsidRPr="00EB31F2">
              <w:rPr>
                <w:rFonts w:ascii="Arial Narrow" w:hAnsi="Arial Narrow" w:cs="Arial"/>
                <w:sz w:val="20"/>
                <w:szCs w:val="20"/>
              </w:rPr>
              <w:t>mepolizumab 100 mg injection, 1 vial</w:t>
            </w:r>
          </w:p>
        </w:tc>
        <w:tc>
          <w:tcPr>
            <w:tcW w:w="811" w:type="dxa"/>
            <w:vAlign w:val="center"/>
          </w:tcPr>
          <w:p w14:paraId="389778D4" w14:textId="184BF19D" w:rsidR="00357FF2" w:rsidRPr="00EB31F2" w:rsidRDefault="00357FF2">
            <w:pPr>
              <w:keepLines/>
              <w:jc w:val="center"/>
              <w:rPr>
                <w:rFonts w:ascii="Arial Narrow" w:hAnsi="Arial Narrow" w:cs="Arial"/>
                <w:sz w:val="20"/>
                <w:szCs w:val="20"/>
              </w:rPr>
            </w:pPr>
            <w:r w:rsidRPr="00EB31F2">
              <w:rPr>
                <w:rFonts w:ascii="Arial Narrow" w:hAnsi="Arial Narrow" w:cs="Arial"/>
                <w:sz w:val="20"/>
                <w:szCs w:val="20"/>
              </w:rPr>
              <w:t>10966R</w:t>
            </w:r>
          </w:p>
        </w:tc>
        <w:tc>
          <w:tcPr>
            <w:tcW w:w="812" w:type="dxa"/>
            <w:vMerge w:val="restart"/>
            <w:vAlign w:val="center"/>
          </w:tcPr>
          <w:p w14:paraId="26032373" w14:textId="549D46EB" w:rsidR="00357FF2" w:rsidRPr="00EB31F2" w:rsidRDefault="00357FF2" w:rsidP="00357FF2">
            <w:pPr>
              <w:keepLines/>
              <w:jc w:val="center"/>
              <w:rPr>
                <w:rFonts w:ascii="Arial Narrow" w:hAnsi="Arial Narrow" w:cs="Arial"/>
                <w:sz w:val="20"/>
                <w:szCs w:val="20"/>
              </w:rPr>
            </w:pPr>
            <w:r w:rsidRPr="00EB31F2">
              <w:rPr>
                <w:rFonts w:ascii="Arial Narrow" w:hAnsi="Arial Narrow" w:cs="Arial"/>
                <w:sz w:val="20"/>
                <w:szCs w:val="20"/>
              </w:rPr>
              <w:t>1</w:t>
            </w:r>
          </w:p>
        </w:tc>
        <w:tc>
          <w:tcPr>
            <w:tcW w:w="811" w:type="dxa"/>
            <w:vMerge w:val="restart"/>
            <w:vAlign w:val="center"/>
          </w:tcPr>
          <w:p w14:paraId="6173C2B9" w14:textId="167C663D" w:rsidR="00357FF2" w:rsidRPr="00EB31F2" w:rsidRDefault="00357FF2">
            <w:pPr>
              <w:keepLines/>
              <w:jc w:val="center"/>
              <w:rPr>
                <w:rFonts w:ascii="Arial Narrow" w:hAnsi="Arial Narrow" w:cs="Arial"/>
                <w:sz w:val="20"/>
                <w:szCs w:val="20"/>
              </w:rPr>
            </w:pPr>
            <w:r w:rsidRPr="00EB31F2">
              <w:rPr>
                <w:rFonts w:ascii="Arial Narrow" w:hAnsi="Arial Narrow" w:cs="Arial"/>
                <w:sz w:val="20"/>
                <w:szCs w:val="20"/>
              </w:rPr>
              <w:t>1</w:t>
            </w:r>
          </w:p>
        </w:tc>
        <w:tc>
          <w:tcPr>
            <w:tcW w:w="812" w:type="dxa"/>
            <w:vMerge w:val="restart"/>
            <w:vAlign w:val="center"/>
          </w:tcPr>
          <w:p w14:paraId="31022C24" w14:textId="49B6275A" w:rsidR="00357FF2" w:rsidRPr="00EB31F2" w:rsidRDefault="00357FF2">
            <w:pPr>
              <w:keepLines/>
              <w:jc w:val="center"/>
              <w:rPr>
                <w:rFonts w:ascii="Arial Narrow" w:hAnsi="Arial Narrow" w:cs="Arial"/>
                <w:sz w:val="20"/>
                <w:szCs w:val="20"/>
              </w:rPr>
            </w:pPr>
            <w:r w:rsidRPr="00EB31F2">
              <w:rPr>
                <w:rFonts w:ascii="Arial Narrow" w:hAnsi="Arial Narrow" w:cs="Arial"/>
                <w:sz w:val="20"/>
                <w:szCs w:val="20"/>
              </w:rPr>
              <w:t>7</w:t>
            </w:r>
          </w:p>
        </w:tc>
        <w:tc>
          <w:tcPr>
            <w:tcW w:w="1831" w:type="dxa"/>
            <w:vMerge w:val="restart"/>
            <w:vAlign w:val="center"/>
          </w:tcPr>
          <w:p w14:paraId="3B64415D" w14:textId="2D321A57" w:rsidR="00357FF2" w:rsidRPr="00EB31F2" w:rsidRDefault="00357FF2">
            <w:pPr>
              <w:keepLines/>
              <w:rPr>
                <w:rFonts w:ascii="Arial Narrow" w:hAnsi="Arial Narrow" w:cs="Arial"/>
                <w:sz w:val="20"/>
                <w:szCs w:val="20"/>
              </w:rPr>
            </w:pPr>
            <w:r w:rsidRPr="00EB31F2">
              <w:rPr>
                <w:rFonts w:ascii="Arial Narrow" w:hAnsi="Arial Narrow" w:cs="Arial"/>
                <w:sz w:val="20"/>
                <w:szCs w:val="20"/>
              </w:rPr>
              <w:t>Nucala</w:t>
            </w:r>
          </w:p>
        </w:tc>
      </w:tr>
      <w:tr w:rsidR="00357FF2" w:rsidRPr="00EB31F2" w14:paraId="735E85CF" w14:textId="77777777">
        <w:trPr>
          <w:cantSplit/>
          <w:trHeight w:val="20"/>
        </w:trPr>
        <w:tc>
          <w:tcPr>
            <w:tcW w:w="3939" w:type="dxa"/>
            <w:gridSpan w:val="2"/>
            <w:vMerge/>
            <w:vAlign w:val="center"/>
          </w:tcPr>
          <w:p w14:paraId="727B1129" w14:textId="77777777" w:rsidR="00357FF2" w:rsidRPr="00EB31F2" w:rsidRDefault="00357FF2">
            <w:pPr>
              <w:keepLines/>
              <w:rPr>
                <w:rFonts w:ascii="Arial Narrow" w:hAnsi="Arial Narrow" w:cs="Arial"/>
                <w:sz w:val="20"/>
                <w:szCs w:val="20"/>
              </w:rPr>
            </w:pPr>
          </w:p>
        </w:tc>
        <w:tc>
          <w:tcPr>
            <w:tcW w:w="811" w:type="dxa"/>
            <w:vAlign w:val="center"/>
          </w:tcPr>
          <w:p w14:paraId="764E4535" w14:textId="7EB75CB5" w:rsidR="00357FF2" w:rsidRPr="00EB31F2" w:rsidRDefault="00357FF2">
            <w:pPr>
              <w:keepLines/>
              <w:jc w:val="center"/>
              <w:rPr>
                <w:rFonts w:ascii="Arial Narrow" w:hAnsi="Arial Narrow" w:cs="Arial"/>
                <w:sz w:val="20"/>
                <w:szCs w:val="20"/>
              </w:rPr>
            </w:pPr>
            <w:r w:rsidRPr="00EB31F2">
              <w:rPr>
                <w:rFonts w:ascii="Arial Narrow" w:hAnsi="Arial Narrow" w:cs="Arial"/>
                <w:sz w:val="20"/>
                <w:szCs w:val="20"/>
              </w:rPr>
              <w:t>11003D</w:t>
            </w:r>
          </w:p>
        </w:tc>
        <w:tc>
          <w:tcPr>
            <w:tcW w:w="812" w:type="dxa"/>
            <w:vMerge/>
            <w:vAlign w:val="center"/>
          </w:tcPr>
          <w:p w14:paraId="33C1F113" w14:textId="4533BDB2" w:rsidR="00357FF2" w:rsidRPr="00EB31F2" w:rsidRDefault="00357FF2">
            <w:pPr>
              <w:keepLines/>
              <w:jc w:val="center"/>
              <w:rPr>
                <w:rFonts w:ascii="Arial Narrow" w:hAnsi="Arial Narrow" w:cs="Arial"/>
                <w:sz w:val="20"/>
                <w:szCs w:val="20"/>
              </w:rPr>
            </w:pPr>
          </w:p>
        </w:tc>
        <w:tc>
          <w:tcPr>
            <w:tcW w:w="811" w:type="dxa"/>
            <w:vMerge/>
            <w:vAlign w:val="center"/>
          </w:tcPr>
          <w:p w14:paraId="324A3241" w14:textId="77777777" w:rsidR="00357FF2" w:rsidRPr="00EB31F2" w:rsidRDefault="00357FF2">
            <w:pPr>
              <w:keepLines/>
              <w:jc w:val="center"/>
              <w:rPr>
                <w:rFonts w:ascii="Arial Narrow" w:hAnsi="Arial Narrow" w:cs="Arial"/>
                <w:sz w:val="20"/>
                <w:szCs w:val="20"/>
              </w:rPr>
            </w:pPr>
          </w:p>
        </w:tc>
        <w:tc>
          <w:tcPr>
            <w:tcW w:w="812" w:type="dxa"/>
            <w:vMerge/>
            <w:vAlign w:val="center"/>
          </w:tcPr>
          <w:p w14:paraId="6376C4F9" w14:textId="77777777" w:rsidR="00357FF2" w:rsidRPr="00EB31F2" w:rsidRDefault="00357FF2">
            <w:pPr>
              <w:keepLines/>
              <w:jc w:val="center"/>
              <w:rPr>
                <w:rFonts w:ascii="Arial Narrow" w:hAnsi="Arial Narrow" w:cs="Arial"/>
                <w:sz w:val="20"/>
                <w:szCs w:val="20"/>
              </w:rPr>
            </w:pPr>
          </w:p>
        </w:tc>
        <w:tc>
          <w:tcPr>
            <w:tcW w:w="1831" w:type="dxa"/>
            <w:vMerge/>
            <w:vAlign w:val="center"/>
          </w:tcPr>
          <w:p w14:paraId="5E6F6ABC" w14:textId="0F639314" w:rsidR="00357FF2" w:rsidRPr="00EB31F2" w:rsidRDefault="00357FF2">
            <w:pPr>
              <w:keepLines/>
              <w:rPr>
                <w:rFonts w:ascii="Arial Narrow" w:hAnsi="Arial Narrow" w:cs="Arial"/>
                <w:sz w:val="20"/>
                <w:szCs w:val="20"/>
              </w:rPr>
            </w:pPr>
          </w:p>
        </w:tc>
      </w:tr>
      <w:tr w:rsidR="00357FF2" w:rsidRPr="00EB31F2" w14:paraId="7CFE9D08" w14:textId="77777777">
        <w:trPr>
          <w:cantSplit/>
          <w:trHeight w:val="20"/>
        </w:trPr>
        <w:tc>
          <w:tcPr>
            <w:tcW w:w="3939" w:type="dxa"/>
            <w:gridSpan w:val="2"/>
            <w:vMerge w:val="restart"/>
            <w:vAlign w:val="center"/>
          </w:tcPr>
          <w:p w14:paraId="0F02E0FC" w14:textId="00C00DC8" w:rsidR="00357FF2" w:rsidRPr="00EB31F2" w:rsidRDefault="00357FF2">
            <w:pPr>
              <w:keepLines/>
              <w:rPr>
                <w:rFonts w:ascii="Arial Narrow" w:hAnsi="Arial Narrow" w:cs="Arial"/>
                <w:sz w:val="20"/>
                <w:szCs w:val="20"/>
              </w:rPr>
            </w:pPr>
            <w:r w:rsidRPr="00EB31F2">
              <w:rPr>
                <w:rFonts w:ascii="Arial Narrow" w:hAnsi="Arial Narrow" w:cs="Arial"/>
                <w:sz w:val="20"/>
                <w:szCs w:val="20"/>
              </w:rPr>
              <w:t>mepolizumab 100 mg/mL injection, 1 mL pen device</w:t>
            </w:r>
          </w:p>
        </w:tc>
        <w:tc>
          <w:tcPr>
            <w:tcW w:w="811" w:type="dxa"/>
            <w:vAlign w:val="center"/>
          </w:tcPr>
          <w:p w14:paraId="7C7DEBA0" w14:textId="18D057E8" w:rsidR="00357FF2" w:rsidRPr="00EB31F2" w:rsidRDefault="00357FF2">
            <w:pPr>
              <w:keepLines/>
              <w:jc w:val="center"/>
              <w:rPr>
                <w:rFonts w:ascii="Arial Narrow" w:hAnsi="Arial Narrow" w:cs="Arial"/>
                <w:sz w:val="20"/>
                <w:szCs w:val="20"/>
              </w:rPr>
            </w:pPr>
            <w:r w:rsidRPr="00EB31F2">
              <w:rPr>
                <w:rFonts w:ascii="Arial Narrow" w:hAnsi="Arial Narrow" w:cs="Arial"/>
                <w:sz w:val="20"/>
                <w:szCs w:val="20"/>
              </w:rPr>
              <w:t>12007Y</w:t>
            </w:r>
          </w:p>
        </w:tc>
        <w:tc>
          <w:tcPr>
            <w:tcW w:w="812" w:type="dxa"/>
            <w:vMerge/>
            <w:vAlign w:val="center"/>
          </w:tcPr>
          <w:p w14:paraId="05C54F4A" w14:textId="2DB5861C" w:rsidR="00357FF2" w:rsidRPr="00EB31F2" w:rsidRDefault="00357FF2">
            <w:pPr>
              <w:keepLines/>
              <w:jc w:val="center"/>
              <w:rPr>
                <w:rFonts w:ascii="Arial Narrow" w:hAnsi="Arial Narrow" w:cs="Arial"/>
                <w:sz w:val="20"/>
                <w:szCs w:val="20"/>
              </w:rPr>
            </w:pPr>
          </w:p>
        </w:tc>
        <w:tc>
          <w:tcPr>
            <w:tcW w:w="811" w:type="dxa"/>
            <w:vMerge/>
            <w:vAlign w:val="center"/>
          </w:tcPr>
          <w:p w14:paraId="7D7F8E97" w14:textId="313A1D56" w:rsidR="00357FF2" w:rsidRPr="00EB31F2" w:rsidRDefault="00357FF2">
            <w:pPr>
              <w:keepLines/>
              <w:jc w:val="center"/>
              <w:rPr>
                <w:rFonts w:ascii="Arial Narrow" w:hAnsi="Arial Narrow" w:cs="Arial"/>
                <w:sz w:val="20"/>
                <w:szCs w:val="20"/>
              </w:rPr>
            </w:pPr>
          </w:p>
        </w:tc>
        <w:tc>
          <w:tcPr>
            <w:tcW w:w="812" w:type="dxa"/>
            <w:vMerge/>
            <w:vAlign w:val="center"/>
          </w:tcPr>
          <w:p w14:paraId="218E265A" w14:textId="1D84281D" w:rsidR="00357FF2" w:rsidRPr="00EB31F2" w:rsidRDefault="00357FF2">
            <w:pPr>
              <w:keepLines/>
              <w:jc w:val="center"/>
              <w:rPr>
                <w:rFonts w:ascii="Arial Narrow" w:hAnsi="Arial Narrow" w:cs="Arial"/>
                <w:sz w:val="20"/>
                <w:szCs w:val="20"/>
              </w:rPr>
            </w:pPr>
          </w:p>
        </w:tc>
        <w:tc>
          <w:tcPr>
            <w:tcW w:w="1831" w:type="dxa"/>
            <w:vMerge/>
            <w:vAlign w:val="center"/>
          </w:tcPr>
          <w:p w14:paraId="656208F5" w14:textId="097E1E65" w:rsidR="00357FF2" w:rsidRPr="00EB31F2" w:rsidRDefault="00357FF2">
            <w:pPr>
              <w:keepLines/>
              <w:rPr>
                <w:rFonts w:ascii="Arial Narrow" w:hAnsi="Arial Narrow" w:cs="Arial"/>
                <w:sz w:val="20"/>
                <w:szCs w:val="20"/>
              </w:rPr>
            </w:pPr>
          </w:p>
        </w:tc>
      </w:tr>
      <w:tr w:rsidR="00357FF2" w:rsidRPr="00EB31F2" w14:paraId="5D38057B" w14:textId="77777777">
        <w:trPr>
          <w:cantSplit/>
          <w:trHeight w:val="20"/>
        </w:trPr>
        <w:tc>
          <w:tcPr>
            <w:tcW w:w="3939" w:type="dxa"/>
            <w:gridSpan w:val="2"/>
            <w:vMerge/>
            <w:vAlign w:val="center"/>
          </w:tcPr>
          <w:p w14:paraId="629745C7" w14:textId="77777777" w:rsidR="00357FF2" w:rsidRPr="00EB31F2" w:rsidRDefault="00357FF2">
            <w:pPr>
              <w:keepLines/>
              <w:rPr>
                <w:rFonts w:ascii="Arial Narrow" w:hAnsi="Arial Narrow" w:cs="Arial"/>
                <w:sz w:val="20"/>
                <w:szCs w:val="20"/>
              </w:rPr>
            </w:pPr>
          </w:p>
        </w:tc>
        <w:tc>
          <w:tcPr>
            <w:tcW w:w="811" w:type="dxa"/>
            <w:vAlign w:val="center"/>
          </w:tcPr>
          <w:p w14:paraId="605CBD21" w14:textId="06F5793B" w:rsidR="00357FF2" w:rsidRPr="00EB31F2" w:rsidRDefault="00357FF2">
            <w:pPr>
              <w:keepLines/>
              <w:jc w:val="center"/>
              <w:rPr>
                <w:rFonts w:ascii="Arial Narrow" w:hAnsi="Arial Narrow" w:cs="Arial"/>
                <w:sz w:val="20"/>
                <w:szCs w:val="20"/>
              </w:rPr>
            </w:pPr>
            <w:r w:rsidRPr="00EB31F2">
              <w:rPr>
                <w:rFonts w:ascii="Arial Narrow" w:hAnsi="Arial Narrow" w:cs="Arial"/>
                <w:sz w:val="20"/>
                <w:szCs w:val="20"/>
              </w:rPr>
              <w:t>12051G</w:t>
            </w:r>
          </w:p>
        </w:tc>
        <w:tc>
          <w:tcPr>
            <w:tcW w:w="812" w:type="dxa"/>
            <w:vMerge/>
            <w:vAlign w:val="center"/>
          </w:tcPr>
          <w:p w14:paraId="60D09306" w14:textId="77777777" w:rsidR="00357FF2" w:rsidRPr="00EB31F2" w:rsidRDefault="00357FF2">
            <w:pPr>
              <w:keepLines/>
              <w:jc w:val="center"/>
              <w:rPr>
                <w:rFonts w:ascii="Arial Narrow" w:hAnsi="Arial Narrow" w:cs="Arial"/>
                <w:sz w:val="20"/>
                <w:szCs w:val="20"/>
              </w:rPr>
            </w:pPr>
          </w:p>
        </w:tc>
        <w:tc>
          <w:tcPr>
            <w:tcW w:w="811" w:type="dxa"/>
            <w:vMerge/>
            <w:vAlign w:val="center"/>
          </w:tcPr>
          <w:p w14:paraId="3CA52692" w14:textId="77777777" w:rsidR="00357FF2" w:rsidRPr="00EB31F2" w:rsidRDefault="00357FF2">
            <w:pPr>
              <w:keepLines/>
              <w:jc w:val="center"/>
              <w:rPr>
                <w:rFonts w:ascii="Arial Narrow" w:hAnsi="Arial Narrow" w:cs="Arial"/>
                <w:sz w:val="20"/>
                <w:szCs w:val="20"/>
              </w:rPr>
            </w:pPr>
          </w:p>
        </w:tc>
        <w:tc>
          <w:tcPr>
            <w:tcW w:w="812" w:type="dxa"/>
            <w:vMerge/>
            <w:vAlign w:val="center"/>
          </w:tcPr>
          <w:p w14:paraId="26C57D44" w14:textId="77777777" w:rsidR="00357FF2" w:rsidRPr="00EB31F2" w:rsidRDefault="00357FF2">
            <w:pPr>
              <w:keepLines/>
              <w:jc w:val="center"/>
              <w:rPr>
                <w:rFonts w:ascii="Arial Narrow" w:hAnsi="Arial Narrow" w:cs="Arial"/>
                <w:sz w:val="20"/>
                <w:szCs w:val="20"/>
              </w:rPr>
            </w:pPr>
          </w:p>
        </w:tc>
        <w:tc>
          <w:tcPr>
            <w:tcW w:w="1831" w:type="dxa"/>
            <w:vMerge/>
            <w:vAlign w:val="center"/>
          </w:tcPr>
          <w:p w14:paraId="01636576" w14:textId="77777777" w:rsidR="00357FF2" w:rsidRPr="00EB31F2" w:rsidRDefault="00357FF2">
            <w:pPr>
              <w:keepLines/>
              <w:rPr>
                <w:rFonts w:ascii="Arial Narrow" w:hAnsi="Arial Narrow" w:cs="Arial"/>
                <w:sz w:val="20"/>
                <w:szCs w:val="20"/>
              </w:rPr>
            </w:pPr>
          </w:p>
        </w:tc>
      </w:tr>
      <w:tr w:rsidR="004A0AA0" w:rsidRPr="00EB31F2" w14:paraId="2C2A0CB1"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D7D54C6" w14:textId="007CEDA4" w:rsidR="004A0AA0" w:rsidRPr="00EB31F2" w:rsidRDefault="004A0AA0">
            <w:pPr>
              <w:rPr>
                <w:rFonts w:ascii="Arial Narrow" w:hAnsi="Arial Narrow" w:cs="Arial"/>
                <w:sz w:val="20"/>
                <w:szCs w:val="20"/>
              </w:rPr>
            </w:pPr>
          </w:p>
        </w:tc>
      </w:tr>
      <w:tr w:rsidR="004A0AA0" w:rsidRPr="00EB31F2" w14:paraId="7BC1CB48"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435B731" w14:textId="6601B813" w:rsidR="004A0AA0" w:rsidRPr="00EB31F2" w:rsidRDefault="004A0AA0">
            <w:pPr>
              <w:keepLines/>
              <w:rPr>
                <w:rFonts w:ascii="Arial Narrow" w:hAnsi="Arial Narrow" w:cs="Arial"/>
                <w:b/>
                <w:sz w:val="20"/>
                <w:szCs w:val="20"/>
              </w:rPr>
            </w:pPr>
            <w:r w:rsidRPr="00EB31F2">
              <w:rPr>
                <w:rFonts w:ascii="Arial Narrow" w:hAnsi="Arial Narrow"/>
                <w:b/>
                <w:sz w:val="20"/>
                <w:szCs w:val="20"/>
              </w:rPr>
              <w:t xml:space="preserve">Restriction Summary </w:t>
            </w:r>
            <w:r w:rsidR="00357FF2" w:rsidRPr="00EB31F2">
              <w:rPr>
                <w:rFonts w:ascii="Arial Narrow" w:hAnsi="Arial Narrow"/>
                <w:b/>
                <w:sz w:val="20"/>
                <w:szCs w:val="20"/>
              </w:rPr>
              <w:t xml:space="preserve">11843 </w:t>
            </w:r>
            <w:r w:rsidRPr="00EB31F2">
              <w:rPr>
                <w:rFonts w:ascii="Arial Narrow" w:hAnsi="Arial Narrow"/>
                <w:b/>
                <w:sz w:val="20"/>
                <w:szCs w:val="20"/>
              </w:rPr>
              <w:t xml:space="preserve">/ Treatment of Concept: </w:t>
            </w:r>
            <w:r w:rsidR="00357FF2" w:rsidRPr="00EB31F2">
              <w:rPr>
                <w:rFonts w:ascii="Arial Narrow" w:hAnsi="Arial Narrow"/>
                <w:b/>
                <w:sz w:val="20"/>
                <w:szCs w:val="20"/>
              </w:rPr>
              <w:t>11848</w:t>
            </w:r>
          </w:p>
        </w:tc>
      </w:tr>
      <w:tr w:rsidR="004A0AA0" w:rsidRPr="00EB31F2" w14:paraId="0F8B7B51"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54A08C5B" w14:textId="77777777" w:rsidR="004A0AA0" w:rsidRPr="00EB31F2" w:rsidRDefault="004A0AA0">
            <w:pPr>
              <w:jc w:val="center"/>
              <w:rPr>
                <w:rFonts w:ascii="Arial Narrow" w:hAnsi="Arial Narrow" w:cs="Arial"/>
                <w:b/>
                <w:sz w:val="20"/>
                <w:szCs w:val="20"/>
              </w:rPr>
            </w:pPr>
            <w:r w:rsidRPr="00EB31F2">
              <w:rPr>
                <w:rFonts w:ascii="Arial Narrow" w:hAnsi="Arial Narrow" w:cs="Arial"/>
                <w:b/>
                <w:sz w:val="20"/>
                <w:szCs w:val="20"/>
              </w:rPr>
              <w:t xml:space="preserve">Concept ID </w:t>
            </w:r>
            <w:r w:rsidRPr="00EB31F2">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9FDFACE" w14:textId="41204952" w:rsidR="004A0AA0" w:rsidRPr="00EB31F2" w:rsidRDefault="004A0AA0">
            <w:pPr>
              <w:keepLines/>
              <w:rPr>
                <w:rFonts w:ascii="Arial Narrow" w:hAnsi="Arial Narrow" w:cs="Arial"/>
                <w:sz w:val="20"/>
                <w:szCs w:val="20"/>
              </w:rPr>
            </w:pPr>
            <w:r w:rsidRPr="00EB31F2">
              <w:rPr>
                <w:rFonts w:ascii="Arial Narrow" w:hAnsi="Arial Narrow" w:cs="Arial"/>
                <w:b/>
                <w:sz w:val="20"/>
                <w:szCs w:val="20"/>
              </w:rPr>
              <w:t xml:space="preserve">Category / Program: </w:t>
            </w:r>
            <w:r w:rsidRPr="00EB31F2">
              <w:rPr>
                <w:rFonts w:ascii="Arial Narrow" w:hAnsi="Arial Narrow" w:cs="Arial"/>
                <w:sz w:val="20"/>
                <w:szCs w:val="20"/>
              </w:rPr>
              <w:t xml:space="preserve">Section 100 – Highly Specialised Drugs </w:t>
            </w:r>
          </w:p>
        </w:tc>
      </w:tr>
      <w:tr w:rsidR="004A0AA0" w:rsidRPr="00EB31F2" w14:paraId="6CB8DF69"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75069B07" w14:textId="77777777" w:rsidR="004A0AA0" w:rsidRPr="00EB31F2" w:rsidRDefault="004A0AA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9765C1F" w14:textId="04F158E4" w:rsidR="004A0AA0" w:rsidRPr="00EB31F2" w:rsidRDefault="004A0AA0">
            <w:pPr>
              <w:keepLines/>
              <w:rPr>
                <w:rFonts w:ascii="Arial Narrow" w:hAnsi="Arial Narrow" w:cs="Arial"/>
                <w:b/>
                <w:sz w:val="20"/>
                <w:szCs w:val="20"/>
              </w:rPr>
            </w:pPr>
            <w:r w:rsidRPr="00EB31F2">
              <w:rPr>
                <w:rFonts w:ascii="Arial Narrow" w:hAnsi="Arial Narrow" w:cs="Arial"/>
                <w:b/>
                <w:sz w:val="20"/>
                <w:szCs w:val="20"/>
              </w:rPr>
              <w:t xml:space="preserve">Prescriber type: </w:t>
            </w:r>
            <w:r w:rsidR="00357FF2" w:rsidRPr="00EB31F2">
              <w:rPr>
                <w:rFonts w:ascii="Arial Narrow" w:hAnsi="Arial Narrow" w:cs="Arial"/>
                <w:sz w:val="20"/>
                <w:szCs w:val="20"/>
              </w:rPr>
              <w:fldChar w:fldCharType="begin" w:fldLock="1">
                <w:ffData>
                  <w:name w:val=""/>
                  <w:enabled/>
                  <w:calcOnExit w:val="0"/>
                  <w:checkBox>
                    <w:sizeAuto/>
                    <w:default w:val="1"/>
                  </w:checkBox>
                </w:ffData>
              </w:fldChar>
            </w:r>
            <w:r w:rsidR="00357FF2" w:rsidRPr="00EB31F2">
              <w:rPr>
                <w:rFonts w:ascii="Arial Narrow" w:hAnsi="Arial Narrow" w:cs="Arial"/>
                <w:sz w:val="20"/>
                <w:szCs w:val="20"/>
              </w:rPr>
              <w:instrText xml:space="preserve"> FORMCHECKBOX </w:instrText>
            </w:r>
            <w:r w:rsidR="00165390">
              <w:rPr>
                <w:rFonts w:ascii="Arial Narrow" w:hAnsi="Arial Narrow" w:cs="Arial"/>
                <w:sz w:val="20"/>
                <w:szCs w:val="20"/>
              </w:rPr>
            </w:r>
            <w:r w:rsidR="00165390">
              <w:rPr>
                <w:rFonts w:ascii="Arial Narrow" w:hAnsi="Arial Narrow" w:cs="Arial"/>
                <w:sz w:val="20"/>
                <w:szCs w:val="20"/>
              </w:rPr>
              <w:fldChar w:fldCharType="separate"/>
            </w:r>
            <w:r w:rsidR="00357FF2" w:rsidRPr="00EB31F2">
              <w:rPr>
                <w:rFonts w:ascii="Arial Narrow" w:hAnsi="Arial Narrow" w:cs="Arial"/>
                <w:sz w:val="20"/>
                <w:szCs w:val="20"/>
              </w:rPr>
              <w:fldChar w:fldCharType="end"/>
            </w:r>
            <w:r w:rsidRPr="00EB31F2">
              <w:rPr>
                <w:rFonts w:ascii="Arial Narrow" w:hAnsi="Arial Narrow" w:cs="Arial"/>
                <w:sz w:val="20"/>
                <w:szCs w:val="20"/>
              </w:rPr>
              <w:t>Medical Practitioners</w:t>
            </w:r>
          </w:p>
        </w:tc>
      </w:tr>
      <w:tr w:rsidR="004A0AA0" w:rsidRPr="00EB31F2" w14:paraId="7CAD4B4A"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0B5FAA4C" w14:textId="77777777" w:rsidR="004A0AA0" w:rsidRPr="00EB31F2" w:rsidRDefault="004A0AA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9690337" w14:textId="09C0693B" w:rsidR="004A0AA0" w:rsidRPr="00EB31F2" w:rsidRDefault="004A0AA0" w:rsidP="00357FF2">
            <w:pPr>
              <w:keepLines/>
              <w:jc w:val="left"/>
              <w:rPr>
                <w:rFonts w:ascii="Arial Narrow" w:eastAsia="Calibri" w:hAnsi="Arial Narrow" w:cs="Arial"/>
                <w:sz w:val="20"/>
                <w:szCs w:val="20"/>
              </w:rPr>
            </w:pPr>
            <w:r w:rsidRPr="00EB31F2">
              <w:rPr>
                <w:rFonts w:ascii="Arial Narrow" w:hAnsi="Arial Narrow" w:cs="Arial"/>
                <w:b/>
                <w:sz w:val="20"/>
                <w:szCs w:val="20"/>
              </w:rPr>
              <w:t xml:space="preserve">Restriction type: </w:t>
            </w:r>
            <w:r w:rsidRPr="00EB31F2">
              <w:rPr>
                <w:rFonts w:ascii="Arial Narrow" w:eastAsia="Calibri" w:hAnsi="Arial Narrow" w:cs="Arial"/>
                <w:sz w:val="20"/>
                <w:szCs w:val="20"/>
              </w:rPr>
              <w:br/>
            </w:r>
            <w:r w:rsidR="00357FF2" w:rsidRPr="00EB31F2">
              <w:rPr>
                <w:rFonts w:ascii="Arial Narrow" w:eastAsia="Calibri" w:hAnsi="Arial Narrow" w:cs="Arial"/>
                <w:sz w:val="20"/>
                <w:szCs w:val="20"/>
              </w:rPr>
              <w:fldChar w:fldCharType="begin" w:fldLock="1">
                <w:ffData>
                  <w:name w:val="Check3"/>
                  <w:enabled/>
                  <w:calcOnExit w:val="0"/>
                  <w:checkBox>
                    <w:sizeAuto/>
                    <w:default w:val="1"/>
                  </w:checkBox>
                </w:ffData>
              </w:fldChar>
            </w:r>
            <w:bookmarkStart w:id="5" w:name="Check3"/>
            <w:r w:rsidR="00357FF2" w:rsidRPr="00EB31F2">
              <w:rPr>
                <w:rFonts w:ascii="Arial Narrow" w:eastAsia="Calibri" w:hAnsi="Arial Narrow" w:cs="Arial"/>
                <w:sz w:val="20"/>
                <w:szCs w:val="20"/>
              </w:rPr>
              <w:instrText xml:space="preserve"> FORMCHECKBOX </w:instrText>
            </w:r>
            <w:r w:rsidR="00165390">
              <w:rPr>
                <w:rFonts w:ascii="Arial Narrow" w:eastAsia="Calibri" w:hAnsi="Arial Narrow" w:cs="Arial"/>
                <w:sz w:val="20"/>
                <w:szCs w:val="20"/>
              </w:rPr>
            </w:r>
            <w:r w:rsidR="00165390">
              <w:rPr>
                <w:rFonts w:ascii="Arial Narrow" w:eastAsia="Calibri" w:hAnsi="Arial Narrow" w:cs="Arial"/>
                <w:sz w:val="20"/>
                <w:szCs w:val="20"/>
              </w:rPr>
              <w:fldChar w:fldCharType="separate"/>
            </w:r>
            <w:r w:rsidR="00357FF2" w:rsidRPr="00EB31F2">
              <w:rPr>
                <w:rFonts w:ascii="Arial Narrow" w:eastAsia="Calibri" w:hAnsi="Arial Narrow" w:cs="Arial"/>
                <w:sz w:val="20"/>
                <w:szCs w:val="20"/>
              </w:rPr>
              <w:fldChar w:fldCharType="end"/>
            </w:r>
            <w:bookmarkEnd w:id="5"/>
            <w:r w:rsidRPr="00EB31F2">
              <w:rPr>
                <w:rFonts w:ascii="Arial Narrow" w:eastAsia="Calibri" w:hAnsi="Arial Narrow" w:cs="Arial"/>
                <w:i/>
                <w:iCs/>
                <w:sz w:val="20"/>
                <w:szCs w:val="20"/>
              </w:rPr>
              <w:t xml:space="preserve">Authority Required (telephone/online PBS Authorities system) </w:t>
            </w:r>
            <w:r w:rsidRPr="00EB31F2">
              <w:rPr>
                <w:rFonts w:ascii="Arial Narrow" w:eastAsia="Calibri" w:hAnsi="Arial Narrow" w:cs="Arial"/>
                <w:sz w:val="20"/>
                <w:szCs w:val="20"/>
              </w:rPr>
              <w:br/>
            </w:r>
            <w:r w:rsidRPr="00EB31F2">
              <w:rPr>
                <w:rFonts w:ascii="Arial Narrow" w:eastAsia="Calibri" w:hAnsi="Arial Narrow" w:cs="Arial"/>
                <w:sz w:val="20"/>
                <w:szCs w:val="20"/>
              </w:rPr>
              <w:fldChar w:fldCharType="begin" w:fldLock="1">
                <w:ffData>
                  <w:name w:val=""/>
                  <w:enabled/>
                  <w:calcOnExit w:val="0"/>
                  <w:checkBox>
                    <w:sizeAuto/>
                    <w:default w:val="0"/>
                  </w:checkBox>
                </w:ffData>
              </w:fldChar>
            </w:r>
            <w:r w:rsidRPr="00EB31F2">
              <w:rPr>
                <w:rFonts w:ascii="Arial Narrow" w:eastAsia="Calibri" w:hAnsi="Arial Narrow" w:cs="Arial"/>
                <w:sz w:val="20"/>
                <w:szCs w:val="20"/>
              </w:rPr>
              <w:instrText xml:space="preserve"> FORMCHECKBOX </w:instrText>
            </w:r>
            <w:r w:rsidR="00165390">
              <w:rPr>
                <w:rFonts w:ascii="Arial Narrow" w:eastAsia="Calibri" w:hAnsi="Arial Narrow" w:cs="Arial"/>
                <w:sz w:val="20"/>
                <w:szCs w:val="20"/>
              </w:rPr>
            </w:r>
            <w:r w:rsidR="00165390">
              <w:rPr>
                <w:rFonts w:ascii="Arial Narrow" w:eastAsia="Calibri" w:hAnsi="Arial Narrow" w:cs="Arial"/>
                <w:sz w:val="20"/>
                <w:szCs w:val="20"/>
              </w:rPr>
              <w:fldChar w:fldCharType="separate"/>
            </w:r>
            <w:r w:rsidRPr="00EB31F2">
              <w:rPr>
                <w:rFonts w:ascii="Arial Narrow" w:eastAsia="Calibri" w:hAnsi="Arial Narrow" w:cs="Arial"/>
                <w:sz w:val="20"/>
                <w:szCs w:val="20"/>
              </w:rPr>
              <w:fldChar w:fldCharType="end"/>
            </w:r>
            <w:r w:rsidRPr="00EB31F2">
              <w:rPr>
                <w:rFonts w:ascii="Arial Narrow" w:eastAsia="Calibri" w:hAnsi="Arial Narrow" w:cs="Arial"/>
                <w:strike/>
                <w:sz w:val="20"/>
                <w:szCs w:val="20"/>
              </w:rPr>
              <w:t>Authority Required (in writing only via post/HPOS upload)</w:t>
            </w:r>
            <w:r w:rsidRPr="00EB31F2">
              <w:rPr>
                <w:rFonts w:ascii="Arial Narrow" w:eastAsia="Calibri" w:hAnsi="Arial Narrow" w:cs="Arial"/>
                <w:sz w:val="20"/>
                <w:szCs w:val="20"/>
              </w:rPr>
              <w:t xml:space="preserve"> </w:t>
            </w:r>
          </w:p>
        </w:tc>
      </w:tr>
      <w:tr w:rsidR="00D134B6" w:rsidRPr="00EB31F2" w14:paraId="59F83147" w14:textId="77777777">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bottom w:val="single" w:sz="4" w:space="0" w:color="auto"/>
              <w:right w:val="single" w:sz="4" w:space="0" w:color="auto"/>
            </w:tcBorders>
          </w:tcPr>
          <w:p w14:paraId="1D3FFB5B" w14:textId="77777777" w:rsidR="00D134B6" w:rsidRPr="00EB31F2" w:rsidRDefault="00D134B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1875E1E" w14:textId="77777777" w:rsidR="00D134B6" w:rsidRPr="00EB31F2" w:rsidRDefault="00D134B6" w:rsidP="00D134B6">
            <w:pPr>
              <w:keepLines/>
              <w:jc w:val="left"/>
              <w:rPr>
                <w:rFonts w:ascii="Arial Narrow" w:hAnsi="Arial Narrow" w:cs="Arial"/>
                <w:b/>
                <w:bCs/>
                <w:sz w:val="20"/>
                <w:szCs w:val="20"/>
              </w:rPr>
            </w:pPr>
            <w:r w:rsidRPr="00EB31F2">
              <w:rPr>
                <w:rFonts w:ascii="Arial Narrow" w:hAnsi="Arial Narrow" w:cs="Arial"/>
                <w:b/>
                <w:bCs/>
                <w:sz w:val="20"/>
                <w:szCs w:val="20"/>
              </w:rPr>
              <w:t xml:space="preserve">Treatment phase: </w:t>
            </w:r>
          </w:p>
          <w:p w14:paraId="613258E6" w14:textId="77777777" w:rsidR="00D134B6" w:rsidRPr="00EB31F2" w:rsidRDefault="00D134B6" w:rsidP="00D134B6">
            <w:pPr>
              <w:keepLines/>
              <w:jc w:val="left"/>
              <w:rPr>
                <w:rFonts w:ascii="Arial Narrow" w:hAnsi="Arial Narrow" w:cs="Arial"/>
                <w:sz w:val="20"/>
                <w:szCs w:val="20"/>
              </w:rPr>
            </w:pPr>
            <w:r w:rsidRPr="00EB31F2">
              <w:rPr>
                <w:rFonts w:ascii="Arial Narrow" w:hAnsi="Arial Narrow" w:cs="Arial"/>
                <w:sz w:val="20"/>
                <w:szCs w:val="20"/>
              </w:rPr>
              <w:t>Initial treatment - Initial 1 (New patients; or Recommencement of treatment in a new treatment cycle following a break in PBS subsidised biological medicine therapy)</w:t>
            </w:r>
          </w:p>
          <w:p w14:paraId="3A9AA6A7" w14:textId="63894BA4" w:rsidR="00D134B6" w:rsidRPr="00EB31F2" w:rsidRDefault="00D134B6" w:rsidP="00D134B6">
            <w:pPr>
              <w:keepLines/>
              <w:jc w:val="left"/>
              <w:rPr>
                <w:rFonts w:ascii="Arial Narrow" w:hAnsi="Arial Narrow" w:cs="Arial"/>
                <w:b/>
                <w:sz w:val="20"/>
                <w:szCs w:val="20"/>
              </w:rPr>
            </w:pPr>
            <w:r w:rsidRPr="00EB31F2">
              <w:rPr>
                <w:rFonts w:ascii="Arial Narrow" w:hAnsi="Arial Narrow" w:cs="Arial"/>
                <w:sz w:val="20"/>
                <w:szCs w:val="20"/>
              </w:rPr>
              <w:t>Initial treatment - Initial 2 (Change of treatment)</w:t>
            </w:r>
          </w:p>
        </w:tc>
      </w:tr>
    </w:tbl>
    <w:p w14:paraId="6C70440E" w14:textId="0CEAD5FC" w:rsidR="00B825A1" w:rsidRPr="00EB31F2" w:rsidRDefault="00B825A1" w:rsidP="006D604A">
      <w:pPr>
        <w:pStyle w:val="3Bodytext"/>
        <w:numPr>
          <w:ilvl w:val="0"/>
          <w:numId w:val="0"/>
        </w:numPr>
        <w:spacing w:after="0"/>
        <w:ind w:left="720" w:hanging="720"/>
        <w:rPr>
          <w:rFonts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9E2F27" w:rsidRPr="00EB31F2" w14:paraId="0D1740D4" w14:textId="77777777">
        <w:trPr>
          <w:cantSplit/>
          <w:trHeight w:val="20"/>
        </w:trPr>
        <w:tc>
          <w:tcPr>
            <w:tcW w:w="3939" w:type="dxa"/>
            <w:gridSpan w:val="2"/>
            <w:vAlign w:val="center"/>
          </w:tcPr>
          <w:p w14:paraId="154FEF24" w14:textId="77777777" w:rsidR="009E2F27" w:rsidRPr="00EB31F2" w:rsidRDefault="009E2F27">
            <w:pPr>
              <w:keepLines/>
              <w:rPr>
                <w:rFonts w:ascii="Arial Narrow" w:hAnsi="Arial Narrow" w:cs="Arial"/>
                <w:b/>
                <w:bCs/>
                <w:sz w:val="20"/>
                <w:szCs w:val="20"/>
              </w:rPr>
            </w:pPr>
            <w:r w:rsidRPr="00EB31F2">
              <w:rPr>
                <w:rFonts w:ascii="Arial Narrow" w:hAnsi="Arial Narrow" w:cs="Arial"/>
                <w:b/>
                <w:bCs/>
                <w:sz w:val="20"/>
                <w:szCs w:val="20"/>
              </w:rPr>
              <w:t>MEDICINAL PRODUCT</w:t>
            </w:r>
          </w:p>
          <w:p w14:paraId="3695F0A6" w14:textId="77777777" w:rsidR="009E2F27" w:rsidRPr="00EB31F2" w:rsidRDefault="009E2F27">
            <w:pPr>
              <w:keepLines/>
              <w:rPr>
                <w:rFonts w:ascii="Arial Narrow" w:hAnsi="Arial Narrow" w:cs="Arial"/>
                <w:b/>
                <w:sz w:val="20"/>
                <w:szCs w:val="20"/>
              </w:rPr>
            </w:pPr>
            <w:r w:rsidRPr="00EB31F2">
              <w:rPr>
                <w:rFonts w:ascii="Arial Narrow" w:hAnsi="Arial Narrow" w:cs="Arial"/>
                <w:b/>
                <w:bCs/>
                <w:sz w:val="20"/>
                <w:szCs w:val="20"/>
              </w:rPr>
              <w:t>medicinal product pack</w:t>
            </w:r>
          </w:p>
        </w:tc>
        <w:tc>
          <w:tcPr>
            <w:tcW w:w="811" w:type="dxa"/>
            <w:vAlign w:val="center"/>
          </w:tcPr>
          <w:p w14:paraId="313DEF77" w14:textId="77777777" w:rsidR="009E2F27" w:rsidRPr="00EB31F2" w:rsidRDefault="009E2F27">
            <w:pPr>
              <w:keepLines/>
              <w:jc w:val="center"/>
              <w:rPr>
                <w:rFonts w:ascii="Arial Narrow" w:hAnsi="Arial Narrow" w:cs="Arial"/>
                <w:b/>
                <w:sz w:val="20"/>
                <w:szCs w:val="20"/>
              </w:rPr>
            </w:pPr>
            <w:r w:rsidRPr="00EB31F2">
              <w:rPr>
                <w:rFonts w:ascii="Arial Narrow" w:hAnsi="Arial Narrow" w:cs="Arial"/>
                <w:b/>
                <w:sz w:val="20"/>
                <w:szCs w:val="20"/>
              </w:rPr>
              <w:t>PBS item code</w:t>
            </w:r>
          </w:p>
        </w:tc>
        <w:tc>
          <w:tcPr>
            <w:tcW w:w="812" w:type="dxa"/>
            <w:vAlign w:val="center"/>
          </w:tcPr>
          <w:p w14:paraId="301875EF" w14:textId="77777777" w:rsidR="009E2F27" w:rsidRPr="00EB31F2" w:rsidRDefault="009E2F27">
            <w:pPr>
              <w:keepLines/>
              <w:jc w:val="center"/>
              <w:rPr>
                <w:rFonts w:ascii="Arial Narrow" w:hAnsi="Arial Narrow" w:cs="Arial"/>
                <w:b/>
                <w:sz w:val="20"/>
                <w:szCs w:val="20"/>
              </w:rPr>
            </w:pPr>
            <w:r w:rsidRPr="00EB31F2">
              <w:rPr>
                <w:rFonts w:ascii="Arial Narrow" w:hAnsi="Arial Narrow" w:cs="Arial"/>
                <w:b/>
                <w:sz w:val="20"/>
                <w:szCs w:val="20"/>
              </w:rPr>
              <w:t>Max. qty packs</w:t>
            </w:r>
          </w:p>
        </w:tc>
        <w:tc>
          <w:tcPr>
            <w:tcW w:w="811" w:type="dxa"/>
            <w:vAlign w:val="center"/>
          </w:tcPr>
          <w:p w14:paraId="3571132A" w14:textId="77777777" w:rsidR="009E2F27" w:rsidRPr="00EB31F2" w:rsidRDefault="009E2F27">
            <w:pPr>
              <w:keepLines/>
              <w:jc w:val="center"/>
              <w:rPr>
                <w:rFonts w:ascii="Arial Narrow" w:hAnsi="Arial Narrow" w:cs="Arial"/>
                <w:b/>
                <w:sz w:val="20"/>
                <w:szCs w:val="20"/>
              </w:rPr>
            </w:pPr>
            <w:r w:rsidRPr="00EB31F2">
              <w:rPr>
                <w:rFonts w:ascii="Arial Narrow" w:hAnsi="Arial Narrow" w:cs="Arial"/>
                <w:b/>
                <w:sz w:val="20"/>
                <w:szCs w:val="20"/>
              </w:rPr>
              <w:t>Max. qty units</w:t>
            </w:r>
          </w:p>
        </w:tc>
        <w:tc>
          <w:tcPr>
            <w:tcW w:w="812" w:type="dxa"/>
            <w:vAlign w:val="center"/>
          </w:tcPr>
          <w:p w14:paraId="4DF8F4B8" w14:textId="21E26F76" w:rsidR="009E2F27" w:rsidRPr="00EB31F2" w:rsidRDefault="00B166BA">
            <w:pPr>
              <w:keepLines/>
              <w:jc w:val="center"/>
              <w:rPr>
                <w:rFonts w:ascii="Arial Narrow" w:hAnsi="Arial Narrow" w:cs="Arial"/>
                <w:b/>
                <w:sz w:val="20"/>
                <w:szCs w:val="20"/>
              </w:rPr>
            </w:pPr>
            <w:r w:rsidRPr="00EB31F2">
              <w:rPr>
                <w:rFonts w:ascii="Arial Narrow" w:hAnsi="Arial Narrow" w:cs="Arial"/>
                <w:b/>
                <w:sz w:val="20"/>
                <w:szCs w:val="20"/>
              </w:rPr>
              <w:t>№. of</w:t>
            </w:r>
          </w:p>
          <w:p w14:paraId="62D1151A" w14:textId="77777777" w:rsidR="009E2F27" w:rsidRPr="00EB31F2" w:rsidRDefault="009E2F27">
            <w:pPr>
              <w:keepLines/>
              <w:jc w:val="center"/>
              <w:rPr>
                <w:rFonts w:ascii="Arial Narrow" w:hAnsi="Arial Narrow" w:cs="Arial"/>
                <w:b/>
                <w:sz w:val="20"/>
                <w:szCs w:val="20"/>
              </w:rPr>
            </w:pPr>
            <w:r w:rsidRPr="00EB31F2">
              <w:rPr>
                <w:rFonts w:ascii="Arial Narrow" w:hAnsi="Arial Narrow" w:cs="Arial"/>
                <w:b/>
                <w:sz w:val="20"/>
                <w:szCs w:val="20"/>
              </w:rPr>
              <w:t>Rpts</w:t>
            </w:r>
          </w:p>
        </w:tc>
        <w:tc>
          <w:tcPr>
            <w:tcW w:w="1831" w:type="dxa"/>
            <w:vAlign w:val="center"/>
          </w:tcPr>
          <w:p w14:paraId="0A23739F" w14:textId="77777777" w:rsidR="009E2F27" w:rsidRPr="00EB31F2" w:rsidRDefault="009E2F27">
            <w:pPr>
              <w:keepLines/>
              <w:rPr>
                <w:rFonts w:ascii="Arial Narrow" w:hAnsi="Arial Narrow" w:cs="Arial"/>
                <w:b/>
                <w:sz w:val="20"/>
                <w:szCs w:val="20"/>
              </w:rPr>
            </w:pPr>
            <w:r w:rsidRPr="00EB31F2">
              <w:rPr>
                <w:rFonts w:ascii="Arial Narrow" w:hAnsi="Arial Narrow" w:cs="Arial"/>
                <w:b/>
                <w:sz w:val="20"/>
                <w:szCs w:val="20"/>
              </w:rPr>
              <w:t>Available brands</w:t>
            </w:r>
          </w:p>
        </w:tc>
      </w:tr>
      <w:tr w:rsidR="009E2F27" w:rsidRPr="00EB31F2" w14:paraId="472AF957" w14:textId="77777777">
        <w:trPr>
          <w:cantSplit/>
          <w:trHeight w:val="20"/>
        </w:trPr>
        <w:tc>
          <w:tcPr>
            <w:tcW w:w="9016" w:type="dxa"/>
            <w:gridSpan w:val="7"/>
            <w:vAlign w:val="center"/>
          </w:tcPr>
          <w:p w14:paraId="501EC2FB" w14:textId="77777777" w:rsidR="009E2F27" w:rsidRPr="00EB31F2" w:rsidRDefault="009E2F27">
            <w:pPr>
              <w:keepLines/>
              <w:rPr>
                <w:rFonts w:ascii="Arial Narrow" w:hAnsi="Arial Narrow" w:cs="Arial"/>
                <w:sz w:val="20"/>
                <w:szCs w:val="20"/>
              </w:rPr>
            </w:pPr>
            <w:r w:rsidRPr="00EB31F2">
              <w:rPr>
                <w:rFonts w:ascii="Arial Narrow" w:hAnsi="Arial Narrow" w:cs="Arial"/>
                <w:sz w:val="20"/>
                <w:szCs w:val="20"/>
              </w:rPr>
              <w:t>MEPOLIZUMAB</w:t>
            </w:r>
          </w:p>
        </w:tc>
      </w:tr>
      <w:tr w:rsidR="009E2F27" w:rsidRPr="00EB31F2" w14:paraId="75A2C75C" w14:textId="77777777">
        <w:trPr>
          <w:cantSplit/>
          <w:trHeight w:val="20"/>
        </w:trPr>
        <w:tc>
          <w:tcPr>
            <w:tcW w:w="3939" w:type="dxa"/>
            <w:gridSpan w:val="2"/>
            <w:vMerge w:val="restart"/>
            <w:vAlign w:val="center"/>
          </w:tcPr>
          <w:p w14:paraId="56AC567F" w14:textId="77777777" w:rsidR="009E2F27" w:rsidRPr="00EB31F2" w:rsidRDefault="009E2F27">
            <w:pPr>
              <w:keepLines/>
              <w:rPr>
                <w:rFonts w:ascii="Arial Narrow" w:hAnsi="Arial Narrow" w:cs="Arial"/>
                <w:sz w:val="20"/>
                <w:szCs w:val="20"/>
              </w:rPr>
            </w:pPr>
            <w:r w:rsidRPr="00EB31F2">
              <w:rPr>
                <w:rFonts w:ascii="Arial Narrow" w:hAnsi="Arial Narrow" w:cs="Arial"/>
                <w:sz w:val="20"/>
                <w:szCs w:val="20"/>
              </w:rPr>
              <w:t>mepolizumab 100 mg injection, 1 vial</w:t>
            </w:r>
          </w:p>
        </w:tc>
        <w:tc>
          <w:tcPr>
            <w:tcW w:w="811" w:type="dxa"/>
            <w:vAlign w:val="center"/>
          </w:tcPr>
          <w:p w14:paraId="2C7F2273" w14:textId="61185A5E" w:rsidR="009E2F27" w:rsidRPr="00EB31F2" w:rsidRDefault="00D134B6">
            <w:pPr>
              <w:keepLines/>
              <w:jc w:val="center"/>
              <w:rPr>
                <w:rFonts w:ascii="Arial Narrow" w:hAnsi="Arial Narrow" w:cs="Arial"/>
                <w:sz w:val="20"/>
                <w:szCs w:val="20"/>
              </w:rPr>
            </w:pPr>
            <w:r w:rsidRPr="00EB31F2">
              <w:rPr>
                <w:rFonts w:ascii="Arial Narrow" w:hAnsi="Arial Narrow" w:cs="Arial"/>
                <w:sz w:val="20"/>
                <w:szCs w:val="20"/>
              </w:rPr>
              <w:t>10908X</w:t>
            </w:r>
          </w:p>
        </w:tc>
        <w:tc>
          <w:tcPr>
            <w:tcW w:w="812" w:type="dxa"/>
            <w:vMerge w:val="restart"/>
            <w:vAlign w:val="center"/>
          </w:tcPr>
          <w:p w14:paraId="2459673A" w14:textId="77777777" w:rsidR="009E2F27" w:rsidRPr="00EB31F2" w:rsidRDefault="009E2F27">
            <w:pPr>
              <w:keepLines/>
              <w:jc w:val="center"/>
              <w:rPr>
                <w:rFonts w:ascii="Arial Narrow" w:hAnsi="Arial Narrow" w:cs="Arial"/>
                <w:sz w:val="20"/>
                <w:szCs w:val="20"/>
              </w:rPr>
            </w:pPr>
            <w:r w:rsidRPr="00EB31F2">
              <w:rPr>
                <w:rFonts w:ascii="Arial Narrow" w:hAnsi="Arial Narrow" w:cs="Arial"/>
                <w:sz w:val="20"/>
                <w:szCs w:val="20"/>
              </w:rPr>
              <w:t>1</w:t>
            </w:r>
          </w:p>
        </w:tc>
        <w:tc>
          <w:tcPr>
            <w:tcW w:w="811" w:type="dxa"/>
            <w:vMerge w:val="restart"/>
            <w:vAlign w:val="center"/>
          </w:tcPr>
          <w:p w14:paraId="14D9E08F" w14:textId="77777777" w:rsidR="009E2F27" w:rsidRPr="00EB31F2" w:rsidRDefault="009E2F27">
            <w:pPr>
              <w:keepLines/>
              <w:jc w:val="center"/>
              <w:rPr>
                <w:rFonts w:ascii="Arial Narrow" w:hAnsi="Arial Narrow" w:cs="Arial"/>
                <w:sz w:val="20"/>
                <w:szCs w:val="20"/>
              </w:rPr>
            </w:pPr>
            <w:r w:rsidRPr="00EB31F2">
              <w:rPr>
                <w:rFonts w:ascii="Arial Narrow" w:hAnsi="Arial Narrow" w:cs="Arial"/>
                <w:sz w:val="20"/>
                <w:szCs w:val="20"/>
              </w:rPr>
              <w:t>1</w:t>
            </w:r>
          </w:p>
        </w:tc>
        <w:tc>
          <w:tcPr>
            <w:tcW w:w="812" w:type="dxa"/>
            <w:vMerge w:val="restart"/>
            <w:vAlign w:val="center"/>
          </w:tcPr>
          <w:p w14:paraId="0588822E" w14:textId="543ABCC8" w:rsidR="009E2F27" w:rsidRPr="00EB31F2" w:rsidRDefault="00E07907">
            <w:pPr>
              <w:keepLines/>
              <w:jc w:val="center"/>
              <w:rPr>
                <w:rFonts w:ascii="Arial Narrow" w:hAnsi="Arial Narrow" w:cs="Arial"/>
                <w:sz w:val="20"/>
                <w:szCs w:val="20"/>
              </w:rPr>
            </w:pPr>
            <w:r w:rsidRPr="00EB31F2">
              <w:rPr>
                <w:rFonts w:ascii="Arial Narrow" w:hAnsi="Arial Narrow" w:cs="Arial"/>
                <w:sz w:val="20"/>
                <w:szCs w:val="20"/>
              </w:rPr>
              <w:t>5</w:t>
            </w:r>
          </w:p>
        </w:tc>
        <w:tc>
          <w:tcPr>
            <w:tcW w:w="1831" w:type="dxa"/>
            <w:vMerge w:val="restart"/>
            <w:vAlign w:val="center"/>
          </w:tcPr>
          <w:p w14:paraId="60F6C2F9" w14:textId="77777777" w:rsidR="009E2F27" w:rsidRPr="00EB31F2" w:rsidRDefault="009E2F27">
            <w:pPr>
              <w:keepLines/>
              <w:rPr>
                <w:rFonts w:ascii="Arial Narrow" w:hAnsi="Arial Narrow" w:cs="Arial"/>
                <w:sz w:val="20"/>
                <w:szCs w:val="20"/>
              </w:rPr>
            </w:pPr>
            <w:r w:rsidRPr="00EB31F2">
              <w:rPr>
                <w:rFonts w:ascii="Arial Narrow" w:hAnsi="Arial Narrow" w:cs="Arial"/>
                <w:sz w:val="20"/>
                <w:szCs w:val="20"/>
              </w:rPr>
              <w:t>Nucala</w:t>
            </w:r>
          </w:p>
        </w:tc>
      </w:tr>
      <w:tr w:rsidR="009E2F27" w:rsidRPr="00EB31F2" w14:paraId="485800B1" w14:textId="77777777">
        <w:trPr>
          <w:cantSplit/>
          <w:trHeight w:val="20"/>
        </w:trPr>
        <w:tc>
          <w:tcPr>
            <w:tcW w:w="3939" w:type="dxa"/>
            <w:gridSpan w:val="2"/>
            <w:vMerge/>
            <w:vAlign w:val="center"/>
          </w:tcPr>
          <w:p w14:paraId="00C70CC3" w14:textId="77777777" w:rsidR="009E2F27" w:rsidRPr="00EB31F2" w:rsidRDefault="009E2F27">
            <w:pPr>
              <w:keepLines/>
              <w:rPr>
                <w:rFonts w:ascii="Arial Narrow" w:hAnsi="Arial Narrow" w:cs="Arial"/>
                <w:sz w:val="20"/>
                <w:szCs w:val="20"/>
              </w:rPr>
            </w:pPr>
          </w:p>
        </w:tc>
        <w:tc>
          <w:tcPr>
            <w:tcW w:w="811" w:type="dxa"/>
            <w:vAlign w:val="center"/>
          </w:tcPr>
          <w:p w14:paraId="6F413D86" w14:textId="17BA08F2" w:rsidR="009E2F27" w:rsidRPr="00EB31F2" w:rsidRDefault="009E2F27">
            <w:pPr>
              <w:keepLines/>
              <w:jc w:val="center"/>
              <w:rPr>
                <w:rFonts w:ascii="Arial Narrow" w:hAnsi="Arial Narrow" w:cs="Arial"/>
                <w:sz w:val="20"/>
                <w:szCs w:val="20"/>
              </w:rPr>
            </w:pPr>
            <w:r w:rsidRPr="00EB31F2">
              <w:rPr>
                <w:rFonts w:ascii="Arial Narrow" w:hAnsi="Arial Narrow" w:cs="Arial"/>
                <w:sz w:val="20"/>
                <w:szCs w:val="20"/>
              </w:rPr>
              <w:t>110</w:t>
            </w:r>
            <w:r w:rsidR="00D134B6" w:rsidRPr="00EB31F2">
              <w:rPr>
                <w:rFonts w:ascii="Arial Narrow" w:hAnsi="Arial Narrow" w:cs="Arial"/>
                <w:sz w:val="20"/>
                <w:szCs w:val="20"/>
              </w:rPr>
              <w:t>14Q</w:t>
            </w:r>
          </w:p>
        </w:tc>
        <w:tc>
          <w:tcPr>
            <w:tcW w:w="812" w:type="dxa"/>
            <w:vMerge/>
            <w:vAlign w:val="center"/>
          </w:tcPr>
          <w:p w14:paraId="34E22FB9" w14:textId="77777777" w:rsidR="009E2F27" w:rsidRPr="00EB31F2" w:rsidRDefault="009E2F27">
            <w:pPr>
              <w:keepLines/>
              <w:jc w:val="center"/>
              <w:rPr>
                <w:rFonts w:ascii="Arial Narrow" w:hAnsi="Arial Narrow" w:cs="Arial"/>
                <w:sz w:val="20"/>
                <w:szCs w:val="20"/>
              </w:rPr>
            </w:pPr>
          </w:p>
        </w:tc>
        <w:tc>
          <w:tcPr>
            <w:tcW w:w="811" w:type="dxa"/>
            <w:vMerge/>
            <w:vAlign w:val="center"/>
          </w:tcPr>
          <w:p w14:paraId="644D9CC1" w14:textId="77777777" w:rsidR="009E2F27" w:rsidRPr="00EB31F2" w:rsidRDefault="009E2F27">
            <w:pPr>
              <w:keepLines/>
              <w:jc w:val="center"/>
              <w:rPr>
                <w:rFonts w:ascii="Arial Narrow" w:hAnsi="Arial Narrow" w:cs="Arial"/>
                <w:sz w:val="20"/>
                <w:szCs w:val="20"/>
              </w:rPr>
            </w:pPr>
          </w:p>
        </w:tc>
        <w:tc>
          <w:tcPr>
            <w:tcW w:w="812" w:type="dxa"/>
            <w:vMerge/>
            <w:vAlign w:val="center"/>
          </w:tcPr>
          <w:p w14:paraId="10837C12" w14:textId="77777777" w:rsidR="009E2F27" w:rsidRPr="00EB31F2" w:rsidRDefault="009E2F27">
            <w:pPr>
              <w:keepLines/>
              <w:jc w:val="center"/>
              <w:rPr>
                <w:rFonts w:ascii="Arial Narrow" w:hAnsi="Arial Narrow" w:cs="Arial"/>
                <w:sz w:val="20"/>
                <w:szCs w:val="20"/>
              </w:rPr>
            </w:pPr>
          </w:p>
        </w:tc>
        <w:tc>
          <w:tcPr>
            <w:tcW w:w="1831" w:type="dxa"/>
            <w:vMerge/>
            <w:vAlign w:val="center"/>
          </w:tcPr>
          <w:p w14:paraId="1F3B7DDB" w14:textId="77777777" w:rsidR="009E2F27" w:rsidRPr="00EB31F2" w:rsidRDefault="009E2F27">
            <w:pPr>
              <w:keepLines/>
              <w:rPr>
                <w:rFonts w:ascii="Arial Narrow" w:hAnsi="Arial Narrow" w:cs="Arial"/>
                <w:sz w:val="20"/>
                <w:szCs w:val="20"/>
              </w:rPr>
            </w:pPr>
          </w:p>
        </w:tc>
      </w:tr>
      <w:tr w:rsidR="009E2F27" w:rsidRPr="00EB31F2" w14:paraId="709C5BBB" w14:textId="77777777">
        <w:trPr>
          <w:cantSplit/>
          <w:trHeight w:val="20"/>
        </w:trPr>
        <w:tc>
          <w:tcPr>
            <w:tcW w:w="3939" w:type="dxa"/>
            <w:gridSpan w:val="2"/>
            <w:vMerge w:val="restart"/>
            <w:vAlign w:val="center"/>
          </w:tcPr>
          <w:p w14:paraId="731F60BD" w14:textId="77777777" w:rsidR="009E2F27" w:rsidRPr="00EB31F2" w:rsidRDefault="009E2F27">
            <w:pPr>
              <w:keepLines/>
              <w:rPr>
                <w:rFonts w:ascii="Arial Narrow" w:hAnsi="Arial Narrow" w:cs="Arial"/>
                <w:sz w:val="20"/>
                <w:szCs w:val="20"/>
              </w:rPr>
            </w:pPr>
            <w:r w:rsidRPr="00EB31F2">
              <w:rPr>
                <w:rFonts w:ascii="Arial Narrow" w:hAnsi="Arial Narrow" w:cs="Arial"/>
                <w:sz w:val="20"/>
                <w:szCs w:val="20"/>
              </w:rPr>
              <w:t>mepolizumab 100 mg/mL injection, 1 mL pen device</w:t>
            </w:r>
          </w:p>
        </w:tc>
        <w:tc>
          <w:tcPr>
            <w:tcW w:w="811" w:type="dxa"/>
            <w:vAlign w:val="center"/>
          </w:tcPr>
          <w:p w14:paraId="15CF15B8" w14:textId="10751965" w:rsidR="009E2F27" w:rsidRPr="00EB31F2" w:rsidRDefault="00D134B6">
            <w:pPr>
              <w:keepLines/>
              <w:jc w:val="center"/>
              <w:rPr>
                <w:rFonts w:ascii="Arial Narrow" w:hAnsi="Arial Narrow" w:cs="Arial"/>
                <w:sz w:val="20"/>
                <w:szCs w:val="20"/>
              </w:rPr>
            </w:pPr>
            <w:r w:rsidRPr="00EB31F2">
              <w:rPr>
                <w:rFonts w:ascii="Arial Narrow" w:hAnsi="Arial Narrow" w:cs="Arial"/>
                <w:sz w:val="20"/>
                <w:szCs w:val="20"/>
              </w:rPr>
              <w:t>12052H</w:t>
            </w:r>
          </w:p>
        </w:tc>
        <w:tc>
          <w:tcPr>
            <w:tcW w:w="812" w:type="dxa"/>
            <w:vMerge/>
            <w:vAlign w:val="center"/>
          </w:tcPr>
          <w:p w14:paraId="4480EC6A" w14:textId="77777777" w:rsidR="009E2F27" w:rsidRPr="00EB31F2" w:rsidRDefault="009E2F27">
            <w:pPr>
              <w:keepLines/>
              <w:jc w:val="center"/>
              <w:rPr>
                <w:rFonts w:ascii="Arial Narrow" w:hAnsi="Arial Narrow" w:cs="Arial"/>
                <w:sz w:val="20"/>
                <w:szCs w:val="20"/>
              </w:rPr>
            </w:pPr>
          </w:p>
        </w:tc>
        <w:tc>
          <w:tcPr>
            <w:tcW w:w="811" w:type="dxa"/>
            <w:vMerge/>
            <w:vAlign w:val="center"/>
          </w:tcPr>
          <w:p w14:paraId="20FA7DAB" w14:textId="77777777" w:rsidR="009E2F27" w:rsidRPr="00EB31F2" w:rsidRDefault="009E2F27">
            <w:pPr>
              <w:keepLines/>
              <w:jc w:val="center"/>
              <w:rPr>
                <w:rFonts w:ascii="Arial Narrow" w:hAnsi="Arial Narrow" w:cs="Arial"/>
                <w:sz w:val="20"/>
                <w:szCs w:val="20"/>
              </w:rPr>
            </w:pPr>
          </w:p>
        </w:tc>
        <w:tc>
          <w:tcPr>
            <w:tcW w:w="812" w:type="dxa"/>
            <w:vMerge/>
            <w:vAlign w:val="center"/>
          </w:tcPr>
          <w:p w14:paraId="44B3D6D2" w14:textId="77777777" w:rsidR="009E2F27" w:rsidRPr="00EB31F2" w:rsidRDefault="009E2F27">
            <w:pPr>
              <w:keepLines/>
              <w:jc w:val="center"/>
              <w:rPr>
                <w:rFonts w:ascii="Arial Narrow" w:hAnsi="Arial Narrow" w:cs="Arial"/>
                <w:sz w:val="20"/>
                <w:szCs w:val="20"/>
              </w:rPr>
            </w:pPr>
          </w:p>
        </w:tc>
        <w:tc>
          <w:tcPr>
            <w:tcW w:w="1831" w:type="dxa"/>
            <w:vMerge/>
            <w:vAlign w:val="center"/>
          </w:tcPr>
          <w:p w14:paraId="42451DFD" w14:textId="77777777" w:rsidR="009E2F27" w:rsidRPr="00EB31F2" w:rsidRDefault="009E2F27">
            <w:pPr>
              <w:keepLines/>
              <w:rPr>
                <w:rFonts w:ascii="Arial Narrow" w:hAnsi="Arial Narrow" w:cs="Arial"/>
                <w:sz w:val="20"/>
                <w:szCs w:val="20"/>
              </w:rPr>
            </w:pPr>
          </w:p>
        </w:tc>
      </w:tr>
      <w:tr w:rsidR="009E2F27" w:rsidRPr="00EB31F2" w14:paraId="15C6A15B" w14:textId="77777777">
        <w:trPr>
          <w:cantSplit/>
          <w:trHeight w:val="20"/>
        </w:trPr>
        <w:tc>
          <w:tcPr>
            <w:tcW w:w="3939" w:type="dxa"/>
            <w:gridSpan w:val="2"/>
            <w:vMerge/>
            <w:vAlign w:val="center"/>
          </w:tcPr>
          <w:p w14:paraId="3978198F" w14:textId="77777777" w:rsidR="009E2F27" w:rsidRPr="00EB31F2" w:rsidRDefault="009E2F27">
            <w:pPr>
              <w:keepLines/>
              <w:rPr>
                <w:rFonts w:ascii="Arial Narrow" w:hAnsi="Arial Narrow" w:cs="Arial"/>
                <w:sz w:val="20"/>
                <w:szCs w:val="20"/>
              </w:rPr>
            </w:pPr>
          </w:p>
        </w:tc>
        <w:tc>
          <w:tcPr>
            <w:tcW w:w="811" w:type="dxa"/>
            <w:vAlign w:val="center"/>
          </w:tcPr>
          <w:p w14:paraId="4F7949E8" w14:textId="18831C35" w:rsidR="009E2F27" w:rsidRPr="00EB31F2" w:rsidRDefault="00D134B6">
            <w:pPr>
              <w:keepLines/>
              <w:jc w:val="center"/>
              <w:rPr>
                <w:rFonts w:ascii="Arial Narrow" w:hAnsi="Arial Narrow" w:cs="Arial"/>
                <w:sz w:val="20"/>
                <w:szCs w:val="20"/>
              </w:rPr>
            </w:pPr>
            <w:r w:rsidRPr="00EB31F2">
              <w:rPr>
                <w:rFonts w:ascii="Arial Narrow" w:hAnsi="Arial Narrow" w:cs="Arial"/>
                <w:sz w:val="20"/>
                <w:szCs w:val="20"/>
              </w:rPr>
              <w:t>12064Y</w:t>
            </w:r>
          </w:p>
        </w:tc>
        <w:tc>
          <w:tcPr>
            <w:tcW w:w="812" w:type="dxa"/>
            <w:vMerge/>
            <w:vAlign w:val="center"/>
          </w:tcPr>
          <w:p w14:paraId="7B1523A4" w14:textId="77777777" w:rsidR="009E2F27" w:rsidRPr="00EB31F2" w:rsidRDefault="009E2F27">
            <w:pPr>
              <w:keepLines/>
              <w:jc w:val="center"/>
              <w:rPr>
                <w:rFonts w:ascii="Arial Narrow" w:hAnsi="Arial Narrow" w:cs="Arial"/>
                <w:sz w:val="20"/>
                <w:szCs w:val="20"/>
              </w:rPr>
            </w:pPr>
          </w:p>
        </w:tc>
        <w:tc>
          <w:tcPr>
            <w:tcW w:w="811" w:type="dxa"/>
            <w:vMerge/>
            <w:vAlign w:val="center"/>
          </w:tcPr>
          <w:p w14:paraId="75054D06" w14:textId="77777777" w:rsidR="009E2F27" w:rsidRPr="00EB31F2" w:rsidRDefault="009E2F27">
            <w:pPr>
              <w:keepLines/>
              <w:jc w:val="center"/>
              <w:rPr>
                <w:rFonts w:ascii="Arial Narrow" w:hAnsi="Arial Narrow" w:cs="Arial"/>
                <w:sz w:val="20"/>
                <w:szCs w:val="20"/>
              </w:rPr>
            </w:pPr>
          </w:p>
        </w:tc>
        <w:tc>
          <w:tcPr>
            <w:tcW w:w="812" w:type="dxa"/>
            <w:vMerge/>
            <w:vAlign w:val="center"/>
          </w:tcPr>
          <w:p w14:paraId="6768E885" w14:textId="77777777" w:rsidR="009E2F27" w:rsidRPr="00EB31F2" w:rsidRDefault="009E2F27">
            <w:pPr>
              <w:keepLines/>
              <w:jc w:val="center"/>
              <w:rPr>
                <w:rFonts w:ascii="Arial Narrow" w:hAnsi="Arial Narrow" w:cs="Arial"/>
                <w:sz w:val="20"/>
                <w:szCs w:val="20"/>
              </w:rPr>
            </w:pPr>
          </w:p>
        </w:tc>
        <w:tc>
          <w:tcPr>
            <w:tcW w:w="1831" w:type="dxa"/>
            <w:vMerge/>
            <w:vAlign w:val="center"/>
          </w:tcPr>
          <w:p w14:paraId="3EAD3492" w14:textId="77777777" w:rsidR="009E2F27" w:rsidRPr="00EB31F2" w:rsidRDefault="009E2F27">
            <w:pPr>
              <w:keepLines/>
              <w:rPr>
                <w:rFonts w:ascii="Arial Narrow" w:hAnsi="Arial Narrow" w:cs="Arial"/>
                <w:sz w:val="20"/>
                <w:szCs w:val="20"/>
              </w:rPr>
            </w:pPr>
          </w:p>
        </w:tc>
      </w:tr>
      <w:tr w:rsidR="009E2F27" w:rsidRPr="00EB31F2" w14:paraId="38060EED"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028CB26" w14:textId="77777777" w:rsidR="009E2F27" w:rsidRPr="00EB31F2" w:rsidRDefault="009E2F27">
            <w:pPr>
              <w:rPr>
                <w:rFonts w:ascii="Arial Narrow" w:hAnsi="Arial Narrow" w:cs="Arial"/>
                <w:sz w:val="20"/>
                <w:szCs w:val="20"/>
              </w:rPr>
            </w:pPr>
          </w:p>
        </w:tc>
      </w:tr>
      <w:tr w:rsidR="009E2F27" w:rsidRPr="00EB31F2" w14:paraId="10C45CF5"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B7774B0" w14:textId="6EAB6303" w:rsidR="009E2F27" w:rsidRPr="00EB31F2" w:rsidRDefault="009E2F27">
            <w:pPr>
              <w:keepLines/>
              <w:rPr>
                <w:rFonts w:ascii="Arial Narrow" w:hAnsi="Arial Narrow" w:cs="Arial"/>
                <w:b/>
                <w:sz w:val="20"/>
                <w:szCs w:val="20"/>
              </w:rPr>
            </w:pPr>
            <w:r w:rsidRPr="00EB31F2">
              <w:rPr>
                <w:rFonts w:ascii="Arial Narrow" w:hAnsi="Arial Narrow"/>
                <w:b/>
                <w:sz w:val="20"/>
                <w:szCs w:val="20"/>
              </w:rPr>
              <w:t>Restriction Summary 118</w:t>
            </w:r>
            <w:r w:rsidR="00D134B6" w:rsidRPr="00EB31F2">
              <w:rPr>
                <w:rFonts w:ascii="Arial Narrow" w:hAnsi="Arial Narrow"/>
                <w:b/>
                <w:sz w:val="20"/>
                <w:szCs w:val="20"/>
              </w:rPr>
              <w:t>95</w:t>
            </w:r>
            <w:r w:rsidRPr="00EB31F2">
              <w:rPr>
                <w:rFonts w:ascii="Arial Narrow" w:hAnsi="Arial Narrow"/>
                <w:b/>
                <w:sz w:val="20"/>
                <w:szCs w:val="20"/>
              </w:rPr>
              <w:t xml:space="preserve"> / Treatment of Concept: </w:t>
            </w:r>
            <w:r w:rsidR="00D134B6" w:rsidRPr="00EB31F2">
              <w:rPr>
                <w:rFonts w:ascii="Arial Narrow" w:hAnsi="Arial Narrow"/>
                <w:b/>
                <w:sz w:val="20"/>
                <w:szCs w:val="20"/>
              </w:rPr>
              <w:t>11842</w:t>
            </w:r>
          </w:p>
        </w:tc>
      </w:tr>
      <w:tr w:rsidR="00D134B6" w:rsidRPr="00EB31F2" w14:paraId="0E041643"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582ECE63" w14:textId="77777777" w:rsidR="009E2F27" w:rsidRPr="00EB31F2" w:rsidRDefault="009E2F27">
            <w:pPr>
              <w:jc w:val="center"/>
              <w:rPr>
                <w:rFonts w:ascii="Arial Narrow" w:hAnsi="Arial Narrow" w:cs="Arial"/>
                <w:b/>
                <w:sz w:val="20"/>
                <w:szCs w:val="20"/>
              </w:rPr>
            </w:pPr>
            <w:r w:rsidRPr="00EB31F2">
              <w:rPr>
                <w:rFonts w:ascii="Arial Narrow" w:hAnsi="Arial Narrow" w:cs="Arial"/>
                <w:b/>
                <w:sz w:val="20"/>
                <w:szCs w:val="20"/>
              </w:rPr>
              <w:t xml:space="preserve">Concept ID </w:t>
            </w:r>
            <w:r w:rsidRPr="00EB31F2">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6B08C53" w14:textId="77777777" w:rsidR="009E2F27" w:rsidRPr="00EB31F2" w:rsidRDefault="009E2F27">
            <w:pPr>
              <w:keepLines/>
              <w:rPr>
                <w:rFonts w:ascii="Arial Narrow" w:hAnsi="Arial Narrow" w:cs="Arial"/>
                <w:sz w:val="20"/>
                <w:szCs w:val="20"/>
              </w:rPr>
            </w:pPr>
            <w:r w:rsidRPr="00EB31F2">
              <w:rPr>
                <w:rFonts w:ascii="Arial Narrow" w:hAnsi="Arial Narrow" w:cs="Arial"/>
                <w:b/>
                <w:sz w:val="20"/>
                <w:szCs w:val="20"/>
              </w:rPr>
              <w:t xml:space="preserve">Category / Program: </w:t>
            </w:r>
            <w:r w:rsidRPr="00EB31F2">
              <w:rPr>
                <w:rFonts w:ascii="Arial Narrow" w:hAnsi="Arial Narrow" w:cs="Arial"/>
                <w:sz w:val="20"/>
                <w:szCs w:val="20"/>
              </w:rPr>
              <w:t xml:space="preserve">Section 100 – Highly Specialised Drugs </w:t>
            </w:r>
          </w:p>
        </w:tc>
      </w:tr>
      <w:tr w:rsidR="00D134B6" w:rsidRPr="00EB31F2" w14:paraId="5DB09EFB"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4DD6AE1A" w14:textId="77777777" w:rsidR="009E2F27" w:rsidRPr="00EB31F2" w:rsidRDefault="009E2F2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FE20A44" w14:textId="77777777" w:rsidR="009E2F27" w:rsidRPr="00EB31F2" w:rsidRDefault="009E2F27">
            <w:pPr>
              <w:keepLines/>
              <w:rPr>
                <w:rFonts w:ascii="Arial Narrow" w:hAnsi="Arial Narrow" w:cs="Arial"/>
                <w:b/>
                <w:sz w:val="20"/>
                <w:szCs w:val="20"/>
              </w:rPr>
            </w:pPr>
            <w:r w:rsidRPr="00EB31F2">
              <w:rPr>
                <w:rFonts w:ascii="Arial Narrow" w:hAnsi="Arial Narrow" w:cs="Arial"/>
                <w:b/>
                <w:sz w:val="20"/>
                <w:szCs w:val="20"/>
              </w:rPr>
              <w:t xml:space="preserve">Prescriber type: </w:t>
            </w:r>
            <w:r w:rsidRPr="00EB31F2">
              <w:rPr>
                <w:rFonts w:ascii="Arial Narrow" w:hAnsi="Arial Narrow" w:cs="Arial"/>
                <w:sz w:val="20"/>
                <w:szCs w:val="20"/>
              </w:rPr>
              <w:fldChar w:fldCharType="begin" w:fldLock="1">
                <w:ffData>
                  <w:name w:val=""/>
                  <w:enabled/>
                  <w:calcOnExit w:val="0"/>
                  <w:checkBox>
                    <w:sizeAuto/>
                    <w:default w:val="1"/>
                  </w:checkBox>
                </w:ffData>
              </w:fldChar>
            </w:r>
            <w:r w:rsidRPr="00EB31F2">
              <w:rPr>
                <w:rFonts w:ascii="Arial Narrow" w:hAnsi="Arial Narrow" w:cs="Arial"/>
                <w:sz w:val="20"/>
                <w:szCs w:val="20"/>
              </w:rPr>
              <w:instrText xml:space="preserve"> FORMCHECKBOX </w:instrText>
            </w:r>
            <w:r w:rsidR="00165390">
              <w:rPr>
                <w:rFonts w:ascii="Arial Narrow" w:hAnsi="Arial Narrow" w:cs="Arial"/>
                <w:sz w:val="20"/>
                <w:szCs w:val="20"/>
              </w:rPr>
            </w:r>
            <w:r w:rsidR="00165390">
              <w:rPr>
                <w:rFonts w:ascii="Arial Narrow" w:hAnsi="Arial Narrow" w:cs="Arial"/>
                <w:sz w:val="20"/>
                <w:szCs w:val="20"/>
              </w:rPr>
              <w:fldChar w:fldCharType="separate"/>
            </w:r>
            <w:r w:rsidRPr="00EB31F2">
              <w:rPr>
                <w:rFonts w:ascii="Arial Narrow" w:hAnsi="Arial Narrow" w:cs="Arial"/>
                <w:sz w:val="20"/>
                <w:szCs w:val="20"/>
              </w:rPr>
              <w:fldChar w:fldCharType="end"/>
            </w:r>
            <w:r w:rsidRPr="00EB31F2">
              <w:rPr>
                <w:rFonts w:ascii="Arial Narrow" w:hAnsi="Arial Narrow" w:cs="Arial"/>
                <w:sz w:val="20"/>
                <w:szCs w:val="20"/>
              </w:rPr>
              <w:t>Medical Practitioners</w:t>
            </w:r>
          </w:p>
        </w:tc>
      </w:tr>
      <w:tr w:rsidR="00D134B6" w:rsidRPr="00EB31F2" w14:paraId="17097D9E" w14:textId="77777777" w:rsidTr="00C8674F">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5BCFD993" w14:textId="77777777" w:rsidR="009E2F27" w:rsidRPr="00EB31F2" w:rsidRDefault="009E2F2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AD258A8" w14:textId="77777777" w:rsidR="00D134B6" w:rsidRPr="00EB31F2" w:rsidRDefault="009E2F27">
            <w:pPr>
              <w:keepLines/>
              <w:jc w:val="left"/>
              <w:rPr>
                <w:rFonts w:ascii="Arial Narrow" w:hAnsi="Arial Narrow" w:cs="Arial"/>
                <w:b/>
                <w:sz w:val="20"/>
                <w:szCs w:val="20"/>
              </w:rPr>
            </w:pPr>
            <w:r w:rsidRPr="00EB31F2">
              <w:rPr>
                <w:rFonts w:ascii="Arial Narrow" w:hAnsi="Arial Narrow" w:cs="Arial"/>
                <w:b/>
                <w:sz w:val="20"/>
                <w:szCs w:val="20"/>
              </w:rPr>
              <w:t xml:space="preserve">Restriction type: </w:t>
            </w:r>
          </w:p>
          <w:p w14:paraId="4FDAC6CD" w14:textId="4A706D4C" w:rsidR="009E2F27" w:rsidRPr="00EB31F2" w:rsidRDefault="00D134B6">
            <w:pPr>
              <w:keepLines/>
              <w:jc w:val="left"/>
              <w:rPr>
                <w:rFonts w:ascii="Arial Narrow" w:eastAsia="Calibri" w:hAnsi="Arial Narrow" w:cs="Arial"/>
                <w:sz w:val="20"/>
                <w:szCs w:val="20"/>
              </w:rPr>
            </w:pPr>
            <w:r w:rsidRPr="00EB31F2">
              <w:rPr>
                <w:rFonts w:ascii="Arial Narrow" w:eastAsia="Calibri" w:hAnsi="Arial Narrow" w:cs="Arial"/>
                <w:sz w:val="20"/>
                <w:szCs w:val="20"/>
              </w:rPr>
              <w:fldChar w:fldCharType="begin" w:fldLock="1">
                <w:ffData>
                  <w:name w:val=""/>
                  <w:enabled/>
                  <w:calcOnExit w:val="0"/>
                  <w:checkBox>
                    <w:sizeAuto/>
                    <w:default w:val="1"/>
                  </w:checkBox>
                </w:ffData>
              </w:fldChar>
            </w:r>
            <w:r w:rsidRPr="00EB31F2">
              <w:rPr>
                <w:rFonts w:ascii="Arial Narrow" w:eastAsia="Calibri" w:hAnsi="Arial Narrow" w:cs="Arial"/>
                <w:sz w:val="20"/>
                <w:szCs w:val="20"/>
              </w:rPr>
              <w:instrText xml:space="preserve"> FORMCHECKBOX </w:instrText>
            </w:r>
            <w:r w:rsidR="00165390">
              <w:rPr>
                <w:rFonts w:ascii="Arial Narrow" w:eastAsia="Calibri" w:hAnsi="Arial Narrow" w:cs="Arial"/>
                <w:sz w:val="20"/>
                <w:szCs w:val="20"/>
              </w:rPr>
            </w:r>
            <w:r w:rsidR="00165390">
              <w:rPr>
                <w:rFonts w:ascii="Arial Narrow" w:eastAsia="Calibri" w:hAnsi="Arial Narrow" w:cs="Arial"/>
                <w:sz w:val="20"/>
                <w:szCs w:val="20"/>
              </w:rPr>
              <w:fldChar w:fldCharType="separate"/>
            </w:r>
            <w:r w:rsidRPr="00EB31F2">
              <w:rPr>
                <w:rFonts w:ascii="Arial Narrow" w:eastAsia="Calibri" w:hAnsi="Arial Narrow" w:cs="Arial"/>
                <w:sz w:val="20"/>
                <w:szCs w:val="20"/>
              </w:rPr>
              <w:fldChar w:fldCharType="end"/>
            </w:r>
            <w:r w:rsidRPr="00EB31F2">
              <w:rPr>
                <w:rFonts w:ascii="Arial Narrow" w:eastAsia="Calibri" w:hAnsi="Arial Narrow" w:cs="Arial"/>
                <w:i/>
                <w:iCs/>
                <w:sz w:val="20"/>
                <w:szCs w:val="20"/>
              </w:rPr>
              <w:t>Authority Required (STREAMLINED)</w:t>
            </w:r>
            <w:r w:rsidR="009E2F27" w:rsidRPr="00EB31F2">
              <w:rPr>
                <w:rFonts w:ascii="Arial Narrow" w:eastAsia="Calibri" w:hAnsi="Arial Narrow" w:cs="Arial"/>
                <w:sz w:val="20"/>
                <w:szCs w:val="20"/>
              </w:rPr>
              <w:br/>
            </w:r>
            <w:r w:rsidR="00821D98" w:rsidRPr="00EB31F2">
              <w:rPr>
                <w:rFonts w:ascii="Arial Narrow" w:eastAsia="Calibri" w:hAnsi="Arial Narrow" w:cs="Arial"/>
                <w:sz w:val="20"/>
                <w:szCs w:val="20"/>
              </w:rPr>
              <w:fldChar w:fldCharType="begin" w:fldLock="1">
                <w:ffData>
                  <w:name w:val=""/>
                  <w:enabled/>
                  <w:calcOnExit w:val="0"/>
                  <w:checkBox>
                    <w:sizeAuto/>
                    <w:default w:val="0"/>
                  </w:checkBox>
                </w:ffData>
              </w:fldChar>
            </w:r>
            <w:r w:rsidR="00821D98" w:rsidRPr="00EB31F2">
              <w:rPr>
                <w:rFonts w:ascii="Arial Narrow" w:eastAsia="Calibri" w:hAnsi="Arial Narrow" w:cs="Arial"/>
                <w:sz w:val="20"/>
                <w:szCs w:val="20"/>
              </w:rPr>
              <w:instrText xml:space="preserve"> FORMCHECKBOX </w:instrText>
            </w:r>
            <w:r w:rsidR="00165390">
              <w:rPr>
                <w:rFonts w:ascii="Arial Narrow" w:eastAsia="Calibri" w:hAnsi="Arial Narrow" w:cs="Arial"/>
                <w:sz w:val="20"/>
                <w:szCs w:val="20"/>
              </w:rPr>
            </w:r>
            <w:r w:rsidR="00165390">
              <w:rPr>
                <w:rFonts w:ascii="Arial Narrow" w:eastAsia="Calibri" w:hAnsi="Arial Narrow" w:cs="Arial"/>
                <w:sz w:val="20"/>
                <w:szCs w:val="20"/>
              </w:rPr>
              <w:fldChar w:fldCharType="separate"/>
            </w:r>
            <w:r w:rsidR="00821D98" w:rsidRPr="00EB31F2">
              <w:rPr>
                <w:rFonts w:ascii="Arial Narrow" w:eastAsia="Calibri" w:hAnsi="Arial Narrow" w:cs="Arial"/>
                <w:sz w:val="20"/>
                <w:szCs w:val="20"/>
              </w:rPr>
              <w:fldChar w:fldCharType="end"/>
            </w:r>
            <w:r w:rsidR="00821D98" w:rsidRPr="00EB31F2">
              <w:rPr>
                <w:rFonts w:ascii="Arial Narrow" w:eastAsia="Calibri" w:hAnsi="Arial Narrow" w:cs="Arial"/>
                <w:strike/>
                <w:sz w:val="20"/>
                <w:szCs w:val="20"/>
              </w:rPr>
              <w:t>Authority Required (in writing only via post/HPOS upload)</w:t>
            </w:r>
          </w:p>
        </w:tc>
      </w:tr>
      <w:tr w:rsidR="00C8674F" w:rsidRPr="00EB31F2" w14:paraId="2D20FA43" w14:textId="77777777">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bottom w:val="single" w:sz="4" w:space="0" w:color="auto"/>
              <w:right w:val="single" w:sz="4" w:space="0" w:color="auto"/>
            </w:tcBorders>
          </w:tcPr>
          <w:p w14:paraId="31766FD4" w14:textId="77777777" w:rsidR="00C8674F" w:rsidRPr="00EB31F2" w:rsidRDefault="00C8674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0837491" w14:textId="77777777" w:rsidR="00C8674F" w:rsidRPr="00EB31F2" w:rsidRDefault="00C8674F" w:rsidP="00C8674F">
            <w:pPr>
              <w:keepLines/>
              <w:jc w:val="left"/>
              <w:rPr>
                <w:rFonts w:ascii="Arial Narrow" w:hAnsi="Arial Narrow" w:cs="Arial"/>
                <w:b/>
                <w:bCs/>
                <w:sz w:val="20"/>
                <w:szCs w:val="20"/>
              </w:rPr>
            </w:pPr>
            <w:r w:rsidRPr="00EB31F2">
              <w:rPr>
                <w:rFonts w:ascii="Arial Narrow" w:hAnsi="Arial Narrow" w:cs="Arial"/>
                <w:b/>
                <w:bCs/>
                <w:sz w:val="20"/>
                <w:szCs w:val="20"/>
              </w:rPr>
              <w:t xml:space="preserve">Treatment phase: </w:t>
            </w:r>
          </w:p>
          <w:p w14:paraId="27ACD981" w14:textId="1123FF94" w:rsidR="00C8674F" w:rsidRPr="00EB31F2" w:rsidRDefault="00C8674F" w:rsidP="00C8674F">
            <w:pPr>
              <w:keepLines/>
              <w:jc w:val="left"/>
              <w:rPr>
                <w:rFonts w:ascii="Arial Narrow" w:hAnsi="Arial Narrow" w:cs="Arial"/>
                <w:b/>
                <w:sz w:val="20"/>
                <w:szCs w:val="20"/>
              </w:rPr>
            </w:pPr>
            <w:r w:rsidRPr="00EB31F2">
              <w:rPr>
                <w:rFonts w:ascii="Arial Narrow" w:hAnsi="Arial Narrow" w:cs="Arial"/>
                <w:sz w:val="20"/>
                <w:szCs w:val="20"/>
              </w:rPr>
              <w:t>Continuing treatment</w:t>
            </w:r>
          </w:p>
        </w:tc>
      </w:tr>
    </w:tbl>
    <w:p w14:paraId="060D324C" w14:textId="2CF55F26" w:rsidR="004A0AA0" w:rsidRPr="00EB31F2" w:rsidRDefault="00B825A1" w:rsidP="004266CA">
      <w:pPr>
        <w:pStyle w:val="3Bodytext"/>
        <w:keepNext/>
        <w:numPr>
          <w:ilvl w:val="0"/>
          <w:numId w:val="0"/>
        </w:numPr>
        <w:spacing w:before="240"/>
        <w:ind w:left="720" w:hanging="720"/>
        <w:rPr>
          <w:rFonts w:cstheme="minorHAnsi"/>
          <w:b/>
          <w:bCs/>
          <w:szCs w:val="24"/>
          <w:u w:val="single"/>
        </w:rPr>
      </w:pPr>
      <w:r w:rsidRPr="00EB31F2">
        <w:rPr>
          <w:rFonts w:cstheme="minorHAnsi"/>
          <w:b/>
          <w:bCs/>
          <w:szCs w:val="24"/>
          <w:u w:val="single"/>
        </w:rPr>
        <w:lastRenderedPageBreak/>
        <w:t>Amendment of clinical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9A7178" w:rsidRPr="00EB31F2" w14:paraId="4E4461B4" w14:textId="77777777">
        <w:trPr>
          <w:cantSplit/>
          <w:trHeight w:val="20"/>
        </w:trPr>
        <w:tc>
          <w:tcPr>
            <w:tcW w:w="3939" w:type="dxa"/>
            <w:gridSpan w:val="2"/>
            <w:vAlign w:val="center"/>
          </w:tcPr>
          <w:p w14:paraId="0FC314E8" w14:textId="77777777" w:rsidR="009A7178" w:rsidRPr="00EB31F2" w:rsidRDefault="009A7178" w:rsidP="004266CA">
            <w:pPr>
              <w:keepNext/>
              <w:keepLines/>
              <w:rPr>
                <w:rFonts w:ascii="Arial Narrow" w:hAnsi="Arial Narrow" w:cs="Arial"/>
                <w:b/>
                <w:bCs/>
                <w:sz w:val="20"/>
                <w:szCs w:val="20"/>
              </w:rPr>
            </w:pPr>
            <w:r w:rsidRPr="00EB31F2">
              <w:rPr>
                <w:rFonts w:ascii="Arial Narrow" w:hAnsi="Arial Narrow" w:cs="Arial"/>
                <w:b/>
                <w:bCs/>
                <w:sz w:val="20"/>
                <w:szCs w:val="20"/>
              </w:rPr>
              <w:t>MEDICINAL PRODUCT</w:t>
            </w:r>
          </w:p>
          <w:p w14:paraId="4A05B58A" w14:textId="77777777" w:rsidR="009A7178" w:rsidRPr="00EB31F2" w:rsidRDefault="009A7178" w:rsidP="004266CA">
            <w:pPr>
              <w:keepNext/>
              <w:keepLines/>
              <w:rPr>
                <w:rFonts w:ascii="Arial Narrow" w:hAnsi="Arial Narrow" w:cs="Arial"/>
                <w:b/>
                <w:sz w:val="20"/>
                <w:szCs w:val="20"/>
              </w:rPr>
            </w:pPr>
            <w:r w:rsidRPr="00EB31F2">
              <w:rPr>
                <w:rFonts w:ascii="Arial Narrow" w:hAnsi="Arial Narrow" w:cs="Arial"/>
                <w:b/>
                <w:bCs/>
                <w:sz w:val="20"/>
                <w:szCs w:val="20"/>
              </w:rPr>
              <w:t>medicinal product pack</w:t>
            </w:r>
          </w:p>
        </w:tc>
        <w:tc>
          <w:tcPr>
            <w:tcW w:w="811" w:type="dxa"/>
            <w:vAlign w:val="center"/>
          </w:tcPr>
          <w:p w14:paraId="58123DE2" w14:textId="77777777" w:rsidR="009A7178" w:rsidRPr="00EB31F2" w:rsidRDefault="009A7178" w:rsidP="004266CA">
            <w:pPr>
              <w:keepNext/>
              <w:keepLines/>
              <w:jc w:val="center"/>
              <w:rPr>
                <w:rFonts w:ascii="Arial Narrow" w:hAnsi="Arial Narrow" w:cs="Arial"/>
                <w:b/>
                <w:sz w:val="20"/>
                <w:szCs w:val="20"/>
              </w:rPr>
            </w:pPr>
            <w:r w:rsidRPr="00EB31F2">
              <w:rPr>
                <w:rFonts w:ascii="Arial Narrow" w:hAnsi="Arial Narrow" w:cs="Arial"/>
                <w:b/>
                <w:sz w:val="20"/>
                <w:szCs w:val="20"/>
              </w:rPr>
              <w:t>PBS item code</w:t>
            </w:r>
          </w:p>
        </w:tc>
        <w:tc>
          <w:tcPr>
            <w:tcW w:w="812" w:type="dxa"/>
            <w:vAlign w:val="center"/>
          </w:tcPr>
          <w:p w14:paraId="4EDCDD45" w14:textId="77777777" w:rsidR="009A7178" w:rsidRPr="00EB31F2" w:rsidRDefault="009A7178" w:rsidP="004266CA">
            <w:pPr>
              <w:keepNext/>
              <w:keepLines/>
              <w:jc w:val="center"/>
              <w:rPr>
                <w:rFonts w:ascii="Arial Narrow" w:hAnsi="Arial Narrow" w:cs="Arial"/>
                <w:b/>
                <w:sz w:val="20"/>
                <w:szCs w:val="20"/>
              </w:rPr>
            </w:pPr>
            <w:r w:rsidRPr="00EB31F2">
              <w:rPr>
                <w:rFonts w:ascii="Arial Narrow" w:hAnsi="Arial Narrow" w:cs="Arial"/>
                <w:b/>
                <w:sz w:val="20"/>
                <w:szCs w:val="20"/>
              </w:rPr>
              <w:t>Max. qty packs</w:t>
            </w:r>
          </w:p>
        </w:tc>
        <w:tc>
          <w:tcPr>
            <w:tcW w:w="811" w:type="dxa"/>
            <w:vAlign w:val="center"/>
          </w:tcPr>
          <w:p w14:paraId="0A217590" w14:textId="77777777" w:rsidR="009A7178" w:rsidRPr="00EB31F2" w:rsidRDefault="009A7178" w:rsidP="004266CA">
            <w:pPr>
              <w:keepNext/>
              <w:keepLines/>
              <w:jc w:val="center"/>
              <w:rPr>
                <w:rFonts w:ascii="Arial Narrow" w:hAnsi="Arial Narrow" w:cs="Arial"/>
                <w:b/>
                <w:sz w:val="20"/>
                <w:szCs w:val="20"/>
              </w:rPr>
            </w:pPr>
            <w:r w:rsidRPr="00EB31F2">
              <w:rPr>
                <w:rFonts w:ascii="Arial Narrow" w:hAnsi="Arial Narrow" w:cs="Arial"/>
                <w:b/>
                <w:sz w:val="20"/>
                <w:szCs w:val="20"/>
              </w:rPr>
              <w:t>Max. qty units</w:t>
            </w:r>
          </w:p>
        </w:tc>
        <w:tc>
          <w:tcPr>
            <w:tcW w:w="812" w:type="dxa"/>
            <w:vAlign w:val="center"/>
          </w:tcPr>
          <w:p w14:paraId="40A7D274" w14:textId="457325C2" w:rsidR="009A7178" w:rsidRPr="00EB31F2" w:rsidRDefault="00B166BA" w:rsidP="004266CA">
            <w:pPr>
              <w:keepNext/>
              <w:keepLines/>
              <w:jc w:val="center"/>
              <w:rPr>
                <w:rFonts w:ascii="Arial Narrow" w:hAnsi="Arial Narrow" w:cs="Arial"/>
                <w:b/>
                <w:sz w:val="20"/>
                <w:szCs w:val="20"/>
              </w:rPr>
            </w:pPr>
            <w:r w:rsidRPr="00EB31F2">
              <w:rPr>
                <w:rFonts w:ascii="Arial Narrow" w:hAnsi="Arial Narrow" w:cs="Arial"/>
                <w:b/>
                <w:sz w:val="20"/>
                <w:szCs w:val="20"/>
              </w:rPr>
              <w:t>№. of</w:t>
            </w:r>
          </w:p>
          <w:p w14:paraId="01418E60" w14:textId="77777777" w:rsidR="009A7178" w:rsidRPr="00EB31F2" w:rsidRDefault="009A7178" w:rsidP="004266CA">
            <w:pPr>
              <w:keepNext/>
              <w:keepLines/>
              <w:jc w:val="center"/>
              <w:rPr>
                <w:rFonts w:ascii="Arial Narrow" w:hAnsi="Arial Narrow" w:cs="Arial"/>
                <w:b/>
                <w:sz w:val="20"/>
                <w:szCs w:val="20"/>
              </w:rPr>
            </w:pPr>
            <w:r w:rsidRPr="00EB31F2">
              <w:rPr>
                <w:rFonts w:ascii="Arial Narrow" w:hAnsi="Arial Narrow" w:cs="Arial"/>
                <w:b/>
                <w:sz w:val="20"/>
                <w:szCs w:val="20"/>
              </w:rPr>
              <w:t>Rpts</w:t>
            </w:r>
          </w:p>
        </w:tc>
        <w:tc>
          <w:tcPr>
            <w:tcW w:w="1831" w:type="dxa"/>
            <w:vAlign w:val="center"/>
          </w:tcPr>
          <w:p w14:paraId="4AFFB15F" w14:textId="77777777" w:rsidR="009A7178" w:rsidRPr="00EB31F2" w:rsidRDefault="009A7178" w:rsidP="004266CA">
            <w:pPr>
              <w:keepNext/>
              <w:keepLines/>
              <w:rPr>
                <w:rFonts w:ascii="Arial Narrow" w:hAnsi="Arial Narrow" w:cs="Arial"/>
                <w:b/>
                <w:sz w:val="20"/>
                <w:szCs w:val="20"/>
              </w:rPr>
            </w:pPr>
            <w:r w:rsidRPr="00EB31F2">
              <w:rPr>
                <w:rFonts w:ascii="Arial Narrow" w:hAnsi="Arial Narrow" w:cs="Arial"/>
                <w:b/>
                <w:sz w:val="20"/>
                <w:szCs w:val="20"/>
              </w:rPr>
              <w:t>Available brands</w:t>
            </w:r>
          </w:p>
        </w:tc>
      </w:tr>
      <w:tr w:rsidR="009A7178" w:rsidRPr="00EB31F2" w14:paraId="30B0B328" w14:textId="77777777">
        <w:trPr>
          <w:cantSplit/>
          <w:trHeight w:val="20"/>
        </w:trPr>
        <w:tc>
          <w:tcPr>
            <w:tcW w:w="9016" w:type="dxa"/>
            <w:gridSpan w:val="7"/>
            <w:vAlign w:val="center"/>
          </w:tcPr>
          <w:p w14:paraId="306513AD" w14:textId="77777777" w:rsidR="009A7178" w:rsidRPr="00EB31F2" w:rsidRDefault="009A7178" w:rsidP="004266CA">
            <w:pPr>
              <w:keepNext/>
              <w:keepLines/>
              <w:rPr>
                <w:rFonts w:ascii="Arial Narrow" w:hAnsi="Arial Narrow" w:cs="Arial"/>
                <w:sz w:val="20"/>
                <w:szCs w:val="20"/>
              </w:rPr>
            </w:pPr>
            <w:r w:rsidRPr="00EB31F2">
              <w:rPr>
                <w:rFonts w:ascii="Arial Narrow" w:hAnsi="Arial Narrow" w:cs="Arial"/>
                <w:sz w:val="20"/>
                <w:szCs w:val="20"/>
              </w:rPr>
              <w:t>MEPOLIZUMAB</w:t>
            </w:r>
          </w:p>
        </w:tc>
      </w:tr>
      <w:tr w:rsidR="009A7178" w:rsidRPr="00EB31F2" w14:paraId="50CC5C6F" w14:textId="77777777">
        <w:trPr>
          <w:cantSplit/>
          <w:trHeight w:val="20"/>
        </w:trPr>
        <w:tc>
          <w:tcPr>
            <w:tcW w:w="3939" w:type="dxa"/>
            <w:gridSpan w:val="2"/>
            <w:vMerge w:val="restart"/>
            <w:vAlign w:val="center"/>
          </w:tcPr>
          <w:p w14:paraId="05D5E12C" w14:textId="77777777" w:rsidR="009A7178" w:rsidRPr="00EB31F2" w:rsidRDefault="009A7178" w:rsidP="004266CA">
            <w:pPr>
              <w:keepNext/>
              <w:keepLines/>
              <w:rPr>
                <w:rFonts w:ascii="Arial Narrow" w:hAnsi="Arial Narrow" w:cs="Arial"/>
                <w:sz w:val="20"/>
                <w:szCs w:val="20"/>
              </w:rPr>
            </w:pPr>
            <w:r w:rsidRPr="00EB31F2">
              <w:rPr>
                <w:rFonts w:ascii="Arial Narrow" w:hAnsi="Arial Narrow" w:cs="Arial"/>
                <w:sz w:val="20"/>
                <w:szCs w:val="20"/>
              </w:rPr>
              <w:t>mepolizumab 100 mg injection, 1 vial</w:t>
            </w:r>
          </w:p>
        </w:tc>
        <w:tc>
          <w:tcPr>
            <w:tcW w:w="811" w:type="dxa"/>
            <w:vAlign w:val="center"/>
          </w:tcPr>
          <w:p w14:paraId="792C0E14" w14:textId="327BD09D" w:rsidR="009A7178" w:rsidRPr="00EB31F2" w:rsidRDefault="009A7178" w:rsidP="004266CA">
            <w:pPr>
              <w:keepNext/>
              <w:keepLines/>
              <w:jc w:val="center"/>
              <w:rPr>
                <w:rFonts w:ascii="Arial Narrow" w:hAnsi="Arial Narrow" w:cs="Arial"/>
                <w:sz w:val="20"/>
                <w:szCs w:val="20"/>
              </w:rPr>
            </w:pPr>
            <w:r w:rsidRPr="00EB31F2">
              <w:rPr>
                <w:rFonts w:ascii="Arial Narrow" w:hAnsi="Arial Narrow" w:cs="Arial"/>
                <w:sz w:val="20"/>
                <w:szCs w:val="20"/>
              </w:rPr>
              <w:t>109</w:t>
            </w:r>
            <w:r w:rsidR="004C69B6" w:rsidRPr="00EB31F2">
              <w:rPr>
                <w:rFonts w:ascii="Arial Narrow" w:hAnsi="Arial Narrow" w:cs="Arial"/>
                <w:sz w:val="20"/>
                <w:szCs w:val="20"/>
              </w:rPr>
              <w:t>9</w:t>
            </w:r>
            <w:r w:rsidRPr="00EB31F2">
              <w:rPr>
                <w:rFonts w:ascii="Arial Narrow" w:hAnsi="Arial Narrow" w:cs="Arial"/>
                <w:sz w:val="20"/>
                <w:szCs w:val="20"/>
              </w:rPr>
              <w:t>6R</w:t>
            </w:r>
          </w:p>
        </w:tc>
        <w:tc>
          <w:tcPr>
            <w:tcW w:w="812" w:type="dxa"/>
            <w:vMerge w:val="restart"/>
            <w:vAlign w:val="center"/>
          </w:tcPr>
          <w:p w14:paraId="2A24FED7" w14:textId="77777777" w:rsidR="009A7178" w:rsidRPr="00EB31F2" w:rsidRDefault="009A7178" w:rsidP="004266CA">
            <w:pPr>
              <w:keepNext/>
              <w:keepLines/>
              <w:jc w:val="center"/>
              <w:rPr>
                <w:rFonts w:ascii="Arial Narrow" w:hAnsi="Arial Narrow" w:cs="Arial"/>
                <w:sz w:val="20"/>
                <w:szCs w:val="20"/>
              </w:rPr>
            </w:pPr>
            <w:r w:rsidRPr="00EB31F2">
              <w:rPr>
                <w:rFonts w:ascii="Arial Narrow" w:hAnsi="Arial Narrow" w:cs="Arial"/>
                <w:sz w:val="20"/>
                <w:szCs w:val="20"/>
              </w:rPr>
              <w:t>1</w:t>
            </w:r>
          </w:p>
        </w:tc>
        <w:tc>
          <w:tcPr>
            <w:tcW w:w="811" w:type="dxa"/>
            <w:vMerge w:val="restart"/>
            <w:vAlign w:val="center"/>
          </w:tcPr>
          <w:p w14:paraId="68515565" w14:textId="77777777" w:rsidR="009A7178" w:rsidRPr="00EB31F2" w:rsidRDefault="009A7178" w:rsidP="004266CA">
            <w:pPr>
              <w:keepNext/>
              <w:keepLines/>
              <w:jc w:val="center"/>
              <w:rPr>
                <w:rFonts w:ascii="Arial Narrow" w:hAnsi="Arial Narrow" w:cs="Arial"/>
                <w:sz w:val="20"/>
                <w:szCs w:val="20"/>
              </w:rPr>
            </w:pPr>
            <w:r w:rsidRPr="00EB31F2">
              <w:rPr>
                <w:rFonts w:ascii="Arial Narrow" w:hAnsi="Arial Narrow" w:cs="Arial"/>
                <w:sz w:val="20"/>
                <w:szCs w:val="20"/>
              </w:rPr>
              <w:t>1</w:t>
            </w:r>
          </w:p>
        </w:tc>
        <w:tc>
          <w:tcPr>
            <w:tcW w:w="812" w:type="dxa"/>
            <w:vMerge w:val="restart"/>
            <w:vAlign w:val="center"/>
          </w:tcPr>
          <w:p w14:paraId="1345F4FC" w14:textId="77777777" w:rsidR="009A7178" w:rsidRPr="00EB31F2" w:rsidRDefault="009A7178" w:rsidP="004266CA">
            <w:pPr>
              <w:keepNext/>
              <w:keepLines/>
              <w:jc w:val="center"/>
              <w:rPr>
                <w:rFonts w:ascii="Arial Narrow" w:hAnsi="Arial Narrow" w:cs="Arial"/>
                <w:sz w:val="20"/>
                <w:szCs w:val="20"/>
              </w:rPr>
            </w:pPr>
            <w:r w:rsidRPr="00EB31F2">
              <w:rPr>
                <w:rFonts w:ascii="Arial Narrow" w:hAnsi="Arial Narrow" w:cs="Arial"/>
                <w:sz w:val="20"/>
                <w:szCs w:val="20"/>
              </w:rPr>
              <w:t>7</w:t>
            </w:r>
          </w:p>
        </w:tc>
        <w:tc>
          <w:tcPr>
            <w:tcW w:w="1831" w:type="dxa"/>
            <w:vMerge w:val="restart"/>
            <w:vAlign w:val="center"/>
          </w:tcPr>
          <w:p w14:paraId="7DD43398" w14:textId="77777777" w:rsidR="009A7178" w:rsidRPr="00EB31F2" w:rsidRDefault="009A7178" w:rsidP="004266CA">
            <w:pPr>
              <w:keepNext/>
              <w:keepLines/>
              <w:rPr>
                <w:rFonts w:ascii="Arial Narrow" w:hAnsi="Arial Narrow" w:cs="Arial"/>
                <w:sz w:val="20"/>
                <w:szCs w:val="20"/>
              </w:rPr>
            </w:pPr>
            <w:r w:rsidRPr="00EB31F2">
              <w:rPr>
                <w:rFonts w:ascii="Arial Narrow" w:hAnsi="Arial Narrow" w:cs="Arial"/>
                <w:sz w:val="20"/>
                <w:szCs w:val="20"/>
              </w:rPr>
              <w:t>Nucala</w:t>
            </w:r>
          </w:p>
        </w:tc>
      </w:tr>
      <w:tr w:rsidR="009A7178" w:rsidRPr="00EB31F2" w14:paraId="5382C132" w14:textId="77777777">
        <w:trPr>
          <w:cantSplit/>
          <w:trHeight w:val="20"/>
        </w:trPr>
        <w:tc>
          <w:tcPr>
            <w:tcW w:w="3939" w:type="dxa"/>
            <w:gridSpan w:val="2"/>
            <w:vMerge/>
            <w:vAlign w:val="center"/>
          </w:tcPr>
          <w:p w14:paraId="4B02DEDF" w14:textId="77777777" w:rsidR="009A7178" w:rsidRPr="00EB31F2" w:rsidRDefault="009A7178" w:rsidP="004266CA">
            <w:pPr>
              <w:keepNext/>
              <w:keepLines/>
              <w:rPr>
                <w:rFonts w:ascii="Arial Narrow" w:hAnsi="Arial Narrow" w:cs="Arial"/>
                <w:sz w:val="20"/>
                <w:szCs w:val="20"/>
              </w:rPr>
            </w:pPr>
          </w:p>
        </w:tc>
        <w:tc>
          <w:tcPr>
            <w:tcW w:w="811" w:type="dxa"/>
            <w:vAlign w:val="center"/>
          </w:tcPr>
          <w:p w14:paraId="482CF4F7" w14:textId="77777777" w:rsidR="009A7178" w:rsidRPr="00EB31F2" w:rsidRDefault="009A7178" w:rsidP="004266CA">
            <w:pPr>
              <w:keepNext/>
              <w:keepLines/>
              <w:jc w:val="center"/>
              <w:rPr>
                <w:rFonts w:ascii="Arial Narrow" w:hAnsi="Arial Narrow" w:cs="Arial"/>
                <w:sz w:val="20"/>
                <w:szCs w:val="20"/>
              </w:rPr>
            </w:pPr>
            <w:r w:rsidRPr="00EB31F2">
              <w:rPr>
                <w:rFonts w:ascii="Arial Narrow" w:hAnsi="Arial Narrow" w:cs="Arial"/>
                <w:sz w:val="20"/>
                <w:szCs w:val="20"/>
              </w:rPr>
              <w:t>11003D</w:t>
            </w:r>
          </w:p>
        </w:tc>
        <w:tc>
          <w:tcPr>
            <w:tcW w:w="812" w:type="dxa"/>
            <w:vMerge/>
            <w:vAlign w:val="center"/>
          </w:tcPr>
          <w:p w14:paraId="7FBE8D68" w14:textId="77777777" w:rsidR="009A7178" w:rsidRPr="00EB31F2" w:rsidRDefault="009A7178" w:rsidP="004266CA">
            <w:pPr>
              <w:keepNext/>
              <w:keepLines/>
              <w:jc w:val="center"/>
              <w:rPr>
                <w:rFonts w:ascii="Arial Narrow" w:hAnsi="Arial Narrow" w:cs="Arial"/>
                <w:sz w:val="20"/>
                <w:szCs w:val="20"/>
              </w:rPr>
            </w:pPr>
          </w:p>
        </w:tc>
        <w:tc>
          <w:tcPr>
            <w:tcW w:w="811" w:type="dxa"/>
            <w:vMerge/>
            <w:vAlign w:val="center"/>
          </w:tcPr>
          <w:p w14:paraId="4C43BB47" w14:textId="77777777" w:rsidR="009A7178" w:rsidRPr="00EB31F2" w:rsidRDefault="009A7178" w:rsidP="004266CA">
            <w:pPr>
              <w:keepNext/>
              <w:keepLines/>
              <w:jc w:val="center"/>
              <w:rPr>
                <w:rFonts w:ascii="Arial Narrow" w:hAnsi="Arial Narrow" w:cs="Arial"/>
                <w:sz w:val="20"/>
                <w:szCs w:val="20"/>
              </w:rPr>
            </w:pPr>
          </w:p>
        </w:tc>
        <w:tc>
          <w:tcPr>
            <w:tcW w:w="812" w:type="dxa"/>
            <w:vMerge/>
            <w:vAlign w:val="center"/>
          </w:tcPr>
          <w:p w14:paraId="5D746D3B" w14:textId="77777777" w:rsidR="009A7178" w:rsidRPr="00EB31F2" w:rsidRDefault="009A7178" w:rsidP="004266CA">
            <w:pPr>
              <w:keepNext/>
              <w:keepLines/>
              <w:jc w:val="center"/>
              <w:rPr>
                <w:rFonts w:ascii="Arial Narrow" w:hAnsi="Arial Narrow" w:cs="Arial"/>
                <w:sz w:val="20"/>
                <w:szCs w:val="20"/>
              </w:rPr>
            </w:pPr>
          </w:p>
        </w:tc>
        <w:tc>
          <w:tcPr>
            <w:tcW w:w="1831" w:type="dxa"/>
            <w:vMerge/>
            <w:vAlign w:val="center"/>
          </w:tcPr>
          <w:p w14:paraId="568F537D" w14:textId="77777777" w:rsidR="009A7178" w:rsidRPr="00EB31F2" w:rsidRDefault="009A7178" w:rsidP="004266CA">
            <w:pPr>
              <w:keepNext/>
              <w:keepLines/>
              <w:rPr>
                <w:rFonts w:ascii="Arial Narrow" w:hAnsi="Arial Narrow" w:cs="Arial"/>
                <w:sz w:val="20"/>
                <w:szCs w:val="20"/>
              </w:rPr>
            </w:pPr>
          </w:p>
        </w:tc>
      </w:tr>
      <w:tr w:rsidR="009A7178" w:rsidRPr="00EB31F2" w14:paraId="45CBF395" w14:textId="77777777">
        <w:trPr>
          <w:cantSplit/>
          <w:trHeight w:val="20"/>
        </w:trPr>
        <w:tc>
          <w:tcPr>
            <w:tcW w:w="3939" w:type="dxa"/>
            <w:gridSpan w:val="2"/>
            <w:vMerge w:val="restart"/>
            <w:vAlign w:val="center"/>
          </w:tcPr>
          <w:p w14:paraId="5A3A6C63" w14:textId="77777777" w:rsidR="009A7178" w:rsidRPr="00EB31F2" w:rsidRDefault="009A7178" w:rsidP="004266CA">
            <w:pPr>
              <w:keepNext/>
              <w:keepLines/>
              <w:rPr>
                <w:rFonts w:ascii="Arial Narrow" w:hAnsi="Arial Narrow" w:cs="Arial"/>
                <w:sz w:val="20"/>
                <w:szCs w:val="20"/>
              </w:rPr>
            </w:pPr>
            <w:r w:rsidRPr="00EB31F2">
              <w:rPr>
                <w:rFonts w:ascii="Arial Narrow" w:hAnsi="Arial Narrow" w:cs="Arial"/>
                <w:sz w:val="20"/>
                <w:szCs w:val="20"/>
              </w:rPr>
              <w:t>mepolizumab 100 mg/mL injection, 1 mL pen device</w:t>
            </w:r>
          </w:p>
        </w:tc>
        <w:tc>
          <w:tcPr>
            <w:tcW w:w="811" w:type="dxa"/>
            <w:vAlign w:val="center"/>
          </w:tcPr>
          <w:p w14:paraId="0E5CE7E9" w14:textId="77777777" w:rsidR="009A7178" w:rsidRPr="00EB31F2" w:rsidRDefault="009A7178" w:rsidP="004266CA">
            <w:pPr>
              <w:keepNext/>
              <w:keepLines/>
              <w:jc w:val="center"/>
              <w:rPr>
                <w:rFonts w:ascii="Arial Narrow" w:hAnsi="Arial Narrow" w:cs="Arial"/>
                <w:sz w:val="20"/>
                <w:szCs w:val="20"/>
              </w:rPr>
            </w:pPr>
            <w:r w:rsidRPr="00EB31F2">
              <w:rPr>
                <w:rFonts w:ascii="Arial Narrow" w:hAnsi="Arial Narrow" w:cs="Arial"/>
                <w:sz w:val="20"/>
                <w:szCs w:val="20"/>
              </w:rPr>
              <w:t>12007Y</w:t>
            </w:r>
          </w:p>
        </w:tc>
        <w:tc>
          <w:tcPr>
            <w:tcW w:w="812" w:type="dxa"/>
            <w:vMerge/>
            <w:vAlign w:val="center"/>
          </w:tcPr>
          <w:p w14:paraId="1D39963C" w14:textId="77777777" w:rsidR="009A7178" w:rsidRPr="00EB31F2" w:rsidRDefault="009A7178" w:rsidP="004266CA">
            <w:pPr>
              <w:keepNext/>
              <w:keepLines/>
              <w:jc w:val="center"/>
              <w:rPr>
                <w:rFonts w:ascii="Arial Narrow" w:hAnsi="Arial Narrow" w:cs="Arial"/>
                <w:sz w:val="20"/>
                <w:szCs w:val="20"/>
              </w:rPr>
            </w:pPr>
          </w:p>
        </w:tc>
        <w:tc>
          <w:tcPr>
            <w:tcW w:w="811" w:type="dxa"/>
            <w:vMerge/>
            <w:vAlign w:val="center"/>
          </w:tcPr>
          <w:p w14:paraId="4545454D" w14:textId="77777777" w:rsidR="009A7178" w:rsidRPr="00EB31F2" w:rsidRDefault="009A7178" w:rsidP="004266CA">
            <w:pPr>
              <w:keepNext/>
              <w:keepLines/>
              <w:jc w:val="center"/>
              <w:rPr>
                <w:rFonts w:ascii="Arial Narrow" w:hAnsi="Arial Narrow" w:cs="Arial"/>
                <w:sz w:val="20"/>
                <w:szCs w:val="20"/>
              </w:rPr>
            </w:pPr>
          </w:p>
        </w:tc>
        <w:tc>
          <w:tcPr>
            <w:tcW w:w="812" w:type="dxa"/>
            <w:vMerge/>
            <w:vAlign w:val="center"/>
          </w:tcPr>
          <w:p w14:paraId="0D807C15" w14:textId="77777777" w:rsidR="009A7178" w:rsidRPr="00EB31F2" w:rsidRDefault="009A7178" w:rsidP="004266CA">
            <w:pPr>
              <w:keepNext/>
              <w:keepLines/>
              <w:jc w:val="center"/>
              <w:rPr>
                <w:rFonts w:ascii="Arial Narrow" w:hAnsi="Arial Narrow" w:cs="Arial"/>
                <w:sz w:val="20"/>
                <w:szCs w:val="20"/>
              </w:rPr>
            </w:pPr>
          </w:p>
        </w:tc>
        <w:tc>
          <w:tcPr>
            <w:tcW w:w="1831" w:type="dxa"/>
            <w:vMerge/>
            <w:vAlign w:val="center"/>
          </w:tcPr>
          <w:p w14:paraId="1524F4B1" w14:textId="77777777" w:rsidR="009A7178" w:rsidRPr="00EB31F2" w:rsidRDefault="009A7178" w:rsidP="004266CA">
            <w:pPr>
              <w:keepNext/>
              <w:keepLines/>
              <w:rPr>
                <w:rFonts w:ascii="Arial Narrow" w:hAnsi="Arial Narrow" w:cs="Arial"/>
                <w:sz w:val="20"/>
                <w:szCs w:val="20"/>
              </w:rPr>
            </w:pPr>
          </w:p>
        </w:tc>
      </w:tr>
      <w:tr w:rsidR="009A7178" w:rsidRPr="00EB31F2" w14:paraId="126E383A" w14:textId="77777777">
        <w:trPr>
          <w:cantSplit/>
          <w:trHeight w:val="20"/>
        </w:trPr>
        <w:tc>
          <w:tcPr>
            <w:tcW w:w="3939" w:type="dxa"/>
            <w:gridSpan w:val="2"/>
            <w:vMerge/>
            <w:vAlign w:val="center"/>
          </w:tcPr>
          <w:p w14:paraId="3C4C6755" w14:textId="77777777" w:rsidR="009A7178" w:rsidRPr="00EB31F2" w:rsidRDefault="009A7178" w:rsidP="004266CA">
            <w:pPr>
              <w:keepNext/>
              <w:keepLines/>
              <w:rPr>
                <w:rFonts w:ascii="Arial Narrow" w:hAnsi="Arial Narrow" w:cs="Arial"/>
                <w:sz w:val="20"/>
                <w:szCs w:val="20"/>
              </w:rPr>
            </w:pPr>
          </w:p>
        </w:tc>
        <w:tc>
          <w:tcPr>
            <w:tcW w:w="811" w:type="dxa"/>
            <w:vAlign w:val="center"/>
          </w:tcPr>
          <w:p w14:paraId="5A24F74D" w14:textId="77777777" w:rsidR="009A7178" w:rsidRPr="00EB31F2" w:rsidRDefault="009A7178" w:rsidP="004266CA">
            <w:pPr>
              <w:keepNext/>
              <w:keepLines/>
              <w:jc w:val="center"/>
              <w:rPr>
                <w:rFonts w:ascii="Arial Narrow" w:hAnsi="Arial Narrow" w:cs="Arial"/>
                <w:sz w:val="20"/>
                <w:szCs w:val="20"/>
              </w:rPr>
            </w:pPr>
            <w:r w:rsidRPr="00EB31F2">
              <w:rPr>
                <w:rFonts w:ascii="Arial Narrow" w:hAnsi="Arial Narrow" w:cs="Arial"/>
                <w:sz w:val="20"/>
                <w:szCs w:val="20"/>
              </w:rPr>
              <w:t>12051G</w:t>
            </w:r>
          </w:p>
        </w:tc>
        <w:tc>
          <w:tcPr>
            <w:tcW w:w="812" w:type="dxa"/>
            <w:vMerge/>
            <w:vAlign w:val="center"/>
          </w:tcPr>
          <w:p w14:paraId="5730337E" w14:textId="77777777" w:rsidR="009A7178" w:rsidRPr="00EB31F2" w:rsidRDefault="009A7178" w:rsidP="004266CA">
            <w:pPr>
              <w:keepNext/>
              <w:keepLines/>
              <w:jc w:val="center"/>
              <w:rPr>
                <w:rFonts w:ascii="Arial Narrow" w:hAnsi="Arial Narrow" w:cs="Arial"/>
                <w:sz w:val="20"/>
                <w:szCs w:val="20"/>
              </w:rPr>
            </w:pPr>
          </w:p>
        </w:tc>
        <w:tc>
          <w:tcPr>
            <w:tcW w:w="811" w:type="dxa"/>
            <w:vMerge/>
            <w:vAlign w:val="center"/>
          </w:tcPr>
          <w:p w14:paraId="6F343F8A" w14:textId="77777777" w:rsidR="009A7178" w:rsidRPr="00EB31F2" w:rsidRDefault="009A7178" w:rsidP="004266CA">
            <w:pPr>
              <w:keepNext/>
              <w:keepLines/>
              <w:jc w:val="center"/>
              <w:rPr>
                <w:rFonts w:ascii="Arial Narrow" w:hAnsi="Arial Narrow" w:cs="Arial"/>
                <w:sz w:val="20"/>
                <w:szCs w:val="20"/>
              </w:rPr>
            </w:pPr>
          </w:p>
        </w:tc>
        <w:tc>
          <w:tcPr>
            <w:tcW w:w="812" w:type="dxa"/>
            <w:vMerge/>
            <w:vAlign w:val="center"/>
          </w:tcPr>
          <w:p w14:paraId="42767802" w14:textId="77777777" w:rsidR="009A7178" w:rsidRPr="00EB31F2" w:rsidRDefault="009A7178" w:rsidP="004266CA">
            <w:pPr>
              <w:keepNext/>
              <w:keepLines/>
              <w:jc w:val="center"/>
              <w:rPr>
                <w:rFonts w:ascii="Arial Narrow" w:hAnsi="Arial Narrow" w:cs="Arial"/>
                <w:sz w:val="20"/>
                <w:szCs w:val="20"/>
              </w:rPr>
            </w:pPr>
          </w:p>
        </w:tc>
        <w:tc>
          <w:tcPr>
            <w:tcW w:w="1831" w:type="dxa"/>
            <w:vMerge/>
            <w:vAlign w:val="center"/>
          </w:tcPr>
          <w:p w14:paraId="55E6CDB3" w14:textId="77777777" w:rsidR="009A7178" w:rsidRPr="00EB31F2" w:rsidRDefault="009A7178" w:rsidP="004266CA">
            <w:pPr>
              <w:keepNext/>
              <w:keepLines/>
              <w:rPr>
                <w:rFonts w:ascii="Arial Narrow" w:hAnsi="Arial Narrow" w:cs="Arial"/>
                <w:sz w:val="20"/>
                <w:szCs w:val="20"/>
              </w:rPr>
            </w:pPr>
          </w:p>
        </w:tc>
      </w:tr>
      <w:tr w:rsidR="009A7178" w:rsidRPr="00EB31F2" w14:paraId="404A8564"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96FC7A3" w14:textId="77777777" w:rsidR="009A7178" w:rsidRPr="00EB31F2" w:rsidRDefault="009A7178" w:rsidP="004266CA">
            <w:pPr>
              <w:keepNext/>
              <w:rPr>
                <w:rFonts w:ascii="Arial Narrow" w:hAnsi="Arial Narrow" w:cs="Arial"/>
                <w:sz w:val="20"/>
                <w:szCs w:val="20"/>
              </w:rPr>
            </w:pPr>
          </w:p>
        </w:tc>
      </w:tr>
      <w:tr w:rsidR="009A7178" w:rsidRPr="00EB31F2" w14:paraId="502BA858"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5EC2A9E" w14:textId="77777777" w:rsidR="009A7178" w:rsidRPr="00EB31F2" w:rsidRDefault="009A7178" w:rsidP="004266CA">
            <w:pPr>
              <w:keepNext/>
              <w:keepLines/>
              <w:rPr>
                <w:rFonts w:ascii="Arial Narrow" w:hAnsi="Arial Narrow" w:cs="Arial"/>
                <w:b/>
                <w:sz w:val="20"/>
                <w:szCs w:val="20"/>
              </w:rPr>
            </w:pPr>
            <w:r w:rsidRPr="00EB31F2">
              <w:rPr>
                <w:rFonts w:ascii="Arial Narrow" w:hAnsi="Arial Narrow"/>
                <w:b/>
                <w:sz w:val="20"/>
                <w:szCs w:val="20"/>
              </w:rPr>
              <w:t>Restriction Summary 11843 / Treatment of Concept: 11848</w:t>
            </w:r>
          </w:p>
        </w:tc>
      </w:tr>
      <w:tr w:rsidR="009A7178" w:rsidRPr="00EB31F2" w14:paraId="549B07F9" w14:textId="77777777">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bottom w:val="single" w:sz="4" w:space="0" w:color="auto"/>
              <w:right w:val="single" w:sz="4" w:space="0" w:color="auto"/>
            </w:tcBorders>
          </w:tcPr>
          <w:p w14:paraId="2CC81A29" w14:textId="77777777" w:rsidR="009A7178" w:rsidRPr="00EB31F2" w:rsidRDefault="009A7178" w:rsidP="004266CA">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3A06E0A" w14:textId="77777777" w:rsidR="009A7178" w:rsidRPr="00EB31F2" w:rsidRDefault="009A7178" w:rsidP="004266CA">
            <w:pPr>
              <w:keepNext/>
              <w:keepLines/>
              <w:jc w:val="left"/>
              <w:rPr>
                <w:rFonts w:ascii="Arial Narrow" w:hAnsi="Arial Narrow" w:cs="Arial"/>
                <w:b/>
                <w:bCs/>
                <w:sz w:val="20"/>
                <w:szCs w:val="20"/>
              </w:rPr>
            </w:pPr>
            <w:r w:rsidRPr="00EB31F2">
              <w:rPr>
                <w:rFonts w:ascii="Arial Narrow" w:hAnsi="Arial Narrow" w:cs="Arial"/>
                <w:b/>
                <w:bCs/>
                <w:sz w:val="20"/>
                <w:szCs w:val="20"/>
              </w:rPr>
              <w:t xml:space="preserve">Treatment phase: </w:t>
            </w:r>
          </w:p>
          <w:p w14:paraId="0CAA32A1" w14:textId="77777777" w:rsidR="009A7178" w:rsidRPr="00EB31F2" w:rsidRDefault="009A7178" w:rsidP="004266CA">
            <w:pPr>
              <w:keepNext/>
              <w:keepLines/>
              <w:jc w:val="left"/>
              <w:rPr>
                <w:rFonts w:ascii="Arial Narrow" w:hAnsi="Arial Narrow" w:cs="Arial"/>
                <w:sz w:val="20"/>
                <w:szCs w:val="20"/>
              </w:rPr>
            </w:pPr>
            <w:r w:rsidRPr="00EB31F2">
              <w:rPr>
                <w:rFonts w:ascii="Arial Narrow" w:hAnsi="Arial Narrow" w:cs="Arial"/>
                <w:sz w:val="20"/>
                <w:szCs w:val="20"/>
              </w:rPr>
              <w:t>Initial treatment - Initial 1 (New patients; or Recommencement of treatment in a new treatment cycle following a break in PBS subsidised biological medicine therapy)</w:t>
            </w:r>
          </w:p>
          <w:p w14:paraId="7864F86B" w14:textId="77777777" w:rsidR="009A7178" w:rsidRPr="00EB31F2" w:rsidRDefault="009A7178" w:rsidP="004266CA">
            <w:pPr>
              <w:keepNext/>
              <w:keepLines/>
              <w:jc w:val="left"/>
              <w:rPr>
                <w:rFonts w:ascii="Arial Narrow" w:hAnsi="Arial Narrow" w:cs="Arial"/>
                <w:b/>
                <w:sz w:val="20"/>
                <w:szCs w:val="20"/>
              </w:rPr>
            </w:pPr>
            <w:r w:rsidRPr="00EB31F2">
              <w:rPr>
                <w:rFonts w:ascii="Arial Narrow" w:hAnsi="Arial Narrow" w:cs="Arial"/>
                <w:sz w:val="20"/>
                <w:szCs w:val="20"/>
              </w:rPr>
              <w:t>Initial treatment - Initial 2 (Change of treatment)</w:t>
            </w:r>
          </w:p>
        </w:tc>
      </w:tr>
      <w:tr w:rsidR="009A7178" w:rsidRPr="00EB31F2" w14:paraId="7D14B823" w14:textId="77777777">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2776A6FB" w14:textId="45879B01" w:rsidR="009A7178" w:rsidRPr="00EB31F2" w:rsidRDefault="009A7178" w:rsidP="004266CA">
            <w:pPr>
              <w:keepNext/>
              <w:jc w:val="center"/>
              <w:rPr>
                <w:rFonts w:ascii="Arial Narrow" w:hAnsi="Arial Narrow"/>
                <w:sz w:val="20"/>
                <w:szCs w:val="20"/>
              </w:rPr>
            </w:pPr>
          </w:p>
        </w:tc>
        <w:tc>
          <w:tcPr>
            <w:tcW w:w="7745" w:type="dxa"/>
            <w:gridSpan w:val="6"/>
            <w:vAlign w:val="center"/>
            <w:hideMark/>
          </w:tcPr>
          <w:p w14:paraId="2A58B585" w14:textId="0ADB4FB6" w:rsidR="009A7178" w:rsidRPr="00EB31F2" w:rsidRDefault="009A7178" w:rsidP="004266CA">
            <w:pPr>
              <w:keepNext/>
              <w:rPr>
                <w:rFonts w:ascii="Arial Narrow" w:hAnsi="Arial Narrow"/>
                <w:b/>
                <w:bCs/>
                <w:sz w:val="20"/>
                <w:szCs w:val="20"/>
              </w:rPr>
            </w:pPr>
            <w:r w:rsidRPr="00EB31F2">
              <w:rPr>
                <w:rFonts w:ascii="Arial Narrow" w:hAnsi="Arial Narrow"/>
                <w:b/>
                <w:bCs/>
                <w:sz w:val="20"/>
                <w:szCs w:val="20"/>
              </w:rPr>
              <w:t>Prescribing Instructions:</w:t>
            </w:r>
          </w:p>
          <w:p w14:paraId="19AB0F75" w14:textId="53F8CCF2" w:rsidR="009A7178" w:rsidRPr="00EB31F2" w:rsidRDefault="009A7178" w:rsidP="004266CA">
            <w:pPr>
              <w:keepNext/>
              <w:rPr>
                <w:rFonts w:ascii="Arial Narrow" w:hAnsi="Arial Narrow"/>
                <w:sz w:val="20"/>
                <w:szCs w:val="20"/>
              </w:rPr>
            </w:pPr>
            <w:r w:rsidRPr="00EB31F2">
              <w:rPr>
                <w:rFonts w:ascii="Arial Narrow" w:hAnsi="Arial Narrow"/>
                <w:sz w:val="20"/>
                <w:szCs w:val="20"/>
              </w:rPr>
              <w:t>Optimised asthma therapy includes:</w:t>
            </w:r>
          </w:p>
          <w:p w14:paraId="18E39039" w14:textId="4E454F1C" w:rsidR="009A7178" w:rsidRPr="00EB31F2" w:rsidRDefault="009A7178" w:rsidP="004266CA">
            <w:pPr>
              <w:keepNext/>
              <w:rPr>
                <w:rFonts w:ascii="Arial Narrow" w:hAnsi="Arial Narrow"/>
                <w:sz w:val="20"/>
                <w:szCs w:val="20"/>
              </w:rPr>
            </w:pPr>
            <w:r w:rsidRPr="00EB31F2">
              <w:rPr>
                <w:rFonts w:ascii="Arial Narrow" w:hAnsi="Arial Narrow"/>
                <w:sz w:val="20"/>
                <w:szCs w:val="20"/>
              </w:rPr>
              <w:t>(i) Adherence to maximal inhaled therapy, including high dose inhaled corticosteroid (ICS) plus long-acting beta-2 agonist (LABA) therapy for at least 12 months, unless contraindicated or not tolerated;</w:t>
            </w:r>
          </w:p>
          <w:p w14:paraId="16854108" w14:textId="383E6F6C" w:rsidR="009A7178" w:rsidRPr="00EB31F2" w:rsidRDefault="009A7178" w:rsidP="004266CA">
            <w:pPr>
              <w:keepNext/>
              <w:rPr>
                <w:rFonts w:ascii="Arial Narrow" w:hAnsi="Arial Narrow"/>
                <w:strike/>
                <w:sz w:val="20"/>
                <w:szCs w:val="20"/>
              </w:rPr>
            </w:pPr>
            <w:r w:rsidRPr="00EB31F2">
              <w:rPr>
                <w:rFonts w:ascii="Arial Narrow" w:hAnsi="Arial Narrow"/>
                <w:strike/>
                <w:sz w:val="20"/>
                <w:szCs w:val="20"/>
              </w:rPr>
              <w:t>AND</w:t>
            </w:r>
          </w:p>
          <w:p w14:paraId="0F7B862C" w14:textId="1A8DACE5" w:rsidR="009A7178" w:rsidRPr="00EB31F2" w:rsidRDefault="009A7178" w:rsidP="004266CA">
            <w:pPr>
              <w:keepNext/>
              <w:rPr>
                <w:rFonts w:ascii="Arial Narrow" w:hAnsi="Arial Narrow"/>
                <w:strike/>
                <w:sz w:val="20"/>
                <w:szCs w:val="20"/>
              </w:rPr>
            </w:pPr>
            <w:bookmarkStart w:id="6" w:name="_Hlk152138909"/>
            <w:r w:rsidRPr="00EB31F2">
              <w:rPr>
                <w:rFonts w:ascii="Arial Narrow" w:hAnsi="Arial Narrow"/>
                <w:strike/>
                <w:sz w:val="20"/>
                <w:szCs w:val="20"/>
              </w:rPr>
              <w:t>(ii) treatment with oral corticosteroids, either daily oral corticosteroids for at least 6 weeks, OR a cumulative dose of oral corticosteroids of at least 500 mg prednisolone equivalent in the previous 12 months, unless contraindicated or not tolerated.</w:t>
            </w:r>
          </w:p>
          <w:bookmarkEnd w:id="6"/>
          <w:p w14:paraId="0E6CC02A" w14:textId="10D6F784" w:rsidR="009A7178" w:rsidRPr="00EB31F2" w:rsidRDefault="009A7178" w:rsidP="004266CA">
            <w:pPr>
              <w:keepNext/>
              <w:rPr>
                <w:rFonts w:ascii="Arial Narrow" w:hAnsi="Arial Narrow"/>
                <w:sz w:val="20"/>
                <w:szCs w:val="20"/>
              </w:rPr>
            </w:pPr>
            <w:r w:rsidRPr="00EB31F2">
              <w:rPr>
                <w:rFonts w:ascii="Arial Narrow" w:hAnsi="Arial Narrow"/>
                <w:sz w:val="20"/>
                <w:szCs w:val="20"/>
              </w:rP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tc>
      </w:tr>
    </w:tbl>
    <w:p w14:paraId="48199E56" w14:textId="250B2938" w:rsidR="00C8674F" w:rsidRPr="00EB31F2" w:rsidRDefault="00C8674F" w:rsidP="00E37DDC">
      <w:pPr>
        <w:pStyle w:val="3Bodytext"/>
        <w:spacing w:before="120"/>
        <w:jc w:val="both"/>
      </w:pPr>
      <w:r w:rsidRPr="00EB31F2">
        <w:t>The Secretariat proposed that the administrative advice ‘</w:t>
      </w:r>
      <w:r w:rsidR="005B3BD3" w:rsidRPr="00EB31F2">
        <w:t>N</w:t>
      </w:r>
      <w:r w:rsidRPr="00EB31F2">
        <w:t xml:space="preserve">o increase in </w:t>
      </w:r>
      <w:r w:rsidR="005B3BD3" w:rsidRPr="00EB31F2">
        <w:t xml:space="preserve">the maximum </w:t>
      </w:r>
      <w:r w:rsidRPr="00EB31F2">
        <w:t xml:space="preserve">quantity or </w:t>
      </w:r>
      <w:r w:rsidR="005B3BD3" w:rsidRPr="00EB31F2">
        <w:t xml:space="preserve">number of units may be authorised’ </w:t>
      </w:r>
      <w:r w:rsidR="009502A9" w:rsidRPr="00EB31F2">
        <w:t xml:space="preserve">and ‘No increase in the maximum number of repeats may be authorised’ </w:t>
      </w:r>
      <w:r w:rsidRPr="00EB31F2">
        <w:t>be added to the continuing restriction, based off the dosing in the product information</w:t>
      </w:r>
      <w:r w:rsidR="0001707B" w:rsidRPr="00EB31F2">
        <w:t xml:space="preserve"> (100 mg administered by subcutaneous injection once every 4 weeks)</w:t>
      </w:r>
      <w:r w:rsidRPr="00EB31F2">
        <w:t xml:space="preserve">. </w:t>
      </w:r>
    </w:p>
    <w:p w14:paraId="19DC15AC" w14:textId="4838852C" w:rsidR="00C8674F" w:rsidRPr="00EB31F2" w:rsidRDefault="00C8674F" w:rsidP="001F08BF">
      <w:pPr>
        <w:pStyle w:val="3Bodytext"/>
        <w:jc w:val="both"/>
      </w:pPr>
      <w:r w:rsidRPr="00EB31F2">
        <w:t xml:space="preserve">The clinical criterion ‘Patient must have received this drug as their most recent course of PBS-subsidised biological agent treatment for this condition in this treatment cycle’ has been added to the continuing restriction for clarity, especially as an Authority Required (STREAMLINED) listing will no longer </w:t>
      </w:r>
      <w:r w:rsidR="00FF356E" w:rsidRPr="00EB31F2">
        <w:t>require approval by</w:t>
      </w:r>
      <w:r w:rsidRPr="00EB31F2">
        <w:t xml:space="preserve"> Services Australia. </w:t>
      </w:r>
    </w:p>
    <w:p w14:paraId="7121271E" w14:textId="6B120BA6" w:rsidR="002D63A0" w:rsidRPr="00EB31F2" w:rsidRDefault="002D63A0" w:rsidP="001F08BF">
      <w:pPr>
        <w:pStyle w:val="3Bodytext"/>
        <w:jc w:val="both"/>
      </w:pPr>
      <w:r w:rsidRPr="00EB31F2">
        <w:t xml:space="preserve">The current definition of optimised asthma therapy was recommended by the PBAC at its July 2014 meeting. In its July 2014 consideration, the PBAC particularly noted the elements of the current restriction referring to </w:t>
      </w:r>
      <w:r w:rsidR="0077651B" w:rsidRPr="00EB31F2">
        <w:t>OCS</w:t>
      </w:r>
      <w:r w:rsidRPr="00EB31F2">
        <w:t xml:space="preserve"> use were developed in consultation with the stakeholder group and reflected the best practice guidelines at the time. The PBAC recalled that </w:t>
      </w:r>
      <w:r w:rsidR="0077651B" w:rsidRPr="00EB31F2">
        <w:t xml:space="preserve">OCS </w:t>
      </w:r>
      <w:r w:rsidRPr="00EB31F2">
        <w:t xml:space="preserve">use had been an important element in cost effectiveness analysis underpinning the original recommendation. The PBAC considered therefore that a change to the restriction could influence the cost effectiveness of omalizumab. The PBAC considered that accepting the change to the definition of optimal asthma therapy, with regards to treatment with </w:t>
      </w:r>
      <w:r w:rsidR="0077651B" w:rsidRPr="00EB31F2">
        <w:t>OCSs</w:t>
      </w:r>
      <w:r w:rsidRPr="00EB31F2">
        <w:t xml:space="preserve">, in line with </w:t>
      </w:r>
      <w:r w:rsidRPr="00EB31F2">
        <w:lastRenderedPageBreak/>
        <w:t>clinical treatment guidelines was appropriately pragmatic (omalizumab Public Summary Document (PSD) July 2014 PBAC meeting).</w:t>
      </w:r>
    </w:p>
    <w:p w14:paraId="449E9CE0" w14:textId="04C1BACB" w:rsidR="002D63A0" w:rsidRPr="00EB31F2" w:rsidRDefault="002D63A0" w:rsidP="002D63A0">
      <w:pPr>
        <w:pStyle w:val="3Bodytext"/>
        <w:spacing w:before="120"/>
        <w:jc w:val="both"/>
      </w:pPr>
      <w:r w:rsidRPr="00EB31F2">
        <w:t xml:space="preserve">At its July 2016 meeting, the PBAC recommended the listing of mepolizumab for SEA on a cost-minimisation basis with omalizumab. The PBAC noted and accepted that the proposed restrictions for mepolizumab was modified to make the listing as consistent as omalizumab restrictions (para 7.4, mepolizumab PSD, July 2016 PBAC meeting). </w:t>
      </w:r>
    </w:p>
    <w:p w14:paraId="01898324" w14:textId="450B97EE" w:rsidR="00690C06" w:rsidRPr="00EB31F2" w:rsidRDefault="00F01FB0" w:rsidP="00D55D71">
      <w:pPr>
        <w:pStyle w:val="3Bodytext"/>
        <w:spacing w:before="120"/>
        <w:jc w:val="both"/>
      </w:pPr>
      <w:r w:rsidRPr="00EB31F2">
        <w:t xml:space="preserve">The submission requested that patient eligibility for each </w:t>
      </w:r>
      <w:r w:rsidR="00F16772" w:rsidRPr="00EB31F2">
        <w:t xml:space="preserve">of the </w:t>
      </w:r>
      <w:r w:rsidRPr="00EB31F2">
        <w:t>treatment phase</w:t>
      </w:r>
      <w:r w:rsidR="003B6EF7" w:rsidRPr="00EB31F2">
        <w:t>s</w:t>
      </w:r>
      <w:r w:rsidRPr="00EB31F2">
        <w:t xml:space="preserve"> </w:t>
      </w:r>
      <w:r w:rsidR="00F16772" w:rsidRPr="00EB31F2">
        <w:t>to remain the same</w:t>
      </w:r>
      <w:r w:rsidRPr="00EB31F2">
        <w:t xml:space="preserve"> (</w:t>
      </w:r>
      <w:r w:rsidR="00B7395F" w:rsidRPr="00EB31F2">
        <w:t xml:space="preserve">noting </w:t>
      </w:r>
      <w:r w:rsidRPr="00EB31F2">
        <w:t xml:space="preserve">the request relating to </w:t>
      </w:r>
      <w:r w:rsidR="00F16772" w:rsidRPr="00EB31F2">
        <w:t xml:space="preserve">the </w:t>
      </w:r>
      <w:r w:rsidRPr="00EB31F2">
        <w:t xml:space="preserve">OCS wording </w:t>
      </w:r>
      <w:r w:rsidR="00F16772" w:rsidRPr="00EB31F2">
        <w:t>within the</w:t>
      </w:r>
      <w:r w:rsidRPr="00EB31F2">
        <w:t xml:space="preserve"> optimised asthma therapy</w:t>
      </w:r>
      <w:r w:rsidR="00F16772" w:rsidRPr="00EB31F2">
        <w:t xml:space="preserve"> in the clinical criteria</w:t>
      </w:r>
      <w:r w:rsidRPr="00EB31F2">
        <w:t>)</w:t>
      </w:r>
      <w:r w:rsidR="00F16772" w:rsidRPr="00EB31F2">
        <w:t xml:space="preserve">. The submission stated </w:t>
      </w:r>
      <w:r w:rsidRPr="00EB31F2">
        <w:t>that clinicians w</w:t>
      </w:r>
      <w:r w:rsidR="00350C9E" w:rsidRPr="00EB31F2">
        <w:t>ould</w:t>
      </w:r>
      <w:r w:rsidRPr="00EB31F2">
        <w:t xml:space="preserve"> still need to test patients </w:t>
      </w:r>
      <w:r w:rsidR="00350C9E" w:rsidRPr="00EB31F2">
        <w:t xml:space="preserve">to confirm eligibility and </w:t>
      </w:r>
      <w:r w:rsidR="00F27F09" w:rsidRPr="00EB31F2">
        <w:t>document results</w:t>
      </w:r>
      <w:r w:rsidR="003B6EF7" w:rsidRPr="00EB31F2">
        <w:t xml:space="preserve"> </w:t>
      </w:r>
      <w:r w:rsidRPr="00EB31F2">
        <w:t xml:space="preserve">appropriately in their medical records. The submission </w:t>
      </w:r>
      <w:r w:rsidR="003B6EF7" w:rsidRPr="00EB31F2">
        <w:t>considered</w:t>
      </w:r>
      <w:r w:rsidRPr="00EB31F2">
        <w:t xml:space="preserve"> that </w:t>
      </w:r>
      <w:r w:rsidR="00350C9E" w:rsidRPr="00EB31F2">
        <w:t>the requested amendment to the</w:t>
      </w:r>
      <w:r w:rsidRPr="00EB31F2">
        <w:t xml:space="preserve"> Authority level </w:t>
      </w:r>
      <w:r w:rsidR="00350C9E" w:rsidRPr="00EB31F2">
        <w:t xml:space="preserve">would reduce the burden and </w:t>
      </w:r>
      <w:r w:rsidRPr="00EB31F2">
        <w:t xml:space="preserve">administrative </w:t>
      </w:r>
      <w:r w:rsidR="00350C9E" w:rsidRPr="00EB31F2">
        <w:t xml:space="preserve">complexity </w:t>
      </w:r>
      <w:r w:rsidR="003B6EF7" w:rsidRPr="00EB31F2">
        <w:t>for</w:t>
      </w:r>
      <w:r w:rsidR="00350C9E" w:rsidRPr="00EB31F2">
        <w:t xml:space="preserve"> clinicians, thus increasing patient care. </w:t>
      </w:r>
    </w:p>
    <w:p w14:paraId="0436B7D8" w14:textId="77777777" w:rsidR="00C27C1C" w:rsidRPr="00EB31F2" w:rsidRDefault="00C27C1C" w:rsidP="00240123">
      <w:pPr>
        <w:pStyle w:val="Heading1"/>
        <w:keepLines/>
        <w:numPr>
          <w:ilvl w:val="0"/>
          <w:numId w:val="1"/>
        </w:numPr>
        <w:spacing w:before="240"/>
        <w:ind w:left="709" w:hanging="709"/>
        <w:rPr>
          <w:sz w:val="32"/>
          <w:szCs w:val="32"/>
        </w:rPr>
      </w:pPr>
      <w:r w:rsidRPr="00EB31F2">
        <w:rPr>
          <w:sz w:val="32"/>
          <w:szCs w:val="32"/>
        </w:rPr>
        <w:t>Consideration of the evidence</w:t>
      </w:r>
    </w:p>
    <w:p w14:paraId="6DB4C5AA" w14:textId="77777777" w:rsidR="00690C06" w:rsidRPr="00EB31F2" w:rsidRDefault="00690C06" w:rsidP="00690C06">
      <w:pPr>
        <w:pStyle w:val="4-SubsectionHeading"/>
        <w:rPr>
          <w:lang w:eastAsia="en-US"/>
        </w:rPr>
      </w:pPr>
      <w:r w:rsidRPr="00EB31F2">
        <w:rPr>
          <w:lang w:eastAsia="en-US"/>
        </w:rPr>
        <w:t>Sponsor hearing</w:t>
      </w:r>
    </w:p>
    <w:p w14:paraId="4B0FF6CE" w14:textId="77777777" w:rsidR="00690C06" w:rsidRPr="00EB31F2" w:rsidRDefault="00690C06" w:rsidP="00240123">
      <w:pPr>
        <w:widowControl w:val="0"/>
        <w:numPr>
          <w:ilvl w:val="1"/>
          <w:numId w:val="1"/>
        </w:numPr>
        <w:spacing w:after="120"/>
        <w:rPr>
          <w:rFonts w:cs="Calibri"/>
          <w:bCs/>
          <w:snapToGrid w:val="0"/>
        </w:rPr>
      </w:pPr>
      <w:r w:rsidRPr="00EB31F2">
        <w:rPr>
          <w:rFonts w:cs="Calibri"/>
          <w:bCs/>
          <w:snapToGrid w:val="0"/>
        </w:rPr>
        <w:t>There was no hearing for this item.</w:t>
      </w:r>
    </w:p>
    <w:p w14:paraId="4A35C043" w14:textId="77777777" w:rsidR="00690C06" w:rsidRPr="00EB31F2" w:rsidRDefault="00690C06" w:rsidP="00690C06">
      <w:pPr>
        <w:pStyle w:val="4-SubsectionHeading"/>
        <w:rPr>
          <w:lang w:eastAsia="en-US"/>
        </w:rPr>
      </w:pPr>
      <w:r w:rsidRPr="00EB31F2">
        <w:rPr>
          <w:lang w:eastAsia="en-US"/>
        </w:rPr>
        <w:t>Consumer comments</w:t>
      </w:r>
    </w:p>
    <w:p w14:paraId="709738A9" w14:textId="62613628" w:rsidR="00A36607" w:rsidRPr="00EB31F2" w:rsidRDefault="00690C06" w:rsidP="00A36607">
      <w:pPr>
        <w:widowControl w:val="0"/>
        <w:numPr>
          <w:ilvl w:val="1"/>
          <w:numId w:val="1"/>
        </w:numPr>
        <w:spacing w:after="120"/>
        <w:rPr>
          <w:rFonts w:asciiTheme="minorHAnsi" w:hAnsiTheme="minorHAnsi" w:cs="Arial"/>
          <w:bCs/>
          <w:snapToGrid w:val="0"/>
        </w:rPr>
      </w:pPr>
      <w:r w:rsidRPr="00EB31F2">
        <w:rPr>
          <w:rFonts w:asciiTheme="minorHAnsi" w:hAnsiTheme="minorHAnsi" w:cs="Arial"/>
          <w:bCs/>
          <w:snapToGrid w:val="0"/>
        </w:rPr>
        <w:t>The PBAC noted and welcomed the input from individuals (</w:t>
      </w:r>
      <w:r w:rsidR="00427177" w:rsidRPr="00EB31F2">
        <w:rPr>
          <w:rFonts w:asciiTheme="minorHAnsi" w:hAnsiTheme="minorHAnsi" w:cs="Arial"/>
          <w:bCs/>
          <w:snapToGrid w:val="0"/>
        </w:rPr>
        <w:t>1</w:t>
      </w:r>
      <w:r w:rsidRPr="00EB31F2">
        <w:rPr>
          <w:rFonts w:asciiTheme="minorHAnsi" w:hAnsiTheme="minorHAnsi" w:cs="Arial"/>
          <w:bCs/>
          <w:snapToGrid w:val="0"/>
        </w:rPr>
        <w:t>), health care professionals (</w:t>
      </w:r>
      <w:r w:rsidR="00427177" w:rsidRPr="00EB31F2">
        <w:rPr>
          <w:rFonts w:asciiTheme="minorHAnsi" w:hAnsiTheme="minorHAnsi" w:cs="Arial"/>
          <w:bCs/>
          <w:snapToGrid w:val="0"/>
        </w:rPr>
        <w:t>4</w:t>
      </w:r>
      <w:r w:rsidRPr="00EB31F2">
        <w:rPr>
          <w:rFonts w:asciiTheme="minorHAnsi" w:hAnsiTheme="minorHAnsi" w:cs="Arial"/>
          <w:bCs/>
          <w:snapToGrid w:val="0"/>
        </w:rPr>
        <w:t>) and organisations (</w:t>
      </w:r>
      <w:r w:rsidR="00427177" w:rsidRPr="00EB31F2">
        <w:rPr>
          <w:rFonts w:asciiTheme="minorHAnsi" w:hAnsiTheme="minorHAnsi" w:cs="Arial"/>
          <w:bCs/>
          <w:snapToGrid w:val="0"/>
        </w:rPr>
        <w:t>6</w:t>
      </w:r>
      <w:r w:rsidRPr="00EB31F2">
        <w:rPr>
          <w:rFonts w:asciiTheme="minorHAnsi" w:hAnsiTheme="minorHAnsi" w:cs="Arial"/>
          <w:bCs/>
          <w:snapToGrid w:val="0"/>
        </w:rPr>
        <w:t xml:space="preserve">) via the Consumer Comments facility on the PBS website. The comments described a range of benefits </w:t>
      </w:r>
      <w:r w:rsidR="00427177" w:rsidRPr="00EB31F2">
        <w:rPr>
          <w:rFonts w:asciiTheme="minorHAnsi" w:hAnsiTheme="minorHAnsi" w:cs="Arial"/>
          <w:bCs/>
          <w:snapToGrid w:val="0"/>
        </w:rPr>
        <w:t xml:space="preserve">of the proposed amendments to mepolizumab for </w:t>
      </w:r>
      <w:r w:rsidR="00A440D5" w:rsidRPr="00EB31F2">
        <w:rPr>
          <w:rFonts w:asciiTheme="minorHAnsi" w:hAnsiTheme="minorHAnsi" w:cs="Arial"/>
          <w:bCs/>
          <w:snapToGrid w:val="0"/>
        </w:rPr>
        <w:t>uncontrolled severe asthma</w:t>
      </w:r>
      <w:r w:rsidR="00427177" w:rsidRPr="00EB31F2">
        <w:rPr>
          <w:rFonts w:asciiTheme="minorHAnsi" w:hAnsiTheme="minorHAnsi" w:cs="Arial"/>
          <w:bCs/>
          <w:snapToGrid w:val="0"/>
        </w:rPr>
        <w:t xml:space="preserve">, including reduced administrative burden </w:t>
      </w:r>
      <w:r w:rsidR="002005F9" w:rsidRPr="00EB31F2">
        <w:rPr>
          <w:rFonts w:asciiTheme="minorHAnsi" w:hAnsiTheme="minorHAnsi" w:cs="Arial"/>
          <w:bCs/>
          <w:snapToGrid w:val="0"/>
        </w:rPr>
        <w:t xml:space="preserve">and complexity </w:t>
      </w:r>
      <w:r w:rsidR="00427177" w:rsidRPr="00EB31F2">
        <w:rPr>
          <w:rFonts w:asciiTheme="minorHAnsi" w:hAnsiTheme="minorHAnsi" w:cs="Arial"/>
          <w:bCs/>
          <w:snapToGrid w:val="0"/>
        </w:rPr>
        <w:t>for prescribers</w:t>
      </w:r>
      <w:r w:rsidR="002005F9" w:rsidRPr="00EB31F2">
        <w:rPr>
          <w:rFonts w:asciiTheme="minorHAnsi" w:hAnsiTheme="minorHAnsi" w:cs="Arial"/>
          <w:bCs/>
          <w:snapToGrid w:val="0"/>
        </w:rPr>
        <w:t>.</w:t>
      </w:r>
      <w:r w:rsidR="00A36607" w:rsidRPr="00EB31F2">
        <w:rPr>
          <w:rFonts w:asciiTheme="minorHAnsi" w:hAnsiTheme="minorHAnsi" w:cs="Arial"/>
          <w:bCs/>
          <w:snapToGrid w:val="0"/>
        </w:rPr>
        <w:t xml:space="preserve"> The input stated that</w:t>
      </w:r>
      <w:r w:rsidR="00427177" w:rsidRPr="00EB31F2">
        <w:rPr>
          <w:rFonts w:asciiTheme="minorHAnsi" w:hAnsiTheme="minorHAnsi" w:cs="Arial"/>
          <w:bCs/>
          <w:snapToGrid w:val="0"/>
        </w:rPr>
        <w:t xml:space="preserve"> while streamlining the process for continuation and switching biologic agent w</w:t>
      </w:r>
      <w:r w:rsidR="00EF3D22" w:rsidRPr="00EB31F2">
        <w:rPr>
          <w:rFonts w:asciiTheme="minorHAnsi" w:hAnsiTheme="minorHAnsi" w:cs="Arial"/>
          <w:bCs/>
          <w:snapToGrid w:val="0"/>
        </w:rPr>
        <w:t>ould</w:t>
      </w:r>
      <w:r w:rsidR="00427177" w:rsidRPr="00EB31F2">
        <w:rPr>
          <w:rFonts w:asciiTheme="minorHAnsi" w:hAnsiTheme="minorHAnsi" w:cs="Arial"/>
          <w:bCs/>
          <w:snapToGrid w:val="0"/>
        </w:rPr>
        <w:t xml:space="preserve"> not increase the number of individuals </w:t>
      </w:r>
      <w:r w:rsidR="00EF3D22" w:rsidRPr="00EB31F2">
        <w:rPr>
          <w:rFonts w:asciiTheme="minorHAnsi" w:hAnsiTheme="minorHAnsi" w:cs="Arial"/>
          <w:bCs/>
          <w:snapToGrid w:val="0"/>
        </w:rPr>
        <w:t xml:space="preserve">initiating </w:t>
      </w:r>
      <w:r w:rsidR="00427177" w:rsidRPr="00EB31F2">
        <w:rPr>
          <w:rFonts w:asciiTheme="minorHAnsi" w:hAnsiTheme="minorHAnsi" w:cs="Arial"/>
          <w:bCs/>
          <w:snapToGrid w:val="0"/>
        </w:rPr>
        <w:t xml:space="preserve">or </w:t>
      </w:r>
      <w:r w:rsidR="00EF3D22" w:rsidRPr="00EB31F2">
        <w:rPr>
          <w:rFonts w:asciiTheme="minorHAnsi" w:hAnsiTheme="minorHAnsi" w:cs="Arial"/>
          <w:bCs/>
          <w:snapToGrid w:val="0"/>
        </w:rPr>
        <w:t xml:space="preserve">continuing </w:t>
      </w:r>
      <w:r w:rsidR="00427177" w:rsidRPr="00EB31F2">
        <w:rPr>
          <w:rFonts w:asciiTheme="minorHAnsi" w:hAnsiTheme="minorHAnsi" w:cs="Arial"/>
          <w:bCs/>
          <w:snapToGrid w:val="0"/>
        </w:rPr>
        <w:t>on treatment, it w</w:t>
      </w:r>
      <w:r w:rsidR="00EF3D22" w:rsidRPr="00EB31F2">
        <w:rPr>
          <w:rFonts w:asciiTheme="minorHAnsi" w:hAnsiTheme="minorHAnsi" w:cs="Arial"/>
          <w:bCs/>
          <w:snapToGrid w:val="0"/>
        </w:rPr>
        <w:t>ould</w:t>
      </w:r>
      <w:r w:rsidR="00427177" w:rsidRPr="00EB31F2">
        <w:rPr>
          <w:rFonts w:asciiTheme="minorHAnsi" w:hAnsiTheme="minorHAnsi" w:cs="Arial"/>
          <w:bCs/>
          <w:snapToGrid w:val="0"/>
        </w:rPr>
        <w:t xml:space="preserve"> have an impact on improved disease control, as well as reduce the need for </w:t>
      </w:r>
      <w:r w:rsidR="00BA407E" w:rsidRPr="00EB31F2">
        <w:rPr>
          <w:rFonts w:asciiTheme="minorHAnsi" w:hAnsiTheme="minorHAnsi" w:cs="Arial"/>
          <w:bCs/>
          <w:snapToGrid w:val="0"/>
        </w:rPr>
        <w:t>OCSs</w:t>
      </w:r>
      <w:r w:rsidR="00427177" w:rsidRPr="00EB31F2">
        <w:rPr>
          <w:rFonts w:asciiTheme="minorHAnsi" w:hAnsiTheme="minorHAnsi" w:cs="Arial"/>
          <w:bCs/>
          <w:snapToGrid w:val="0"/>
        </w:rPr>
        <w:t>.</w:t>
      </w:r>
      <w:r w:rsidRPr="00EB31F2">
        <w:rPr>
          <w:rFonts w:asciiTheme="minorHAnsi" w:hAnsiTheme="minorHAnsi" w:cs="Arial"/>
          <w:bCs/>
          <w:snapToGrid w:val="0"/>
        </w:rPr>
        <w:t xml:space="preserve"> </w:t>
      </w:r>
    </w:p>
    <w:p w14:paraId="0B1DB1BF" w14:textId="06D99D65" w:rsidR="00690C06" w:rsidRPr="00EB31F2" w:rsidRDefault="00A36607" w:rsidP="00A36607">
      <w:pPr>
        <w:widowControl w:val="0"/>
        <w:numPr>
          <w:ilvl w:val="1"/>
          <w:numId w:val="1"/>
        </w:numPr>
        <w:spacing w:after="120"/>
        <w:rPr>
          <w:rFonts w:asciiTheme="minorHAnsi" w:hAnsiTheme="minorHAnsi" w:cs="Arial"/>
          <w:bCs/>
          <w:snapToGrid w:val="0"/>
        </w:rPr>
      </w:pPr>
      <w:r w:rsidRPr="00EB31F2">
        <w:rPr>
          <w:rFonts w:asciiTheme="minorHAnsi" w:hAnsiTheme="minorHAnsi" w:cs="Arial"/>
          <w:bCs/>
          <w:snapToGrid w:val="0"/>
        </w:rPr>
        <w:t>The input was also supportive of the removal of the OCS requirement from the clinical criteria</w:t>
      </w:r>
      <w:r w:rsidR="00512A90">
        <w:rPr>
          <w:rFonts w:asciiTheme="minorHAnsi" w:hAnsiTheme="minorHAnsi" w:cs="Arial"/>
          <w:bCs/>
          <w:snapToGrid w:val="0"/>
        </w:rPr>
        <w:t>. It</w:t>
      </w:r>
      <w:r w:rsidRPr="00EB31F2">
        <w:rPr>
          <w:rFonts w:asciiTheme="minorHAnsi" w:hAnsiTheme="minorHAnsi" w:cs="Arial"/>
          <w:bCs/>
          <w:snapToGrid w:val="0"/>
        </w:rPr>
        <w:t xml:space="preserve"> stat</w:t>
      </w:r>
      <w:r w:rsidR="00512A90">
        <w:rPr>
          <w:rFonts w:asciiTheme="minorHAnsi" w:hAnsiTheme="minorHAnsi" w:cs="Arial"/>
          <w:bCs/>
          <w:snapToGrid w:val="0"/>
        </w:rPr>
        <w:t xml:space="preserve">ed </w:t>
      </w:r>
      <w:r w:rsidRPr="00EB31F2">
        <w:rPr>
          <w:rFonts w:asciiTheme="minorHAnsi" w:hAnsiTheme="minorHAnsi" w:cs="Arial"/>
          <w:bCs/>
          <w:snapToGrid w:val="0"/>
        </w:rPr>
        <w:t>that</w:t>
      </w:r>
      <w:r w:rsidR="00512A90">
        <w:rPr>
          <w:rFonts w:asciiTheme="minorHAnsi" w:hAnsiTheme="minorHAnsi" w:cs="Arial"/>
          <w:bCs/>
          <w:snapToGrid w:val="0"/>
        </w:rPr>
        <w:t xml:space="preserve"> in order to enable access to mepolizumab,</w:t>
      </w:r>
      <w:r w:rsidRPr="00EB31F2">
        <w:rPr>
          <w:rFonts w:asciiTheme="minorHAnsi" w:hAnsiTheme="minorHAnsi" w:cs="Arial"/>
          <w:bCs/>
          <w:snapToGrid w:val="0"/>
        </w:rPr>
        <w:t xml:space="preserve"> the current threshold may result in unintended exposure to higher doses of corticosteroids beyond what is clinically reasonable</w:t>
      </w:r>
      <w:r w:rsidR="00512A90">
        <w:rPr>
          <w:rFonts w:asciiTheme="minorHAnsi" w:hAnsiTheme="minorHAnsi" w:cs="Arial"/>
          <w:bCs/>
          <w:snapToGrid w:val="0"/>
        </w:rPr>
        <w:t>. This</w:t>
      </w:r>
      <w:r w:rsidR="00C61416">
        <w:rPr>
          <w:rFonts w:asciiTheme="minorHAnsi" w:hAnsiTheme="minorHAnsi" w:cs="Arial"/>
          <w:bCs/>
          <w:snapToGrid w:val="0"/>
        </w:rPr>
        <w:t xml:space="preserve"> </w:t>
      </w:r>
      <w:r w:rsidRPr="00EB31F2">
        <w:rPr>
          <w:rFonts w:asciiTheme="minorHAnsi" w:hAnsiTheme="minorHAnsi" w:cs="Arial"/>
          <w:bCs/>
          <w:snapToGrid w:val="0"/>
        </w:rPr>
        <w:t xml:space="preserve">may lead to long term OCS-related side effects and reduced quality of life. </w:t>
      </w:r>
    </w:p>
    <w:p w14:paraId="61D68E99" w14:textId="623878F9" w:rsidR="002005F9" w:rsidRPr="00EB31F2" w:rsidRDefault="00690C06" w:rsidP="007F42A0">
      <w:pPr>
        <w:widowControl w:val="0"/>
        <w:numPr>
          <w:ilvl w:val="1"/>
          <w:numId w:val="1"/>
        </w:numPr>
        <w:spacing w:after="120"/>
        <w:rPr>
          <w:rFonts w:asciiTheme="minorHAnsi" w:hAnsiTheme="minorHAnsi" w:cs="Arial"/>
          <w:bCs/>
          <w:snapToGrid w:val="0"/>
        </w:rPr>
      </w:pPr>
      <w:r w:rsidRPr="00EB31F2">
        <w:rPr>
          <w:rFonts w:asciiTheme="minorHAnsi" w:hAnsiTheme="minorHAnsi" w:cs="Arial"/>
          <w:bCs/>
          <w:snapToGrid w:val="0"/>
        </w:rPr>
        <w:t xml:space="preserve">The PBAC noted the advice received from </w:t>
      </w:r>
      <w:r w:rsidR="002005F9" w:rsidRPr="00EB31F2">
        <w:t>the National Asthma Council of Australia, the Australasian Society of Clinical Immunology and Allergy, the Thoracic Society of Australia and New Zealand, the National Allergy Council and Allergy and Anaphylaxis Australia, the National Health and Medical Research Council Centres of Research Excellence in Asthma Treatable Traits and Severe Asthma, and Asthma Australia.</w:t>
      </w:r>
      <w:r w:rsidR="00A36607" w:rsidRPr="00EB31F2">
        <w:rPr>
          <w:rFonts w:asciiTheme="minorHAnsi" w:hAnsiTheme="minorHAnsi" w:cs="Arial"/>
          <w:bCs/>
          <w:snapToGrid w:val="0"/>
        </w:rPr>
        <w:t xml:space="preserve"> </w:t>
      </w:r>
      <w:r w:rsidR="002005F9" w:rsidRPr="00EB31F2">
        <w:rPr>
          <w:rFonts w:asciiTheme="minorHAnsi" w:hAnsiTheme="minorHAnsi" w:cs="Arial"/>
          <w:bCs/>
          <w:snapToGrid w:val="0"/>
        </w:rPr>
        <w:t>The organisations were all supportive of the amendment of</w:t>
      </w:r>
      <w:r w:rsidR="00BA407E" w:rsidRPr="00EB31F2">
        <w:rPr>
          <w:rFonts w:asciiTheme="minorHAnsi" w:hAnsiTheme="minorHAnsi" w:cs="Arial"/>
          <w:bCs/>
          <w:snapToGrid w:val="0"/>
        </w:rPr>
        <w:t xml:space="preserve"> mepolizumab</w:t>
      </w:r>
      <w:r w:rsidR="002005F9" w:rsidRPr="00EB31F2">
        <w:rPr>
          <w:rFonts w:asciiTheme="minorHAnsi" w:hAnsiTheme="minorHAnsi" w:cs="Arial"/>
          <w:bCs/>
          <w:snapToGrid w:val="0"/>
        </w:rPr>
        <w:t xml:space="preserve"> authority levels</w:t>
      </w:r>
      <w:r w:rsidR="00A36607" w:rsidRPr="00EB31F2">
        <w:rPr>
          <w:rFonts w:asciiTheme="minorHAnsi" w:hAnsiTheme="minorHAnsi" w:cs="Arial"/>
          <w:bCs/>
          <w:snapToGrid w:val="0"/>
        </w:rPr>
        <w:t xml:space="preserve"> to ease administrative burden</w:t>
      </w:r>
      <w:r w:rsidR="002005F9" w:rsidRPr="00EB31F2">
        <w:rPr>
          <w:rFonts w:asciiTheme="minorHAnsi" w:hAnsiTheme="minorHAnsi" w:cs="Arial"/>
          <w:bCs/>
          <w:snapToGrid w:val="0"/>
        </w:rPr>
        <w:t>, and the removal of OCS requirements from the clinical criteria</w:t>
      </w:r>
      <w:r w:rsidR="00A36607" w:rsidRPr="00EB31F2">
        <w:rPr>
          <w:rFonts w:asciiTheme="minorHAnsi" w:hAnsiTheme="minorHAnsi" w:cs="Arial"/>
          <w:bCs/>
          <w:snapToGrid w:val="0"/>
        </w:rPr>
        <w:t xml:space="preserve"> </w:t>
      </w:r>
      <w:r w:rsidR="0077651B" w:rsidRPr="00EB31F2">
        <w:rPr>
          <w:rFonts w:asciiTheme="minorHAnsi" w:hAnsiTheme="minorHAnsi" w:cs="Arial"/>
          <w:bCs/>
          <w:snapToGrid w:val="0"/>
        </w:rPr>
        <w:t>to align</w:t>
      </w:r>
      <w:r w:rsidR="00A36607" w:rsidRPr="00EB31F2">
        <w:rPr>
          <w:rFonts w:asciiTheme="minorHAnsi" w:hAnsiTheme="minorHAnsi" w:cs="Arial"/>
          <w:bCs/>
          <w:snapToGrid w:val="0"/>
        </w:rPr>
        <w:t xml:space="preserve"> current </w:t>
      </w:r>
      <w:r w:rsidR="0077651B" w:rsidRPr="00EB31F2">
        <w:rPr>
          <w:rFonts w:asciiTheme="minorHAnsi" w:hAnsiTheme="minorHAnsi" w:cs="Arial"/>
          <w:bCs/>
          <w:snapToGrid w:val="0"/>
        </w:rPr>
        <w:t xml:space="preserve">treatment </w:t>
      </w:r>
      <w:r w:rsidR="00A36607" w:rsidRPr="00EB31F2">
        <w:rPr>
          <w:rFonts w:asciiTheme="minorHAnsi" w:hAnsiTheme="minorHAnsi" w:cs="Arial"/>
          <w:bCs/>
          <w:snapToGrid w:val="0"/>
        </w:rPr>
        <w:t>guidelines</w:t>
      </w:r>
      <w:r w:rsidR="00943976" w:rsidRPr="00EB31F2">
        <w:rPr>
          <w:rFonts w:asciiTheme="minorHAnsi" w:hAnsiTheme="minorHAnsi" w:cs="Arial"/>
          <w:bCs/>
          <w:snapToGrid w:val="0"/>
        </w:rPr>
        <w:t xml:space="preserve"> </w:t>
      </w:r>
      <w:r w:rsidR="00943976" w:rsidRPr="00EB31F2">
        <w:t xml:space="preserve">to improve OCS stewardship and </w:t>
      </w:r>
      <w:r w:rsidR="00EF3D22" w:rsidRPr="00EB31F2">
        <w:t xml:space="preserve">to reduce </w:t>
      </w:r>
      <w:r w:rsidR="00943976" w:rsidRPr="00EB31F2">
        <w:t>the incidence and burden of OCS</w:t>
      </w:r>
      <w:r w:rsidR="00EF3D22" w:rsidRPr="00EB31F2">
        <w:t>-</w:t>
      </w:r>
      <w:r w:rsidR="00943976" w:rsidRPr="00EB31F2">
        <w:t>related side effects.</w:t>
      </w:r>
    </w:p>
    <w:p w14:paraId="0850ADB6" w14:textId="77777777" w:rsidR="00957C11" w:rsidRPr="00EB31F2" w:rsidRDefault="00957C11" w:rsidP="00591DDE">
      <w:pPr>
        <w:pStyle w:val="4-SubsectionHeading"/>
        <w:rPr>
          <w:lang w:eastAsia="en-US"/>
        </w:rPr>
      </w:pPr>
      <w:r w:rsidRPr="00EB31F2">
        <w:rPr>
          <w:lang w:eastAsia="en-US"/>
        </w:rPr>
        <w:lastRenderedPageBreak/>
        <w:t>Authority level amendment</w:t>
      </w:r>
    </w:p>
    <w:p w14:paraId="54372FC2" w14:textId="311B8882" w:rsidR="004838C7" w:rsidRPr="00EB31F2" w:rsidRDefault="004838C7" w:rsidP="00591DDE">
      <w:pPr>
        <w:pStyle w:val="4-SubsectionHeading"/>
        <w:outlineLvl w:val="2"/>
        <w:rPr>
          <w:i w:val="0"/>
          <w:iCs/>
          <w:sz w:val="24"/>
          <w:szCs w:val="32"/>
          <w:lang w:eastAsia="en-US"/>
        </w:rPr>
      </w:pPr>
      <w:r w:rsidRPr="00EB31F2">
        <w:rPr>
          <w:i w:val="0"/>
          <w:iCs/>
          <w:sz w:val="24"/>
          <w:szCs w:val="32"/>
          <w:lang w:eastAsia="en-US"/>
        </w:rPr>
        <w:t>Anti-IL5 market maturation</w:t>
      </w:r>
    </w:p>
    <w:p w14:paraId="5C56F7C6" w14:textId="0DECF063" w:rsidR="009F6B04" w:rsidRPr="00EB31F2" w:rsidRDefault="00711F18" w:rsidP="009F6B04">
      <w:pPr>
        <w:pStyle w:val="3Bodytext"/>
        <w:jc w:val="both"/>
        <w:rPr>
          <w:iCs/>
        </w:rPr>
      </w:pPr>
      <w:r w:rsidRPr="00EB31F2">
        <w:rPr>
          <w:iCs/>
        </w:rPr>
        <w:t xml:space="preserve">The submission </w:t>
      </w:r>
      <w:r w:rsidR="001E399C" w:rsidRPr="00EB31F2">
        <w:rPr>
          <w:iCs/>
        </w:rPr>
        <w:t>stated</w:t>
      </w:r>
      <w:r w:rsidRPr="00EB31F2">
        <w:rPr>
          <w:iCs/>
        </w:rPr>
        <w:t xml:space="preserve"> that the annual initiations for the anti-IL5 biologic agents</w:t>
      </w:r>
      <w:r w:rsidR="00275605" w:rsidRPr="00EB31F2">
        <w:rPr>
          <w:iCs/>
        </w:rPr>
        <w:t xml:space="preserve"> (i.e. mepolizumab and benralizumab) for the treatment of uncontrolled severe asthma </w:t>
      </w:r>
      <w:r w:rsidRPr="00EB31F2">
        <w:rPr>
          <w:iCs/>
        </w:rPr>
        <w:t xml:space="preserve">have stabilised. </w:t>
      </w:r>
      <w:r w:rsidR="009F6B04" w:rsidRPr="00EB31F2">
        <w:rPr>
          <w:iCs/>
        </w:rPr>
        <w:t xml:space="preserve">In </w:t>
      </w:r>
      <w:r w:rsidR="00072003" w:rsidRPr="00EB31F2">
        <w:rPr>
          <w:iCs/>
        </w:rPr>
        <w:t>FY</w:t>
      </w:r>
      <w:r w:rsidR="009F6B04" w:rsidRPr="00EB31F2">
        <w:rPr>
          <w:iCs/>
        </w:rPr>
        <w:t>202</w:t>
      </w:r>
      <w:r w:rsidR="00072003" w:rsidRPr="00EB31F2">
        <w:rPr>
          <w:iCs/>
        </w:rPr>
        <w:t>2</w:t>
      </w:r>
      <w:r w:rsidR="009F6B04" w:rsidRPr="00EB31F2">
        <w:rPr>
          <w:iCs/>
        </w:rPr>
        <w:t xml:space="preserve"> and 202</w:t>
      </w:r>
      <w:r w:rsidR="00072003" w:rsidRPr="00EB31F2">
        <w:rPr>
          <w:iCs/>
        </w:rPr>
        <w:t>3</w:t>
      </w:r>
      <w:r w:rsidR="009F6B04" w:rsidRPr="00EB31F2">
        <w:rPr>
          <w:iCs/>
        </w:rPr>
        <w:t>, the growth for anti-IL5 initiation prescriptions was minimal (8% growth in FY 2022 and 3% growth in FY 2023) (see</w:t>
      </w:r>
      <w:r w:rsidR="000E187B" w:rsidRPr="00EB31F2">
        <w:rPr>
          <w:iCs/>
        </w:rPr>
        <w:t xml:space="preserve"> </w:t>
      </w:r>
      <w:r w:rsidR="000E187B" w:rsidRPr="00EB31F2">
        <w:rPr>
          <w:iCs/>
        </w:rPr>
        <w:fldChar w:fldCharType="begin" w:fldLock="1"/>
      </w:r>
      <w:r w:rsidR="000E187B" w:rsidRPr="00EB31F2">
        <w:rPr>
          <w:iCs/>
        </w:rPr>
        <w:instrText xml:space="preserve"> REF _Ref157678136 \h </w:instrText>
      </w:r>
      <w:r w:rsidR="00116116" w:rsidRPr="00EB31F2">
        <w:rPr>
          <w:iCs/>
        </w:rPr>
        <w:instrText xml:space="preserve"> \* MERGEFORMAT </w:instrText>
      </w:r>
      <w:r w:rsidR="000E187B" w:rsidRPr="00EB31F2">
        <w:rPr>
          <w:iCs/>
        </w:rPr>
      </w:r>
      <w:r w:rsidR="000E187B" w:rsidRPr="00EB31F2">
        <w:rPr>
          <w:iCs/>
        </w:rPr>
        <w:fldChar w:fldCharType="separate"/>
      </w:r>
      <w:r w:rsidR="000A3CEA" w:rsidRPr="00EB31F2">
        <w:rPr>
          <w:iCs/>
        </w:rPr>
        <w:t>Table 2</w:t>
      </w:r>
      <w:r w:rsidR="000E187B" w:rsidRPr="00EB31F2">
        <w:rPr>
          <w:iCs/>
        </w:rPr>
        <w:fldChar w:fldCharType="end"/>
      </w:r>
      <w:r w:rsidR="009F6B04" w:rsidRPr="00EB31F2">
        <w:rPr>
          <w:iCs/>
        </w:rPr>
        <w:t xml:space="preserve">). </w:t>
      </w:r>
      <w:r w:rsidR="00271F1B" w:rsidRPr="00EB31F2">
        <w:rPr>
          <w:iCs/>
        </w:rPr>
        <w:t xml:space="preserve">The submission stated that the PBS eligibility criteria for </w:t>
      </w:r>
      <w:r w:rsidR="001E399C" w:rsidRPr="00EB31F2">
        <w:rPr>
          <w:iCs/>
        </w:rPr>
        <w:t xml:space="preserve">the </w:t>
      </w:r>
      <w:r w:rsidR="00271F1B" w:rsidRPr="00EB31F2">
        <w:rPr>
          <w:iCs/>
        </w:rPr>
        <w:t xml:space="preserve">anti-IL5 </w:t>
      </w:r>
      <w:r w:rsidR="001E399C" w:rsidRPr="00EB31F2">
        <w:rPr>
          <w:iCs/>
        </w:rPr>
        <w:t>agents</w:t>
      </w:r>
      <w:r w:rsidR="00271F1B" w:rsidRPr="00EB31F2">
        <w:rPr>
          <w:iCs/>
        </w:rPr>
        <w:t xml:space="preserve"> are </w:t>
      </w:r>
      <w:r w:rsidR="000E1D4B" w:rsidRPr="00EB31F2">
        <w:rPr>
          <w:iCs/>
        </w:rPr>
        <w:t>identical,</w:t>
      </w:r>
      <w:r w:rsidR="00271F1B" w:rsidRPr="00EB31F2">
        <w:rPr>
          <w:iCs/>
        </w:rPr>
        <w:t xml:space="preserve"> and clinicians are familiar with identifying patients appropriate for initiating treatment and </w:t>
      </w:r>
      <w:r w:rsidR="001E399C" w:rsidRPr="00EB31F2">
        <w:rPr>
          <w:iCs/>
        </w:rPr>
        <w:t>ensuring</w:t>
      </w:r>
      <w:r w:rsidR="00271F1B" w:rsidRPr="00EB31F2">
        <w:rPr>
          <w:iCs/>
        </w:rPr>
        <w:t xml:space="preserve"> treatment is only continued in patients demonstrating benefit.</w:t>
      </w:r>
      <w:r w:rsidR="003D57D4" w:rsidRPr="00EB31F2">
        <w:rPr>
          <w:iCs/>
        </w:rPr>
        <w:t xml:space="preserve"> </w:t>
      </w:r>
    </w:p>
    <w:p w14:paraId="59A86D8C" w14:textId="55524D2A" w:rsidR="002D63A0" w:rsidRPr="00EB31F2" w:rsidRDefault="002D63A0" w:rsidP="002D63A0">
      <w:pPr>
        <w:pStyle w:val="Caption"/>
        <w:keepNext/>
      </w:pPr>
      <w:bookmarkStart w:id="7" w:name="_Ref157678136"/>
      <w:r w:rsidRPr="00EB31F2">
        <w:t xml:space="preserve">Table </w:t>
      </w:r>
      <w:r w:rsidR="00165390">
        <w:fldChar w:fldCharType="begin" w:fldLock="1"/>
      </w:r>
      <w:r w:rsidR="00165390">
        <w:instrText xml:space="preserve"> SEQ Table \* ARABIC </w:instrText>
      </w:r>
      <w:r w:rsidR="00165390">
        <w:fldChar w:fldCharType="separate"/>
      </w:r>
      <w:r w:rsidR="000A3CEA" w:rsidRPr="003D60FA">
        <w:t>2</w:t>
      </w:r>
      <w:r w:rsidR="00165390">
        <w:fldChar w:fldCharType="end"/>
      </w:r>
      <w:bookmarkEnd w:id="7"/>
      <w:r w:rsidRPr="00EB31F2">
        <w:t>: Annual growth in PBS/RPBS services for total Anti-IL5 market (mepolizumab and benralizumab)</w:t>
      </w:r>
    </w:p>
    <w:tbl>
      <w:tblPr>
        <w:tblStyle w:val="TableGrid"/>
        <w:tblW w:w="5000" w:type="pct"/>
        <w:tblLook w:val="04A0" w:firstRow="1" w:lastRow="0" w:firstColumn="1" w:lastColumn="0" w:noHBand="0" w:noVBand="1"/>
        <w:tblCaption w:val="Table 2: Annual growth in PBS/RPBS services for total Anti-IL5 market (mepolizumab and benralizumab)"/>
      </w:tblPr>
      <w:tblGrid>
        <w:gridCol w:w="2404"/>
        <w:gridCol w:w="1102"/>
        <w:gridCol w:w="1102"/>
        <w:gridCol w:w="1102"/>
        <w:gridCol w:w="1102"/>
        <w:gridCol w:w="1102"/>
        <w:gridCol w:w="1102"/>
      </w:tblGrid>
      <w:tr w:rsidR="002D63A0" w:rsidRPr="00EB31F2" w14:paraId="5B523F29" w14:textId="77777777" w:rsidTr="00E37DDC">
        <w:tc>
          <w:tcPr>
            <w:tcW w:w="1334" w:type="pct"/>
            <w:shd w:val="clear" w:color="auto" w:fill="BFBFBF" w:themeFill="background1" w:themeFillShade="BF"/>
          </w:tcPr>
          <w:p w14:paraId="3A7168D2" w14:textId="77777777" w:rsidR="002D63A0" w:rsidRPr="00EB31F2" w:rsidRDefault="002D63A0">
            <w:pPr>
              <w:spacing w:line="247" w:lineRule="auto"/>
              <w:rPr>
                <w:rFonts w:ascii="Arial Narrow" w:hAnsi="Arial Narrow"/>
                <w:b/>
                <w:iCs/>
                <w:color w:val="FF0000"/>
                <w:sz w:val="20"/>
                <w:szCs w:val="20"/>
              </w:rPr>
            </w:pPr>
            <w:r w:rsidRPr="00EB31F2">
              <w:rPr>
                <w:rFonts w:ascii="Arial Narrow" w:hAnsi="Arial Narrow"/>
                <w:b/>
                <w:iCs/>
                <w:sz w:val="20"/>
                <w:szCs w:val="20"/>
              </w:rPr>
              <w:t>Financial Year</w:t>
            </w:r>
          </w:p>
        </w:tc>
        <w:tc>
          <w:tcPr>
            <w:tcW w:w="611" w:type="pct"/>
            <w:shd w:val="clear" w:color="auto" w:fill="BFBFBF" w:themeFill="background1" w:themeFillShade="BF"/>
          </w:tcPr>
          <w:p w14:paraId="2BCF078C" w14:textId="11D80AA5" w:rsidR="002D63A0" w:rsidRPr="00EB31F2" w:rsidRDefault="00767DFD">
            <w:pPr>
              <w:spacing w:line="247" w:lineRule="auto"/>
              <w:jc w:val="center"/>
              <w:rPr>
                <w:rFonts w:ascii="Arial Narrow" w:hAnsi="Arial Narrow" w:cs="Calibri"/>
                <w:b/>
                <w:bCs/>
                <w:iCs/>
                <w:color w:val="FF0000"/>
                <w:sz w:val="20"/>
                <w:szCs w:val="20"/>
              </w:rPr>
            </w:pPr>
            <w:r w:rsidRPr="00EB31F2">
              <w:rPr>
                <w:rFonts w:ascii="Arial Narrow" w:hAnsi="Arial Narrow" w:cs="Calibri"/>
                <w:b/>
                <w:bCs/>
                <w:iCs/>
                <w:color w:val="000000"/>
                <w:sz w:val="20"/>
                <w:szCs w:val="20"/>
              </w:rPr>
              <w:t>2017-</w:t>
            </w:r>
            <w:r w:rsidR="002D63A0" w:rsidRPr="00EB31F2">
              <w:rPr>
                <w:rFonts w:ascii="Arial Narrow" w:hAnsi="Arial Narrow" w:cs="Calibri"/>
                <w:b/>
                <w:bCs/>
                <w:iCs/>
                <w:color w:val="000000"/>
                <w:sz w:val="20"/>
                <w:szCs w:val="20"/>
              </w:rPr>
              <w:t>2018</w:t>
            </w:r>
          </w:p>
        </w:tc>
        <w:tc>
          <w:tcPr>
            <w:tcW w:w="611" w:type="pct"/>
            <w:shd w:val="clear" w:color="auto" w:fill="BFBFBF" w:themeFill="background1" w:themeFillShade="BF"/>
          </w:tcPr>
          <w:p w14:paraId="406155BC" w14:textId="4C0212E3" w:rsidR="002D63A0" w:rsidRPr="00EB31F2" w:rsidRDefault="00767DFD">
            <w:pPr>
              <w:spacing w:line="247" w:lineRule="auto"/>
              <w:jc w:val="center"/>
              <w:rPr>
                <w:rFonts w:ascii="Arial Narrow" w:hAnsi="Arial Narrow" w:cs="Calibri"/>
                <w:b/>
                <w:bCs/>
                <w:iCs/>
                <w:color w:val="FF0000"/>
                <w:sz w:val="20"/>
                <w:szCs w:val="20"/>
              </w:rPr>
            </w:pPr>
            <w:r w:rsidRPr="00EB31F2">
              <w:rPr>
                <w:rFonts w:ascii="Arial Narrow" w:hAnsi="Arial Narrow" w:cs="Calibri"/>
                <w:b/>
                <w:bCs/>
                <w:iCs/>
                <w:color w:val="000000"/>
                <w:sz w:val="20"/>
                <w:szCs w:val="20"/>
              </w:rPr>
              <w:t>2018-</w:t>
            </w:r>
            <w:r w:rsidR="002D63A0" w:rsidRPr="00EB31F2">
              <w:rPr>
                <w:rFonts w:ascii="Arial Narrow" w:hAnsi="Arial Narrow" w:cs="Calibri"/>
                <w:b/>
                <w:bCs/>
                <w:iCs/>
                <w:color w:val="000000"/>
                <w:sz w:val="20"/>
                <w:szCs w:val="20"/>
              </w:rPr>
              <w:t>2019</w:t>
            </w:r>
          </w:p>
        </w:tc>
        <w:tc>
          <w:tcPr>
            <w:tcW w:w="611" w:type="pct"/>
            <w:shd w:val="clear" w:color="auto" w:fill="BFBFBF" w:themeFill="background1" w:themeFillShade="BF"/>
          </w:tcPr>
          <w:p w14:paraId="7122D8E6" w14:textId="2C8B6944" w:rsidR="002D63A0" w:rsidRPr="00EB31F2" w:rsidRDefault="00767DFD">
            <w:pPr>
              <w:spacing w:line="247" w:lineRule="auto"/>
              <w:jc w:val="center"/>
              <w:rPr>
                <w:rFonts w:ascii="Arial Narrow" w:hAnsi="Arial Narrow" w:cs="Calibri"/>
                <w:b/>
                <w:bCs/>
                <w:iCs/>
                <w:color w:val="FF0000"/>
                <w:sz w:val="20"/>
                <w:szCs w:val="20"/>
              </w:rPr>
            </w:pPr>
            <w:r w:rsidRPr="00EB31F2">
              <w:rPr>
                <w:rFonts w:ascii="Arial Narrow" w:hAnsi="Arial Narrow" w:cs="Calibri"/>
                <w:b/>
                <w:bCs/>
                <w:iCs/>
                <w:color w:val="000000"/>
                <w:sz w:val="20"/>
                <w:szCs w:val="20"/>
              </w:rPr>
              <w:t>2019-</w:t>
            </w:r>
            <w:r w:rsidR="002D63A0" w:rsidRPr="00EB31F2">
              <w:rPr>
                <w:rFonts w:ascii="Arial Narrow" w:hAnsi="Arial Narrow" w:cs="Calibri"/>
                <w:b/>
                <w:bCs/>
                <w:iCs/>
                <w:color w:val="000000"/>
                <w:sz w:val="20"/>
                <w:szCs w:val="20"/>
              </w:rPr>
              <w:t>2020</w:t>
            </w:r>
          </w:p>
        </w:tc>
        <w:tc>
          <w:tcPr>
            <w:tcW w:w="611" w:type="pct"/>
            <w:shd w:val="clear" w:color="auto" w:fill="BFBFBF" w:themeFill="background1" w:themeFillShade="BF"/>
          </w:tcPr>
          <w:p w14:paraId="60E7D3F5" w14:textId="33839955" w:rsidR="002D63A0" w:rsidRPr="00EB31F2" w:rsidRDefault="00767DFD">
            <w:pPr>
              <w:spacing w:line="247" w:lineRule="auto"/>
              <w:jc w:val="center"/>
              <w:rPr>
                <w:rFonts w:ascii="Arial Narrow" w:hAnsi="Arial Narrow" w:cs="Calibri"/>
                <w:b/>
                <w:bCs/>
                <w:iCs/>
                <w:color w:val="FF0000"/>
                <w:sz w:val="20"/>
                <w:szCs w:val="20"/>
              </w:rPr>
            </w:pPr>
            <w:r w:rsidRPr="00EB31F2">
              <w:rPr>
                <w:rFonts w:ascii="Arial Narrow" w:hAnsi="Arial Narrow" w:cs="Calibri"/>
                <w:b/>
                <w:bCs/>
                <w:iCs/>
                <w:color w:val="000000"/>
                <w:sz w:val="20"/>
                <w:szCs w:val="20"/>
              </w:rPr>
              <w:t>2020-</w:t>
            </w:r>
            <w:r w:rsidR="002D63A0" w:rsidRPr="00EB31F2">
              <w:rPr>
                <w:rFonts w:ascii="Arial Narrow" w:hAnsi="Arial Narrow" w:cs="Calibri"/>
                <w:b/>
                <w:bCs/>
                <w:iCs/>
                <w:color w:val="000000"/>
                <w:sz w:val="20"/>
                <w:szCs w:val="20"/>
              </w:rPr>
              <w:t>2021</w:t>
            </w:r>
          </w:p>
        </w:tc>
        <w:tc>
          <w:tcPr>
            <w:tcW w:w="611" w:type="pct"/>
            <w:shd w:val="clear" w:color="auto" w:fill="BFBFBF" w:themeFill="background1" w:themeFillShade="BF"/>
          </w:tcPr>
          <w:p w14:paraId="38BB4721" w14:textId="2F2803A7" w:rsidR="002D63A0" w:rsidRPr="00EB31F2" w:rsidRDefault="00767DFD">
            <w:pPr>
              <w:spacing w:line="247" w:lineRule="auto"/>
              <w:jc w:val="center"/>
              <w:rPr>
                <w:rFonts w:ascii="Arial Narrow" w:hAnsi="Arial Narrow" w:cs="Calibri"/>
                <w:b/>
                <w:bCs/>
                <w:iCs/>
                <w:color w:val="FF0000"/>
                <w:sz w:val="20"/>
                <w:szCs w:val="20"/>
              </w:rPr>
            </w:pPr>
            <w:r w:rsidRPr="00EB31F2">
              <w:rPr>
                <w:rFonts w:ascii="Arial Narrow" w:hAnsi="Arial Narrow" w:cs="Calibri"/>
                <w:b/>
                <w:bCs/>
                <w:iCs/>
                <w:color w:val="000000"/>
                <w:sz w:val="20"/>
                <w:szCs w:val="20"/>
              </w:rPr>
              <w:t>2021-</w:t>
            </w:r>
            <w:r w:rsidR="002D63A0" w:rsidRPr="00EB31F2">
              <w:rPr>
                <w:rFonts w:ascii="Arial Narrow" w:hAnsi="Arial Narrow" w:cs="Calibri"/>
                <w:b/>
                <w:bCs/>
                <w:iCs/>
                <w:color w:val="000000"/>
                <w:sz w:val="20"/>
                <w:szCs w:val="20"/>
              </w:rPr>
              <w:t>2022</w:t>
            </w:r>
          </w:p>
        </w:tc>
        <w:tc>
          <w:tcPr>
            <w:tcW w:w="611" w:type="pct"/>
            <w:shd w:val="clear" w:color="auto" w:fill="BFBFBF" w:themeFill="background1" w:themeFillShade="BF"/>
          </w:tcPr>
          <w:p w14:paraId="03A490C3" w14:textId="008D925D" w:rsidR="002D63A0" w:rsidRPr="00EB31F2" w:rsidRDefault="00767DFD">
            <w:pPr>
              <w:spacing w:line="247" w:lineRule="auto"/>
              <w:jc w:val="center"/>
              <w:rPr>
                <w:rFonts w:ascii="Arial Narrow" w:hAnsi="Arial Narrow" w:cs="Calibri"/>
                <w:b/>
                <w:bCs/>
                <w:iCs/>
                <w:color w:val="000000"/>
                <w:sz w:val="20"/>
                <w:szCs w:val="20"/>
              </w:rPr>
            </w:pPr>
            <w:r w:rsidRPr="00EB31F2">
              <w:rPr>
                <w:rFonts w:ascii="Arial Narrow" w:hAnsi="Arial Narrow" w:cs="Calibri"/>
                <w:b/>
                <w:bCs/>
                <w:iCs/>
                <w:color w:val="000000"/>
                <w:sz w:val="20"/>
                <w:szCs w:val="20"/>
              </w:rPr>
              <w:t>2022-</w:t>
            </w:r>
            <w:r w:rsidR="002D63A0" w:rsidRPr="00EB31F2">
              <w:rPr>
                <w:rFonts w:ascii="Arial Narrow" w:hAnsi="Arial Narrow" w:cs="Calibri"/>
                <w:b/>
                <w:bCs/>
                <w:iCs/>
                <w:color w:val="000000"/>
                <w:sz w:val="20"/>
                <w:szCs w:val="20"/>
              </w:rPr>
              <w:t>2023</w:t>
            </w:r>
          </w:p>
        </w:tc>
      </w:tr>
      <w:tr w:rsidR="002D63A0" w:rsidRPr="00EB31F2" w14:paraId="6D006A96" w14:textId="77777777" w:rsidTr="00E37DDC">
        <w:tc>
          <w:tcPr>
            <w:tcW w:w="1334" w:type="pct"/>
            <w:shd w:val="clear" w:color="auto" w:fill="auto"/>
            <w:vAlign w:val="bottom"/>
          </w:tcPr>
          <w:p w14:paraId="7D4DFC2E" w14:textId="77777777" w:rsidR="002D63A0" w:rsidRPr="00EB31F2" w:rsidRDefault="002D63A0">
            <w:pPr>
              <w:spacing w:line="247" w:lineRule="auto"/>
              <w:jc w:val="left"/>
              <w:rPr>
                <w:rFonts w:ascii="Arial Narrow" w:hAnsi="Arial Narrow" w:cs="Calibri"/>
                <w:iCs/>
                <w:sz w:val="20"/>
                <w:szCs w:val="20"/>
              </w:rPr>
            </w:pPr>
            <w:r w:rsidRPr="00EB31F2">
              <w:rPr>
                <w:rFonts w:ascii="Arial Narrow" w:hAnsi="Arial Narrow" w:cs="Calibri"/>
                <w:iCs/>
                <w:sz w:val="20"/>
                <w:szCs w:val="20"/>
              </w:rPr>
              <w:t xml:space="preserve">Anti-IL5 Initiations </w:t>
            </w:r>
          </w:p>
        </w:tc>
        <w:tc>
          <w:tcPr>
            <w:tcW w:w="611" w:type="pct"/>
            <w:shd w:val="clear" w:color="auto" w:fill="auto"/>
            <w:vAlign w:val="bottom"/>
          </w:tcPr>
          <w:p w14:paraId="33D06D51" w14:textId="77777777" w:rsidR="002D63A0" w:rsidRPr="00EB31F2" w:rsidRDefault="002D63A0">
            <w:pPr>
              <w:spacing w:line="247" w:lineRule="auto"/>
              <w:jc w:val="center"/>
              <w:rPr>
                <w:rFonts w:ascii="Arial Narrow" w:hAnsi="Arial Narrow" w:cs="Calibri"/>
                <w:iCs/>
                <w:sz w:val="20"/>
                <w:szCs w:val="20"/>
              </w:rPr>
            </w:pPr>
            <w:r w:rsidRPr="00EB31F2">
              <w:rPr>
                <w:rFonts w:ascii="Arial Narrow" w:hAnsi="Arial Narrow" w:cs="Calibri"/>
                <w:iCs/>
                <w:sz w:val="20"/>
                <w:szCs w:val="20"/>
              </w:rPr>
              <w:t>547%</w:t>
            </w:r>
          </w:p>
        </w:tc>
        <w:tc>
          <w:tcPr>
            <w:tcW w:w="611" w:type="pct"/>
            <w:shd w:val="clear" w:color="auto" w:fill="auto"/>
            <w:vAlign w:val="bottom"/>
          </w:tcPr>
          <w:p w14:paraId="5DFE98F6" w14:textId="77777777" w:rsidR="002D63A0" w:rsidRPr="00EB31F2" w:rsidRDefault="002D63A0">
            <w:pPr>
              <w:spacing w:line="247" w:lineRule="auto"/>
              <w:jc w:val="center"/>
              <w:rPr>
                <w:rFonts w:ascii="Arial Narrow" w:hAnsi="Arial Narrow" w:cs="Calibri"/>
                <w:iCs/>
                <w:sz w:val="20"/>
                <w:szCs w:val="20"/>
              </w:rPr>
            </w:pPr>
            <w:r w:rsidRPr="00EB31F2">
              <w:rPr>
                <w:rFonts w:ascii="Arial Narrow" w:hAnsi="Arial Narrow" w:cs="Calibri"/>
                <w:iCs/>
                <w:sz w:val="20"/>
                <w:szCs w:val="20"/>
              </w:rPr>
              <w:t>29%</w:t>
            </w:r>
          </w:p>
        </w:tc>
        <w:tc>
          <w:tcPr>
            <w:tcW w:w="611" w:type="pct"/>
            <w:shd w:val="clear" w:color="auto" w:fill="auto"/>
            <w:vAlign w:val="bottom"/>
          </w:tcPr>
          <w:p w14:paraId="0B3EFBB9" w14:textId="77777777" w:rsidR="002D63A0" w:rsidRPr="00EB31F2" w:rsidRDefault="002D63A0">
            <w:pPr>
              <w:spacing w:line="247" w:lineRule="auto"/>
              <w:jc w:val="center"/>
              <w:rPr>
                <w:rFonts w:ascii="Arial Narrow" w:hAnsi="Arial Narrow" w:cs="Calibri"/>
                <w:iCs/>
                <w:sz w:val="20"/>
                <w:szCs w:val="20"/>
              </w:rPr>
            </w:pPr>
            <w:r w:rsidRPr="00EB31F2">
              <w:rPr>
                <w:rFonts w:ascii="Arial Narrow" w:hAnsi="Arial Narrow" w:cs="Calibri"/>
                <w:iCs/>
                <w:sz w:val="20"/>
                <w:szCs w:val="20"/>
              </w:rPr>
              <w:t>52%</w:t>
            </w:r>
          </w:p>
        </w:tc>
        <w:tc>
          <w:tcPr>
            <w:tcW w:w="611" w:type="pct"/>
            <w:shd w:val="clear" w:color="auto" w:fill="auto"/>
            <w:vAlign w:val="bottom"/>
          </w:tcPr>
          <w:p w14:paraId="0A4BA055" w14:textId="77777777" w:rsidR="002D63A0" w:rsidRPr="00EB31F2" w:rsidRDefault="002D63A0">
            <w:pPr>
              <w:spacing w:line="247" w:lineRule="auto"/>
              <w:jc w:val="center"/>
              <w:rPr>
                <w:rFonts w:ascii="Arial Narrow" w:hAnsi="Arial Narrow" w:cs="Calibri"/>
                <w:iCs/>
                <w:sz w:val="20"/>
                <w:szCs w:val="20"/>
              </w:rPr>
            </w:pPr>
            <w:r w:rsidRPr="00EB31F2">
              <w:rPr>
                <w:rFonts w:ascii="Arial Narrow" w:hAnsi="Arial Narrow" w:cs="Calibri"/>
                <w:iCs/>
                <w:sz w:val="20"/>
                <w:szCs w:val="20"/>
              </w:rPr>
              <w:t>21%</w:t>
            </w:r>
          </w:p>
        </w:tc>
        <w:tc>
          <w:tcPr>
            <w:tcW w:w="611" w:type="pct"/>
            <w:shd w:val="clear" w:color="auto" w:fill="auto"/>
            <w:vAlign w:val="bottom"/>
          </w:tcPr>
          <w:p w14:paraId="1252923B" w14:textId="77777777" w:rsidR="002D63A0" w:rsidRPr="00EB31F2" w:rsidRDefault="002D63A0">
            <w:pPr>
              <w:spacing w:line="247" w:lineRule="auto"/>
              <w:jc w:val="center"/>
              <w:rPr>
                <w:rFonts w:ascii="Arial Narrow" w:hAnsi="Arial Narrow" w:cs="Calibri"/>
                <w:iCs/>
                <w:sz w:val="20"/>
                <w:szCs w:val="20"/>
              </w:rPr>
            </w:pPr>
            <w:r w:rsidRPr="00EB31F2">
              <w:rPr>
                <w:rFonts w:ascii="Arial Narrow" w:hAnsi="Arial Narrow" w:cs="Calibri"/>
                <w:iCs/>
                <w:sz w:val="20"/>
                <w:szCs w:val="20"/>
              </w:rPr>
              <w:t>8%</w:t>
            </w:r>
          </w:p>
        </w:tc>
        <w:tc>
          <w:tcPr>
            <w:tcW w:w="611" w:type="pct"/>
          </w:tcPr>
          <w:p w14:paraId="04C0A180" w14:textId="77777777" w:rsidR="002D63A0" w:rsidRPr="00EB31F2" w:rsidRDefault="002D63A0">
            <w:pPr>
              <w:spacing w:line="247" w:lineRule="auto"/>
              <w:jc w:val="center"/>
              <w:rPr>
                <w:rFonts w:ascii="Arial Narrow" w:hAnsi="Arial Narrow" w:cs="Calibri"/>
                <w:iCs/>
                <w:sz w:val="20"/>
                <w:szCs w:val="20"/>
              </w:rPr>
            </w:pPr>
            <w:r w:rsidRPr="00EB31F2">
              <w:rPr>
                <w:rFonts w:ascii="Arial Narrow" w:hAnsi="Arial Narrow" w:cs="Calibri"/>
                <w:iCs/>
                <w:sz w:val="20"/>
                <w:szCs w:val="20"/>
              </w:rPr>
              <w:t>3%</w:t>
            </w:r>
          </w:p>
        </w:tc>
      </w:tr>
      <w:tr w:rsidR="002D63A0" w:rsidRPr="00EB31F2" w14:paraId="5519CAC4" w14:textId="77777777" w:rsidTr="00E37DDC">
        <w:tc>
          <w:tcPr>
            <w:tcW w:w="1334" w:type="pct"/>
            <w:shd w:val="clear" w:color="auto" w:fill="auto"/>
            <w:vAlign w:val="bottom"/>
          </w:tcPr>
          <w:p w14:paraId="4405FA72" w14:textId="77777777" w:rsidR="002D63A0" w:rsidRPr="00EB31F2" w:rsidRDefault="002D63A0">
            <w:pPr>
              <w:spacing w:line="247" w:lineRule="auto"/>
              <w:jc w:val="left"/>
              <w:rPr>
                <w:rFonts w:ascii="Arial Narrow" w:hAnsi="Arial Narrow" w:cs="Calibri"/>
                <w:iCs/>
                <w:sz w:val="20"/>
                <w:szCs w:val="20"/>
              </w:rPr>
            </w:pPr>
            <w:r w:rsidRPr="00EB31F2">
              <w:rPr>
                <w:rFonts w:ascii="Arial Narrow" w:hAnsi="Arial Narrow" w:cs="Calibri"/>
                <w:iCs/>
                <w:sz w:val="20"/>
                <w:szCs w:val="20"/>
              </w:rPr>
              <w:t>Anti-IL5 Continuations</w:t>
            </w:r>
          </w:p>
        </w:tc>
        <w:tc>
          <w:tcPr>
            <w:tcW w:w="611" w:type="pct"/>
            <w:shd w:val="clear" w:color="auto" w:fill="auto"/>
            <w:vAlign w:val="bottom"/>
          </w:tcPr>
          <w:p w14:paraId="3465CE4B" w14:textId="77777777" w:rsidR="002D63A0" w:rsidRPr="00EB31F2" w:rsidRDefault="002D63A0">
            <w:pPr>
              <w:spacing w:line="247" w:lineRule="auto"/>
              <w:jc w:val="center"/>
              <w:rPr>
                <w:rFonts w:ascii="Arial Narrow" w:hAnsi="Arial Narrow" w:cs="Calibri"/>
                <w:iCs/>
                <w:sz w:val="20"/>
                <w:szCs w:val="20"/>
              </w:rPr>
            </w:pPr>
            <w:r w:rsidRPr="00EB31F2">
              <w:rPr>
                <w:rFonts w:ascii="Arial Narrow" w:hAnsi="Arial Narrow" w:cs="Calibri"/>
                <w:iCs/>
                <w:sz w:val="20"/>
                <w:szCs w:val="20"/>
              </w:rPr>
              <w:t>1469%</w:t>
            </w:r>
          </w:p>
        </w:tc>
        <w:tc>
          <w:tcPr>
            <w:tcW w:w="611" w:type="pct"/>
            <w:shd w:val="clear" w:color="auto" w:fill="auto"/>
            <w:vAlign w:val="bottom"/>
          </w:tcPr>
          <w:p w14:paraId="40A7D5C8" w14:textId="77777777" w:rsidR="002D63A0" w:rsidRPr="00EB31F2" w:rsidRDefault="002D63A0">
            <w:pPr>
              <w:spacing w:line="247" w:lineRule="auto"/>
              <w:jc w:val="center"/>
              <w:rPr>
                <w:rFonts w:ascii="Arial Narrow" w:hAnsi="Arial Narrow" w:cs="Calibri"/>
                <w:iCs/>
                <w:sz w:val="20"/>
                <w:szCs w:val="20"/>
              </w:rPr>
            </w:pPr>
            <w:r w:rsidRPr="00EB31F2">
              <w:rPr>
                <w:rFonts w:ascii="Arial Narrow" w:hAnsi="Arial Narrow" w:cs="Calibri"/>
                <w:iCs/>
                <w:sz w:val="20"/>
                <w:szCs w:val="20"/>
              </w:rPr>
              <w:t>230%</w:t>
            </w:r>
          </w:p>
        </w:tc>
        <w:tc>
          <w:tcPr>
            <w:tcW w:w="611" w:type="pct"/>
            <w:shd w:val="clear" w:color="auto" w:fill="auto"/>
            <w:vAlign w:val="bottom"/>
          </w:tcPr>
          <w:p w14:paraId="01C13EE3" w14:textId="77777777" w:rsidR="002D63A0" w:rsidRPr="00EB31F2" w:rsidRDefault="002D63A0">
            <w:pPr>
              <w:spacing w:line="247" w:lineRule="auto"/>
              <w:jc w:val="center"/>
              <w:rPr>
                <w:rFonts w:ascii="Arial Narrow" w:hAnsi="Arial Narrow" w:cs="Calibri"/>
                <w:iCs/>
                <w:sz w:val="20"/>
                <w:szCs w:val="20"/>
              </w:rPr>
            </w:pPr>
            <w:r w:rsidRPr="00EB31F2">
              <w:rPr>
                <w:rFonts w:ascii="Arial Narrow" w:hAnsi="Arial Narrow" w:cs="Calibri"/>
                <w:iCs/>
                <w:sz w:val="20"/>
                <w:szCs w:val="20"/>
              </w:rPr>
              <w:t>90%</w:t>
            </w:r>
          </w:p>
        </w:tc>
        <w:tc>
          <w:tcPr>
            <w:tcW w:w="611" w:type="pct"/>
            <w:shd w:val="clear" w:color="auto" w:fill="auto"/>
            <w:vAlign w:val="bottom"/>
          </w:tcPr>
          <w:p w14:paraId="6D964D26" w14:textId="77777777" w:rsidR="002D63A0" w:rsidRPr="00EB31F2" w:rsidRDefault="002D63A0">
            <w:pPr>
              <w:spacing w:line="247" w:lineRule="auto"/>
              <w:jc w:val="center"/>
              <w:rPr>
                <w:rFonts w:ascii="Arial Narrow" w:hAnsi="Arial Narrow" w:cs="Calibri"/>
                <w:iCs/>
                <w:sz w:val="20"/>
                <w:szCs w:val="20"/>
              </w:rPr>
            </w:pPr>
            <w:r w:rsidRPr="00EB31F2">
              <w:rPr>
                <w:rFonts w:ascii="Arial Narrow" w:hAnsi="Arial Narrow" w:cs="Calibri"/>
                <w:iCs/>
                <w:sz w:val="20"/>
                <w:szCs w:val="20"/>
              </w:rPr>
              <w:t>56%</w:t>
            </w:r>
          </w:p>
        </w:tc>
        <w:tc>
          <w:tcPr>
            <w:tcW w:w="611" w:type="pct"/>
            <w:shd w:val="clear" w:color="auto" w:fill="auto"/>
            <w:vAlign w:val="bottom"/>
          </w:tcPr>
          <w:p w14:paraId="3A1A9DF9" w14:textId="77777777" w:rsidR="002D63A0" w:rsidRPr="00EB31F2" w:rsidRDefault="002D63A0">
            <w:pPr>
              <w:spacing w:line="247" w:lineRule="auto"/>
              <w:jc w:val="center"/>
              <w:rPr>
                <w:rFonts w:ascii="Arial Narrow" w:hAnsi="Arial Narrow" w:cs="Calibri"/>
                <w:iCs/>
                <w:sz w:val="20"/>
                <w:szCs w:val="20"/>
              </w:rPr>
            </w:pPr>
            <w:r w:rsidRPr="00EB31F2">
              <w:rPr>
                <w:rFonts w:ascii="Arial Narrow" w:hAnsi="Arial Narrow" w:cs="Calibri"/>
                <w:iCs/>
                <w:sz w:val="20"/>
                <w:szCs w:val="20"/>
              </w:rPr>
              <w:t>26%</w:t>
            </w:r>
          </w:p>
        </w:tc>
        <w:tc>
          <w:tcPr>
            <w:tcW w:w="611" w:type="pct"/>
            <w:vAlign w:val="bottom"/>
          </w:tcPr>
          <w:p w14:paraId="2A2B2AE8" w14:textId="77777777" w:rsidR="002D63A0" w:rsidRPr="00EB31F2" w:rsidRDefault="002D63A0">
            <w:pPr>
              <w:spacing w:line="247" w:lineRule="auto"/>
              <w:jc w:val="center"/>
              <w:rPr>
                <w:rFonts w:ascii="Arial Narrow" w:hAnsi="Arial Narrow" w:cs="Calibri"/>
                <w:iCs/>
                <w:sz w:val="20"/>
                <w:szCs w:val="20"/>
              </w:rPr>
            </w:pPr>
            <w:r w:rsidRPr="00EB31F2">
              <w:rPr>
                <w:rFonts w:ascii="Arial Narrow" w:hAnsi="Arial Narrow" w:cs="Calibri"/>
                <w:iCs/>
                <w:sz w:val="20"/>
                <w:szCs w:val="20"/>
              </w:rPr>
              <w:t>16%</w:t>
            </w:r>
          </w:p>
        </w:tc>
      </w:tr>
      <w:tr w:rsidR="002D63A0" w:rsidRPr="00EB31F2" w14:paraId="54C60B8A" w14:textId="77777777" w:rsidTr="00E37DDC">
        <w:tc>
          <w:tcPr>
            <w:tcW w:w="1334" w:type="pct"/>
            <w:shd w:val="clear" w:color="auto" w:fill="auto"/>
            <w:vAlign w:val="bottom"/>
          </w:tcPr>
          <w:p w14:paraId="59849BCA" w14:textId="77777777" w:rsidR="002D63A0" w:rsidRPr="00EB31F2" w:rsidRDefault="002D63A0">
            <w:pPr>
              <w:spacing w:line="247" w:lineRule="auto"/>
              <w:jc w:val="left"/>
              <w:rPr>
                <w:rFonts w:ascii="Arial Narrow" w:hAnsi="Arial Narrow" w:cs="Calibri"/>
                <w:iCs/>
                <w:sz w:val="20"/>
                <w:szCs w:val="20"/>
              </w:rPr>
            </w:pPr>
            <w:r w:rsidRPr="00EB31F2">
              <w:rPr>
                <w:rFonts w:ascii="Arial Narrow" w:hAnsi="Arial Narrow" w:cs="Calibri"/>
                <w:iCs/>
                <w:sz w:val="20"/>
                <w:szCs w:val="20"/>
              </w:rPr>
              <w:t>Anti-IL5 Total</w:t>
            </w:r>
          </w:p>
        </w:tc>
        <w:tc>
          <w:tcPr>
            <w:tcW w:w="611" w:type="pct"/>
            <w:shd w:val="clear" w:color="auto" w:fill="auto"/>
            <w:vAlign w:val="bottom"/>
          </w:tcPr>
          <w:p w14:paraId="4F598560" w14:textId="77777777" w:rsidR="002D63A0" w:rsidRPr="00EB31F2" w:rsidRDefault="002D63A0">
            <w:pPr>
              <w:spacing w:line="247" w:lineRule="auto"/>
              <w:jc w:val="center"/>
              <w:rPr>
                <w:rFonts w:ascii="Arial Narrow" w:hAnsi="Arial Narrow" w:cs="Calibri"/>
                <w:iCs/>
                <w:sz w:val="20"/>
                <w:szCs w:val="20"/>
              </w:rPr>
            </w:pPr>
            <w:r w:rsidRPr="00EB31F2">
              <w:rPr>
                <w:rFonts w:ascii="Arial Narrow" w:hAnsi="Arial Narrow" w:cs="Calibri"/>
                <w:iCs/>
                <w:sz w:val="20"/>
                <w:szCs w:val="20"/>
              </w:rPr>
              <w:t>730%</w:t>
            </w:r>
          </w:p>
        </w:tc>
        <w:tc>
          <w:tcPr>
            <w:tcW w:w="611" w:type="pct"/>
            <w:shd w:val="clear" w:color="auto" w:fill="auto"/>
            <w:vAlign w:val="bottom"/>
          </w:tcPr>
          <w:p w14:paraId="385E8A6B" w14:textId="77777777" w:rsidR="002D63A0" w:rsidRPr="00EB31F2" w:rsidRDefault="002D63A0">
            <w:pPr>
              <w:spacing w:line="247" w:lineRule="auto"/>
              <w:jc w:val="center"/>
              <w:rPr>
                <w:rFonts w:ascii="Arial Narrow" w:hAnsi="Arial Narrow" w:cs="Calibri"/>
                <w:iCs/>
                <w:sz w:val="20"/>
                <w:szCs w:val="20"/>
              </w:rPr>
            </w:pPr>
            <w:r w:rsidRPr="00EB31F2">
              <w:rPr>
                <w:rFonts w:ascii="Arial Narrow" w:hAnsi="Arial Narrow" w:cs="Calibri"/>
                <w:iCs/>
                <w:sz w:val="20"/>
                <w:szCs w:val="20"/>
              </w:rPr>
              <w:t>104%</w:t>
            </w:r>
          </w:p>
        </w:tc>
        <w:tc>
          <w:tcPr>
            <w:tcW w:w="611" w:type="pct"/>
            <w:shd w:val="clear" w:color="auto" w:fill="auto"/>
            <w:vAlign w:val="bottom"/>
          </w:tcPr>
          <w:p w14:paraId="1DF0FCD8" w14:textId="77777777" w:rsidR="002D63A0" w:rsidRPr="00EB31F2" w:rsidRDefault="002D63A0">
            <w:pPr>
              <w:spacing w:line="247" w:lineRule="auto"/>
              <w:jc w:val="center"/>
              <w:rPr>
                <w:rFonts w:ascii="Arial Narrow" w:hAnsi="Arial Narrow" w:cs="Calibri"/>
                <w:iCs/>
                <w:sz w:val="20"/>
                <w:szCs w:val="20"/>
              </w:rPr>
            </w:pPr>
            <w:r w:rsidRPr="00EB31F2">
              <w:rPr>
                <w:rFonts w:ascii="Arial Narrow" w:hAnsi="Arial Narrow" w:cs="Calibri"/>
                <w:iCs/>
                <w:sz w:val="20"/>
                <w:szCs w:val="20"/>
              </w:rPr>
              <w:t>75%</w:t>
            </w:r>
          </w:p>
        </w:tc>
        <w:tc>
          <w:tcPr>
            <w:tcW w:w="611" w:type="pct"/>
            <w:shd w:val="clear" w:color="auto" w:fill="auto"/>
            <w:vAlign w:val="bottom"/>
          </w:tcPr>
          <w:p w14:paraId="4120B95E" w14:textId="77777777" w:rsidR="002D63A0" w:rsidRPr="00EB31F2" w:rsidRDefault="002D63A0">
            <w:pPr>
              <w:spacing w:line="247" w:lineRule="auto"/>
              <w:jc w:val="center"/>
              <w:rPr>
                <w:rFonts w:ascii="Arial Narrow" w:hAnsi="Arial Narrow" w:cs="Calibri"/>
                <w:iCs/>
                <w:sz w:val="20"/>
                <w:szCs w:val="20"/>
              </w:rPr>
            </w:pPr>
            <w:r w:rsidRPr="00EB31F2">
              <w:rPr>
                <w:rFonts w:ascii="Arial Narrow" w:hAnsi="Arial Narrow" w:cs="Calibri"/>
                <w:iCs/>
                <w:sz w:val="20"/>
                <w:szCs w:val="20"/>
              </w:rPr>
              <w:t>44%</w:t>
            </w:r>
          </w:p>
        </w:tc>
        <w:tc>
          <w:tcPr>
            <w:tcW w:w="611" w:type="pct"/>
            <w:shd w:val="clear" w:color="auto" w:fill="auto"/>
            <w:vAlign w:val="bottom"/>
          </w:tcPr>
          <w:p w14:paraId="1F742F41" w14:textId="77777777" w:rsidR="002D63A0" w:rsidRPr="00EB31F2" w:rsidRDefault="002D63A0">
            <w:pPr>
              <w:spacing w:line="247" w:lineRule="auto"/>
              <w:jc w:val="center"/>
              <w:rPr>
                <w:rFonts w:ascii="Arial Narrow" w:hAnsi="Arial Narrow" w:cs="Calibri"/>
                <w:iCs/>
                <w:sz w:val="20"/>
                <w:szCs w:val="20"/>
              </w:rPr>
            </w:pPr>
            <w:r w:rsidRPr="00EB31F2">
              <w:rPr>
                <w:rFonts w:ascii="Arial Narrow" w:hAnsi="Arial Narrow" w:cs="Calibri"/>
                <w:iCs/>
                <w:sz w:val="20"/>
                <w:szCs w:val="20"/>
              </w:rPr>
              <w:t>21%</w:t>
            </w:r>
          </w:p>
        </w:tc>
        <w:tc>
          <w:tcPr>
            <w:tcW w:w="611" w:type="pct"/>
            <w:vAlign w:val="bottom"/>
          </w:tcPr>
          <w:p w14:paraId="47459DDD" w14:textId="77777777" w:rsidR="002D63A0" w:rsidRPr="00EB31F2" w:rsidRDefault="002D63A0">
            <w:pPr>
              <w:spacing w:line="247" w:lineRule="auto"/>
              <w:jc w:val="center"/>
              <w:rPr>
                <w:rFonts w:ascii="Arial Narrow" w:hAnsi="Arial Narrow" w:cs="Calibri"/>
                <w:iCs/>
                <w:sz w:val="20"/>
                <w:szCs w:val="20"/>
              </w:rPr>
            </w:pPr>
            <w:r w:rsidRPr="00EB31F2">
              <w:rPr>
                <w:rFonts w:ascii="Arial Narrow" w:hAnsi="Arial Narrow" w:cs="Calibri"/>
                <w:iCs/>
                <w:sz w:val="20"/>
                <w:szCs w:val="20"/>
              </w:rPr>
              <w:t>13%</w:t>
            </w:r>
          </w:p>
        </w:tc>
      </w:tr>
    </w:tbl>
    <w:p w14:paraId="4CB58852" w14:textId="77777777" w:rsidR="002D63A0" w:rsidRPr="00EB31F2" w:rsidRDefault="002D63A0" w:rsidP="00D26F02">
      <w:pPr>
        <w:spacing w:line="247" w:lineRule="auto"/>
        <w:rPr>
          <w:rFonts w:ascii="Arial Narrow" w:hAnsi="Arial Narrow"/>
          <w:iCs/>
          <w:sz w:val="18"/>
          <w:szCs w:val="18"/>
        </w:rPr>
      </w:pPr>
      <w:r w:rsidRPr="00EB31F2">
        <w:rPr>
          <w:rFonts w:ascii="Arial Narrow" w:hAnsi="Arial Narrow"/>
          <w:iCs/>
          <w:sz w:val="18"/>
          <w:szCs w:val="18"/>
        </w:rPr>
        <w:t>Source: Submission main body p6</w:t>
      </w:r>
    </w:p>
    <w:p w14:paraId="690E7C6E" w14:textId="4CEDF538" w:rsidR="002D63A0" w:rsidRPr="00EB31F2" w:rsidRDefault="002D63A0" w:rsidP="00D26F02">
      <w:pPr>
        <w:spacing w:line="247" w:lineRule="auto"/>
        <w:rPr>
          <w:rFonts w:ascii="Arial Narrow" w:hAnsi="Arial Narrow"/>
          <w:iCs/>
          <w:sz w:val="18"/>
          <w:szCs w:val="18"/>
        </w:rPr>
      </w:pPr>
      <w:r w:rsidRPr="00EB31F2">
        <w:rPr>
          <w:rFonts w:ascii="Arial Narrow" w:hAnsi="Arial Narrow"/>
          <w:iCs/>
          <w:sz w:val="18"/>
          <w:szCs w:val="18"/>
        </w:rPr>
        <w:t>Abbreviations: IL interleukin; PBS pharmaceutical benefits scheme; RPBS repatriation pharmaceutical benefits scheme</w:t>
      </w:r>
    </w:p>
    <w:p w14:paraId="5B211EE4" w14:textId="3D53EBFF" w:rsidR="001E399C" w:rsidRPr="00EB31F2" w:rsidRDefault="001E399C" w:rsidP="001E399C">
      <w:pPr>
        <w:pStyle w:val="3Bodytext"/>
        <w:spacing w:before="120"/>
        <w:jc w:val="both"/>
        <w:rPr>
          <w:iCs/>
        </w:rPr>
      </w:pPr>
      <w:r w:rsidRPr="00EB31F2">
        <w:rPr>
          <w:iCs/>
        </w:rPr>
        <w:t>The submission stated that while the anti-IL5 agents are part of a broader group of biologic agents for severe asthma (see</w:t>
      </w:r>
      <w:r w:rsidR="000E187B" w:rsidRPr="00EB31F2">
        <w:rPr>
          <w:iCs/>
        </w:rPr>
        <w:t xml:space="preserve"> </w:t>
      </w:r>
      <w:r w:rsidR="000E187B" w:rsidRPr="00EB31F2">
        <w:rPr>
          <w:iCs/>
        </w:rPr>
        <w:fldChar w:fldCharType="begin" w:fldLock="1"/>
      </w:r>
      <w:r w:rsidR="000E187B" w:rsidRPr="00EB31F2">
        <w:rPr>
          <w:iCs/>
        </w:rPr>
        <w:instrText xml:space="preserve"> REF _Ref157668998 \h </w:instrText>
      </w:r>
      <w:r w:rsidR="00116116" w:rsidRPr="00EB31F2">
        <w:rPr>
          <w:iCs/>
        </w:rPr>
        <w:instrText xml:space="preserve"> \* MERGEFORMAT </w:instrText>
      </w:r>
      <w:r w:rsidR="000E187B" w:rsidRPr="00EB31F2">
        <w:rPr>
          <w:iCs/>
        </w:rPr>
      </w:r>
      <w:r w:rsidR="000E187B" w:rsidRPr="00EB31F2">
        <w:rPr>
          <w:iCs/>
        </w:rPr>
        <w:fldChar w:fldCharType="separate"/>
      </w:r>
      <w:r w:rsidR="000A3CEA" w:rsidRPr="00EB31F2">
        <w:rPr>
          <w:iCs/>
        </w:rPr>
        <w:t>Table 3</w:t>
      </w:r>
      <w:r w:rsidR="000E187B" w:rsidRPr="00EB31F2">
        <w:rPr>
          <w:iCs/>
        </w:rPr>
        <w:fldChar w:fldCharType="end"/>
      </w:r>
      <w:r w:rsidRPr="00EB31F2">
        <w:rPr>
          <w:iCs/>
        </w:rPr>
        <w:t>), omalizumab and dupilumab are expected to have independent utilisation patterns. The</w:t>
      </w:r>
      <w:r w:rsidR="00094764">
        <w:rPr>
          <w:iCs/>
        </w:rPr>
        <w:t xml:space="preserve"> Drug Utilisation Sub-Committee (</w:t>
      </w:r>
      <w:r w:rsidRPr="00EB31F2">
        <w:rPr>
          <w:iCs/>
        </w:rPr>
        <w:t>DUSC</w:t>
      </w:r>
      <w:r w:rsidR="00094764">
        <w:rPr>
          <w:iCs/>
        </w:rPr>
        <w:t xml:space="preserve">) </w:t>
      </w:r>
      <w:r w:rsidRPr="00EB31F2">
        <w:rPr>
          <w:iCs/>
        </w:rPr>
        <w:t xml:space="preserve">review of biologics for asthma in 2019 </w:t>
      </w:r>
      <w:sdt>
        <w:sdtPr>
          <w:rPr>
            <w:iCs/>
          </w:rPr>
          <w:id w:val="2018882870"/>
          <w:citation/>
        </w:sdtPr>
        <w:sdtEndPr/>
        <w:sdtContent>
          <w:r w:rsidRPr="00EB31F2">
            <w:rPr>
              <w:iCs/>
            </w:rPr>
            <w:fldChar w:fldCharType="begin" w:fldLock="1"/>
          </w:r>
          <w:r w:rsidRPr="00EB31F2">
            <w:rPr>
              <w:iCs/>
            </w:rPr>
            <w:instrText xml:space="preserve"> CITATION DUS19 \l 3081 </w:instrText>
          </w:r>
          <w:r w:rsidRPr="00EB31F2">
            <w:rPr>
              <w:iCs/>
            </w:rPr>
            <w:fldChar w:fldCharType="separate"/>
          </w:r>
          <w:r w:rsidR="000A3CEA" w:rsidRPr="003D60FA">
            <w:t>(DUSC, 2019)</w:t>
          </w:r>
          <w:r w:rsidRPr="00EB31F2">
            <w:rPr>
              <w:iCs/>
            </w:rPr>
            <w:fldChar w:fldCharType="end"/>
          </w:r>
        </w:sdtContent>
      </w:sdt>
      <w:r w:rsidRPr="00EB31F2">
        <w:rPr>
          <w:iCs/>
        </w:rPr>
        <w:t xml:space="preserve"> noted that the PBS listing of biologics for the treatment of </w:t>
      </w:r>
      <w:r w:rsidR="00634BD9" w:rsidRPr="00EB31F2">
        <w:rPr>
          <w:iCs/>
        </w:rPr>
        <w:t>uncontrolled severe asthma</w:t>
      </w:r>
      <w:r w:rsidRPr="00EB31F2">
        <w:rPr>
          <w:iCs/>
        </w:rPr>
        <w:t xml:space="preserve"> did not create any substantial changes in the use of omalizumab for SAA. </w:t>
      </w:r>
      <w:r w:rsidR="004E4F3A" w:rsidRPr="00EB31F2">
        <w:rPr>
          <w:iCs/>
        </w:rPr>
        <w:t>The submission f</w:t>
      </w:r>
      <w:r w:rsidRPr="00EB31F2">
        <w:rPr>
          <w:iCs/>
        </w:rPr>
        <w:t>urther</w:t>
      </w:r>
      <w:r w:rsidR="004E4F3A" w:rsidRPr="00EB31F2">
        <w:rPr>
          <w:iCs/>
        </w:rPr>
        <w:t xml:space="preserve"> noted that</w:t>
      </w:r>
      <w:r w:rsidRPr="00EB31F2">
        <w:rPr>
          <w:iCs/>
        </w:rPr>
        <w:t xml:space="preserve"> the PBAC consideration of Authority Required (Written) listings in 2021 </w:t>
      </w:r>
      <w:sdt>
        <w:sdtPr>
          <w:rPr>
            <w:iCs/>
          </w:rPr>
          <w:id w:val="1155108304"/>
          <w:citation/>
        </w:sdtPr>
        <w:sdtEndPr/>
        <w:sdtContent>
          <w:r w:rsidRPr="00EB31F2">
            <w:rPr>
              <w:iCs/>
            </w:rPr>
            <w:fldChar w:fldCharType="begin" w:fldLock="1"/>
          </w:r>
          <w:r w:rsidRPr="00EB31F2">
            <w:rPr>
              <w:iCs/>
            </w:rPr>
            <w:instrText xml:space="preserve"> CITATION PBA211 \l 3081 </w:instrText>
          </w:r>
          <w:r w:rsidRPr="00EB31F2">
            <w:rPr>
              <w:iCs/>
            </w:rPr>
            <w:fldChar w:fldCharType="separate"/>
          </w:r>
          <w:r w:rsidR="000A3CEA" w:rsidRPr="003D60FA">
            <w:t>(PBAC, July 2021 PBAC Meeting outcomes, 2021)</w:t>
          </w:r>
          <w:r w:rsidRPr="00EB31F2">
            <w:rPr>
              <w:iCs/>
            </w:rPr>
            <w:fldChar w:fldCharType="end"/>
          </w:r>
        </w:sdtContent>
      </w:sdt>
      <w:r w:rsidRPr="00EB31F2">
        <w:rPr>
          <w:iCs/>
        </w:rPr>
        <w:t xml:space="preserve"> separately considered omalizumab and mepolizumab/benralizumab utilisation.</w:t>
      </w:r>
      <w:r w:rsidR="003D57D4" w:rsidRPr="00EB31F2">
        <w:rPr>
          <w:iCs/>
        </w:rPr>
        <w:t xml:space="preserve"> </w:t>
      </w:r>
    </w:p>
    <w:p w14:paraId="38B28D80" w14:textId="6BF3A480" w:rsidR="00274A6F" w:rsidRPr="00EB31F2" w:rsidRDefault="00274A6F" w:rsidP="00A61BF3">
      <w:pPr>
        <w:pStyle w:val="3Bodytext"/>
        <w:spacing w:before="120"/>
        <w:jc w:val="both"/>
        <w:rPr>
          <w:iCs/>
        </w:rPr>
      </w:pPr>
      <w:r w:rsidRPr="00EB31F2">
        <w:rPr>
          <w:iCs/>
        </w:rPr>
        <w:t xml:space="preserve">The Secretariat noted that the preference for presenting </w:t>
      </w:r>
      <w:r w:rsidR="00767378" w:rsidRPr="00EB31F2">
        <w:rPr>
          <w:iCs/>
        </w:rPr>
        <w:t>the PBS/RPBS services</w:t>
      </w:r>
      <w:r w:rsidRPr="00EB31F2">
        <w:rPr>
          <w:iCs/>
        </w:rPr>
        <w:t xml:space="preserve"> is in calendar years, not financial years. This prevents distortions due to seasonality.</w:t>
      </w:r>
      <w:r w:rsidR="00645264" w:rsidRPr="00EB31F2">
        <w:rPr>
          <w:iCs/>
        </w:rPr>
        <w:t xml:space="preserve"> </w:t>
      </w:r>
      <w:r w:rsidR="001B054A" w:rsidRPr="00EB31F2">
        <w:rPr>
          <w:iCs/>
        </w:rPr>
        <w:t>The pre-PBAC response stated that the analyses for anti-IL-5 initiation PBS/RPBS services were presented according to 2016-2017, 2017-2018, 2018-2019, 2019-2020, 2020-2021, 2021-2022, 2022-23 financial years, incorporating the maximum available data at the time of submission. Given the financial year analyses represent 12 months of PBS/RPBS services for each period (</w:t>
      </w:r>
      <w:r w:rsidR="00FD73E2" w:rsidRPr="00EB31F2">
        <w:rPr>
          <w:iCs/>
        </w:rPr>
        <w:t>e.g.</w:t>
      </w:r>
      <w:r w:rsidR="001B054A" w:rsidRPr="00EB31F2">
        <w:rPr>
          <w:iCs/>
        </w:rPr>
        <w:t xml:space="preserve">: July 2022 to June 2023), seasonality is not a factor/distortion that influences the interpretation of the analysis presented in the submission. </w:t>
      </w:r>
    </w:p>
    <w:p w14:paraId="20AAF070" w14:textId="094CAB89" w:rsidR="001E399C" w:rsidRPr="00EB31F2" w:rsidRDefault="00F27F09" w:rsidP="00C5104A">
      <w:pPr>
        <w:pStyle w:val="Caption"/>
        <w:keepNext/>
      </w:pPr>
      <w:bookmarkStart w:id="8" w:name="_Ref157668998"/>
      <w:r w:rsidRPr="00EB31F2">
        <w:lastRenderedPageBreak/>
        <w:t xml:space="preserve">Table </w:t>
      </w:r>
      <w:r w:rsidR="00165390">
        <w:fldChar w:fldCharType="begin" w:fldLock="1"/>
      </w:r>
      <w:r w:rsidR="00165390">
        <w:instrText xml:space="preserve"> SEQ Table \* ARABIC </w:instrText>
      </w:r>
      <w:r w:rsidR="00165390">
        <w:fldChar w:fldCharType="separate"/>
      </w:r>
      <w:r w:rsidR="000A3CEA" w:rsidRPr="003D60FA">
        <w:t>3</w:t>
      </w:r>
      <w:r w:rsidR="00165390">
        <w:fldChar w:fldCharType="end"/>
      </w:r>
      <w:bookmarkEnd w:id="8"/>
      <w:r w:rsidRPr="00EB31F2">
        <w:t>: PBS listing dates for biologics for severe asthma</w:t>
      </w:r>
    </w:p>
    <w:tbl>
      <w:tblPr>
        <w:tblStyle w:val="TableGrid"/>
        <w:tblW w:w="0" w:type="auto"/>
        <w:tblLook w:val="04A0" w:firstRow="1" w:lastRow="0" w:firstColumn="1" w:lastColumn="0" w:noHBand="0" w:noVBand="1"/>
        <w:tblCaption w:val="Table 3: PBS listing dates for biologics for severe asthma"/>
      </w:tblPr>
      <w:tblGrid>
        <w:gridCol w:w="1473"/>
        <w:gridCol w:w="1342"/>
        <w:gridCol w:w="4592"/>
        <w:gridCol w:w="1609"/>
      </w:tblGrid>
      <w:tr w:rsidR="001E399C" w:rsidRPr="00EB31F2" w14:paraId="51E8E91C" w14:textId="77777777">
        <w:tc>
          <w:tcPr>
            <w:tcW w:w="1555" w:type="dxa"/>
            <w:shd w:val="clear" w:color="auto" w:fill="D9D9D9" w:themeFill="background1" w:themeFillShade="D9"/>
          </w:tcPr>
          <w:p w14:paraId="58D6C9D5" w14:textId="77777777" w:rsidR="001E399C" w:rsidRPr="00EB31F2" w:rsidRDefault="001E399C" w:rsidP="00C5104A">
            <w:pPr>
              <w:keepNext/>
              <w:autoSpaceDE w:val="0"/>
              <w:autoSpaceDN w:val="0"/>
              <w:adjustRightInd w:val="0"/>
              <w:spacing w:line="247" w:lineRule="auto"/>
              <w:jc w:val="left"/>
              <w:rPr>
                <w:rFonts w:ascii="Arial Narrow" w:hAnsi="Arial Narrow"/>
                <w:b/>
                <w:iCs/>
                <w:sz w:val="20"/>
                <w:szCs w:val="20"/>
              </w:rPr>
            </w:pPr>
            <w:r w:rsidRPr="00EB31F2">
              <w:rPr>
                <w:rFonts w:ascii="Arial Narrow" w:hAnsi="Arial Narrow"/>
                <w:b/>
                <w:iCs/>
                <w:sz w:val="20"/>
                <w:szCs w:val="20"/>
              </w:rPr>
              <w:t>Biologic for severe asthma</w:t>
            </w:r>
          </w:p>
        </w:tc>
        <w:tc>
          <w:tcPr>
            <w:tcW w:w="1417" w:type="dxa"/>
            <w:shd w:val="clear" w:color="auto" w:fill="D9D9D9" w:themeFill="background1" w:themeFillShade="D9"/>
          </w:tcPr>
          <w:p w14:paraId="4309E5B7" w14:textId="77777777" w:rsidR="001E399C" w:rsidRPr="00EB31F2" w:rsidRDefault="001E399C" w:rsidP="00C5104A">
            <w:pPr>
              <w:keepNext/>
              <w:autoSpaceDE w:val="0"/>
              <w:autoSpaceDN w:val="0"/>
              <w:adjustRightInd w:val="0"/>
              <w:spacing w:line="247" w:lineRule="auto"/>
              <w:jc w:val="left"/>
              <w:rPr>
                <w:rFonts w:ascii="Arial Narrow" w:hAnsi="Arial Narrow"/>
                <w:b/>
                <w:iCs/>
                <w:sz w:val="20"/>
                <w:szCs w:val="20"/>
              </w:rPr>
            </w:pPr>
            <w:r w:rsidRPr="00EB31F2">
              <w:rPr>
                <w:rFonts w:ascii="Arial Narrow" w:hAnsi="Arial Narrow"/>
                <w:b/>
                <w:iCs/>
                <w:sz w:val="20"/>
                <w:szCs w:val="20"/>
              </w:rPr>
              <w:t>Mechanism of action – target pathway</w:t>
            </w:r>
          </w:p>
        </w:tc>
        <w:tc>
          <w:tcPr>
            <w:tcW w:w="5670" w:type="dxa"/>
            <w:shd w:val="clear" w:color="auto" w:fill="D9D9D9" w:themeFill="background1" w:themeFillShade="D9"/>
          </w:tcPr>
          <w:p w14:paraId="6DBE888D" w14:textId="77777777" w:rsidR="001E399C" w:rsidRPr="00EB31F2" w:rsidRDefault="001E399C" w:rsidP="00C5104A">
            <w:pPr>
              <w:keepNext/>
              <w:autoSpaceDE w:val="0"/>
              <w:autoSpaceDN w:val="0"/>
              <w:adjustRightInd w:val="0"/>
              <w:spacing w:line="247" w:lineRule="auto"/>
              <w:jc w:val="left"/>
              <w:rPr>
                <w:rFonts w:ascii="Arial Narrow" w:hAnsi="Arial Narrow"/>
                <w:b/>
                <w:iCs/>
                <w:sz w:val="20"/>
                <w:szCs w:val="20"/>
              </w:rPr>
            </w:pPr>
            <w:r w:rsidRPr="00EB31F2">
              <w:rPr>
                <w:rFonts w:ascii="Arial Narrow" w:hAnsi="Arial Narrow"/>
                <w:b/>
                <w:iCs/>
                <w:sz w:val="20"/>
                <w:szCs w:val="20"/>
              </w:rPr>
              <w:t>TGA indication*</w:t>
            </w:r>
          </w:p>
        </w:tc>
        <w:tc>
          <w:tcPr>
            <w:tcW w:w="1814" w:type="dxa"/>
            <w:shd w:val="clear" w:color="auto" w:fill="D9D9D9" w:themeFill="background1" w:themeFillShade="D9"/>
          </w:tcPr>
          <w:p w14:paraId="418978B7" w14:textId="77777777" w:rsidR="001E399C" w:rsidRPr="00EB31F2" w:rsidRDefault="001E399C" w:rsidP="00C5104A">
            <w:pPr>
              <w:keepNext/>
              <w:autoSpaceDE w:val="0"/>
              <w:autoSpaceDN w:val="0"/>
              <w:adjustRightInd w:val="0"/>
              <w:spacing w:line="247" w:lineRule="auto"/>
              <w:jc w:val="left"/>
              <w:rPr>
                <w:rFonts w:ascii="Arial Narrow" w:hAnsi="Arial Narrow"/>
                <w:b/>
                <w:iCs/>
                <w:sz w:val="20"/>
                <w:szCs w:val="20"/>
              </w:rPr>
            </w:pPr>
            <w:r w:rsidRPr="00EB31F2">
              <w:rPr>
                <w:rFonts w:ascii="Arial Narrow" w:hAnsi="Arial Narrow"/>
                <w:b/>
                <w:iCs/>
                <w:sz w:val="20"/>
                <w:szCs w:val="20"/>
              </w:rPr>
              <w:t>PBS listing date</w:t>
            </w:r>
          </w:p>
        </w:tc>
      </w:tr>
      <w:tr w:rsidR="001E399C" w:rsidRPr="00EB31F2" w14:paraId="4ABE0B56" w14:textId="77777777">
        <w:tc>
          <w:tcPr>
            <w:tcW w:w="1555" w:type="dxa"/>
          </w:tcPr>
          <w:p w14:paraId="6F43AED6" w14:textId="77777777" w:rsidR="001E399C" w:rsidRPr="00EB31F2" w:rsidRDefault="001E399C" w:rsidP="00C5104A">
            <w:pPr>
              <w:keepNext/>
              <w:autoSpaceDE w:val="0"/>
              <w:autoSpaceDN w:val="0"/>
              <w:adjustRightInd w:val="0"/>
              <w:spacing w:line="247" w:lineRule="auto"/>
              <w:jc w:val="left"/>
              <w:rPr>
                <w:rFonts w:ascii="Arial Narrow" w:hAnsi="Arial Narrow"/>
                <w:iCs/>
                <w:sz w:val="20"/>
                <w:szCs w:val="20"/>
              </w:rPr>
            </w:pPr>
            <w:r w:rsidRPr="00EB31F2">
              <w:rPr>
                <w:rFonts w:ascii="Arial Narrow" w:hAnsi="Arial Narrow"/>
                <w:iCs/>
                <w:sz w:val="20"/>
                <w:szCs w:val="20"/>
              </w:rPr>
              <w:t>Omalizumab</w:t>
            </w:r>
          </w:p>
        </w:tc>
        <w:tc>
          <w:tcPr>
            <w:tcW w:w="1417" w:type="dxa"/>
          </w:tcPr>
          <w:p w14:paraId="12973584" w14:textId="77777777" w:rsidR="001E399C" w:rsidRPr="00EB31F2" w:rsidRDefault="001E399C" w:rsidP="00C5104A">
            <w:pPr>
              <w:keepNext/>
              <w:autoSpaceDE w:val="0"/>
              <w:autoSpaceDN w:val="0"/>
              <w:adjustRightInd w:val="0"/>
              <w:spacing w:line="247" w:lineRule="auto"/>
              <w:jc w:val="left"/>
              <w:rPr>
                <w:rFonts w:ascii="Arial Narrow" w:hAnsi="Arial Narrow"/>
                <w:iCs/>
                <w:sz w:val="20"/>
                <w:szCs w:val="20"/>
              </w:rPr>
            </w:pPr>
            <w:r w:rsidRPr="00EB31F2">
              <w:rPr>
                <w:rFonts w:ascii="Arial Narrow" w:hAnsi="Arial Narrow"/>
                <w:iCs/>
                <w:sz w:val="20"/>
                <w:szCs w:val="20"/>
              </w:rPr>
              <w:t>Anti-IgE</w:t>
            </w:r>
          </w:p>
        </w:tc>
        <w:tc>
          <w:tcPr>
            <w:tcW w:w="5670" w:type="dxa"/>
          </w:tcPr>
          <w:p w14:paraId="4DECC079" w14:textId="77777777" w:rsidR="001E399C" w:rsidRPr="00EB31F2" w:rsidRDefault="001E399C" w:rsidP="00C5104A">
            <w:pPr>
              <w:keepNext/>
              <w:autoSpaceDE w:val="0"/>
              <w:autoSpaceDN w:val="0"/>
              <w:adjustRightInd w:val="0"/>
              <w:spacing w:line="247" w:lineRule="auto"/>
              <w:jc w:val="left"/>
              <w:rPr>
                <w:rFonts w:ascii="Arial Narrow" w:hAnsi="Arial Narrow"/>
                <w:iCs/>
                <w:sz w:val="20"/>
                <w:szCs w:val="20"/>
              </w:rPr>
            </w:pPr>
            <w:r w:rsidRPr="00EB31F2">
              <w:rPr>
                <w:rFonts w:ascii="Arial Narrow" w:hAnsi="Arial Narrow"/>
                <w:iCs/>
                <w:sz w:val="20"/>
                <w:szCs w:val="20"/>
              </w:rPr>
              <w:t>Management of moderate to severe allergic asthma in adults and adolescents aged ≥12 years already using ICS</w:t>
            </w:r>
          </w:p>
        </w:tc>
        <w:tc>
          <w:tcPr>
            <w:tcW w:w="1814" w:type="dxa"/>
          </w:tcPr>
          <w:p w14:paraId="0EA0D2A7" w14:textId="77777777" w:rsidR="001E399C" w:rsidRPr="00EB31F2" w:rsidRDefault="001E399C" w:rsidP="00C5104A">
            <w:pPr>
              <w:keepNext/>
              <w:autoSpaceDE w:val="0"/>
              <w:autoSpaceDN w:val="0"/>
              <w:adjustRightInd w:val="0"/>
              <w:spacing w:line="247" w:lineRule="auto"/>
              <w:jc w:val="left"/>
              <w:rPr>
                <w:rFonts w:ascii="Arial Narrow" w:hAnsi="Arial Narrow"/>
                <w:iCs/>
                <w:sz w:val="20"/>
                <w:szCs w:val="20"/>
              </w:rPr>
            </w:pPr>
            <w:r w:rsidRPr="00EB31F2">
              <w:rPr>
                <w:rFonts w:ascii="Arial Narrow" w:hAnsi="Arial Narrow"/>
                <w:iCs/>
                <w:sz w:val="20"/>
                <w:szCs w:val="20"/>
              </w:rPr>
              <w:t>1 July 2011</w:t>
            </w:r>
          </w:p>
        </w:tc>
      </w:tr>
      <w:tr w:rsidR="001E399C" w:rsidRPr="00EB31F2" w14:paraId="65195809" w14:textId="77777777">
        <w:tc>
          <w:tcPr>
            <w:tcW w:w="1555" w:type="dxa"/>
          </w:tcPr>
          <w:p w14:paraId="77C5C4B2" w14:textId="77777777" w:rsidR="001E399C" w:rsidRPr="00EB31F2" w:rsidRDefault="001E399C" w:rsidP="00C5104A">
            <w:pPr>
              <w:keepNext/>
              <w:autoSpaceDE w:val="0"/>
              <w:autoSpaceDN w:val="0"/>
              <w:adjustRightInd w:val="0"/>
              <w:spacing w:line="247" w:lineRule="auto"/>
              <w:jc w:val="left"/>
              <w:rPr>
                <w:rFonts w:ascii="Arial Narrow" w:hAnsi="Arial Narrow"/>
                <w:iCs/>
                <w:sz w:val="20"/>
                <w:szCs w:val="20"/>
              </w:rPr>
            </w:pPr>
            <w:r w:rsidRPr="00EB31F2">
              <w:rPr>
                <w:rFonts w:ascii="Arial Narrow" w:hAnsi="Arial Narrow"/>
                <w:iCs/>
                <w:sz w:val="20"/>
                <w:szCs w:val="20"/>
              </w:rPr>
              <w:t>Mepolizumab</w:t>
            </w:r>
          </w:p>
        </w:tc>
        <w:tc>
          <w:tcPr>
            <w:tcW w:w="1417" w:type="dxa"/>
          </w:tcPr>
          <w:p w14:paraId="7917D46D" w14:textId="77777777" w:rsidR="001E399C" w:rsidRPr="00EB31F2" w:rsidRDefault="001E399C" w:rsidP="00C5104A">
            <w:pPr>
              <w:keepNext/>
              <w:autoSpaceDE w:val="0"/>
              <w:autoSpaceDN w:val="0"/>
              <w:adjustRightInd w:val="0"/>
              <w:spacing w:line="247" w:lineRule="auto"/>
              <w:jc w:val="left"/>
              <w:rPr>
                <w:rFonts w:ascii="Arial Narrow" w:hAnsi="Arial Narrow"/>
                <w:iCs/>
                <w:sz w:val="20"/>
                <w:szCs w:val="20"/>
              </w:rPr>
            </w:pPr>
            <w:r w:rsidRPr="00EB31F2">
              <w:rPr>
                <w:rFonts w:ascii="Arial Narrow" w:hAnsi="Arial Narrow"/>
                <w:iCs/>
                <w:sz w:val="20"/>
                <w:szCs w:val="20"/>
              </w:rPr>
              <w:t>Anti-IL5</w:t>
            </w:r>
          </w:p>
        </w:tc>
        <w:tc>
          <w:tcPr>
            <w:tcW w:w="5670" w:type="dxa"/>
            <w:vMerge w:val="restart"/>
          </w:tcPr>
          <w:p w14:paraId="223D4BDE" w14:textId="77777777" w:rsidR="001E399C" w:rsidRPr="00EB31F2" w:rsidRDefault="001E399C" w:rsidP="00C5104A">
            <w:pPr>
              <w:keepNext/>
              <w:autoSpaceDE w:val="0"/>
              <w:autoSpaceDN w:val="0"/>
              <w:adjustRightInd w:val="0"/>
              <w:spacing w:line="247" w:lineRule="auto"/>
              <w:jc w:val="left"/>
              <w:rPr>
                <w:rFonts w:ascii="Arial Narrow" w:hAnsi="Arial Narrow"/>
                <w:iCs/>
                <w:sz w:val="20"/>
                <w:szCs w:val="20"/>
              </w:rPr>
            </w:pPr>
            <w:r w:rsidRPr="00EB31F2">
              <w:rPr>
                <w:rFonts w:ascii="Arial Narrow" w:hAnsi="Arial Narrow"/>
                <w:iCs/>
                <w:sz w:val="20"/>
                <w:szCs w:val="20"/>
              </w:rPr>
              <w:t>Add-on treatment for severe eosinophilic asthma in adults and adolescents ≥12 years</w:t>
            </w:r>
          </w:p>
        </w:tc>
        <w:tc>
          <w:tcPr>
            <w:tcW w:w="1814" w:type="dxa"/>
          </w:tcPr>
          <w:p w14:paraId="24943747" w14:textId="77777777" w:rsidR="001E399C" w:rsidRPr="00EB31F2" w:rsidRDefault="001E399C" w:rsidP="00C5104A">
            <w:pPr>
              <w:keepNext/>
              <w:autoSpaceDE w:val="0"/>
              <w:autoSpaceDN w:val="0"/>
              <w:adjustRightInd w:val="0"/>
              <w:spacing w:line="247" w:lineRule="auto"/>
              <w:jc w:val="left"/>
              <w:rPr>
                <w:rFonts w:ascii="Arial Narrow" w:hAnsi="Arial Narrow"/>
                <w:iCs/>
                <w:sz w:val="20"/>
                <w:szCs w:val="20"/>
              </w:rPr>
            </w:pPr>
            <w:r w:rsidRPr="00EB31F2">
              <w:rPr>
                <w:rFonts w:ascii="Arial Narrow" w:hAnsi="Arial Narrow"/>
                <w:iCs/>
                <w:sz w:val="20"/>
                <w:szCs w:val="20"/>
              </w:rPr>
              <w:t>1 January 2017</w:t>
            </w:r>
          </w:p>
        </w:tc>
      </w:tr>
      <w:tr w:rsidR="001E399C" w:rsidRPr="00EB31F2" w14:paraId="44DFEAAE" w14:textId="77777777">
        <w:tc>
          <w:tcPr>
            <w:tcW w:w="1555" w:type="dxa"/>
          </w:tcPr>
          <w:p w14:paraId="185348C8" w14:textId="77777777" w:rsidR="001E399C" w:rsidRPr="00EB31F2" w:rsidRDefault="001E399C" w:rsidP="00C5104A">
            <w:pPr>
              <w:keepNext/>
              <w:autoSpaceDE w:val="0"/>
              <w:autoSpaceDN w:val="0"/>
              <w:adjustRightInd w:val="0"/>
              <w:spacing w:line="247" w:lineRule="auto"/>
              <w:jc w:val="left"/>
              <w:rPr>
                <w:rFonts w:ascii="Arial Narrow" w:hAnsi="Arial Narrow"/>
                <w:iCs/>
                <w:sz w:val="20"/>
                <w:szCs w:val="20"/>
              </w:rPr>
            </w:pPr>
            <w:r w:rsidRPr="00EB31F2">
              <w:rPr>
                <w:rFonts w:ascii="Arial Narrow" w:hAnsi="Arial Narrow"/>
                <w:iCs/>
                <w:sz w:val="20"/>
                <w:szCs w:val="20"/>
              </w:rPr>
              <w:t>Benralizumab</w:t>
            </w:r>
          </w:p>
        </w:tc>
        <w:tc>
          <w:tcPr>
            <w:tcW w:w="1417" w:type="dxa"/>
          </w:tcPr>
          <w:p w14:paraId="4E1BEFA1" w14:textId="77777777" w:rsidR="001E399C" w:rsidRPr="00EB31F2" w:rsidRDefault="001E399C" w:rsidP="00C5104A">
            <w:pPr>
              <w:keepNext/>
              <w:autoSpaceDE w:val="0"/>
              <w:autoSpaceDN w:val="0"/>
              <w:adjustRightInd w:val="0"/>
              <w:spacing w:line="247" w:lineRule="auto"/>
              <w:jc w:val="left"/>
              <w:rPr>
                <w:rFonts w:ascii="Arial Narrow" w:hAnsi="Arial Narrow"/>
                <w:iCs/>
                <w:sz w:val="20"/>
                <w:szCs w:val="20"/>
              </w:rPr>
            </w:pPr>
            <w:r w:rsidRPr="00EB31F2">
              <w:rPr>
                <w:rFonts w:ascii="Arial Narrow" w:hAnsi="Arial Narrow"/>
                <w:iCs/>
                <w:sz w:val="20"/>
                <w:szCs w:val="20"/>
              </w:rPr>
              <w:t>Anti-IL5</w:t>
            </w:r>
          </w:p>
        </w:tc>
        <w:tc>
          <w:tcPr>
            <w:tcW w:w="5670" w:type="dxa"/>
            <w:vMerge/>
          </w:tcPr>
          <w:p w14:paraId="20C4DE90" w14:textId="77777777" w:rsidR="001E399C" w:rsidRPr="00EB31F2" w:rsidRDefault="001E399C" w:rsidP="00C5104A">
            <w:pPr>
              <w:keepNext/>
              <w:autoSpaceDE w:val="0"/>
              <w:autoSpaceDN w:val="0"/>
              <w:adjustRightInd w:val="0"/>
              <w:spacing w:line="247" w:lineRule="auto"/>
              <w:jc w:val="left"/>
              <w:rPr>
                <w:rFonts w:ascii="Arial Narrow" w:hAnsi="Arial Narrow"/>
                <w:iCs/>
                <w:sz w:val="20"/>
                <w:szCs w:val="20"/>
              </w:rPr>
            </w:pPr>
          </w:p>
        </w:tc>
        <w:tc>
          <w:tcPr>
            <w:tcW w:w="1814" w:type="dxa"/>
          </w:tcPr>
          <w:p w14:paraId="3B9B0371" w14:textId="77777777" w:rsidR="001E399C" w:rsidRPr="00EB31F2" w:rsidRDefault="001E399C" w:rsidP="00C5104A">
            <w:pPr>
              <w:keepNext/>
              <w:autoSpaceDE w:val="0"/>
              <w:autoSpaceDN w:val="0"/>
              <w:adjustRightInd w:val="0"/>
              <w:spacing w:line="247" w:lineRule="auto"/>
              <w:jc w:val="left"/>
              <w:rPr>
                <w:rFonts w:ascii="Arial Narrow" w:hAnsi="Arial Narrow"/>
                <w:iCs/>
                <w:sz w:val="20"/>
                <w:szCs w:val="20"/>
              </w:rPr>
            </w:pPr>
            <w:r w:rsidRPr="00EB31F2">
              <w:rPr>
                <w:rFonts w:ascii="Arial Narrow" w:hAnsi="Arial Narrow"/>
                <w:iCs/>
                <w:sz w:val="20"/>
                <w:szCs w:val="20"/>
              </w:rPr>
              <w:t>1 December 2018</w:t>
            </w:r>
          </w:p>
        </w:tc>
      </w:tr>
      <w:tr w:rsidR="001E399C" w:rsidRPr="00EB31F2" w14:paraId="453BEBC7" w14:textId="77777777">
        <w:tc>
          <w:tcPr>
            <w:tcW w:w="1555" w:type="dxa"/>
          </w:tcPr>
          <w:p w14:paraId="5D3AECE0" w14:textId="77777777" w:rsidR="001E399C" w:rsidRPr="00EB31F2" w:rsidRDefault="001E399C" w:rsidP="00C5104A">
            <w:pPr>
              <w:keepNext/>
              <w:autoSpaceDE w:val="0"/>
              <w:autoSpaceDN w:val="0"/>
              <w:adjustRightInd w:val="0"/>
              <w:spacing w:line="247" w:lineRule="auto"/>
              <w:jc w:val="left"/>
              <w:rPr>
                <w:rFonts w:ascii="Arial Narrow" w:hAnsi="Arial Narrow"/>
                <w:iCs/>
                <w:sz w:val="20"/>
                <w:szCs w:val="20"/>
              </w:rPr>
            </w:pPr>
            <w:r w:rsidRPr="00EB31F2">
              <w:rPr>
                <w:rFonts w:ascii="Arial Narrow" w:hAnsi="Arial Narrow"/>
                <w:iCs/>
                <w:sz w:val="20"/>
                <w:szCs w:val="20"/>
              </w:rPr>
              <w:t>Dupilumab</w:t>
            </w:r>
          </w:p>
        </w:tc>
        <w:tc>
          <w:tcPr>
            <w:tcW w:w="1417" w:type="dxa"/>
          </w:tcPr>
          <w:p w14:paraId="389E3B25" w14:textId="77777777" w:rsidR="001E399C" w:rsidRPr="00EB31F2" w:rsidRDefault="001E399C" w:rsidP="00C5104A">
            <w:pPr>
              <w:keepNext/>
              <w:autoSpaceDE w:val="0"/>
              <w:autoSpaceDN w:val="0"/>
              <w:adjustRightInd w:val="0"/>
              <w:spacing w:line="247" w:lineRule="auto"/>
              <w:jc w:val="left"/>
              <w:rPr>
                <w:rFonts w:ascii="Arial Narrow" w:hAnsi="Arial Narrow"/>
                <w:iCs/>
                <w:sz w:val="20"/>
                <w:szCs w:val="20"/>
              </w:rPr>
            </w:pPr>
            <w:r w:rsidRPr="00EB31F2">
              <w:rPr>
                <w:rFonts w:ascii="Arial Narrow" w:hAnsi="Arial Narrow"/>
                <w:iCs/>
                <w:sz w:val="20"/>
                <w:szCs w:val="20"/>
              </w:rPr>
              <w:t>Anti-IL4</w:t>
            </w:r>
          </w:p>
        </w:tc>
        <w:tc>
          <w:tcPr>
            <w:tcW w:w="5670" w:type="dxa"/>
          </w:tcPr>
          <w:p w14:paraId="294FD841" w14:textId="77777777" w:rsidR="001E399C" w:rsidRPr="00EB31F2" w:rsidRDefault="001E399C" w:rsidP="00C5104A">
            <w:pPr>
              <w:keepNext/>
              <w:autoSpaceDE w:val="0"/>
              <w:autoSpaceDN w:val="0"/>
              <w:adjustRightInd w:val="0"/>
              <w:spacing w:line="247" w:lineRule="auto"/>
              <w:jc w:val="left"/>
              <w:rPr>
                <w:rFonts w:ascii="Arial Narrow" w:hAnsi="Arial Narrow"/>
                <w:iCs/>
                <w:sz w:val="20"/>
                <w:szCs w:val="20"/>
              </w:rPr>
            </w:pPr>
            <w:r w:rsidRPr="00EB31F2">
              <w:rPr>
                <w:rFonts w:ascii="Arial Narrow" w:hAnsi="Arial Narrow"/>
                <w:iCs/>
                <w:sz w:val="20"/>
                <w:szCs w:val="20"/>
              </w:rPr>
              <w:t>Add-on treatment for moderate to severe asthma with type 2 inflammation (elevated eosinophils‡ or elevated FeNO) in adults and adolescents aged ≥12 years</w:t>
            </w:r>
          </w:p>
          <w:p w14:paraId="7727F8F9" w14:textId="77777777" w:rsidR="001E399C" w:rsidRPr="00EB31F2" w:rsidRDefault="001E399C" w:rsidP="00C5104A">
            <w:pPr>
              <w:keepNext/>
              <w:autoSpaceDE w:val="0"/>
              <w:autoSpaceDN w:val="0"/>
              <w:adjustRightInd w:val="0"/>
              <w:spacing w:line="247" w:lineRule="auto"/>
              <w:jc w:val="left"/>
              <w:rPr>
                <w:rFonts w:ascii="Arial Narrow" w:hAnsi="Arial Narrow"/>
                <w:iCs/>
                <w:sz w:val="20"/>
                <w:szCs w:val="20"/>
              </w:rPr>
            </w:pPr>
          </w:p>
          <w:p w14:paraId="53874D9C" w14:textId="77777777" w:rsidR="001E399C" w:rsidRPr="00EB31F2" w:rsidRDefault="001E399C" w:rsidP="00C5104A">
            <w:pPr>
              <w:keepNext/>
              <w:autoSpaceDE w:val="0"/>
              <w:autoSpaceDN w:val="0"/>
              <w:adjustRightInd w:val="0"/>
              <w:spacing w:line="247" w:lineRule="auto"/>
              <w:jc w:val="left"/>
              <w:rPr>
                <w:rFonts w:ascii="Arial Narrow" w:hAnsi="Arial Narrow"/>
                <w:iCs/>
                <w:sz w:val="20"/>
                <w:szCs w:val="20"/>
              </w:rPr>
            </w:pPr>
            <w:r w:rsidRPr="00EB31F2">
              <w:rPr>
                <w:rFonts w:ascii="Arial Narrow" w:hAnsi="Arial Narrow"/>
                <w:iCs/>
                <w:sz w:val="20"/>
                <w:szCs w:val="20"/>
              </w:rPr>
              <w:t>Maintenance therapy for oral corticosteroid-dependent asthma</w:t>
            </w:r>
          </w:p>
        </w:tc>
        <w:tc>
          <w:tcPr>
            <w:tcW w:w="1814" w:type="dxa"/>
          </w:tcPr>
          <w:p w14:paraId="08B93BE8" w14:textId="77777777" w:rsidR="001E399C" w:rsidRPr="00EB31F2" w:rsidRDefault="001E399C" w:rsidP="00C5104A">
            <w:pPr>
              <w:keepNext/>
              <w:autoSpaceDE w:val="0"/>
              <w:autoSpaceDN w:val="0"/>
              <w:adjustRightInd w:val="0"/>
              <w:spacing w:line="247" w:lineRule="auto"/>
              <w:jc w:val="left"/>
              <w:rPr>
                <w:rFonts w:ascii="Arial Narrow" w:hAnsi="Arial Narrow"/>
                <w:iCs/>
                <w:sz w:val="20"/>
                <w:szCs w:val="20"/>
              </w:rPr>
            </w:pPr>
            <w:r w:rsidRPr="00EB31F2">
              <w:rPr>
                <w:rFonts w:ascii="Arial Narrow" w:hAnsi="Arial Narrow"/>
                <w:iCs/>
                <w:sz w:val="20"/>
                <w:szCs w:val="20"/>
              </w:rPr>
              <w:t>1 April 2021</w:t>
            </w:r>
          </w:p>
        </w:tc>
      </w:tr>
    </w:tbl>
    <w:p w14:paraId="26D1097C" w14:textId="77777777" w:rsidR="001E399C" w:rsidRPr="00EB31F2" w:rsidRDefault="001E399C" w:rsidP="00C5104A">
      <w:pPr>
        <w:keepNext/>
        <w:spacing w:line="247" w:lineRule="auto"/>
        <w:rPr>
          <w:rFonts w:ascii="Arial Narrow" w:hAnsi="Arial Narrow"/>
          <w:iCs/>
          <w:sz w:val="18"/>
          <w:szCs w:val="18"/>
        </w:rPr>
      </w:pPr>
      <w:r w:rsidRPr="00EB31F2">
        <w:rPr>
          <w:rFonts w:ascii="Arial Narrow" w:hAnsi="Arial Narrow"/>
          <w:iCs/>
          <w:sz w:val="18"/>
          <w:szCs w:val="18"/>
        </w:rPr>
        <w:t>Source: Submission main body p4</w:t>
      </w:r>
    </w:p>
    <w:p w14:paraId="10E749FB" w14:textId="34C0AE16" w:rsidR="001E399C" w:rsidRPr="00EB31F2" w:rsidRDefault="001E399C" w:rsidP="00EF556B">
      <w:pPr>
        <w:spacing w:after="120" w:line="247" w:lineRule="auto"/>
        <w:rPr>
          <w:rFonts w:ascii="Arial Narrow" w:hAnsi="Arial Narrow"/>
          <w:iCs/>
          <w:sz w:val="18"/>
          <w:szCs w:val="18"/>
        </w:rPr>
      </w:pPr>
      <w:r w:rsidRPr="00EB31F2">
        <w:rPr>
          <w:rFonts w:ascii="Arial Narrow" w:hAnsi="Arial Narrow"/>
          <w:iCs/>
          <w:sz w:val="18"/>
          <w:szCs w:val="18"/>
        </w:rPr>
        <w:t>*Indications approved by the Therapeutic Goods Administration; PBS restrictions also apply. ‡ elevated FeNO not included in PBS criteria.</w:t>
      </w:r>
    </w:p>
    <w:p w14:paraId="53F4B84C" w14:textId="01377A0E" w:rsidR="001E399C" w:rsidRPr="00EB31F2" w:rsidRDefault="001E399C" w:rsidP="001E399C">
      <w:pPr>
        <w:pStyle w:val="3Bodytext"/>
        <w:jc w:val="both"/>
        <w:rPr>
          <w:iCs/>
        </w:rPr>
      </w:pPr>
      <w:bookmarkStart w:id="9" w:name="_Ref159828225"/>
      <w:r w:rsidRPr="00EB31F2">
        <w:rPr>
          <w:iCs/>
        </w:rPr>
        <w:t xml:space="preserve">The sponsor stated that it had previously submitted a request to the PBAC to amend the authority level for mepolizumab for </w:t>
      </w:r>
      <w:r w:rsidR="00976803" w:rsidRPr="00EB31F2">
        <w:rPr>
          <w:iCs/>
        </w:rPr>
        <w:t>uncontrolled severe asthma</w:t>
      </w:r>
      <w:r w:rsidRPr="00EB31F2">
        <w:rPr>
          <w:iCs/>
        </w:rPr>
        <w:t xml:space="preserve"> as part of the </w:t>
      </w:r>
      <w:r w:rsidR="00EF556B" w:rsidRPr="00EB31F2">
        <w:rPr>
          <w:iCs/>
        </w:rPr>
        <w:t>s</w:t>
      </w:r>
      <w:r w:rsidRPr="00EB31F2">
        <w:rPr>
          <w:iCs/>
        </w:rPr>
        <w:t xml:space="preserve">ponsor </w:t>
      </w:r>
      <w:r w:rsidR="00EF556B" w:rsidRPr="00EB31F2">
        <w:rPr>
          <w:iCs/>
        </w:rPr>
        <w:t>r</w:t>
      </w:r>
      <w:r w:rsidRPr="00EB31F2">
        <w:rPr>
          <w:iCs/>
        </w:rPr>
        <w:t>esponse to the ‘June 2021 DUSC review of PBS Authority Required (Written) listings’. At its July 2021 PBAC meeting, the PBAC noted the sponsor’s suggestion of amending the restriction requirement. However, the PBAC did not recommend an amendment to the authority requirements for benralizumab and mepolizumab at that time, given the</w:t>
      </w:r>
      <w:r w:rsidRPr="00EB31F2" w:rsidDel="00C13AEB">
        <w:rPr>
          <w:iCs/>
        </w:rPr>
        <w:t xml:space="preserve"> </w:t>
      </w:r>
      <w:r w:rsidRPr="00EB31F2">
        <w:rPr>
          <w:iCs/>
        </w:rPr>
        <w:t>anti-IL5 market for SEA was relatively immature and not yet stable (Review of Authority Required (Written) PBS listings Tranche 3</w:t>
      </w:r>
      <w:r w:rsidR="00D9758D">
        <w:rPr>
          <w:iCs/>
        </w:rPr>
        <w:t xml:space="preserve">, </w:t>
      </w:r>
      <w:r w:rsidR="00D9758D" w:rsidRPr="003D60FA">
        <w:t>July</w:t>
      </w:r>
      <w:r w:rsidR="00D9758D">
        <w:t> </w:t>
      </w:r>
      <w:r w:rsidR="00D9758D" w:rsidRPr="003D60FA">
        <w:t>2021 PBAC Meeting outcomes</w:t>
      </w:r>
      <w:r w:rsidR="00D9758D" w:rsidRPr="00EB31F2">
        <w:rPr>
          <w:iCs/>
        </w:rPr>
        <w:t>).</w:t>
      </w:r>
      <w:bookmarkEnd w:id="9"/>
      <w:r w:rsidRPr="00EB31F2">
        <w:rPr>
          <w:iCs/>
        </w:rPr>
        <w:t xml:space="preserve"> </w:t>
      </w:r>
    </w:p>
    <w:p w14:paraId="59E2CAE5" w14:textId="7A253B7F" w:rsidR="001E399C" w:rsidRPr="00EB31F2" w:rsidRDefault="001E399C" w:rsidP="001E399C">
      <w:pPr>
        <w:pStyle w:val="3Bodytext"/>
        <w:spacing w:before="120"/>
        <w:jc w:val="both"/>
        <w:rPr>
          <w:iCs/>
        </w:rPr>
      </w:pPr>
      <w:r w:rsidRPr="00EB31F2">
        <w:rPr>
          <w:iCs/>
        </w:rPr>
        <w:t xml:space="preserve">The submission </w:t>
      </w:r>
      <w:r w:rsidR="004924DD" w:rsidRPr="00EB31F2">
        <w:rPr>
          <w:iCs/>
        </w:rPr>
        <w:t>argued that</w:t>
      </w:r>
      <w:r w:rsidRPr="00EB31F2">
        <w:rPr>
          <w:iCs/>
        </w:rPr>
        <w:t xml:space="preserve"> the </w:t>
      </w:r>
      <w:r w:rsidRPr="00EB31F2">
        <w:rPr>
          <w:rFonts w:cstheme="minorHAnsi"/>
          <w:iCs/>
        </w:rPr>
        <w:t>PBAC recommended that the authority requirements for continuing treatment with omalizumab for SAA be amended from Authority Required (Written) to Authority Required (Telephone/</w:t>
      </w:r>
      <w:r w:rsidR="00E737AE" w:rsidRPr="00EB31F2">
        <w:rPr>
          <w:rFonts w:cstheme="minorHAnsi"/>
          <w:iCs/>
        </w:rPr>
        <w:t>Online</w:t>
      </w:r>
      <w:r w:rsidRPr="00EB31F2">
        <w:rPr>
          <w:rFonts w:cstheme="minorHAnsi"/>
          <w:iCs/>
        </w:rPr>
        <w:t>) to ease administrative burden for prescribers and for consistency with the continuing authority requirements for omalizumab for CSU despite</w:t>
      </w:r>
      <w:r w:rsidRPr="00EB31F2">
        <w:rPr>
          <w:iCs/>
        </w:rPr>
        <w:t xml:space="preserve"> the growing number of incident patients and that the treated prevalent population had increased by 196% over the five-year period 2016-2020</w:t>
      </w:r>
      <w:r w:rsidR="004924DD" w:rsidRPr="00EB31F2">
        <w:rPr>
          <w:iCs/>
        </w:rPr>
        <w:t xml:space="preserve"> (Review of Authority Required (Written) PBS listings Tranche 3</w:t>
      </w:r>
      <w:r w:rsidR="00D9758D">
        <w:rPr>
          <w:iCs/>
        </w:rPr>
        <w:t>, PBAC July 2021</w:t>
      </w:r>
      <w:r w:rsidR="004924DD" w:rsidRPr="00EB31F2">
        <w:rPr>
          <w:iCs/>
        </w:rPr>
        <w:t>).</w:t>
      </w:r>
    </w:p>
    <w:p w14:paraId="29B27370" w14:textId="317444C0" w:rsidR="001E399C" w:rsidRPr="00EB31F2" w:rsidRDefault="00273159" w:rsidP="001E399C">
      <w:pPr>
        <w:pStyle w:val="3Bodytext"/>
        <w:spacing w:before="120"/>
        <w:jc w:val="both"/>
        <w:rPr>
          <w:iCs/>
        </w:rPr>
      </w:pPr>
      <w:r w:rsidRPr="00EB31F2">
        <w:rPr>
          <w:iCs/>
        </w:rPr>
        <w:t>T</w:t>
      </w:r>
      <w:r w:rsidR="001E399C" w:rsidRPr="00EB31F2">
        <w:rPr>
          <w:iCs/>
        </w:rPr>
        <w:t xml:space="preserve">he PBAC noted there is no </w:t>
      </w:r>
      <w:r w:rsidR="000F0BE4" w:rsidRPr="00EB31F2">
        <w:rPr>
          <w:iCs/>
        </w:rPr>
        <w:t>risk sharing arrangement (RSA)</w:t>
      </w:r>
      <w:r w:rsidR="001E399C" w:rsidRPr="00EB31F2">
        <w:rPr>
          <w:iCs/>
        </w:rPr>
        <w:t xml:space="preserve"> for omalizumab and commented on the modest </w:t>
      </w:r>
      <w:r w:rsidR="000F0BE4" w:rsidRPr="00EB31F2">
        <w:rPr>
          <w:iCs/>
        </w:rPr>
        <w:t>special pricing a</w:t>
      </w:r>
      <w:r w:rsidR="00EF556B" w:rsidRPr="00EB31F2">
        <w:rPr>
          <w:iCs/>
        </w:rPr>
        <w:t>rrangemen</w:t>
      </w:r>
      <w:r w:rsidR="000F0BE4" w:rsidRPr="00EB31F2">
        <w:rPr>
          <w:iCs/>
        </w:rPr>
        <w:t>t (SPA)</w:t>
      </w:r>
      <w:r w:rsidR="001E399C" w:rsidRPr="00EB31F2">
        <w:rPr>
          <w:iCs/>
        </w:rPr>
        <w:t>, leading to growth in PBS expenditure</w:t>
      </w:r>
      <w:r w:rsidR="003E18DA" w:rsidRPr="00EB31F2">
        <w:rPr>
          <w:iCs/>
        </w:rPr>
        <w:t xml:space="preserve"> (Review of Authority Required (Written) PBS listings Tranche 3</w:t>
      </w:r>
      <w:r w:rsidR="00D9758D">
        <w:rPr>
          <w:iCs/>
        </w:rPr>
        <w:t>,</w:t>
      </w:r>
      <w:r w:rsidR="003E18DA" w:rsidRPr="00EB31F2">
        <w:rPr>
          <w:iCs/>
        </w:rPr>
        <w:t xml:space="preserve"> </w:t>
      </w:r>
      <w:r w:rsidR="00D9758D" w:rsidRPr="003D60FA">
        <w:t>July 2021 PBAC Meeting outcomes</w:t>
      </w:r>
      <w:r w:rsidR="00D9758D" w:rsidRPr="00EB31F2">
        <w:rPr>
          <w:iCs/>
        </w:rPr>
        <w:t xml:space="preserve">). </w:t>
      </w:r>
      <w:r w:rsidR="001E399C" w:rsidRPr="00EB31F2">
        <w:rPr>
          <w:rFonts w:cstheme="minorHAnsi"/>
          <w:iCs/>
        </w:rPr>
        <w:t xml:space="preserve">The PBAC agreed with DUSC advice and did not recommend an amendment to the authority requirements for initial treatment with omalizumab for SAA, noting the consistent increase in incident and prevalent patient numbers demonstrated the market was not yet stable </w:t>
      </w:r>
      <w:r w:rsidR="001E399C" w:rsidRPr="00EB31F2">
        <w:rPr>
          <w:iCs/>
        </w:rPr>
        <w:t>(Review of Authority Required (Written) PBS listings Tranche 3</w:t>
      </w:r>
      <w:r w:rsidR="00D9758D">
        <w:rPr>
          <w:iCs/>
        </w:rPr>
        <w:t>,</w:t>
      </w:r>
      <w:r w:rsidR="001E399C" w:rsidRPr="00EB31F2">
        <w:rPr>
          <w:iCs/>
        </w:rPr>
        <w:t xml:space="preserve"> </w:t>
      </w:r>
      <w:r w:rsidR="00D9758D" w:rsidRPr="003D60FA">
        <w:t>July 2021 PBAC Meeting outcomes</w:t>
      </w:r>
      <w:r w:rsidR="00D9758D" w:rsidRPr="00EB31F2">
        <w:rPr>
          <w:iCs/>
        </w:rPr>
        <w:t>).</w:t>
      </w:r>
      <w:r w:rsidR="001E399C" w:rsidRPr="00EB31F2">
        <w:rPr>
          <w:rFonts w:cstheme="minorHAnsi"/>
          <w:iCs/>
        </w:rPr>
        <w:t xml:space="preserve"> </w:t>
      </w:r>
    </w:p>
    <w:p w14:paraId="7BF5631E" w14:textId="706A9AD2" w:rsidR="000F3421" w:rsidRPr="00EB31F2" w:rsidRDefault="006D72AA" w:rsidP="000F3421">
      <w:pPr>
        <w:pStyle w:val="3Bodytext"/>
        <w:jc w:val="both"/>
      </w:pPr>
      <w:r w:rsidRPr="00EB31F2">
        <w:t>I</w:t>
      </w:r>
      <w:r>
        <w:t>n</w:t>
      </w:r>
      <w:r w:rsidRPr="00EB31F2">
        <w:t xml:space="preserve"> </w:t>
      </w:r>
      <w:r w:rsidR="000F3421" w:rsidRPr="00EB31F2">
        <w:t xml:space="preserve">its pre-PBAC response, the sponsor maintained that the anti-IL-5 market is now sufficiently mature, and provided an additional 6-months of initiation services data from July to December 2023 indicating continued stabilisation of initiations for mepolizumab and benralizumab in </w:t>
      </w:r>
      <w:r w:rsidR="00645264" w:rsidRPr="00EB31F2">
        <w:t>uncontrolled severe asthma</w:t>
      </w:r>
      <w:r w:rsidR="000F3421" w:rsidRPr="00EB31F2">
        <w:t xml:space="preserve"> (</w:t>
      </w:r>
      <w:r w:rsidR="000F3421" w:rsidRPr="00EB31F2">
        <w:fldChar w:fldCharType="begin" w:fldLock="1"/>
      </w:r>
      <w:r w:rsidR="000F3421" w:rsidRPr="00EB31F2">
        <w:instrText xml:space="preserve"> REF _Ref161322837 \h </w:instrText>
      </w:r>
      <w:r w:rsidR="000F3421" w:rsidRPr="00EB31F2">
        <w:fldChar w:fldCharType="separate"/>
      </w:r>
      <w:r w:rsidR="000A3CEA" w:rsidRPr="00EB31F2">
        <w:t xml:space="preserve">Figure </w:t>
      </w:r>
      <w:r w:rsidR="000A3CEA" w:rsidRPr="003D60FA">
        <w:t>1</w:t>
      </w:r>
      <w:r w:rsidR="000F3421" w:rsidRPr="00EB31F2">
        <w:fldChar w:fldCharType="end"/>
      </w:r>
      <w:r w:rsidR="000F3421" w:rsidRPr="00EB31F2">
        <w:t xml:space="preserve"> and </w:t>
      </w:r>
      <w:r w:rsidR="000F3421" w:rsidRPr="00EB31F2">
        <w:fldChar w:fldCharType="begin" w:fldLock="1"/>
      </w:r>
      <w:r w:rsidR="000F3421" w:rsidRPr="00EB31F2">
        <w:instrText xml:space="preserve"> REF _Ref161322899 \h </w:instrText>
      </w:r>
      <w:r w:rsidR="000F3421" w:rsidRPr="00EB31F2">
        <w:fldChar w:fldCharType="separate"/>
      </w:r>
      <w:r w:rsidR="000A3CEA" w:rsidRPr="00EB31F2">
        <w:t xml:space="preserve">Table </w:t>
      </w:r>
      <w:r w:rsidR="000A3CEA" w:rsidRPr="003D60FA">
        <w:t>4</w:t>
      </w:r>
      <w:r w:rsidR="000F3421" w:rsidRPr="00EB31F2">
        <w:fldChar w:fldCharType="end"/>
      </w:r>
      <w:r w:rsidR="000F3421" w:rsidRPr="00EB31F2">
        <w:t xml:space="preserve">). </w:t>
      </w:r>
    </w:p>
    <w:p w14:paraId="0FE878BA" w14:textId="5D6844D1" w:rsidR="000F3421" w:rsidRPr="00EB31F2" w:rsidRDefault="000F3421" w:rsidP="000F3421">
      <w:pPr>
        <w:pStyle w:val="Caption"/>
        <w:keepNext/>
      </w:pPr>
      <w:bookmarkStart w:id="10" w:name="_Ref161322837"/>
      <w:r w:rsidRPr="00EB31F2">
        <w:lastRenderedPageBreak/>
        <w:t xml:space="preserve">Figure </w:t>
      </w:r>
      <w:r w:rsidR="00165390">
        <w:fldChar w:fldCharType="begin" w:fldLock="1"/>
      </w:r>
      <w:r w:rsidR="00165390">
        <w:instrText xml:space="preserve"> SEQ Figure \* ARABIC </w:instrText>
      </w:r>
      <w:r w:rsidR="00165390">
        <w:fldChar w:fldCharType="separate"/>
      </w:r>
      <w:r w:rsidR="000A3CEA" w:rsidRPr="003D60FA">
        <w:t>1</w:t>
      </w:r>
      <w:r w:rsidR="00165390">
        <w:fldChar w:fldCharType="end"/>
      </w:r>
      <w:bookmarkEnd w:id="10"/>
      <w:r w:rsidRPr="00EB31F2">
        <w:t>: PBS/RPBS anti-IL-5 initiation services by calendar year from 2017 to 2023</w:t>
      </w:r>
    </w:p>
    <w:p w14:paraId="646C30BD" w14:textId="77777777" w:rsidR="000F3421" w:rsidRPr="00EB31F2" w:rsidRDefault="000F3421" w:rsidP="000F3421">
      <w:pPr>
        <w:spacing w:after="60"/>
        <w:rPr>
          <w:lang w:bidi="en-US"/>
        </w:rPr>
      </w:pPr>
      <w:r w:rsidRPr="00DB2C7A">
        <w:rPr>
          <w:noProof/>
          <w:lang w:bidi="en-US"/>
        </w:rPr>
        <w:drawing>
          <wp:inline distT="0" distB="0" distL="0" distR="0" wp14:anchorId="32CC0F7B" wp14:editId="09A97605">
            <wp:extent cx="6067425" cy="2104932"/>
            <wp:effectExtent l="0" t="0" r="0" b="0"/>
            <wp:docPr id="15" name="Picture 15" descr="Figure 1: PBS/RPBS anti-IL-5 initiation services by calendar year from 2017 to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1: PBS/RPBS anti-IL-5 initiation services by calendar year from 2017 to 2023"/>
                    <pic:cNvPicPr/>
                  </pic:nvPicPr>
                  <pic:blipFill>
                    <a:blip r:embed="rId8"/>
                    <a:stretch>
                      <a:fillRect/>
                    </a:stretch>
                  </pic:blipFill>
                  <pic:spPr>
                    <a:xfrm>
                      <a:off x="0" y="0"/>
                      <a:ext cx="6108808" cy="2119289"/>
                    </a:xfrm>
                    <a:prstGeom prst="rect">
                      <a:avLst/>
                    </a:prstGeom>
                  </pic:spPr>
                </pic:pic>
              </a:graphicData>
            </a:graphic>
          </wp:inline>
        </w:drawing>
      </w:r>
    </w:p>
    <w:p w14:paraId="6077859E" w14:textId="1E67524E" w:rsidR="00B83DF2" w:rsidRPr="00EB31F2" w:rsidRDefault="000F3421" w:rsidP="00E37DDC">
      <w:pPr>
        <w:spacing w:after="120"/>
        <w:rPr>
          <w:rFonts w:ascii="Arial Narrow" w:hAnsi="Arial Narrow"/>
          <w:sz w:val="16"/>
          <w:szCs w:val="16"/>
          <w:lang w:bidi="en-US"/>
        </w:rPr>
      </w:pPr>
      <w:r w:rsidRPr="00EB31F2">
        <w:rPr>
          <w:rFonts w:ascii="Arial Narrow" w:hAnsi="Arial Narrow"/>
          <w:sz w:val="18"/>
          <w:szCs w:val="18"/>
          <w:lang w:bidi="en-US"/>
        </w:rPr>
        <w:t xml:space="preserve">Source: Pre-PBAC response - Medicare Statistics, 2024. </w:t>
      </w:r>
    </w:p>
    <w:p w14:paraId="2165A4FD" w14:textId="2754AE30" w:rsidR="000F3421" w:rsidRPr="00EB31F2" w:rsidRDefault="000F3421" w:rsidP="000F3421">
      <w:pPr>
        <w:pStyle w:val="Caption"/>
        <w:keepNext/>
      </w:pPr>
      <w:bookmarkStart w:id="11" w:name="_Ref161322899"/>
      <w:r w:rsidRPr="00EB31F2">
        <w:t xml:space="preserve">Table </w:t>
      </w:r>
      <w:r w:rsidR="00165390">
        <w:fldChar w:fldCharType="begin" w:fldLock="1"/>
      </w:r>
      <w:r w:rsidR="00165390">
        <w:instrText xml:space="preserve"> SEQ Table \* ARABIC </w:instrText>
      </w:r>
      <w:r w:rsidR="00165390">
        <w:fldChar w:fldCharType="separate"/>
      </w:r>
      <w:r w:rsidR="000A3CEA" w:rsidRPr="003D60FA">
        <w:t>4</w:t>
      </w:r>
      <w:r w:rsidR="00165390">
        <w:fldChar w:fldCharType="end"/>
      </w:r>
      <w:bookmarkEnd w:id="11"/>
      <w:r w:rsidRPr="00EB31F2">
        <w:t>: Mepolizumab and Benralizumab initiation PBS/RPBS services by calendar year from 2017 to 2023</w:t>
      </w:r>
    </w:p>
    <w:tbl>
      <w:tblPr>
        <w:tblStyle w:val="TableGrid"/>
        <w:tblW w:w="0" w:type="auto"/>
        <w:tblCellMar>
          <w:left w:w="28" w:type="dxa"/>
          <w:right w:w="28" w:type="dxa"/>
        </w:tblCellMar>
        <w:tblLook w:val="04A0" w:firstRow="1" w:lastRow="0" w:firstColumn="1" w:lastColumn="0" w:noHBand="0" w:noVBand="1"/>
        <w:tblCaption w:val="Table 4: Mepolizumab and Benralizumab initiation PBS/RPBS services by calendar year from 2017 to 2023"/>
      </w:tblPr>
      <w:tblGrid>
        <w:gridCol w:w="1812"/>
        <w:gridCol w:w="1011"/>
        <w:gridCol w:w="1027"/>
        <w:gridCol w:w="1027"/>
        <w:gridCol w:w="1027"/>
        <w:gridCol w:w="1037"/>
        <w:gridCol w:w="1037"/>
        <w:gridCol w:w="1038"/>
      </w:tblGrid>
      <w:tr w:rsidR="000F3421" w:rsidRPr="00EB31F2" w14:paraId="0FBD5FAA" w14:textId="77777777">
        <w:tc>
          <w:tcPr>
            <w:tcW w:w="1812" w:type="dxa"/>
            <w:shd w:val="clear" w:color="auto" w:fill="D9D9D9" w:themeFill="background1" w:themeFillShade="D9"/>
          </w:tcPr>
          <w:p w14:paraId="5377423E" w14:textId="77777777" w:rsidR="000F3421" w:rsidRPr="00EB31F2" w:rsidRDefault="000F3421">
            <w:pPr>
              <w:rPr>
                <w:rFonts w:ascii="Arial Narrow" w:hAnsi="Arial Narrow"/>
                <w:b/>
                <w:sz w:val="20"/>
                <w:szCs w:val="20"/>
                <w:lang w:bidi="en-US"/>
              </w:rPr>
            </w:pPr>
            <w:r w:rsidRPr="00EB31F2">
              <w:rPr>
                <w:rFonts w:ascii="Arial Narrow" w:hAnsi="Arial Narrow"/>
                <w:b/>
                <w:sz w:val="20"/>
                <w:szCs w:val="20"/>
                <w:lang w:bidi="en-US"/>
              </w:rPr>
              <w:t>PBS/RPBS services</w:t>
            </w:r>
          </w:p>
        </w:tc>
        <w:tc>
          <w:tcPr>
            <w:tcW w:w="1011" w:type="dxa"/>
            <w:shd w:val="clear" w:color="auto" w:fill="D9D9D9" w:themeFill="background1" w:themeFillShade="D9"/>
            <w:vAlign w:val="center"/>
          </w:tcPr>
          <w:p w14:paraId="2135378A" w14:textId="7B62F34E" w:rsidR="000F3421" w:rsidRPr="00EB31F2" w:rsidRDefault="000F3421">
            <w:pPr>
              <w:rPr>
                <w:rFonts w:ascii="Arial Narrow" w:hAnsi="Arial Narrow"/>
                <w:b/>
                <w:sz w:val="20"/>
                <w:szCs w:val="20"/>
                <w:lang w:bidi="en-US"/>
              </w:rPr>
            </w:pPr>
            <w:r w:rsidRPr="00EB31F2">
              <w:rPr>
                <w:rFonts w:ascii="Arial Narrow" w:hAnsi="Arial Narrow"/>
                <w:b/>
                <w:sz w:val="20"/>
                <w:szCs w:val="20"/>
                <w:lang w:bidi="en-US"/>
              </w:rPr>
              <w:t>2017</w:t>
            </w:r>
          </w:p>
        </w:tc>
        <w:tc>
          <w:tcPr>
            <w:tcW w:w="1027" w:type="dxa"/>
            <w:shd w:val="clear" w:color="auto" w:fill="D9D9D9" w:themeFill="background1" w:themeFillShade="D9"/>
            <w:vAlign w:val="center"/>
          </w:tcPr>
          <w:p w14:paraId="11A07C02" w14:textId="41178DE5" w:rsidR="000F3421" w:rsidRPr="00EB31F2" w:rsidRDefault="000F3421">
            <w:pPr>
              <w:rPr>
                <w:rFonts w:ascii="Arial Narrow" w:hAnsi="Arial Narrow"/>
                <w:b/>
                <w:sz w:val="20"/>
                <w:szCs w:val="20"/>
                <w:lang w:bidi="en-US"/>
              </w:rPr>
            </w:pPr>
            <w:r w:rsidRPr="00EB31F2">
              <w:rPr>
                <w:rFonts w:ascii="Arial Narrow" w:hAnsi="Arial Narrow"/>
                <w:b/>
                <w:sz w:val="20"/>
                <w:szCs w:val="20"/>
                <w:lang w:bidi="en-US"/>
              </w:rPr>
              <w:t>2018</w:t>
            </w:r>
          </w:p>
        </w:tc>
        <w:tc>
          <w:tcPr>
            <w:tcW w:w="1027" w:type="dxa"/>
            <w:shd w:val="clear" w:color="auto" w:fill="D9D9D9" w:themeFill="background1" w:themeFillShade="D9"/>
            <w:vAlign w:val="center"/>
          </w:tcPr>
          <w:p w14:paraId="54C20828" w14:textId="7AE8D298" w:rsidR="000F3421" w:rsidRPr="00EB31F2" w:rsidRDefault="000F3421">
            <w:pPr>
              <w:rPr>
                <w:rFonts w:ascii="Arial Narrow" w:hAnsi="Arial Narrow"/>
                <w:b/>
                <w:sz w:val="20"/>
                <w:szCs w:val="20"/>
                <w:lang w:bidi="en-US"/>
              </w:rPr>
            </w:pPr>
            <w:r w:rsidRPr="00EB31F2">
              <w:rPr>
                <w:rFonts w:ascii="Arial Narrow" w:hAnsi="Arial Narrow"/>
                <w:b/>
                <w:sz w:val="20"/>
                <w:szCs w:val="20"/>
                <w:lang w:bidi="en-US"/>
              </w:rPr>
              <w:t>2019</w:t>
            </w:r>
          </w:p>
        </w:tc>
        <w:tc>
          <w:tcPr>
            <w:tcW w:w="1027" w:type="dxa"/>
            <w:shd w:val="clear" w:color="auto" w:fill="D9D9D9" w:themeFill="background1" w:themeFillShade="D9"/>
            <w:vAlign w:val="center"/>
          </w:tcPr>
          <w:p w14:paraId="32BFBF8C" w14:textId="0F9B1A1D" w:rsidR="000F3421" w:rsidRPr="00EB31F2" w:rsidRDefault="000F3421">
            <w:pPr>
              <w:rPr>
                <w:rFonts w:ascii="Arial Narrow" w:hAnsi="Arial Narrow"/>
                <w:b/>
                <w:sz w:val="20"/>
                <w:szCs w:val="20"/>
                <w:lang w:bidi="en-US"/>
              </w:rPr>
            </w:pPr>
            <w:r w:rsidRPr="00EB31F2">
              <w:rPr>
                <w:rFonts w:ascii="Arial Narrow" w:hAnsi="Arial Narrow"/>
                <w:b/>
                <w:sz w:val="20"/>
                <w:szCs w:val="20"/>
                <w:lang w:bidi="en-US"/>
              </w:rPr>
              <w:t>2020</w:t>
            </w:r>
          </w:p>
        </w:tc>
        <w:tc>
          <w:tcPr>
            <w:tcW w:w="1037" w:type="dxa"/>
            <w:shd w:val="clear" w:color="auto" w:fill="D9D9D9" w:themeFill="background1" w:themeFillShade="D9"/>
            <w:vAlign w:val="center"/>
          </w:tcPr>
          <w:p w14:paraId="01242F9C" w14:textId="77FFEB7A" w:rsidR="000F3421" w:rsidRPr="00EB31F2" w:rsidRDefault="000F3421">
            <w:pPr>
              <w:rPr>
                <w:rFonts w:ascii="Arial Narrow" w:hAnsi="Arial Narrow"/>
                <w:b/>
                <w:sz w:val="20"/>
                <w:szCs w:val="20"/>
                <w:lang w:bidi="en-US"/>
              </w:rPr>
            </w:pPr>
            <w:r w:rsidRPr="00EB31F2">
              <w:rPr>
                <w:rFonts w:ascii="Arial Narrow" w:hAnsi="Arial Narrow"/>
                <w:b/>
                <w:sz w:val="20"/>
                <w:szCs w:val="20"/>
                <w:lang w:bidi="en-US"/>
              </w:rPr>
              <w:t>2021</w:t>
            </w:r>
          </w:p>
        </w:tc>
        <w:tc>
          <w:tcPr>
            <w:tcW w:w="1037" w:type="dxa"/>
            <w:shd w:val="clear" w:color="auto" w:fill="D9D9D9" w:themeFill="background1" w:themeFillShade="D9"/>
            <w:vAlign w:val="center"/>
          </w:tcPr>
          <w:p w14:paraId="64432DAA" w14:textId="1EA7682F" w:rsidR="000F3421" w:rsidRPr="00EB31F2" w:rsidRDefault="000F3421">
            <w:pPr>
              <w:rPr>
                <w:rFonts w:ascii="Arial Narrow" w:hAnsi="Arial Narrow"/>
                <w:b/>
                <w:sz w:val="20"/>
                <w:szCs w:val="20"/>
                <w:lang w:bidi="en-US"/>
              </w:rPr>
            </w:pPr>
            <w:r w:rsidRPr="00EB31F2">
              <w:rPr>
                <w:rFonts w:ascii="Arial Narrow" w:hAnsi="Arial Narrow"/>
                <w:b/>
                <w:sz w:val="20"/>
                <w:szCs w:val="20"/>
                <w:lang w:bidi="en-US"/>
              </w:rPr>
              <w:t>2022</w:t>
            </w:r>
          </w:p>
        </w:tc>
        <w:tc>
          <w:tcPr>
            <w:tcW w:w="1038" w:type="dxa"/>
            <w:shd w:val="clear" w:color="auto" w:fill="D9D9D9" w:themeFill="background1" w:themeFillShade="D9"/>
            <w:vAlign w:val="center"/>
          </w:tcPr>
          <w:p w14:paraId="003BC33B" w14:textId="656EA78A" w:rsidR="000F3421" w:rsidRPr="00EB31F2" w:rsidRDefault="000F3421">
            <w:pPr>
              <w:rPr>
                <w:rFonts w:ascii="Arial Narrow" w:hAnsi="Arial Narrow"/>
                <w:b/>
                <w:sz w:val="20"/>
                <w:szCs w:val="20"/>
                <w:lang w:bidi="en-US"/>
              </w:rPr>
            </w:pPr>
            <w:r w:rsidRPr="00EB31F2">
              <w:rPr>
                <w:rFonts w:ascii="Arial Narrow" w:hAnsi="Arial Narrow"/>
                <w:b/>
                <w:sz w:val="20"/>
                <w:szCs w:val="20"/>
                <w:lang w:bidi="en-US"/>
              </w:rPr>
              <w:t>2023</w:t>
            </w:r>
          </w:p>
        </w:tc>
      </w:tr>
      <w:tr w:rsidR="000F3421" w:rsidRPr="00EB31F2" w14:paraId="187D7B3B" w14:textId="77777777">
        <w:tc>
          <w:tcPr>
            <w:tcW w:w="1812" w:type="dxa"/>
          </w:tcPr>
          <w:p w14:paraId="6F0BBD32" w14:textId="77777777" w:rsidR="000F3421" w:rsidRPr="00EB31F2" w:rsidRDefault="000F3421">
            <w:pPr>
              <w:rPr>
                <w:rFonts w:ascii="Arial Narrow" w:hAnsi="Arial Narrow"/>
                <w:i/>
                <w:iCs/>
                <w:sz w:val="20"/>
                <w:szCs w:val="20"/>
                <w:lang w:bidi="en-US"/>
              </w:rPr>
            </w:pPr>
            <w:r w:rsidRPr="00EB31F2">
              <w:rPr>
                <w:rFonts w:ascii="Arial Narrow" w:hAnsi="Arial Narrow"/>
                <w:sz w:val="20"/>
                <w:szCs w:val="20"/>
                <w:lang w:bidi="en-US"/>
              </w:rPr>
              <w:t xml:space="preserve">Mepolizumab </w:t>
            </w:r>
          </w:p>
        </w:tc>
        <w:tc>
          <w:tcPr>
            <w:tcW w:w="1011" w:type="dxa"/>
            <w:vAlign w:val="center"/>
          </w:tcPr>
          <w:p w14:paraId="30661777"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2,534</w:t>
            </w:r>
          </w:p>
        </w:tc>
        <w:tc>
          <w:tcPr>
            <w:tcW w:w="1027" w:type="dxa"/>
            <w:vAlign w:val="center"/>
          </w:tcPr>
          <w:p w14:paraId="579EF64A"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4,365</w:t>
            </w:r>
          </w:p>
        </w:tc>
        <w:tc>
          <w:tcPr>
            <w:tcW w:w="1027" w:type="dxa"/>
            <w:vAlign w:val="center"/>
          </w:tcPr>
          <w:p w14:paraId="085B485B"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4,340</w:t>
            </w:r>
          </w:p>
        </w:tc>
        <w:tc>
          <w:tcPr>
            <w:tcW w:w="1027" w:type="dxa"/>
            <w:vAlign w:val="center"/>
          </w:tcPr>
          <w:p w14:paraId="30F38BDF"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3,983</w:t>
            </w:r>
          </w:p>
        </w:tc>
        <w:tc>
          <w:tcPr>
            <w:tcW w:w="1037" w:type="dxa"/>
            <w:vAlign w:val="center"/>
          </w:tcPr>
          <w:p w14:paraId="0A49C86D"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5,047</w:t>
            </w:r>
          </w:p>
        </w:tc>
        <w:tc>
          <w:tcPr>
            <w:tcW w:w="1037" w:type="dxa"/>
            <w:vAlign w:val="center"/>
          </w:tcPr>
          <w:p w14:paraId="4B9AABFA"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5,367</w:t>
            </w:r>
          </w:p>
        </w:tc>
        <w:tc>
          <w:tcPr>
            <w:tcW w:w="1038" w:type="dxa"/>
            <w:vAlign w:val="center"/>
          </w:tcPr>
          <w:p w14:paraId="07C4805F"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5,798</w:t>
            </w:r>
          </w:p>
        </w:tc>
      </w:tr>
      <w:tr w:rsidR="000F3421" w:rsidRPr="00EB31F2" w14:paraId="318B746A" w14:textId="77777777">
        <w:tc>
          <w:tcPr>
            <w:tcW w:w="1812" w:type="dxa"/>
          </w:tcPr>
          <w:p w14:paraId="20ED3B2F" w14:textId="77777777" w:rsidR="000F3421" w:rsidRPr="00EB31F2" w:rsidRDefault="000F3421">
            <w:pPr>
              <w:rPr>
                <w:rFonts w:ascii="Arial Narrow" w:hAnsi="Arial Narrow"/>
                <w:i/>
                <w:iCs/>
                <w:sz w:val="20"/>
                <w:szCs w:val="20"/>
                <w:lang w:bidi="en-US"/>
              </w:rPr>
            </w:pPr>
            <w:r w:rsidRPr="00EB31F2">
              <w:rPr>
                <w:rFonts w:ascii="Arial Narrow" w:hAnsi="Arial Narrow"/>
                <w:sz w:val="20"/>
                <w:szCs w:val="20"/>
                <w:lang w:bidi="en-US"/>
              </w:rPr>
              <w:t xml:space="preserve">Benralizumab </w:t>
            </w:r>
          </w:p>
        </w:tc>
        <w:tc>
          <w:tcPr>
            <w:tcW w:w="1011" w:type="dxa"/>
            <w:vAlign w:val="center"/>
          </w:tcPr>
          <w:p w14:paraId="48044F1E"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0</w:t>
            </w:r>
          </w:p>
        </w:tc>
        <w:tc>
          <w:tcPr>
            <w:tcW w:w="1027" w:type="dxa"/>
            <w:vAlign w:val="center"/>
          </w:tcPr>
          <w:p w14:paraId="685C11F4"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5</w:t>
            </w:r>
          </w:p>
        </w:tc>
        <w:tc>
          <w:tcPr>
            <w:tcW w:w="1027" w:type="dxa"/>
            <w:vAlign w:val="center"/>
          </w:tcPr>
          <w:p w14:paraId="2F29B899"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2,214</w:t>
            </w:r>
          </w:p>
        </w:tc>
        <w:tc>
          <w:tcPr>
            <w:tcW w:w="1027" w:type="dxa"/>
            <w:vAlign w:val="center"/>
          </w:tcPr>
          <w:p w14:paraId="6E9BA231"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4,954</w:t>
            </w:r>
          </w:p>
        </w:tc>
        <w:tc>
          <w:tcPr>
            <w:tcW w:w="1037" w:type="dxa"/>
            <w:vAlign w:val="center"/>
          </w:tcPr>
          <w:p w14:paraId="63AA1F1F"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4,982</w:t>
            </w:r>
          </w:p>
        </w:tc>
        <w:tc>
          <w:tcPr>
            <w:tcW w:w="1037" w:type="dxa"/>
            <w:vAlign w:val="center"/>
          </w:tcPr>
          <w:p w14:paraId="1078C2B4"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4,952</w:t>
            </w:r>
          </w:p>
        </w:tc>
        <w:tc>
          <w:tcPr>
            <w:tcW w:w="1038" w:type="dxa"/>
            <w:vAlign w:val="center"/>
          </w:tcPr>
          <w:p w14:paraId="03D23016"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5,400</w:t>
            </w:r>
          </w:p>
        </w:tc>
      </w:tr>
      <w:tr w:rsidR="000F3421" w:rsidRPr="00EB31F2" w14:paraId="0435B9A7" w14:textId="77777777">
        <w:tc>
          <w:tcPr>
            <w:tcW w:w="1812" w:type="dxa"/>
          </w:tcPr>
          <w:p w14:paraId="4DFDD7BB" w14:textId="77777777" w:rsidR="000F3421" w:rsidRPr="00EB31F2" w:rsidRDefault="000F3421">
            <w:pPr>
              <w:rPr>
                <w:rFonts w:ascii="Arial Narrow" w:hAnsi="Arial Narrow"/>
                <w:i/>
                <w:iCs/>
                <w:sz w:val="20"/>
                <w:szCs w:val="20"/>
                <w:lang w:bidi="en-US"/>
              </w:rPr>
            </w:pPr>
            <w:r w:rsidRPr="00EB31F2">
              <w:rPr>
                <w:rFonts w:ascii="Arial Narrow" w:hAnsi="Arial Narrow"/>
                <w:sz w:val="20"/>
                <w:szCs w:val="20"/>
                <w:lang w:bidi="en-US"/>
              </w:rPr>
              <w:t>Total Anti-IL-5</w:t>
            </w:r>
          </w:p>
        </w:tc>
        <w:tc>
          <w:tcPr>
            <w:tcW w:w="1011" w:type="dxa"/>
            <w:vAlign w:val="center"/>
          </w:tcPr>
          <w:p w14:paraId="1E49F6E1"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2,534</w:t>
            </w:r>
          </w:p>
        </w:tc>
        <w:tc>
          <w:tcPr>
            <w:tcW w:w="1027" w:type="dxa"/>
            <w:vAlign w:val="center"/>
          </w:tcPr>
          <w:p w14:paraId="1690D654"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4,370</w:t>
            </w:r>
          </w:p>
        </w:tc>
        <w:tc>
          <w:tcPr>
            <w:tcW w:w="1027" w:type="dxa"/>
            <w:vAlign w:val="center"/>
          </w:tcPr>
          <w:p w14:paraId="4D7B1E05"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6,554</w:t>
            </w:r>
          </w:p>
        </w:tc>
        <w:tc>
          <w:tcPr>
            <w:tcW w:w="1027" w:type="dxa"/>
            <w:vAlign w:val="center"/>
          </w:tcPr>
          <w:p w14:paraId="073B86ED"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8,937</w:t>
            </w:r>
          </w:p>
        </w:tc>
        <w:tc>
          <w:tcPr>
            <w:tcW w:w="1037" w:type="dxa"/>
            <w:vAlign w:val="center"/>
          </w:tcPr>
          <w:p w14:paraId="11B3F529"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10,029</w:t>
            </w:r>
          </w:p>
        </w:tc>
        <w:tc>
          <w:tcPr>
            <w:tcW w:w="1037" w:type="dxa"/>
            <w:vAlign w:val="center"/>
          </w:tcPr>
          <w:p w14:paraId="3FD0EF2D"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10,319</w:t>
            </w:r>
          </w:p>
        </w:tc>
        <w:tc>
          <w:tcPr>
            <w:tcW w:w="1038" w:type="dxa"/>
            <w:vAlign w:val="center"/>
          </w:tcPr>
          <w:p w14:paraId="4D745D8D" w14:textId="77777777" w:rsidR="000F3421" w:rsidRPr="00EB31F2" w:rsidRDefault="000F3421">
            <w:pPr>
              <w:rPr>
                <w:rFonts w:ascii="Arial Narrow" w:hAnsi="Arial Narrow"/>
                <w:sz w:val="20"/>
                <w:szCs w:val="20"/>
                <w:lang w:bidi="en-US"/>
              </w:rPr>
            </w:pPr>
            <w:r w:rsidRPr="00EB31F2">
              <w:rPr>
                <w:rFonts w:ascii="Arial Narrow" w:hAnsi="Arial Narrow"/>
                <w:sz w:val="20"/>
                <w:szCs w:val="20"/>
              </w:rPr>
              <w:t>11,198</w:t>
            </w:r>
          </w:p>
        </w:tc>
      </w:tr>
      <w:tr w:rsidR="000F3421" w:rsidRPr="00EB31F2" w14:paraId="39208A68" w14:textId="77777777">
        <w:tc>
          <w:tcPr>
            <w:tcW w:w="1812" w:type="dxa"/>
          </w:tcPr>
          <w:p w14:paraId="1C1FDD77" w14:textId="77777777" w:rsidR="000F3421" w:rsidRPr="00EB31F2" w:rsidRDefault="000F3421">
            <w:pPr>
              <w:rPr>
                <w:rFonts w:ascii="Arial Narrow" w:hAnsi="Arial Narrow"/>
                <w:sz w:val="20"/>
                <w:szCs w:val="20"/>
                <w:lang w:bidi="en-US"/>
              </w:rPr>
            </w:pPr>
            <w:r w:rsidRPr="00EB31F2">
              <w:rPr>
                <w:rFonts w:ascii="Arial Narrow" w:hAnsi="Arial Narrow"/>
                <w:sz w:val="20"/>
                <w:szCs w:val="20"/>
                <w:lang w:bidi="en-US"/>
              </w:rPr>
              <w:t>Annual growth</w:t>
            </w:r>
          </w:p>
        </w:tc>
        <w:tc>
          <w:tcPr>
            <w:tcW w:w="1011" w:type="dxa"/>
            <w:vAlign w:val="center"/>
          </w:tcPr>
          <w:p w14:paraId="0D7FCEA3" w14:textId="77777777" w:rsidR="000F3421" w:rsidRPr="00EB31F2" w:rsidRDefault="000F3421">
            <w:pPr>
              <w:rPr>
                <w:rFonts w:ascii="Arial Narrow" w:hAnsi="Arial Narrow"/>
                <w:sz w:val="20"/>
                <w:szCs w:val="20"/>
              </w:rPr>
            </w:pPr>
          </w:p>
        </w:tc>
        <w:tc>
          <w:tcPr>
            <w:tcW w:w="1027" w:type="dxa"/>
            <w:vAlign w:val="center"/>
          </w:tcPr>
          <w:p w14:paraId="7B2703BA" w14:textId="77777777" w:rsidR="000F3421" w:rsidRPr="00EB31F2" w:rsidRDefault="000F3421">
            <w:pPr>
              <w:rPr>
                <w:rFonts w:ascii="Arial Narrow" w:hAnsi="Arial Narrow"/>
                <w:sz w:val="20"/>
                <w:szCs w:val="20"/>
              </w:rPr>
            </w:pPr>
            <w:r w:rsidRPr="00EB31F2">
              <w:rPr>
                <w:rFonts w:ascii="Arial Narrow" w:hAnsi="Arial Narrow"/>
                <w:sz w:val="20"/>
                <w:szCs w:val="20"/>
              </w:rPr>
              <w:t>72.5%</w:t>
            </w:r>
          </w:p>
        </w:tc>
        <w:tc>
          <w:tcPr>
            <w:tcW w:w="1027" w:type="dxa"/>
            <w:vAlign w:val="center"/>
          </w:tcPr>
          <w:p w14:paraId="22C6DF79" w14:textId="77777777" w:rsidR="000F3421" w:rsidRPr="00EB31F2" w:rsidRDefault="000F3421">
            <w:pPr>
              <w:rPr>
                <w:rFonts w:ascii="Arial Narrow" w:hAnsi="Arial Narrow"/>
                <w:sz w:val="20"/>
                <w:szCs w:val="20"/>
              </w:rPr>
            </w:pPr>
            <w:r w:rsidRPr="00EB31F2">
              <w:rPr>
                <w:rFonts w:ascii="Arial Narrow" w:hAnsi="Arial Narrow"/>
                <w:sz w:val="20"/>
                <w:szCs w:val="20"/>
              </w:rPr>
              <w:t>50.0%</w:t>
            </w:r>
          </w:p>
        </w:tc>
        <w:tc>
          <w:tcPr>
            <w:tcW w:w="1027" w:type="dxa"/>
            <w:vAlign w:val="center"/>
          </w:tcPr>
          <w:p w14:paraId="4277E3D2" w14:textId="77777777" w:rsidR="000F3421" w:rsidRPr="00EB31F2" w:rsidRDefault="000F3421">
            <w:pPr>
              <w:rPr>
                <w:rFonts w:ascii="Arial Narrow" w:hAnsi="Arial Narrow"/>
                <w:sz w:val="20"/>
                <w:szCs w:val="20"/>
              </w:rPr>
            </w:pPr>
            <w:r w:rsidRPr="00EB31F2">
              <w:rPr>
                <w:rFonts w:ascii="Arial Narrow" w:hAnsi="Arial Narrow"/>
                <w:sz w:val="20"/>
                <w:szCs w:val="20"/>
              </w:rPr>
              <w:t>36.4%</w:t>
            </w:r>
          </w:p>
        </w:tc>
        <w:tc>
          <w:tcPr>
            <w:tcW w:w="1037" w:type="dxa"/>
            <w:vAlign w:val="center"/>
          </w:tcPr>
          <w:p w14:paraId="0C6BD858" w14:textId="77777777" w:rsidR="000F3421" w:rsidRPr="00EB31F2" w:rsidRDefault="000F3421">
            <w:pPr>
              <w:rPr>
                <w:rFonts w:ascii="Arial Narrow" w:hAnsi="Arial Narrow"/>
                <w:sz w:val="20"/>
                <w:szCs w:val="20"/>
              </w:rPr>
            </w:pPr>
            <w:r w:rsidRPr="00EB31F2">
              <w:rPr>
                <w:rFonts w:ascii="Arial Narrow" w:hAnsi="Arial Narrow"/>
                <w:sz w:val="20"/>
                <w:szCs w:val="20"/>
              </w:rPr>
              <w:t>12.2%</w:t>
            </w:r>
          </w:p>
        </w:tc>
        <w:tc>
          <w:tcPr>
            <w:tcW w:w="1037" w:type="dxa"/>
            <w:vAlign w:val="center"/>
          </w:tcPr>
          <w:p w14:paraId="20574E69" w14:textId="77777777" w:rsidR="000F3421" w:rsidRPr="00EB31F2" w:rsidRDefault="000F3421">
            <w:pPr>
              <w:rPr>
                <w:rFonts w:ascii="Arial Narrow" w:hAnsi="Arial Narrow"/>
                <w:sz w:val="20"/>
                <w:szCs w:val="20"/>
              </w:rPr>
            </w:pPr>
            <w:r w:rsidRPr="00EB31F2">
              <w:rPr>
                <w:rFonts w:ascii="Arial Narrow" w:hAnsi="Arial Narrow"/>
                <w:sz w:val="20"/>
                <w:szCs w:val="20"/>
              </w:rPr>
              <w:t>2.9%</w:t>
            </w:r>
          </w:p>
        </w:tc>
        <w:tc>
          <w:tcPr>
            <w:tcW w:w="1038" w:type="dxa"/>
            <w:vAlign w:val="center"/>
          </w:tcPr>
          <w:p w14:paraId="5067CC97" w14:textId="77777777" w:rsidR="000F3421" w:rsidRPr="00EB31F2" w:rsidRDefault="000F3421">
            <w:pPr>
              <w:rPr>
                <w:rFonts w:ascii="Arial Narrow" w:hAnsi="Arial Narrow"/>
                <w:sz w:val="20"/>
                <w:szCs w:val="20"/>
              </w:rPr>
            </w:pPr>
            <w:r w:rsidRPr="00EB31F2">
              <w:rPr>
                <w:rFonts w:ascii="Arial Narrow" w:hAnsi="Arial Narrow"/>
                <w:sz w:val="20"/>
                <w:szCs w:val="20"/>
              </w:rPr>
              <w:t>8.5%</w:t>
            </w:r>
          </w:p>
        </w:tc>
      </w:tr>
    </w:tbl>
    <w:p w14:paraId="306A918C" w14:textId="77777777" w:rsidR="000F3421" w:rsidRPr="00EB31F2" w:rsidRDefault="000F3421" w:rsidP="00E37DDC">
      <w:pPr>
        <w:spacing w:after="120"/>
        <w:rPr>
          <w:rFonts w:ascii="Arial Narrow" w:hAnsi="Arial Narrow"/>
          <w:sz w:val="18"/>
          <w:szCs w:val="18"/>
          <w:lang w:bidi="en-US"/>
        </w:rPr>
      </w:pPr>
      <w:r w:rsidRPr="00EB31F2">
        <w:rPr>
          <w:rFonts w:ascii="Arial Narrow" w:hAnsi="Arial Narrow"/>
          <w:sz w:val="18"/>
          <w:szCs w:val="18"/>
          <w:lang w:bidi="en-US"/>
        </w:rPr>
        <w:t xml:space="preserve">Source: Pre-PBAC response - Medicare Statistics Data (Mepolizumab PBS Items: 10996R,11003D,12007Y,12051G; Benralizumab PBS items: 11523L,11549W,11994G,11997K). </w:t>
      </w:r>
    </w:p>
    <w:p w14:paraId="595DDBD2" w14:textId="46682929" w:rsidR="000F3421" w:rsidRPr="00EB31F2" w:rsidRDefault="000F3421" w:rsidP="000F3421">
      <w:pPr>
        <w:pStyle w:val="3Bodytext"/>
        <w:jc w:val="both"/>
      </w:pPr>
      <w:r w:rsidRPr="00EB31F2">
        <w:t>The pre-PBAC response also provided a review of the 12-month moving annual total (MAT) analysis of the anti-IL5 initiations. The pre-PBAC response stated that t</w:t>
      </w:r>
      <w:r w:rsidR="00E84AD0" w:rsidRPr="00EB31F2">
        <w:t>he MAT analysis</w:t>
      </w:r>
      <w:r w:rsidRPr="00EB31F2">
        <w:t xml:space="preserve"> indicated a similar stabilisation trend. MAT growth of less than 10% has been observed since May 2022, with the average from January 2023 to December 2023 being 4.5% (</w:t>
      </w:r>
      <w:r w:rsidRPr="00EB31F2">
        <w:fldChar w:fldCharType="begin" w:fldLock="1"/>
      </w:r>
      <w:r w:rsidRPr="00EB31F2">
        <w:instrText xml:space="preserve"> REF _Ref161323161 \h </w:instrText>
      </w:r>
      <w:r w:rsidRPr="00EB31F2">
        <w:fldChar w:fldCharType="separate"/>
      </w:r>
      <w:r w:rsidR="000A3CEA" w:rsidRPr="00EB31F2">
        <w:t xml:space="preserve">Figure </w:t>
      </w:r>
      <w:r w:rsidR="000A3CEA" w:rsidRPr="003D60FA">
        <w:t>2</w:t>
      </w:r>
      <w:r w:rsidRPr="00EB31F2">
        <w:fldChar w:fldCharType="end"/>
      </w:r>
      <w:r w:rsidRPr="00EB31F2">
        <w:t>).</w:t>
      </w:r>
    </w:p>
    <w:p w14:paraId="00C6FB82" w14:textId="3D62D426" w:rsidR="000F3421" w:rsidRPr="00EB31F2" w:rsidRDefault="000F3421" w:rsidP="000F3421">
      <w:pPr>
        <w:pStyle w:val="Caption"/>
        <w:keepNext/>
      </w:pPr>
      <w:bookmarkStart w:id="12" w:name="_Ref161323161"/>
      <w:r w:rsidRPr="00EB31F2">
        <w:t xml:space="preserve">Figure </w:t>
      </w:r>
      <w:r w:rsidR="00165390">
        <w:fldChar w:fldCharType="begin" w:fldLock="1"/>
      </w:r>
      <w:r w:rsidR="00165390">
        <w:instrText xml:space="preserve"> SEQ Figure \* ARABIC </w:instrText>
      </w:r>
      <w:r w:rsidR="00165390">
        <w:fldChar w:fldCharType="separate"/>
      </w:r>
      <w:r w:rsidR="000A3CEA" w:rsidRPr="003D60FA">
        <w:t>2</w:t>
      </w:r>
      <w:r w:rsidR="00165390">
        <w:fldChar w:fldCharType="end"/>
      </w:r>
      <w:bookmarkEnd w:id="12"/>
      <w:r w:rsidRPr="00EB31F2">
        <w:t>: Moving Annual Total for a) PBS/RPBS anti-IL-5 initiations and b) anti-IL-5 initiations growth rate</w:t>
      </w:r>
    </w:p>
    <w:p w14:paraId="6CAB5323" w14:textId="77777777" w:rsidR="000F3421" w:rsidRPr="00EB31F2" w:rsidRDefault="000F3421" w:rsidP="00591DDE">
      <w:pPr>
        <w:rPr>
          <w:rFonts w:ascii="Arial Narrow" w:hAnsi="Arial Narrow"/>
          <w:sz w:val="18"/>
          <w:szCs w:val="18"/>
          <w:lang w:bidi="en-US"/>
        </w:rPr>
      </w:pPr>
      <w:r w:rsidRPr="00DB2C7A">
        <w:rPr>
          <w:noProof/>
          <w:lang w:bidi="en-US"/>
        </w:rPr>
        <w:drawing>
          <wp:inline distT="0" distB="0" distL="0" distR="0" wp14:anchorId="540B9A44" wp14:editId="5FBD6F76">
            <wp:extent cx="5715000" cy="1942465"/>
            <wp:effectExtent l="0" t="0" r="0" b="635"/>
            <wp:docPr id="8" name="Picture 8" descr="Figure 2: Moving Annual Total for a) PBS/RPBS anti-IL-5 initiations and b) anti-IL-5 initiations growth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2: Moving Annual Total for a) PBS/RPBS anti-IL-5 initiations and b) anti-IL-5 initiations growth rate"/>
                    <pic:cNvPicPr/>
                  </pic:nvPicPr>
                  <pic:blipFill>
                    <a:blip r:embed="rId9">
                      <a:extLst>
                        <a:ext uri="{28A0092B-C50C-407E-A947-70E740481C1C}">
                          <a14:useLocalDpi xmlns:a14="http://schemas.microsoft.com/office/drawing/2010/main" val="0"/>
                        </a:ext>
                      </a:extLst>
                    </a:blip>
                    <a:stretch>
                      <a:fillRect/>
                    </a:stretch>
                  </pic:blipFill>
                  <pic:spPr>
                    <a:xfrm>
                      <a:off x="0" y="0"/>
                      <a:ext cx="5715000" cy="1942465"/>
                    </a:xfrm>
                    <a:prstGeom prst="rect">
                      <a:avLst/>
                    </a:prstGeom>
                  </pic:spPr>
                </pic:pic>
              </a:graphicData>
            </a:graphic>
          </wp:inline>
        </w:drawing>
      </w:r>
    </w:p>
    <w:p w14:paraId="03A1464D" w14:textId="77777777" w:rsidR="000F3421" w:rsidRPr="00EB31F2" w:rsidRDefault="000F3421" w:rsidP="000F3421">
      <w:pPr>
        <w:spacing w:after="60"/>
        <w:rPr>
          <w:rFonts w:ascii="Arial Narrow" w:hAnsi="Arial Narrow"/>
          <w:sz w:val="16"/>
          <w:szCs w:val="16"/>
          <w:lang w:bidi="en-US"/>
        </w:rPr>
      </w:pPr>
      <w:r w:rsidRPr="00EB31F2">
        <w:rPr>
          <w:rFonts w:ascii="Arial Narrow" w:hAnsi="Arial Narrow"/>
          <w:sz w:val="18"/>
          <w:szCs w:val="18"/>
          <w:lang w:bidi="en-US"/>
        </w:rPr>
        <w:t>Source: Pre-PBAC response - Medicare Statistics, 2024; PBS Data (Anti-IL-5_Initiation Services_MAT).xlsx</w:t>
      </w:r>
    </w:p>
    <w:p w14:paraId="27376BFF" w14:textId="1EDDDCC7" w:rsidR="00CA4617" w:rsidRPr="00EB31F2" w:rsidRDefault="00CA4617" w:rsidP="000A3CEA">
      <w:pPr>
        <w:pStyle w:val="4-SubsectionHeading"/>
        <w:outlineLvl w:val="2"/>
        <w:rPr>
          <w:i w:val="0"/>
          <w:iCs/>
          <w:sz w:val="24"/>
          <w:szCs w:val="32"/>
          <w:lang w:eastAsia="en-US"/>
        </w:rPr>
      </w:pPr>
      <w:bookmarkStart w:id="13" w:name="_Hlk152332536"/>
      <w:r w:rsidRPr="00EB31F2">
        <w:rPr>
          <w:i w:val="0"/>
          <w:iCs/>
          <w:sz w:val="24"/>
          <w:szCs w:val="32"/>
          <w:lang w:eastAsia="en-US"/>
        </w:rPr>
        <w:t>Mepolizumab prescribing environment and other biologics</w:t>
      </w:r>
    </w:p>
    <w:bookmarkEnd w:id="13"/>
    <w:p w14:paraId="745B7585" w14:textId="1A2C25BF" w:rsidR="00083B10" w:rsidRPr="00EB31F2" w:rsidRDefault="00B16D7D" w:rsidP="000A3CEA">
      <w:pPr>
        <w:pStyle w:val="3Bodytext"/>
        <w:keepNext/>
        <w:spacing w:before="120"/>
        <w:jc w:val="both"/>
        <w:rPr>
          <w:iCs/>
        </w:rPr>
      </w:pPr>
      <w:r w:rsidRPr="00EB31F2">
        <w:rPr>
          <w:iCs/>
        </w:rPr>
        <w:t xml:space="preserve">The submission </w:t>
      </w:r>
      <w:r w:rsidR="00083B10" w:rsidRPr="00EB31F2">
        <w:rPr>
          <w:iCs/>
        </w:rPr>
        <w:t xml:space="preserve">claimed </w:t>
      </w:r>
      <w:r w:rsidRPr="00EB31F2">
        <w:rPr>
          <w:iCs/>
        </w:rPr>
        <w:t>that c</w:t>
      </w:r>
      <w:r w:rsidR="00FB4EC5" w:rsidRPr="00EB31F2">
        <w:rPr>
          <w:iCs/>
        </w:rPr>
        <w:t xml:space="preserve">linicians are now far more experienced with prescribing biologics for </w:t>
      </w:r>
      <w:r w:rsidR="00976803" w:rsidRPr="00EB31F2">
        <w:rPr>
          <w:iCs/>
        </w:rPr>
        <w:t xml:space="preserve">uncontrolled severe asthma </w:t>
      </w:r>
      <w:r w:rsidR="00FB4EC5" w:rsidRPr="00EB31F2">
        <w:rPr>
          <w:iCs/>
        </w:rPr>
        <w:t>and other conditions.</w:t>
      </w:r>
      <w:r w:rsidR="00083B10" w:rsidRPr="00EB31F2">
        <w:rPr>
          <w:iCs/>
        </w:rPr>
        <w:t xml:space="preserve"> The submission </w:t>
      </w:r>
      <w:r w:rsidR="00C05A97" w:rsidRPr="00EB31F2">
        <w:rPr>
          <w:iCs/>
        </w:rPr>
        <w:t>argued</w:t>
      </w:r>
      <w:r w:rsidR="00083B10" w:rsidRPr="00EB31F2">
        <w:rPr>
          <w:iCs/>
        </w:rPr>
        <w:t xml:space="preserve"> </w:t>
      </w:r>
      <w:r w:rsidR="00083B10" w:rsidRPr="00EB31F2">
        <w:rPr>
          <w:iCs/>
        </w:rPr>
        <w:lastRenderedPageBreak/>
        <w:t>that the following advancements in severe asthma management have ensured the appropriate identification of patients:</w:t>
      </w:r>
    </w:p>
    <w:p w14:paraId="7BCAAA04" w14:textId="69DDE86D" w:rsidR="00E61193" w:rsidRPr="00EB31F2" w:rsidRDefault="00083B10" w:rsidP="00240123">
      <w:pPr>
        <w:pStyle w:val="3Bodytext"/>
        <w:numPr>
          <w:ilvl w:val="0"/>
          <w:numId w:val="9"/>
        </w:numPr>
        <w:spacing w:before="120"/>
        <w:jc w:val="both"/>
        <w:rPr>
          <w:iCs/>
        </w:rPr>
      </w:pPr>
      <w:r w:rsidRPr="00EB31F2">
        <w:rPr>
          <w:iCs/>
        </w:rPr>
        <w:t>A</w:t>
      </w:r>
      <w:r w:rsidR="00E61193" w:rsidRPr="00EB31F2">
        <w:rPr>
          <w:iCs/>
        </w:rPr>
        <w:t xml:space="preserve"> g</w:t>
      </w:r>
      <w:r w:rsidR="00FB4EC5" w:rsidRPr="00EB31F2">
        <w:rPr>
          <w:iCs/>
        </w:rPr>
        <w:t xml:space="preserve">reater understanding of phenotyping and diagnosis of </w:t>
      </w:r>
      <w:r w:rsidR="00976803" w:rsidRPr="00EB31F2">
        <w:rPr>
          <w:iCs/>
        </w:rPr>
        <w:t>uncontrolled severe asthma</w:t>
      </w:r>
      <w:r w:rsidR="00DC7E92" w:rsidRPr="00EB31F2">
        <w:rPr>
          <w:iCs/>
        </w:rPr>
        <w:t>,</w:t>
      </w:r>
      <w:r w:rsidR="00E61193" w:rsidRPr="00EB31F2">
        <w:rPr>
          <w:iCs/>
        </w:rPr>
        <w:t xml:space="preserve"> and e</w:t>
      </w:r>
      <w:r w:rsidR="00FB4EC5" w:rsidRPr="00EB31F2">
        <w:rPr>
          <w:iCs/>
        </w:rPr>
        <w:t>vidence supporting biomarkers like eosinophils has grown to help with more targeted treatment of different asthma phenotypes.</w:t>
      </w:r>
    </w:p>
    <w:p w14:paraId="59033A7F" w14:textId="55EBF9EF" w:rsidR="00C05A97" w:rsidRPr="00EB31F2" w:rsidRDefault="00C05A97" w:rsidP="00240123">
      <w:pPr>
        <w:pStyle w:val="3Bodytext"/>
        <w:numPr>
          <w:ilvl w:val="0"/>
          <w:numId w:val="9"/>
        </w:numPr>
        <w:spacing w:before="120"/>
        <w:jc w:val="both"/>
        <w:rPr>
          <w:iCs/>
        </w:rPr>
      </w:pPr>
      <w:r w:rsidRPr="00EB31F2">
        <w:rPr>
          <w:iCs/>
        </w:rPr>
        <w:t>A number of initiatives from both local Australian professional bodies</w:t>
      </w:r>
      <w:r w:rsidR="006D63B7" w:rsidRPr="00EB31F2">
        <w:rPr>
          <w:iCs/>
        </w:rPr>
        <w:t xml:space="preserve"> were established</w:t>
      </w:r>
      <w:r w:rsidRPr="00EB31F2">
        <w:rPr>
          <w:iCs/>
        </w:rPr>
        <w:t xml:space="preserve"> to provide further guidance in the diagnosis and management of severe asthma, including the importance of phenotyping and role of biologics</w:t>
      </w:r>
      <w:r w:rsidR="006D63B7" w:rsidRPr="00EB31F2">
        <w:rPr>
          <w:iCs/>
        </w:rPr>
        <w:t>.</w:t>
      </w:r>
      <w:r w:rsidRPr="00EB31F2">
        <w:rPr>
          <w:iCs/>
        </w:rPr>
        <w:t xml:space="preserve"> </w:t>
      </w:r>
    </w:p>
    <w:p w14:paraId="5814D8A4" w14:textId="2E8AB832" w:rsidR="00871FA6" w:rsidRPr="00EB31F2" w:rsidRDefault="00B16D7D" w:rsidP="00871FA6">
      <w:pPr>
        <w:pStyle w:val="3Bodytext"/>
        <w:spacing w:before="120"/>
        <w:jc w:val="both"/>
        <w:rPr>
          <w:iCs/>
        </w:rPr>
      </w:pPr>
      <w:r w:rsidRPr="00EB31F2">
        <w:rPr>
          <w:iCs/>
        </w:rPr>
        <w:t xml:space="preserve">The submission </w:t>
      </w:r>
      <w:r w:rsidR="006D63B7" w:rsidRPr="00EB31F2">
        <w:rPr>
          <w:iCs/>
        </w:rPr>
        <w:t xml:space="preserve">stated </w:t>
      </w:r>
      <w:r w:rsidRPr="00EB31F2">
        <w:rPr>
          <w:iCs/>
        </w:rPr>
        <w:t xml:space="preserve">that since the PBS listing of mepolizumab for </w:t>
      </w:r>
      <w:r w:rsidR="00634BD9" w:rsidRPr="00EB31F2">
        <w:rPr>
          <w:iCs/>
        </w:rPr>
        <w:t>uncontrolled severe asthma</w:t>
      </w:r>
      <w:r w:rsidRPr="00EB31F2">
        <w:rPr>
          <w:iCs/>
        </w:rPr>
        <w:t xml:space="preserve"> in January 2017, there have been many PBS listings for biologics in other therapy areas with less restrictive authority levels and changes to other established biologics’ authority levels on the PBS</w:t>
      </w:r>
      <w:r w:rsidR="002D63A0" w:rsidRPr="00EB31F2">
        <w:rPr>
          <w:iCs/>
        </w:rPr>
        <w:t>.</w:t>
      </w:r>
    </w:p>
    <w:p w14:paraId="7E94A502" w14:textId="5D95D96C" w:rsidR="00EF556B" w:rsidRPr="00EB31F2" w:rsidRDefault="00DC7E92" w:rsidP="00EF556B">
      <w:pPr>
        <w:pStyle w:val="3Bodytext"/>
        <w:spacing w:before="120"/>
        <w:jc w:val="both"/>
        <w:rPr>
          <w:iCs/>
        </w:rPr>
      </w:pPr>
      <w:r w:rsidRPr="00EB31F2">
        <w:rPr>
          <w:iCs/>
        </w:rPr>
        <w:t xml:space="preserve">The submission </w:t>
      </w:r>
      <w:r w:rsidR="000F0BE4" w:rsidRPr="00EB31F2">
        <w:rPr>
          <w:iCs/>
        </w:rPr>
        <w:t xml:space="preserve">stated </w:t>
      </w:r>
      <w:r w:rsidRPr="00EB31F2">
        <w:rPr>
          <w:iCs/>
        </w:rPr>
        <w:t>that</w:t>
      </w:r>
      <w:r w:rsidR="003B1FF5" w:rsidRPr="00EB31F2">
        <w:rPr>
          <w:iCs/>
        </w:rPr>
        <w:t>,</w:t>
      </w:r>
      <w:r w:rsidR="00871FA6" w:rsidRPr="00EB31F2">
        <w:rPr>
          <w:iCs/>
        </w:rPr>
        <w:t xml:space="preserve"> at its November 2022 meeting, the PBAC recommended </w:t>
      </w:r>
      <w:r w:rsidR="009F2E01" w:rsidRPr="00EB31F2">
        <w:rPr>
          <w:iCs/>
        </w:rPr>
        <w:t>a less restrictive authority level</w:t>
      </w:r>
      <w:r w:rsidR="003B1FF5" w:rsidRPr="00EB31F2">
        <w:rPr>
          <w:iCs/>
        </w:rPr>
        <w:t xml:space="preserve"> for continuing treatment</w:t>
      </w:r>
      <w:r w:rsidR="009F2E01" w:rsidRPr="00EB31F2">
        <w:rPr>
          <w:iCs/>
        </w:rPr>
        <w:t xml:space="preserve"> (</w:t>
      </w:r>
      <w:r w:rsidR="00FD73E2" w:rsidRPr="00EB31F2">
        <w:rPr>
          <w:iCs/>
        </w:rPr>
        <w:t>i.e.,</w:t>
      </w:r>
      <w:r w:rsidR="009F2E01" w:rsidRPr="00EB31F2">
        <w:rPr>
          <w:iCs/>
        </w:rPr>
        <w:t xml:space="preserve"> Authority Required (</w:t>
      </w:r>
      <w:r w:rsidR="0030707D" w:rsidRPr="00EB31F2">
        <w:rPr>
          <w:iCs/>
        </w:rPr>
        <w:t>T</w:t>
      </w:r>
      <w:r w:rsidR="009F2E01" w:rsidRPr="00EB31F2">
        <w:rPr>
          <w:iCs/>
        </w:rPr>
        <w:t>elephone/</w:t>
      </w:r>
      <w:r w:rsidR="00E737AE" w:rsidRPr="00EB31F2">
        <w:rPr>
          <w:iCs/>
        </w:rPr>
        <w:t>Online)</w:t>
      </w:r>
      <w:r w:rsidR="009F2E01" w:rsidRPr="00EB31F2">
        <w:rPr>
          <w:iCs/>
        </w:rPr>
        <w:t xml:space="preserve">) for the listing of mepolizumab for CRSwNP (compared to the </w:t>
      </w:r>
      <w:r w:rsidR="00634BD9" w:rsidRPr="00EB31F2">
        <w:rPr>
          <w:iCs/>
        </w:rPr>
        <w:t>uncontrolled severe asthma</w:t>
      </w:r>
      <w:r w:rsidR="009F2E01" w:rsidRPr="00EB31F2">
        <w:rPr>
          <w:iCs/>
        </w:rPr>
        <w:t xml:space="preserve"> listing) despite </w:t>
      </w:r>
      <w:r w:rsidR="000F0BE4" w:rsidRPr="00EB31F2">
        <w:rPr>
          <w:iCs/>
        </w:rPr>
        <w:t>a number of</w:t>
      </w:r>
      <w:r w:rsidR="00871FA6" w:rsidRPr="00EB31F2">
        <w:rPr>
          <w:iCs/>
        </w:rPr>
        <w:t xml:space="preserve"> uncertainties</w:t>
      </w:r>
      <w:r w:rsidR="000F0BE4" w:rsidRPr="00EB31F2">
        <w:rPr>
          <w:iCs/>
        </w:rPr>
        <w:t xml:space="preserve">. </w:t>
      </w:r>
    </w:p>
    <w:p w14:paraId="47CC19BE" w14:textId="14D494F1" w:rsidR="00871FA6" w:rsidRPr="00EB31F2" w:rsidRDefault="003B1FF5" w:rsidP="00F612A5">
      <w:pPr>
        <w:pStyle w:val="3Bodytext"/>
        <w:spacing w:before="120" w:after="0"/>
        <w:jc w:val="both"/>
        <w:rPr>
          <w:iCs/>
        </w:rPr>
      </w:pPr>
      <w:r w:rsidRPr="00EB31F2">
        <w:rPr>
          <w:iCs/>
        </w:rPr>
        <w:t>In its November 2022 consideration, t</w:t>
      </w:r>
      <w:r w:rsidR="00871FA6" w:rsidRPr="00EB31F2">
        <w:rPr>
          <w:iCs/>
        </w:rPr>
        <w:t>he PBAC considered that due to the limitations of the treatment options currently available</w:t>
      </w:r>
      <w:r w:rsidR="00EF556B" w:rsidRPr="00EB31F2">
        <w:rPr>
          <w:iCs/>
        </w:rPr>
        <w:t>,</w:t>
      </w:r>
      <w:r w:rsidR="00871FA6" w:rsidRPr="00EB31F2">
        <w:rPr>
          <w:iCs/>
        </w:rPr>
        <w:t xml:space="preserve"> the addition of mepolizumab offered high added therapeutic value. The PBAC’s recommendation for listing was based on, among other matters, its assessment that the cost-effectiveness of mepolizumab would be acceptable at the price pro</w:t>
      </w:r>
      <w:r w:rsidR="00165C29" w:rsidRPr="00EB31F2">
        <w:rPr>
          <w:iCs/>
        </w:rPr>
        <w:t>po</w:t>
      </w:r>
      <w:r w:rsidR="00871FA6" w:rsidRPr="00EB31F2">
        <w:rPr>
          <w:iCs/>
        </w:rPr>
        <w:t>sed in the pre-PBAC response, and with a</w:t>
      </w:r>
      <w:r w:rsidR="00EF556B" w:rsidRPr="00EB31F2">
        <w:rPr>
          <w:iCs/>
        </w:rPr>
        <w:t>n</w:t>
      </w:r>
      <w:r w:rsidR="00871FA6" w:rsidRPr="00EB31F2">
        <w:rPr>
          <w:iCs/>
        </w:rPr>
        <w:t xml:space="preserve"> </w:t>
      </w:r>
      <w:r w:rsidR="00FA4D41" w:rsidRPr="00EB31F2">
        <w:rPr>
          <w:iCs/>
        </w:rPr>
        <w:t>RSA</w:t>
      </w:r>
      <w:r w:rsidR="00871FA6" w:rsidRPr="00EB31F2">
        <w:rPr>
          <w:iCs/>
        </w:rPr>
        <w:t xml:space="preserve"> to address the uncertainty associated with including patients unsuitable for surgery in the proposed PBS population (para 7.2, mepolizumab PSD, November 2022 PBAC meeting). </w:t>
      </w:r>
    </w:p>
    <w:p w14:paraId="6451BFA2" w14:textId="2EC50071" w:rsidR="00632374" w:rsidRPr="00EB31F2" w:rsidRDefault="00165C29" w:rsidP="00632374">
      <w:pPr>
        <w:pStyle w:val="3Bodytext"/>
        <w:spacing w:before="120" w:after="0"/>
        <w:jc w:val="both"/>
        <w:rPr>
          <w:iCs/>
        </w:rPr>
      </w:pPr>
      <w:r w:rsidRPr="00EB31F2">
        <w:rPr>
          <w:iCs/>
        </w:rPr>
        <w:t xml:space="preserve">The submission </w:t>
      </w:r>
      <w:r w:rsidR="00632374" w:rsidRPr="00EB31F2">
        <w:rPr>
          <w:iCs/>
        </w:rPr>
        <w:t>further n</w:t>
      </w:r>
      <w:r w:rsidRPr="00EB31F2">
        <w:rPr>
          <w:iCs/>
        </w:rPr>
        <w:t>oted tha</w:t>
      </w:r>
      <w:r w:rsidR="00632374" w:rsidRPr="00EB31F2">
        <w:rPr>
          <w:iCs/>
        </w:rPr>
        <w:t>t</w:t>
      </w:r>
      <w:r w:rsidRPr="00EB31F2">
        <w:rPr>
          <w:iCs/>
        </w:rPr>
        <w:t xml:space="preserve"> </w:t>
      </w:r>
      <w:r w:rsidR="00632374" w:rsidRPr="00EB31F2">
        <w:rPr>
          <w:iCs/>
        </w:rPr>
        <w:t>the authority requirements for the Tranche 6 biologic medicines for various PBS rheumatology and dermatology indications were made to be less restrictive (i.e. Authority Required (Written) or Authority Required (</w:t>
      </w:r>
      <w:r w:rsidR="004C69B6" w:rsidRPr="00EB31F2">
        <w:rPr>
          <w:iCs/>
        </w:rPr>
        <w:t>T</w:t>
      </w:r>
      <w:r w:rsidR="00632374" w:rsidRPr="00EB31F2">
        <w:rPr>
          <w:iCs/>
        </w:rPr>
        <w:t>elephone/</w:t>
      </w:r>
      <w:r w:rsidR="004C69B6" w:rsidRPr="00EB31F2">
        <w:rPr>
          <w:iCs/>
        </w:rPr>
        <w:t>O</w:t>
      </w:r>
      <w:r w:rsidR="00E737AE" w:rsidRPr="00EB31F2">
        <w:rPr>
          <w:iCs/>
        </w:rPr>
        <w:t>nline</w:t>
      </w:r>
      <w:r w:rsidR="00632374" w:rsidRPr="00EB31F2">
        <w:rPr>
          <w:iCs/>
        </w:rPr>
        <w:t>) for initial treatment and Authority Required (</w:t>
      </w:r>
      <w:r w:rsidR="00CA2FA9" w:rsidRPr="00EB31F2">
        <w:rPr>
          <w:iCs/>
        </w:rPr>
        <w:t>STREAMLINED</w:t>
      </w:r>
      <w:r w:rsidR="00632374" w:rsidRPr="00EB31F2">
        <w:rPr>
          <w:iCs/>
        </w:rPr>
        <w:t xml:space="preserve">) for continuation treatment) as </w:t>
      </w:r>
      <w:r w:rsidRPr="00EB31F2">
        <w:rPr>
          <w:iCs/>
        </w:rPr>
        <w:t xml:space="preserve">part of the recommendations from the Review of the PBS Authority Required (Written) listings: Tranche 6 (The Review) </w:t>
      </w:r>
      <w:r w:rsidR="00632374" w:rsidRPr="00EB31F2">
        <w:rPr>
          <w:iCs/>
        </w:rPr>
        <w:t>at the</w:t>
      </w:r>
      <w:r w:rsidRPr="00EB31F2">
        <w:rPr>
          <w:iCs/>
        </w:rPr>
        <w:t xml:space="preserve"> March 2022 PBAC meeting</w:t>
      </w:r>
      <w:r w:rsidR="00632374" w:rsidRPr="00EB31F2">
        <w:rPr>
          <w:iCs/>
        </w:rPr>
        <w:t>.</w:t>
      </w:r>
    </w:p>
    <w:p w14:paraId="628B7B0F" w14:textId="1FBFB60B" w:rsidR="0064488D" w:rsidRPr="00EB31F2" w:rsidRDefault="0030707D" w:rsidP="0001707B">
      <w:pPr>
        <w:pStyle w:val="3Bodytext"/>
        <w:spacing w:before="120"/>
        <w:jc w:val="both"/>
        <w:rPr>
          <w:iCs/>
        </w:rPr>
      </w:pPr>
      <w:r w:rsidRPr="00EB31F2">
        <w:rPr>
          <w:iCs/>
        </w:rPr>
        <w:t>The submission stated that i</w:t>
      </w:r>
      <w:r w:rsidR="000E1D4B" w:rsidRPr="00EB31F2">
        <w:rPr>
          <w:iCs/>
        </w:rPr>
        <w:t xml:space="preserve">n making </w:t>
      </w:r>
      <w:r w:rsidR="00632374" w:rsidRPr="00EB31F2">
        <w:rPr>
          <w:iCs/>
        </w:rPr>
        <w:t>the</w:t>
      </w:r>
      <w:r w:rsidR="000E1D4B" w:rsidRPr="00EB31F2">
        <w:rPr>
          <w:iCs/>
        </w:rPr>
        <w:t xml:space="preserve"> recommendation, the PBAC noted that the market for </w:t>
      </w:r>
      <w:r w:rsidR="00EF556B" w:rsidRPr="00EB31F2">
        <w:rPr>
          <w:iCs/>
        </w:rPr>
        <w:t>rheumatoid arthritis (R</w:t>
      </w:r>
      <w:r w:rsidR="000E1D4B" w:rsidRPr="00EB31F2">
        <w:rPr>
          <w:iCs/>
        </w:rPr>
        <w:t>A</w:t>
      </w:r>
      <w:r w:rsidR="00EF556B" w:rsidRPr="00EB31F2">
        <w:rPr>
          <w:iCs/>
        </w:rPr>
        <w:t>)</w:t>
      </w:r>
      <w:r w:rsidR="000E1D4B" w:rsidRPr="00EB31F2">
        <w:rPr>
          <w:iCs/>
        </w:rPr>
        <w:t xml:space="preserve"> was mature and moderately stable</w:t>
      </w:r>
      <w:r w:rsidRPr="00EB31F2">
        <w:rPr>
          <w:iCs/>
        </w:rPr>
        <w:t xml:space="preserve"> and the </w:t>
      </w:r>
      <w:r w:rsidR="000E1D4B" w:rsidRPr="00EB31F2">
        <w:rPr>
          <w:iCs/>
        </w:rPr>
        <w:t>administrative burden for prescribers associated with the high volume of written authority applications and the objective initial and continuing treatment PBS restriction criteria for RA (Tranche 6 Review of Written Authority PBS listings</w:t>
      </w:r>
      <w:r w:rsidR="007D09A8">
        <w:rPr>
          <w:iCs/>
        </w:rPr>
        <w:t>, March 2022</w:t>
      </w:r>
      <w:r w:rsidR="000E1D4B" w:rsidRPr="00EB31F2">
        <w:rPr>
          <w:iCs/>
        </w:rPr>
        <w:t xml:space="preserve"> PBAC </w:t>
      </w:r>
      <w:r w:rsidR="007D09A8">
        <w:rPr>
          <w:iCs/>
        </w:rPr>
        <w:t>Outcomes</w:t>
      </w:r>
      <w:r w:rsidR="000E1D4B" w:rsidRPr="00EB31F2">
        <w:rPr>
          <w:iCs/>
        </w:rPr>
        <w:t xml:space="preserve">). </w:t>
      </w:r>
      <w:r w:rsidR="007B74FC" w:rsidRPr="00EB31F2">
        <w:rPr>
          <w:iCs/>
        </w:rPr>
        <w:t xml:space="preserve">The </w:t>
      </w:r>
      <w:r w:rsidR="000E1D4B" w:rsidRPr="00EB31F2">
        <w:rPr>
          <w:iCs/>
        </w:rPr>
        <w:t>submission argued t</w:t>
      </w:r>
      <w:r w:rsidR="007B74FC" w:rsidRPr="00EB31F2">
        <w:rPr>
          <w:iCs/>
        </w:rPr>
        <w:t xml:space="preserve">hat both </w:t>
      </w:r>
      <w:r w:rsidR="003B1FF5" w:rsidRPr="00EB31F2">
        <w:rPr>
          <w:iCs/>
        </w:rPr>
        <w:t>initial and continuing</w:t>
      </w:r>
      <w:r w:rsidR="007B74FC" w:rsidRPr="00EB31F2">
        <w:rPr>
          <w:iCs/>
        </w:rPr>
        <w:t xml:space="preserve"> treatment for mepolizumab in </w:t>
      </w:r>
      <w:r w:rsidR="00634BD9" w:rsidRPr="00EB31F2">
        <w:rPr>
          <w:iCs/>
        </w:rPr>
        <w:t>uncontrolled severe asthma</w:t>
      </w:r>
      <w:r w:rsidR="007B74FC" w:rsidRPr="00EB31F2">
        <w:rPr>
          <w:iCs/>
        </w:rPr>
        <w:t xml:space="preserve"> have similar issue where </w:t>
      </w:r>
      <w:r w:rsidR="00165C29" w:rsidRPr="00EB31F2">
        <w:rPr>
          <w:iCs/>
        </w:rPr>
        <w:t xml:space="preserve">‘the administrative burden for prescribers associated with the high volume of written authority applications and the objective initial and continuing treatment PBS </w:t>
      </w:r>
      <w:r w:rsidR="00165C29" w:rsidRPr="00EB31F2">
        <w:rPr>
          <w:iCs/>
        </w:rPr>
        <w:lastRenderedPageBreak/>
        <w:t>restriction criteria for RA’ (Tranche 6 Review of Written Authority PBS listings</w:t>
      </w:r>
      <w:r w:rsidR="007D09A8">
        <w:rPr>
          <w:iCs/>
        </w:rPr>
        <w:t>, March</w:t>
      </w:r>
      <w:r w:rsidR="00943326">
        <w:rPr>
          <w:iCs/>
        </w:rPr>
        <w:t> </w:t>
      </w:r>
      <w:r w:rsidR="007D09A8">
        <w:rPr>
          <w:iCs/>
        </w:rPr>
        <w:t>2022</w:t>
      </w:r>
      <w:r w:rsidR="00165C29" w:rsidRPr="00EB31F2">
        <w:rPr>
          <w:iCs/>
        </w:rPr>
        <w:t xml:space="preserve"> PBAC </w:t>
      </w:r>
      <w:r w:rsidR="00FD73E2">
        <w:rPr>
          <w:iCs/>
        </w:rPr>
        <w:t>Outcomes</w:t>
      </w:r>
      <w:r w:rsidR="00165C29" w:rsidRPr="00EB31F2">
        <w:rPr>
          <w:iCs/>
        </w:rPr>
        <w:t xml:space="preserve">). </w:t>
      </w:r>
      <w:r w:rsidR="0064488D" w:rsidRPr="00EB31F2">
        <w:rPr>
          <w:iCs/>
        </w:rPr>
        <w:t xml:space="preserve">The amendment for all continuation listings indicated for </w:t>
      </w:r>
      <w:r w:rsidR="007B74FC" w:rsidRPr="00EB31F2">
        <w:rPr>
          <w:iCs/>
        </w:rPr>
        <w:t>RA</w:t>
      </w:r>
      <w:r w:rsidR="0064488D" w:rsidRPr="00EB31F2">
        <w:rPr>
          <w:iCs/>
        </w:rPr>
        <w:t xml:space="preserve"> to Authority Required (</w:t>
      </w:r>
      <w:r w:rsidR="00CA2FA9" w:rsidRPr="00EB31F2">
        <w:rPr>
          <w:iCs/>
        </w:rPr>
        <w:t>STREAMLINED</w:t>
      </w:r>
      <w:r w:rsidR="0064488D" w:rsidRPr="00EB31F2">
        <w:rPr>
          <w:iCs/>
        </w:rPr>
        <w:t>) only applied to biosimilar items to support biosimilar uptake drivers. Originator brands remained Authority Required (</w:t>
      </w:r>
      <w:r w:rsidR="007E7F60" w:rsidRPr="00EB31F2">
        <w:rPr>
          <w:iCs/>
        </w:rPr>
        <w:t>Written</w:t>
      </w:r>
      <w:r w:rsidR="0064488D" w:rsidRPr="00EB31F2">
        <w:rPr>
          <w:iCs/>
        </w:rPr>
        <w:t xml:space="preserve">) for first continuing </w:t>
      </w:r>
      <w:r w:rsidR="002722F7" w:rsidRPr="00EB31F2">
        <w:rPr>
          <w:iCs/>
        </w:rPr>
        <w:t>treatment and</w:t>
      </w:r>
      <w:r w:rsidR="0064488D" w:rsidRPr="00EB31F2">
        <w:rPr>
          <w:iCs/>
        </w:rPr>
        <w:t xml:space="preserve"> </w:t>
      </w:r>
      <w:r w:rsidR="007E7F60" w:rsidRPr="00EB31F2">
        <w:rPr>
          <w:iCs/>
        </w:rPr>
        <w:t xml:space="preserve">were lowered to </w:t>
      </w:r>
      <w:r w:rsidR="0064488D" w:rsidRPr="00EB31F2">
        <w:rPr>
          <w:iCs/>
        </w:rPr>
        <w:t>Authority Required (</w:t>
      </w:r>
      <w:r w:rsidR="00CA2FA9" w:rsidRPr="00EB31F2">
        <w:rPr>
          <w:iCs/>
        </w:rPr>
        <w:t>STREAMLINED</w:t>
      </w:r>
      <w:r w:rsidR="0064488D" w:rsidRPr="00EB31F2">
        <w:rPr>
          <w:iCs/>
        </w:rPr>
        <w:t xml:space="preserve">) for subsequent continuing treatment. </w:t>
      </w:r>
    </w:p>
    <w:p w14:paraId="547A39F4" w14:textId="36894692" w:rsidR="000A3CEA" w:rsidRPr="00EB31F2" w:rsidRDefault="000A3CEA" w:rsidP="000A3CEA">
      <w:pPr>
        <w:pStyle w:val="3Bodytext"/>
        <w:jc w:val="both"/>
      </w:pPr>
      <w:r w:rsidRPr="00EB31F2">
        <w:t xml:space="preserve">The pre-PBAC response noted the support from the professional and consumer community for changes to the authority level to ensure timely patient access to treatment and to allow more time to be focussed on patient care. </w:t>
      </w:r>
    </w:p>
    <w:p w14:paraId="4CB7FDD0" w14:textId="7A7C9092" w:rsidR="0089480B" w:rsidRPr="00EB31F2" w:rsidRDefault="00F4670D" w:rsidP="00E06FEA">
      <w:pPr>
        <w:pStyle w:val="5-SubsectionSubheading"/>
        <w:rPr>
          <w:lang w:eastAsia="en-US"/>
        </w:rPr>
      </w:pPr>
      <w:r w:rsidRPr="00EB31F2">
        <w:rPr>
          <w:lang w:eastAsia="en-US"/>
        </w:rPr>
        <w:t>Stabilisation</w:t>
      </w:r>
      <w:r w:rsidR="0089480B" w:rsidRPr="00EB31F2">
        <w:rPr>
          <w:lang w:eastAsia="en-US"/>
        </w:rPr>
        <w:t xml:space="preserve"> of initiating population</w:t>
      </w:r>
    </w:p>
    <w:p w14:paraId="32C1DDDD" w14:textId="29C17134" w:rsidR="00966264" w:rsidRPr="00EB31F2" w:rsidRDefault="00966264" w:rsidP="0089480B">
      <w:pPr>
        <w:pStyle w:val="3Bodytext"/>
        <w:keepNext/>
        <w:spacing w:before="120"/>
        <w:jc w:val="both"/>
      </w:pPr>
      <w:r w:rsidRPr="00EB31F2">
        <w:t xml:space="preserve">The submission stated that since the </w:t>
      </w:r>
      <w:r w:rsidR="007E28BA" w:rsidRPr="00EB31F2">
        <w:t>R</w:t>
      </w:r>
      <w:r w:rsidR="000E1D4B" w:rsidRPr="00EB31F2">
        <w:t>eview of Authority Required (Written) PBS listings Tranche 3 July 2021</w:t>
      </w:r>
      <w:r w:rsidRPr="00EB31F2">
        <w:t xml:space="preserve">, there is now evidence that </w:t>
      </w:r>
      <w:r w:rsidR="003B1FF5" w:rsidRPr="00EB31F2">
        <w:t xml:space="preserve">initiations for </w:t>
      </w:r>
      <w:r w:rsidRPr="00EB31F2">
        <w:t>mepolizumab and, more broadly, anti-IL5</w:t>
      </w:r>
      <w:r w:rsidR="003B1FF5" w:rsidRPr="00EB31F2">
        <w:t>s,</w:t>
      </w:r>
      <w:r w:rsidRPr="00EB31F2">
        <w:t xml:space="preserve"> have stabilised, indicating maturity of this class for </w:t>
      </w:r>
      <w:r w:rsidR="00634BD9" w:rsidRPr="00EB31F2">
        <w:t>uncontrolled severe asthma</w:t>
      </w:r>
      <w:r w:rsidRPr="00EB31F2">
        <w:t xml:space="preserve">. </w:t>
      </w:r>
    </w:p>
    <w:p w14:paraId="7144C58A" w14:textId="449E09A1" w:rsidR="00C61D86" w:rsidRPr="00EB31F2" w:rsidRDefault="00B51087" w:rsidP="004F5AF2">
      <w:pPr>
        <w:pStyle w:val="3Bodytext"/>
        <w:spacing w:before="120"/>
        <w:jc w:val="both"/>
      </w:pPr>
      <w:r w:rsidRPr="00EB31F2">
        <w:rPr>
          <w:rFonts w:cstheme="minorHAnsi"/>
          <w:szCs w:val="24"/>
        </w:rPr>
        <w:fldChar w:fldCharType="begin" w:fldLock="1"/>
      </w:r>
      <w:r w:rsidRPr="00EB31F2">
        <w:rPr>
          <w:rFonts w:cstheme="minorHAnsi"/>
          <w:szCs w:val="24"/>
        </w:rPr>
        <w:instrText xml:space="preserve"> REF _Ref157670984 \h  \* MERGEFORMAT </w:instrText>
      </w:r>
      <w:r w:rsidRPr="00EB31F2">
        <w:rPr>
          <w:rFonts w:cstheme="minorHAnsi"/>
          <w:szCs w:val="24"/>
        </w:rPr>
      </w:r>
      <w:r w:rsidRPr="00EB31F2">
        <w:rPr>
          <w:rFonts w:cstheme="minorHAnsi"/>
          <w:szCs w:val="24"/>
        </w:rPr>
        <w:fldChar w:fldCharType="separate"/>
      </w:r>
      <w:r w:rsidR="000A3CEA" w:rsidRPr="00EB31F2">
        <w:rPr>
          <w:rFonts w:cstheme="minorHAnsi"/>
          <w:color w:val="000000" w:themeColor="text1"/>
          <w:szCs w:val="24"/>
        </w:rPr>
        <w:t xml:space="preserve">Table </w:t>
      </w:r>
      <w:r w:rsidR="000A3CEA" w:rsidRPr="00EB31F2">
        <w:rPr>
          <w:rFonts w:cstheme="minorHAnsi"/>
          <w:szCs w:val="24"/>
        </w:rPr>
        <w:t>5</w:t>
      </w:r>
      <w:r w:rsidRPr="00EB31F2">
        <w:rPr>
          <w:rFonts w:cstheme="minorHAnsi"/>
          <w:szCs w:val="24"/>
        </w:rPr>
        <w:fldChar w:fldCharType="end"/>
      </w:r>
      <w:r w:rsidR="008F1554" w:rsidRPr="00EB31F2">
        <w:t xml:space="preserve"> shows that the </w:t>
      </w:r>
      <w:r w:rsidR="004F5AF2" w:rsidRPr="00EB31F2">
        <w:t>estimate</w:t>
      </w:r>
      <w:r w:rsidR="008F1554" w:rsidRPr="00EB31F2">
        <w:t>d</w:t>
      </w:r>
      <w:r w:rsidR="004F5AF2" w:rsidRPr="00EB31F2">
        <w:t xml:space="preserve"> total</w:t>
      </w:r>
      <w:r w:rsidR="008F1554" w:rsidRPr="00EB31F2">
        <w:t xml:space="preserve"> number of</w:t>
      </w:r>
      <w:r w:rsidR="004F5AF2" w:rsidRPr="00EB31F2">
        <w:t xml:space="preserve"> patients receiving an anti-IL5 biologic for severe asthma via the PBS </w:t>
      </w:r>
      <w:r w:rsidR="003B1FF5" w:rsidRPr="00EB31F2">
        <w:t>was</w:t>
      </w:r>
      <w:r w:rsidR="004F5AF2" w:rsidRPr="00EB31F2">
        <w:t xml:space="preserve"> 6,480 in </w:t>
      </w:r>
      <w:r w:rsidR="006E7A8F" w:rsidRPr="00EB31F2">
        <w:t>FY</w:t>
      </w:r>
      <w:r w:rsidR="004F5AF2" w:rsidRPr="00EB31F2">
        <w:t xml:space="preserve">2022, based on a </w:t>
      </w:r>
      <w:r w:rsidR="00E81E89" w:rsidRPr="00EB31F2">
        <w:t>p</w:t>
      </w:r>
      <w:r w:rsidR="004F5AF2" w:rsidRPr="00EB31F2">
        <w:t xml:space="preserve">rospection report drawing from the 10% PBS sample (Prospection, 2023). </w:t>
      </w:r>
      <w:r w:rsidR="000A2F90" w:rsidRPr="00EB31F2">
        <w:t>Based on</w:t>
      </w:r>
      <w:r w:rsidR="000E187B" w:rsidRPr="00EB31F2">
        <w:t xml:space="preserve"> </w:t>
      </w:r>
      <w:r w:rsidR="000E187B" w:rsidRPr="00EB31F2">
        <w:fldChar w:fldCharType="begin" w:fldLock="1"/>
      </w:r>
      <w:r w:rsidR="000E187B" w:rsidRPr="00EB31F2">
        <w:instrText xml:space="preserve"> REF _Ref157678136 \h </w:instrText>
      </w:r>
      <w:r w:rsidR="00116116" w:rsidRPr="00EB31F2">
        <w:instrText xml:space="preserve"> \* MERGEFORMAT </w:instrText>
      </w:r>
      <w:r w:rsidR="000E187B" w:rsidRPr="00EB31F2">
        <w:fldChar w:fldCharType="separate"/>
      </w:r>
      <w:r w:rsidR="000A3CEA" w:rsidRPr="00EB31F2">
        <w:t>Table 2</w:t>
      </w:r>
      <w:r w:rsidR="000E187B" w:rsidRPr="00EB31F2">
        <w:fldChar w:fldCharType="end"/>
      </w:r>
      <w:r w:rsidR="000A2F90" w:rsidRPr="00EB31F2">
        <w:t>, t</w:t>
      </w:r>
      <w:r w:rsidR="008F1554" w:rsidRPr="00EB31F2">
        <w:t>he submission stated that th</w:t>
      </w:r>
      <w:r w:rsidR="004F5AF2" w:rsidRPr="00EB31F2">
        <w:t xml:space="preserve">e total PBS/RPBS services for anti-IL5 agents is still growing (13% in </w:t>
      </w:r>
      <w:r w:rsidR="006E7A8F" w:rsidRPr="00EB31F2">
        <w:t>FY2</w:t>
      </w:r>
      <w:r w:rsidR="004F5AF2" w:rsidRPr="00EB31F2">
        <w:t>023)</w:t>
      </w:r>
      <w:r w:rsidR="008F1554" w:rsidRPr="00EB31F2">
        <w:t xml:space="preserve"> and it is</w:t>
      </w:r>
      <w:r w:rsidR="004F5AF2" w:rsidRPr="00EB31F2">
        <w:t xml:space="preserve"> primarily driven by continuing prescriptions due to maintenance of response.</w:t>
      </w:r>
      <w:r w:rsidR="000E187B" w:rsidRPr="00EB31F2">
        <w:t xml:space="preserve"> </w:t>
      </w:r>
      <w:r w:rsidR="00D04D87" w:rsidRPr="00EB31F2">
        <w:fldChar w:fldCharType="begin" w:fldLock="1"/>
      </w:r>
      <w:r w:rsidR="00D04D87" w:rsidRPr="00EB31F2">
        <w:instrText xml:space="preserve"> REF _Ref157670984 \h  \* MERGEFORMAT </w:instrText>
      </w:r>
      <w:r w:rsidR="00D04D87" w:rsidRPr="00EB31F2">
        <w:fldChar w:fldCharType="separate"/>
      </w:r>
      <w:r w:rsidR="00D04D87" w:rsidRPr="00EB31F2">
        <w:rPr>
          <w:szCs w:val="20"/>
        </w:rPr>
        <w:t xml:space="preserve">Table </w:t>
      </w:r>
      <w:r w:rsidR="00D04D87">
        <w:rPr>
          <w:szCs w:val="20"/>
        </w:rPr>
        <w:t>2</w:t>
      </w:r>
      <w:r w:rsidR="00D04D87" w:rsidRPr="00EB31F2">
        <w:fldChar w:fldCharType="end"/>
      </w:r>
      <w:r w:rsidR="00D04D87" w:rsidRPr="00EB31F2">
        <w:t xml:space="preserve"> </w:t>
      </w:r>
      <w:r w:rsidR="004F5AF2" w:rsidRPr="00EB31F2">
        <w:t xml:space="preserve">and </w:t>
      </w:r>
      <w:r w:rsidR="00220FAF" w:rsidRPr="00EB31F2">
        <w:fldChar w:fldCharType="begin" w:fldLock="1"/>
      </w:r>
      <w:r w:rsidR="00220FAF" w:rsidRPr="00EB31F2">
        <w:instrText xml:space="preserve"> REF _Ref157679094 \h </w:instrText>
      </w:r>
      <w:r w:rsidR="00116116" w:rsidRPr="00EB31F2">
        <w:instrText xml:space="preserve"> \* MERGEFORMAT </w:instrText>
      </w:r>
      <w:r w:rsidR="00220FAF" w:rsidRPr="00EB31F2">
        <w:fldChar w:fldCharType="separate"/>
      </w:r>
      <w:r w:rsidR="000A3CEA" w:rsidRPr="00EB31F2">
        <w:t>Figure 3</w:t>
      </w:r>
      <w:r w:rsidR="00220FAF" w:rsidRPr="00EB31F2">
        <w:fldChar w:fldCharType="end"/>
      </w:r>
      <w:r w:rsidR="00220FAF" w:rsidRPr="00EB31F2">
        <w:t xml:space="preserve"> </w:t>
      </w:r>
      <w:r w:rsidR="004F5AF2" w:rsidRPr="00EB31F2">
        <w:t xml:space="preserve">highlight that PBS/RPBS services for initiation of anti-IL5’s has stabilised with only 8% growth in </w:t>
      </w:r>
      <w:r w:rsidR="000A2F90" w:rsidRPr="00EB31F2">
        <w:t>FY</w:t>
      </w:r>
      <w:r w:rsidR="004F5AF2" w:rsidRPr="00EB31F2">
        <w:t xml:space="preserve">2022 and 3% growth in </w:t>
      </w:r>
      <w:r w:rsidR="000A2F90" w:rsidRPr="00EB31F2">
        <w:t>FY</w:t>
      </w:r>
      <w:r w:rsidR="004F5AF2" w:rsidRPr="00EB31F2">
        <w:t>2023 (Illuminate Red, 2023).</w:t>
      </w:r>
    </w:p>
    <w:p w14:paraId="782D1A43" w14:textId="26114E11" w:rsidR="00453DCC" w:rsidRPr="00EB31F2" w:rsidRDefault="00453DCC" w:rsidP="009D4C56">
      <w:pPr>
        <w:pStyle w:val="Caption"/>
        <w:keepNext/>
        <w:spacing w:line="247" w:lineRule="auto"/>
        <w:rPr>
          <w:iCs w:val="0"/>
          <w:szCs w:val="20"/>
        </w:rPr>
      </w:pPr>
      <w:bookmarkStart w:id="14" w:name="_Ref157670984"/>
      <w:bookmarkStart w:id="15" w:name="_Ref149317633"/>
      <w:r w:rsidRPr="00EB31F2">
        <w:rPr>
          <w:iCs w:val="0"/>
          <w:szCs w:val="20"/>
        </w:rPr>
        <w:t xml:space="preserve">Table </w:t>
      </w:r>
      <w:r w:rsidRPr="00EB31F2">
        <w:rPr>
          <w:iCs w:val="0"/>
          <w:szCs w:val="20"/>
        </w:rPr>
        <w:fldChar w:fldCharType="begin" w:fldLock="1"/>
      </w:r>
      <w:r w:rsidRPr="00EB31F2">
        <w:rPr>
          <w:iCs w:val="0"/>
          <w:szCs w:val="20"/>
        </w:rPr>
        <w:instrText xml:space="preserve"> SEQ Table \* ARABIC </w:instrText>
      </w:r>
      <w:r w:rsidRPr="00EB31F2">
        <w:rPr>
          <w:iCs w:val="0"/>
          <w:szCs w:val="20"/>
        </w:rPr>
        <w:fldChar w:fldCharType="separate"/>
      </w:r>
      <w:r w:rsidR="000A3CEA" w:rsidRPr="003D60FA">
        <w:rPr>
          <w:iCs w:val="0"/>
          <w:szCs w:val="20"/>
        </w:rPr>
        <w:t>5</w:t>
      </w:r>
      <w:r w:rsidRPr="00EB31F2">
        <w:rPr>
          <w:iCs w:val="0"/>
          <w:szCs w:val="20"/>
        </w:rPr>
        <w:fldChar w:fldCharType="end"/>
      </w:r>
      <w:bookmarkEnd w:id="14"/>
      <w:r w:rsidRPr="00EB31F2">
        <w:rPr>
          <w:iCs w:val="0"/>
          <w:szCs w:val="20"/>
        </w:rPr>
        <w:t xml:space="preserve">: Patients treated with mepolizumab– estimated vs actual patients treated since PBS listing </w:t>
      </w:r>
    </w:p>
    <w:tbl>
      <w:tblPr>
        <w:tblStyle w:val="TableGrid"/>
        <w:tblW w:w="5000" w:type="pct"/>
        <w:tblLook w:val="04A0" w:firstRow="1" w:lastRow="0" w:firstColumn="1" w:lastColumn="0" w:noHBand="0" w:noVBand="1"/>
        <w:tblCaption w:val="Table 5: Patients treated with mepolizumab– estimated vs actual patients treated since PBS listing "/>
      </w:tblPr>
      <w:tblGrid>
        <w:gridCol w:w="4808"/>
        <w:gridCol w:w="702"/>
        <w:gridCol w:w="702"/>
        <w:gridCol w:w="701"/>
        <w:gridCol w:w="701"/>
        <w:gridCol w:w="701"/>
        <w:gridCol w:w="701"/>
      </w:tblGrid>
      <w:tr w:rsidR="00A61BF3" w:rsidRPr="00EB31F2" w14:paraId="2690B63F" w14:textId="77777777" w:rsidTr="00A61BF3">
        <w:tc>
          <w:tcPr>
            <w:tcW w:w="2665" w:type="pct"/>
            <w:shd w:val="clear" w:color="auto" w:fill="BFBFBF" w:themeFill="background1" w:themeFillShade="BF"/>
          </w:tcPr>
          <w:p w14:paraId="755562FD" w14:textId="77777777" w:rsidR="00A61BF3" w:rsidRPr="00EB31F2" w:rsidRDefault="00A61BF3" w:rsidP="00A61BF3">
            <w:pPr>
              <w:keepNext/>
              <w:spacing w:line="247" w:lineRule="auto"/>
              <w:rPr>
                <w:rFonts w:ascii="Arial Narrow" w:hAnsi="Arial Narrow"/>
                <w:b/>
                <w:color w:val="FF0000"/>
                <w:sz w:val="20"/>
                <w:szCs w:val="20"/>
              </w:rPr>
            </w:pPr>
            <w:r w:rsidRPr="00EB31F2">
              <w:rPr>
                <w:rFonts w:ascii="Arial Narrow" w:hAnsi="Arial Narrow"/>
                <w:b/>
                <w:sz w:val="20"/>
                <w:szCs w:val="20"/>
              </w:rPr>
              <w:t>Financial Year</w:t>
            </w:r>
          </w:p>
        </w:tc>
        <w:tc>
          <w:tcPr>
            <w:tcW w:w="389" w:type="pct"/>
            <w:shd w:val="clear" w:color="auto" w:fill="BFBFBF" w:themeFill="background1" w:themeFillShade="BF"/>
          </w:tcPr>
          <w:p w14:paraId="67C37E6A" w14:textId="3AE0FAC2" w:rsidR="00A61BF3" w:rsidRPr="00EB31F2" w:rsidRDefault="00A61BF3" w:rsidP="00A61BF3">
            <w:pPr>
              <w:keepNext/>
              <w:spacing w:line="247" w:lineRule="auto"/>
              <w:jc w:val="center"/>
              <w:rPr>
                <w:rFonts w:ascii="Arial Narrow" w:hAnsi="Arial Narrow" w:cs="Calibri"/>
                <w:b/>
                <w:bCs/>
                <w:color w:val="FF0000"/>
                <w:sz w:val="20"/>
                <w:szCs w:val="20"/>
              </w:rPr>
            </w:pPr>
            <w:r w:rsidRPr="00EB31F2">
              <w:rPr>
                <w:rFonts w:ascii="Arial Narrow" w:hAnsi="Arial Narrow" w:cs="Calibri"/>
                <w:b/>
                <w:bCs/>
                <w:iCs/>
                <w:color w:val="000000"/>
                <w:sz w:val="20"/>
                <w:szCs w:val="20"/>
              </w:rPr>
              <w:t>2017-2018</w:t>
            </w:r>
          </w:p>
        </w:tc>
        <w:tc>
          <w:tcPr>
            <w:tcW w:w="389" w:type="pct"/>
            <w:shd w:val="clear" w:color="auto" w:fill="BFBFBF" w:themeFill="background1" w:themeFillShade="BF"/>
          </w:tcPr>
          <w:p w14:paraId="51D5A81C" w14:textId="0AFC81D3" w:rsidR="00A61BF3" w:rsidRPr="00EB31F2" w:rsidRDefault="00A61BF3" w:rsidP="00A61BF3">
            <w:pPr>
              <w:keepNext/>
              <w:spacing w:line="247" w:lineRule="auto"/>
              <w:jc w:val="center"/>
              <w:rPr>
                <w:rFonts w:ascii="Arial Narrow" w:hAnsi="Arial Narrow" w:cs="Calibri"/>
                <w:b/>
                <w:bCs/>
                <w:color w:val="FF0000"/>
                <w:sz w:val="20"/>
                <w:szCs w:val="20"/>
              </w:rPr>
            </w:pPr>
            <w:r w:rsidRPr="00EB31F2">
              <w:rPr>
                <w:rFonts w:ascii="Arial Narrow" w:hAnsi="Arial Narrow" w:cs="Calibri"/>
                <w:b/>
                <w:bCs/>
                <w:iCs/>
                <w:color w:val="000000"/>
                <w:sz w:val="20"/>
                <w:szCs w:val="20"/>
              </w:rPr>
              <w:t>2018-2019</w:t>
            </w:r>
          </w:p>
        </w:tc>
        <w:tc>
          <w:tcPr>
            <w:tcW w:w="389" w:type="pct"/>
            <w:shd w:val="clear" w:color="auto" w:fill="BFBFBF" w:themeFill="background1" w:themeFillShade="BF"/>
          </w:tcPr>
          <w:p w14:paraId="0C9F20D4" w14:textId="5C22F0A3" w:rsidR="00A61BF3" w:rsidRPr="00EB31F2" w:rsidRDefault="00A61BF3" w:rsidP="00A61BF3">
            <w:pPr>
              <w:keepNext/>
              <w:spacing w:line="247" w:lineRule="auto"/>
              <w:jc w:val="center"/>
              <w:rPr>
                <w:rFonts w:ascii="Arial Narrow" w:hAnsi="Arial Narrow" w:cs="Calibri"/>
                <w:b/>
                <w:bCs/>
                <w:color w:val="FF0000"/>
                <w:sz w:val="20"/>
                <w:szCs w:val="20"/>
              </w:rPr>
            </w:pPr>
            <w:r w:rsidRPr="00EB31F2">
              <w:rPr>
                <w:rFonts w:ascii="Arial Narrow" w:hAnsi="Arial Narrow" w:cs="Calibri"/>
                <w:b/>
                <w:bCs/>
                <w:iCs/>
                <w:color w:val="000000"/>
                <w:sz w:val="20"/>
                <w:szCs w:val="20"/>
              </w:rPr>
              <w:t>2019-2020</w:t>
            </w:r>
          </w:p>
        </w:tc>
        <w:tc>
          <w:tcPr>
            <w:tcW w:w="389" w:type="pct"/>
            <w:shd w:val="clear" w:color="auto" w:fill="BFBFBF" w:themeFill="background1" w:themeFillShade="BF"/>
          </w:tcPr>
          <w:p w14:paraId="4FBB12A5" w14:textId="35180ADC" w:rsidR="00A61BF3" w:rsidRPr="00EB31F2" w:rsidRDefault="00A61BF3" w:rsidP="00A61BF3">
            <w:pPr>
              <w:keepNext/>
              <w:spacing w:line="247" w:lineRule="auto"/>
              <w:jc w:val="center"/>
              <w:rPr>
                <w:rFonts w:ascii="Arial Narrow" w:hAnsi="Arial Narrow" w:cs="Calibri"/>
                <w:b/>
                <w:bCs/>
                <w:color w:val="FF0000"/>
                <w:sz w:val="20"/>
                <w:szCs w:val="20"/>
              </w:rPr>
            </w:pPr>
            <w:r w:rsidRPr="00EB31F2">
              <w:rPr>
                <w:rFonts w:ascii="Arial Narrow" w:hAnsi="Arial Narrow" w:cs="Calibri"/>
                <w:b/>
                <w:bCs/>
                <w:iCs/>
                <w:color w:val="000000"/>
                <w:sz w:val="20"/>
                <w:szCs w:val="20"/>
              </w:rPr>
              <w:t>2020-2021</w:t>
            </w:r>
          </w:p>
        </w:tc>
        <w:tc>
          <w:tcPr>
            <w:tcW w:w="389" w:type="pct"/>
            <w:shd w:val="clear" w:color="auto" w:fill="BFBFBF" w:themeFill="background1" w:themeFillShade="BF"/>
          </w:tcPr>
          <w:p w14:paraId="56C73588" w14:textId="2B0BA90D" w:rsidR="00A61BF3" w:rsidRPr="00EB31F2" w:rsidRDefault="00A61BF3" w:rsidP="00A61BF3">
            <w:pPr>
              <w:keepNext/>
              <w:spacing w:line="247" w:lineRule="auto"/>
              <w:jc w:val="center"/>
              <w:rPr>
                <w:rFonts w:ascii="Arial Narrow" w:hAnsi="Arial Narrow" w:cs="Calibri"/>
                <w:b/>
                <w:bCs/>
                <w:color w:val="FF0000"/>
                <w:sz w:val="20"/>
                <w:szCs w:val="20"/>
              </w:rPr>
            </w:pPr>
            <w:r w:rsidRPr="00EB31F2">
              <w:rPr>
                <w:rFonts w:ascii="Arial Narrow" w:hAnsi="Arial Narrow" w:cs="Calibri"/>
                <w:b/>
                <w:bCs/>
                <w:iCs/>
                <w:color w:val="000000"/>
                <w:sz w:val="20"/>
                <w:szCs w:val="20"/>
              </w:rPr>
              <w:t>2021-2022</w:t>
            </w:r>
          </w:p>
        </w:tc>
        <w:tc>
          <w:tcPr>
            <w:tcW w:w="389" w:type="pct"/>
            <w:shd w:val="clear" w:color="auto" w:fill="BFBFBF" w:themeFill="background1" w:themeFillShade="BF"/>
          </w:tcPr>
          <w:p w14:paraId="335D8A55" w14:textId="1E10D182" w:rsidR="00A61BF3" w:rsidRPr="00EB31F2" w:rsidRDefault="00A61BF3" w:rsidP="00A61BF3">
            <w:pPr>
              <w:keepNext/>
              <w:spacing w:line="247" w:lineRule="auto"/>
              <w:jc w:val="center"/>
              <w:rPr>
                <w:rFonts w:ascii="Arial Narrow" w:hAnsi="Arial Narrow" w:cs="Calibri"/>
                <w:b/>
                <w:bCs/>
                <w:color w:val="FF0000"/>
                <w:sz w:val="20"/>
                <w:szCs w:val="20"/>
              </w:rPr>
            </w:pPr>
            <w:r w:rsidRPr="00EB31F2">
              <w:rPr>
                <w:rFonts w:ascii="Arial Narrow" w:hAnsi="Arial Narrow" w:cs="Calibri"/>
                <w:b/>
                <w:bCs/>
                <w:iCs/>
                <w:color w:val="000000"/>
                <w:sz w:val="20"/>
                <w:szCs w:val="20"/>
              </w:rPr>
              <w:t>2022-2023</w:t>
            </w:r>
          </w:p>
        </w:tc>
      </w:tr>
      <w:tr w:rsidR="00A61BF3" w:rsidRPr="00EB31F2" w14:paraId="26E890D1" w14:textId="77777777" w:rsidTr="00A61BF3">
        <w:tc>
          <w:tcPr>
            <w:tcW w:w="2665" w:type="pct"/>
            <w:vAlign w:val="bottom"/>
          </w:tcPr>
          <w:p w14:paraId="18AC60C9" w14:textId="77777777" w:rsidR="00453DCC" w:rsidRPr="00EB31F2" w:rsidRDefault="00453DCC" w:rsidP="009D4C56">
            <w:pPr>
              <w:keepNext/>
              <w:spacing w:line="247" w:lineRule="auto"/>
              <w:rPr>
                <w:rFonts w:ascii="Arial Narrow" w:hAnsi="Arial Narrow" w:cs="Calibri"/>
                <w:sz w:val="20"/>
                <w:szCs w:val="20"/>
              </w:rPr>
            </w:pPr>
            <w:r w:rsidRPr="00EB31F2">
              <w:rPr>
                <w:rFonts w:ascii="Arial Narrow" w:hAnsi="Arial Narrow" w:cs="Calibri"/>
                <w:sz w:val="20"/>
                <w:szCs w:val="20"/>
              </w:rPr>
              <w:t>Analysis of mepolizumab patient numbers from 2019 DUSC PRD (from 100% PBS sample)</w:t>
            </w:r>
          </w:p>
        </w:tc>
        <w:tc>
          <w:tcPr>
            <w:tcW w:w="389" w:type="pct"/>
            <w:vAlign w:val="center"/>
          </w:tcPr>
          <w:p w14:paraId="2809C6F4" w14:textId="77777777" w:rsidR="00453DCC" w:rsidRPr="00EB31F2" w:rsidRDefault="00453DCC" w:rsidP="009D4C56">
            <w:pPr>
              <w:keepNext/>
              <w:spacing w:line="247" w:lineRule="auto"/>
              <w:jc w:val="center"/>
              <w:rPr>
                <w:rFonts w:ascii="Arial Narrow" w:hAnsi="Arial Narrow" w:cs="Calibri"/>
                <w:sz w:val="20"/>
                <w:szCs w:val="20"/>
              </w:rPr>
            </w:pPr>
            <w:r w:rsidRPr="00EB31F2">
              <w:rPr>
                <w:rFonts w:ascii="Arial Narrow" w:hAnsi="Arial Narrow" w:cs="Calibri"/>
                <w:sz w:val="20"/>
                <w:szCs w:val="20"/>
              </w:rPr>
              <w:t>604</w:t>
            </w:r>
          </w:p>
        </w:tc>
        <w:tc>
          <w:tcPr>
            <w:tcW w:w="389" w:type="pct"/>
            <w:vAlign w:val="center"/>
          </w:tcPr>
          <w:p w14:paraId="1A224081" w14:textId="77777777" w:rsidR="00453DCC" w:rsidRPr="00EB31F2" w:rsidRDefault="00453DCC" w:rsidP="009D4C56">
            <w:pPr>
              <w:keepNext/>
              <w:spacing w:line="247" w:lineRule="auto"/>
              <w:jc w:val="center"/>
              <w:rPr>
                <w:rFonts w:ascii="Arial Narrow" w:hAnsi="Arial Narrow" w:cs="Calibri"/>
                <w:sz w:val="20"/>
                <w:szCs w:val="20"/>
              </w:rPr>
            </w:pPr>
            <w:r w:rsidRPr="00EB31F2">
              <w:rPr>
                <w:rFonts w:ascii="Arial Narrow" w:hAnsi="Arial Narrow" w:cs="Calibri"/>
                <w:sz w:val="20"/>
                <w:szCs w:val="20"/>
              </w:rPr>
              <w:t>1,177</w:t>
            </w:r>
          </w:p>
        </w:tc>
        <w:tc>
          <w:tcPr>
            <w:tcW w:w="389" w:type="pct"/>
            <w:vAlign w:val="center"/>
          </w:tcPr>
          <w:p w14:paraId="2F1161BE" w14:textId="77777777" w:rsidR="00453DCC" w:rsidRPr="00EB31F2" w:rsidRDefault="00453DCC" w:rsidP="009D4C56">
            <w:pPr>
              <w:keepNext/>
              <w:spacing w:line="247" w:lineRule="auto"/>
              <w:jc w:val="center"/>
              <w:rPr>
                <w:rFonts w:ascii="Arial Narrow" w:hAnsi="Arial Narrow" w:cs="Calibri"/>
                <w:color w:val="FF0000"/>
                <w:sz w:val="20"/>
                <w:szCs w:val="20"/>
              </w:rPr>
            </w:pPr>
          </w:p>
        </w:tc>
        <w:tc>
          <w:tcPr>
            <w:tcW w:w="389" w:type="pct"/>
            <w:vAlign w:val="center"/>
          </w:tcPr>
          <w:p w14:paraId="48DF7770" w14:textId="77777777" w:rsidR="00453DCC" w:rsidRPr="00EB31F2" w:rsidRDefault="00453DCC" w:rsidP="009D4C56">
            <w:pPr>
              <w:keepNext/>
              <w:spacing w:line="247" w:lineRule="auto"/>
              <w:jc w:val="center"/>
              <w:rPr>
                <w:rFonts w:ascii="Arial Narrow" w:hAnsi="Arial Narrow" w:cs="Calibri"/>
                <w:color w:val="FF0000"/>
                <w:sz w:val="20"/>
                <w:szCs w:val="20"/>
              </w:rPr>
            </w:pPr>
          </w:p>
        </w:tc>
        <w:tc>
          <w:tcPr>
            <w:tcW w:w="389" w:type="pct"/>
            <w:vAlign w:val="center"/>
          </w:tcPr>
          <w:p w14:paraId="3FF5CD1E" w14:textId="77777777" w:rsidR="00453DCC" w:rsidRPr="00EB31F2" w:rsidRDefault="00453DCC" w:rsidP="009D4C56">
            <w:pPr>
              <w:keepNext/>
              <w:spacing w:line="247" w:lineRule="auto"/>
              <w:jc w:val="center"/>
              <w:rPr>
                <w:rFonts w:ascii="Arial Narrow" w:hAnsi="Arial Narrow" w:cs="Calibri"/>
                <w:color w:val="FF0000"/>
                <w:sz w:val="20"/>
                <w:szCs w:val="20"/>
              </w:rPr>
            </w:pPr>
          </w:p>
        </w:tc>
        <w:tc>
          <w:tcPr>
            <w:tcW w:w="389" w:type="pct"/>
            <w:vAlign w:val="center"/>
          </w:tcPr>
          <w:p w14:paraId="53CAD209" w14:textId="77777777" w:rsidR="00453DCC" w:rsidRPr="00EB31F2" w:rsidRDefault="00453DCC" w:rsidP="009D4C56">
            <w:pPr>
              <w:keepNext/>
              <w:spacing w:line="247" w:lineRule="auto"/>
              <w:jc w:val="center"/>
              <w:rPr>
                <w:rFonts w:ascii="Arial Narrow" w:hAnsi="Arial Narrow" w:cs="Calibri"/>
                <w:color w:val="FF0000"/>
                <w:sz w:val="20"/>
                <w:szCs w:val="20"/>
              </w:rPr>
            </w:pPr>
          </w:p>
        </w:tc>
      </w:tr>
      <w:tr w:rsidR="00A61BF3" w:rsidRPr="00EB31F2" w14:paraId="7FEF1C87" w14:textId="77777777" w:rsidTr="00A61BF3">
        <w:tc>
          <w:tcPr>
            <w:tcW w:w="2665" w:type="pct"/>
            <w:vAlign w:val="bottom"/>
          </w:tcPr>
          <w:p w14:paraId="43086AD5" w14:textId="77777777" w:rsidR="00453DCC" w:rsidRPr="00EB31F2" w:rsidRDefault="00453DCC" w:rsidP="009D4C56">
            <w:pPr>
              <w:keepNext/>
              <w:spacing w:line="247" w:lineRule="auto"/>
              <w:jc w:val="left"/>
              <w:rPr>
                <w:rFonts w:ascii="Arial Narrow" w:hAnsi="Arial Narrow" w:cs="Calibri"/>
                <w:sz w:val="20"/>
                <w:szCs w:val="20"/>
              </w:rPr>
            </w:pPr>
            <w:r w:rsidRPr="00EB31F2">
              <w:rPr>
                <w:rFonts w:ascii="Arial Narrow" w:hAnsi="Arial Narrow" w:cs="Calibri"/>
                <w:sz w:val="20"/>
                <w:szCs w:val="20"/>
              </w:rPr>
              <w:t xml:space="preserve">Patients on treatment (mepolizumab) </w:t>
            </w:r>
          </w:p>
          <w:p w14:paraId="34F73D1B" w14:textId="0FD8C6E3" w:rsidR="00453DCC" w:rsidRPr="00EB31F2" w:rsidRDefault="00453DCC" w:rsidP="009D4C56">
            <w:pPr>
              <w:keepNext/>
              <w:spacing w:line="247" w:lineRule="auto"/>
              <w:jc w:val="left"/>
              <w:rPr>
                <w:rFonts w:ascii="Arial Narrow" w:hAnsi="Arial Narrow" w:cs="Calibri"/>
                <w:color w:val="FF0000"/>
                <w:sz w:val="20"/>
                <w:szCs w:val="20"/>
              </w:rPr>
            </w:pPr>
            <w:r w:rsidRPr="00EB31F2">
              <w:rPr>
                <w:rFonts w:ascii="Arial Narrow" w:hAnsi="Arial Narrow" w:cs="Calibri"/>
                <w:sz w:val="20"/>
                <w:szCs w:val="20"/>
              </w:rPr>
              <w:t xml:space="preserve">-Prospection report for GSK (from 10% PBS sample) </w:t>
            </w:r>
          </w:p>
        </w:tc>
        <w:tc>
          <w:tcPr>
            <w:tcW w:w="389" w:type="pct"/>
            <w:vAlign w:val="center"/>
          </w:tcPr>
          <w:p w14:paraId="0BEFF27A" w14:textId="227B7267" w:rsidR="00453DCC" w:rsidRPr="004266CA" w:rsidRDefault="00864502" w:rsidP="009D4C56">
            <w:pPr>
              <w:keepNext/>
              <w:spacing w:line="247" w:lineRule="auto"/>
              <w:jc w:val="center"/>
              <w:rPr>
                <w:rFonts w:ascii="Arial Narrow" w:hAnsi="Arial Narrow" w:cs="Calibri"/>
                <w:color w:val="FF0000"/>
                <w:sz w:val="20"/>
                <w:szCs w:val="20"/>
                <w:vertAlign w:val="superscript"/>
              </w:rPr>
            </w:pPr>
            <w:r w:rsidRPr="00864502">
              <w:rPr>
                <w:rFonts w:ascii="Arial Narrow" w:hAnsi="Arial Narrow" w:cs="Calibri"/>
                <w:color w:val="000000"/>
                <w:spacing w:val="49"/>
                <w:sz w:val="20"/>
                <w:szCs w:val="20"/>
                <w:shd w:val="solid" w:color="000000" w:fill="000000"/>
                <w:fitText w:val="319" w:id="-961874176"/>
                <w14:textFill>
                  <w14:solidFill>
                    <w14:srgbClr w14:val="000000">
                      <w14:alpha w14:val="100000"/>
                    </w14:srgbClr>
                  </w14:solidFill>
                </w14:textFill>
              </w:rPr>
              <w:t>|||</w:t>
            </w:r>
            <w:r w:rsidRPr="00864502">
              <w:rPr>
                <w:rFonts w:ascii="Arial Narrow" w:hAnsi="Arial Narrow" w:cs="Calibri"/>
                <w:color w:val="000000"/>
                <w:spacing w:val="2"/>
                <w:sz w:val="20"/>
                <w:szCs w:val="20"/>
                <w:shd w:val="solid" w:color="000000" w:fill="000000"/>
                <w:fitText w:val="319" w:id="-961874176"/>
                <w14:textFill>
                  <w14:solidFill>
                    <w14:srgbClr w14:val="000000">
                      <w14:alpha w14:val="100000"/>
                    </w14:srgbClr>
                  </w14:solidFill>
                </w14:textFill>
              </w:rPr>
              <w:t>|</w:t>
            </w:r>
            <w:r w:rsidR="00EF08D5">
              <w:rPr>
                <w:rFonts w:ascii="Arial Narrow" w:hAnsi="Arial Narrow" w:cs="Calibri"/>
                <w:color w:val="000000"/>
                <w:sz w:val="20"/>
                <w:szCs w:val="20"/>
                <w:vertAlign w:val="superscript"/>
              </w:rPr>
              <w:t>1</w:t>
            </w:r>
          </w:p>
        </w:tc>
        <w:tc>
          <w:tcPr>
            <w:tcW w:w="389" w:type="pct"/>
            <w:vAlign w:val="center"/>
          </w:tcPr>
          <w:p w14:paraId="0F35F89B" w14:textId="5FC081DC" w:rsidR="00453DCC" w:rsidRPr="00B166BA" w:rsidRDefault="00864502" w:rsidP="009D4C56">
            <w:pPr>
              <w:keepNext/>
              <w:spacing w:line="247" w:lineRule="auto"/>
              <w:jc w:val="center"/>
              <w:rPr>
                <w:rFonts w:ascii="Arial Narrow" w:hAnsi="Arial Narrow" w:cs="Calibri"/>
                <w:color w:val="FF0000"/>
                <w:sz w:val="20"/>
                <w:szCs w:val="20"/>
                <w:vertAlign w:val="superscript"/>
              </w:rPr>
            </w:pPr>
            <w:r w:rsidRPr="00864502">
              <w:rPr>
                <w:rFonts w:ascii="Arial Narrow" w:hAnsi="Arial Narrow" w:cs="Calibri"/>
                <w:color w:val="000000"/>
                <w:spacing w:val="49"/>
                <w:sz w:val="20"/>
                <w:szCs w:val="20"/>
                <w:shd w:val="solid" w:color="000000" w:fill="000000"/>
                <w:fitText w:val="319" w:id="-961874175"/>
                <w14:textFill>
                  <w14:solidFill>
                    <w14:srgbClr w14:val="000000">
                      <w14:alpha w14:val="100000"/>
                    </w14:srgbClr>
                  </w14:solidFill>
                </w14:textFill>
              </w:rPr>
              <w:t>|||</w:t>
            </w:r>
            <w:r w:rsidRPr="00864502">
              <w:rPr>
                <w:rFonts w:ascii="Arial Narrow" w:hAnsi="Arial Narrow" w:cs="Calibri"/>
                <w:color w:val="000000"/>
                <w:spacing w:val="2"/>
                <w:sz w:val="20"/>
                <w:szCs w:val="20"/>
                <w:shd w:val="solid" w:color="000000" w:fill="000000"/>
                <w:fitText w:val="319" w:id="-961874175"/>
                <w14:textFill>
                  <w14:solidFill>
                    <w14:srgbClr w14:val="000000">
                      <w14:alpha w14:val="100000"/>
                    </w14:srgbClr>
                  </w14:solidFill>
                </w14:textFill>
              </w:rPr>
              <w:t>|</w:t>
            </w:r>
            <w:r w:rsidR="00EF08D5">
              <w:rPr>
                <w:rFonts w:ascii="Arial Narrow" w:hAnsi="Arial Narrow" w:cs="Calibri"/>
                <w:color w:val="000000"/>
                <w:sz w:val="20"/>
                <w:szCs w:val="20"/>
                <w:vertAlign w:val="superscript"/>
              </w:rPr>
              <w:t>2</w:t>
            </w:r>
          </w:p>
        </w:tc>
        <w:tc>
          <w:tcPr>
            <w:tcW w:w="389" w:type="pct"/>
            <w:vAlign w:val="center"/>
          </w:tcPr>
          <w:p w14:paraId="248F1453" w14:textId="5F08A2C0" w:rsidR="00453DCC" w:rsidRPr="00B166BA" w:rsidRDefault="00864502" w:rsidP="009D4C56">
            <w:pPr>
              <w:keepNext/>
              <w:spacing w:line="247" w:lineRule="auto"/>
              <w:jc w:val="center"/>
              <w:rPr>
                <w:rFonts w:ascii="Arial Narrow" w:hAnsi="Arial Narrow" w:cs="Calibri"/>
                <w:color w:val="FF0000"/>
                <w:sz w:val="20"/>
                <w:szCs w:val="20"/>
                <w:vertAlign w:val="superscript"/>
              </w:rPr>
            </w:pPr>
            <w:r w:rsidRPr="00864502">
              <w:rPr>
                <w:rFonts w:ascii="Arial Narrow" w:hAnsi="Arial Narrow" w:cs="Calibri"/>
                <w:color w:val="000000"/>
                <w:spacing w:val="49"/>
                <w:sz w:val="20"/>
                <w:szCs w:val="20"/>
                <w:shd w:val="solid" w:color="000000" w:fill="000000"/>
                <w:fitText w:val="319" w:id="-961874174"/>
                <w14:textFill>
                  <w14:solidFill>
                    <w14:srgbClr w14:val="000000">
                      <w14:alpha w14:val="100000"/>
                    </w14:srgbClr>
                  </w14:solidFill>
                </w14:textFill>
              </w:rPr>
              <w:t>|||</w:t>
            </w:r>
            <w:r w:rsidRPr="00864502">
              <w:rPr>
                <w:rFonts w:ascii="Arial Narrow" w:hAnsi="Arial Narrow" w:cs="Calibri"/>
                <w:color w:val="000000"/>
                <w:spacing w:val="2"/>
                <w:sz w:val="20"/>
                <w:szCs w:val="20"/>
                <w:shd w:val="solid" w:color="000000" w:fill="000000"/>
                <w:fitText w:val="319" w:id="-961874174"/>
                <w14:textFill>
                  <w14:solidFill>
                    <w14:srgbClr w14:val="000000">
                      <w14:alpha w14:val="100000"/>
                    </w14:srgbClr>
                  </w14:solidFill>
                </w14:textFill>
              </w:rPr>
              <w:t>|</w:t>
            </w:r>
            <w:r w:rsidR="00EF08D5">
              <w:rPr>
                <w:rFonts w:ascii="Arial Narrow" w:hAnsi="Arial Narrow" w:cs="Calibri"/>
                <w:color w:val="000000"/>
                <w:sz w:val="20"/>
                <w:szCs w:val="20"/>
                <w:vertAlign w:val="superscript"/>
              </w:rPr>
              <w:t>2</w:t>
            </w:r>
          </w:p>
        </w:tc>
        <w:tc>
          <w:tcPr>
            <w:tcW w:w="389" w:type="pct"/>
            <w:vAlign w:val="center"/>
          </w:tcPr>
          <w:p w14:paraId="200B689B" w14:textId="0C267FE3" w:rsidR="00453DCC" w:rsidRPr="00B166BA" w:rsidRDefault="00864502" w:rsidP="009D4C56">
            <w:pPr>
              <w:keepNext/>
              <w:spacing w:line="247" w:lineRule="auto"/>
              <w:jc w:val="center"/>
              <w:rPr>
                <w:rFonts w:ascii="Arial Narrow" w:hAnsi="Arial Narrow" w:cs="Calibri"/>
                <w:color w:val="FF0000"/>
                <w:sz w:val="20"/>
                <w:szCs w:val="20"/>
                <w:vertAlign w:val="superscript"/>
              </w:rPr>
            </w:pPr>
            <w:r w:rsidRPr="00864502">
              <w:rPr>
                <w:rFonts w:ascii="Arial Narrow" w:hAnsi="Arial Narrow" w:cs="Calibri"/>
                <w:color w:val="000000"/>
                <w:spacing w:val="49"/>
                <w:sz w:val="20"/>
                <w:szCs w:val="20"/>
                <w:shd w:val="solid" w:color="000000" w:fill="000000"/>
                <w:fitText w:val="319" w:id="-961874173"/>
                <w14:textFill>
                  <w14:solidFill>
                    <w14:srgbClr w14:val="000000">
                      <w14:alpha w14:val="100000"/>
                    </w14:srgbClr>
                  </w14:solidFill>
                </w14:textFill>
              </w:rPr>
              <w:t>|||</w:t>
            </w:r>
            <w:r w:rsidRPr="00864502">
              <w:rPr>
                <w:rFonts w:ascii="Arial Narrow" w:hAnsi="Arial Narrow" w:cs="Calibri"/>
                <w:color w:val="000000"/>
                <w:spacing w:val="2"/>
                <w:sz w:val="20"/>
                <w:szCs w:val="20"/>
                <w:shd w:val="solid" w:color="000000" w:fill="000000"/>
                <w:fitText w:val="319" w:id="-961874173"/>
                <w14:textFill>
                  <w14:solidFill>
                    <w14:srgbClr w14:val="000000">
                      <w14:alpha w14:val="100000"/>
                    </w14:srgbClr>
                  </w14:solidFill>
                </w14:textFill>
              </w:rPr>
              <w:t>|</w:t>
            </w:r>
            <w:r w:rsidR="00EF08D5">
              <w:rPr>
                <w:rFonts w:ascii="Arial Narrow" w:hAnsi="Arial Narrow" w:cs="Calibri"/>
                <w:color w:val="000000"/>
                <w:sz w:val="20"/>
                <w:szCs w:val="20"/>
                <w:vertAlign w:val="superscript"/>
              </w:rPr>
              <w:t>2</w:t>
            </w:r>
          </w:p>
        </w:tc>
        <w:tc>
          <w:tcPr>
            <w:tcW w:w="389" w:type="pct"/>
            <w:vAlign w:val="center"/>
          </w:tcPr>
          <w:p w14:paraId="70B8BB7A" w14:textId="0C39FF34" w:rsidR="00453DCC" w:rsidRPr="00B166BA" w:rsidRDefault="00864502" w:rsidP="009D4C56">
            <w:pPr>
              <w:keepNext/>
              <w:spacing w:line="247" w:lineRule="auto"/>
              <w:jc w:val="center"/>
              <w:rPr>
                <w:rFonts w:ascii="Arial Narrow" w:hAnsi="Arial Narrow" w:cs="Calibri"/>
                <w:color w:val="FF0000"/>
                <w:sz w:val="20"/>
                <w:szCs w:val="20"/>
                <w:vertAlign w:val="superscript"/>
              </w:rPr>
            </w:pPr>
            <w:r w:rsidRPr="00864502">
              <w:rPr>
                <w:rFonts w:ascii="Arial Narrow" w:hAnsi="Arial Narrow" w:cs="Calibri"/>
                <w:color w:val="000000"/>
                <w:spacing w:val="49"/>
                <w:sz w:val="20"/>
                <w:szCs w:val="20"/>
                <w:shd w:val="solid" w:color="000000" w:fill="000000"/>
                <w:fitText w:val="319" w:id="-961874172"/>
                <w14:textFill>
                  <w14:solidFill>
                    <w14:srgbClr w14:val="000000">
                      <w14:alpha w14:val="100000"/>
                    </w14:srgbClr>
                  </w14:solidFill>
                </w14:textFill>
              </w:rPr>
              <w:t>|||</w:t>
            </w:r>
            <w:r w:rsidRPr="00864502">
              <w:rPr>
                <w:rFonts w:ascii="Arial Narrow" w:hAnsi="Arial Narrow" w:cs="Calibri"/>
                <w:color w:val="000000"/>
                <w:spacing w:val="2"/>
                <w:sz w:val="20"/>
                <w:szCs w:val="20"/>
                <w:shd w:val="solid" w:color="000000" w:fill="000000"/>
                <w:fitText w:val="319" w:id="-961874172"/>
                <w14:textFill>
                  <w14:solidFill>
                    <w14:srgbClr w14:val="000000">
                      <w14:alpha w14:val="100000"/>
                    </w14:srgbClr>
                  </w14:solidFill>
                </w14:textFill>
              </w:rPr>
              <w:t>|</w:t>
            </w:r>
            <w:r w:rsidR="00EF08D5">
              <w:rPr>
                <w:rFonts w:ascii="Arial Narrow" w:hAnsi="Arial Narrow" w:cs="Calibri"/>
                <w:color w:val="000000"/>
                <w:sz w:val="20"/>
                <w:szCs w:val="20"/>
                <w:vertAlign w:val="superscript"/>
              </w:rPr>
              <w:t>2</w:t>
            </w:r>
          </w:p>
        </w:tc>
        <w:tc>
          <w:tcPr>
            <w:tcW w:w="389" w:type="pct"/>
            <w:vAlign w:val="center"/>
          </w:tcPr>
          <w:p w14:paraId="79FD27DC" w14:textId="1318357E" w:rsidR="00453DCC" w:rsidRPr="00B166BA" w:rsidRDefault="00864502" w:rsidP="009D4C56">
            <w:pPr>
              <w:keepNext/>
              <w:spacing w:line="247" w:lineRule="auto"/>
              <w:jc w:val="center"/>
              <w:rPr>
                <w:rFonts w:ascii="Arial Narrow" w:hAnsi="Arial Narrow" w:cs="Calibri"/>
                <w:color w:val="000000"/>
                <w:sz w:val="20"/>
                <w:szCs w:val="20"/>
                <w:vertAlign w:val="superscript"/>
              </w:rPr>
            </w:pPr>
            <w:r w:rsidRPr="00864502">
              <w:rPr>
                <w:rFonts w:ascii="Arial Narrow" w:hAnsi="Arial Narrow" w:cs="Calibri"/>
                <w:color w:val="000000"/>
                <w:spacing w:val="49"/>
                <w:sz w:val="20"/>
                <w:szCs w:val="20"/>
                <w:shd w:val="solid" w:color="000000" w:fill="000000"/>
                <w:fitText w:val="319" w:id="-961874171"/>
                <w14:textFill>
                  <w14:solidFill>
                    <w14:srgbClr w14:val="000000">
                      <w14:alpha w14:val="100000"/>
                    </w14:srgbClr>
                  </w14:solidFill>
                </w14:textFill>
              </w:rPr>
              <w:t>|||</w:t>
            </w:r>
            <w:r w:rsidRPr="00864502">
              <w:rPr>
                <w:rFonts w:ascii="Arial Narrow" w:hAnsi="Arial Narrow" w:cs="Calibri"/>
                <w:color w:val="000000"/>
                <w:spacing w:val="2"/>
                <w:sz w:val="20"/>
                <w:szCs w:val="20"/>
                <w:shd w:val="solid" w:color="000000" w:fill="000000"/>
                <w:fitText w:val="319" w:id="-961874171"/>
                <w14:textFill>
                  <w14:solidFill>
                    <w14:srgbClr w14:val="000000">
                      <w14:alpha w14:val="100000"/>
                    </w14:srgbClr>
                  </w14:solidFill>
                </w14:textFill>
              </w:rPr>
              <w:t>|</w:t>
            </w:r>
            <w:r w:rsidR="00EF08D5">
              <w:rPr>
                <w:rFonts w:ascii="Arial Narrow" w:hAnsi="Arial Narrow" w:cs="Calibri"/>
                <w:color w:val="000000"/>
                <w:sz w:val="20"/>
                <w:szCs w:val="20"/>
                <w:vertAlign w:val="superscript"/>
              </w:rPr>
              <w:t>2</w:t>
            </w:r>
          </w:p>
        </w:tc>
      </w:tr>
      <w:tr w:rsidR="00A61BF3" w:rsidRPr="00EB31F2" w14:paraId="2CFBC430" w14:textId="77777777" w:rsidTr="00A61BF3">
        <w:tc>
          <w:tcPr>
            <w:tcW w:w="2665" w:type="pct"/>
            <w:vAlign w:val="bottom"/>
          </w:tcPr>
          <w:p w14:paraId="13265FC1" w14:textId="77777777" w:rsidR="00453DCC" w:rsidRPr="00EB31F2" w:rsidRDefault="00453DCC" w:rsidP="009D4C56">
            <w:pPr>
              <w:keepNext/>
              <w:spacing w:line="247" w:lineRule="auto"/>
              <w:jc w:val="left"/>
              <w:rPr>
                <w:rFonts w:ascii="Arial Narrow" w:hAnsi="Arial Narrow" w:cs="Calibri"/>
                <w:sz w:val="20"/>
                <w:szCs w:val="20"/>
              </w:rPr>
            </w:pPr>
            <w:r w:rsidRPr="00EB31F2">
              <w:rPr>
                <w:rFonts w:ascii="Arial Narrow" w:hAnsi="Arial Narrow" w:cs="Calibri"/>
                <w:sz w:val="20"/>
                <w:szCs w:val="20"/>
              </w:rPr>
              <w:t xml:space="preserve">Patients on anti-IL5 treatment (for uncontrolled severe asthma) </w:t>
            </w:r>
          </w:p>
          <w:p w14:paraId="42343A91" w14:textId="0B63C5CA" w:rsidR="00453DCC" w:rsidRPr="00EB31F2" w:rsidRDefault="00453DCC" w:rsidP="009D4C56">
            <w:pPr>
              <w:keepNext/>
              <w:spacing w:line="247" w:lineRule="auto"/>
              <w:jc w:val="left"/>
              <w:rPr>
                <w:rFonts w:ascii="Arial Narrow" w:hAnsi="Arial Narrow" w:cs="Calibri"/>
                <w:sz w:val="20"/>
                <w:szCs w:val="20"/>
              </w:rPr>
            </w:pPr>
            <w:r w:rsidRPr="00EB31F2">
              <w:rPr>
                <w:rFonts w:ascii="Arial Narrow" w:hAnsi="Arial Narrow" w:cs="Calibri"/>
                <w:sz w:val="20"/>
                <w:szCs w:val="20"/>
              </w:rPr>
              <w:t>-Prospection report for GSK (from 10% PBS sample)</w:t>
            </w:r>
          </w:p>
        </w:tc>
        <w:tc>
          <w:tcPr>
            <w:tcW w:w="389" w:type="pct"/>
            <w:vAlign w:val="center"/>
          </w:tcPr>
          <w:p w14:paraId="68B7A324" w14:textId="0339BF34" w:rsidR="00453DCC" w:rsidRPr="00B166BA" w:rsidRDefault="00864502" w:rsidP="009D4C56">
            <w:pPr>
              <w:keepNext/>
              <w:spacing w:line="247" w:lineRule="auto"/>
              <w:jc w:val="center"/>
              <w:rPr>
                <w:rFonts w:ascii="Arial Narrow" w:hAnsi="Arial Narrow" w:cs="Calibri"/>
                <w:color w:val="000000"/>
                <w:sz w:val="20"/>
                <w:szCs w:val="20"/>
                <w:vertAlign w:val="superscript"/>
              </w:rPr>
            </w:pPr>
            <w:r w:rsidRPr="00864502">
              <w:rPr>
                <w:rFonts w:ascii="Arial Narrow" w:hAnsi="Arial Narrow" w:cs="Calibri"/>
                <w:color w:val="000000"/>
                <w:spacing w:val="49"/>
                <w:sz w:val="20"/>
                <w:szCs w:val="20"/>
                <w:shd w:val="solid" w:color="000000" w:fill="000000"/>
                <w:fitText w:val="319" w:id="-961874170"/>
                <w14:textFill>
                  <w14:solidFill>
                    <w14:srgbClr w14:val="000000">
                      <w14:alpha w14:val="100000"/>
                    </w14:srgbClr>
                  </w14:solidFill>
                </w14:textFill>
              </w:rPr>
              <w:t>|||</w:t>
            </w:r>
            <w:r w:rsidRPr="00864502">
              <w:rPr>
                <w:rFonts w:ascii="Arial Narrow" w:hAnsi="Arial Narrow" w:cs="Calibri"/>
                <w:color w:val="000000"/>
                <w:spacing w:val="2"/>
                <w:sz w:val="20"/>
                <w:szCs w:val="20"/>
                <w:shd w:val="solid" w:color="000000" w:fill="000000"/>
                <w:fitText w:val="319" w:id="-961874170"/>
                <w14:textFill>
                  <w14:solidFill>
                    <w14:srgbClr w14:val="000000">
                      <w14:alpha w14:val="100000"/>
                    </w14:srgbClr>
                  </w14:solidFill>
                </w14:textFill>
              </w:rPr>
              <w:t>|</w:t>
            </w:r>
            <w:r w:rsidR="00EF08D5">
              <w:rPr>
                <w:rFonts w:ascii="Arial Narrow" w:hAnsi="Arial Narrow" w:cs="Calibri"/>
                <w:color w:val="000000"/>
                <w:sz w:val="20"/>
                <w:szCs w:val="20"/>
                <w:vertAlign w:val="superscript"/>
              </w:rPr>
              <w:t>1</w:t>
            </w:r>
          </w:p>
        </w:tc>
        <w:tc>
          <w:tcPr>
            <w:tcW w:w="389" w:type="pct"/>
            <w:vAlign w:val="center"/>
          </w:tcPr>
          <w:p w14:paraId="67FA8D71" w14:textId="51134715" w:rsidR="00453DCC" w:rsidRPr="00B166BA" w:rsidRDefault="00864502" w:rsidP="009D4C56">
            <w:pPr>
              <w:keepNext/>
              <w:spacing w:line="247" w:lineRule="auto"/>
              <w:jc w:val="center"/>
              <w:rPr>
                <w:rFonts w:ascii="Arial Narrow" w:hAnsi="Arial Narrow" w:cs="Calibri"/>
                <w:color w:val="000000"/>
                <w:sz w:val="20"/>
                <w:szCs w:val="20"/>
                <w:vertAlign w:val="superscript"/>
              </w:rPr>
            </w:pPr>
            <w:r w:rsidRPr="00864502">
              <w:rPr>
                <w:rFonts w:ascii="Arial Narrow" w:hAnsi="Arial Narrow" w:cs="Calibri"/>
                <w:color w:val="000000"/>
                <w:spacing w:val="49"/>
                <w:sz w:val="20"/>
                <w:szCs w:val="20"/>
                <w:shd w:val="solid" w:color="000000" w:fill="000000"/>
                <w:fitText w:val="319" w:id="-961874169"/>
                <w14:textFill>
                  <w14:solidFill>
                    <w14:srgbClr w14:val="000000">
                      <w14:alpha w14:val="100000"/>
                    </w14:srgbClr>
                  </w14:solidFill>
                </w14:textFill>
              </w:rPr>
              <w:t>|||</w:t>
            </w:r>
            <w:r w:rsidRPr="00864502">
              <w:rPr>
                <w:rFonts w:ascii="Arial Narrow" w:hAnsi="Arial Narrow" w:cs="Calibri"/>
                <w:color w:val="000000"/>
                <w:spacing w:val="2"/>
                <w:sz w:val="20"/>
                <w:szCs w:val="20"/>
                <w:shd w:val="solid" w:color="000000" w:fill="000000"/>
                <w:fitText w:val="319" w:id="-961874169"/>
                <w14:textFill>
                  <w14:solidFill>
                    <w14:srgbClr w14:val="000000">
                      <w14:alpha w14:val="100000"/>
                    </w14:srgbClr>
                  </w14:solidFill>
                </w14:textFill>
              </w:rPr>
              <w:t>|</w:t>
            </w:r>
            <w:r w:rsidR="00EF08D5">
              <w:rPr>
                <w:rFonts w:ascii="Arial Narrow" w:hAnsi="Arial Narrow" w:cs="Calibri"/>
                <w:color w:val="000000"/>
                <w:sz w:val="20"/>
                <w:szCs w:val="20"/>
                <w:vertAlign w:val="superscript"/>
              </w:rPr>
              <w:t>2</w:t>
            </w:r>
          </w:p>
        </w:tc>
        <w:tc>
          <w:tcPr>
            <w:tcW w:w="389" w:type="pct"/>
            <w:vAlign w:val="center"/>
          </w:tcPr>
          <w:p w14:paraId="12112170" w14:textId="6ADB3D85" w:rsidR="00453DCC" w:rsidRPr="00B166BA" w:rsidRDefault="00864502" w:rsidP="009D4C56">
            <w:pPr>
              <w:keepNext/>
              <w:spacing w:line="247" w:lineRule="auto"/>
              <w:jc w:val="center"/>
              <w:rPr>
                <w:rFonts w:ascii="Arial Narrow" w:hAnsi="Arial Narrow" w:cs="Calibri"/>
                <w:color w:val="000000"/>
                <w:sz w:val="20"/>
                <w:szCs w:val="20"/>
                <w:vertAlign w:val="superscript"/>
              </w:rPr>
            </w:pPr>
            <w:r w:rsidRPr="00864502">
              <w:rPr>
                <w:rFonts w:ascii="Arial Narrow" w:hAnsi="Arial Narrow" w:cs="Calibri"/>
                <w:color w:val="000000"/>
                <w:spacing w:val="49"/>
                <w:sz w:val="20"/>
                <w:szCs w:val="20"/>
                <w:shd w:val="solid" w:color="000000" w:fill="000000"/>
                <w:fitText w:val="319" w:id="-961874168"/>
                <w14:textFill>
                  <w14:solidFill>
                    <w14:srgbClr w14:val="000000">
                      <w14:alpha w14:val="100000"/>
                    </w14:srgbClr>
                  </w14:solidFill>
                </w14:textFill>
              </w:rPr>
              <w:t>|||</w:t>
            </w:r>
            <w:r w:rsidRPr="00864502">
              <w:rPr>
                <w:rFonts w:ascii="Arial Narrow" w:hAnsi="Arial Narrow" w:cs="Calibri"/>
                <w:color w:val="000000"/>
                <w:spacing w:val="2"/>
                <w:sz w:val="20"/>
                <w:szCs w:val="20"/>
                <w:shd w:val="solid" w:color="000000" w:fill="000000"/>
                <w:fitText w:val="319" w:id="-961874168"/>
                <w14:textFill>
                  <w14:solidFill>
                    <w14:srgbClr w14:val="000000">
                      <w14:alpha w14:val="100000"/>
                    </w14:srgbClr>
                  </w14:solidFill>
                </w14:textFill>
              </w:rPr>
              <w:t>|</w:t>
            </w:r>
            <w:r w:rsidR="00EF08D5">
              <w:rPr>
                <w:rFonts w:ascii="Arial Narrow" w:hAnsi="Arial Narrow" w:cs="Calibri"/>
                <w:color w:val="000000"/>
                <w:sz w:val="20"/>
                <w:szCs w:val="20"/>
                <w:vertAlign w:val="superscript"/>
              </w:rPr>
              <w:t>2</w:t>
            </w:r>
          </w:p>
        </w:tc>
        <w:tc>
          <w:tcPr>
            <w:tcW w:w="389" w:type="pct"/>
            <w:vAlign w:val="center"/>
          </w:tcPr>
          <w:p w14:paraId="363C830E" w14:textId="1964BDAD" w:rsidR="00453DCC" w:rsidRPr="00B166BA" w:rsidRDefault="00864502" w:rsidP="009D4C56">
            <w:pPr>
              <w:keepNext/>
              <w:spacing w:line="247" w:lineRule="auto"/>
              <w:jc w:val="center"/>
              <w:rPr>
                <w:rFonts w:ascii="Arial Narrow" w:hAnsi="Arial Narrow" w:cs="Calibri"/>
                <w:color w:val="000000"/>
                <w:sz w:val="20"/>
                <w:szCs w:val="20"/>
                <w:vertAlign w:val="superscript"/>
              </w:rPr>
            </w:pPr>
            <w:r w:rsidRPr="00864502">
              <w:rPr>
                <w:rFonts w:ascii="Arial Narrow" w:hAnsi="Arial Narrow" w:cs="Calibri"/>
                <w:color w:val="000000"/>
                <w:spacing w:val="49"/>
                <w:sz w:val="20"/>
                <w:szCs w:val="20"/>
                <w:shd w:val="solid" w:color="000000" w:fill="000000"/>
                <w:fitText w:val="319" w:id="-961874167"/>
                <w14:textFill>
                  <w14:solidFill>
                    <w14:srgbClr w14:val="000000">
                      <w14:alpha w14:val="100000"/>
                    </w14:srgbClr>
                  </w14:solidFill>
                </w14:textFill>
              </w:rPr>
              <w:t>|||</w:t>
            </w:r>
            <w:r w:rsidRPr="00864502">
              <w:rPr>
                <w:rFonts w:ascii="Arial Narrow" w:hAnsi="Arial Narrow" w:cs="Calibri"/>
                <w:color w:val="000000"/>
                <w:spacing w:val="2"/>
                <w:sz w:val="20"/>
                <w:szCs w:val="20"/>
                <w:shd w:val="solid" w:color="000000" w:fill="000000"/>
                <w:fitText w:val="319" w:id="-961874167"/>
                <w14:textFill>
                  <w14:solidFill>
                    <w14:srgbClr w14:val="000000">
                      <w14:alpha w14:val="100000"/>
                    </w14:srgbClr>
                  </w14:solidFill>
                </w14:textFill>
              </w:rPr>
              <w:t>|</w:t>
            </w:r>
            <w:r w:rsidR="00EF08D5">
              <w:rPr>
                <w:rFonts w:ascii="Arial Narrow" w:hAnsi="Arial Narrow" w:cs="Calibri"/>
                <w:color w:val="000000"/>
                <w:sz w:val="20"/>
                <w:szCs w:val="20"/>
                <w:vertAlign w:val="superscript"/>
              </w:rPr>
              <w:t>2</w:t>
            </w:r>
          </w:p>
        </w:tc>
        <w:tc>
          <w:tcPr>
            <w:tcW w:w="389" w:type="pct"/>
            <w:vAlign w:val="center"/>
          </w:tcPr>
          <w:p w14:paraId="4A7C80DC" w14:textId="017084BD" w:rsidR="00453DCC" w:rsidRPr="00B166BA" w:rsidRDefault="00864502" w:rsidP="009D4C56">
            <w:pPr>
              <w:keepNext/>
              <w:spacing w:line="247" w:lineRule="auto"/>
              <w:jc w:val="center"/>
              <w:rPr>
                <w:rFonts w:ascii="Arial Narrow" w:hAnsi="Arial Narrow" w:cs="Calibri"/>
                <w:color w:val="000000"/>
                <w:sz w:val="20"/>
                <w:szCs w:val="20"/>
                <w:vertAlign w:val="superscript"/>
              </w:rPr>
            </w:pPr>
            <w:r w:rsidRPr="00943326">
              <w:rPr>
                <w:rFonts w:ascii="Arial Narrow" w:hAnsi="Arial Narrow" w:cs="Calibri"/>
                <w:color w:val="000000"/>
                <w:spacing w:val="49"/>
                <w:sz w:val="20"/>
                <w:szCs w:val="20"/>
                <w:shd w:val="solid" w:color="000000" w:fill="000000"/>
                <w:fitText w:val="319" w:id="-961874166"/>
                <w14:textFill>
                  <w14:solidFill>
                    <w14:srgbClr w14:val="000000">
                      <w14:alpha w14:val="100000"/>
                    </w14:srgbClr>
                  </w14:solidFill>
                </w14:textFill>
              </w:rPr>
              <w:t>|||</w:t>
            </w:r>
            <w:r w:rsidRPr="00943326">
              <w:rPr>
                <w:rFonts w:ascii="Arial Narrow" w:hAnsi="Arial Narrow" w:cs="Calibri"/>
                <w:color w:val="000000"/>
                <w:spacing w:val="2"/>
                <w:sz w:val="20"/>
                <w:szCs w:val="20"/>
                <w:shd w:val="solid" w:color="000000" w:fill="000000"/>
                <w:fitText w:val="319" w:id="-961874166"/>
                <w14:textFill>
                  <w14:solidFill>
                    <w14:srgbClr w14:val="000000">
                      <w14:alpha w14:val="100000"/>
                    </w14:srgbClr>
                  </w14:solidFill>
                </w14:textFill>
              </w:rPr>
              <w:t>|</w:t>
            </w:r>
            <w:r w:rsidR="00943326">
              <w:rPr>
                <w:rFonts w:ascii="Arial Narrow" w:hAnsi="Arial Narrow" w:cs="Calibri"/>
                <w:color w:val="000000"/>
                <w:sz w:val="20"/>
                <w:szCs w:val="20"/>
                <w:vertAlign w:val="superscript"/>
              </w:rPr>
              <w:t>3</w:t>
            </w:r>
          </w:p>
        </w:tc>
        <w:tc>
          <w:tcPr>
            <w:tcW w:w="389" w:type="pct"/>
            <w:vAlign w:val="center"/>
          </w:tcPr>
          <w:p w14:paraId="25684A6B" w14:textId="0444A535" w:rsidR="00453DCC" w:rsidRPr="00B166BA" w:rsidRDefault="00864502" w:rsidP="009D4C56">
            <w:pPr>
              <w:keepNext/>
              <w:spacing w:line="247" w:lineRule="auto"/>
              <w:jc w:val="center"/>
              <w:rPr>
                <w:rFonts w:ascii="Arial Narrow" w:hAnsi="Arial Narrow" w:cs="Calibri"/>
                <w:color w:val="000000"/>
                <w:sz w:val="20"/>
                <w:szCs w:val="20"/>
                <w:vertAlign w:val="superscript"/>
              </w:rPr>
            </w:pPr>
            <w:r w:rsidRPr="00864502">
              <w:rPr>
                <w:rFonts w:ascii="Arial Narrow" w:hAnsi="Arial Narrow" w:cs="Calibri"/>
                <w:color w:val="000000"/>
                <w:spacing w:val="49"/>
                <w:sz w:val="20"/>
                <w:szCs w:val="20"/>
                <w:shd w:val="solid" w:color="000000" w:fill="000000"/>
                <w:fitText w:val="319" w:id="-961874165"/>
                <w14:textFill>
                  <w14:solidFill>
                    <w14:srgbClr w14:val="000000">
                      <w14:alpha w14:val="100000"/>
                    </w14:srgbClr>
                  </w14:solidFill>
                </w14:textFill>
              </w:rPr>
              <w:t>|||</w:t>
            </w:r>
            <w:r w:rsidRPr="00864502">
              <w:rPr>
                <w:rFonts w:ascii="Arial Narrow" w:hAnsi="Arial Narrow" w:cs="Calibri"/>
                <w:color w:val="000000"/>
                <w:spacing w:val="2"/>
                <w:sz w:val="20"/>
                <w:szCs w:val="20"/>
                <w:shd w:val="solid" w:color="000000" w:fill="000000"/>
                <w:fitText w:val="319" w:id="-961874165"/>
                <w14:textFill>
                  <w14:solidFill>
                    <w14:srgbClr w14:val="000000">
                      <w14:alpha w14:val="100000"/>
                    </w14:srgbClr>
                  </w14:solidFill>
                </w14:textFill>
              </w:rPr>
              <w:t>|</w:t>
            </w:r>
            <w:r w:rsidR="00EF08D5">
              <w:rPr>
                <w:rFonts w:ascii="Arial Narrow" w:hAnsi="Arial Narrow" w:cs="Calibri"/>
                <w:color w:val="000000"/>
                <w:sz w:val="20"/>
                <w:szCs w:val="20"/>
                <w:vertAlign w:val="superscript"/>
              </w:rPr>
              <w:t>3</w:t>
            </w:r>
          </w:p>
        </w:tc>
      </w:tr>
    </w:tbl>
    <w:p w14:paraId="51A22CB2" w14:textId="77777777" w:rsidR="00453DCC" w:rsidRPr="00EB31F2" w:rsidRDefault="00453DCC" w:rsidP="009D4C56">
      <w:pPr>
        <w:pStyle w:val="Bodytextitalics"/>
        <w:keepNext/>
        <w:spacing w:after="0"/>
        <w:rPr>
          <w:rFonts w:ascii="Arial Narrow" w:hAnsi="Arial Narrow"/>
          <w:i w:val="0"/>
          <w:sz w:val="18"/>
          <w:szCs w:val="16"/>
        </w:rPr>
      </w:pPr>
      <w:r w:rsidRPr="00EB31F2">
        <w:rPr>
          <w:rFonts w:ascii="Arial Narrow" w:hAnsi="Arial Narrow"/>
          <w:i w:val="0"/>
          <w:sz w:val="18"/>
          <w:szCs w:val="16"/>
        </w:rPr>
        <w:t>Source: Submission main body p5 (Prospection, 2023)</w:t>
      </w:r>
    </w:p>
    <w:p w14:paraId="55997889" w14:textId="77777777" w:rsidR="00453DCC" w:rsidRDefault="00453DCC" w:rsidP="00943326">
      <w:pPr>
        <w:pStyle w:val="Bodytextitalics"/>
        <w:spacing w:after="0"/>
        <w:rPr>
          <w:rFonts w:ascii="Arial Narrow" w:hAnsi="Arial Narrow"/>
          <w:i w:val="0"/>
          <w:sz w:val="18"/>
          <w:szCs w:val="16"/>
        </w:rPr>
      </w:pPr>
      <w:r w:rsidRPr="00EB31F2">
        <w:rPr>
          <w:rFonts w:ascii="Arial Narrow" w:hAnsi="Arial Narrow"/>
          <w:i w:val="0"/>
          <w:sz w:val="18"/>
          <w:szCs w:val="16"/>
        </w:rPr>
        <w:t>Abbreviations: DUSC drug utilisation sub-committee; GSK glaxosmithkline; PRD prospection report drawing; PBS pharmaceutical benefits scheme; RPBS repatriation pharmaceutical benefits scheme</w:t>
      </w:r>
    </w:p>
    <w:p w14:paraId="255775FB" w14:textId="77777777" w:rsidR="00D36003" w:rsidRPr="00904D3D" w:rsidRDefault="00D36003" w:rsidP="00D36003">
      <w:pPr>
        <w:pStyle w:val="TableFigureFooter"/>
        <w:keepNext/>
        <w:jc w:val="left"/>
        <w:rPr>
          <w:i/>
          <w:iCs/>
        </w:rPr>
      </w:pPr>
      <w:r w:rsidRPr="00904D3D">
        <w:rPr>
          <w:i/>
          <w:iCs/>
        </w:rPr>
        <w:t>The redacted values correspond to the following ranges</w:t>
      </w:r>
    </w:p>
    <w:p w14:paraId="2755E717" w14:textId="21B4A358" w:rsidR="00D36003" w:rsidRPr="00904D3D" w:rsidRDefault="00D36003" w:rsidP="00D36003">
      <w:pPr>
        <w:pStyle w:val="TableFigureFooter"/>
        <w:keepNext/>
        <w:jc w:val="left"/>
        <w:rPr>
          <w:i/>
          <w:iCs/>
        </w:rPr>
      </w:pPr>
      <w:r w:rsidRPr="00904D3D">
        <w:rPr>
          <w:i/>
          <w:iCs/>
          <w:vertAlign w:val="superscript"/>
        </w:rPr>
        <w:t>1</w:t>
      </w:r>
      <w:r>
        <w:rPr>
          <w:i/>
          <w:iCs/>
        </w:rPr>
        <w:t>&lt;500</w:t>
      </w:r>
    </w:p>
    <w:p w14:paraId="258F2D15" w14:textId="61BED40A" w:rsidR="00D36003" w:rsidRPr="00904D3D" w:rsidRDefault="00D36003" w:rsidP="00D36003">
      <w:pPr>
        <w:pStyle w:val="TableFigureFooter"/>
        <w:keepNext/>
        <w:jc w:val="left"/>
        <w:rPr>
          <w:i/>
          <w:iCs/>
        </w:rPr>
      </w:pPr>
      <w:r w:rsidRPr="00904D3D">
        <w:rPr>
          <w:i/>
          <w:iCs/>
          <w:vertAlign w:val="superscript"/>
        </w:rPr>
        <w:t>2</w:t>
      </w:r>
      <w:r>
        <w:rPr>
          <w:i/>
          <w:iCs/>
          <w:vertAlign w:val="superscript"/>
        </w:rPr>
        <w:t xml:space="preserve"> </w:t>
      </w:r>
      <w:r w:rsidR="00FD73E2">
        <w:rPr>
          <w:i/>
          <w:iCs/>
        </w:rPr>
        <w:t xml:space="preserve">500 </w:t>
      </w:r>
      <w:r w:rsidR="00FD73E2" w:rsidRPr="00904D3D">
        <w:rPr>
          <w:i/>
          <w:iCs/>
        </w:rPr>
        <w:t>to</w:t>
      </w:r>
      <w:r w:rsidRPr="00904D3D">
        <w:rPr>
          <w:i/>
          <w:iCs/>
        </w:rPr>
        <w:t xml:space="preserve"> &lt;</w:t>
      </w:r>
      <w:r>
        <w:rPr>
          <w:i/>
          <w:iCs/>
        </w:rPr>
        <w:t xml:space="preserve"> 5,000</w:t>
      </w:r>
    </w:p>
    <w:p w14:paraId="01260D58" w14:textId="23C6DB60" w:rsidR="00D36003" w:rsidRPr="00943326" w:rsidRDefault="00D36003" w:rsidP="00943326">
      <w:pPr>
        <w:pStyle w:val="TableFigureFooter"/>
        <w:contextualSpacing w:val="0"/>
        <w:jc w:val="left"/>
        <w:rPr>
          <w:i/>
          <w:iCs/>
        </w:rPr>
      </w:pPr>
      <w:r w:rsidRPr="00904D3D">
        <w:rPr>
          <w:i/>
          <w:iCs/>
          <w:vertAlign w:val="superscript"/>
        </w:rPr>
        <w:t>3</w:t>
      </w:r>
      <w:r w:rsidRPr="00904D3D">
        <w:rPr>
          <w:i/>
          <w:iCs/>
        </w:rPr>
        <w:t xml:space="preserve"> </w:t>
      </w:r>
      <w:r>
        <w:rPr>
          <w:i/>
          <w:iCs/>
        </w:rPr>
        <w:t>5,000 to &lt;10,000</w:t>
      </w:r>
    </w:p>
    <w:p w14:paraId="7BB211BB" w14:textId="3C8085DF" w:rsidR="00453DCC" w:rsidRDefault="00453DCC" w:rsidP="009D4C56">
      <w:pPr>
        <w:pStyle w:val="Caption"/>
        <w:keepNext/>
        <w:jc w:val="left"/>
        <w:rPr>
          <w:iCs w:val="0"/>
        </w:rPr>
      </w:pPr>
      <w:bookmarkStart w:id="16" w:name="_Ref157679094"/>
      <w:bookmarkEnd w:id="15"/>
      <w:r w:rsidRPr="00EB31F2">
        <w:rPr>
          <w:iCs w:val="0"/>
        </w:rPr>
        <w:lastRenderedPageBreak/>
        <w:t xml:space="preserve">Figure </w:t>
      </w:r>
      <w:r w:rsidR="0034515F" w:rsidRPr="00EB31F2">
        <w:rPr>
          <w:iCs w:val="0"/>
        </w:rPr>
        <w:fldChar w:fldCharType="begin" w:fldLock="1"/>
      </w:r>
      <w:r w:rsidR="0034515F" w:rsidRPr="00EB31F2">
        <w:rPr>
          <w:iCs w:val="0"/>
        </w:rPr>
        <w:instrText xml:space="preserve"> SEQ Figure \* ARABIC </w:instrText>
      </w:r>
      <w:r w:rsidR="0034515F" w:rsidRPr="00EB31F2">
        <w:rPr>
          <w:iCs w:val="0"/>
        </w:rPr>
        <w:fldChar w:fldCharType="separate"/>
      </w:r>
      <w:r w:rsidR="000A3CEA" w:rsidRPr="003D60FA">
        <w:rPr>
          <w:iCs w:val="0"/>
        </w:rPr>
        <w:t>3</w:t>
      </w:r>
      <w:r w:rsidR="0034515F" w:rsidRPr="00EB31F2">
        <w:rPr>
          <w:iCs w:val="0"/>
        </w:rPr>
        <w:fldChar w:fldCharType="end"/>
      </w:r>
      <w:bookmarkEnd w:id="16"/>
      <w:r w:rsidRPr="00EB31F2">
        <w:rPr>
          <w:iCs w:val="0"/>
        </w:rPr>
        <w:t>: PBS/RPBS Anti-IL5 initiation prescriptions</w:t>
      </w:r>
    </w:p>
    <w:p w14:paraId="22157415" w14:textId="325C8966" w:rsidR="0001131C" w:rsidRPr="0001131C" w:rsidRDefault="0001131C" w:rsidP="0001131C">
      <w:r>
        <w:rPr>
          <w:noProof/>
        </w:rPr>
        <w:drawing>
          <wp:inline distT="0" distB="0" distL="0" distR="0" wp14:anchorId="36ADE04E" wp14:editId="1F3E02B8">
            <wp:extent cx="5749290" cy="2590800"/>
            <wp:effectExtent l="0" t="0" r="3810" b="0"/>
            <wp:docPr id="1" name="Picture 1" descr="Figure 3: PBS/RPBS Anti-IL5 initiation prescri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3: PBS/RPBS Anti-IL5 initiation prescrip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9290" cy="2590800"/>
                    </a:xfrm>
                    <a:prstGeom prst="rect">
                      <a:avLst/>
                    </a:prstGeom>
                    <a:noFill/>
                  </pic:spPr>
                </pic:pic>
              </a:graphicData>
            </a:graphic>
          </wp:inline>
        </w:drawing>
      </w:r>
    </w:p>
    <w:p w14:paraId="546D7C1D" w14:textId="0220418C" w:rsidR="00453DCC" w:rsidRPr="00EB31F2" w:rsidRDefault="00453DCC" w:rsidP="009D4C56">
      <w:pPr>
        <w:keepNext/>
        <w:autoSpaceDE w:val="0"/>
        <w:autoSpaceDN w:val="0"/>
        <w:adjustRightInd w:val="0"/>
        <w:spacing w:after="120" w:line="247" w:lineRule="auto"/>
        <w:jc w:val="left"/>
        <w:rPr>
          <w:rFonts w:ascii="Arial Narrow" w:hAnsi="Arial Narrow"/>
          <w:sz w:val="20"/>
          <w:szCs w:val="20"/>
        </w:rPr>
      </w:pPr>
      <w:r w:rsidRPr="00EB31F2">
        <w:rPr>
          <w:rFonts w:ascii="Arial Narrow" w:hAnsi="Arial Narrow"/>
          <w:sz w:val="18"/>
          <w:szCs w:val="18"/>
        </w:rPr>
        <w:t>Source: Submission main body p6</w:t>
      </w:r>
    </w:p>
    <w:p w14:paraId="286A4492" w14:textId="19BB556A" w:rsidR="00195AC8" w:rsidRPr="00EB31F2" w:rsidRDefault="00195AC8" w:rsidP="009D4C56">
      <w:pPr>
        <w:pStyle w:val="3Bodytext"/>
        <w:keepNext/>
        <w:spacing w:before="120"/>
        <w:jc w:val="both"/>
      </w:pPr>
      <w:r w:rsidRPr="00EB31F2">
        <w:t>The submission claimed that the growth of anti-IL5 market is consistent and th</w:t>
      </w:r>
      <w:r w:rsidR="00AC5F29" w:rsidRPr="00EB31F2">
        <w:t>at</w:t>
      </w:r>
      <w:r w:rsidRPr="00EB31F2">
        <w:t xml:space="preserve"> patient numbers remain below the estimated number of </w:t>
      </w:r>
      <w:r w:rsidR="000A2F90" w:rsidRPr="00EB31F2">
        <w:t>uncontrolled severe asthma</w:t>
      </w:r>
      <w:r w:rsidRPr="00EB31F2">
        <w:t xml:space="preserve"> patients that may potentially benefit from mepolizumab treatment. The submission argued that</w:t>
      </w:r>
      <w:r w:rsidR="003B1FF5" w:rsidRPr="00EB31F2">
        <w:t>,</w:t>
      </w:r>
      <w:r w:rsidRPr="00EB31F2">
        <w:t xml:space="preserve"> given the eligibility criteria for initiation and continuation in the proposed restriction would remain the same, there is no indication that inappropriate prescribing of mepolizumab would eventuate. </w:t>
      </w:r>
    </w:p>
    <w:p w14:paraId="262A46AE" w14:textId="1157F58E" w:rsidR="0089480B" w:rsidRPr="00EB31F2" w:rsidRDefault="0089480B" w:rsidP="00B166BA">
      <w:pPr>
        <w:pStyle w:val="5-SubsectionSubheading"/>
        <w:spacing w:after="120"/>
        <w:rPr>
          <w:lang w:eastAsia="en-US"/>
        </w:rPr>
      </w:pPr>
      <w:r w:rsidRPr="00EB31F2">
        <w:rPr>
          <w:lang w:eastAsia="en-US"/>
        </w:rPr>
        <w:t>Moderate growth in continuing population</w:t>
      </w:r>
    </w:p>
    <w:p w14:paraId="56843E4F" w14:textId="20586F31" w:rsidR="00976803" w:rsidRPr="00EB31F2" w:rsidRDefault="00195AC8" w:rsidP="00976803">
      <w:pPr>
        <w:pStyle w:val="3Bodytext"/>
        <w:jc w:val="both"/>
      </w:pPr>
      <w:r w:rsidRPr="00EB31F2">
        <w:t xml:space="preserve">The submission stated that the moderate growth of mepolizumab in the </w:t>
      </w:r>
      <w:r w:rsidR="003B1FF5" w:rsidRPr="00EB31F2">
        <w:t xml:space="preserve">continuing </w:t>
      </w:r>
      <w:r w:rsidRPr="00EB31F2">
        <w:t xml:space="preserve">treatment </w:t>
      </w:r>
      <w:r w:rsidR="003B1FF5" w:rsidRPr="00EB31F2">
        <w:t xml:space="preserve">phase </w:t>
      </w:r>
      <w:r w:rsidRPr="00EB31F2">
        <w:t xml:space="preserve">is supported by long-term durability of response in clinical trials. The submission claimed that sustained efficacy of mepolizumab on asthma exacerbation rate, asthma control, lung function, OCS use and blood eosinophil count were evident from the Phase 3 placebo-controlled MENSA, SIRIUS and DREAM studies on patients treated with </w:t>
      </w:r>
      <w:r w:rsidR="00003485" w:rsidRPr="00EB31F2">
        <w:t>uncontrolled severe asthma</w:t>
      </w:r>
      <w:r w:rsidR="002722F7" w:rsidRPr="00EB31F2">
        <w:t xml:space="preserve">. </w:t>
      </w:r>
    </w:p>
    <w:p w14:paraId="0A85ADE1" w14:textId="1DA48094" w:rsidR="00195AC8" w:rsidRPr="00EB31F2" w:rsidRDefault="00976803" w:rsidP="00976803">
      <w:pPr>
        <w:pStyle w:val="3Bodytext"/>
        <w:jc w:val="both"/>
      </w:pPr>
      <w:r w:rsidRPr="00EB31F2">
        <w:t xml:space="preserve">The submission stated that the continuing prescriptions for the anti-IL5 agents showed a moderate growth of 16% in the FY2023 (as per </w:t>
      </w:r>
      <w:r w:rsidR="00010EB4" w:rsidRPr="00EB31F2">
        <w:fldChar w:fldCharType="begin" w:fldLock="1"/>
      </w:r>
      <w:r w:rsidR="00010EB4" w:rsidRPr="00EB31F2">
        <w:instrText xml:space="preserve"> REF _Ref157670984 \h </w:instrText>
      </w:r>
      <w:r w:rsidR="00116116" w:rsidRPr="00EB31F2">
        <w:instrText xml:space="preserve"> \* MERGEFORMAT </w:instrText>
      </w:r>
      <w:r w:rsidR="00010EB4" w:rsidRPr="00EB31F2">
        <w:fldChar w:fldCharType="separate"/>
      </w:r>
      <w:r w:rsidR="000A3CEA" w:rsidRPr="00EB31F2">
        <w:rPr>
          <w:szCs w:val="20"/>
        </w:rPr>
        <w:t xml:space="preserve">Table </w:t>
      </w:r>
      <w:r w:rsidR="00390189" w:rsidRPr="00EB31F2">
        <w:rPr>
          <w:szCs w:val="20"/>
        </w:rPr>
        <w:t>2</w:t>
      </w:r>
      <w:r w:rsidR="00010EB4" w:rsidRPr="00EB31F2">
        <w:fldChar w:fldCharType="end"/>
      </w:r>
      <w:r w:rsidRPr="00EB31F2">
        <w:t xml:space="preserve">). The submission claimed that the moderate growth of the continuation prescriptions (26% to 16% for anti-IL5’s for </w:t>
      </w:r>
      <w:r w:rsidR="00AC5F29" w:rsidRPr="00EB31F2">
        <w:t>uncontrolled severe asthma</w:t>
      </w:r>
      <w:r w:rsidRPr="00EB31F2">
        <w:t xml:space="preserve"> from FY 2022-2023), is not a function of 'inappropriate use' but of how utilisation has evolved based on clinical experience and long-term studies.</w:t>
      </w:r>
    </w:p>
    <w:p w14:paraId="72FCF1E4" w14:textId="43FC5141" w:rsidR="00195AC8" w:rsidRPr="00EB31F2" w:rsidRDefault="00195AC8" w:rsidP="00195AC8">
      <w:pPr>
        <w:pStyle w:val="3Bodytext"/>
        <w:spacing w:before="120"/>
        <w:jc w:val="both"/>
      </w:pPr>
      <w:r w:rsidRPr="00EB31F2">
        <w:t xml:space="preserve"> The submission noted that the PBS continuation response criteria remain relevant but claimed the current Authority Required (Written) is overly burdensome for clinicians and should be amended to Authority Required (</w:t>
      </w:r>
      <w:r w:rsidR="00CA2FA9" w:rsidRPr="00EB31F2">
        <w:t>STREAMLINED</w:t>
      </w:r>
      <w:r w:rsidRPr="00EB31F2">
        <w:t>)</w:t>
      </w:r>
      <w:r w:rsidRPr="00EB31F2">
        <w:rPr>
          <w:rFonts w:eastAsia="Yu Gothic Light" w:cs="Times New Roman"/>
        </w:rPr>
        <w:t>.</w:t>
      </w:r>
      <w:r w:rsidRPr="00EB31F2">
        <w:t xml:space="preserve"> </w:t>
      </w:r>
    </w:p>
    <w:p w14:paraId="4F288DBA" w14:textId="49E70C8C" w:rsidR="009D6F7B" w:rsidRPr="00EB31F2" w:rsidRDefault="009D6F7B" w:rsidP="007E28BA">
      <w:pPr>
        <w:pStyle w:val="3Bodytext"/>
        <w:jc w:val="both"/>
      </w:pPr>
      <w:r w:rsidRPr="00EB31F2">
        <w:t>As a category 3 submission, no evaluation of the clinical evidence was undertaken.</w:t>
      </w:r>
    </w:p>
    <w:p w14:paraId="61034F76" w14:textId="3E5FD701" w:rsidR="00957C11" w:rsidRPr="00EB31F2" w:rsidRDefault="00957C11" w:rsidP="00D70349">
      <w:pPr>
        <w:pStyle w:val="4-SubsectionHeading"/>
        <w:rPr>
          <w:lang w:eastAsia="en-US"/>
        </w:rPr>
      </w:pPr>
      <w:r w:rsidRPr="00EB31F2">
        <w:rPr>
          <w:lang w:eastAsia="en-US"/>
        </w:rPr>
        <w:lastRenderedPageBreak/>
        <w:t>Clinical criteria amendment</w:t>
      </w:r>
    </w:p>
    <w:p w14:paraId="4BEBB077" w14:textId="78C2878A" w:rsidR="00B13418" w:rsidRPr="00EB31F2" w:rsidRDefault="00E364BC" w:rsidP="007758BE">
      <w:pPr>
        <w:pStyle w:val="3Bodytext"/>
        <w:jc w:val="both"/>
        <w:rPr>
          <w:rFonts w:eastAsia="Times New Roman"/>
          <w:color w:val="222222"/>
          <w:szCs w:val="24"/>
        </w:rPr>
      </w:pPr>
      <w:r w:rsidRPr="00EB31F2">
        <w:rPr>
          <w:rFonts w:eastAsia="MS Gothic"/>
          <w:szCs w:val="24"/>
        </w:rPr>
        <w:t>The submission requested</w:t>
      </w:r>
      <w:r w:rsidR="007758BE" w:rsidRPr="00EB31F2">
        <w:rPr>
          <w:rFonts w:eastAsia="MS Gothic"/>
          <w:szCs w:val="24"/>
        </w:rPr>
        <w:t xml:space="preserve"> to</w:t>
      </w:r>
      <w:r w:rsidRPr="00EB31F2">
        <w:rPr>
          <w:rFonts w:eastAsia="MS Gothic"/>
          <w:szCs w:val="24"/>
        </w:rPr>
        <w:t xml:space="preserve"> </w:t>
      </w:r>
      <w:r w:rsidR="00025F1B" w:rsidRPr="00EB31F2">
        <w:rPr>
          <w:rFonts w:eastAsia="MS Gothic"/>
          <w:szCs w:val="24"/>
        </w:rPr>
        <w:t xml:space="preserve">remove </w:t>
      </w:r>
      <w:r w:rsidR="007758BE" w:rsidRPr="00EB31F2">
        <w:rPr>
          <w:rFonts w:eastAsia="MS Gothic"/>
          <w:szCs w:val="24"/>
        </w:rPr>
        <w:t xml:space="preserve">the </w:t>
      </w:r>
      <w:r w:rsidR="00B13418" w:rsidRPr="00EB31F2">
        <w:rPr>
          <w:rFonts w:eastAsia="MS Gothic"/>
          <w:szCs w:val="24"/>
        </w:rPr>
        <w:t xml:space="preserve">following </w:t>
      </w:r>
      <w:r w:rsidR="00025F1B" w:rsidRPr="00EB31F2">
        <w:rPr>
          <w:rFonts w:eastAsia="MS Gothic"/>
          <w:szCs w:val="24"/>
        </w:rPr>
        <w:t xml:space="preserve">OCS </w:t>
      </w:r>
      <w:r w:rsidRPr="00EB31F2">
        <w:rPr>
          <w:rFonts w:eastAsia="MS Gothic"/>
          <w:szCs w:val="24"/>
        </w:rPr>
        <w:t xml:space="preserve">clinical </w:t>
      </w:r>
      <w:r w:rsidR="007758BE" w:rsidRPr="00EB31F2">
        <w:rPr>
          <w:rFonts w:eastAsia="MS Gothic"/>
          <w:szCs w:val="24"/>
        </w:rPr>
        <w:t xml:space="preserve">criteria </w:t>
      </w:r>
      <w:r w:rsidR="00025F1B" w:rsidRPr="00EB31F2">
        <w:rPr>
          <w:rFonts w:eastAsia="MS Gothic"/>
          <w:szCs w:val="24"/>
        </w:rPr>
        <w:t xml:space="preserve">within the </w:t>
      </w:r>
      <w:r w:rsidRPr="00EB31F2">
        <w:rPr>
          <w:rFonts w:eastAsia="MS Gothic"/>
          <w:szCs w:val="24"/>
        </w:rPr>
        <w:t xml:space="preserve">‘optimised asthma therapy’ </w:t>
      </w:r>
      <w:r w:rsidR="00DD52C9" w:rsidRPr="00EB31F2">
        <w:rPr>
          <w:rFonts w:eastAsia="MS Gothic"/>
          <w:szCs w:val="24"/>
        </w:rPr>
        <w:t xml:space="preserve">definition </w:t>
      </w:r>
      <w:r w:rsidR="00025F1B" w:rsidRPr="00EB31F2">
        <w:rPr>
          <w:rFonts w:eastAsia="MS Gothic"/>
          <w:szCs w:val="24"/>
        </w:rPr>
        <w:t>for the</w:t>
      </w:r>
      <w:r w:rsidR="007758BE" w:rsidRPr="00EB31F2">
        <w:rPr>
          <w:rFonts w:eastAsia="MS Gothic"/>
          <w:szCs w:val="24"/>
        </w:rPr>
        <w:t xml:space="preserve"> current </w:t>
      </w:r>
      <w:r w:rsidR="00B13418" w:rsidRPr="00EB31F2">
        <w:rPr>
          <w:rFonts w:eastAsia="MS Gothic"/>
          <w:szCs w:val="24"/>
        </w:rPr>
        <w:t xml:space="preserve">initiation therapy </w:t>
      </w:r>
      <w:r w:rsidR="00DD52C9" w:rsidRPr="00EB31F2">
        <w:rPr>
          <w:rFonts w:eastAsia="MS Gothic"/>
          <w:szCs w:val="24"/>
        </w:rPr>
        <w:t>of</w:t>
      </w:r>
      <w:r w:rsidR="00B13418" w:rsidRPr="00EB31F2">
        <w:rPr>
          <w:rFonts w:eastAsia="MS Gothic"/>
          <w:szCs w:val="24"/>
        </w:rPr>
        <w:t xml:space="preserve"> </w:t>
      </w:r>
      <w:r w:rsidRPr="00EB31F2">
        <w:rPr>
          <w:rFonts w:eastAsia="MS Gothic"/>
          <w:szCs w:val="24"/>
        </w:rPr>
        <w:t>mepolizumab</w:t>
      </w:r>
      <w:r w:rsidR="00B13418" w:rsidRPr="00EB31F2">
        <w:rPr>
          <w:rFonts w:eastAsia="MS Gothic"/>
          <w:szCs w:val="24"/>
        </w:rPr>
        <w:t>.</w:t>
      </w:r>
      <w:r w:rsidR="008E5420" w:rsidRPr="00EB31F2">
        <w:rPr>
          <w:rFonts w:eastAsia="MS Gothic"/>
          <w:szCs w:val="24"/>
        </w:rPr>
        <w:t xml:space="preserve"> </w:t>
      </w:r>
      <w:r w:rsidR="00B13418" w:rsidRPr="00EB31F2">
        <w:rPr>
          <w:rFonts w:eastAsia="MS Gothic"/>
          <w:szCs w:val="24"/>
        </w:rPr>
        <w:t xml:space="preserve">The submission stated that this criterion may have unintended consequences in encouraging over-utilisation of OCS </w:t>
      </w:r>
      <w:r w:rsidR="004A2DBC" w:rsidRPr="00EB31F2">
        <w:rPr>
          <w:rFonts w:eastAsia="MS Gothic"/>
          <w:szCs w:val="24"/>
        </w:rPr>
        <w:t>in patients before qualifying to a</w:t>
      </w:r>
      <w:r w:rsidR="00BC4D53" w:rsidRPr="00EB31F2">
        <w:rPr>
          <w:rFonts w:eastAsia="MS Gothic"/>
          <w:szCs w:val="24"/>
        </w:rPr>
        <w:t xml:space="preserve">ccess </w:t>
      </w:r>
      <w:r w:rsidR="00B13418" w:rsidRPr="00EB31F2">
        <w:rPr>
          <w:rFonts w:eastAsia="MS Gothic"/>
          <w:szCs w:val="24"/>
        </w:rPr>
        <w:t>mepolizumab</w:t>
      </w:r>
      <w:r w:rsidR="004A2DBC" w:rsidRPr="00EB31F2">
        <w:rPr>
          <w:rFonts w:eastAsia="MS Gothic"/>
          <w:szCs w:val="24"/>
        </w:rPr>
        <w:t xml:space="preserve"> on the PBS</w:t>
      </w:r>
      <w:r w:rsidR="00B13418" w:rsidRPr="00EB31F2">
        <w:rPr>
          <w:rFonts w:eastAsia="MS Gothic"/>
          <w:szCs w:val="24"/>
        </w:rPr>
        <w:t xml:space="preserve">, contrary to current treatment guidelines. </w:t>
      </w:r>
    </w:p>
    <w:p w14:paraId="626AFD03" w14:textId="475EFEB0" w:rsidR="007758BE" w:rsidRPr="00EB31F2" w:rsidRDefault="00DD52C9" w:rsidP="00240123">
      <w:pPr>
        <w:pStyle w:val="3Bodytext"/>
        <w:numPr>
          <w:ilvl w:val="0"/>
          <w:numId w:val="10"/>
        </w:numPr>
        <w:jc w:val="both"/>
        <w:rPr>
          <w:rFonts w:eastAsia="Times New Roman"/>
          <w:color w:val="222222"/>
          <w:szCs w:val="24"/>
        </w:rPr>
      </w:pPr>
      <w:r w:rsidRPr="00EB31F2">
        <w:rPr>
          <w:rFonts w:eastAsia="MS Gothic"/>
          <w:szCs w:val="24"/>
        </w:rPr>
        <w:t xml:space="preserve">(ii) </w:t>
      </w:r>
      <w:r w:rsidR="007758BE" w:rsidRPr="00EB31F2">
        <w:rPr>
          <w:rFonts w:eastAsia="Times New Roman"/>
          <w:color w:val="222222"/>
          <w:szCs w:val="24"/>
        </w:rPr>
        <w:t>treatment with oral corticosteroids, either daily oral corticosteroids for at least 6 weeks, OR a cumulative dose of oral corticosteroids of at least 500</w:t>
      </w:r>
      <w:r w:rsidR="007D09A8">
        <w:rPr>
          <w:rFonts w:eastAsia="Times New Roman"/>
          <w:color w:val="222222"/>
          <w:szCs w:val="24"/>
        </w:rPr>
        <w:t> </w:t>
      </w:r>
      <w:r w:rsidR="007758BE" w:rsidRPr="00EB31F2">
        <w:rPr>
          <w:rFonts w:eastAsia="Times New Roman"/>
          <w:color w:val="222222"/>
          <w:szCs w:val="24"/>
        </w:rPr>
        <w:t>mg prednisolone equivalent in the previous 12 months, unless contraindicated or not tolerated</w:t>
      </w:r>
      <w:r w:rsidR="007758BE" w:rsidRPr="00EB31F2">
        <w:rPr>
          <w:rFonts w:eastAsia="MS Gothic"/>
          <w:szCs w:val="24"/>
        </w:rPr>
        <w:t xml:space="preserve">. </w:t>
      </w:r>
    </w:p>
    <w:p w14:paraId="4E0FE0C0" w14:textId="4B157BD3" w:rsidR="00A50B96" w:rsidRPr="00EB31F2" w:rsidRDefault="004A2DBC" w:rsidP="00A50B96">
      <w:pPr>
        <w:pStyle w:val="3Bodytext"/>
        <w:jc w:val="both"/>
        <w:rPr>
          <w:rFonts w:cstheme="minorHAnsi"/>
          <w:szCs w:val="24"/>
        </w:rPr>
      </w:pPr>
      <w:r w:rsidRPr="00EB31F2">
        <w:rPr>
          <w:rFonts w:cstheme="minorHAnsi"/>
          <w:szCs w:val="24"/>
        </w:rPr>
        <w:t>The submission stated that t</w:t>
      </w:r>
      <w:r w:rsidR="00A50B96" w:rsidRPr="00EB31F2">
        <w:rPr>
          <w:rFonts w:cstheme="minorHAnsi"/>
          <w:szCs w:val="24"/>
        </w:rPr>
        <w:t>he current Global Initiative for Asthma (GINA) guidelines provide a decision tree regarding the assessment and management of difficult-to-treat asthma in adult and adolescent patients</w:t>
      </w:r>
      <w:r w:rsidR="00A108A3" w:rsidRPr="00EB31F2">
        <w:rPr>
          <w:rFonts w:cstheme="minorHAnsi"/>
          <w:szCs w:val="24"/>
        </w:rPr>
        <w:t xml:space="preserve"> (GINA, 2023</w:t>
      </w:r>
      <w:r w:rsidR="00A50B96" w:rsidRPr="00EB31F2">
        <w:rPr>
          <w:rFonts w:cstheme="minorHAnsi"/>
          <w:szCs w:val="24"/>
        </w:rPr>
        <w:t xml:space="preserve">). </w:t>
      </w:r>
      <w:r w:rsidR="00A108A3" w:rsidRPr="00EB31F2">
        <w:rPr>
          <w:rFonts w:cstheme="minorHAnsi"/>
          <w:szCs w:val="24"/>
        </w:rPr>
        <w:t>Following the guidelines, p</w:t>
      </w:r>
      <w:r w:rsidR="00A50B96" w:rsidRPr="00EB31F2">
        <w:rPr>
          <w:rFonts w:cstheme="minorHAnsi"/>
          <w:szCs w:val="24"/>
        </w:rPr>
        <w:t xml:space="preserve">atients </w:t>
      </w:r>
      <w:r w:rsidRPr="00EB31F2">
        <w:rPr>
          <w:rFonts w:cstheme="minorHAnsi"/>
          <w:szCs w:val="24"/>
        </w:rPr>
        <w:t>are not required</w:t>
      </w:r>
      <w:r w:rsidR="00A50B96" w:rsidRPr="00EB31F2">
        <w:rPr>
          <w:rFonts w:cstheme="minorHAnsi"/>
          <w:szCs w:val="24"/>
        </w:rPr>
        <w:t xml:space="preserve"> to be taking OCS currently or in the previous 12 months for determination of </w:t>
      </w:r>
      <w:r w:rsidRPr="00EB31F2">
        <w:rPr>
          <w:rFonts w:cstheme="minorHAnsi"/>
          <w:szCs w:val="24"/>
        </w:rPr>
        <w:t xml:space="preserve">a </w:t>
      </w:r>
      <w:r w:rsidR="00A50B96" w:rsidRPr="00EB31F2">
        <w:rPr>
          <w:rFonts w:cstheme="minorHAnsi"/>
          <w:szCs w:val="24"/>
        </w:rPr>
        <w:t>Type 2 airway inflammation to be conducted</w:t>
      </w:r>
      <w:r w:rsidR="00A108A3" w:rsidRPr="00EB31F2">
        <w:rPr>
          <w:rFonts w:cstheme="minorHAnsi"/>
          <w:szCs w:val="24"/>
        </w:rPr>
        <w:t>,</w:t>
      </w:r>
      <w:r w:rsidR="00A50B96" w:rsidRPr="00EB31F2">
        <w:rPr>
          <w:rFonts w:cstheme="minorHAnsi"/>
          <w:szCs w:val="24"/>
        </w:rPr>
        <w:t xml:space="preserve"> and if blood eosinophils ≥</w:t>
      </w:r>
      <w:r w:rsidR="007D09A8">
        <w:rPr>
          <w:rFonts w:cstheme="minorHAnsi"/>
          <w:szCs w:val="24"/>
        </w:rPr>
        <w:t> </w:t>
      </w:r>
      <w:r w:rsidR="00A50B96" w:rsidRPr="00EB31F2">
        <w:rPr>
          <w:rFonts w:cstheme="minorHAnsi"/>
          <w:szCs w:val="24"/>
        </w:rPr>
        <w:t>150</w:t>
      </w:r>
      <w:r w:rsidR="00D22158" w:rsidRPr="00EB31F2">
        <w:rPr>
          <w:rFonts w:cstheme="minorHAnsi"/>
          <w:szCs w:val="24"/>
        </w:rPr>
        <w:t>,</w:t>
      </w:r>
      <w:r w:rsidR="00A50B96" w:rsidRPr="00EB31F2">
        <w:rPr>
          <w:rFonts w:cstheme="minorHAnsi"/>
          <w:szCs w:val="24"/>
        </w:rPr>
        <w:t xml:space="preserve"> then a biologic can be added on if the </w:t>
      </w:r>
      <w:r w:rsidR="00E12CA9" w:rsidRPr="00EB31F2">
        <w:rPr>
          <w:rFonts w:cstheme="minorHAnsi"/>
          <w:szCs w:val="24"/>
        </w:rPr>
        <w:t>in</w:t>
      </w:r>
      <w:r w:rsidR="00E12CA9">
        <w:rPr>
          <w:rFonts w:cstheme="minorHAnsi"/>
          <w:szCs w:val="24"/>
        </w:rPr>
        <w:t>haled</w:t>
      </w:r>
      <w:r w:rsidR="00E12CA9" w:rsidRPr="00EB31F2">
        <w:rPr>
          <w:rFonts w:cstheme="minorHAnsi"/>
          <w:szCs w:val="24"/>
        </w:rPr>
        <w:t xml:space="preserve"> </w:t>
      </w:r>
      <w:r w:rsidRPr="00EB31F2">
        <w:rPr>
          <w:rFonts w:cstheme="minorHAnsi"/>
          <w:szCs w:val="24"/>
        </w:rPr>
        <w:t xml:space="preserve">corticosteroid </w:t>
      </w:r>
      <w:r w:rsidR="00A50B96" w:rsidRPr="00EB31F2">
        <w:rPr>
          <w:rFonts w:cstheme="minorHAnsi"/>
          <w:szCs w:val="24"/>
        </w:rPr>
        <w:t xml:space="preserve">dose has already been optimised for 3-6 months. </w:t>
      </w:r>
    </w:p>
    <w:p w14:paraId="07734D4E" w14:textId="2688916C" w:rsidR="00A50B96" w:rsidRPr="00EB31F2" w:rsidRDefault="004A2DBC" w:rsidP="004A2DBC">
      <w:pPr>
        <w:pStyle w:val="3Bodytext"/>
        <w:jc w:val="both"/>
        <w:rPr>
          <w:szCs w:val="24"/>
        </w:rPr>
      </w:pPr>
      <w:r w:rsidRPr="00EB31F2">
        <w:rPr>
          <w:rFonts w:eastAsia="Times New Roman" w:cstheme="minorHAnsi"/>
          <w:color w:val="222222"/>
          <w:szCs w:val="24"/>
        </w:rPr>
        <w:t>The submission noted that t</w:t>
      </w:r>
      <w:r w:rsidR="00A50B96" w:rsidRPr="00EB31F2">
        <w:rPr>
          <w:rFonts w:eastAsia="Times New Roman" w:cstheme="minorHAnsi"/>
          <w:color w:val="222222"/>
          <w:szCs w:val="24"/>
        </w:rPr>
        <w:t xml:space="preserve">he </w:t>
      </w:r>
      <w:bookmarkStart w:id="17" w:name="_Hlk152336740"/>
      <w:r w:rsidR="00A108A3" w:rsidRPr="00EB31F2">
        <w:rPr>
          <w:rFonts w:eastAsia="Times New Roman" w:cstheme="minorHAnsi"/>
          <w:color w:val="222222"/>
          <w:szCs w:val="24"/>
        </w:rPr>
        <w:t>GINA</w:t>
      </w:r>
      <w:r w:rsidR="00A50B96" w:rsidRPr="00EB31F2">
        <w:rPr>
          <w:rFonts w:eastAsia="Times New Roman" w:cstheme="minorHAnsi"/>
          <w:color w:val="222222"/>
          <w:szCs w:val="24"/>
        </w:rPr>
        <w:t xml:space="preserve"> </w:t>
      </w:r>
      <w:bookmarkEnd w:id="17"/>
      <w:r w:rsidR="00A50B96" w:rsidRPr="00EB31F2">
        <w:rPr>
          <w:rFonts w:eastAsia="Times New Roman" w:cstheme="minorHAnsi"/>
          <w:color w:val="222222"/>
          <w:szCs w:val="24"/>
        </w:rPr>
        <w:t>guidelines for usage of OCS to treat severe exacerbations in adults</w:t>
      </w:r>
      <w:r w:rsidRPr="00EB31F2">
        <w:rPr>
          <w:rFonts w:eastAsia="Times New Roman" w:cstheme="minorHAnsi"/>
          <w:color w:val="222222"/>
          <w:szCs w:val="24"/>
        </w:rPr>
        <w:t xml:space="preserve"> and </w:t>
      </w:r>
      <w:r w:rsidR="00A50B96" w:rsidRPr="00EB31F2">
        <w:rPr>
          <w:rFonts w:eastAsia="Times New Roman" w:cstheme="minorHAnsi"/>
          <w:color w:val="222222"/>
          <w:szCs w:val="24"/>
        </w:rPr>
        <w:t>adolescents is prednisolone 40-50</w:t>
      </w:r>
      <w:r w:rsidR="007D09A8">
        <w:rPr>
          <w:rFonts w:eastAsia="Times New Roman" w:cstheme="minorHAnsi"/>
          <w:color w:val="222222"/>
          <w:szCs w:val="24"/>
        </w:rPr>
        <w:t> </w:t>
      </w:r>
      <w:r w:rsidR="00A50B96" w:rsidRPr="00EB31F2">
        <w:rPr>
          <w:rFonts w:eastAsia="Times New Roman" w:cstheme="minorHAnsi"/>
          <w:color w:val="222222"/>
          <w:szCs w:val="24"/>
        </w:rPr>
        <w:t>mg/day, usually for 5</w:t>
      </w:r>
      <w:r w:rsidR="003A53FC">
        <w:rPr>
          <w:rFonts w:eastAsia="Times New Roman" w:cstheme="minorHAnsi"/>
          <w:color w:val="222222"/>
          <w:szCs w:val="24"/>
        </w:rPr>
        <w:noBreakHyphen/>
      </w:r>
      <w:r w:rsidR="00A50B96" w:rsidRPr="00EB31F2">
        <w:rPr>
          <w:rFonts w:eastAsia="Times New Roman" w:cstheme="minorHAnsi"/>
          <w:color w:val="222222"/>
          <w:szCs w:val="24"/>
        </w:rPr>
        <w:t>7</w:t>
      </w:r>
      <w:r w:rsidR="007D09A8">
        <w:rPr>
          <w:rFonts w:eastAsia="Times New Roman" w:cstheme="minorHAnsi"/>
          <w:color w:val="222222"/>
          <w:szCs w:val="24"/>
        </w:rPr>
        <w:t> </w:t>
      </w:r>
      <w:r w:rsidR="00A50B96" w:rsidRPr="00EB31F2">
        <w:rPr>
          <w:rFonts w:eastAsia="Times New Roman" w:cstheme="minorHAnsi"/>
          <w:color w:val="222222"/>
          <w:szCs w:val="24"/>
        </w:rPr>
        <w:t>days (tapering is not needed if OCS are prescribed for &lt;</w:t>
      </w:r>
      <w:r w:rsidR="003A53FC">
        <w:rPr>
          <w:rFonts w:eastAsia="Times New Roman" w:cstheme="minorHAnsi"/>
          <w:color w:val="222222"/>
          <w:szCs w:val="24"/>
        </w:rPr>
        <w:t> </w:t>
      </w:r>
      <w:r w:rsidR="00A50B96" w:rsidRPr="00EB31F2">
        <w:rPr>
          <w:rFonts w:eastAsia="Times New Roman" w:cstheme="minorHAnsi"/>
          <w:color w:val="222222"/>
          <w:szCs w:val="24"/>
        </w:rPr>
        <w:t xml:space="preserve">2 weeks) (GINA, 2023). </w:t>
      </w:r>
      <w:r w:rsidR="00A50B96" w:rsidRPr="00EB31F2">
        <w:rPr>
          <w:szCs w:val="24"/>
        </w:rPr>
        <w:t xml:space="preserve">The </w:t>
      </w:r>
      <w:r w:rsidR="00A50B96" w:rsidRPr="00EB31F2">
        <w:rPr>
          <w:rFonts w:eastAsia="Times New Roman" w:cstheme="minorHAnsi"/>
          <w:color w:val="222222"/>
          <w:szCs w:val="24"/>
        </w:rPr>
        <w:t>Australian</w:t>
      </w:r>
      <w:r w:rsidR="00A50B96" w:rsidRPr="00EB31F2">
        <w:rPr>
          <w:szCs w:val="24"/>
        </w:rPr>
        <w:t xml:space="preserve"> Asthma Handbook recommendation for treating acute asthma with OCS in adults </w:t>
      </w:r>
      <w:r w:rsidR="002F35C7" w:rsidRPr="00EB31F2">
        <w:rPr>
          <w:szCs w:val="24"/>
        </w:rPr>
        <w:t>is a</w:t>
      </w:r>
      <w:r w:rsidR="00A50B96" w:rsidRPr="00EB31F2">
        <w:rPr>
          <w:szCs w:val="24"/>
        </w:rPr>
        <w:t xml:space="preserve"> starting dose of prednisolone 37.5–50 mg, then repeat each morning on second and subsequent days (total 5–10 days). It is usually not necessary to taper the dose unless the duration of treatment exceeds 2 weeks (National Asthma Council, 2023). </w:t>
      </w:r>
    </w:p>
    <w:p w14:paraId="3D5F99CF" w14:textId="11DC4F9B" w:rsidR="007758BE" w:rsidRPr="00EB31F2" w:rsidRDefault="007758BE" w:rsidP="00E364BC">
      <w:pPr>
        <w:pStyle w:val="3Bodytext"/>
        <w:jc w:val="both"/>
        <w:rPr>
          <w:rFonts w:eastAsia="Times New Roman" w:cstheme="minorHAnsi"/>
          <w:color w:val="222222"/>
          <w:szCs w:val="24"/>
        </w:rPr>
      </w:pPr>
      <w:r w:rsidRPr="00EB31F2">
        <w:rPr>
          <w:rFonts w:eastAsia="Times New Roman" w:cstheme="minorHAnsi"/>
          <w:color w:val="222222"/>
          <w:szCs w:val="24"/>
        </w:rPr>
        <w:t>This</w:t>
      </w:r>
      <w:r w:rsidR="00662ADA" w:rsidRPr="00EB31F2">
        <w:rPr>
          <w:rFonts w:eastAsia="Times New Roman" w:cstheme="minorHAnsi"/>
          <w:color w:val="222222"/>
          <w:szCs w:val="24"/>
        </w:rPr>
        <w:t xml:space="preserve"> submission stated that </w:t>
      </w:r>
      <w:r w:rsidR="00E45217" w:rsidRPr="00EB31F2">
        <w:rPr>
          <w:rFonts w:eastAsia="Times New Roman" w:cstheme="minorHAnsi"/>
          <w:color w:val="222222"/>
          <w:szCs w:val="24"/>
        </w:rPr>
        <w:t>the current OCS requirement</w:t>
      </w:r>
      <w:r w:rsidRPr="00EB31F2">
        <w:rPr>
          <w:rFonts w:eastAsia="Times New Roman" w:cstheme="minorHAnsi"/>
          <w:color w:val="222222"/>
          <w:szCs w:val="24"/>
        </w:rPr>
        <w:t xml:space="preserve"> </w:t>
      </w:r>
      <w:r w:rsidR="00E45217" w:rsidRPr="00EB31F2">
        <w:rPr>
          <w:rFonts w:eastAsia="Times New Roman" w:cstheme="minorHAnsi"/>
          <w:color w:val="222222"/>
          <w:szCs w:val="24"/>
        </w:rPr>
        <w:t xml:space="preserve">is </w:t>
      </w:r>
      <w:r w:rsidRPr="00EB31F2">
        <w:rPr>
          <w:rFonts w:eastAsia="Times New Roman" w:cstheme="minorHAnsi"/>
          <w:color w:val="222222"/>
          <w:szCs w:val="24"/>
        </w:rPr>
        <w:t>an unnecessarily high amount of systemic corticosteroid exposure</w:t>
      </w:r>
      <w:r w:rsidR="004A2DBC" w:rsidRPr="00EB31F2">
        <w:rPr>
          <w:rFonts w:eastAsia="Times New Roman" w:cstheme="minorHAnsi"/>
          <w:color w:val="222222"/>
          <w:szCs w:val="24"/>
        </w:rPr>
        <w:t>, noting</w:t>
      </w:r>
      <w:r w:rsidR="00D22158" w:rsidRPr="00EB31F2">
        <w:rPr>
          <w:rFonts w:eastAsia="Times New Roman" w:cstheme="minorHAnsi"/>
          <w:color w:val="222222"/>
          <w:szCs w:val="24"/>
        </w:rPr>
        <w:t xml:space="preserve"> the GINA and Australian Asthma Handbook guidelines</w:t>
      </w:r>
      <w:r w:rsidRPr="00EB31F2">
        <w:rPr>
          <w:rFonts w:eastAsia="Times New Roman" w:cstheme="minorHAnsi"/>
          <w:color w:val="222222"/>
          <w:szCs w:val="24"/>
        </w:rPr>
        <w:t>.</w:t>
      </w:r>
      <w:r w:rsidR="00662ADA" w:rsidRPr="00EB31F2">
        <w:rPr>
          <w:rFonts w:eastAsia="Times New Roman" w:cstheme="minorHAnsi"/>
          <w:color w:val="222222"/>
          <w:szCs w:val="24"/>
        </w:rPr>
        <w:t xml:space="preserve"> </w:t>
      </w:r>
      <w:r w:rsidR="00D22158" w:rsidRPr="00EB31F2">
        <w:rPr>
          <w:rFonts w:eastAsia="Times New Roman" w:cstheme="minorHAnsi"/>
          <w:color w:val="222222"/>
          <w:szCs w:val="24"/>
        </w:rPr>
        <w:t xml:space="preserve">The submission </w:t>
      </w:r>
      <w:r w:rsidR="004A2DBC" w:rsidRPr="00EB31F2">
        <w:rPr>
          <w:rFonts w:eastAsia="Times New Roman" w:cstheme="minorHAnsi"/>
          <w:color w:val="222222"/>
          <w:szCs w:val="24"/>
        </w:rPr>
        <w:t xml:space="preserve">stated </w:t>
      </w:r>
      <w:r w:rsidR="00D22158" w:rsidRPr="00EB31F2">
        <w:rPr>
          <w:rFonts w:eastAsia="Times New Roman" w:cstheme="minorHAnsi"/>
          <w:color w:val="222222"/>
          <w:szCs w:val="24"/>
        </w:rPr>
        <w:t>that r</w:t>
      </w:r>
      <w:r w:rsidRPr="00EB31F2">
        <w:rPr>
          <w:rFonts w:eastAsia="Times New Roman" w:cstheme="minorHAnsi"/>
          <w:color w:val="222222"/>
          <w:szCs w:val="24"/>
        </w:rPr>
        <w:t>epeat</w:t>
      </w:r>
      <w:r w:rsidR="00E45217" w:rsidRPr="00EB31F2">
        <w:rPr>
          <w:rFonts w:eastAsia="Times New Roman" w:cstheme="minorHAnsi"/>
          <w:color w:val="222222"/>
          <w:szCs w:val="24"/>
        </w:rPr>
        <w:t>ed</w:t>
      </w:r>
      <w:r w:rsidRPr="00EB31F2">
        <w:rPr>
          <w:rFonts w:eastAsia="Times New Roman" w:cstheme="minorHAnsi"/>
          <w:color w:val="222222"/>
          <w:szCs w:val="24"/>
        </w:rPr>
        <w:t xml:space="preserve"> treatment with systemic steroids is associated with increased risk of adverse events including loss of bone density, hypertension, gastrointestinal ulcers/</w:t>
      </w:r>
      <w:r w:rsidR="00FD73E2" w:rsidRPr="00EB31F2">
        <w:rPr>
          <w:rFonts w:eastAsia="Times New Roman" w:cstheme="minorHAnsi"/>
          <w:color w:val="222222"/>
          <w:szCs w:val="24"/>
        </w:rPr>
        <w:t>bleeds,</w:t>
      </w:r>
      <w:r w:rsidRPr="00EB31F2">
        <w:rPr>
          <w:rFonts w:eastAsia="Times New Roman" w:cstheme="minorHAnsi"/>
          <w:color w:val="222222"/>
          <w:szCs w:val="24"/>
        </w:rPr>
        <w:t xml:space="preserve"> and cataracts in addition to serious impacts on mental health</w:t>
      </w:r>
      <w:r w:rsidR="00431352" w:rsidRPr="00EB31F2">
        <w:rPr>
          <w:rFonts w:eastAsia="Times New Roman" w:cstheme="minorHAnsi"/>
          <w:color w:val="222222"/>
          <w:szCs w:val="24"/>
        </w:rPr>
        <w:t xml:space="preserve"> (Price, 2020; TSANZ, 2021)</w:t>
      </w:r>
      <w:r w:rsidRPr="00EB31F2">
        <w:rPr>
          <w:rFonts w:eastAsia="Times New Roman" w:cstheme="minorHAnsi"/>
          <w:color w:val="222222"/>
          <w:szCs w:val="24"/>
        </w:rPr>
        <w:t xml:space="preserve">. </w:t>
      </w:r>
      <w:r w:rsidR="004A2DBC" w:rsidRPr="00EB31F2">
        <w:rPr>
          <w:rFonts w:eastAsia="Times New Roman" w:cstheme="minorHAnsi"/>
          <w:color w:val="222222"/>
          <w:szCs w:val="24"/>
        </w:rPr>
        <w:t>The t</w:t>
      </w:r>
      <w:r w:rsidRPr="00EB31F2">
        <w:rPr>
          <w:rFonts w:eastAsia="Times New Roman" w:cstheme="minorHAnsi"/>
          <w:color w:val="222222"/>
          <w:szCs w:val="24"/>
        </w:rPr>
        <w:t>otal lifetime exposure of 500-1000 mg of oral prednisolone equivalents are associated with a significantly increased risk of type 2 diabetes mellitus and depression/anxiety</w:t>
      </w:r>
      <w:r w:rsidR="00431352" w:rsidRPr="00EB31F2">
        <w:rPr>
          <w:rFonts w:eastAsia="Times New Roman" w:cstheme="minorHAnsi"/>
          <w:color w:val="222222"/>
          <w:szCs w:val="24"/>
        </w:rPr>
        <w:t xml:space="preserve"> (Price, 2018)</w:t>
      </w:r>
      <w:r w:rsidRPr="00EB31F2">
        <w:rPr>
          <w:rFonts w:eastAsia="Times New Roman" w:cstheme="minorHAnsi"/>
          <w:color w:val="222222"/>
          <w:szCs w:val="24"/>
        </w:rPr>
        <w:t xml:space="preserve">. </w:t>
      </w:r>
    </w:p>
    <w:p w14:paraId="35613F38" w14:textId="0FEF63D5" w:rsidR="004A2DBC" w:rsidRPr="00EB31F2" w:rsidRDefault="004A2DBC" w:rsidP="00E364BC">
      <w:pPr>
        <w:pStyle w:val="3Bodytext"/>
        <w:jc w:val="both"/>
        <w:rPr>
          <w:rFonts w:eastAsia="Times New Roman" w:cstheme="minorHAnsi"/>
          <w:color w:val="222222"/>
          <w:szCs w:val="24"/>
        </w:rPr>
      </w:pPr>
      <w:r w:rsidRPr="00EB31F2">
        <w:rPr>
          <w:rFonts w:eastAsia="Times New Roman" w:cstheme="minorHAnsi"/>
          <w:color w:val="222222"/>
          <w:szCs w:val="24"/>
        </w:rPr>
        <w:t>The submission also noted that concerns were raised over the high threshold of OCS requirement in the Severe Asthma Stakeholder Meeting in December 2018</w:t>
      </w:r>
      <w:r w:rsidR="002722F7" w:rsidRPr="00EB31F2">
        <w:rPr>
          <w:rFonts w:eastAsia="Times New Roman" w:cstheme="minorHAnsi"/>
          <w:color w:val="222222"/>
          <w:szCs w:val="24"/>
        </w:rPr>
        <w:t xml:space="preserve">. </w:t>
      </w:r>
      <w:r w:rsidRPr="00EB31F2">
        <w:rPr>
          <w:rFonts w:eastAsia="Times New Roman" w:cstheme="minorHAnsi"/>
          <w:color w:val="222222"/>
          <w:szCs w:val="24"/>
        </w:rPr>
        <w:t xml:space="preserve">Stakeholders highlighted the importance of i) reducing exacerbations and OCS use in the severe asthma population, ii) having a suitable method to assess patients’ response and/or symptom control, iii) re-examining certain aspects of the PBS restriction for biologic medicines to ensure that those most at risk are not excluded. </w:t>
      </w:r>
      <w:r w:rsidRPr="00EB31F2">
        <w:rPr>
          <w:rFonts w:eastAsia="Times New Roman" w:cstheme="minorHAnsi"/>
          <w:color w:val="222222"/>
          <w:szCs w:val="24"/>
        </w:rPr>
        <w:lastRenderedPageBreak/>
        <w:t>The PBAC stated the outcomes of the meeting would be used to inform future PBAC considerations on this issue</w:t>
      </w:r>
      <w:r w:rsidR="006961DF" w:rsidRPr="00EB31F2">
        <w:rPr>
          <w:rFonts w:eastAsia="Times New Roman" w:cstheme="minorHAnsi"/>
          <w:color w:val="222222"/>
          <w:szCs w:val="24"/>
        </w:rPr>
        <w:t xml:space="preserve"> (Severe Asthma Stakeholder Meeting Outcomes, 2018)</w:t>
      </w:r>
      <w:r w:rsidR="002722F7" w:rsidRPr="00EB31F2">
        <w:rPr>
          <w:rFonts w:eastAsia="Times New Roman" w:cstheme="minorHAnsi"/>
          <w:color w:val="222222"/>
          <w:szCs w:val="24"/>
        </w:rPr>
        <w:t xml:space="preserve">. </w:t>
      </w:r>
    </w:p>
    <w:p w14:paraId="652F1B9A" w14:textId="78D1D68E" w:rsidR="00B44B33" w:rsidRPr="00EB31F2" w:rsidRDefault="00B44B33" w:rsidP="00E364BC">
      <w:pPr>
        <w:pStyle w:val="3Bodytext"/>
        <w:jc w:val="both"/>
        <w:rPr>
          <w:rFonts w:eastAsia="Times New Roman" w:cstheme="minorHAnsi"/>
          <w:color w:val="222222"/>
          <w:szCs w:val="24"/>
        </w:rPr>
      </w:pPr>
      <w:r w:rsidRPr="00EB31F2">
        <w:rPr>
          <w:rFonts w:eastAsia="Times New Roman" w:cstheme="minorHAnsi"/>
          <w:color w:val="222222"/>
          <w:szCs w:val="24"/>
        </w:rPr>
        <w:t>The pre-PBAC response reiterated that removal of this OCS criteria ensures alignment with current treatment guidelines and should not broaden patient eligibility, as prior use of systemic corticosteroids (including OCS) for the management of severe exacerbation(s) in the last 12 months remains a criterion defining ‘failure to achieve adequate control’ for initiation of mepolizumab treatment.</w:t>
      </w:r>
    </w:p>
    <w:p w14:paraId="5EB16602" w14:textId="2AE72CAE" w:rsidR="00D70349" w:rsidRPr="00EB31F2" w:rsidRDefault="00D70349" w:rsidP="00D70349">
      <w:pPr>
        <w:pStyle w:val="4-SubsectionHeading"/>
        <w:rPr>
          <w:iCs/>
          <w:lang w:eastAsia="en-US"/>
        </w:rPr>
      </w:pPr>
      <w:bookmarkStart w:id="18" w:name="_Hlk161311817"/>
      <w:r w:rsidRPr="00EB31F2">
        <w:rPr>
          <w:iCs/>
          <w:lang w:eastAsia="en-US"/>
        </w:rPr>
        <w:t xml:space="preserve">Estimated PBS </w:t>
      </w:r>
      <w:r w:rsidR="00276BE3" w:rsidRPr="00EB31F2">
        <w:rPr>
          <w:iCs/>
          <w:lang w:eastAsia="en-US"/>
        </w:rPr>
        <w:t>usage</w:t>
      </w:r>
      <w:r w:rsidRPr="00EB31F2">
        <w:rPr>
          <w:iCs/>
          <w:lang w:eastAsia="en-US"/>
        </w:rPr>
        <w:t xml:space="preserve"> and financial implications</w:t>
      </w:r>
    </w:p>
    <w:bookmarkEnd w:id="18"/>
    <w:p w14:paraId="742B4EA7" w14:textId="1FE28C8B" w:rsidR="00173B49" w:rsidRPr="00EB31F2" w:rsidRDefault="00AD7BFE" w:rsidP="00173B49">
      <w:pPr>
        <w:pStyle w:val="3Bodytext"/>
        <w:spacing w:before="120"/>
        <w:jc w:val="both"/>
      </w:pPr>
      <w:r w:rsidRPr="00EB31F2">
        <w:t xml:space="preserve">The submission stated that the requested </w:t>
      </w:r>
      <w:r w:rsidR="00584858" w:rsidRPr="00EB31F2">
        <w:t>amendment to the authority level</w:t>
      </w:r>
      <w:r w:rsidRPr="00EB31F2">
        <w:t xml:space="preserve"> </w:t>
      </w:r>
      <w:r w:rsidR="00584858" w:rsidRPr="00EB31F2">
        <w:t>is not expected to</w:t>
      </w:r>
      <w:r w:rsidRPr="00EB31F2">
        <w:t xml:space="preserve"> broaden patient eligibility criteria </w:t>
      </w:r>
      <w:r w:rsidR="00584858" w:rsidRPr="00EB31F2">
        <w:t xml:space="preserve">or increase patient uptake, </w:t>
      </w:r>
      <w:r w:rsidR="00E06FEA" w:rsidRPr="00EB31F2">
        <w:t>and therefore</w:t>
      </w:r>
      <w:r w:rsidR="001672E5" w:rsidRPr="00EB31F2">
        <w:t xml:space="preserve"> </w:t>
      </w:r>
      <w:r w:rsidR="00173B49" w:rsidRPr="00EB31F2">
        <w:t xml:space="preserve">unlikely </w:t>
      </w:r>
      <w:r w:rsidR="00584858" w:rsidRPr="00EB31F2">
        <w:t>to</w:t>
      </w:r>
      <w:r w:rsidR="00173B49" w:rsidRPr="00EB31F2">
        <w:t xml:space="preserve"> increase </w:t>
      </w:r>
      <w:r w:rsidR="00584858" w:rsidRPr="00EB31F2">
        <w:t xml:space="preserve">the </w:t>
      </w:r>
      <w:r w:rsidR="00173B49" w:rsidRPr="00EB31F2">
        <w:t>PBS utilisation of mepolizumab.</w:t>
      </w:r>
    </w:p>
    <w:p w14:paraId="6D21A960" w14:textId="50170DC4" w:rsidR="00D70349" w:rsidRPr="00EB31F2" w:rsidRDefault="00662ADA" w:rsidP="00173B49">
      <w:pPr>
        <w:pStyle w:val="3Bodytext"/>
        <w:jc w:val="both"/>
        <w:rPr>
          <w:szCs w:val="24"/>
        </w:rPr>
      </w:pPr>
      <w:r w:rsidRPr="00EB31F2">
        <w:t>The submission also stated that the requested amendment to the initiating clinical criteria</w:t>
      </w:r>
      <w:r w:rsidRPr="00EB31F2">
        <w:rPr>
          <w:rFonts w:cstheme="minorHAnsi"/>
          <w:szCs w:val="24"/>
        </w:rPr>
        <w:t xml:space="preserve"> is not</w:t>
      </w:r>
      <w:r w:rsidRPr="00EB31F2">
        <w:rPr>
          <w:szCs w:val="24"/>
        </w:rPr>
        <w:t xml:space="preserve"> expected to increase eligible patient numbers for mepolizumab as most patients are likely to still receive OCS to manage acute exacerbations prior to treatment initiation, as recommended by guidelines. </w:t>
      </w:r>
    </w:p>
    <w:p w14:paraId="33E256BC" w14:textId="33D398EF" w:rsidR="00174F81" w:rsidRPr="00EB31F2" w:rsidRDefault="003A4152" w:rsidP="00292F0D">
      <w:pPr>
        <w:pStyle w:val="3Bodytext"/>
        <w:jc w:val="both"/>
        <w:rPr>
          <w:szCs w:val="24"/>
        </w:rPr>
      </w:pPr>
      <w:r w:rsidRPr="00EB31F2">
        <w:rPr>
          <w:szCs w:val="24"/>
        </w:rPr>
        <w:t>The</w:t>
      </w:r>
      <w:r w:rsidR="00292F0D" w:rsidRPr="00EB31F2">
        <w:rPr>
          <w:szCs w:val="24"/>
        </w:rPr>
        <w:t xml:space="preserve"> submission did not provide an economic model or financial estimates to support their claim. The Department of Health and Aged Care (the Department) have estimated the </w:t>
      </w:r>
      <w:r w:rsidR="00292F0D" w:rsidRPr="00EB31F2">
        <w:t>extent of use, cost of amending the authority level of mepolizumab for the treatment of uncontrolled severe asthma and the net financial implications to the PBS/RPBS</w:t>
      </w:r>
      <w:r w:rsidR="002E2A7F" w:rsidRPr="00EB31F2">
        <w:t xml:space="preserve"> in </w:t>
      </w:r>
      <w:r w:rsidR="00855A31" w:rsidRPr="00EB31F2">
        <w:fldChar w:fldCharType="begin" w:fldLock="1"/>
      </w:r>
      <w:r w:rsidR="00855A31" w:rsidRPr="00EB31F2">
        <w:instrText xml:space="preserve"> REF _Ref159330983 \h </w:instrText>
      </w:r>
      <w:r w:rsidR="00855A31" w:rsidRPr="00EB31F2">
        <w:fldChar w:fldCharType="separate"/>
      </w:r>
      <w:r w:rsidR="000A3CEA" w:rsidRPr="00EB31F2">
        <w:t xml:space="preserve">Table </w:t>
      </w:r>
      <w:r w:rsidR="000A3CEA" w:rsidRPr="003D60FA">
        <w:rPr>
          <w:iCs/>
        </w:rPr>
        <w:t>6</w:t>
      </w:r>
      <w:r w:rsidR="00855A31" w:rsidRPr="00EB31F2">
        <w:fldChar w:fldCharType="end"/>
      </w:r>
      <w:r w:rsidR="002E2A7F" w:rsidRPr="00EB31F2">
        <w:t>.</w:t>
      </w:r>
    </w:p>
    <w:p w14:paraId="082B6AD2" w14:textId="0728B1FD" w:rsidR="00292F0D" w:rsidRPr="00EB31F2" w:rsidRDefault="00174F81" w:rsidP="00292F0D">
      <w:pPr>
        <w:pStyle w:val="3Bodytext"/>
        <w:jc w:val="both"/>
        <w:rPr>
          <w:szCs w:val="24"/>
        </w:rPr>
      </w:pPr>
      <w:r w:rsidRPr="00EB31F2">
        <w:t xml:space="preserve">The number of scripts was estimated using historic dispensing data of mepolizumab and the assumption that a proportion of the rejected authority requests would be reasonably included in the eligible population due to the change to the authority level. </w:t>
      </w:r>
      <w:r w:rsidR="0001707B" w:rsidRPr="00EB31F2">
        <w:t xml:space="preserve">The proportion of rejected authority requests was </w:t>
      </w:r>
      <w:r w:rsidR="00037E6F" w:rsidRPr="00EB31F2">
        <w:t>estimated</w:t>
      </w:r>
      <w:r w:rsidR="0001707B" w:rsidRPr="00EB31F2">
        <w:t xml:space="preserve"> to be 7.57% for initial treatment applications and 3.6</w:t>
      </w:r>
      <w:r w:rsidR="00AE183E" w:rsidRPr="00EB31F2">
        <w:t>0</w:t>
      </w:r>
      <w:r w:rsidR="0001707B" w:rsidRPr="00EB31F2">
        <w:t>% for</w:t>
      </w:r>
      <w:r w:rsidR="00AE183E" w:rsidRPr="00EB31F2">
        <w:t xml:space="preserve"> continuing </w:t>
      </w:r>
      <w:r w:rsidR="00037E6F" w:rsidRPr="00EB31F2">
        <w:t xml:space="preserve">treatment </w:t>
      </w:r>
      <w:r w:rsidR="00AE183E" w:rsidRPr="00EB31F2">
        <w:t>applications.</w:t>
      </w:r>
      <w:r w:rsidRPr="00EB31F2">
        <w:t xml:space="preserve"> </w:t>
      </w:r>
    </w:p>
    <w:p w14:paraId="63C56D87" w14:textId="5AD8369F" w:rsidR="006F3D74" w:rsidRPr="00EB31F2" w:rsidRDefault="006F3D74" w:rsidP="006F3D74">
      <w:pPr>
        <w:pStyle w:val="Caption"/>
        <w:keepNext/>
        <w:rPr>
          <w:iCs w:val="0"/>
        </w:rPr>
      </w:pPr>
      <w:bookmarkStart w:id="19" w:name="_Ref159330983"/>
      <w:r w:rsidRPr="00EB31F2">
        <w:rPr>
          <w:iCs w:val="0"/>
        </w:rPr>
        <w:lastRenderedPageBreak/>
        <w:t xml:space="preserve">Table </w:t>
      </w:r>
      <w:r w:rsidR="0034515F" w:rsidRPr="003D60FA">
        <w:rPr>
          <w:iCs w:val="0"/>
        </w:rPr>
        <w:fldChar w:fldCharType="begin" w:fldLock="1"/>
      </w:r>
      <w:r w:rsidR="0034515F" w:rsidRPr="00EB31F2">
        <w:rPr>
          <w:iCs w:val="0"/>
        </w:rPr>
        <w:instrText xml:space="preserve"> SEQ Table \* ARABIC </w:instrText>
      </w:r>
      <w:r w:rsidR="0034515F" w:rsidRPr="003D60FA">
        <w:rPr>
          <w:iCs w:val="0"/>
        </w:rPr>
        <w:fldChar w:fldCharType="separate"/>
      </w:r>
      <w:r w:rsidR="000A3CEA" w:rsidRPr="003D60FA">
        <w:rPr>
          <w:iCs w:val="0"/>
        </w:rPr>
        <w:t>6</w:t>
      </w:r>
      <w:r w:rsidR="0034515F" w:rsidRPr="003D60FA">
        <w:rPr>
          <w:iCs w:val="0"/>
        </w:rPr>
        <w:fldChar w:fldCharType="end"/>
      </w:r>
      <w:bookmarkEnd w:id="19"/>
      <w:r w:rsidRPr="00EB31F2">
        <w:rPr>
          <w:iCs w:val="0"/>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6: Estimated use and financial implications"/>
      </w:tblPr>
      <w:tblGrid>
        <w:gridCol w:w="2403"/>
        <w:gridCol w:w="1101"/>
        <w:gridCol w:w="1102"/>
        <w:gridCol w:w="1102"/>
        <w:gridCol w:w="1102"/>
        <w:gridCol w:w="1102"/>
        <w:gridCol w:w="1104"/>
      </w:tblGrid>
      <w:tr w:rsidR="00B4786B" w:rsidRPr="00EB31F2" w14:paraId="53960752" w14:textId="77777777" w:rsidTr="00B4786B">
        <w:trPr>
          <w:tblHeader/>
        </w:trPr>
        <w:tc>
          <w:tcPr>
            <w:tcW w:w="1333" w:type="pct"/>
            <w:shd w:val="clear" w:color="auto" w:fill="auto"/>
            <w:vAlign w:val="center"/>
          </w:tcPr>
          <w:p w14:paraId="714AEBAB" w14:textId="77777777" w:rsidR="00B4786B" w:rsidRPr="00EB31F2" w:rsidRDefault="00B4786B">
            <w:pPr>
              <w:pStyle w:val="In-tableHeading"/>
              <w:jc w:val="center"/>
              <w:rPr>
                <w:szCs w:val="20"/>
                <w:lang w:val="en-AU"/>
              </w:rPr>
            </w:pPr>
          </w:p>
        </w:tc>
        <w:tc>
          <w:tcPr>
            <w:tcW w:w="611" w:type="pct"/>
            <w:shd w:val="clear" w:color="auto" w:fill="auto"/>
            <w:vAlign w:val="center"/>
          </w:tcPr>
          <w:p w14:paraId="623FECF7" w14:textId="77777777" w:rsidR="00B4786B" w:rsidRPr="00EB31F2" w:rsidRDefault="00B4786B">
            <w:pPr>
              <w:pStyle w:val="In-tableHeading"/>
              <w:jc w:val="center"/>
              <w:rPr>
                <w:szCs w:val="20"/>
                <w:lang w:val="en-AU"/>
              </w:rPr>
            </w:pPr>
            <w:r w:rsidRPr="00EB31F2">
              <w:rPr>
                <w:szCs w:val="20"/>
                <w:lang w:val="en-AU"/>
              </w:rPr>
              <w:t>Year 1</w:t>
            </w:r>
          </w:p>
        </w:tc>
        <w:tc>
          <w:tcPr>
            <w:tcW w:w="611" w:type="pct"/>
            <w:shd w:val="clear" w:color="auto" w:fill="auto"/>
            <w:vAlign w:val="center"/>
          </w:tcPr>
          <w:p w14:paraId="4972A4A9" w14:textId="77777777" w:rsidR="00B4786B" w:rsidRPr="00EB31F2" w:rsidRDefault="00B4786B">
            <w:pPr>
              <w:pStyle w:val="In-tableHeading"/>
              <w:jc w:val="center"/>
              <w:rPr>
                <w:szCs w:val="20"/>
                <w:lang w:val="en-AU"/>
              </w:rPr>
            </w:pPr>
            <w:r w:rsidRPr="00EB31F2">
              <w:rPr>
                <w:szCs w:val="20"/>
                <w:lang w:val="en-AU"/>
              </w:rPr>
              <w:t>Year 2</w:t>
            </w:r>
          </w:p>
        </w:tc>
        <w:tc>
          <w:tcPr>
            <w:tcW w:w="611" w:type="pct"/>
            <w:shd w:val="clear" w:color="auto" w:fill="auto"/>
            <w:vAlign w:val="center"/>
          </w:tcPr>
          <w:p w14:paraId="4E23B492" w14:textId="77777777" w:rsidR="00B4786B" w:rsidRPr="00EB31F2" w:rsidRDefault="00B4786B">
            <w:pPr>
              <w:pStyle w:val="In-tableHeading"/>
              <w:jc w:val="center"/>
              <w:rPr>
                <w:szCs w:val="20"/>
                <w:lang w:val="en-AU"/>
              </w:rPr>
            </w:pPr>
            <w:r w:rsidRPr="00EB31F2">
              <w:rPr>
                <w:szCs w:val="20"/>
                <w:lang w:val="en-AU"/>
              </w:rPr>
              <w:t>Year 3</w:t>
            </w:r>
          </w:p>
        </w:tc>
        <w:tc>
          <w:tcPr>
            <w:tcW w:w="611" w:type="pct"/>
            <w:shd w:val="clear" w:color="auto" w:fill="auto"/>
            <w:vAlign w:val="center"/>
          </w:tcPr>
          <w:p w14:paraId="4AD32253" w14:textId="77777777" w:rsidR="00B4786B" w:rsidRPr="00EB31F2" w:rsidRDefault="00B4786B">
            <w:pPr>
              <w:pStyle w:val="In-tableHeading"/>
              <w:jc w:val="center"/>
              <w:rPr>
                <w:szCs w:val="20"/>
                <w:lang w:val="en-AU"/>
              </w:rPr>
            </w:pPr>
            <w:r w:rsidRPr="00EB31F2">
              <w:rPr>
                <w:szCs w:val="20"/>
                <w:lang w:val="en-AU"/>
              </w:rPr>
              <w:t>Year 4</w:t>
            </w:r>
          </w:p>
        </w:tc>
        <w:tc>
          <w:tcPr>
            <w:tcW w:w="611" w:type="pct"/>
            <w:shd w:val="clear" w:color="auto" w:fill="auto"/>
            <w:vAlign w:val="center"/>
          </w:tcPr>
          <w:p w14:paraId="20D8A977" w14:textId="77777777" w:rsidR="00B4786B" w:rsidRPr="00EB31F2" w:rsidRDefault="00B4786B">
            <w:pPr>
              <w:pStyle w:val="In-tableHeading"/>
              <w:jc w:val="center"/>
              <w:rPr>
                <w:szCs w:val="20"/>
                <w:lang w:val="en-AU"/>
              </w:rPr>
            </w:pPr>
            <w:r w:rsidRPr="00EB31F2">
              <w:rPr>
                <w:szCs w:val="20"/>
                <w:lang w:val="en-AU"/>
              </w:rPr>
              <w:t>Year 5</w:t>
            </w:r>
          </w:p>
        </w:tc>
        <w:tc>
          <w:tcPr>
            <w:tcW w:w="612" w:type="pct"/>
          </w:tcPr>
          <w:p w14:paraId="32E9EF81" w14:textId="77777777" w:rsidR="00B4786B" w:rsidRPr="00EB31F2" w:rsidRDefault="00B4786B">
            <w:pPr>
              <w:pStyle w:val="In-tableHeading"/>
              <w:jc w:val="center"/>
              <w:rPr>
                <w:szCs w:val="20"/>
                <w:lang w:val="en-AU"/>
              </w:rPr>
            </w:pPr>
            <w:r w:rsidRPr="00EB31F2">
              <w:rPr>
                <w:szCs w:val="20"/>
                <w:lang w:val="en-AU"/>
              </w:rPr>
              <w:t>Year 6</w:t>
            </w:r>
          </w:p>
        </w:tc>
      </w:tr>
      <w:tr w:rsidR="00B4786B" w:rsidRPr="00EB31F2" w14:paraId="4DCACD00" w14:textId="77777777">
        <w:tc>
          <w:tcPr>
            <w:tcW w:w="5000" w:type="pct"/>
            <w:gridSpan w:val="7"/>
            <w:shd w:val="clear" w:color="auto" w:fill="auto"/>
            <w:vAlign w:val="center"/>
          </w:tcPr>
          <w:p w14:paraId="3DA3BE5D" w14:textId="77777777" w:rsidR="00B4786B" w:rsidRPr="00EB31F2" w:rsidRDefault="00B4786B">
            <w:pPr>
              <w:pStyle w:val="In-tableHeading"/>
              <w:rPr>
                <w:bCs/>
                <w:color w:val="000000"/>
                <w:szCs w:val="20"/>
                <w:lang w:val="en-AU"/>
              </w:rPr>
            </w:pPr>
            <w:r w:rsidRPr="00EB31F2">
              <w:rPr>
                <w:bCs/>
                <w:color w:val="000000"/>
                <w:szCs w:val="20"/>
                <w:lang w:val="en-AU"/>
              </w:rPr>
              <w:t>Estimated extent of use</w:t>
            </w:r>
          </w:p>
        </w:tc>
      </w:tr>
      <w:tr w:rsidR="00B4786B" w:rsidRPr="00EB31F2" w14:paraId="4B181358" w14:textId="77777777" w:rsidTr="00B4786B">
        <w:tc>
          <w:tcPr>
            <w:tcW w:w="1333" w:type="pct"/>
            <w:shd w:val="clear" w:color="auto" w:fill="auto"/>
            <w:vAlign w:val="center"/>
          </w:tcPr>
          <w:p w14:paraId="78276352" w14:textId="20809936" w:rsidR="00B4786B" w:rsidRPr="00EB31F2" w:rsidRDefault="00B4786B" w:rsidP="00B4786B">
            <w:pPr>
              <w:pStyle w:val="TableText0"/>
              <w:rPr>
                <w:szCs w:val="20"/>
              </w:rPr>
            </w:pPr>
            <w:r w:rsidRPr="00EB31F2">
              <w:rPr>
                <w:szCs w:val="20"/>
              </w:rPr>
              <w:t xml:space="preserve">Number of </w:t>
            </w:r>
            <w:r w:rsidR="00962988" w:rsidRPr="00EB31F2">
              <w:rPr>
                <w:szCs w:val="20"/>
              </w:rPr>
              <w:t>scripts</w:t>
            </w:r>
          </w:p>
        </w:tc>
        <w:tc>
          <w:tcPr>
            <w:tcW w:w="611" w:type="pct"/>
            <w:shd w:val="clear" w:color="auto" w:fill="auto"/>
          </w:tcPr>
          <w:p w14:paraId="1A1A3754" w14:textId="6B3139BE" w:rsidR="00B4786B" w:rsidRPr="00B166BA" w:rsidRDefault="00864502" w:rsidP="00B4786B">
            <w:pPr>
              <w:pStyle w:val="TableText0"/>
              <w:jc w:val="center"/>
              <w:rPr>
                <w:color w:val="000000"/>
                <w:szCs w:val="20"/>
                <w:highlight w:val="lightGray"/>
              </w:rPr>
            </w:pPr>
            <w:r w:rsidRPr="00864502">
              <w:rPr>
                <w:rFonts w:hint="eastAsia"/>
                <w:color w:val="000000"/>
                <w:w w:val="16"/>
                <w:shd w:val="solid" w:color="000000" w:fill="000000"/>
                <w:fitText w:val="73" w:id="-961874164"/>
                <w14:textFill>
                  <w14:solidFill>
                    <w14:srgbClr w14:val="000000">
                      <w14:alpha w14:val="100000"/>
                    </w14:srgbClr>
                  </w14:solidFill>
                </w14:textFill>
              </w:rPr>
              <w:t xml:space="preserve">　</w:t>
            </w:r>
            <w:r w:rsidRPr="00864502">
              <w:rPr>
                <w:color w:val="000000"/>
                <w:w w:val="16"/>
                <w:shd w:val="solid" w:color="000000" w:fill="000000"/>
                <w:fitText w:val="73" w:id="-961874164"/>
                <w14:textFill>
                  <w14:solidFill>
                    <w14:srgbClr w14:val="000000">
                      <w14:alpha w14:val="100000"/>
                    </w14:srgbClr>
                  </w14:solidFill>
                </w14:textFill>
              </w:rPr>
              <w:t>|</w:t>
            </w:r>
            <w:r w:rsidRPr="00864502">
              <w:rPr>
                <w:rFonts w:hint="eastAsia"/>
                <w:color w:val="000000"/>
                <w:spacing w:val="3"/>
                <w:w w:val="16"/>
                <w:shd w:val="solid" w:color="000000" w:fill="000000"/>
                <w:fitText w:val="73" w:id="-961874164"/>
                <w14:textFill>
                  <w14:solidFill>
                    <w14:srgbClr w14:val="000000">
                      <w14:alpha w14:val="100000"/>
                    </w14:srgbClr>
                  </w14:solidFill>
                </w14:textFill>
              </w:rPr>
              <w:t xml:space="preserve">　</w:t>
            </w:r>
            <w:r w:rsidR="00B4786B" w:rsidRPr="00242197">
              <w:t xml:space="preserve"> </w:t>
            </w:r>
            <w:r w:rsidR="00A87ECE" w:rsidRPr="00B166BA">
              <w:rPr>
                <w:vertAlign w:val="superscript"/>
              </w:rPr>
              <w:t>1</w:t>
            </w:r>
          </w:p>
        </w:tc>
        <w:tc>
          <w:tcPr>
            <w:tcW w:w="611" w:type="pct"/>
            <w:shd w:val="clear" w:color="auto" w:fill="auto"/>
          </w:tcPr>
          <w:p w14:paraId="7AC952C6" w14:textId="15B7AFB3" w:rsidR="00B4786B" w:rsidRPr="00B166BA" w:rsidRDefault="00864502" w:rsidP="00B4786B">
            <w:pPr>
              <w:pStyle w:val="TableText0"/>
              <w:jc w:val="center"/>
              <w:rPr>
                <w:color w:val="000000"/>
                <w:szCs w:val="20"/>
                <w:highlight w:val="lightGray"/>
              </w:rPr>
            </w:pPr>
            <w:r w:rsidRPr="00864502">
              <w:rPr>
                <w:rFonts w:hint="eastAsia"/>
                <w:color w:val="000000"/>
                <w:w w:val="16"/>
                <w:shd w:val="solid" w:color="000000" w:fill="000000"/>
                <w:fitText w:val="73" w:id="-961874163"/>
                <w14:textFill>
                  <w14:solidFill>
                    <w14:srgbClr w14:val="000000">
                      <w14:alpha w14:val="100000"/>
                    </w14:srgbClr>
                  </w14:solidFill>
                </w14:textFill>
              </w:rPr>
              <w:t xml:space="preserve">　</w:t>
            </w:r>
            <w:r w:rsidRPr="00864502">
              <w:rPr>
                <w:color w:val="000000"/>
                <w:w w:val="16"/>
                <w:shd w:val="solid" w:color="000000" w:fill="000000"/>
                <w:fitText w:val="73" w:id="-961874163"/>
                <w14:textFill>
                  <w14:solidFill>
                    <w14:srgbClr w14:val="000000">
                      <w14:alpha w14:val="100000"/>
                    </w14:srgbClr>
                  </w14:solidFill>
                </w14:textFill>
              </w:rPr>
              <w:t>|</w:t>
            </w:r>
            <w:r w:rsidRPr="00864502">
              <w:rPr>
                <w:rFonts w:hint="eastAsia"/>
                <w:color w:val="000000"/>
                <w:spacing w:val="3"/>
                <w:w w:val="16"/>
                <w:shd w:val="solid" w:color="000000" w:fill="000000"/>
                <w:fitText w:val="73" w:id="-961874163"/>
                <w14:textFill>
                  <w14:solidFill>
                    <w14:srgbClr w14:val="000000">
                      <w14:alpha w14:val="100000"/>
                    </w14:srgbClr>
                  </w14:solidFill>
                </w14:textFill>
              </w:rPr>
              <w:t xml:space="preserve">　</w:t>
            </w:r>
            <w:r w:rsidRPr="00864502">
              <w:t xml:space="preserve"> </w:t>
            </w:r>
            <w:r w:rsidR="00A87ECE" w:rsidRPr="00727D32">
              <w:rPr>
                <w:vertAlign w:val="superscript"/>
              </w:rPr>
              <w:t>1</w:t>
            </w:r>
          </w:p>
        </w:tc>
        <w:tc>
          <w:tcPr>
            <w:tcW w:w="611" w:type="pct"/>
            <w:shd w:val="clear" w:color="auto" w:fill="auto"/>
          </w:tcPr>
          <w:p w14:paraId="18797E27" w14:textId="09489AC4" w:rsidR="00B4786B" w:rsidRPr="00B166BA" w:rsidRDefault="00864502" w:rsidP="00B4786B">
            <w:pPr>
              <w:pStyle w:val="TableText0"/>
              <w:jc w:val="center"/>
              <w:rPr>
                <w:color w:val="000000"/>
                <w:szCs w:val="20"/>
                <w:highlight w:val="lightGray"/>
              </w:rPr>
            </w:pPr>
            <w:r w:rsidRPr="00864502">
              <w:rPr>
                <w:rFonts w:hint="eastAsia"/>
                <w:color w:val="000000"/>
                <w:w w:val="16"/>
                <w:shd w:val="solid" w:color="000000" w:fill="000000"/>
                <w:fitText w:val="72" w:id="-961874162"/>
                <w14:textFill>
                  <w14:solidFill>
                    <w14:srgbClr w14:val="000000">
                      <w14:alpha w14:val="100000"/>
                    </w14:srgbClr>
                  </w14:solidFill>
                </w14:textFill>
              </w:rPr>
              <w:t xml:space="preserve">　</w:t>
            </w:r>
            <w:r w:rsidRPr="00864502">
              <w:rPr>
                <w:color w:val="000000"/>
                <w:w w:val="16"/>
                <w:shd w:val="solid" w:color="000000" w:fill="000000"/>
                <w:fitText w:val="72" w:id="-961874162"/>
                <w14:textFill>
                  <w14:solidFill>
                    <w14:srgbClr w14:val="000000">
                      <w14:alpha w14:val="100000"/>
                    </w14:srgbClr>
                  </w14:solidFill>
                </w14:textFill>
              </w:rPr>
              <w:t>|</w:t>
            </w:r>
            <w:r w:rsidRPr="00864502">
              <w:rPr>
                <w:rFonts w:hint="eastAsia"/>
                <w:color w:val="000000"/>
                <w:spacing w:val="2"/>
                <w:w w:val="16"/>
                <w:shd w:val="solid" w:color="000000" w:fill="000000"/>
                <w:fitText w:val="72" w:id="-961874162"/>
                <w14:textFill>
                  <w14:solidFill>
                    <w14:srgbClr w14:val="000000">
                      <w14:alpha w14:val="100000"/>
                    </w14:srgbClr>
                  </w14:solidFill>
                </w14:textFill>
              </w:rPr>
              <w:t xml:space="preserve">　</w:t>
            </w:r>
            <w:r w:rsidRPr="00864502">
              <w:t xml:space="preserve"> </w:t>
            </w:r>
            <w:r w:rsidR="00A87ECE" w:rsidRPr="00B166BA">
              <w:rPr>
                <w:vertAlign w:val="superscript"/>
              </w:rPr>
              <w:t>2</w:t>
            </w:r>
          </w:p>
        </w:tc>
        <w:tc>
          <w:tcPr>
            <w:tcW w:w="611" w:type="pct"/>
            <w:shd w:val="clear" w:color="auto" w:fill="auto"/>
          </w:tcPr>
          <w:p w14:paraId="07E95A57" w14:textId="6CCC858B" w:rsidR="00B4786B" w:rsidRPr="00B166BA" w:rsidRDefault="00864502" w:rsidP="00B4786B">
            <w:pPr>
              <w:pStyle w:val="TableText0"/>
              <w:jc w:val="center"/>
              <w:rPr>
                <w:color w:val="000000"/>
                <w:szCs w:val="20"/>
                <w:highlight w:val="lightGray"/>
              </w:rPr>
            </w:pPr>
            <w:r w:rsidRPr="00864502">
              <w:rPr>
                <w:rFonts w:hint="eastAsia"/>
                <w:color w:val="000000"/>
                <w:w w:val="16"/>
                <w:shd w:val="solid" w:color="000000" w:fill="000000"/>
                <w:fitText w:val="73" w:id="-961874161"/>
                <w14:textFill>
                  <w14:solidFill>
                    <w14:srgbClr w14:val="000000">
                      <w14:alpha w14:val="100000"/>
                    </w14:srgbClr>
                  </w14:solidFill>
                </w14:textFill>
              </w:rPr>
              <w:t xml:space="preserve">　</w:t>
            </w:r>
            <w:r w:rsidRPr="00864502">
              <w:rPr>
                <w:color w:val="000000"/>
                <w:w w:val="16"/>
                <w:shd w:val="solid" w:color="000000" w:fill="000000"/>
                <w:fitText w:val="73" w:id="-961874161"/>
                <w14:textFill>
                  <w14:solidFill>
                    <w14:srgbClr w14:val="000000">
                      <w14:alpha w14:val="100000"/>
                    </w14:srgbClr>
                  </w14:solidFill>
                </w14:textFill>
              </w:rPr>
              <w:t>|</w:t>
            </w:r>
            <w:r w:rsidRPr="00864502">
              <w:rPr>
                <w:rFonts w:hint="eastAsia"/>
                <w:color w:val="000000"/>
                <w:spacing w:val="3"/>
                <w:w w:val="16"/>
                <w:shd w:val="solid" w:color="000000" w:fill="000000"/>
                <w:fitText w:val="73" w:id="-961874161"/>
                <w14:textFill>
                  <w14:solidFill>
                    <w14:srgbClr w14:val="000000">
                      <w14:alpha w14:val="100000"/>
                    </w14:srgbClr>
                  </w14:solidFill>
                </w14:textFill>
              </w:rPr>
              <w:t xml:space="preserve">　</w:t>
            </w:r>
            <w:r w:rsidRPr="00864502">
              <w:t xml:space="preserve"> </w:t>
            </w:r>
            <w:r w:rsidR="00A87ECE" w:rsidRPr="00727D32">
              <w:rPr>
                <w:vertAlign w:val="superscript"/>
              </w:rPr>
              <w:t>2</w:t>
            </w:r>
          </w:p>
        </w:tc>
        <w:tc>
          <w:tcPr>
            <w:tcW w:w="611" w:type="pct"/>
            <w:shd w:val="clear" w:color="auto" w:fill="auto"/>
          </w:tcPr>
          <w:p w14:paraId="1E3B699D" w14:textId="34B8FD4D" w:rsidR="00B4786B" w:rsidRPr="00B166BA" w:rsidRDefault="00864502" w:rsidP="00B4786B">
            <w:pPr>
              <w:pStyle w:val="TableText0"/>
              <w:jc w:val="center"/>
              <w:rPr>
                <w:color w:val="000000"/>
                <w:szCs w:val="20"/>
                <w:highlight w:val="lightGray"/>
              </w:rPr>
            </w:pPr>
            <w:r w:rsidRPr="00864502">
              <w:rPr>
                <w:rFonts w:hint="eastAsia"/>
                <w:color w:val="000000"/>
                <w:w w:val="16"/>
                <w:shd w:val="solid" w:color="000000" w:fill="000000"/>
                <w:fitText w:val="73" w:id="-961874160"/>
                <w14:textFill>
                  <w14:solidFill>
                    <w14:srgbClr w14:val="000000">
                      <w14:alpha w14:val="100000"/>
                    </w14:srgbClr>
                  </w14:solidFill>
                </w14:textFill>
              </w:rPr>
              <w:t xml:space="preserve">　</w:t>
            </w:r>
            <w:r w:rsidRPr="00864502">
              <w:rPr>
                <w:color w:val="000000"/>
                <w:w w:val="16"/>
                <w:shd w:val="solid" w:color="000000" w:fill="000000"/>
                <w:fitText w:val="73" w:id="-961874160"/>
                <w14:textFill>
                  <w14:solidFill>
                    <w14:srgbClr w14:val="000000">
                      <w14:alpha w14:val="100000"/>
                    </w14:srgbClr>
                  </w14:solidFill>
                </w14:textFill>
              </w:rPr>
              <w:t>|</w:t>
            </w:r>
            <w:r w:rsidRPr="00864502">
              <w:rPr>
                <w:rFonts w:hint="eastAsia"/>
                <w:color w:val="000000"/>
                <w:spacing w:val="3"/>
                <w:w w:val="16"/>
                <w:shd w:val="solid" w:color="000000" w:fill="000000"/>
                <w:fitText w:val="73" w:id="-961874160"/>
                <w14:textFill>
                  <w14:solidFill>
                    <w14:srgbClr w14:val="000000">
                      <w14:alpha w14:val="100000"/>
                    </w14:srgbClr>
                  </w14:solidFill>
                </w14:textFill>
              </w:rPr>
              <w:t xml:space="preserve">　</w:t>
            </w:r>
            <w:r w:rsidRPr="00864502">
              <w:t xml:space="preserve"> </w:t>
            </w:r>
            <w:r w:rsidR="00A87ECE" w:rsidRPr="00727D32">
              <w:rPr>
                <w:vertAlign w:val="superscript"/>
              </w:rPr>
              <w:t>2</w:t>
            </w:r>
          </w:p>
        </w:tc>
        <w:tc>
          <w:tcPr>
            <w:tcW w:w="612" w:type="pct"/>
          </w:tcPr>
          <w:p w14:paraId="684F73BD" w14:textId="1653D390" w:rsidR="00B4786B" w:rsidRPr="00B166BA" w:rsidRDefault="00864502" w:rsidP="00B4786B">
            <w:pPr>
              <w:pStyle w:val="TableText0"/>
              <w:jc w:val="center"/>
              <w:rPr>
                <w:color w:val="000000"/>
                <w:szCs w:val="20"/>
                <w:highlight w:val="lightGray"/>
              </w:rPr>
            </w:pPr>
            <w:r w:rsidRPr="00864502">
              <w:rPr>
                <w:rFonts w:hint="eastAsia"/>
                <w:color w:val="000000"/>
                <w:w w:val="16"/>
                <w:shd w:val="solid" w:color="000000" w:fill="000000"/>
                <w:fitText w:val="73" w:id="-961874176"/>
                <w14:textFill>
                  <w14:solidFill>
                    <w14:srgbClr w14:val="000000">
                      <w14:alpha w14:val="100000"/>
                    </w14:srgbClr>
                  </w14:solidFill>
                </w14:textFill>
              </w:rPr>
              <w:t xml:space="preserve">　</w:t>
            </w:r>
            <w:r w:rsidRPr="00864502">
              <w:rPr>
                <w:color w:val="000000"/>
                <w:w w:val="16"/>
                <w:shd w:val="solid" w:color="000000" w:fill="000000"/>
                <w:fitText w:val="73" w:id="-961874176"/>
                <w14:textFill>
                  <w14:solidFill>
                    <w14:srgbClr w14:val="000000">
                      <w14:alpha w14:val="100000"/>
                    </w14:srgbClr>
                  </w14:solidFill>
                </w14:textFill>
              </w:rPr>
              <w:t>|</w:t>
            </w:r>
            <w:r w:rsidRPr="00864502">
              <w:rPr>
                <w:rFonts w:hint="eastAsia"/>
                <w:color w:val="000000"/>
                <w:spacing w:val="3"/>
                <w:w w:val="16"/>
                <w:shd w:val="solid" w:color="000000" w:fill="000000"/>
                <w:fitText w:val="73" w:id="-961874176"/>
                <w14:textFill>
                  <w14:solidFill>
                    <w14:srgbClr w14:val="000000">
                      <w14:alpha w14:val="100000"/>
                    </w14:srgbClr>
                  </w14:solidFill>
                </w14:textFill>
              </w:rPr>
              <w:t xml:space="preserve">　</w:t>
            </w:r>
            <w:r w:rsidRPr="00864502">
              <w:t xml:space="preserve"> </w:t>
            </w:r>
            <w:r w:rsidR="00A87ECE" w:rsidRPr="00727D32">
              <w:rPr>
                <w:vertAlign w:val="superscript"/>
              </w:rPr>
              <w:t>2</w:t>
            </w:r>
          </w:p>
        </w:tc>
      </w:tr>
      <w:tr w:rsidR="00B4786B" w:rsidRPr="00EB31F2" w14:paraId="39CE07E8" w14:textId="77777777">
        <w:tc>
          <w:tcPr>
            <w:tcW w:w="5000" w:type="pct"/>
            <w:gridSpan w:val="7"/>
            <w:shd w:val="clear" w:color="auto" w:fill="auto"/>
            <w:vAlign w:val="center"/>
          </w:tcPr>
          <w:p w14:paraId="75AAF035" w14:textId="588BAAEB" w:rsidR="00B4786B" w:rsidRPr="00EB31F2" w:rsidRDefault="00B4786B">
            <w:pPr>
              <w:pStyle w:val="In-tableHeading"/>
              <w:rPr>
                <w:szCs w:val="20"/>
                <w:lang w:val="en-AU"/>
              </w:rPr>
            </w:pPr>
            <w:r w:rsidRPr="00EB31F2">
              <w:rPr>
                <w:szCs w:val="20"/>
                <w:lang w:val="en-AU"/>
              </w:rPr>
              <w:t xml:space="preserve">Estimated PBS financial implications of </w:t>
            </w:r>
            <w:r w:rsidR="006F3D74" w:rsidRPr="00EB31F2">
              <w:rPr>
                <w:szCs w:val="20"/>
                <w:lang w:val="en-AU"/>
              </w:rPr>
              <w:t>the proposed amendment</w:t>
            </w:r>
          </w:p>
        </w:tc>
      </w:tr>
      <w:tr w:rsidR="006F3D74" w:rsidRPr="00EB31F2" w14:paraId="23F6C7CC" w14:textId="77777777" w:rsidTr="00B4786B">
        <w:tc>
          <w:tcPr>
            <w:tcW w:w="1333" w:type="pct"/>
            <w:shd w:val="clear" w:color="auto" w:fill="auto"/>
          </w:tcPr>
          <w:p w14:paraId="3012236D" w14:textId="76264EF0" w:rsidR="006F3D74" w:rsidRPr="00EB31F2" w:rsidRDefault="006F3D74" w:rsidP="006F3D74">
            <w:pPr>
              <w:pStyle w:val="TableText0"/>
              <w:rPr>
                <w:rFonts w:cstheme="minorHAnsi"/>
                <w:szCs w:val="20"/>
              </w:rPr>
            </w:pPr>
            <w:r w:rsidRPr="00EB31F2">
              <w:rPr>
                <w:rFonts w:cstheme="minorHAnsi"/>
                <w:szCs w:val="20"/>
              </w:rPr>
              <w:t>Cost to PBS</w:t>
            </w:r>
          </w:p>
        </w:tc>
        <w:tc>
          <w:tcPr>
            <w:tcW w:w="611" w:type="pct"/>
            <w:shd w:val="clear" w:color="auto" w:fill="auto"/>
          </w:tcPr>
          <w:p w14:paraId="42E5E5C3" w14:textId="2719D335"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75"/>
                <w14:textFill>
                  <w14:solidFill>
                    <w14:srgbClr w14:val="000000">
                      <w14:alpha w14:val="100000"/>
                    </w14:srgbClr>
                  </w14:solidFill>
                </w14:textFill>
              </w:rPr>
              <w:t xml:space="preserve">　</w:t>
            </w:r>
            <w:r w:rsidRPr="00864502">
              <w:rPr>
                <w:color w:val="000000"/>
                <w:w w:val="15"/>
                <w:shd w:val="solid" w:color="000000" w:fill="000000"/>
                <w:fitText w:val="55" w:id="-961874175"/>
                <w14:textFill>
                  <w14:solidFill>
                    <w14:srgbClr w14:val="000000">
                      <w14:alpha w14:val="100000"/>
                    </w14:srgbClr>
                  </w14:solidFill>
                </w14:textFill>
              </w:rPr>
              <w:t>|</w:t>
            </w:r>
            <w:r w:rsidRPr="00864502">
              <w:rPr>
                <w:rFonts w:hint="eastAsia"/>
                <w:color w:val="000000"/>
                <w:spacing w:val="-10"/>
                <w:w w:val="15"/>
                <w:shd w:val="solid" w:color="000000" w:fill="000000"/>
                <w:fitText w:val="55" w:id="-961874175"/>
                <w14:textFill>
                  <w14:solidFill>
                    <w14:srgbClr w14:val="000000">
                      <w14:alpha w14:val="100000"/>
                    </w14:srgbClr>
                  </w14:solidFill>
                </w14:textFill>
              </w:rPr>
              <w:t xml:space="preserve">　</w:t>
            </w:r>
            <w:r w:rsidR="00A87ECE" w:rsidRPr="00B166BA">
              <w:rPr>
                <w:vertAlign w:val="superscript"/>
              </w:rPr>
              <w:t>3</w:t>
            </w:r>
          </w:p>
        </w:tc>
        <w:tc>
          <w:tcPr>
            <w:tcW w:w="611" w:type="pct"/>
            <w:shd w:val="clear" w:color="auto" w:fill="auto"/>
          </w:tcPr>
          <w:p w14:paraId="08AC4987" w14:textId="24E48823"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74"/>
                <w14:textFill>
                  <w14:solidFill>
                    <w14:srgbClr w14:val="000000">
                      <w14:alpha w14:val="100000"/>
                    </w14:srgbClr>
                  </w14:solidFill>
                </w14:textFill>
              </w:rPr>
              <w:t xml:space="preserve">　</w:t>
            </w:r>
            <w:r w:rsidRPr="00864502">
              <w:rPr>
                <w:color w:val="000000"/>
                <w:w w:val="15"/>
                <w:shd w:val="solid" w:color="000000" w:fill="000000"/>
                <w:fitText w:val="55" w:id="-961874174"/>
                <w14:textFill>
                  <w14:solidFill>
                    <w14:srgbClr w14:val="000000">
                      <w14:alpha w14:val="100000"/>
                    </w14:srgbClr>
                  </w14:solidFill>
                </w14:textFill>
              </w:rPr>
              <w:t>|</w:t>
            </w:r>
            <w:r w:rsidRPr="00864502">
              <w:rPr>
                <w:rFonts w:hint="eastAsia"/>
                <w:color w:val="000000"/>
                <w:spacing w:val="-10"/>
                <w:w w:val="15"/>
                <w:shd w:val="solid" w:color="000000" w:fill="000000"/>
                <w:fitText w:val="55" w:id="-961874174"/>
                <w14:textFill>
                  <w14:solidFill>
                    <w14:srgbClr w14:val="000000">
                      <w14:alpha w14:val="100000"/>
                    </w14:srgbClr>
                  </w14:solidFill>
                </w14:textFill>
              </w:rPr>
              <w:t xml:space="preserve">　</w:t>
            </w:r>
            <w:r w:rsidR="00A87ECE" w:rsidRPr="00B166BA">
              <w:rPr>
                <w:vertAlign w:val="superscript"/>
              </w:rPr>
              <w:t>4</w:t>
            </w:r>
          </w:p>
        </w:tc>
        <w:tc>
          <w:tcPr>
            <w:tcW w:w="611" w:type="pct"/>
            <w:shd w:val="clear" w:color="auto" w:fill="auto"/>
          </w:tcPr>
          <w:p w14:paraId="548D71CB" w14:textId="445E98A8"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4" w:id="-961874173"/>
                <w14:textFill>
                  <w14:solidFill>
                    <w14:srgbClr w14:val="000000">
                      <w14:alpha w14:val="100000"/>
                    </w14:srgbClr>
                  </w14:solidFill>
                </w14:textFill>
              </w:rPr>
              <w:t xml:space="preserve">　</w:t>
            </w:r>
            <w:r w:rsidRPr="00864502">
              <w:rPr>
                <w:color w:val="000000"/>
                <w:w w:val="15"/>
                <w:shd w:val="solid" w:color="000000" w:fill="000000"/>
                <w:fitText w:val="54" w:id="-961874173"/>
                <w14:textFill>
                  <w14:solidFill>
                    <w14:srgbClr w14:val="000000">
                      <w14:alpha w14:val="100000"/>
                    </w14:srgbClr>
                  </w14:solidFill>
                </w14:textFill>
              </w:rPr>
              <w:t>|</w:t>
            </w:r>
            <w:r w:rsidRPr="00864502">
              <w:rPr>
                <w:rFonts w:hint="eastAsia"/>
                <w:color w:val="000000"/>
                <w:spacing w:val="-11"/>
                <w:w w:val="15"/>
                <w:shd w:val="solid" w:color="000000" w:fill="000000"/>
                <w:fitText w:val="54" w:id="-961874173"/>
                <w14:textFill>
                  <w14:solidFill>
                    <w14:srgbClr w14:val="000000">
                      <w14:alpha w14:val="100000"/>
                    </w14:srgbClr>
                  </w14:solidFill>
                </w14:textFill>
              </w:rPr>
              <w:t xml:space="preserve">　</w:t>
            </w:r>
            <w:r w:rsidR="00A87ECE" w:rsidRPr="00727D32">
              <w:rPr>
                <w:vertAlign w:val="superscript"/>
              </w:rPr>
              <w:t>4</w:t>
            </w:r>
          </w:p>
        </w:tc>
        <w:tc>
          <w:tcPr>
            <w:tcW w:w="611" w:type="pct"/>
            <w:shd w:val="clear" w:color="auto" w:fill="auto"/>
          </w:tcPr>
          <w:p w14:paraId="515369F6" w14:textId="646912E9"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4" w:id="-961874172"/>
                <w14:textFill>
                  <w14:solidFill>
                    <w14:srgbClr w14:val="000000">
                      <w14:alpha w14:val="100000"/>
                    </w14:srgbClr>
                  </w14:solidFill>
                </w14:textFill>
              </w:rPr>
              <w:t xml:space="preserve">　</w:t>
            </w:r>
            <w:r w:rsidRPr="00864502">
              <w:rPr>
                <w:color w:val="000000"/>
                <w:w w:val="15"/>
                <w:shd w:val="solid" w:color="000000" w:fill="000000"/>
                <w:fitText w:val="54" w:id="-961874172"/>
                <w14:textFill>
                  <w14:solidFill>
                    <w14:srgbClr w14:val="000000">
                      <w14:alpha w14:val="100000"/>
                    </w14:srgbClr>
                  </w14:solidFill>
                </w14:textFill>
              </w:rPr>
              <w:t>|</w:t>
            </w:r>
            <w:r w:rsidRPr="00864502">
              <w:rPr>
                <w:rFonts w:hint="eastAsia"/>
                <w:color w:val="000000"/>
                <w:spacing w:val="-11"/>
                <w:w w:val="15"/>
                <w:shd w:val="solid" w:color="000000" w:fill="000000"/>
                <w:fitText w:val="54" w:id="-961874172"/>
                <w14:textFill>
                  <w14:solidFill>
                    <w14:srgbClr w14:val="000000">
                      <w14:alpha w14:val="100000"/>
                    </w14:srgbClr>
                  </w14:solidFill>
                </w14:textFill>
              </w:rPr>
              <w:t xml:space="preserve">　</w:t>
            </w:r>
            <w:r w:rsidR="00A87ECE" w:rsidRPr="00B166BA">
              <w:rPr>
                <w:vertAlign w:val="superscript"/>
              </w:rPr>
              <w:t>5</w:t>
            </w:r>
          </w:p>
        </w:tc>
        <w:tc>
          <w:tcPr>
            <w:tcW w:w="611" w:type="pct"/>
            <w:shd w:val="clear" w:color="auto" w:fill="auto"/>
          </w:tcPr>
          <w:p w14:paraId="0814EDD1" w14:textId="621E698E"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71"/>
                <w14:textFill>
                  <w14:solidFill>
                    <w14:srgbClr w14:val="000000">
                      <w14:alpha w14:val="100000"/>
                    </w14:srgbClr>
                  </w14:solidFill>
                </w14:textFill>
              </w:rPr>
              <w:t xml:space="preserve">　</w:t>
            </w:r>
            <w:r w:rsidRPr="00864502">
              <w:rPr>
                <w:color w:val="000000"/>
                <w:w w:val="15"/>
                <w:shd w:val="solid" w:color="000000" w:fill="000000"/>
                <w:fitText w:val="55" w:id="-961874171"/>
                <w14:textFill>
                  <w14:solidFill>
                    <w14:srgbClr w14:val="000000">
                      <w14:alpha w14:val="100000"/>
                    </w14:srgbClr>
                  </w14:solidFill>
                </w14:textFill>
              </w:rPr>
              <w:t>|</w:t>
            </w:r>
            <w:r w:rsidRPr="00864502">
              <w:rPr>
                <w:rFonts w:hint="eastAsia"/>
                <w:color w:val="000000"/>
                <w:spacing w:val="-10"/>
                <w:w w:val="15"/>
                <w:shd w:val="solid" w:color="000000" w:fill="000000"/>
                <w:fitText w:val="55" w:id="-961874171"/>
                <w14:textFill>
                  <w14:solidFill>
                    <w14:srgbClr w14:val="000000">
                      <w14:alpha w14:val="100000"/>
                    </w14:srgbClr>
                  </w14:solidFill>
                </w14:textFill>
              </w:rPr>
              <w:t xml:space="preserve">　</w:t>
            </w:r>
            <w:r w:rsidR="00A87ECE" w:rsidRPr="00727D32">
              <w:rPr>
                <w:vertAlign w:val="superscript"/>
              </w:rPr>
              <w:t>5</w:t>
            </w:r>
          </w:p>
        </w:tc>
        <w:tc>
          <w:tcPr>
            <w:tcW w:w="612" w:type="pct"/>
          </w:tcPr>
          <w:p w14:paraId="25F43089" w14:textId="49BE1933"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70"/>
                <w14:textFill>
                  <w14:solidFill>
                    <w14:srgbClr w14:val="000000">
                      <w14:alpha w14:val="100000"/>
                    </w14:srgbClr>
                  </w14:solidFill>
                </w14:textFill>
              </w:rPr>
              <w:t xml:space="preserve">　</w:t>
            </w:r>
            <w:r w:rsidRPr="00864502">
              <w:rPr>
                <w:color w:val="000000"/>
                <w:w w:val="15"/>
                <w:shd w:val="solid" w:color="000000" w:fill="000000"/>
                <w:fitText w:val="55" w:id="-961874170"/>
                <w14:textFill>
                  <w14:solidFill>
                    <w14:srgbClr w14:val="000000">
                      <w14:alpha w14:val="100000"/>
                    </w14:srgbClr>
                  </w14:solidFill>
                </w14:textFill>
              </w:rPr>
              <w:t>|</w:t>
            </w:r>
            <w:r w:rsidRPr="00864502">
              <w:rPr>
                <w:rFonts w:hint="eastAsia"/>
                <w:color w:val="000000"/>
                <w:spacing w:val="-10"/>
                <w:w w:val="15"/>
                <w:shd w:val="solid" w:color="000000" w:fill="000000"/>
                <w:fitText w:val="55" w:id="-961874170"/>
                <w14:textFill>
                  <w14:solidFill>
                    <w14:srgbClr w14:val="000000">
                      <w14:alpha w14:val="100000"/>
                    </w14:srgbClr>
                  </w14:solidFill>
                </w14:textFill>
              </w:rPr>
              <w:t xml:space="preserve">　</w:t>
            </w:r>
            <w:r w:rsidR="00A87ECE" w:rsidRPr="00727D32">
              <w:rPr>
                <w:vertAlign w:val="superscript"/>
              </w:rPr>
              <w:t>5</w:t>
            </w:r>
          </w:p>
        </w:tc>
      </w:tr>
      <w:tr w:rsidR="006F3D74" w:rsidRPr="00EB31F2" w14:paraId="18D85FD6" w14:textId="77777777" w:rsidTr="00B4786B">
        <w:tc>
          <w:tcPr>
            <w:tcW w:w="1333" w:type="pct"/>
            <w:shd w:val="clear" w:color="auto" w:fill="auto"/>
          </w:tcPr>
          <w:p w14:paraId="4D5B9049" w14:textId="77777777" w:rsidR="006F3D74" w:rsidRPr="00EB31F2" w:rsidRDefault="006F3D74" w:rsidP="006F3D74">
            <w:pPr>
              <w:pStyle w:val="TableText0"/>
              <w:rPr>
                <w:rFonts w:cstheme="minorHAnsi"/>
                <w:szCs w:val="20"/>
              </w:rPr>
            </w:pPr>
            <w:r w:rsidRPr="00EB31F2">
              <w:rPr>
                <w:rFonts w:cstheme="minorHAnsi"/>
                <w:szCs w:val="20"/>
              </w:rPr>
              <w:t>Patient copayments</w:t>
            </w:r>
          </w:p>
        </w:tc>
        <w:tc>
          <w:tcPr>
            <w:tcW w:w="611" w:type="pct"/>
            <w:shd w:val="clear" w:color="auto" w:fill="auto"/>
          </w:tcPr>
          <w:p w14:paraId="4CBB1CAE" w14:textId="2ABB1758"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69"/>
                <w14:textFill>
                  <w14:solidFill>
                    <w14:srgbClr w14:val="000000">
                      <w14:alpha w14:val="100000"/>
                    </w14:srgbClr>
                  </w14:solidFill>
                </w14:textFill>
              </w:rPr>
              <w:t xml:space="preserve">　</w:t>
            </w:r>
            <w:r w:rsidRPr="00864502">
              <w:rPr>
                <w:color w:val="000000"/>
                <w:w w:val="15"/>
                <w:shd w:val="solid" w:color="000000" w:fill="000000"/>
                <w:fitText w:val="55" w:id="-961874169"/>
                <w14:textFill>
                  <w14:solidFill>
                    <w14:srgbClr w14:val="000000">
                      <w14:alpha w14:val="100000"/>
                    </w14:srgbClr>
                  </w14:solidFill>
                </w14:textFill>
              </w:rPr>
              <w:t>|</w:t>
            </w:r>
            <w:r w:rsidRPr="00864502">
              <w:rPr>
                <w:rFonts w:hint="eastAsia"/>
                <w:color w:val="000000"/>
                <w:spacing w:val="-10"/>
                <w:w w:val="15"/>
                <w:shd w:val="solid" w:color="000000" w:fill="000000"/>
                <w:fitText w:val="55" w:id="-961874169"/>
                <w14:textFill>
                  <w14:solidFill>
                    <w14:srgbClr w14:val="000000">
                      <w14:alpha w14:val="100000"/>
                    </w14:srgbClr>
                  </w14:solidFill>
                </w14:textFill>
              </w:rPr>
              <w:t xml:space="preserve">　</w:t>
            </w:r>
            <w:r w:rsidR="00665B98" w:rsidRPr="00B166BA">
              <w:rPr>
                <w:vertAlign w:val="superscript"/>
              </w:rPr>
              <w:t>6</w:t>
            </w:r>
          </w:p>
        </w:tc>
        <w:tc>
          <w:tcPr>
            <w:tcW w:w="611" w:type="pct"/>
            <w:shd w:val="clear" w:color="auto" w:fill="auto"/>
          </w:tcPr>
          <w:p w14:paraId="41482916" w14:textId="128BC714"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68"/>
                <w14:textFill>
                  <w14:solidFill>
                    <w14:srgbClr w14:val="000000">
                      <w14:alpha w14:val="100000"/>
                    </w14:srgbClr>
                  </w14:solidFill>
                </w14:textFill>
              </w:rPr>
              <w:t xml:space="preserve">　</w:t>
            </w:r>
            <w:r w:rsidRPr="00864502">
              <w:rPr>
                <w:color w:val="000000"/>
                <w:w w:val="15"/>
                <w:shd w:val="solid" w:color="000000" w:fill="000000"/>
                <w:fitText w:val="55" w:id="-961874168"/>
                <w14:textFill>
                  <w14:solidFill>
                    <w14:srgbClr w14:val="000000">
                      <w14:alpha w14:val="100000"/>
                    </w14:srgbClr>
                  </w14:solidFill>
                </w14:textFill>
              </w:rPr>
              <w:t>|</w:t>
            </w:r>
            <w:r w:rsidRPr="00864502">
              <w:rPr>
                <w:rFonts w:hint="eastAsia"/>
                <w:color w:val="000000"/>
                <w:spacing w:val="-10"/>
                <w:w w:val="15"/>
                <w:shd w:val="solid" w:color="000000" w:fill="000000"/>
                <w:fitText w:val="55" w:id="-961874168"/>
                <w14:textFill>
                  <w14:solidFill>
                    <w14:srgbClr w14:val="000000">
                      <w14:alpha w14:val="100000"/>
                    </w14:srgbClr>
                  </w14:solidFill>
                </w14:textFill>
              </w:rPr>
              <w:t xml:space="preserve">　</w:t>
            </w:r>
            <w:r w:rsidR="00665B98" w:rsidRPr="00727D32">
              <w:rPr>
                <w:vertAlign w:val="superscript"/>
              </w:rPr>
              <w:t>6</w:t>
            </w:r>
          </w:p>
        </w:tc>
        <w:tc>
          <w:tcPr>
            <w:tcW w:w="611" w:type="pct"/>
            <w:shd w:val="clear" w:color="auto" w:fill="auto"/>
          </w:tcPr>
          <w:p w14:paraId="085CFDB9" w14:textId="146AB9B3"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4" w:id="-961874167"/>
                <w14:textFill>
                  <w14:solidFill>
                    <w14:srgbClr w14:val="000000">
                      <w14:alpha w14:val="100000"/>
                    </w14:srgbClr>
                  </w14:solidFill>
                </w14:textFill>
              </w:rPr>
              <w:t xml:space="preserve">　</w:t>
            </w:r>
            <w:r w:rsidRPr="00864502">
              <w:rPr>
                <w:color w:val="000000"/>
                <w:w w:val="15"/>
                <w:shd w:val="solid" w:color="000000" w:fill="000000"/>
                <w:fitText w:val="54" w:id="-961874167"/>
                <w14:textFill>
                  <w14:solidFill>
                    <w14:srgbClr w14:val="000000">
                      <w14:alpha w14:val="100000"/>
                    </w14:srgbClr>
                  </w14:solidFill>
                </w14:textFill>
              </w:rPr>
              <w:t>|</w:t>
            </w:r>
            <w:r w:rsidRPr="00864502">
              <w:rPr>
                <w:rFonts w:hint="eastAsia"/>
                <w:color w:val="000000"/>
                <w:spacing w:val="-11"/>
                <w:w w:val="15"/>
                <w:shd w:val="solid" w:color="000000" w:fill="000000"/>
                <w:fitText w:val="54" w:id="-961874167"/>
                <w14:textFill>
                  <w14:solidFill>
                    <w14:srgbClr w14:val="000000">
                      <w14:alpha w14:val="100000"/>
                    </w14:srgbClr>
                  </w14:solidFill>
                </w14:textFill>
              </w:rPr>
              <w:t xml:space="preserve">　</w:t>
            </w:r>
            <w:r w:rsidR="00665B98" w:rsidRPr="00727D32">
              <w:rPr>
                <w:vertAlign w:val="superscript"/>
              </w:rPr>
              <w:t>6</w:t>
            </w:r>
          </w:p>
        </w:tc>
        <w:tc>
          <w:tcPr>
            <w:tcW w:w="611" w:type="pct"/>
            <w:shd w:val="clear" w:color="auto" w:fill="auto"/>
          </w:tcPr>
          <w:p w14:paraId="727E55AE" w14:textId="131638A9"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4" w:id="-961874166"/>
                <w14:textFill>
                  <w14:solidFill>
                    <w14:srgbClr w14:val="000000">
                      <w14:alpha w14:val="100000"/>
                    </w14:srgbClr>
                  </w14:solidFill>
                </w14:textFill>
              </w:rPr>
              <w:t xml:space="preserve">　</w:t>
            </w:r>
            <w:r w:rsidRPr="00864502">
              <w:rPr>
                <w:color w:val="000000"/>
                <w:w w:val="15"/>
                <w:shd w:val="solid" w:color="000000" w:fill="000000"/>
                <w:fitText w:val="54" w:id="-961874166"/>
                <w14:textFill>
                  <w14:solidFill>
                    <w14:srgbClr w14:val="000000">
                      <w14:alpha w14:val="100000"/>
                    </w14:srgbClr>
                  </w14:solidFill>
                </w14:textFill>
              </w:rPr>
              <w:t>|</w:t>
            </w:r>
            <w:r w:rsidRPr="00864502">
              <w:rPr>
                <w:rFonts w:hint="eastAsia"/>
                <w:color w:val="000000"/>
                <w:spacing w:val="-11"/>
                <w:w w:val="15"/>
                <w:shd w:val="solid" w:color="000000" w:fill="000000"/>
                <w:fitText w:val="54" w:id="-961874166"/>
                <w14:textFill>
                  <w14:solidFill>
                    <w14:srgbClr w14:val="000000">
                      <w14:alpha w14:val="100000"/>
                    </w14:srgbClr>
                  </w14:solidFill>
                </w14:textFill>
              </w:rPr>
              <w:t xml:space="preserve">　</w:t>
            </w:r>
            <w:r w:rsidR="00665B98" w:rsidRPr="00727D32">
              <w:rPr>
                <w:vertAlign w:val="superscript"/>
              </w:rPr>
              <w:t>6</w:t>
            </w:r>
          </w:p>
        </w:tc>
        <w:tc>
          <w:tcPr>
            <w:tcW w:w="611" w:type="pct"/>
            <w:shd w:val="clear" w:color="auto" w:fill="auto"/>
          </w:tcPr>
          <w:p w14:paraId="73A9EC3E" w14:textId="011AE578"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65"/>
                <w14:textFill>
                  <w14:solidFill>
                    <w14:srgbClr w14:val="000000">
                      <w14:alpha w14:val="100000"/>
                    </w14:srgbClr>
                  </w14:solidFill>
                </w14:textFill>
              </w:rPr>
              <w:t xml:space="preserve">　</w:t>
            </w:r>
            <w:r w:rsidRPr="00864502">
              <w:rPr>
                <w:color w:val="000000"/>
                <w:w w:val="15"/>
                <w:shd w:val="solid" w:color="000000" w:fill="000000"/>
                <w:fitText w:val="55" w:id="-961874165"/>
                <w14:textFill>
                  <w14:solidFill>
                    <w14:srgbClr w14:val="000000">
                      <w14:alpha w14:val="100000"/>
                    </w14:srgbClr>
                  </w14:solidFill>
                </w14:textFill>
              </w:rPr>
              <w:t>|</w:t>
            </w:r>
            <w:r w:rsidRPr="00864502">
              <w:rPr>
                <w:rFonts w:hint="eastAsia"/>
                <w:color w:val="000000"/>
                <w:spacing w:val="-10"/>
                <w:w w:val="15"/>
                <w:shd w:val="solid" w:color="000000" w:fill="000000"/>
                <w:fitText w:val="55" w:id="-961874165"/>
                <w14:textFill>
                  <w14:solidFill>
                    <w14:srgbClr w14:val="000000">
                      <w14:alpha w14:val="100000"/>
                    </w14:srgbClr>
                  </w14:solidFill>
                </w14:textFill>
              </w:rPr>
              <w:t xml:space="preserve">　</w:t>
            </w:r>
            <w:r w:rsidR="00665B98" w:rsidRPr="00727D32">
              <w:rPr>
                <w:vertAlign w:val="superscript"/>
              </w:rPr>
              <w:t>6</w:t>
            </w:r>
          </w:p>
        </w:tc>
        <w:tc>
          <w:tcPr>
            <w:tcW w:w="612" w:type="pct"/>
          </w:tcPr>
          <w:p w14:paraId="58D9066D" w14:textId="2CC638D5"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64"/>
                <w14:textFill>
                  <w14:solidFill>
                    <w14:srgbClr w14:val="000000">
                      <w14:alpha w14:val="100000"/>
                    </w14:srgbClr>
                  </w14:solidFill>
                </w14:textFill>
              </w:rPr>
              <w:t xml:space="preserve">　</w:t>
            </w:r>
            <w:r w:rsidRPr="00864502">
              <w:rPr>
                <w:color w:val="000000"/>
                <w:w w:val="15"/>
                <w:shd w:val="solid" w:color="000000" w:fill="000000"/>
                <w:fitText w:val="55" w:id="-961874164"/>
                <w14:textFill>
                  <w14:solidFill>
                    <w14:srgbClr w14:val="000000">
                      <w14:alpha w14:val="100000"/>
                    </w14:srgbClr>
                  </w14:solidFill>
                </w14:textFill>
              </w:rPr>
              <w:t>|</w:t>
            </w:r>
            <w:r w:rsidRPr="00864502">
              <w:rPr>
                <w:rFonts w:hint="eastAsia"/>
                <w:color w:val="000000"/>
                <w:spacing w:val="-10"/>
                <w:w w:val="15"/>
                <w:shd w:val="solid" w:color="000000" w:fill="000000"/>
                <w:fitText w:val="55" w:id="-961874164"/>
                <w14:textFill>
                  <w14:solidFill>
                    <w14:srgbClr w14:val="000000">
                      <w14:alpha w14:val="100000"/>
                    </w14:srgbClr>
                  </w14:solidFill>
                </w14:textFill>
              </w:rPr>
              <w:t xml:space="preserve">　</w:t>
            </w:r>
            <w:r w:rsidR="00665B98" w:rsidRPr="00727D32">
              <w:rPr>
                <w:vertAlign w:val="superscript"/>
              </w:rPr>
              <w:t>6</w:t>
            </w:r>
          </w:p>
        </w:tc>
      </w:tr>
      <w:tr w:rsidR="006F3D74" w:rsidRPr="00EB31F2" w14:paraId="5AEE48C4" w14:textId="77777777" w:rsidTr="00B4786B">
        <w:tc>
          <w:tcPr>
            <w:tcW w:w="1333" w:type="pct"/>
            <w:shd w:val="clear" w:color="auto" w:fill="auto"/>
          </w:tcPr>
          <w:p w14:paraId="303727C0" w14:textId="45BBBE1B" w:rsidR="006F3D74" w:rsidRPr="00EB31F2" w:rsidRDefault="006F3D74" w:rsidP="006F3D74">
            <w:pPr>
              <w:pStyle w:val="TableText0"/>
              <w:rPr>
                <w:rFonts w:cstheme="minorHAnsi"/>
                <w:szCs w:val="20"/>
              </w:rPr>
            </w:pPr>
            <w:r w:rsidRPr="00EB31F2">
              <w:rPr>
                <w:rFonts w:cstheme="minorHAnsi"/>
                <w:szCs w:val="20"/>
              </w:rPr>
              <w:t>Total cost to PBS</w:t>
            </w:r>
          </w:p>
        </w:tc>
        <w:tc>
          <w:tcPr>
            <w:tcW w:w="611" w:type="pct"/>
            <w:shd w:val="clear" w:color="auto" w:fill="auto"/>
          </w:tcPr>
          <w:p w14:paraId="4EFCBEE6" w14:textId="340EA47A" w:rsidR="006F3D74" w:rsidRPr="00B166BA" w:rsidRDefault="00864502" w:rsidP="006F3D74">
            <w:pPr>
              <w:pStyle w:val="TableText0"/>
              <w:jc w:val="center"/>
              <w:rPr>
                <w:highlight w:val="lightGray"/>
              </w:rPr>
            </w:pPr>
            <w:r w:rsidRPr="00864502">
              <w:rPr>
                <w:rFonts w:hint="eastAsia"/>
                <w:color w:val="000000"/>
                <w:w w:val="15"/>
                <w:shd w:val="solid" w:color="000000" w:fill="000000"/>
                <w:fitText w:val="55" w:id="-961874163"/>
                <w14:textFill>
                  <w14:solidFill>
                    <w14:srgbClr w14:val="000000">
                      <w14:alpha w14:val="100000"/>
                    </w14:srgbClr>
                  </w14:solidFill>
                </w14:textFill>
              </w:rPr>
              <w:t xml:space="preserve">　</w:t>
            </w:r>
            <w:r w:rsidRPr="00864502">
              <w:rPr>
                <w:color w:val="000000"/>
                <w:w w:val="15"/>
                <w:shd w:val="solid" w:color="000000" w:fill="000000"/>
                <w:fitText w:val="55" w:id="-961874163"/>
                <w14:textFill>
                  <w14:solidFill>
                    <w14:srgbClr w14:val="000000">
                      <w14:alpha w14:val="100000"/>
                    </w14:srgbClr>
                  </w14:solidFill>
                </w14:textFill>
              </w:rPr>
              <w:t>|</w:t>
            </w:r>
            <w:r w:rsidRPr="00864502">
              <w:rPr>
                <w:rFonts w:hint="eastAsia"/>
                <w:color w:val="000000"/>
                <w:spacing w:val="-10"/>
                <w:w w:val="15"/>
                <w:shd w:val="solid" w:color="000000" w:fill="000000"/>
                <w:fitText w:val="55" w:id="-961874163"/>
                <w14:textFill>
                  <w14:solidFill>
                    <w14:srgbClr w14:val="000000">
                      <w14:alpha w14:val="100000"/>
                    </w14:srgbClr>
                  </w14:solidFill>
                </w14:textFill>
              </w:rPr>
              <w:t xml:space="preserve">　</w:t>
            </w:r>
            <w:r w:rsidR="00A87ECE" w:rsidRPr="00727D32">
              <w:rPr>
                <w:vertAlign w:val="superscript"/>
              </w:rPr>
              <w:t>3</w:t>
            </w:r>
          </w:p>
        </w:tc>
        <w:tc>
          <w:tcPr>
            <w:tcW w:w="611" w:type="pct"/>
            <w:shd w:val="clear" w:color="auto" w:fill="auto"/>
          </w:tcPr>
          <w:p w14:paraId="513468B4" w14:textId="0703B664" w:rsidR="006F3D74" w:rsidRPr="00B166BA" w:rsidRDefault="00864502" w:rsidP="006F3D74">
            <w:pPr>
              <w:pStyle w:val="TableText0"/>
              <w:jc w:val="center"/>
              <w:rPr>
                <w:highlight w:val="lightGray"/>
              </w:rPr>
            </w:pPr>
            <w:r w:rsidRPr="00864502">
              <w:rPr>
                <w:rFonts w:hint="eastAsia"/>
                <w:color w:val="000000"/>
                <w:w w:val="15"/>
                <w:shd w:val="solid" w:color="000000" w:fill="000000"/>
                <w:fitText w:val="55" w:id="-961874162"/>
                <w14:textFill>
                  <w14:solidFill>
                    <w14:srgbClr w14:val="000000">
                      <w14:alpha w14:val="100000"/>
                    </w14:srgbClr>
                  </w14:solidFill>
                </w14:textFill>
              </w:rPr>
              <w:t xml:space="preserve">　</w:t>
            </w:r>
            <w:r w:rsidRPr="00864502">
              <w:rPr>
                <w:color w:val="000000"/>
                <w:w w:val="15"/>
                <w:shd w:val="solid" w:color="000000" w:fill="000000"/>
                <w:fitText w:val="55" w:id="-961874162"/>
                <w14:textFill>
                  <w14:solidFill>
                    <w14:srgbClr w14:val="000000">
                      <w14:alpha w14:val="100000"/>
                    </w14:srgbClr>
                  </w14:solidFill>
                </w14:textFill>
              </w:rPr>
              <w:t>|</w:t>
            </w:r>
            <w:r w:rsidRPr="00864502">
              <w:rPr>
                <w:rFonts w:hint="eastAsia"/>
                <w:color w:val="000000"/>
                <w:spacing w:val="-10"/>
                <w:w w:val="15"/>
                <w:shd w:val="solid" w:color="000000" w:fill="000000"/>
                <w:fitText w:val="55" w:id="-961874162"/>
                <w14:textFill>
                  <w14:solidFill>
                    <w14:srgbClr w14:val="000000">
                      <w14:alpha w14:val="100000"/>
                    </w14:srgbClr>
                  </w14:solidFill>
                </w14:textFill>
              </w:rPr>
              <w:t xml:space="preserve">　</w:t>
            </w:r>
            <w:r w:rsidR="00A87ECE" w:rsidRPr="00727D32">
              <w:rPr>
                <w:vertAlign w:val="superscript"/>
              </w:rPr>
              <w:t>4</w:t>
            </w:r>
          </w:p>
        </w:tc>
        <w:tc>
          <w:tcPr>
            <w:tcW w:w="611" w:type="pct"/>
            <w:shd w:val="clear" w:color="auto" w:fill="auto"/>
          </w:tcPr>
          <w:p w14:paraId="62A1917D" w14:textId="1607AA88" w:rsidR="006F3D74" w:rsidRPr="00B166BA" w:rsidRDefault="00864502" w:rsidP="006F3D74">
            <w:pPr>
              <w:pStyle w:val="TableText0"/>
              <w:jc w:val="center"/>
              <w:rPr>
                <w:highlight w:val="lightGray"/>
              </w:rPr>
            </w:pPr>
            <w:r w:rsidRPr="00864502">
              <w:rPr>
                <w:rFonts w:hint="eastAsia"/>
                <w:color w:val="000000"/>
                <w:w w:val="15"/>
                <w:shd w:val="solid" w:color="000000" w:fill="000000"/>
                <w:fitText w:val="54" w:id="-961874161"/>
                <w14:textFill>
                  <w14:solidFill>
                    <w14:srgbClr w14:val="000000">
                      <w14:alpha w14:val="100000"/>
                    </w14:srgbClr>
                  </w14:solidFill>
                </w14:textFill>
              </w:rPr>
              <w:t xml:space="preserve">　</w:t>
            </w:r>
            <w:r w:rsidRPr="00864502">
              <w:rPr>
                <w:color w:val="000000"/>
                <w:w w:val="15"/>
                <w:shd w:val="solid" w:color="000000" w:fill="000000"/>
                <w:fitText w:val="54" w:id="-961874161"/>
                <w14:textFill>
                  <w14:solidFill>
                    <w14:srgbClr w14:val="000000">
                      <w14:alpha w14:val="100000"/>
                    </w14:srgbClr>
                  </w14:solidFill>
                </w14:textFill>
              </w:rPr>
              <w:t>|</w:t>
            </w:r>
            <w:r w:rsidRPr="00864502">
              <w:rPr>
                <w:rFonts w:hint="eastAsia"/>
                <w:color w:val="000000"/>
                <w:spacing w:val="-11"/>
                <w:w w:val="15"/>
                <w:shd w:val="solid" w:color="000000" w:fill="000000"/>
                <w:fitText w:val="54" w:id="-961874161"/>
                <w14:textFill>
                  <w14:solidFill>
                    <w14:srgbClr w14:val="000000">
                      <w14:alpha w14:val="100000"/>
                    </w14:srgbClr>
                  </w14:solidFill>
                </w14:textFill>
              </w:rPr>
              <w:t xml:space="preserve">　</w:t>
            </w:r>
            <w:r w:rsidR="00A87ECE" w:rsidRPr="00727D32">
              <w:rPr>
                <w:vertAlign w:val="superscript"/>
              </w:rPr>
              <w:t>4</w:t>
            </w:r>
          </w:p>
        </w:tc>
        <w:tc>
          <w:tcPr>
            <w:tcW w:w="611" w:type="pct"/>
            <w:shd w:val="clear" w:color="auto" w:fill="auto"/>
          </w:tcPr>
          <w:p w14:paraId="6B5748EA" w14:textId="73D372B9" w:rsidR="006F3D74" w:rsidRPr="00B166BA" w:rsidRDefault="00864502" w:rsidP="006F3D74">
            <w:pPr>
              <w:pStyle w:val="TableText0"/>
              <w:jc w:val="center"/>
              <w:rPr>
                <w:highlight w:val="lightGray"/>
              </w:rPr>
            </w:pPr>
            <w:r w:rsidRPr="00864502">
              <w:rPr>
                <w:rFonts w:hint="eastAsia"/>
                <w:color w:val="000000"/>
                <w:w w:val="15"/>
                <w:shd w:val="solid" w:color="000000" w:fill="000000"/>
                <w:fitText w:val="54" w:id="-961874160"/>
                <w14:textFill>
                  <w14:solidFill>
                    <w14:srgbClr w14:val="000000">
                      <w14:alpha w14:val="100000"/>
                    </w14:srgbClr>
                  </w14:solidFill>
                </w14:textFill>
              </w:rPr>
              <w:t xml:space="preserve">　</w:t>
            </w:r>
            <w:r w:rsidRPr="00864502">
              <w:rPr>
                <w:color w:val="000000"/>
                <w:w w:val="15"/>
                <w:shd w:val="solid" w:color="000000" w:fill="000000"/>
                <w:fitText w:val="54" w:id="-961874160"/>
                <w14:textFill>
                  <w14:solidFill>
                    <w14:srgbClr w14:val="000000">
                      <w14:alpha w14:val="100000"/>
                    </w14:srgbClr>
                  </w14:solidFill>
                </w14:textFill>
              </w:rPr>
              <w:t>|</w:t>
            </w:r>
            <w:r w:rsidRPr="00864502">
              <w:rPr>
                <w:rFonts w:hint="eastAsia"/>
                <w:color w:val="000000"/>
                <w:spacing w:val="-11"/>
                <w:w w:val="15"/>
                <w:shd w:val="solid" w:color="000000" w:fill="000000"/>
                <w:fitText w:val="54" w:id="-961874160"/>
                <w14:textFill>
                  <w14:solidFill>
                    <w14:srgbClr w14:val="000000">
                      <w14:alpha w14:val="100000"/>
                    </w14:srgbClr>
                  </w14:solidFill>
                </w14:textFill>
              </w:rPr>
              <w:t xml:space="preserve">　</w:t>
            </w:r>
            <w:r w:rsidR="00A87ECE" w:rsidRPr="00727D32">
              <w:rPr>
                <w:vertAlign w:val="superscript"/>
              </w:rPr>
              <w:t>5</w:t>
            </w:r>
          </w:p>
        </w:tc>
        <w:tc>
          <w:tcPr>
            <w:tcW w:w="611" w:type="pct"/>
            <w:shd w:val="clear" w:color="auto" w:fill="auto"/>
          </w:tcPr>
          <w:p w14:paraId="0E95376A" w14:textId="2A382317" w:rsidR="006F3D74" w:rsidRPr="00B166BA" w:rsidRDefault="00864502" w:rsidP="006F3D74">
            <w:pPr>
              <w:pStyle w:val="TableText0"/>
              <w:jc w:val="center"/>
              <w:rPr>
                <w:highlight w:val="lightGray"/>
              </w:rPr>
            </w:pPr>
            <w:r w:rsidRPr="00864502">
              <w:rPr>
                <w:rFonts w:hint="eastAsia"/>
                <w:color w:val="000000"/>
                <w:w w:val="15"/>
                <w:shd w:val="solid" w:color="000000" w:fill="000000"/>
                <w:fitText w:val="55" w:id="-961874176"/>
                <w14:textFill>
                  <w14:solidFill>
                    <w14:srgbClr w14:val="000000">
                      <w14:alpha w14:val="100000"/>
                    </w14:srgbClr>
                  </w14:solidFill>
                </w14:textFill>
              </w:rPr>
              <w:t xml:space="preserve">　</w:t>
            </w:r>
            <w:r w:rsidRPr="00864502">
              <w:rPr>
                <w:color w:val="000000"/>
                <w:w w:val="15"/>
                <w:shd w:val="solid" w:color="000000" w:fill="000000"/>
                <w:fitText w:val="55" w:id="-961874176"/>
                <w14:textFill>
                  <w14:solidFill>
                    <w14:srgbClr w14:val="000000">
                      <w14:alpha w14:val="100000"/>
                    </w14:srgbClr>
                  </w14:solidFill>
                </w14:textFill>
              </w:rPr>
              <w:t>|</w:t>
            </w:r>
            <w:r w:rsidRPr="00864502">
              <w:rPr>
                <w:rFonts w:hint="eastAsia"/>
                <w:color w:val="000000"/>
                <w:spacing w:val="-10"/>
                <w:w w:val="15"/>
                <w:shd w:val="solid" w:color="000000" w:fill="000000"/>
                <w:fitText w:val="55" w:id="-961874176"/>
                <w14:textFill>
                  <w14:solidFill>
                    <w14:srgbClr w14:val="000000">
                      <w14:alpha w14:val="100000"/>
                    </w14:srgbClr>
                  </w14:solidFill>
                </w14:textFill>
              </w:rPr>
              <w:t xml:space="preserve">　</w:t>
            </w:r>
            <w:r w:rsidR="00A87ECE" w:rsidRPr="00727D32">
              <w:rPr>
                <w:vertAlign w:val="superscript"/>
              </w:rPr>
              <w:t>5</w:t>
            </w:r>
          </w:p>
        </w:tc>
        <w:tc>
          <w:tcPr>
            <w:tcW w:w="612" w:type="pct"/>
          </w:tcPr>
          <w:p w14:paraId="0D7BA179" w14:textId="7C8D48D4" w:rsidR="006F3D74" w:rsidRPr="00B166BA" w:rsidRDefault="00864502" w:rsidP="006F3D74">
            <w:pPr>
              <w:pStyle w:val="TableText0"/>
              <w:jc w:val="center"/>
              <w:rPr>
                <w:highlight w:val="lightGray"/>
              </w:rPr>
            </w:pPr>
            <w:r w:rsidRPr="00864502">
              <w:rPr>
                <w:rFonts w:hint="eastAsia"/>
                <w:color w:val="000000"/>
                <w:w w:val="15"/>
                <w:shd w:val="solid" w:color="000000" w:fill="000000"/>
                <w:fitText w:val="55" w:id="-961874175"/>
                <w14:textFill>
                  <w14:solidFill>
                    <w14:srgbClr w14:val="000000">
                      <w14:alpha w14:val="100000"/>
                    </w14:srgbClr>
                  </w14:solidFill>
                </w14:textFill>
              </w:rPr>
              <w:t xml:space="preserve">　</w:t>
            </w:r>
            <w:r w:rsidRPr="00864502">
              <w:rPr>
                <w:color w:val="000000"/>
                <w:w w:val="15"/>
                <w:shd w:val="solid" w:color="000000" w:fill="000000"/>
                <w:fitText w:val="55" w:id="-961874175"/>
                <w14:textFill>
                  <w14:solidFill>
                    <w14:srgbClr w14:val="000000">
                      <w14:alpha w14:val="100000"/>
                    </w14:srgbClr>
                  </w14:solidFill>
                </w14:textFill>
              </w:rPr>
              <w:t>|</w:t>
            </w:r>
            <w:r w:rsidRPr="00864502">
              <w:rPr>
                <w:rFonts w:hint="eastAsia"/>
                <w:color w:val="000000"/>
                <w:spacing w:val="-10"/>
                <w:w w:val="15"/>
                <w:shd w:val="solid" w:color="000000" w:fill="000000"/>
                <w:fitText w:val="55" w:id="-961874175"/>
                <w14:textFill>
                  <w14:solidFill>
                    <w14:srgbClr w14:val="000000">
                      <w14:alpha w14:val="100000"/>
                    </w14:srgbClr>
                  </w14:solidFill>
                </w14:textFill>
              </w:rPr>
              <w:t xml:space="preserve">　</w:t>
            </w:r>
            <w:r w:rsidR="00A87ECE" w:rsidRPr="00727D32">
              <w:rPr>
                <w:vertAlign w:val="superscript"/>
              </w:rPr>
              <w:t>5</w:t>
            </w:r>
          </w:p>
        </w:tc>
      </w:tr>
      <w:tr w:rsidR="006F3D74" w:rsidRPr="00EB31F2" w14:paraId="243165F0" w14:textId="77777777" w:rsidTr="00B4786B">
        <w:tc>
          <w:tcPr>
            <w:tcW w:w="1333" w:type="pct"/>
            <w:shd w:val="clear" w:color="auto" w:fill="auto"/>
          </w:tcPr>
          <w:p w14:paraId="60C9D403" w14:textId="34A29B50" w:rsidR="006F3D74" w:rsidRPr="00EB31F2" w:rsidRDefault="006F3D74" w:rsidP="006F3D74">
            <w:pPr>
              <w:pStyle w:val="TableText0"/>
              <w:rPr>
                <w:rFonts w:cstheme="minorHAnsi"/>
                <w:szCs w:val="20"/>
              </w:rPr>
            </w:pPr>
            <w:r w:rsidRPr="00EB31F2">
              <w:rPr>
                <w:rFonts w:cstheme="minorHAnsi"/>
                <w:szCs w:val="20"/>
              </w:rPr>
              <w:t>Changed listing</w:t>
            </w:r>
          </w:p>
        </w:tc>
        <w:tc>
          <w:tcPr>
            <w:tcW w:w="611" w:type="pct"/>
            <w:shd w:val="clear" w:color="auto" w:fill="auto"/>
          </w:tcPr>
          <w:p w14:paraId="39D75BF2" w14:textId="25BF3B28" w:rsidR="006F3D74" w:rsidRPr="00B166BA" w:rsidRDefault="00864502" w:rsidP="006F3D74">
            <w:pPr>
              <w:pStyle w:val="TableText0"/>
              <w:jc w:val="center"/>
              <w:rPr>
                <w:highlight w:val="lightGray"/>
              </w:rPr>
            </w:pPr>
            <w:r w:rsidRPr="00864502">
              <w:rPr>
                <w:rFonts w:hint="eastAsia"/>
                <w:color w:val="000000"/>
                <w:w w:val="15"/>
                <w:shd w:val="solid" w:color="000000" w:fill="000000"/>
                <w:fitText w:val="55" w:id="-961874174"/>
                <w14:textFill>
                  <w14:solidFill>
                    <w14:srgbClr w14:val="000000">
                      <w14:alpha w14:val="100000"/>
                    </w14:srgbClr>
                  </w14:solidFill>
                </w14:textFill>
              </w:rPr>
              <w:t xml:space="preserve">　</w:t>
            </w:r>
            <w:r w:rsidRPr="00864502">
              <w:rPr>
                <w:color w:val="000000"/>
                <w:w w:val="15"/>
                <w:shd w:val="solid" w:color="000000" w:fill="000000"/>
                <w:fitText w:val="55" w:id="-961874174"/>
                <w14:textFill>
                  <w14:solidFill>
                    <w14:srgbClr w14:val="000000">
                      <w14:alpha w14:val="100000"/>
                    </w14:srgbClr>
                  </w14:solidFill>
                </w14:textFill>
              </w:rPr>
              <w:t>|</w:t>
            </w:r>
            <w:r w:rsidRPr="00864502">
              <w:rPr>
                <w:rFonts w:hint="eastAsia"/>
                <w:color w:val="000000"/>
                <w:spacing w:val="-10"/>
                <w:w w:val="15"/>
                <w:shd w:val="solid" w:color="000000" w:fill="000000"/>
                <w:fitText w:val="55" w:id="-961874174"/>
                <w14:textFill>
                  <w14:solidFill>
                    <w14:srgbClr w14:val="000000">
                      <w14:alpha w14:val="100000"/>
                    </w14:srgbClr>
                  </w14:solidFill>
                </w14:textFill>
              </w:rPr>
              <w:t xml:space="preserve">　</w:t>
            </w:r>
            <w:r w:rsidR="00665B98" w:rsidRPr="00727D32">
              <w:rPr>
                <w:vertAlign w:val="superscript"/>
              </w:rPr>
              <w:t>6</w:t>
            </w:r>
          </w:p>
        </w:tc>
        <w:tc>
          <w:tcPr>
            <w:tcW w:w="611" w:type="pct"/>
            <w:shd w:val="clear" w:color="auto" w:fill="auto"/>
          </w:tcPr>
          <w:p w14:paraId="15EF1920" w14:textId="66114DBF" w:rsidR="006F3D74" w:rsidRPr="00B166BA" w:rsidRDefault="00864502" w:rsidP="006F3D74">
            <w:pPr>
              <w:pStyle w:val="TableText0"/>
              <w:jc w:val="center"/>
              <w:rPr>
                <w:highlight w:val="lightGray"/>
              </w:rPr>
            </w:pPr>
            <w:r w:rsidRPr="00864502">
              <w:rPr>
                <w:rFonts w:hint="eastAsia"/>
                <w:color w:val="000000"/>
                <w:w w:val="15"/>
                <w:shd w:val="solid" w:color="000000" w:fill="000000"/>
                <w:fitText w:val="55" w:id="-961874173"/>
                <w14:textFill>
                  <w14:solidFill>
                    <w14:srgbClr w14:val="000000">
                      <w14:alpha w14:val="100000"/>
                    </w14:srgbClr>
                  </w14:solidFill>
                </w14:textFill>
              </w:rPr>
              <w:t xml:space="preserve">　</w:t>
            </w:r>
            <w:r w:rsidRPr="00864502">
              <w:rPr>
                <w:color w:val="000000"/>
                <w:w w:val="15"/>
                <w:shd w:val="solid" w:color="000000" w:fill="000000"/>
                <w:fitText w:val="55" w:id="-961874173"/>
                <w14:textFill>
                  <w14:solidFill>
                    <w14:srgbClr w14:val="000000">
                      <w14:alpha w14:val="100000"/>
                    </w14:srgbClr>
                  </w14:solidFill>
                </w14:textFill>
              </w:rPr>
              <w:t>|</w:t>
            </w:r>
            <w:r w:rsidRPr="00864502">
              <w:rPr>
                <w:rFonts w:hint="eastAsia"/>
                <w:color w:val="000000"/>
                <w:spacing w:val="-10"/>
                <w:w w:val="15"/>
                <w:shd w:val="solid" w:color="000000" w:fill="000000"/>
                <w:fitText w:val="55" w:id="-961874173"/>
                <w14:textFill>
                  <w14:solidFill>
                    <w14:srgbClr w14:val="000000">
                      <w14:alpha w14:val="100000"/>
                    </w14:srgbClr>
                  </w14:solidFill>
                </w14:textFill>
              </w:rPr>
              <w:t xml:space="preserve">　</w:t>
            </w:r>
            <w:r w:rsidR="00665B98" w:rsidRPr="00727D32">
              <w:rPr>
                <w:vertAlign w:val="superscript"/>
              </w:rPr>
              <w:t>6</w:t>
            </w:r>
          </w:p>
        </w:tc>
        <w:tc>
          <w:tcPr>
            <w:tcW w:w="611" w:type="pct"/>
            <w:shd w:val="clear" w:color="auto" w:fill="auto"/>
          </w:tcPr>
          <w:p w14:paraId="10A39BAC" w14:textId="6FB9BAD4" w:rsidR="006F3D74" w:rsidRPr="00B166BA" w:rsidRDefault="00864502" w:rsidP="006F3D74">
            <w:pPr>
              <w:pStyle w:val="TableText0"/>
              <w:jc w:val="center"/>
              <w:rPr>
                <w:highlight w:val="lightGray"/>
              </w:rPr>
            </w:pPr>
            <w:r w:rsidRPr="00864502">
              <w:rPr>
                <w:rFonts w:hint="eastAsia"/>
                <w:color w:val="000000"/>
                <w:w w:val="15"/>
                <w:shd w:val="solid" w:color="000000" w:fill="000000"/>
                <w:fitText w:val="54" w:id="-961874172"/>
                <w14:textFill>
                  <w14:solidFill>
                    <w14:srgbClr w14:val="000000">
                      <w14:alpha w14:val="100000"/>
                    </w14:srgbClr>
                  </w14:solidFill>
                </w14:textFill>
              </w:rPr>
              <w:t xml:space="preserve">　</w:t>
            </w:r>
            <w:r w:rsidRPr="00864502">
              <w:rPr>
                <w:color w:val="000000"/>
                <w:w w:val="15"/>
                <w:shd w:val="solid" w:color="000000" w:fill="000000"/>
                <w:fitText w:val="54" w:id="-961874172"/>
                <w14:textFill>
                  <w14:solidFill>
                    <w14:srgbClr w14:val="000000">
                      <w14:alpha w14:val="100000"/>
                    </w14:srgbClr>
                  </w14:solidFill>
                </w14:textFill>
              </w:rPr>
              <w:t>|</w:t>
            </w:r>
            <w:r w:rsidRPr="00864502">
              <w:rPr>
                <w:rFonts w:hint="eastAsia"/>
                <w:color w:val="000000"/>
                <w:spacing w:val="-11"/>
                <w:w w:val="15"/>
                <w:shd w:val="solid" w:color="000000" w:fill="000000"/>
                <w:fitText w:val="54" w:id="-961874172"/>
                <w14:textFill>
                  <w14:solidFill>
                    <w14:srgbClr w14:val="000000">
                      <w14:alpha w14:val="100000"/>
                    </w14:srgbClr>
                  </w14:solidFill>
                </w14:textFill>
              </w:rPr>
              <w:t xml:space="preserve">　</w:t>
            </w:r>
            <w:r w:rsidR="00665B98" w:rsidRPr="00727D32">
              <w:rPr>
                <w:vertAlign w:val="superscript"/>
              </w:rPr>
              <w:t>6</w:t>
            </w:r>
          </w:p>
        </w:tc>
        <w:tc>
          <w:tcPr>
            <w:tcW w:w="611" w:type="pct"/>
            <w:shd w:val="clear" w:color="auto" w:fill="auto"/>
          </w:tcPr>
          <w:p w14:paraId="6F97CE0D" w14:textId="4D5A6438" w:rsidR="006F3D74" w:rsidRPr="00B166BA" w:rsidRDefault="00864502" w:rsidP="006F3D74">
            <w:pPr>
              <w:pStyle w:val="TableText0"/>
              <w:jc w:val="center"/>
              <w:rPr>
                <w:highlight w:val="lightGray"/>
              </w:rPr>
            </w:pPr>
            <w:r w:rsidRPr="00864502">
              <w:rPr>
                <w:rFonts w:hint="eastAsia"/>
                <w:color w:val="000000"/>
                <w:w w:val="15"/>
                <w:shd w:val="solid" w:color="000000" w:fill="000000"/>
                <w:fitText w:val="54" w:id="-961874171"/>
                <w14:textFill>
                  <w14:solidFill>
                    <w14:srgbClr w14:val="000000">
                      <w14:alpha w14:val="100000"/>
                    </w14:srgbClr>
                  </w14:solidFill>
                </w14:textFill>
              </w:rPr>
              <w:t xml:space="preserve">　</w:t>
            </w:r>
            <w:r w:rsidRPr="00864502">
              <w:rPr>
                <w:color w:val="000000"/>
                <w:w w:val="15"/>
                <w:shd w:val="solid" w:color="000000" w:fill="000000"/>
                <w:fitText w:val="54" w:id="-961874171"/>
                <w14:textFill>
                  <w14:solidFill>
                    <w14:srgbClr w14:val="000000">
                      <w14:alpha w14:val="100000"/>
                    </w14:srgbClr>
                  </w14:solidFill>
                </w14:textFill>
              </w:rPr>
              <w:t>|</w:t>
            </w:r>
            <w:r w:rsidRPr="00864502">
              <w:rPr>
                <w:rFonts w:hint="eastAsia"/>
                <w:color w:val="000000"/>
                <w:spacing w:val="-11"/>
                <w:w w:val="15"/>
                <w:shd w:val="solid" w:color="000000" w:fill="000000"/>
                <w:fitText w:val="54" w:id="-961874171"/>
                <w14:textFill>
                  <w14:solidFill>
                    <w14:srgbClr w14:val="000000">
                      <w14:alpha w14:val="100000"/>
                    </w14:srgbClr>
                  </w14:solidFill>
                </w14:textFill>
              </w:rPr>
              <w:t xml:space="preserve">　</w:t>
            </w:r>
            <w:r w:rsidR="00665B98" w:rsidRPr="00727D32">
              <w:rPr>
                <w:vertAlign w:val="superscript"/>
              </w:rPr>
              <w:t>6</w:t>
            </w:r>
          </w:p>
        </w:tc>
        <w:tc>
          <w:tcPr>
            <w:tcW w:w="611" w:type="pct"/>
            <w:shd w:val="clear" w:color="auto" w:fill="auto"/>
          </w:tcPr>
          <w:p w14:paraId="2DC8CE3F" w14:textId="05026EC5" w:rsidR="006F3D74" w:rsidRPr="00B166BA" w:rsidRDefault="00864502" w:rsidP="006F3D74">
            <w:pPr>
              <w:pStyle w:val="TableText0"/>
              <w:jc w:val="center"/>
              <w:rPr>
                <w:highlight w:val="lightGray"/>
              </w:rPr>
            </w:pPr>
            <w:r w:rsidRPr="00864502">
              <w:rPr>
                <w:rFonts w:hint="eastAsia"/>
                <w:color w:val="000000"/>
                <w:w w:val="15"/>
                <w:shd w:val="solid" w:color="000000" w:fill="000000"/>
                <w:fitText w:val="55" w:id="-961874170"/>
                <w14:textFill>
                  <w14:solidFill>
                    <w14:srgbClr w14:val="000000">
                      <w14:alpha w14:val="100000"/>
                    </w14:srgbClr>
                  </w14:solidFill>
                </w14:textFill>
              </w:rPr>
              <w:t xml:space="preserve">　</w:t>
            </w:r>
            <w:r w:rsidRPr="00864502">
              <w:rPr>
                <w:color w:val="000000"/>
                <w:w w:val="15"/>
                <w:shd w:val="solid" w:color="000000" w:fill="000000"/>
                <w:fitText w:val="55" w:id="-961874170"/>
                <w14:textFill>
                  <w14:solidFill>
                    <w14:srgbClr w14:val="000000">
                      <w14:alpha w14:val="100000"/>
                    </w14:srgbClr>
                  </w14:solidFill>
                </w14:textFill>
              </w:rPr>
              <w:t>|</w:t>
            </w:r>
            <w:r w:rsidRPr="00864502">
              <w:rPr>
                <w:rFonts w:hint="eastAsia"/>
                <w:color w:val="000000"/>
                <w:spacing w:val="-10"/>
                <w:w w:val="15"/>
                <w:shd w:val="solid" w:color="000000" w:fill="000000"/>
                <w:fitText w:val="55" w:id="-961874170"/>
                <w14:textFill>
                  <w14:solidFill>
                    <w14:srgbClr w14:val="000000">
                      <w14:alpha w14:val="100000"/>
                    </w14:srgbClr>
                  </w14:solidFill>
                </w14:textFill>
              </w:rPr>
              <w:t xml:space="preserve">　</w:t>
            </w:r>
            <w:r w:rsidR="00665B98" w:rsidRPr="00727D32">
              <w:rPr>
                <w:vertAlign w:val="superscript"/>
              </w:rPr>
              <w:t>6</w:t>
            </w:r>
          </w:p>
        </w:tc>
        <w:tc>
          <w:tcPr>
            <w:tcW w:w="612" w:type="pct"/>
          </w:tcPr>
          <w:p w14:paraId="0B9D14BE" w14:textId="0EA9B350" w:rsidR="006F3D74" w:rsidRPr="00B166BA" w:rsidRDefault="00864502" w:rsidP="006F3D74">
            <w:pPr>
              <w:pStyle w:val="TableText0"/>
              <w:jc w:val="center"/>
              <w:rPr>
                <w:highlight w:val="lightGray"/>
              </w:rPr>
            </w:pPr>
            <w:r w:rsidRPr="00864502">
              <w:rPr>
                <w:rFonts w:hint="eastAsia"/>
                <w:color w:val="000000"/>
                <w:w w:val="15"/>
                <w:shd w:val="solid" w:color="000000" w:fill="000000"/>
                <w:fitText w:val="55" w:id="-961874169"/>
                <w14:textFill>
                  <w14:solidFill>
                    <w14:srgbClr w14:val="000000">
                      <w14:alpha w14:val="100000"/>
                    </w14:srgbClr>
                  </w14:solidFill>
                </w14:textFill>
              </w:rPr>
              <w:t xml:space="preserve">　</w:t>
            </w:r>
            <w:r w:rsidRPr="00864502">
              <w:rPr>
                <w:color w:val="000000"/>
                <w:w w:val="15"/>
                <w:shd w:val="solid" w:color="000000" w:fill="000000"/>
                <w:fitText w:val="55" w:id="-961874169"/>
                <w14:textFill>
                  <w14:solidFill>
                    <w14:srgbClr w14:val="000000">
                      <w14:alpha w14:val="100000"/>
                    </w14:srgbClr>
                  </w14:solidFill>
                </w14:textFill>
              </w:rPr>
              <w:t>|</w:t>
            </w:r>
            <w:r w:rsidRPr="00864502">
              <w:rPr>
                <w:rFonts w:hint="eastAsia"/>
                <w:color w:val="000000"/>
                <w:spacing w:val="-10"/>
                <w:w w:val="15"/>
                <w:shd w:val="solid" w:color="000000" w:fill="000000"/>
                <w:fitText w:val="55" w:id="-961874169"/>
                <w14:textFill>
                  <w14:solidFill>
                    <w14:srgbClr w14:val="000000">
                      <w14:alpha w14:val="100000"/>
                    </w14:srgbClr>
                  </w14:solidFill>
                </w14:textFill>
              </w:rPr>
              <w:t xml:space="preserve">　</w:t>
            </w:r>
            <w:r w:rsidR="00665B98" w:rsidRPr="00727D32">
              <w:rPr>
                <w:vertAlign w:val="superscript"/>
              </w:rPr>
              <w:t>6</w:t>
            </w:r>
          </w:p>
        </w:tc>
      </w:tr>
      <w:tr w:rsidR="006F3D74" w:rsidRPr="00EB31F2" w14:paraId="5EFE0DF8" w14:textId="77777777">
        <w:tc>
          <w:tcPr>
            <w:tcW w:w="5000" w:type="pct"/>
            <w:gridSpan w:val="7"/>
            <w:shd w:val="clear" w:color="auto" w:fill="auto"/>
          </w:tcPr>
          <w:p w14:paraId="4A880393" w14:textId="275CE3AE" w:rsidR="006F3D74" w:rsidRPr="00EB31F2" w:rsidRDefault="006F3D74" w:rsidP="006F3D74">
            <w:pPr>
              <w:pStyle w:val="TableText0"/>
              <w:rPr>
                <w:rFonts w:cs="Tahoma"/>
                <w:b/>
                <w:bCs w:val="0"/>
                <w:szCs w:val="20"/>
              </w:rPr>
            </w:pPr>
            <w:r w:rsidRPr="00EB31F2">
              <w:rPr>
                <w:b/>
                <w:bCs w:val="0"/>
                <w:szCs w:val="20"/>
              </w:rPr>
              <w:t>Estimated RPBS financial implications of the proposed amendment</w:t>
            </w:r>
          </w:p>
        </w:tc>
      </w:tr>
      <w:tr w:rsidR="006F3D74" w:rsidRPr="00EB31F2" w14:paraId="5E0284C9" w14:textId="77777777" w:rsidTr="00B4786B">
        <w:tc>
          <w:tcPr>
            <w:tcW w:w="1333" w:type="pct"/>
            <w:shd w:val="clear" w:color="auto" w:fill="auto"/>
          </w:tcPr>
          <w:p w14:paraId="536ACEB1" w14:textId="60EF8750" w:rsidR="006F3D74" w:rsidRPr="00EB31F2" w:rsidRDefault="006F3D74" w:rsidP="006F3D74">
            <w:pPr>
              <w:pStyle w:val="TableText0"/>
              <w:rPr>
                <w:rFonts w:cstheme="minorHAnsi"/>
                <w:szCs w:val="20"/>
              </w:rPr>
            </w:pPr>
            <w:r w:rsidRPr="00EB31F2">
              <w:rPr>
                <w:rFonts w:cstheme="minorHAnsi"/>
                <w:szCs w:val="20"/>
              </w:rPr>
              <w:t>Cost to RPBS</w:t>
            </w:r>
          </w:p>
        </w:tc>
        <w:tc>
          <w:tcPr>
            <w:tcW w:w="611" w:type="pct"/>
            <w:shd w:val="clear" w:color="auto" w:fill="auto"/>
          </w:tcPr>
          <w:p w14:paraId="43882FD9" w14:textId="16F8991A"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68"/>
                <w14:textFill>
                  <w14:solidFill>
                    <w14:srgbClr w14:val="000000">
                      <w14:alpha w14:val="100000"/>
                    </w14:srgbClr>
                  </w14:solidFill>
                </w14:textFill>
              </w:rPr>
              <w:t xml:space="preserve">　</w:t>
            </w:r>
            <w:r w:rsidRPr="00864502">
              <w:rPr>
                <w:color w:val="000000"/>
                <w:w w:val="15"/>
                <w:shd w:val="solid" w:color="000000" w:fill="000000"/>
                <w:fitText w:val="55" w:id="-961874168"/>
                <w14:textFill>
                  <w14:solidFill>
                    <w14:srgbClr w14:val="000000">
                      <w14:alpha w14:val="100000"/>
                    </w14:srgbClr>
                  </w14:solidFill>
                </w14:textFill>
              </w:rPr>
              <w:t>|</w:t>
            </w:r>
            <w:r w:rsidRPr="00864502">
              <w:rPr>
                <w:rFonts w:hint="eastAsia"/>
                <w:color w:val="000000"/>
                <w:spacing w:val="-10"/>
                <w:w w:val="15"/>
                <w:shd w:val="solid" w:color="000000" w:fill="000000"/>
                <w:fitText w:val="55" w:id="-961874168"/>
                <w14:textFill>
                  <w14:solidFill>
                    <w14:srgbClr w14:val="000000">
                      <w14:alpha w14:val="100000"/>
                    </w14:srgbClr>
                  </w14:solidFill>
                </w14:textFill>
              </w:rPr>
              <w:t xml:space="preserve">　</w:t>
            </w:r>
            <w:r w:rsidR="007E2B65" w:rsidRPr="00B166BA">
              <w:rPr>
                <w:vertAlign w:val="superscript"/>
              </w:rPr>
              <w:t>7</w:t>
            </w:r>
          </w:p>
        </w:tc>
        <w:tc>
          <w:tcPr>
            <w:tcW w:w="611" w:type="pct"/>
            <w:shd w:val="clear" w:color="auto" w:fill="auto"/>
          </w:tcPr>
          <w:p w14:paraId="5AA05F9D" w14:textId="033CBDC7"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67"/>
                <w14:textFill>
                  <w14:solidFill>
                    <w14:srgbClr w14:val="000000">
                      <w14:alpha w14:val="100000"/>
                    </w14:srgbClr>
                  </w14:solidFill>
                </w14:textFill>
              </w:rPr>
              <w:t xml:space="preserve">　</w:t>
            </w:r>
            <w:r w:rsidRPr="00864502">
              <w:rPr>
                <w:color w:val="000000"/>
                <w:w w:val="15"/>
                <w:shd w:val="solid" w:color="000000" w:fill="000000"/>
                <w:fitText w:val="55" w:id="-961874167"/>
                <w14:textFill>
                  <w14:solidFill>
                    <w14:srgbClr w14:val="000000">
                      <w14:alpha w14:val="100000"/>
                    </w14:srgbClr>
                  </w14:solidFill>
                </w14:textFill>
              </w:rPr>
              <w:t>|</w:t>
            </w:r>
            <w:r w:rsidRPr="00864502">
              <w:rPr>
                <w:rFonts w:hint="eastAsia"/>
                <w:color w:val="000000"/>
                <w:spacing w:val="-10"/>
                <w:w w:val="15"/>
                <w:shd w:val="solid" w:color="000000" w:fill="000000"/>
                <w:fitText w:val="55" w:id="-961874167"/>
                <w14:textFill>
                  <w14:solidFill>
                    <w14:srgbClr w14:val="000000">
                      <w14:alpha w14:val="100000"/>
                    </w14:srgbClr>
                  </w14:solidFill>
                </w14:textFill>
              </w:rPr>
              <w:t xml:space="preserve">　</w:t>
            </w:r>
            <w:r w:rsidR="007E2B65" w:rsidRPr="00727D32">
              <w:rPr>
                <w:vertAlign w:val="superscript"/>
              </w:rPr>
              <w:t>7</w:t>
            </w:r>
          </w:p>
        </w:tc>
        <w:tc>
          <w:tcPr>
            <w:tcW w:w="611" w:type="pct"/>
            <w:shd w:val="clear" w:color="auto" w:fill="auto"/>
          </w:tcPr>
          <w:p w14:paraId="5580E453" w14:textId="41C0A54E"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4" w:id="-961874166"/>
                <w14:textFill>
                  <w14:solidFill>
                    <w14:srgbClr w14:val="000000">
                      <w14:alpha w14:val="100000"/>
                    </w14:srgbClr>
                  </w14:solidFill>
                </w14:textFill>
              </w:rPr>
              <w:t xml:space="preserve">　</w:t>
            </w:r>
            <w:r w:rsidRPr="00864502">
              <w:rPr>
                <w:color w:val="000000"/>
                <w:w w:val="15"/>
                <w:shd w:val="solid" w:color="000000" w:fill="000000"/>
                <w:fitText w:val="54" w:id="-961874166"/>
                <w14:textFill>
                  <w14:solidFill>
                    <w14:srgbClr w14:val="000000">
                      <w14:alpha w14:val="100000"/>
                    </w14:srgbClr>
                  </w14:solidFill>
                </w14:textFill>
              </w:rPr>
              <w:t>|</w:t>
            </w:r>
            <w:r w:rsidRPr="00864502">
              <w:rPr>
                <w:rFonts w:hint="eastAsia"/>
                <w:color w:val="000000"/>
                <w:spacing w:val="-11"/>
                <w:w w:val="15"/>
                <w:shd w:val="solid" w:color="000000" w:fill="000000"/>
                <w:fitText w:val="54" w:id="-961874166"/>
                <w14:textFill>
                  <w14:solidFill>
                    <w14:srgbClr w14:val="000000">
                      <w14:alpha w14:val="100000"/>
                    </w14:srgbClr>
                  </w14:solidFill>
                </w14:textFill>
              </w:rPr>
              <w:t xml:space="preserve">　</w:t>
            </w:r>
            <w:r w:rsidR="007E2B65" w:rsidRPr="00727D32">
              <w:rPr>
                <w:vertAlign w:val="superscript"/>
              </w:rPr>
              <w:t>7</w:t>
            </w:r>
          </w:p>
        </w:tc>
        <w:tc>
          <w:tcPr>
            <w:tcW w:w="611" w:type="pct"/>
            <w:shd w:val="clear" w:color="auto" w:fill="auto"/>
          </w:tcPr>
          <w:p w14:paraId="4CC41945" w14:textId="3D03F3C9"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4" w:id="-961874165"/>
                <w14:textFill>
                  <w14:solidFill>
                    <w14:srgbClr w14:val="000000">
                      <w14:alpha w14:val="100000"/>
                    </w14:srgbClr>
                  </w14:solidFill>
                </w14:textFill>
              </w:rPr>
              <w:t xml:space="preserve">　</w:t>
            </w:r>
            <w:r w:rsidRPr="00864502">
              <w:rPr>
                <w:color w:val="000000"/>
                <w:w w:val="15"/>
                <w:shd w:val="solid" w:color="000000" w:fill="000000"/>
                <w:fitText w:val="54" w:id="-961874165"/>
                <w14:textFill>
                  <w14:solidFill>
                    <w14:srgbClr w14:val="000000">
                      <w14:alpha w14:val="100000"/>
                    </w14:srgbClr>
                  </w14:solidFill>
                </w14:textFill>
              </w:rPr>
              <w:t>|</w:t>
            </w:r>
            <w:r w:rsidRPr="00864502">
              <w:rPr>
                <w:rFonts w:hint="eastAsia"/>
                <w:color w:val="000000"/>
                <w:spacing w:val="-11"/>
                <w:w w:val="15"/>
                <w:shd w:val="solid" w:color="000000" w:fill="000000"/>
                <w:fitText w:val="54" w:id="-961874165"/>
                <w14:textFill>
                  <w14:solidFill>
                    <w14:srgbClr w14:val="000000">
                      <w14:alpha w14:val="100000"/>
                    </w14:srgbClr>
                  </w14:solidFill>
                </w14:textFill>
              </w:rPr>
              <w:t xml:space="preserve">　</w:t>
            </w:r>
            <w:r w:rsidR="007E2B65" w:rsidRPr="00727D32">
              <w:rPr>
                <w:vertAlign w:val="superscript"/>
              </w:rPr>
              <w:t>7</w:t>
            </w:r>
          </w:p>
        </w:tc>
        <w:tc>
          <w:tcPr>
            <w:tcW w:w="611" w:type="pct"/>
            <w:shd w:val="clear" w:color="auto" w:fill="auto"/>
          </w:tcPr>
          <w:p w14:paraId="1A0A5318" w14:textId="4FABDA24"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64"/>
                <w14:textFill>
                  <w14:solidFill>
                    <w14:srgbClr w14:val="000000">
                      <w14:alpha w14:val="100000"/>
                    </w14:srgbClr>
                  </w14:solidFill>
                </w14:textFill>
              </w:rPr>
              <w:t xml:space="preserve">　</w:t>
            </w:r>
            <w:r w:rsidRPr="00864502">
              <w:rPr>
                <w:color w:val="000000"/>
                <w:w w:val="15"/>
                <w:shd w:val="solid" w:color="000000" w:fill="000000"/>
                <w:fitText w:val="55" w:id="-961874164"/>
                <w14:textFill>
                  <w14:solidFill>
                    <w14:srgbClr w14:val="000000">
                      <w14:alpha w14:val="100000"/>
                    </w14:srgbClr>
                  </w14:solidFill>
                </w14:textFill>
              </w:rPr>
              <w:t>|</w:t>
            </w:r>
            <w:r w:rsidRPr="00864502">
              <w:rPr>
                <w:rFonts w:hint="eastAsia"/>
                <w:color w:val="000000"/>
                <w:spacing w:val="-10"/>
                <w:w w:val="15"/>
                <w:shd w:val="solid" w:color="000000" w:fill="000000"/>
                <w:fitText w:val="55" w:id="-961874164"/>
                <w14:textFill>
                  <w14:solidFill>
                    <w14:srgbClr w14:val="000000">
                      <w14:alpha w14:val="100000"/>
                    </w14:srgbClr>
                  </w14:solidFill>
                </w14:textFill>
              </w:rPr>
              <w:t xml:space="preserve">　</w:t>
            </w:r>
            <w:r w:rsidR="007E2B65" w:rsidRPr="00727D32">
              <w:rPr>
                <w:vertAlign w:val="superscript"/>
              </w:rPr>
              <w:t>7</w:t>
            </w:r>
          </w:p>
        </w:tc>
        <w:tc>
          <w:tcPr>
            <w:tcW w:w="612" w:type="pct"/>
          </w:tcPr>
          <w:p w14:paraId="19229032" w14:textId="6F19D03B"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63"/>
                <w14:textFill>
                  <w14:solidFill>
                    <w14:srgbClr w14:val="000000">
                      <w14:alpha w14:val="100000"/>
                    </w14:srgbClr>
                  </w14:solidFill>
                </w14:textFill>
              </w:rPr>
              <w:t xml:space="preserve">　</w:t>
            </w:r>
            <w:r w:rsidRPr="00864502">
              <w:rPr>
                <w:color w:val="000000"/>
                <w:w w:val="15"/>
                <w:shd w:val="solid" w:color="000000" w:fill="000000"/>
                <w:fitText w:val="55" w:id="-961874163"/>
                <w14:textFill>
                  <w14:solidFill>
                    <w14:srgbClr w14:val="000000">
                      <w14:alpha w14:val="100000"/>
                    </w14:srgbClr>
                  </w14:solidFill>
                </w14:textFill>
              </w:rPr>
              <w:t>|</w:t>
            </w:r>
            <w:r w:rsidRPr="00864502">
              <w:rPr>
                <w:rFonts w:hint="eastAsia"/>
                <w:color w:val="000000"/>
                <w:spacing w:val="-10"/>
                <w:w w:val="15"/>
                <w:shd w:val="solid" w:color="000000" w:fill="000000"/>
                <w:fitText w:val="55" w:id="-961874163"/>
                <w14:textFill>
                  <w14:solidFill>
                    <w14:srgbClr w14:val="000000">
                      <w14:alpha w14:val="100000"/>
                    </w14:srgbClr>
                  </w14:solidFill>
                </w14:textFill>
              </w:rPr>
              <w:t xml:space="preserve">　</w:t>
            </w:r>
            <w:r w:rsidR="007E2B65" w:rsidRPr="00727D32">
              <w:rPr>
                <w:vertAlign w:val="superscript"/>
              </w:rPr>
              <w:t>7</w:t>
            </w:r>
          </w:p>
        </w:tc>
      </w:tr>
      <w:tr w:rsidR="006F3D74" w:rsidRPr="00EB31F2" w14:paraId="18426014" w14:textId="77777777" w:rsidTr="00B4786B">
        <w:tc>
          <w:tcPr>
            <w:tcW w:w="1333" w:type="pct"/>
            <w:shd w:val="clear" w:color="auto" w:fill="auto"/>
          </w:tcPr>
          <w:p w14:paraId="21ACFCD2" w14:textId="77777777" w:rsidR="006F3D74" w:rsidRPr="00EB31F2" w:rsidRDefault="006F3D74" w:rsidP="006F3D74">
            <w:pPr>
              <w:pStyle w:val="TableText0"/>
              <w:rPr>
                <w:rFonts w:cstheme="minorHAnsi"/>
                <w:szCs w:val="20"/>
              </w:rPr>
            </w:pPr>
            <w:r w:rsidRPr="00EB31F2">
              <w:rPr>
                <w:rFonts w:cstheme="minorHAnsi"/>
                <w:szCs w:val="20"/>
              </w:rPr>
              <w:t>Patient copayments</w:t>
            </w:r>
          </w:p>
        </w:tc>
        <w:tc>
          <w:tcPr>
            <w:tcW w:w="611" w:type="pct"/>
            <w:shd w:val="clear" w:color="auto" w:fill="auto"/>
          </w:tcPr>
          <w:p w14:paraId="046BCA0D" w14:textId="35EA518C"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62"/>
                <w14:textFill>
                  <w14:solidFill>
                    <w14:srgbClr w14:val="000000">
                      <w14:alpha w14:val="100000"/>
                    </w14:srgbClr>
                  </w14:solidFill>
                </w14:textFill>
              </w:rPr>
              <w:t xml:space="preserve">　</w:t>
            </w:r>
            <w:r w:rsidRPr="00864502">
              <w:rPr>
                <w:color w:val="000000"/>
                <w:w w:val="15"/>
                <w:shd w:val="solid" w:color="000000" w:fill="000000"/>
                <w:fitText w:val="55" w:id="-961874162"/>
                <w14:textFill>
                  <w14:solidFill>
                    <w14:srgbClr w14:val="000000">
                      <w14:alpha w14:val="100000"/>
                    </w14:srgbClr>
                  </w14:solidFill>
                </w14:textFill>
              </w:rPr>
              <w:t>|</w:t>
            </w:r>
            <w:r w:rsidRPr="00864502">
              <w:rPr>
                <w:rFonts w:hint="eastAsia"/>
                <w:color w:val="000000"/>
                <w:spacing w:val="-10"/>
                <w:w w:val="15"/>
                <w:shd w:val="solid" w:color="000000" w:fill="000000"/>
                <w:fitText w:val="55" w:id="-961874162"/>
                <w14:textFill>
                  <w14:solidFill>
                    <w14:srgbClr w14:val="000000">
                      <w14:alpha w14:val="100000"/>
                    </w14:srgbClr>
                  </w14:solidFill>
                </w14:textFill>
              </w:rPr>
              <w:t xml:space="preserve">　</w:t>
            </w:r>
            <w:r w:rsidR="00665B98" w:rsidRPr="00727D32">
              <w:rPr>
                <w:vertAlign w:val="superscript"/>
              </w:rPr>
              <w:t>6</w:t>
            </w:r>
          </w:p>
        </w:tc>
        <w:tc>
          <w:tcPr>
            <w:tcW w:w="611" w:type="pct"/>
            <w:shd w:val="clear" w:color="auto" w:fill="auto"/>
          </w:tcPr>
          <w:p w14:paraId="36330C52" w14:textId="4738DA05"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61"/>
                <w14:textFill>
                  <w14:solidFill>
                    <w14:srgbClr w14:val="000000">
                      <w14:alpha w14:val="100000"/>
                    </w14:srgbClr>
                  </w14:solidFill>
                </w14:textFill>
              </w:rPr>
              <w:t xml:space="preserve">　</w:t>
            </w:r>
            <w:r w:rsidRPr="00864502">
              <w:rPr>
                <w:color w:val="000000"/>
                <w:w w:val="15"/>
                <w:shd w:val="solid" w:color="000000" w:fill="000000"/>
                <w:fitText w:val="55" w:id="-961874161"/>
                <w14:textFill>
                  <w14:solidFill>
                    <w14:srgbClr w14:val="000000">
                      <w14:alpha w14:val="100000"/>
                    </w14:srgbClr>
                  </w14:solidFill>
                </w14:textFill>
              </w:rPr>
              <w:t>|</w:t>
            </w:r>
            <w:r w:rsidRPr="00864502">
              <w:rPr>
                <w:rFonts w:hint="eastAsia"/>
                <w:color w:val="000000"/>
                <w:spacing w:val="-10"/>
                <w:w w:val="15"/>
                <w:shd w:val="solid" w:color="000000" w:fill="000000"/>
                <w:fitText w:val="55" w:id="-961874161"/>
                <w14:textFill>
                  <w14:solidFill>
                    <w14:srgbClr w14:val="000000">
                      <w14:alpha w14:val="100000"/>
                    </w14:srgbClr>
                  </w14:solidFill>
                </w14:textFill>
              </w:rPr>
              <w:t xml:space="preserve">　</w:t>
            </w:r>
            <w:r w:rsidR="00665B98" w:rsidRPr="00727D32">
              <w:rPr>
                <w:vertAlign w:val="superscript"/>
              </w:rPr>
              <w:t>6</w:t>
            </w:r>
          </w:p>
        </w:tc>
        <w:tc>
          <w:tcPr>
            <w:tcW w:w="611" w:type="pct"/>
            <w:shd w:val="clear" w:color="auto" w:fill="auto"/>
          </w:tcPr>
          <w:p w14:paraId="5F6C7716" w14:textId="5AE4BA2C"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4" w:id="-961874160"/>
                <w14:textFill>
                  <w14:solidFill>
                    <w14:srgbClr w14:val="000000">
                      <w14:alpha w14:val="100000"/>
                    </w14:srgbClr>
                  </w14:solidFill>
                </w14:textFill>
              </w:rPr>
              <w:t xml:space="preserve">　</w:t>
            </w:r>
            <w:r w:rsidRPr="00864502">
              <w:rPr>
                <w:color w:val="000000"/>
                <w:w w:val="15"/>
                <w:shd w:val="solid" w:color="000000" w:fill="000000"/>
                <w:fitText w:val="54" w:id="-961874160"/>
                <w14:textFill>
                  <w14:solidFill>
                    <w14:srgbClr w14:val="000000">
                      <w14:alpha w14:val="100000"/>
                    </w14:srgbClr>
                  </w14:solidFill>
                </w14:textFill>
              </w:rPr>
              <w:t>|</w:t>
            </w:r>
            <w:r w:rsidRPr="00864502">
              <w:rPr>
                <w:rFonts w:hint="eastAsia"/>
                <w:color w:val="000000"/>
                <w:spacing w:val="-11"/>
                <w:w w:val="15"/>
                <w:shd w:val="solid" w:color="000000" w:fill="000000"/>
                <w:fitText w:val="54" w:id="-961874160"/>
                <w14:textFill>
                  <w14:solidFill>
                    <w14:srgbClr w14:val="000000">
                      <w14:alpha w14:val="100000"/>
                    </w14:srgbClr>
                  </w14:solidFill>
                </w14:textFill>
              </w:rPr>
              <w:t xml:space="preserve">　</w:t>
            </w:r>
            <w:r w:rsidR="00665B98" w:rsidRPr="00727D32">
              <w:rPr>
                <w:vertAlign w:val="superscript"/>
              </w:rPr>
              <w:t>6</w:t>
            </w:r>
          </w:p>
        </w:tc>
        <w:tc>
          <w:tcPr>
            <w:tcW w:w="611" w:type="pct"/>
            <w:shd w:val="clear" w:color="auto" w:fill="auto"/>
          </w:tcPr>
          <w:p w14:paraId="5F2163E7" w14:textId="255F552E"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4" w:id="-961874176"/>
                <w14:textFill>
                  <w14:solidFill>
                    <w14:srgbClr w14:val="000000">
                      <w14:alpha w14:val="100000"/>
                    </w14:srgbClr>
                  </w14:solidFill>
                </w14:textFill>
              </w:rPr>
              <w:t xml:space="preserve">　</w:t>
            </w:r>
            <w:r w:rsidRPr="00864502">
              <w:rPr>
                <w:color w:val="000000"/>
                <w:w w:val="15"/>
                <w:shd w:val="solid" w:color="000000" w:fill="000000"/>
                <w:fitText w:val="54" w:id="-961874176"/>
                <w14:textFill>
                  <w14:solidFill>
                    <w14:srgbClr w14:val="000000">
                      <w14:alpha w14:val="100000"/>
                    </w14:srgbClr>
                  </w14:solidFill>
                </w14:textFill>
              </w:rPr>
              <w:t>|</w:t>
            </w:r>
            <w:r w:rsidRPr="00864502">
              <w:rPr>
                <w:rFonts w:hint="eastAsia"/>
                <w:color w:val="000000"/>
                <w:spacing w:val="-11"/>
                <w:w w:val="15"/>
                <w:shd w:val="solid" w:color="000000" w:fill="000000"/>
                <w:fitText w:val="54" w:id="-961874176"/>
                <w14:textFill>
                  <w14:solidFill>
                    <w14:srgbClr w14:val="000000">
                      <w14:alpha w14:val="100000"/>
                    </w14:srgbClr>
                  </w14:solidFill>
                </w14:textFill>
              </w:rPr>
              <w:t xml:space="preserve">　</w:t>
            </w:r>
            <w:r w:rsidR="00665B98" w:rsidRPr="00727D32">
              <w:rPr>
                <w:vertAlign w:val="superscript"/>
              </w:rPr>
              <w:t>6</w:t>
            </w:r>
          </w:p>
        </w:tc>
        <w:tc>
          <w:tcPr>
            <w:tcW w:w="611" w:type="pct"/>
            <w:shd w:val="clear" w:color="auto" w:fill="auto"/>
          </w:tcPr>
          <w:p w14:paraId="1F0277C0" w14:textId="089C8184"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75"/>
                <w14:textFill>
                  <w14:solidFill>
                    <w14:srgbClr w14:val="000000">
                      <w14:alpha w14:val="100000"/>
                    </w14:srgbClr>
                  </w14:solidFill>
                </w14:textFill>
              </w:rPr>
              <w:t xml:space="preserve">　</w:t>
            </w:r>
            <w:r w:rsidRPr="00864502">
              <w:rPr>
                <w:color w:val="000000"/>
                <w:w w:val="15"/>
                <w:shd w:val="solid" w:color="000000" w:fill="000000"/>
                <w:fitText w:val="55" w:id="-961874175"/>
                <w14:textFill>
                  <w14:solidFill>
                    <w14:srgbClr w14:val="000000">
                      <w14:alpha w14:val="100000"/>
                    </w14:srgbClr>
                  </w14:solidFill>
                </w14:textFill>
              </w:rPr>
              <w:t>|</w:t>
            </w:r>
            <w:r w:rsidRPr="00864502">
              <w:rPr>
                <w:rFonts w:hint="eastAsia"/>
                <w:color w:val="000000"/>
                <w:spacing w:val="-10"/>
                <w:w w:val="15"/>
                <w:shd w:val="solid" w:color="000000" w:fill="000000"/>
                <w:fitText w:val="55" w:id="-961874175"/>
                <w14:textFill>
                  <w14:solidFill>
                    <w14:srgbClr w14:val="000000">
                      <w14:alpha w14:val="100000"/>
                    </w14:srgbClr>
                  </w14:solidFill>
                </w14:textFill>
              </w:rPr>
              <w:t xml:space="preserve">　</w:t>
            </w:r>
            <w:r w:rsidR="00665B98" w:rsidRPr="00727D32">
              <w:rPr>
                <w:vertAlign w:val="superscript"/>
              </w:rPr>
              <w:t>6</w:t>
            </w:r>
          </w:p>
        </w:tc>
        <w:tc>
          <w:tcPr>
            <w:tcW w:w="612" w:type="pct"/>
          </w:tcPr>
          <w:p w14:paraId="3CB8CAA1" w14:textId="34D2DEDD"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74"/>
                <w14:textFill>
                  <w14:solidFill>
                    <w14:srgbClr w14:val="000000">
                      <w14:alpha w14:val="100000"/>
                    </w14:srgbClr>
                  </w14:solidFill>
                </w14:textFill>
              </w:rPr>
              <w:t xml:space="preserve">　</w:t>
            </w:r>
            <w:r w:rsidRPr="00864502">
              <w:rPr>
                <w:color w:val="000000"/>
                <w:w w:val="15"/>
                <w:shd w:val="solid" w:color="000000" w:fill="000000"/>
                <w:fitText w:val="55" w:id="-961874174"/>
                <w14:textFill>
                  <w14:solidFill>
                    <w14:srgbClr w14:val="000000">
                      <w14:alpha w14:val="100000"/>
                    </w14:srgbClr>
                  </w14:solidFill>
                </w14:textFill>
              </w:rPr>
              <w:t>|</w:t>
            </w:r>
            <w:r w:rsidRPr="00864502">
              <w:rPr>
                <w:rFonts w:hint="eastAsia"/>
                <w:color w:val="000000"/>
                <w:spacing w:val="-10"/>
                <w:w w:val="15"/>
                <w:shd w:val="solid" w:color="000000" w:fill="000000"/>
                <w:fitText w:val="55" w:id="-961874174"/>
                <w14:textFill>
                  <w14:solidFill>
                    <w14:srgbClr w14:val="000000">
                      <w14:alpha w14:val="100000"/>
                    </w14:srgbClr>
                  </w14:solidFill>
                </w14:textFill>
              </w:rPr>
              <w:t xml:space="preserve">　</w:t>
            </w:r>
            <w:r w:rsidR="00665B98" w:rsidRPr="00727D32">
              <w:rPr>
                <w:vertAlign w:val="superscript"/>
              </w:rPr>
              <w:t>6</w:t>
            </w:r>
          </w:p>
        </w:tc>
      </w:tr>
      <w:tr w:rsidR="006F3D74" w:rsidRPr="00EB31F2" w14:paraId="44001218" w14:textId="77777777" w:rsidTr="00B4786B">
        <w:tc>
          <w:tcPr>
            <w:tcW w:w="1333" w:type="pct"/>
            <w:shd w:val="clear" w:color="auto" w:fill="auto"/>
          </w:tcPr>
          <w:p w14:paraId="456C8DB9" w14:textId="41820992" w:rsidR="006F3D74" w:rsidRPr="00EB31F2" w:rsidRDefault="006F3D74" w:rsidP="006F3D74">
            <w:pPr>
              <w:pStyle w:val="TableText0"/>
              <w:rPr>
                <w:rFonts w:cstheme="minorHAnsi"/>
                <w:szCs w:val="20"/>
              </w:rPr>
            </w:pPr>
            <w:r w:rsidRPr="00EB31F2">
              <w:rPr>
                <w:rFonts w:cstheme="minorHAnsi"/>
                <w:szCs w:val="20"/>
              </w:rPr>
              <w:t>Total cost to RPBS</w:t>
            </w:r>
          </w:p>
        </w:tc>
        <w:tc>
          <w:tcPr>
            <w:tcW w:w="611" w:type="pct"/>
            <w:shd w:val="clear" w:color="auto" w:fill="auto"/>
          </w:tcPr>
          <w:p w14:paraId="7085BD5C" w14:textId="51638EB7"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73"/>
                <w14:textFill>
                  <w14:solidFill>
                    <w14:srgbClr w14:val="000000">
                      <w14:alpha w14:val="100000"/>
                    </w14:srgbClr>
                  </w14:solidFill>
                </w14:textFill>
              </w:rPr>
              <w:t xml:space="preserve">　</w:t>
            </w:r>
            <w:r w:rsidRPr="00864502">
              <w:rPr>
                <w:color w:val="000000"/>
                <w:w w:val="15"/>
                <w:shd w:val="solid" w:color="000000" w:fill="000000"/>
                <w:fitText w:val="55" w:id="-961874173"/>
                <w14:textFill>
                  <w14:solidFill>
                    <w14:srgbClr w14:val="000000">
                      <w14:alpha w14:val="100000"/>
                    </w14:srgbClr>
                  </w14:solidFill>
                </w14:textFill>
              </w:rPr>
              <w:t>|</w:t>
            </w:r>
            <w:r w:rsidRPr="00864502">
              <w:rPr>
                <w:rFonts w:hint="eastAsia"/>
                <w:color w:val="000000"/>
                <w:spacing w:val="-10"/>
                <w:w w:val="15"/>
                <w:shd w:val="solid" w:color="000000" w:fill="000000"/>
                <w:fitText w:val="55" w:id="-961874173"/>
                <w14:textFill>
                  <w14:solidFill>
                    <w14:srgbClr w14:val="000000">
                      <w14:alpha w14:val="100000"/>
                    </w14:srgbClr>
                  </w14:solidFill>
                </w14:textFill>
              </w:rPr>
              <w:t xml:space="preserve">　</w:t>
            </w:r>
            <w:r w:rsidR="007E2B65" w:rsidRPr="00727D32">
              <w:rPr>
                <w:vertAlign w:val="superscript"/>
              </w:rPr>
              <w:t>7</w:t>
            </w:r>
          </w:p>
        </w:tc>
        <w:tc>
          <w:tcPr>
            <w:tcW w:w="611" w:type="pct"/>
            <w:shd w:val="clear" w:color="auto" w:fill="auto"/>
          </w:tcPr>
          <w:p w14:paraId="55BE5361" w14:textId="52F8090A"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72"/>
                <w14:textFill>
                  <w14:solidFill>
                    <w14:srgbClr w14:val="000000">
                      <w14:alpha w14:val="100000"/>
                    </w14:srgbClr>
                  </w14:solidFill>
                </w14:textFill>
              </w:rPr>
              <w:t xml:space="preserve">　</w:t>
            </w:r>
            <w:r w:rsidRPr="00864502">
              <w:rPr>
                <w:color w:val="000000"/>
                <w:w w:val="15"/>
                <w:shd w:val="solid" w:color="000000" w:fill="000000"/>
                <w:fitText w:val="55" w:id="-961874172"/>
                <w14:textFill>
                  <w14:solidFill>
                    <w14:srgbClr w14:val="000000">
                      <w14:alpha w14:val="100000"/>
                    </w14:srgbClr>
                  </w14:solidFill>
                </w14:textFill>
              </w:rPr>
              <w:t>|</w:t>
            </w:r>
            <w:r w:rsidRPr="00864502">
              <w:rPr>
                <w:rFonts w:hint="eastAsia"/>
                <w:color w:val="000000"/>
                <w:spacing w:val="-10"/>
                <w:w w:val="15"/>
                <w:shd w:val="solid" w:color="000000" w:fill="000000"/>
                <w:fitText w:val="55" w:id="-961874172"/>
                <w14:textFill>
                  <w14:solidFill>
                    <w14:srgbClr w14:val="000000">
                      <w14:alpha w14:val="100000"/>
                    </w14:srgbClr>
                  </w14:solidFill>
                </w14:textFill>
              </w:rPr>
              <w:t xml:space="preserve">　</w:t>
            </w:r>
            <w:r w:rsidR="007E2B65" w:rsidRPr="00727D32">
              <w:rPr>
                <w:vertAlign w:val="superscript"/>
              </w:rPr>
              <w:t>7</w:t>
            </w:r>
          </w:p>
        </w:tc>
        <w:tc>
          <w:tcPr>
            <w:tcW w:w="611" w:type="pct"/>
            <w:shd w:val="clear" w:color="auto" w:fill="auto"/>
          </w:tcPr>
          <w:p w14:paraId="01918BE1" w14:textId="6B282E2C"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4" w:id="-961874171"/>
                <w14:textFill>
                  <w14:solidFill>
                    <w14:srgbClr w14:val="000000">
                      <w14:alpha w14:val="100000"/>
                    </w14:srgbClr>
                  </w14:solidFill>
                </w14:textFill>
              </w:rPr>
              <w:t xml:space="preserve">　</w:t>
            </w:r>
            <w:r w:rsidRPr="00864502">
              <w:rPr>
                <w:color w:val="000000"/>
                <w:w w:val="15"/>
                <w:shd w:val="solid" w:color="000000" w:fill="000000"/>
                <w:fitText w:val="54" w:id="-961874171"/>
                <w14:textFill>
                  <w14:solidFill>
                    <w14:srgbClr w14:val="000000">
                      <w14:alpha w14:val="100000"/>
                    </w14:srgbClr>
                  </w14:solidFill>
                </w14:textFill>
              </w:rPr>
              <w:t>|</w:t>
            </w:r>
            <w:r w:rsidRPr="00864502">
              <w:rPr>
                <w:rFonts w:hint="eastAsia"/>
                <w:color w:val="000000"/>
                <w:spacing w:val="-11"/>
                <w:w w:val="15"/>
                <w:shd w:val="solid" w:color="000000" w:fill="000000"/>
                <w:fitText w:val="54" w:id="-961874171"/>
                <w14:textFill>
                  <w14:solidFill>
                    <w14:srgbClr w14:val="000000">
                      <w14:alpha w14:val="100000"/>
                    </w14:srgbClr>
                  </w14:solidFill>
                </w14:textFill>
              </w:rPr>
              <w:t xml:space="preserve">　</w:t>
            </w:r>
            <w:r w:rsidR="007E2B65" w:rsidRPr="00727D32">
              <w:rPr>
                <w:vertAlign w:val="superscript"/>
              </w:rPr>
              <w:t>7</w:t>
            </w:r>
          </w:p>
        </w:tc>
        <w:tc>
          <w:tcPr>
            <w:tcW w:w="611" w:type="pct"/>
            <w:shd w:val="clear" w:color="auto" w:fill="auto"/>
          </w:tcPr>
          <w:p w14:paraId="47AFEFD5" w14:textId="4D748E15"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4" w:id="-961874170"/>
                <w14:textFill>
                  <w14:solidFill>
                    <w14:srgbClr w14:val="000000">
                      <w14:alpha w14:val="100000"/>
                    </w14:srgbClr>
                  </w14:solidFill>
                </w14:textFill>
              </w:rPr>
              <w:t xml:space="preserve">　</w:t>
            </w:r>
            <w:r w:rsidRPr="00864502">
              <w:rPr>
                <w:color w:val="000000"/>
                <w:w w:val="15"/>
                <w:shd w:val="solid" w:color="000000" w:fill="000000"/>
                <w:fitText w:val="54" w:id="-961874170"/>
                <w14:textFill>
                  <w14:solidFill>
                    <w14:srgbClr w14:val="000000">
                      <w14:alpha w14:val="100000"/>
                    </w14:srgbClr>
                  </w14:solidFill>
                </w14:textFill>
              </w:rPr>
              <w:t>|</w:t>
            </w:r>
            <w:r w:rsidRPr="00864502">
              <w:rPr>
                <w:rFonts w:hint="eastAsia"/>
                <w:color w:val="000000"/>
                <w:spacing w:val="-11"/>
                <w:w w:val="15"/>
                <w:shd w:val="solid" w:color="000000" w:fill="000000"/>
                <w:fitText w:val="54" w:id="-961874170"/>
                <w14:textFill>
                  <w14:solidFill>
                    <w14:srgbClr w14:val="000000">
                      <w14:alpha w14:val="100000"/>
                    </w14:srgbClr>
                  </w14:solidFill>
                </w14:textFill>
              </w:rPr>
              <w:t xml:space="preserve">　</w:t>
            </w:r>
            <w:r w:rsidR="007E2B65" w:rsidRPr="00727D32">
              <w:rPr>
                <w:vertAlign w:val="superscript"/>
              </w:rPr>
              <w:t>7</w:t>
            </w:r>
          </w:p>
        </w:tc>
        <w:tc>
          <w:tcPr>
            <w:tcW w:w="611" w:type="pct"/>
            <w:shd w:val="clear" w:color="auto" w:fill="auto"/>
          </w:tcPr>
          <w:p w14:paraId="4390A7F4" w14:textId="2D57B7A2"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69"/>
                <w14:textFill>
                  <w14:solidFill>
                    <w14:srgbClr w14:val="000000">
                      <w14:alpha w14:val="100000"/>
                    </w14:srgbClr>
                  </w14:solidFill>
                </w14:textFill>
              </w:rPr>
              <w:t xml:space="preserve">　</w:t>
            </w:r>
            <w:r w:rsidRPr="00864502">
              <w:rPr>
                <w:color w:val="000000"/>
                <w:w w:val="15"/>
                <w:shd w:val="solid" w:color="000000" w:fill="000000"/>
                <w:fitText w:val="55" w:id="-961874169"/>
                <w14:textFill>
                  <w14:solidFill>
                    <w14:srgbClr w14:val="000000">
                      <w14:alpha w14:val="100000"/>
                    </w14:srgbClr>
                  </w14:solidFill>
                </w14:textFill>
              </w:rPr>
              <w:t>|</w:t>
            </w:r>
            <w:r w:rsidRPr="00864502">
              <w:rPr>
                <w:rFonts w:hint="eastAsia"/>
                <w:color w:val="000000"/>
                <w:spacing w:val="-10"/>
                <w:w w:val="15"/>
                <w:shd w:val="solid" w:color="000000" w:fill="000000"/>
                <w:fitText w:val="55" w:id="-961874169"/>
                <w14:textFill>
                  <w14:solidFill>
                    <w14:srgbClr w14:val="000000">
                      <w14:alpha w14:val="100000"/>
                    </w14:srgbClr>
                  </w14:solidFill>
                </w14:textFill>
              </w:rPr>
              <w:t xml:space="preserve">　</w:t>
            </w:r>
            <w:r w:rsidR="007E2B65" w:rsidRPr="00727D32">
              <w:rPr>
                <w:vertAlign w:val="superscript"/>
              </w:rPr>
              <w:t>7</w:t>
            </w:r>
          </w:p>
        </w:tc>
        <w:tc>
          <w:tcPr>
            <w:tcW w:w="612" w:type="pct"/>
          </w:tcPr>
          <w:p w14:paraId="1F881E53" w14:textId="329BBDB3" w:rsidR="006F3D74" w:rsidRPr="00B166BA" w:rsidRDefault="00864502" w:rsidP="006F3D74">
            <w:pPr>
              <w:pStyle w:val="TableText0"/>
              <w:jc w:val="center"/>
              <w:rPr>
                <w:rFonts w:cs="Tahoma"/>
                <w:szCs w:val="20"/>
                <w:highlight w:val="lightGray"/>
              </w:rPr>
            </w:pPr>
            <w:r w:rsidRPr="00864502">
              <w:rPr>
                <w:rFonts w:hint="eastAsia"/>
                <w:color w:val="000000"/>
                <w:w w:val="15"/>
                <w:shd w:val="solid" w:color="000000" w:fill="000000"/>
                <w:fitText w:val="55" w:id="-961874168"/>
                <w14:textFill>
                  <w14:solidFill>
                    <w14:srgbClr w14:val="000000">
                      <w14:alpha w14:val="100000"/>
                    </w14:srgbClr>
                  </w14:solidFill>
                </w14:textFill>
              </w:rPr>
              <w:t xml:space="preserve">　</w:t>
            </w:r>
            <w:r w:rsidRPr="00864502">
              <w:rPr>
                <w:color w:val="000000"/>
                <w:w w:val="15"/>
                <w:shd w:val="solid" w:color="000000" w:fill="000000"/>
                <w:fitText w:val="55" w:id="-961874168"/>
                <w14:textFill>
                  <w14:solidFill>
                    <w14:srgbClr w14:val="000000">
                      <w14:alpha w14:val="100000"/>
                    </w14:srgbClr>
                  </w14:solidFill>
                </w14:textFill>
              </w:rPr>
              <w:t>|</w:t>
            </w:r>
            <w:r w:rsidRPr="00864502">
              <w:rPr>
                <w:rFonts w:hint="eastAsia"/>
                <w:color w:val="000000"/>
                <w:spacing w:val="-10"/>
                <w:w w:val="15"/>
                <w:shd w:val="solid" w:color="000000" w:fill="000000"/>
                <w:fitText w:val="55" w:id="-961874168"/>
                <w14:textFill>
                  <w14:solidFill>
                    <w14:srgbClr w14:val="000000">
                      <w14:alpha w14:val="100000"/>
                    </w14:srgbClr>
                  </w14:solidFill>
                </w14:textFill>
              </w:rPr>
              <w:t xml:space="preserve">　</w:t>
            </w:r>
            <w:r w:rsidR="007E2B65" w:rsidRPr="00727D32">
              <w:rPr>
                <w:vertAlign w:val="superscript"/>
              </w:rPr>
              <w:t>7</w:t>
            </w:r>
          </w:p>
        </w:tc>
      </w:tr>
      <w:tr w:rsidR="006F3D74" w:rsidRPr="00EB31F2" w14:paraId="5DE31E2D" w14:textId="77777777" w:rsidTr="00B4786B">
        <w:tc>
          <w:tcPr>
            <w:tcW w:w="1333" w:type="pct"/>
            <w:shd w:val="clear" w:color="auto" w:fill="auto"/>
          </w:tcPr>
          <w:p w14:paraId="7F1A7AD6" w14:textId="01746981" w:rsidR="006F3D74" w:rsidRPr="00EB31F2" w:rsidRDefault="006F3D74" w:rsidP="006F3D74">
            <w:pPr>
              <w:pStyle w:val="TableText0"/>
              <w:rPr>
                <w:rFonts w:cstheme="minorHAnsi"/>
                <w:szCs w:val="20"/>
              </w:rPr>
            </w:pPr>
            <w:r w:rsidRPr="00EB31F2">
              <w:rPr>
                <w:rFonts w:cstheme="minorHAnsi"/>
                <w:szCs w:val="20"/>
              </w:rPr>
              <w:t>Changed listing</w:t>
            </w:r>
          </w:p>
        </w:tc>
        <w:tc>
          <w:tcPr>
            <w:tcW w:w="611" w:type="pct"/>
            <w:shd w:val="clear" w:color="auto" w:fill="auto"/>
          </w:tcPr>
          <w:p w14:paraId="35E753FC" w14:textId="5EEDD8C3" w:rsidR="006F3D74" w:rsidRPr="00B166BA" w:rsidRDefault="00864502" w:rsidP="006F3D74">
            <w:pPr>
              <w:pStyle w:val="TableText0"/>
              <w:jc w:val="center"/>
              <w:rPr>
                <w:highlight w:val="lightGray"/>
              </w:rPr>
            </w:pPr>
            <w:r w:rsidRPr="00864502">
              <w:rPr>
                <w:rFonts w:hint="eastAsia"/>
                <w:color w:val="000000"/>
                <w:w w:val="15"/>
                <w:shd w:val="solid" w:color="000000" w:fill="000000"/>
                <w:fitText w:val="55" w:id="-961874167"/>
                <w14:textFill>
                  <w14:solidFill>
                    <w14:srgbClr w14:val="000000">
                      <w14:alpha w14:val="100000"/>
                    </w14:srgbClr>
                  </w14:solidFill>
                </w14:textFill>
              </w:rPr>
              <w:t xml:space="preserve">　</w:t>
            </w:r>
            <w:r w:rsidRPr="00864502">
              <w:rPr>
                <w:color w:val="000000"/>
                <w:w w:val="15"/>
                <w:shd w:val="solid" w:color="000000" w:fill="000000"/>
                <w:fitText w:val="55" w:id="-961874167"/>
                <w14:textFill>
                  <w14:solidFill>
                    <w14:srgbClr w14:val="000000">
                      <w14:alpha w14:val="100000"/>
                    </w14:srgbClr>
                  </w14:solidFill>
                </w14:textFill>
              </w:rPr>
              <w:t>|</w:t>
            </w:r>
            <w:r w:rsidRPr="00864502">
              <w:rPr>
                <w:rFonts w:hint="eastAsia"/>
                <w:color w:val="000000"/>
                <w:spacing w:val="-10"/>
                <w:w w:val="15"/>
                <w:shd w:val="solid" w:color="000000" w:fill="000000"/>
                <w:fitText w:val="55" w:id="-961874167"/>
                <w14:textFill>
                  <w14:solidFill>
                    <w14:srgbClr w14:val="000000">
                      <w14:alpha w14:val="100000"/>
                    </w14:srgbClr>
                  </w14:solidFill>
                </w14:textFill>
              </w:rPr>
              <w:t xml:space="preserve">　</w:t>
            </w:r>
            <w:r w:rsidR="00665B98" w:rsidRPr="00727D32">
              <w:rPr>
                <w:vertAlign w:val="superscript"/>
              </w:rPr>
              <w:t>6</w:t>
            </w:r>
          </w:p>
        </w:tc>
        <w:tc>
          <w:tcPr>
            <w:tcW w:w="611" w:type="pct"/>
            <w:shd w:val="clear" w:color="auto" w:fill="auto"/>
          </w:tcPr>
          <w:p w14:paraId="068DC849" w14:textId="608B7821" w:rsidR="006F3D74" w:rsidRPr="00B166BA" w:rsidRDefault="00864502" w:rsidP="006F3D74">
            <w:pPr>
              <w:pStyle w:val="TableText0"/>
              <w:jc w:val="center"/>
              <w:rPr>
                <w:highlight w:val="lightGray"/>
              </w:rPr>
            </w:pPr>
            <w:r w:rsidRPr="00864502">
              <w:rPr>
                <w:rFonts w:hint="eastAsia"/>
                <w:color w:val="000000"/>
                <w:w w:val="15"/>
                <w:shd w:val="solid" w:color="000000" w:fill="000000"/>
                <w:fitText w:val="55" w:id="-961874166"/>
                <w14:textFill>
                  <w14:solidFill>
                    <w14:srgbClr w14:val="000000">
                      <w14:alpha w14:val="100000"/>
                    </w14:srgbClr>
                  </w14:solidFill>
                </w14:textFill>
              </w:rPr>
              <w:t xml:space="preserve">　</w:t>
            </w:r>
            <w:r w:rsidRPr="00864502">
              <w:rPr>
                <w:color w:val="000000"/>
                <w:w w:val="15"/>
                <w:shd w:val="solid" w:color="000000" w:fill="000000"/>
                <w:fitText w:val="55" w:id="-961874166"/>
                <w14:textFill>
                  <w14:solidFill>
                    <w14:srgbClr w14:val="000000">
                      <w14:alpha w14:val="100000"/>
                    </w14:srgbClr>
                  </w14:solidFill>
                </w14:textFill>
              </w:rPr>
              <w:t>|</w:t>
            </w:r>
            <w:r w:rsidRPr="00864502">
              <w:rPr>
                <w:rFonts w:hint="eastAsia"/>
                <w:color w:val="000000"/>
                <w:spacing w:val="-10"/>
                <w:w w:val="15"/>
                <w:shd w:val="solid" w:color="000000" w:fill="000000"/>
                <w:fitText w:val="55" w:id="-961874166"/>
                <w14:textFill>
                  <w14:solidFill>
                    <w14:srgbClr w14:val="000000">
                      <w14:alpha w14:val="100000"/>
                    </w14:srgbClr>
                  </w14:solidFill>
                </w14:textFill>
              </w:rPr>
              <w:t xml:space="preserve">　</w:t>
            </w:r>
            <w:r w:rsidR="00665B98" w:rsidRPr="00727D32">
              <w:rPr>
                <w:vertAlign w:val="superscript"/>
              </w:rPr>
              <w:t>6</w:t>
            </w:r>
          </w:p>
        </w:tc>
        <w:tc>
          <w:tcPr>
            <w:tcW w:w="611" w:type="pct"/>
            <w:shd w:val="clear" w:color="auto" w:fill="auto"/>
          </w:tcPr>
          <w:p w14:paraId="084954EA" w14:textId="50920D80" w:rsidR="006F3D74" w:rsidRPr="00B166BA" w:rsidRDefault="00864502" w:rsidP="006F3D74">
            <w:pPr>
              <w:pStyle w:val="TableText0"/>
              <w:jc w:val="center"/>
              <w:rPr>
                <w:highlight w:val="lightGray"/>
              </w:rPr>
            </w:pPr>
            <w:r w:rsidRPr="00864502">
              <w:rPr>
                <w:rFonts w:hint="eastAsia"/>
                <w:color w:val="000000"/>
                <w:w w:val="15"/>
                <w:shd w:val="solid" w:color="000000" w:fill="000000"/>
                <w:fitText w:val="54" w:id="-961874165"/>
                <w14:textFill>
                  <w14:solidFill>
                    <w14:srgbClr w14:val="000000">
                      <w14:alpha w14:val="100000"/>
                    </w14:srgbClr>
                  </w14:solidFill>
                </w14:textFill>
              </w:rPr>
              <w:t xml:space="preserve">　</w:t>
            </w:r>
            <w:r w:rsidRPr="00864502">
              <w:rPr>
                <w:color w:val="000000"/>
                <w:w w:val="15"/>
                <w:shd w:val="solid" w:color="000000" w:fill="000000"/>
                <w:fitText w:val="54" w:id="-961874165"/>
                <w14:textFill>
                  <w14:solidFill>
                    <w14:srgbClr w14:val="000000">
                      <w14:alpha w14:val="100000"/>
                    </w14:srgbClr>
                  </w14:solidFill>
                </w14:textFill>
              </w:rPr>
              <w:t>|</w:t>
            </w:r>
            <w:r w:rsidRPr="00864502">
              <w:rPr>
                <w:rFonts w:hint="eastAsia"/>
                <w:color w:val="000000"/>
                <w:spacing w:val="-11"/>
                <w:w w:val="15"/>
                <w:shd w:val="solid" w:color="000000" w:fill="000000"/>
                <w:fitText w:val="54" w:id="-961874165"/>
                <w14:textFill>
                  <w14:solidFill>
                    <w14:srgbClr w14:val="000000">
                      <w14:alpha w14:val="100000"/>
                    </w14:srgbClr>
                  </w14:solidFill>
                </w14:textFill>
              </w:rPr>
              <w:t xml:space="preserve">　</w:t>
            </w:r>
            <w:r w:rsidR="00665B98" w:rsidRPr="00727D32">
              <w:rPr>
                <w:vertAlign w:val="superscript"/>
              </w:rPr>
              <w:t>6</w:t>
            </w:r>
          </w:p>
        </w:tc>
        <w:tc>
          <w:tcPr>
            <w:tcW w:w="611" w:type="pct"/>
            <w:shd w:val="clear" w:color="auto" w:fill="auto"/>
          </w:tcPr>
          <w:p w14:paraId="004B57EC" w14:textId="788A3AF7" w:rsidR="006F3D74" w:rsidRPr="00B166BA" w:rsidRDefault="00864502" w:rsidP="006F3D74">
            <w:pPr>
              <w:pStyle w:val="TableText0"/>
              <w:jc w:val="center"/>
              <w:rPr>
                <w:highlight w:val="lightGray"/>
              </w:rPr>
            </w:pPr>
            <w:r w:rsidRPr="00864502">
              <w:rPr>
                <w:rFonts w:hint="eastAsia"/>
                <w:color w:val="000000"/>
                <w:w w:val="15"/>
                <w:shd w:val="solid" w:color="000000" w:fill="000000"/>
                <w:fitText w:val="54" w:id="-961874164"/>
                <w14:textFill>
                  <w14:solidFill>
                    <w14:srgbClr w14:val="000000">
                      <w14:alpha w14:val="100000"/>
                    </w14:srgbClr>
                  </w14:solidFill>
                </w14:textFill>
              </w:rPr>
              <w:t xml:space="preserve">　</w:t>
            </w:r>
            <w:r w:rsidRPr="00864502">
              <w:rPr>
                <w:color w:val="000000"/>
                <w:w w:val="15"/>
                <w:shd w:val="solid" w:color="000000" w:fill="000000"/>
                <w:fitText w:val="54" w:id="-961874164"/>
                <w14:textFill>
                  <w14:solidFill>
                    <w14:srgbClr w14:val="000000">
                      <w14:alpha w14:val="100000"/>
                    </w14:srgbClr>
                  </w14:solidFill>
                </w14:textFill>
              </w:rPr>
              <w:t>|</w:t>
            </w:r>
            <w:r w:rsidRPr="00864502">
              <w:rPr>
                <w:rFonts w:hint="eastAsia"/>
                <w:color w:val="000000"/>
                <w:spacing w:val="-11"/>
                <w:w w:val="15"/>
                <w:shd w:val="solid" w:color="000000" w:fill="000000"/>
                <w:fitText w:val="54" w:id="-961874164"/>
                <w14:textFill>
                  <w14:solidFill>
                    <w14:srgbClr w14:val="000000">
                      <w14:alpha w14:val="100000"/>
                    </w14:srgbClr>
                  </w14:solidFill>
                </w14:textFill>
              </w:rPr>
              <w:t xml:space="preserve">　</w:t>
            </w:r>
            <w:r w:rsidR="00665B98" w:rsidRPr="00727D32">
              <w:rPr>
                <w:vertAlign w:val="superscript"/>
              </w:rPr>
              <w:t>6</w:t>
            </w:r>
          </w:p>
        </w:tc>
        <w:tc>
          <w:tcPr>
            <w:tcW w:w="611" w:type="pct"/>
            <w:shd w:val="clear" w:color="auto" w:fill="auto"/>
          </w:tcPr>
          <w:p w14:paraId="6578B413" w14:textId="58212AD7" w:rsidR="006F3D74" w:rsidRPr="00B166BA" w:rsidRDefault="00864502" w:rsidP="006F3D74">
            <w:pPr>
              <w:pStyle w:val="TableText0"/>
              <w:jc w:val="center"/>
              <w:rPr>
                <w:highlight w:val="lightGray"/>
              </w:rPr>
            </w:pPr>
            <w:r w:rsidRPr="00864502">
              <w:rPr>
                <w:rFonts w:hint="eastAsia"/>
                <w:color w:val="000000"/>
                <w:w w:val="15"/>
                <w:shd w:val="solid" w:color="000000" w:fill="000000"/>
                <w:fitText w:val="55" w:id="-961874163"/>
                <w14:textFill>
                  <w14:solidFill>
                    <w14:srgbClr w14:val="000000">
                      <w14:alpha w14:val="100000"/>
                    </w14:srgbClr>
                  </w14:solidFill>
                </w14:textFill>
              </w:rPr>
              <w:t xml:space="preserve">　</w:t>
            </w:r>
            <w:r w:rsidRPr="00864502">
              <w:rPr>
                <w:color w:val="000000"/>
                <w:w w:val="15"/>
                <w:shd w:val="solid" w:color="000000" w:fill="000000"/>
                <w:fitText w:val="55" w:id="-961874163"/>
                <w14:textFill>
                  <w14:solidFill>
                    <w14:srgbClr w14:val="000000">
                      <w14:alpha w14:val="100000"/>
                    </w14:srgbClr>
                  </w14:solidFill>
                </w14:textFill>
              </w:rPr>
              <w:t>|</w:t>
            </w:r>
            <w:r w:rsidRPr="00864502">
              <w:rPr>
                <w:rFonts w:hint="eastAsia"/>
                <w:color w:val="000000"/>
                <w:spacing w:val="-10"/>
                <w:w w:val="15"/>
                <w:shd w:val="solid" w:color="000000" w:fill="000000"/>
                <w:fitText w:val="55" w:id="-961874163"/>
                <w14:textFill>
                  <w14:solidFill>
                    <w14:srgbClr w14:val="000000">
                      <w14:alpha w14:val="100000"/>
                    </w14:srgbClr>
                  </w14:solidFill>
                </w14:textFill>
              </w:rPr>
              <w:t xml:space="preserve">　</w:t>
            </w:r>
            <w:r w:rsidR="00665B98" w:rsidRPr="00727D32">
              <w:rPr>
                <w:vertAlign w:val="superscript"/>
              </w:rPr>
              <w:t>6</w:t>
            </w:r>
          </w:p>
        </w:tc>
        <w:tc>
          <w:tcPr>
            <w:tcW w:w="612" w:type="pct"/>
          </w:tcPr>
          <w:p w14:paraId="62A137B6" w14:textId="6FD850C3" w:rsidR="006F3D74" w:rsidRPr="00B166BA" w:rsidRDefault="00864502" w:rsidP="006F3D74">
            <w:pPr>
              <w:pStyle w:val="TableText0"/>
              <w:jc w:val="center"/>
              <w:rPr>
                <w:highlight w:val="lightGray"/>
              </w:rPr>
            </w:pPr>
            <w:r w:rsidRPr="00864502">
              <w:rPr>
                <w:rFonts w:hint="eastAsia"/>
                <w:color w:val="000000"/>
                <w:w w:val="15"/>
                <w:shd w:val="solid" w:color="000000" w:fill="000000"/>
                <w:fitText w:val="55" w:id="-961874162"/>
                <w14:textFill>
                  <w14:solidFill>
                    <w14:srgbClr w14:val="000000">
                      <w14:alpha w14:val="100000"/>
                    </w14:srgbClr>
                  </w14:solidFill>
                </w14:textFill>
              </w:rPr>
              <w:t xml:space="preserve">　</w:t>
            </w:r>
            <w:r w:rsidRPr="00864502">
              <w:rPr>
                <w:color w:val="000000"/>
                <w:w w:val="15"/>
                <w:shd w:val="solid" w:color="000000" w:fill="000000"/>
                <w:fitText w:val="55" w:id="-961874162"/>
                <w14:textFill>
                  <w14:solidFill>
                    <w14:srgbClr w14:val="000000">
                      <w14:alpha w14:val="100000"/>
                    </w14:srgbClr>
                  </w14:solidFill>
                </w14:textFill>
              </w:rPr>
              <w:t>|</w:t>
            </w:r>
            <w:r w:rsidRPr="00864502">
              <w:rPr>
                <w:rFonts w:hint="eastAsia"/>
                <w:color w:val="000000"/>
                <w:spacing w:val="-10"/>
                <w:w w:val="15"/>
                <w:shd w:val="solid" w:color="000000" w:fill="000000"/>
                <w:fitText w:val="55" w:id="-961874162"/>
                <w14:textFill>
                  <w14:solidFill>
                    <w14:srgbClr w14:val="000000">
                      <w14:alpha w14:val="100000"/>
                    </w14:srgbClr>
                  </w14:solidFill>
                </w14:textFill>
              </w:rPr>
              <w:t xml:space="preserve">　</w:t>
            </w:r>
            <w:r w:rsidR="00665B98" w:rsidRPr="00727D32">
              <w:rPr>
                <w:vertAlign w:val="superscript"/>
              </w:rPr>
              <w:t>6</w:t>
            </w:r>
          </w:p>
        </w:tc>
      </w:tr>
      <w:tr w:rsidR="006F3D74" w:rsidRPr="00EB31F2" w14:paraId="2F868DEE" w14:textId="77777777">
        <w:tc>
          <w:tcPr>
            <w:tcW w:w="5000" w:type="pct"/>
            <w:gridSpan w:val="7"/>
            <w:shd w:val="clear" w:color="auto" w:fill="auto"/>
            <w:vAlign w:val="center"/>
          </w:tcPr>
          <w:p w14:paraId="3ED5EA33" w14:textId="77777777" w:rsidR="006F3D74" w:rsidRPr="00EB31F2" w:rsidRDefault="006F3D74" w:rsidP="006F3D74">
            <w:pPr>
              <w:pStyle w:val="In-tableHeading"/>
              <w:rPr>
                <w:szCs w:val="20"/>
                <w:lang w:val="en-AU"/>
              </w:rPr>
            </w:pPr>
            <w:r w:rsidRPr="00EB31F2">
              <w:rPr>
                <w:szCs w:val="20"/>
                <w:lang w:val="en-AU"/>
              </w:rPr>
              <w:t>Net financial implications</w:t>
            </w:r>
          </w:p>
        </w:tc>
      </w:tr>
      <w:tr w:rsidR="001811E0" w:rsidRPr="00EB31F2" w14:paraId="0A5308B2" w14:textId="02D15EAA" w:rsidTr="00B4786B">
        <w:tc>
          <w:tcPr>
            <w:tcW w:w="1333" w:type="pct"/>
            <w:shd w:val="clear" w:color="auto" w:fill="auto"/>
            <w:vAlign w:val="center"/>
          </w:tcPr>
          <w:p w14:paraId="57FFB069" w14:textId="3072EDFC" w:rsidR="001811E0" w:rsidRPr="00EB31F2" w:rsidRDefault="001811E0" w:rsidP="001811E0">
            <w:pPr>
              <w:pStyle w:val="TableText0"/>
              <w:rPr>
                <w:szCs w:val="20"/>
              </w:rPr>
            </w:pPr>
            <w:r w:rsidRPr="00EB31F2">
              <w:rPr>
                <w:szCs w:val="20"/>
              </w:rPr>
              <w:t>Total cost to PBS/RPBS</w:t>
            </w:r>
          </w:p>
        </w:tc>
        <w:tc>
          <w:tcPr>
            <w:tcW w:w="611" w:type="pct"/>
            <w:shd w:val="clear" w:color="auto" w:fill="auto"/>
          </w:tcPr>
          <w:p w14:paraId="071F9AE4" w14:textId="19B2A388" w:rsidR="001811E0" w:rsidRPr="00B166BA" w:rsidRDefault="00864502" w:rsidP="00F32E29">
            <w:pPr>
              <w:pStyle w:val="TableText0"/>
              <w:jc w:val="center"/>
              <w:rPr>
                <w:szCs w:val="20"/>
                <w:highlight w:val="lightGray"/>
              </w:rPr>
            </w:pPr>
            <w:r w:rsidRPr="00864502">
              <w:rPr>
                <w:rFonts w:hint="eastAsia"/>
                <w:color w:val="000000"/>
                <w:w w:val="15"/>
                <w:shd w:val="solid" w:color="000000" w:fill="000000"/>
                <w:fitText w:val="55" w:id="-961874161"/>
                <w14:textFill>
                  <w14:solidFill>
                    <w14:srgbClr w14:val="000000">
                      <w14:alpha w14:val="100000"/>
                    </w14:srgbClr>
                  </w14:solidFill>
                </w14:textFill>
              </w:rPr>
              <w:t xml:space="preserve">　</w:t>
            </w:r>
            <w:r w:rsidRPr="00864502">
              <w:rPr>
                <w:color w:val="000000"/>
                <w:w w:val="15"/>
                <w:shd w:val="solid" w:color="000000" w:fill="000000"/>
                <w:fitText w:val="55" w:id="-961874161"/>
                <w14:textFill>
                  <w14:solidFill>
                    <w14:srgbClr w14:val="000000">
                      <w14:alpha w14:val="100000"/>
                    </w14:srgbClr>
                  </w14:solidFill>
                </w14:textFill>
              </w:rPr>
              <w:t>|</w:t>
            </w:r>
            <w:r w:rsidRPr="00864502">
              <w:rPr>
                <w:rFonts w:hint="eastAsia"/>
                <w:color w:val="000000"/>
                <w:spacing w:val="-10"/>
                <w:w w:val="15"/>
                <w:shd w:val="solid" w:color="000000" w:fill="000000"/>
                <w:fitText w:val="55" w:id="-961874161"/>
                <w14:textFill>
                  <w14:solidFill>
                    <w14:srgbClr w14:val="000000">
                      <w14:alpha w14:val="100000"/>
                    </w14:srgbClr>
                  </w14:solidFill>
                </w14:textFill>
              </w:rPr>
              <w:t xml:space="preserve">　</w:t>
            </w:r>
            <w:r w:rsidR="00A87ECE" w:rsidRPr="00727D32">
              <w:rPr>
                <w:vertAlign w:val="superscript"/>
              </w:rPr>
              <w:t>3</w:t>
            </w:r>
          </w:p>
        </w:tc>
        <w:tc>
          <w:tcPr>
            <w:tcW w:w="611" w:type="pct"/>
            <w:shd w:val="clear" w:color="auto" w:fill="auto"/>
          </w:tcPr>
          <w:p w14:paraId="6285E223" w14:textId="69B9D94D" w:rsidR="001811E0" w:rsidRPr="00B166BA" w:rsidRDefault="00864502" w:rsidP="00F32E29">
            <w:pPr>
              <w:pStyle w:val="TableText0"/>
              <w:jc w:val="center"/>
              <w:rPr>
                <w:szCs w:val="20"/>
                <w:highlight w:val="lightGray"/>
              </w:rPr>
            </w:pPr>
            <w:r w:rsidRPr="00864502">
              <w:rPr>
                <w:rFonts w:hint="eastAsia"/>
                <w:color w:val="000000"/>
                <w:w w:val="15"/>
                <w:shd w:val="solid" w:color="000000" w:fill="000000"/>
                <w:fitText w:val="55" w:id="-961874160"/>
                <w14:textFill>
                  <w14:solidFill>
                    <w14:srgbClr w14:val="000000">
                      <w14:alpha w14:val="100000"/>
                    </w14:srgbClr>
                  </w14:solidFill>
                </w14:textFill>
              </w:rPr>
              <w:t xml:space="preserve">　</w:t>
            </w:r>
            <w:r w:rsidRPr="00864502">
              <w:rPr>
                <w:color w:val="000000"/>
                <w:w w:val="15"/>
                <w:shd w:val="solid" w:color="000000" w:fill="000000"/>
                <w:fitText w:val="55" w:id="-961874160"/>
                <w14:textFill>
                  <w14:solidFill>
                    <w14:srgbClr w14:val="000000">
                      <w14:alpha w14:val="100000"/>
                    </w14:srgbClr>
                  </w14:solidFill>
                </w14:textFill>
              </w:rPr>
              <w:t>|</w:t>
            </w:r>
            <w:r w:rsidRPr="00864502">
              <w:rPr>
                <w:rFonts w:hint="eastAsia"/>
                <w:color w:val="000000"/>
                <w:spacing w:val="-10"/>
                <w:w w:val="15"/>
                <w:shd w:val="solid" w:color="000000" w:fill="000000"/>
                <w:fitText w:val="55" w:id="-961874160"/>
                <w14:textFill>
                  <w14:solidFill>
                    <w14:srgbClr w14:val="000000">
                      <w14:alpha w14:val="100000"/>
                    </w14:srgbClr>
                  </w14:solidFill>
                </w14:textFill>
              </w:rPr>
              <w:t xml:space="preserve">　</w:t>
            </w:r>
            <w:r w:rsidR="00A87ECE" w:rsidRPr="00727D32">
              <w:rPr>
                <w:vertAlign w:val="superscript"/>
              </w:rPr>
              <w:t>4</w:t>
            </w:r>
          </w:p>
        </w:tc>
        <w:tc>
          <w:tcPr>
            <w:tcW w:w="611" w:type="pct"/>
            <w:shd w:val="clear" w:color="auto" w:fill="auto"/>
          </w:tcPr>
          <w:p w14:paraId="4541333A" w14:textId="3D036B72" w:rsidR="001811E0" w:rsidRPr="00B166BA" w:rsidRDefault="00864502" w:rsidP="00F32E29">
            <w:pPr>
              <w:pStyle w:val="TableText0"/>
              <w:jc w:val="center"/>
              <w:rPr>
                <w:szCs w:val="20"/>
                <w:highlight w:val="lightGray"/>
              </w:rPr>
            </w:pPr>
            <w:r w:rsidRPr="00864502">
              <w:rPr>
                <w:rFonts w:hint="eastAsia"/>
                <w:color w:val="000000"/>
                <w:w w:val="15"/>
                <w:shd w:val="solid" w:color="000000" w:fill="000000"/>
                <w:fitText w:val="54" w:id="-961874176"/>
                <w14:textFill>
                  <w14:solidFill>
                    <w14:srgbClr w14:val="000000">
                      <w14:alpha w14:val="100000"/>
                    </w14:srgbClr>
                  </w14:solidFill>
                </w14:textFill>
              </w:rPr>
              <w:t xml:space="preserve">　</w:t>
            </w:r>
            <w:r w:rsidRPr="00864502">
              <w:rPr>
                <w:color w:val="000000"/>
                <w:w w:val="15"/>
                <w:shd w:val="solid" w:color="000000" w:fill="000000"/>
                <w:fitText w:val="54" w:id="-961874176"/>
                <w14:textFill>
                  <w14:solidFill>
                    <w14:srgbClr w14:val="000000">
                      <w14:alpha w14:val="100000"/>
                    </w14:srgbClr>
                  </w14:solidFill>
                </w14:textFill>
              </w:rPr>
              <w:t>|</w:t>
            </w:r>
            <w:r w:rsidRPr="00864502">
              <w:rPr>
                <w:rFonts w:hint="eastAsia"/>
                <w:color w:val="000000"/>
                <w:spacing w:val="-11"/>
                <w:w w:val="15"/>
                <w:shd w:val="solid" w:color="000000" w:fill="000000"/>
                <w:fitText w:val="54" w:id="-961874176"/>
                <w14:textFill>
                  <w14:solidFill>
                    <w14:srgbClr w14:val="000000">
                      <w14:alpha w14:val="100000"/>
                    </w14:srgbClr>
                  </w14:solidFill>
                </w14:textFill>
              </w:rPr>
              <w:t xml:space="preserve">　</w:t>
            </w:r>
            <w:r w:rsidR="00A87ECE" w:rsidRPr="00727D32">
              <w:rPr>
                <w:vertAlign w:val="superscript"/>
              </w:rPr>
              <w:t>4</w:t>
            </w:r>
          </w:p>
        </w:tc>
        <w:tc>
          <w:tcPr>
            <w:tcW w:w="611" w:type="pct"/>
            <w:shd w:val="clear" w:color="auto" w:fill="auto"/>
          </w:tcPr>
          <w:p w14:paraId="71572217" w14:textId="0964A34E" w:rsidR="001811E0" w:rsidRPr="00B166BA" w:rsidRDefault="00864502" w:rsidP="00F32E29">
            <w:pPr>
              <w:pStyle w:val="TableText0"/>
              <w:jc w:val="center"/>
              <w:rPr>
                <w:szCs w:val="20"/>
                <w:highlight w:val="lightGray"/>
              </w:rPr>
            </w:pPr>
            <w:r w:rsidRPr="00864502">
              <w:rPr>
                <w:rFonts w:hint="eastAsia"/>
                <w:color w:val="000000"/>
                <w:w w:val="15"/>
                <w:shd w:val="solid" w:color="000000" w:fill="000000"/>
                <w:fitText w:val="54" w:id="-961874175"/>
                <w14:textFill>
                  <w14:solidFill>
                    <w14:srgbClr w14:val="000000">
                      <w14:alpha w14:val="100000"/>
                    </w14:srgbClr>
                  </w14:solidFill>
                </w14:textFill>
              </w:rPr>
              <w:t xml:space="preserve">　</w:t>
            </w:r>
            <w:r w:rsidRPr="00864502">
              <w:rPr>
                <w:color w:val="000000"/>
                <w:w w:val="15"/>
                <w:shd w:val="solid" w:color="000000" w:fill="000000"/>
                <w:fitText w:val="54" w:id="-961874175"/>
                <w14:textFill>
                  <w14:solidFill>
                    <w14:srgbClr w14:val="000000">
                      <w14:alpha w14:val="100000"/>
                    </w14:srgbClr>
                  </w14:solidFill>
                </w14:textFill>
              </w:rPr>
              <w:t>|</w:t>
            </w:r>
            <w:r w:rsidRPr="00864502">
              <w:rPr>
                <w:rFonts w:hint="eastAsia"/>
                <w:color w:val="000000"/>
                <w:spacing w:val="-11"/>
                <w:w w:val="15"/>
                <w:shd w:val="solid" w:color="000000" w:fill="000000"/>
                <w:fitText w:val="54" w:id="-961874175"/>
                <w14:textFill>
                  <w14:solidFill>
                    <w14:srgbClr w14:val="000000">
                      <w14:alpha w14:val="100000"/>
                    </w14:srgbClr>
                  </w14:solidFill>
                </w14:textFill>
              </w:rPr>
              <w:t xml:space="preserve">　</w:t>
            </w:r>
            <w:r w:rsidR="00A87ECE" w:rsidRPr="00727D32">
              <w:rPr>
                <w:vertAlign w:val="superscript"/>
              </w:rPr>
              <w:t>5</w:t>
            </w:r>
          </w:p>
        </w:tc>
        <w:tc>
          <w:tcPr>
            <w:tcW w:w="611" w:type="pct"/>
            <w:shd w:val="clear" w:color="auto" w:fill="auto"/>
          </w:tcPr>
          <w:p w14:paraId="36C3CD62" w14:textId="168C1B37" w:rsidR="001811E0" w:rsidRPr="00B166BA" w:rsidRDefault="00864502" w:rsidP="00F32E29">
            <w:pPr>
              <w:pStyle w:val="TableText0"/>
              <w:jc w:val="center"/>
              <w:rPr>
                <w:szCs w:val="20"/>
                <w:highlight w:val="lightGray"/>
              </w:rPr>
            </w:pPr>
            <w:r w:rsidRPr="00864502">
              <w:rPr>
                <w:rFonts w:hint="eastAsia"/>
                <w:color w:val="000000"/>
                <w:w w:val="15"/>
                <w:shd w:val="solid" w:color="000000" w:fill="000000"/>
                <w:fitText w:val="55" w:id="-961874174"/>
                <w14:textFill>
                  <w14:solidFill>
                    <w14:srgbClr w14:val="000000">
                      <w14:alpha w14:val="100000"/>
                    </w14:srgbClr>
                  </w14:solidFill>
                </w14:textFill>
              </w:rPr>
              <w:t xml:space="preserve">　</w:t>
            </w:r>
            <w:r w:rsidRPr="00864502">
              <w:rPr>
                <w:color w:val="000000"/>
                <w:w w:val="15"/>
                <w:shd w:val="solid" w:color="000000" w:fill="000000"/>
                <w:fitText w:val="55" w:id="-961874174"/>
                <w14:textFill>
                  <w14:solidFill>
                    <w14:srgbClr w14:val="000000">
                      <w14:alpha w14:val="100000"/>
                    </w14:srgbClr>
                  </w14:solidFill>
                </w14:textFill>
              </w:rPr>
              <w:t>|</w:t>
            </w:r>
            <w:r w:rsidRPr="00864502">
              <w:rPr>
                <w:rFonts w:hint="eastAsia"/>
                <w:color w:val="000000"/>
                <w:spacing w:val="-10"/>
                <w:w w:val="15"/>
                <w:shd w:val="solid" w:color="000000" w:fill="000000"/>
                <w:fitText w:val="55" w:id="-961874174"/>
                <w14:textFill>
                  <w14:solidFill>
                    <w14:srgbClr w14:val="000000">
                      <w14:alpha w14:val="100000"/>
                    </w14:srgbClr>
                  </w14:solidFill>
                </w14:textFill>
              </w:rPr>
              <w:t xml:space="preserve">　</w:t>
            </w:r>
            <w:r w:rsidR="00A87ECE" w:rsidRPr="00727D32">
              <w:rPr>
                <w:vertAlign w:val="superscript"/>
              </w:rPr>
              <w:t>5</w:t>
            </w:r>
          </w:p>
        </w:tc>
        <w:tc>
          <w:tcPr>
            <w:tcW w:w="612" w:type="pct"/>
          </w:tcPr>
          <w:p w14:paraId="10AAFA5A" w14:textId="2DB49D15" w:rsidR="001811E0" w:rsidRPr="00B166BA" w:rsidRDefault="00864502" w:rsidP="00F32E29">
            <w:pPr>
              <w:pStyle w:val="TableText0"/>
              <w:jc w:val="center"/>
              <w:rPr>
                <w:szCs w:val="20"/>
                <w:highlight w:val="lightGray"/>
              </w:rPr>
            </w:pPr>
            <w:r w:rsidRPr="00864502">
              <w:rPr>
                <w:rFonts w:hint="eastAsia"/>
                <w:color w:val="000000"/>
                <w:w w:val="15"/>
                <w:shd w:val="solid" w:color="000000" w:fill="000000"/>
                <w:fitText w:val="55" w:id="-961874173"/>
                <w14:textFill>
                  <w14:solidFill>
                    <w14:srgbClr w14:val="000000">
                      <w14:alpha w14:val="100000"/>
                    </w14:srgbClr>
                  </w14:solidFill>
                </w14:textFill>
              </w:rPr>
              <w:t xml:space="preserve">　</w:t>
            </w:r>
            <w:r w:rsidRPr="00864502">
              <w:rPr>
                <w:color w:val="000000"/>
                <w:w w:val="15"/>
                <w:shd w:val="solid" w:color="000000" w:fill="000000"/>
                <w:fitText w:val="55" w:id="-961874173"/>
                <w14:textFill>
                  <w14:solidFill>
                    <w14:srgbClr w14:val="000000">
                      <w14:alpha w14:val="100000"/>
                    </w14:srgbClr>
                  </w14:solidFill>
                </w14:textFill>
              </w:rPr>
              <w:t>|</w:t>
            </w:r>
            <w:r w:rsidRPr="00864502">
              <w:rPr>
                <w:rFonts w:hint="eastAsia"/>
                <w:color w:val="000000"/>
                <w:spacing w:val="-10"/>
                <w:w w:val="15"/>
                <w:shd w:val="solid" w:color="000000" w:fill="000000"/>
                <w:fitText w:val="55" w:id="-961874173"/>
                <w14:textFill>
                  <w14:solidFill>
                    <w14:srgbClr w14:val="000000">
                      <w14:alpha w14:val="100000"/>
                    </w14:srgbClr>
                  </w14:solidFill>
                </w14:textFill>
              </w:rPr>
              <w:t xml:space="preserve">　</w:t>
            </w:r>
            <w:r w:rsidR="00A87ECE" w:rsidRPr="00727D32">
              <w:rPr>
                <w:vertAlign w:val="superscript"/>
              </w:rPr>
              <w:t>5</w:t>
            </w:r>
          </w:p>
        </w:tc>
      </w:tr>
      <w:tr w:rsidR="001811E0" w:rsidRPr="00EB31F2" w14:paraId="2696DAAF" w14:textId="77777777" w:rsidTr="00B4786B">
        <w:tc>
          <w:tcPr>
            <w:tcW w:w="1333" w:type="pct"/>
            <w:shd w:val="clear" w:color="auto" w:fill="auto"/>
            <w:vAlign w:val="center"/>
          </w:tcPr>
          <w:p w14:paraId="26004BB7" w14:textId="1B5F1C98" w:rsidR="001811E0" w:rsidRPr="00EB31F2" w:rsidRDefault="001811E0" w:rsidP="001811E0">
            <w:pPr>
              <w:pStyle w:val="TableText0"/>
              <w:rPr>
                <w:szCs w:val="20"/>
              </w:rPr>
            </w:pPr>
            <w:r w:rsidRPr="00EB31F2">
              <w:rPr>
                <w:szCs w:val="20"/>
              </w:rPr>
              <w:t>Net cost to PBS</w:t>
            </w:r>
          </w:p>
        </w:tc>
        <w:tc>
          <w:tcPr>
            <w:tcW w:w="611" w:type="pct"/>
            <w:shd w:val="clear" w:color="auto" w:fill="auto"/>
          </w:tcPr>
          <w:p w14:paraId="74657F2C" w14:textId="5C19ED78" w:rsidR="001811E0" w:rsidRPr="00B166BA" w:rsidRDefault="00864502" w:rsidP="00F32E29">
            <w:pPr>
              <w:pStyle w:val="TableText0"/>
              <w:jc w:val="center"/>
              <w:rPr>
                <w:highlight w:val="lightGray"/>
              </w:rPr>
            </w:pPr>
            <w:r w:rsidRPr="00864502">
              <w:rPr>
                <w:rFonts w:hint="eastAsia"/>
                <w:color w:val="000000"/>
                <w:w w:val="15"/>
                <w:shd w:val="solid" w:color="000000" w:fill="000000"/>
                <w:fitText w:val="55" w:id="-961874172"/>
                <w14:textFill>
                  <w14:solidFill>
                    <w14:srgbClr w14:val="000000">
                      <w14:alpha w14:val="100000"/>
                    </w14:srgbClr>
                  </w14:solidFill>
                </w14:textFill>
              </w:rPr>
              <w:t xml:space="preserve">　</w:t>
            </w:r>
            <w:r w:rsidRPr="00864502">
              <w:rPr>
                <w:color w:val="000000"/>
                <w:w w:val="15"/>
                <w:shd w:val="solid" w:color="000000" w:fill="000000"/>
                <w:fitText w:val="55" w:id="-961874172"/>
                <w14:textFill>
                  <w14:solidFill>
                    <w14:srgbClr w14:val="000000">
                      <w14:alpha w14:val="100000"/>
                    </w14:srgbClr>
                  </w14:solidFill>
                </w14:textFill>
              </w:rPr>
              <w:t>|</w:t>
            </w:r>
            <w:r w:rsidRPr="00864502">
              <w:rPr>
                <w:rFonts w:hint="eastAsia"/>
                <w:color w:val="000000"/>
                <w:spacing w:val="-10"/>
                <w:w w:val="15"/>
                <w:shd w:val="solid" w:color="000000" w:fill="000000"/>
                <w:fitText w:val="55" w:id="-961874172"/>
                <w14:textFill>
                  <w14:solidFill>
                    <w14:srgbClr w14:val="000000">
                      <w14:alpha w14:val="100000"/>
                    </w14:srgbClr>
                  </w14:solidFill>
                </w14:textFill>
              </w:rPr>
              <w:t xml:space="preserve">　</w:t>
            </w:r>
            <w:r w:rsidR="007E2B65" w:rsidRPr="00727D32">
              <w:rPr>
                <w:vertAlign w:val="superscript"/>
              </w:rPr>
              <w:t>7</w:t>
            </w:r>
          </w:p>
        </w:tc>
        <w:tc>
          <w:tcPr>
            <w:tcW w:w="611" w:type="pct"/>
            <w:shd w:val="clear" w:color="auto" w:fill="auto"/>
          </w:tcPr>
          <w:p w14:paraId="74CCB710" w14:textId="319BF564" w:rsidR="001811E0" w:rsidRPr="00B166BA" w:rsidRDefault="00864502" w:rsidP="00F32E29">
            <w:pPr>
              <w:pStyle w:val="TableText0"/>
              <w:jc w:val="center"/>
              <w:rPr>
                <w:highlight w:val="lightGray"/>
              </w:rPr>
            </w:pPr>
            <w:r w:rsidRPr="00864502">
              <w:rPr>
                <w:rFonts w:hint="eastAsia"/>
                <w:color w:val="000000"/>
                <w:w w:val="15"/>
                <w:shd w:val="solid" w:color="000000" w:fill="000000"/>
                <w:fitText w:val="55" w:id="-961874171"/>
                <w14:textFill>
                  <w14:solidFill>
                    <w14:srgbClr w14:val="000000">
                      <w14:alpha w14:val="100000"/>
                    </w14:srgbClr>
                  </w14:solidFill>
                </w14:textFill>
              </w:rPr>
              <w:t xml:space="preserve">　</w:t>
            </w:r>
            <w:r w:rsidRPr="00864502">
              <w:rPr>
                <w:color w:val="000000"/>
                <w:w w:val="15"/>
                <w:shd w:val="solid" w:color="000000" w:fill="000000"/>
                <w:fitText w:val="55" w:id="-961874171"/>
                <w14:textFill>
                  <w14:solidFill>
                    <w14:srgbClr w14:val="000000">
                      <w14:alpha w14:val="100000"/>
                    </w14:srgbClr>
                  </w14:solidFill>
                </w14:textFill>
              </w:rPr>
              <w:t>|</w:t>
            </w:r>
            <w:r w:rsidRPr="00864502">
              <w:rPr>
                <w:rFonts w:hint="eastAsia"/>
                <w:color w:val="000000"/>
                <w:spacing w:val="-10"/>
                <w:w w:val="15"/>
                <w:shd w:val="solid" w:color="000000" w:fill="000000"/>
                <w:fitText w:val="55" w:id="-961874171"/>
                <w14:textFill>
                  <w14:solidFill>
                    <w14:srgbClr w14:val="000000">
                      <w14:alpha w14:val="100000"/>
                    </w14:srgbClr>
                  </w14:solidFill>
                </w14:textFill>
              </w:rPr>
              <w:t xml:space="preserve">　</w:t>
            </w:r>
            <w:r w:rsidR="007E2B65" w:rsidRPr="00727D32">
              <w:rPr>
                <w:vertAlign w:val="superscript"/>
              </w:rPr>
              <w:t>7</w:t>
            </w:r>
          </w:p>
        </w:tc>
        <w:tc>
          <w:tcPr>
            <w:tcW w:w="611" w:type="pct"/>
            <w:shd w:val="clear" w:color="auto" w:fill="auto"/>
          </w:tcPr>
          <w:p w14:paraId="6C97D938" w14:textId="345DE84E" w:rsidR="001811E0" w:rsidRPr="00B166BA" w:rsidRDefault="00864502" w:rsidP="00F32E29">
            <w:pPr>
              <w:pStyle w:val="TableText0"/>
              <w:jc w:val="center"/>
              <w:rPr>
                <w:highlight w:val="lightGray"/>
              </w:rPr>
            </w:pPr>
            <w:r w:rsidRPr="00864502">
              <w:rPr>
                <w:rFonts w:hint="eastAsia"/>
                <w:color w:val="000000"/>
                <w:w w:val="15"/>
                <w:shd w:val="solid" w:color="000000" w:fill="000000"/>
                <w:fitText w:val="54" w:id="-961874170"/>
                <w14:textFill>
                  <w14:solidFill>
                    <w14:srgbClr w14:val="000000">
                      <w14:alpha w14:val="100000"/>
                    </w14:srgbClr>
                  </w14:solidFill>
                </w14:textFill>
              </w:rPr>
              <w:t xml:space="preserve">　</w:t>
            </w:r>
            <w:r w:rsidRPr="00864502">
              <w:rPr>
                <w:color w:val="000000"/>
                <w:w w:val="15"/>
                <w:shd w:val="solid" w:color="000000" w:fill="000000"/>
                <w:fitText w:val="54" w:id="-961874170"/>
                <w14:textFill>
                  <w14:solidFill>
                    <w14:srgbClr w14:val="000000">
                      <w14:alpha w14:val="100000"/>
                    </w14:srgbClr>
                  </w14:solidFill>
                </w14:textFill>
              </w:rPr>
              <w:t>|</w:t>
            </w:r>
            <w:r w:rsidRPr="00864502">
              <w:rPr>
                <w:rFonts w:hint="eastAsia"/>
                <w:color w:val="000000"/>
                <w:spacing w:val="-11"/>
                <w:w w:val="15"/>
                <w:shd w:val="solid" w:color="000000" w:fill="000000"/>
                <w:fitText w:val="54" w:id="-961874170"/>
                <w14:textFill>
                  <w14:solidFill>
                    <w14:srgbClr w14:val="000000">
                      <w14:alpha w14:val="100000"/>
                    </w14:srgbClr>
                  </w14:solidFill>
                </w14:textFill>
              </w:rPr>
              <w:t xml:space="preserve">　</w:t>
            </w:r>
            <w:r w:rsidR="007E2B65" w:rsidRPr="00727D32">
              <w:rPr>
                <w:vertAlign w:val="superscript"/>
              </w:rPr>
              <w:t>7</w:t>
            </w:r>
          </w:p>
        </w:tc>
        <w:tc>
          <w:tcPr>
            <w:tcW w:w="611" w:type="pct"/>
            <w:shd w:val="clear" w:color="auto" w:fill="auto"/>
          </w:tcPr>
          <w:p w14:paraId="187535A7" w14:textId="75D0D88C" w:rsidR="001811E0" w:rsidRPr="00B166BA" w:rsidRDefault="00864502" w:rsidP="00F32E29">
            <w:pPr>
              <w:pStyle w:val="TableText0"/>
              <w:jc w:val="center"/>
              <w:rPr>
                <w:highlight w:val="lightGray"/>
              </w:rPr>
            </w:pPr>
            <w:r w:rsidRPr="00864502">
              <w:rPr>
                <w:rFonts w:hint="eastAsia"/>
                <w:color w:val="000000"/>
                <w:w w:val="15"/>
                <w:shd w:val="solid" w:color="000000" w:fill="000000"/>
                <w:fitText w:val="54" w:id="-961874169"/>
                <w14:textFill>
                  <w14:solidFill>
                    <w14:srgbClr w14:val="000000">
                      <w14:alpha w14:val="100000"/>
                    </w14:srgbClr>
                  </w14:solidFill>
                </w14:textFill>
              </w:rPr>
              <w:t xml:space="preserve">　</w:t>
            </w:r>
            <w:r w:rsidRPr="00864502">
              <w:rPr>
                <w:color w:val="000000"/>
                <w:w w:val="15"/>
                <w:shd w:val="solid" w:color="000000" w:fill="000000"/>
                <w:fitText w:val="54" w:id="-961874169"/>
                <w14:textFill>
                  <w14:solidFill>
                    <w14:srgbClr w14:val="000000">
                      <w14:alpha w14:val="100000"/>
                    </w14:srgbClr>
                  </w14:solidFill>
                </w14:textFill>
              </w:rPr>
              <w:t>|</w:t>
            </w:r>
            <w:r w:rsidRPr="00864502">
              <w:rPr>
                <w:rFonts w:hint="eastAsia"/>
                <w:color w:val="000000"/>
                <w:spacing w:val="-11"/>
                <w:w w:val="15"/>
                <w:shd w:val="solid" w:color="000000" w:fill="000000"/>
                <w:fitText w:val="54" w:id="-961874169"/>
                <w14:textFill>
                  <w14:solidFill>
                    <w14:srgbClr w14:val="000000">
                      <w14:alpha w14:val="100000"/>
                    </w14:srgbClr>
                  </w14:solidFill>
                </w14:textFill>
              </w:rPr>
              <w:t xml:space="preserve">　</w:t>
            </w:r>
            <w:r w:rsidR="007E2B65" w:rsidRPr="00727D32">
              <w:rPr>
                <w:vertAlign w:val="superscript"/>
              </w:rPr>
              <w:t>7</w:t>
            </w:r>
          </w:p>
        </w:tc>
        <w:tc>
          <w:tcPr>
            <w:tcW w:w="611" w:type="pct"/>
            <w:shd w:val="clear" w:color="auto" w:fill="auto"/>
          </w:tcPr>
          <w:p w14:paraId="63980854" w14:textId="4EC144A4" w:rsidR="001811E0" w:rsidRPr="00B166BA" w:rsidRDefault="00864502" w:rsidP="00F32E29">
            <w:pPr>
              <w:pStyle w:val="TableText0"/>
              <w:jc w:val="center"/>
              <w:rPr>
                <w:highlight w:val="lightGray"/>
              </w:rPr>
            </w:pPr>
            <w:r w:rsidRPr="00864502">
              <w:rPr>
                <w:rFonts w:hint="eastAsia"/>
                <w:color w:val="000000"/>
                <w:w w:val="15"/>
                <w:shd w:val="solid" w:color="000000" w:fill="000000"/>
                <w:fitText w:val="55" w:id="-961874168"/>
                <w14:textFill>
                  <w14:solidFill>
                    <w14:srgbClr w14:val="000000">
                      <w14:alpha w14:val="100000"/>
                    </w14:srgbClr>
                  </w14:solidFill>
                </w14:textFill>
              </w:rPr>
              <w:t xml:space="preserve">　</w:t>
            </w:r>
            <w:r w:rsidRPr="00864502">
              <w:rPr>
                <w:color w:val="000000"/>
                <w:w w:val="15"/>
                <w:shd w:val="solid" w:color="000000" w:fill="000000"/>
                <w:fitText w:val="55" w:id="-961874168"/>
                <w14:textFill>
                  <w14:solidFill>
                    <w14:srgbClr w14:val="000000">
                      <w14:alpha w14:val="100000"/>
                    </w14:srgbClr>
                  </w14:solidFill>
                </w14:textFill>
              </w:rPr>
              <w:t>|</w:t>
            </w:r>
            <w:r w:rsidRPr="00864502">
              <w:rPr>
                <w:rFonts w:hint="eastAsia"/>
                <w:color w:val="000000"/>
                <w:spacing w:val="-10"/>
                <w:w w:val="15"/>
                <w:shd w:val="solid" w:color="000000" w:fill="000000"/>
                <w:fitText w:val="55" w:id="-961874168"/>
                <w14:textFill>
                  <w14:solidFill>
                    <w14:srgbClr w14:val="000000">
                      <w14:alpha w14:val="100000"/>
                    </w14:srgbClr>
                  </w14:solidFill>
                </w14:textFill>
              </w:rPr>
              <w:t xml:space="preserve">　</w:t>
            </w:r>
            <w:r w:rsidR="007E2B65" w:rsidRPr="00727D32">
              <w:rPr>
                <w:vertAlign w:val="superscript"/>
              </w:rPr>
              <w:t>7</w:t>
            </w:r>
          </w:p>
        </w:tc>
        <w:tc>
          <w:tcPr>
            <w:tcW w:w="612" w:type="pct"/>
          </w:tcPr>
          <w:p w14:paraId="5A84755A" w14:textId="5E8FB206" w:rsidR="001811E0" w:rsidRPr="00B166BA" w:rsidRDefault="00864502" w:rsidP="00F32E29">
            <w:pPr>
              <w:pStyle w:val="TableText0"/>
              <w:jc w:val="center"/>
              <w:rPr>
                <w:highlight w:val="lightGray"/>
              </w:rPr>
            </w:pPr>
            <w:r w:rsidRPr="00864502">
              <w:rPr>
                <w:rFonts w:hint="eastAsia"/>
                <w:color w:val="000000"/>
                <w:w w:val="15"/>
                <w:shd w:val="solid" w:color="000000" w:fill="000000"/>
                <w:fitText w:val="55" w:id="-961874167"/>
                <w14:textFill>
                  <w14:solidFill>
                    <w14:srgbClr w14:val="000000">
                      <w14:alpha w14:val="100000"/>
                    </w14:srgbClr>
                  </w14:solidFill>
                </w14:textFill>
              </w:rPr>
              <w:t xml:space="preserve">　</w:t>
            </w:r>
            <w:r w:rsidRPr="00864502">
              <w:rPr>
                <w:color w:val="000000"/>
                <w:w w:val="15"/>
                <w:shd w:val="solid" w:color="000000" w:fill="000000"/>
                <w:fitText w:val="55" w:id="-961874167"/>
                <w14:textFill>
                  <w14:solidFill>
                    <w14:srgbClr w14:val="000000">
                      <w14:alpha w14:val="100000"/>
                    </w14:srgbClr>
                  </w14:solidFill>
                </w14:textFill>
              </w:rPr>
              <w:t>|</w:t>
            </w:r>
            <w:r w:rsidRPr="00864502">
              <w:rPr>
                <w:rFonts w:hint="eastAsia"/>
                <w:color w:val="000000"/>
                <w:spacing w:val="-10"/>
                <w:w w:val="15"/>
                <w:shd w:val="solid" w:color="000000" w:fill="000000"/>
                <w:fitText w:val="55" w:id="-961874167"/>
                <w14:textFill>
                  <w14:solidFill>
                    <w14:srgbClr w14:val="000000">
                      <w14:alpha w14:val="100000"/>
                    </w14:srgbClr>
                  </w14:solidFill>
                </w14:textFill>
              </w:rPr>
              <w:t xml:space="preserve">　</w:t>
            </w:r>
            <w:r w:rsidR="007E2B65" w:rsidRPr="00727D32">
              <w:rPr>
                <w:vertAlign w:val="superscript"/>
              </w:rPr>
              <w:t>7</w:t>
            </w:r>
          </w:p>
        </w:tc>
      </w:tr>
      <w:tr w:rsidR="00855A31" w:rsidRPr="00EB31F2" w14:paraId="52F25A82" w14:textId="77777777">
        <w:tc>
          <w:tcPr>
            <w:tcW w:w="1333" w:type="pct"/>
            <w:shd w:val="clear" w:color="auto" w:fill="auto"/>
            <w:vAlign w:val="center"/>
          </w:tcPr>
          <w:p w14:paraId="2E813868" w14:textId="725C64AC" w:rsidR="00855A31" w:rsidRPr="00EB31F2" w:rsidRDefault="00855A31" w:rsidP="00855A31">
            <w:pPr>
              <w:pStyle w:val="TableText0"/>
              <w:rPr>
                <w:szCs w:val="20"/>
              </w:rPr>
            </w:pPr>
            <w:r w:rsidRPr="00EB31F2">
              <w:rPr>
                <w:szCs w:val="20"/>
              </w:rPr>
              <w:t>Net cost to RPBS</w:t>
            </w:r>
          </w:p>
        </w:tc>
        <w:tc>
          <w:tcPr>
            <w:tcW w:w="611" w:type="pct"/>
            <w:shd w:val="clear" w:color="auto" w:fill="auto"/>
            <w:vAlign w:val="center"/>
          </w:tcPr>
          <w:p w14:paraId="2E5DB9E9" w14:textId="32B5940E" w:rsidR="00855A31" w:rsidRPr="00B166BA" w:rsidRDefault="00864502" w:rsidP="00F32E29">
            <w:pPr>
              <w:pStyle w:val="TableText0"/>
              <w:jc w:val="center"/>
              <w:rPr>
                <w:szCs w:val="20"/>
                <w:highlight w:val="lightGray"/>
              </w:rPr>
            </w:pPr>
            <w:r w:rsidRPr="00864502">
              <w:rPr>
                <w:rFonts w:cs="Calibri" w:hint="eastAsia"/>
                <w:color w:val="000000"/>
                <w:w w:val="15"/>
                <w:szCs w:val="20"/>
                <w:shd w:val="solid" w:color="000000" w:fill="000000"/>
                <w:fitText w:val="55" w:id="-961874166"/>
                <w14:textFill>
                  <w14:solidFill>
                    <w14:srgbClr w14:val="000000">
                      <w14:alpha w14:val="100000"/>
                    </w14:srgbClr>
                  </w14:solidFill>
                </w14:textFill>
              </w:rPr>
              <w:t xml:space="preserve">　</w:t>
            </w:r>
            <w:r w:rsidRPr="00864502">
              <w:rPr>
                <w:rFonts w:cs="Calibri"/>
                <w:color w:val="000000"/>
                <w:w w:val="15"/>
                <w:szCs w:val="20"/>
                <w:shd w:val="solid" w:color="000000" w:fill="000000"/>
                <w:fitText w:val="55" w:id="-961874166"/>
                <w14:textFill>
                  <w14:solidFill>
                    <w14:srgbClr w14:val="000000">
                      <w14:alpha w14:val="100000"/>
                    </w14:srgbClr>
                  </w14:solidFill>
                </w14:textFill>
              </w:rPr>
              <w:t>|</w:t>
            </w:r>
            <w:r w:rsidRPr="00864502">
              <w:rPr>
                <w:rFonts w:cs="Calibri" w:hint="eastAsia"/>
                <w:color w:val="000000"/>
                <w:spacing w:val="-10"/>
                <w:w w:val="15"/>
                <w:szCs w:val="20"/>
                <w:shd w:val="solid" w:color="000000" w:fill="000000"/>
                <w:fitText w:val="55" w:id="-961874166"/>
                <w14:textFill>
                  <w14:solidFill>
                    <w14:srgbClr w14:val="000000">
                      <w14:alpha w14:val="100000"/>
                    </w14:srgbClr>
                  </w14:solidFill>
                </w14:textFill>
              </w:rPr>
              <w:t xml:space="preserve">　</w:t>
            </w:r>
            <w:r w:rsidR="007E2B65" w:rsidRPr="00727D32">
              <w:rPr>
                <w:vertAlign w:val="superscript"/>
              </w:rPr>
              <w:t>7</w:t>
            </w:r>
          </w:p>
        </w:tc>
        <w:tc>
          <w:tcPr>
            <w:tcW w:w="611" w:type="pct"/>
            <w:shd w:val="clear" w:color="auto" w:fill="auto"/>
            <w:vAlign w:val="center"/>
          </w:tcPr>
          <w:p w14:paraId="5CB1E819" w14:textId="13FE37D1" w:rsidR="00855A31" w:rsidRPr="00B166BA" w:rsidRDefault="00864502" w:rsidP="00F32E29">
            <w:pPr>
              <w:pStyle w:val="TableText0"/>
              <w:jc w:val="center"/>
              <w:rPr>
                <w:szCs w:val="20"/>
                <w:highlight w:val="lightGray"/>
              </w:rPr>
            </w:pPr>
            <w:r w:rsidRPr="00864502">
              <w:rPr>
                <w:rFonts w:cs="Calibri" w:hint="eastAsia"/>
                <w:color w:val="000000"/>
                <w:w w:val="15"/>
                <w:szCs w:val="20"/>
                <w:shd w:val="solid" w:color="000000" w:fill="000000"/>
                <w:fitText w:val="55" w:id="-961874165"/>
                <w14:textFill>
                  <w14:solidFill>
                    <w14:srgbClr w14:val="000000">
                      <w14:alpha w14:val="100000"/>
                    </w14:srgbClr>
                  </w14:solidFill>
                </w14:textFill>
              </w:rPr>
              <w:t xml:space="preserve">　</w:t>
            </w:r>
            <w:r w:rsidRPr="00864502">
              <w:rPr>
                <w:rFonts w:cs="Calibri"/>
                <w:color w:val="000000"/>
                <w:w w:val="15"/>
                <w:szCs w:val="20"/>
                <w:shd w:val="solid" w:color="000000" w:fill="000000"/>
                <w:fitText w:val="55" w:id="-961874165"/>
                <w14:textFill>
                  <w14:solidFill>
                    <w14:srgbClr w14:val="000000">
                      <w14:alpha w14:val="100000"/>
                    </w14:srgbClr>
                  </w14:solidFill>
                </w14:textFill>
              </w:rPr>
              <w:t>|</w:t>
            </w:r>
            <w:r w:rsidRPr="00864502">
              <w:rPr>
                <w:rFonts w:cs="Calibri" w:hint="eastAsia"/>
                <w:color w:val="000000"/>
                <w:spacing w:val="-10"/>
                <w:w w:val="15"/>
                <w:szCs w:val="20"/>
                <w:shd w:val="solid" w:color="000000" w:fill="000000"/>
                <w:fitText w:val="55" w:id="-961874165"/>
                <w14:textFill>
                  <w14:solidFill>
                    <w14:srgbClr w14:val="000000">
                      <w14:alpha w14:val="100000"/>
                    </w14:srgbClr>
                  </w14:solidFill>
                </w14:textFill>
              </w:rPr>
              <w:t xml:space="preserve">　</w:t>
            </w:r>
            <w:r w:rsidR="007E2B65" w:rsidRPr="00727D32">
              <w:rPr>
                <w:vertAlign w:val="superscript"/>
              </w:rPr>
              <w:t>7</w:t>
            </w:r>
          </w:p>
        </w:tc>
        <w:tc>
          <w:tcPr>
            <w:tcW w:w="611" w:type="pct"/>
            <w:shd w:val="clear" w:color="auto" w:fill="auto"/>
            <w:vAlign w:val="center"/>
          </w:tcPr>
          <w:p w14:paraId="3021F9B9" w14:textId="5D28AB63" w:rsidR="00855A31" w:rsidRPr="00B166BA" w:rsidRDefault="00864502" w:rsidP="00F32E29">
            <w:pPr>
              <w:pStyle w:val="TableText0"/>
              <w:jc w:val="center"/>
              <w:rPr>
                <w:szCs w:val="20"/>
                <w:highlight w:val="lightGray"/>
              </w:rPr>
            </w:pPr>
            <w:r w:rsidRPr="00864502">
              <w:rPr>
                <w:rFonts w:cs="Calibri" w:hint="eastAsia"/>
                <w:color w:val="000000"/>
                <w:w w:val="15"/>
                <w:szCs w:val="20"/>
                <w:shd w:val="solid" w:color="000000" w:fill="000000"/>
                <w:fitText w:val="54" w:id="-961874164"/>
                <w14:textFill>
                  <w14:solidFill>
                    <w14:srgbClr w14:val="000000">
                      <w14:alpha w14:val="100000"/>
                    </w14:srgbClr>
                  </w14:solidFill>
                </w14:textFill>
              </w:rPr>
              <w:t xml:space="preserve">　</w:t>
            </w:r>
            <w:r w:rsidRPr="00864502">
              <w:rPr>
                <w:rFonts w:cs="Calibri"/>
                <w:color w:val="000000"/>
                <w:w w:val="15"/>
                <w:szCs w:val="20"/>
                <w:shd w:val="solid" w:color="000000" w:fill="000000"/>
                <w:fitText w:val="54" w:id="-961874164"/>
                <w14:textFill>
                  <w14:solidFill>
                    <w14:srgbClr w14:val="000000">
                      <w14:alpha w14:val="100000"/>
                    </w14:srgbClr>
                  </w14:solidFill>
                </w14:textFill>
              </w:rPr>
              <w:t>|</w:t>
            </w:r>
            <w:r w:rsidRPr="00864502">
              <w:rPr>
                <w:rFonts w:cs="Calibri" w:hint="eastAsia"/>
                <w:color w:val="000000"/>
                <w:spacing w:val="-11"/>
                <w:w w:val="15"/>
                <w:szCs w:val="20"/>
                <w:shd w:val="solid" w:color="000000" w:fill="000000"/>
                <w:fitText w:val="54" w:id="-961874164"/>
                <w14:textFill>
                  <w14:solidFill>
                    <w14:srgbClr w14:val="000000">
                      <w14:alpha w14:val="100000"/>
                    </w14:srgbClr>
                  </w14:solidFill>
                </w14:textFill>
              </w:rPr>
              <w:t xml:space="preserve">　</w:t>
            </w:r>
            <w:r w:rsidR="007E2B65" w:rsidRPr="00727D32">
              <w:rPr>
                <w:vertAlign w:val="superscript"/>
              </w:rPr>
              <w:t>7</w:t>
            </w:r>
          </w:p>
        </w:tc>
        <w:tc>
          <w:tcPr>
            <w:tcW w:w="611" w:type="pct"/>
            <w:shd w:val="clear" w:color="auto" w:fill="auto"/>
            <w:vAlign w:val="center"/>
          </w:tcPr>
          <w:p w14:paraId="2276049A" w14:textId="5106F138" w:rsidR="00855A31" w:rsidRPr="00B166BA" w:rsidRDefault="00864502" w:rsidP="00F32E29">
            <w:pPr>
              <w:pStyle w:val="TableText0"/>
              <w:jc w:val="center"/>
              <w:rPr>
                <w:szCs w:val="20"/>
                <w:highlight w:val="lightGray"/>
              </w:rPr>
            </w:pPr>
            <w:r w:rsidRPr="00864502">
              <w:rPr>
                <w:rFonts w:cs="Calibri" w:hint="eastAsia"/>
                <w:color w:val="000000"/>
                <w:w w:val="15"/>
                <w:szCs w:val="20"/>
                <w:shd w:val="solid" w:color="000000" w:fill="000000"/>
                <w:fitText w:val="54" w:id="-961874163"/>
                <w14:textFill>
                  <w14:solidFill>
                    <w14:srgbClr w14:val="000000">
                      <w14:alpha w14:val="100000"/>
                    </w14:srgbClr>
                  </w14:solidFill>
                </w14:textFill>
              </w:rPr>
              <w:t xml:space="preserve">　</w:t>
            </w:r>
            <w:r w:rsidRPr="00864502">
              <w:rPr>
                <w:rFonts w:cs="Calibri"/>
                <w:color w:val="000000"/>
                <w:w w:val="15"/>
                <w:szCs w:val="20"/>
                <w:shd w:val="solid" w:color="000000" w:fill="000000"/>
                <w:fitText w:val="54" w:id="-961874163"/>
                <w14:textFill>
                  <w14:solidFill>
                    <w14:srgbClr w14:val="000000">
                      <w14:alpha w14:val="100000"/>
                    </w14:srgbClr>
                  </w14:solidFill>
                </w14:textFill>
              </w:rPr>
              <w:t>|</w:t>
            </w:r>
            <w:r w:rsidRPr="00864502">
              <w:rPr>
                <w:rFonts w:cs="Calibri" w:hint="eastAsia"/>
                <w:color w:val="000000"/>
                <w:spacing w:val="-11"/>
                <w:w w:val="15"/>
                <w:szCs w:val="20"/>
                <w:shd w:val="solid" w:color="000000" w:fill="000000"/>
                <w:fitText w:val="54" w:id="-961874163"/>
                <w14:textFill>
                  <w14:solidFill>
                    <w14:srgbClr w14:val="000000">
                      <w14:alpha w14:val="100000"/>
                    </w14:srgbClr>
                  </w14:solidFill>
                </w14:textFill>
              </w:rPr>
              <w:t xml:space="preserve">　</w:t>
            </w:r>
            <w:r w:rsidR="007E2B65" w:rsidRPr="00727D32">
              <w:rPr>
                <w:vertAlign w:val="superscript"/>
              </w:rPr>
              <w:t>7</w:t>
            </w:r>
          </w:p>
        </w:tc>
        <w:tc>
          <w:tcPr>
            <w:tcW w:w="611" w:type="pct"/>
            <w:shd w:val="clear" w:color="auto" w:fill="auto"/>
            <w:vAlign w:val="center"/>
          </w:tcPr>
          <w:p w14:paraId="249B4BFB" w14:textId="7BE0968A" w:rsidR="00855A31" w:rsidRPr="00B166BA" w:rsidRDefault="00864502" w:rsidP="00F32E29">
            <w:pPr>
              <w:pStyle w:val="TableText0"/>
              <w:jc w:val="center"/>
              <w:rPr>
                <w:szCs w:val="20"/>
                <w:highlight w:val="lightGray"/>
              </w:rPr>
            </w:pPr>
            <w:r w:rsidRPr="00864502">
              <w:rPr>
                <w:rFonts w:cs="Calibri" w:hint="eastAsia"/>
                <w:color w:val="000000"/>
                <w:w w:val="15"/>
                <w:szCs w:val="20"/>
                <w:shd w:val="solid" w:color="000000" w:fill="000000"/>
                <w:fitText w:val="55" w:id="-961874162"/>
                <w14:textFill>
                  <w14:solidFill>
                    <w14:srgbClr w14:val="000000">
                      <w14:alpha w14:val="100000"/>
                    </w14:srgbClr>
                  </w14:solidFill>
                </w14:textFill>
              </w:rPr>
              <w:t xml:space="preserve">　</w:t>
            </w:r>
            <w:r w:rsidRPr="00864502">
              <w:rPr>
                <w:rFonts w:cs="Calibri"/>
                <w:color w:val="000000"/>
                <w:w w:val="15"/>
                <w:szCs w:val="20"/>
                <w:shd w:val="solid" w:color="000000" w:fill="000000"/>
                <w:fitText w:val="55" w:id="-961874162"/>
                <w14:textFill>
                  <w14:solidFill>
                    <w14:srgbClr w14:val="000000">
                      <w14:alpha w14:val="100000"/>
                    </w14:srgbClr>
                  </w14:solidFill>
                </w14:textFill>
              </w:rPr>
              <w:t>|</w:t>
            </w:r>
            <w:r w:rsidRPr="00864502">
              <w:rPr>
                <w:rFonts w:cs="Calibri" w:hint="eastAsia"/>
                <w:color w:val="000000"/>
                <w:spacing w:val="-10"/>
                <w:w w:val="15"/>
                <w:szCs w:val="20"/>
                <w:shd w:val="solid" w:color="000000" w:fill="000000"/>
                <w:fitText w:val="55" w:id="-961874162"/>
                <w14:textFill>
                  <w14:solidFill>
                    <w14:srgbClr w14:val="000000">
                      <w14:alpha w14:val="100000"/>
                    </w14:srgbClr>
                  </w14:solidFill>
                </w14:textFill>
              </w:rPr>
              <w:t xml:space="preserve">　</w:t>
            </w:r>
            <w:r w:rsidR="007E2B65" w:rsidRPr="00727D32">
              <w:rPr>
                <w:vertAlign w:val="superscript"/>
              </w:rPr>
              <w:t>7</w:t>
            </w:r>
          </w:p>
        </w:tc>
        <w:tc>
          <w:tcPr>
            <w:tcW w:w="612" w:type="pct"/>
            <w:vAlign w:val="center"/>
          </w:tcPr>
          <w:p w14:paraId="74BEB353" w14:textId="4DFDCA4D" w:rsidR="00855A31" w:rsidRPr="00B166BA" w:rsidRDefault="00864502" w:rsidP="00F32E29">
            <w:pPr>
              <w:pStyle w:val="TableText0"/>
              <w:jc w:val="center"/>
              <w:rPr>
                <w:szCs w:val="20"/>
                <w:highlight w:val="lightGray"/>
              </w:rPr>
            </w:pPr>
            <w:r w:rsidRPr="00864502">
              <w:rPr>
                <w:rFonts w:cs="Calibri" w:hint="eastAsia"/>
                <w:color w:val="000000"/>
                <w:w w:val="15"/>
                <w:szCs w:val="20"/>
                <w:shd w:val="solid" w:color="000000" w:fill="000000"/>
                <w:fitText w:val="55" w:id="-961874161"/>
                <w14:textFill>
                  <w14:solidFill>
                    <w14:srgbClr w14:val="000000">
                      <w14:alpha w14:val="100000"/>
                    </w14:srgbClr>
                  </w14:solidFill>
                </w14:textFill>
              </w:rPr>
              <w:t xml:space="preserve">　</w:t>
            </w:r>
            <w:r w:rsidRPr="00864502">
              <w:rPr>
                <w:rFonts w:cs="Calibri"/>
                <w:color w:val="000000"/>
                <w:w w:val="15"/>
                <w:szCs w:val="20"/>
                <w:shd w:val="solid" w:color="000000" w:fill="000000"/>
                <w:fitText w:val="55" w:id="-961874161"/>
                <w14:textFill>
                  <w14:solidFill>
                    <w14:srgbClr w14:val="000000">
                      <w14:alpha w14:val="100000"/>
                    </w14:srgbClr>
                  </w14:solidFill>
                </w14:textFill>
              </w:rPr>
              <w:t>|</w:t>
            </w:r>
            <w:r w:rsidRPr="00864502">
              <w:rPr>
                <w:rFonts w:cs="Calibri" w:hint="eastAsia"/>
                <w:color w:val="000000"/>
                <w:spacing w:val="-10"/>
                <w:w w:val="15"/>
                <w:szCs w:val="20"/>
                <w:shd w:val="solid" w:color="000000" w:fill="000000"/>
                <w:fitText w:val="55" w:id="-961874161"/>
                <w14:textFill>
                  <w14:solidFill>
                    <w14:srgbClr w14:val="000000">
                      <w14:alpha w14:val="100000"/>
                    </w14:srgbClr>
                  </w14:solidFill>
                </w14:textFill>
              </w:rPr>
              <w:t xml:space="preserve">　</w:t>
            </w:r>
            <w:r w:rsidR="007E2B65" w:rsidRPr="00727D32">
              <w:rPr>
                <w:vertAlign w:val="superscript"/>
              </w:rPr>
              <w:t>7</w:t>
            </w:r>
          </w:p>
        </w:tc>
      </w:tr>
      <w:tr w:rsidR="001811E0" w:rsidRPr="00EB31F2" w14:paraId="2D3685E9" w14:textId="77777777" w:rsidTr="00B4786B">
        <w:tc>
          <w:tcPr>
            <w:tcW w:w="1333" w:type="pct"/>
            <w:shd w:val="clear" w:color="auto" w:fill="auto"/>
            <w:vAlign w:val="center"/>
          </w:tcPr>
          <w:p w14:paraId="368701AC" w14:textId="04214D65" w:rsidR="001811E0" w:rsidRPr="00EB31F2" w:rsidRDefault="001811E0" w:rsidP="001811E0">
            <w:pPr>
              <w:pStyle w:val="TableText0"/>
              <w:rPr>
                <w:szCs w:val="20"/>
              </w:rPr>
            </w:pPr>
            <w:r w:rsidRPr="00EB31F2">
              <w:rPr>
                <w:szCs w:val="20"/>
              </w:rPr>
              <w:t>Net cost to PBS/RPBS</w:t>
            </w:r>
          </w:p>
        </w:tc>
        <w:tc>
          <w:tcPr>
            <w:tcW w:w="611" w:type="pct"/>
            <w:shd w:val="clear" w:color="auto" w:fill="auto"/>
          </w:tcPr>
          <w:p w14:paraId="7457F228" w14:textId="14222815" w:rsidR="001811E0" w:rsidRPr="00B166BA" w:rsidRDefault="00864502" w:rsidP="00F32E29">
            <w:pPr>
              <w:pStyle w:val="TableText0"/>
              <w:jc w:val="center"/>
              <w:rPr>
                <w:szCs w:val="20"/>
                <w:highlight w:val="lightGray"/>
              </w:rPr>
            </w:pPr>
            <w:r w:rsidRPr="00864502">
              <w:rPr>
                <w:rFonts w:hint="eastAsia"/>
                <w:color w:val="000000"/>
                <w:w w:val="15"/>
                <w:shd w:val="solid" w:color="000000" w:fill="000000"/>
                <w:fitText w:val="55" w:id="-961874160"/>
                <w14:textFill>
                  <w14:solidFill>
                    <w14:srgbClr w14:val="000000">
                      <w14:alpha w14:val="100000"/>
                    </w14:srgbClr>
                  </w14:solidFill>
                </w14:textFill>
              </w:rPr>
              <w:t xml:space="preserve">　</w:t>
            </w:r>
            <w:r w:rsidRPr="00864502">
              <w:rPr>
                <w:color w:val="000000"/>
                <w:w w:val="15"/>
                <w:shd w:val="solid" w:color="000000" w:fill="000000"/>
                <w:fitText w:val="55" w:id="-961874160"/>
                <w14:textFill>
                  <w14:solidFill>
                    <w14:srgbClr w14:val="000000">
                      <w14:alpha w14:val="100000"/>
                    </w14:srgbClr>
                  </w14:solidFill>
                </w14:textFill>
              </w:rPr>
              <w:t>|</w:t>
            </w:r>
            <w:r w:rsidRPr="00864502">
              <w:rPr>
                <w:rFonts w:hint="eastAsia"/>
                <w:color w:val="000000"/>
                <w:spacing w:val="-10"/>
                <w:w w:val="15"/>
                <w:shd w:val="solid" w:color="000000" w:fill="000000"/>
                <w:fitText w:val="55" w:id="-961874160"/>
                <w14:textFill>
                  <w14:solidFill>
                    <w14:srgbClr w14:val="000000">
                      <w14:alpha w14:val="100000"/>
                    </w14:srgbClr>
                  </w14:solidFill>
                </w14:textFill>
              </w:rPr>
              <w:t xml:space="preserve">　</w:t>
            </w:r>
            <w:r w:rsidR="007E2B65" w:rsidRPr="00727D32">
              <w:rPr>
                <w:vertAlign w:val="superscript"/>
              </w:rPr>
              <w:t>7</w:t>
            </w:r>
          </w:p>
        </w:tc>
        <w:tc>
          <w:tcPr>
            <w:tcW w:w="611" w:type="pct"/>
            <w:shd w:val="clear" w:color="auto" w:fill="auto"/>
          </w:tcPr>
          <w:p w14:paraId="6CF1DE17" w14:textId="1BF31E6E" w:rsidR="001811E0" w:rsidRPr="00B166BA" w:rsidRDefault="00864502" w:rsidP="00F32E29">
            <w:pPr>
              <w:pStyle w:val="TableText0"/>
              <w:jc w:val="center"/>
              <w:rPr>
                <w:szCs w:val="20"/>
                <w:highlight w:val="lightGray"/>
              </w:rPr>
            </w:pPr>
            <w:r w:rsidRPr="00864502">
              <w:rPr>
                <w:rFonts w:hint="eastAsia"/>
                <w:color w:val="000000"/>
                <w:w w:val="15"/>
                <w:shd w:val="solid" w:color="000000" w:fill="000000"/>
                <w:fitText w:val="55" w:id="-961874176"/>
                <w14:textFill>
                  <w14:solidFill>
                    <w14:srgbClr w14:val="000000">
                      <w14:alpha w14:val="100000"/>
                    </w14:srgbClr>
                  </w14:solidFill>
                </w14:textFill>
              </w:rPr>
              <w:t xml:space="preserve">　</w:t>
            </w:r>
            <w:r w:rsidRPr="00864502">
              <w:rPr>
                <w:color w:val="000000"/>
                <w:w w:val="15"/>
                <w:shd w:val="solid" w:color="000000" w:fill="000000"/>
                <w:fitText w:val="55" w:id="-961874176"/>
                <w14:textFill>
                  <w14:solidFill>
                    <w14:srgbClr w14:val="000000">
                      <w14:alpha w14:val="100000"/>
                    </w14:srgbClr>
                  </w14:solidFill>
                </w14:textFill>
              </w:rPr>
              <w:t>|</w:t>
            </w:r>
            <w:r w:rsidRPr="00864502">
              <w:rPr>
                <w:rFonts w:hint="eastAsia"/>
                <w:color w:val="000000"/>
                <w:spacing w:val="-10"/>
                <w:w w:val="15"/>
                <w:shd w:val="solid" w:color="000000" w:fill="000000"/>
                <w:fitText w:val="55" w:id="-961874176"/>
                <w14:textFill>
                  <w14:solidFill>
                    <w14:srgbClr w14:val="000000">
                      <w14:alpha w14:val="100000"/>
                    </w14:srgbClr>
                  </w14:solidFill>
                </w14:textFill>
              </w:rPr>
              <w:t xml:space="preserve">　</w:t>
            </w:r>
            <w:r w:rsidR="007E2B65" w:rsidRPr="00727D32">
              <w:rPr>
                <w:vertAlign w:val="superscript"/>
              </w:rPr>
              <w:t>7</w:t>
            </w:r>
          </w:p>
        </w:tc>
        <w:tc>
          <w:tcPr>
            <w:tcW w:w="611" w:type="pct"/>
            <w:shd w:val="clear" w:color="auto" w:fill="auto"/>
          </w:tcPr>
          <w:p w14:paraId="15E21869" w14:textId="4BEBAB26" w:rsidR="001811E0" w:rsidRPr="00B166BA" w:rsidRDefault="00864502" w:rsidP="00F32E29">
            <w:pPr>
              <w:pStyle w:val="TableText0"/>
              <w:jc w:val="center"/>
              <w:rPr>
                <w:szCs w:val="20"/>
                <w:highlight w:val="lightGray"/>
              </w:rPr>
            </w:pPr>
            <w:r w:rsidRPr="00864502">
              <w:rPr>
                <w:rFonts w:hint="eastAsia"/>
                <w:color w:val="000000"/>
                <w:w w:val="15"/>
                <w:shd w:val="solid" w:color="000000" w:fill="000000"/>
                <w:fitText w:val="54" w:id="-961874175"/>
                <w14:textFill>
                  <w14:solidFill>
                    <w14:srgbClr w14:val="000000">
                      <w14:alpha w14:val="100000"/>
                    </w14:srgbClr>
                  </w14:solidFill>
                </w14:textFill>
              </w:rPr>
              <w:t xml:space="preserve">　</w:t>
            </w:r>
            <w:r w:rsidRPr="00864502">
              <w:rPr>
                <w:color w:val="000000"/>
                <w:w w:val="15"/>
                <w:shd w:val="solid" w:color="000000" w:fill="000000"/>
                <w:fitText w:val="54" w:id="-961874175"/>
                <w14:textFill>
                  <w14:solidFill>
                    <w14:srgbClr w14:val="000000">
                      <w14:alpha w14:val="100000"/>
                    </w14:srgbClr>
                  </w14:solidFill>
                </w14:textFill>
              </w:rPr>
              <w:t>|</w:t>
            </w:r>
            <w:r w:rsidRPr="00864502">
              <w:rPr>
                <w:rFonts w:hint="eastAsia"/>
                <w:color w:val="000000"/>
                <w:spacing w:val="-11"/>
                <w:w w:val="15"/>
                <w:shd w:val="solid" w:color="000000" w:fill="000000"/>
                <w:fitText w:val="54" w:id="-961874175"/>
                <w14:textFill>
                  <w14:solidFill>
                    <w14:srgbClr w14:val="000000">
                      <w14:alpha w14:val="100000"/>
                    </w14:srgbClr>
                  </w14:solidFill>
                </w14:textFill>
              </w:rPr>
              <w:t xml:space="preserve">　</w:t>
            </w:r>
            <w:r w:rsidR="007E2B65" w:rsidRPr="00727D32">
              <w:rPr>
                <w:vertAlign w:val="superscript"/>
              </w:rPr>
              <w:t>7</w:t>
            </w:r>
          </w:p>
        </w:tc>
        <w:tc>
          <w:tcPr>
            <w:tcW w:w="611" w:type="pct"/>
            <w:shd w:val="clear" w:color="auto" w:fill="auto"/>
          </w:tcPr>
          <w:p w14:paraId="1DCF37F5" w14:textId="1B179A00" w:rsidR="001811E0" w:rsidRPr="00B166BA" w:rsidRDefault="00864502" w:rsidP="00F32E29">
            <w:pPr>
              <w:pStyle w:val="TableText0"/>
              <w:jc w:val="center"/>
              <w:rPr>
                <w:szCs w:val="20"/>
                <w:highlight w:val="lightGray"/>
              </w:rPr>
            </w:pPr>
            <w:r w:rsidRPr="00864502">
              <w:rPr>
                <w:rFonts w:hint="eastAsia"/>
                <w:color w:val="000000"/>
                <w:w w:val="15"/>
                <w:shd w:val="solid" w:color="000000" w:fill="000000"/>
                <w:fitText w:val="54" w:id="-961874174"/>
                <w14:textFill>
                  <w14:solidFill>
                    <w14:srgbClr w14:val="000000">
                      <w14:alpha w14:val="100000"/>
                    </w14:srgbClr>
                  </w14:solidFill>
                </w14:textFill>
              </w:rPr>
              <w:t xml:space="preserve">　</w:t>
            </w:r>
            <w:r w:rsidRPr="00864502">
              <w:rPr>
                <w:color w:val="000000"/>
                <w:w w:val="15"/>
                <w:shd w:val="solid" w:color="000000" w:fill="000000"/>
                <w:fitText w:val="54" w:id="-961874174"/>
                <w14:textFill>
                  <w14:solidFill>
                    <w14:srgbClr w14:val="000000">
                      <w14:alpha w14:val="100000"/>
                    </w14:srgbClr>
                  </w14:solidFill>
                </w14:textFill>
              </w:rPr>
              <w:t>|</w:t>
            </w:r>
            <w:r w:rsidRPr="00864502">
              <w:rPr>
                <w:rFonts w:hint="eastAsia"/>
                <w:color w:val="000000"/>
                <w:spacing w:val="-11"/>
                <w:w w:val="15"/>
                <w:shd w:val="solid" w:color="000000" w:fill="000000"/>
                <w:fitText w:val="54" w:id="-961874174"/>
                <w14:textFill>
                  <w14:solidFill>
                    <w14:srgbClr w14:val="000000">
                      <w14:alpha w14:val="100000"/>
                    </w14:srgbClr>
                  </w14:solidFill>
                </w14:textFill>
              </w:rPr>
              <w:t xml:space="preserve">　</w:t>
            </w:r>
            <w:r w:rsidR="007E2B65" w:rsidRPr="00727D32">
              <w:rPr>
                <w:vertAlign w:val="superscript"/>
              </w:rPr>
              <w:t>7</w:t>
            </w:r>
          </w:p>
        </w:tc>
        <w:tc>
          <w:tcPr>
            <w:tcW w:w="611" w:type="pct"/>
            <w:shd w:val="clear" w:color="auto" w:fill="auto"/>
          </w:tcPr>
          <w:p w14:paraId="31A2743E" w14:textId="6FD6272F" w:rsidR="001811E0" w:rsidRPr="00B166BA" w:rsidRDefault="00864502" w:rsidP="00F32E29">
            <w:pPr>
              <w:pStyle w:val="TableText0"/>
              <w:jc w:val="center"/>
              <w:rPr>
                <w:szCs w:val="20"/>
                <w:highlight w:val="lightGray"/>
              </w:rPr>
            </w:pPr>
            <w:r w:rsidRPr="00864502">
              <w:rPr>
                <w:rFonts w:hint="eastAsia"/>
                <w:color w:val="000000"/>
                <w:w w:val="15"/>
                <w:shd w:val="solid" w:color="000000" w:fill="000000"/>
                <w:fitText w:val="55" w:id="-961874173"/>
                <w14:textFill>
                  <w14:solidFill>
                    <w14:srgbClr w14:val="000000">
                      <w14:alpha w14:val="100000"/>
                    </w14:srgbClr>
                  </w14:solidFill>
                </w14:textFill>
              </w:rPr>
              <w:t xml:space="preserve">　</w:t>
            </w:r>
            <w:r w:rsidRPr="00864502">
              <w:rPr>
                <w:color w:val="000000"/>
                <w:w w:val="15"/>
                <w:shd w:val="solid" w:color="000000" w:fill="000000"/>
                <w:fitText w:val="55" w:id="-961874173"/>
                <w14:textFill>
                  <w14:solidFill>
                    <w14:srgbClr w14:val="000000">
                      <w14:alpha w14:val="100000"/>
                    </w14:srgbClr>
                  </w14:solidFill>
                </w14:textFill>
              </w:rPr>
              <w:t>|</w:t>
            </w:r>
            <w:r w:rsidRPr="00864502">
              <w:rPr>
                <w:rFonts w:hint="eastAsia"/>
                <w:color w:val="000000"/>
                <w:spacing w:val="-10"/>
                <w:w w:val="15"/>
                <w:shd w:val="solid" w:color="000000" w:fill="000000"/>
                <w:fitText w:val="55" w:id="-961874173"/>
                <w14:textFill>
                  <w14:solidFill>
                    <w14:srgbClr w14:val="000000">
                      <w14:alpha w14:val="100000"/>
                    </w14:srgbClr>
                  </w14:solidFill>
                </w14:textFill>
              </w:rPr>
              <w:t xml:space="preserve">　</w:t>
            </w:r>
            <w:r w:rsidR="007E2B65" w:rsidRPr="00727D32">
              <w:rPr>
                <w:vertAlign w:val="superscript"/>
              </w:rPr>
              <w:t>7</w:t>
            </w:r>
          </w:p>
        </w:tc>
        <w:tc>
          <w:tcPr>
            <w:tcW w:w="612" w:type="pct"/>
          </w:tcPr>
          <w:p w14:paraId="405237E1" w14:textId="0FB1685B" w:rsidR="001811E0" w:rsidRPr="00B166BA" w:rsidRDefault="00864502" w:rsidP="00F32E29">
            <w:pPr>
              <w:pStyle w:val="TableText0"/>
              <w:jc w:val="center"/>
              <w:rPr>
                <w:szCs w:val="20"/>
                <w:highlight w:val="lightGray"/>
              </w:rPr>
            </w:pPr>
            <w:r w:rsidRPr="00864502">
              <w:rPr>
                <w:rFonts w:hint="eastAsia"/>
                <w:color w:val="000000"/>
                <w:w w:val="15"/>
                <w:shd w:val="solid" w:color="000000" w:fill="000000"/>
                <w:fitText w:val="55" w:id="-961874172"/>
                <w14:textFill>
                  <w14:solidFill>
                    <w14:srgbClr w14:val="000000">
                      <w14:alpha w14:val="100000"/>
                    </w14:srgbClr>
                  </w14:solidFill>
                </w14:textFill>
              </w:rPr>
              <w:t xml:space="preserve">　</w:t>
            </w:r>
            <w:r w:rsidRPr="00864502">
              <w:rPr>
                <w:color w:val="000000"/>
                <w:w w:val="15"/>
                <w:shd w:val="solid" w:color="000000" w:fill="000000"/>
                <w:fitText w:val="55" w:id="-961874172"/>
                <w14:textFill>
                  <w14:solidFill>
                    <w14:srgbClr w14:val="000000">
                      <w14:alpha w14:val="100000"/>
                    </w14:srgbClr>
                  </w14:solidFill>
                </w14:textFill>
              </w:rPr>
              <w:t>|</w:t>
            </w:r>
            <w:r w:rsidRPr="00864502">
              <w:rPr>
                <w:rFonts w:hint="eastAsia"/>
                <w:color w:val="000000"/>
                <w:spacing w:val="-10"/>
                <w:w w:val="15"/>
                <w:shd w:val="solid" w:color="000000" w:fill="000000"/>
                <w:fitText w:val="55" w:id="-961874172"/>
                <w14:textFill>
                  <w14:solidFill>
                    <w14:srgbClr w14:val="000000">
                      <w14:alpha w14:val="100000"/>
                    </w14:srgbClr>
                  </w14:solidFill>
                </w14:textFill>
              </w:rPr>
              <w:t xml:space="preserve">　</w:t>
            </w:r>
            <w:r w:rsidR="007E2B65" w:rsidRPr="00727D32">
              <w:rPr>
                <w:vertAlign w:val="superscript"/>
              </w:rPr>
              <w:t>7</w:t>
            </w:r>
          </w:p>
        </w:tc>
      </w:tr>
    </w:tbl>
    <w:p w14:paraId="14232424" w14:textId="77777777" w:rsidR="00B4786B" w:rsidRPr="00EB31F2" w:rsidRDefault="00B4786B" w:rsidP="00B4786B">
      <w:pPr>
        <w:pStyle w:val="TableFigureFooter"/>
        <w:keepNext/>
      </w:pPr>
      <w:r w:rsidRPr="00EB31F2">
        <w:t>Source: Department utilisation and financial estimates</w:t>
      </w:r>
    </w:p>
    <w:p w14:paraId="0E5AA2AD" w14:textId="1B5C94B8" w:rsidR="00AC5F29" w:rsidRDefault="00292F0D" w:rsidP="006F3D74">
      <w:pPr>
        <w:pStyle w:val="TableFigureFooter"/>
        <w:keepNext/>
        <w:jc w:val="left"/>
      </w:pPr>
      <w:r w:rsidRPr="00EB31F2">
        <w:t>Abbreviations: PBS = Pharmaceutical Benefits Scheme; RPBS = Repatriation Pharmaceutical Benefits Scheme.</w:t>
      </w:r>
    </w:p>
    <w:p w14:paraId="60C71B13" w14:textId="77777777" w:rsidR="00F32E29" w:rsidRPr="00B166BA" w:rsidRDefault="00F32E29" w:rsidP="00F32E29">
      <w:pPr>
        <w:pStyle w:val="TableFigureFooter"/>
        <w:keepNext/>
        <w:jc w:val="left"/>
        <w:rPr>
          <w:i/>
          <w:iCs/>
        </w:rPr>
      </w:pPr>
      <w:r w:rsidRPr="00B166BA">
        <w:rPr>
          <w:i/>
          <w:iCs/>
        </w:rPr>
        <w:t>The redacted values correspond to the following ranges</w:t>
      </w:r>
    </w:p>
    <w:p w14:paraId="599C3010" w14:textId="2A6F2BC4" w:rsidR="00F32E29" w:rsidRPr="00B166BA" w:rsidRDefault="00A87ECE" w:rsidP="00F32E29">
      <w:pPr>
        <w:pStyle w:val="TableFigureFooter"/>
        <w:keepNext/>
        <w:jc w:val="left"/>
        <w:rPr>
          <w:i/>
          <w:iCs/>
        </w:rPr>
      </w:pPr>
      <w:r w:rsidRPr="00B166BA">
        <w:rPr>
          <w:i/>
          <w:iCs/>
          <w:vertAlign w:val="superscript"/>
        </w:rPr>
        <w:t>1</w:t>
      </w:r>
      <w:r w:rsidRPr="00B166BA">
        <w:rPr>
          <w:i/>
          <w:iCs/>
        </w:rPr>
        <w:t xml:space="preserve"> </w:t>
      </w:r>
      <w:r w:rsidR="00F32E29" w:rsidRPr="00B166BA">
        <w:rPr>
          <w:i/>
          <w:iCs/>
        </w:rPr>
        <w:t>20,000 to &lt; 30,000</w:t>
      </w:r>
    </w:p>
    <w:p w14:paraId="0C9EFB13" w14:textId="0256F09E" w:rsidR="00F32E29" w:rsidRPr="00B166BA" w:rsidRDefault="00A87ECE" w:rsidP="00F32E29">
      <w:pPr>
        <w:pStyle w:val="TableFigureFooter"/>
        <w:keepNext/>
        <w:jc w:val="left"/>
        <w:rPr>
          <w:i/>
          <w:iCs/>
        </w:rPr>
      </w:pPr>
      <w:r w:rsidRPr="00B166BA">
        <w:rPr>
          <w:i/>
          <w:iCs/>
          <w:vertAlign w:val="superscript"/>
        </w:rPr>
        <w:t>2</w:t>
      </w:r>
      <w:r w:rsidRPr="00B166BA">
        <w:rPr>
          <w:i/>
          <w:iCs/>
        </w:rPr>
        <w:t xml:space="preserve"> </w:t>
      </w:r>
      <w:r w:rsidR="00F32E29" w:rsidRPr="00B166BA">
        <w:rPr>
          <w:i/>
          <w:iCs/>
        </w:rPr>
        <w:t>30,000 to &lt; 40,000</w:t>
      </w:r>
    </w:p>
    <w:p w14:paraId="55FBBB84" w14:textId="27ED51A3" w:rsidR="00A87ECE" w:rsidRPr="00B166BA" w:rsidRDefault="00A87ECE" w:rsidP="00A87ECE">
      <w:pPr>
        <w:pStyle w:val="TableFigureFooter"/>
        <w:keepNext/>
        <w:jc w:val="left"/>
        <w:rPr>
          <w:i/>
          <w:iCs/>
        </w:rPr>
      </w:pPr>
      <w:r w:rsidRPr="00B166BA">
        <w:rPr>
          <w:i/>
          <w:iCs/>
          <w:vertAlign w:val="superscript"/>
        </w:rPr>
        <w:t>3</w:t>
      </w:r>
      <w:r w:rsidRPr="00B166BA">
        <w:rPr>
          <w:i/>
          <w:iCs/>
        </w:rPr>
        <w:t xml:space="preserve"> $30 million to &lt; $40 million</w:t>
      </w:r>
    </w:p>
    <w:p w14:paraId="35559225" w14:textId="771CD8FF" w:rsidR="00A87ECE" w:rsidRPr="00B166BA" w:rsidRDefault="00A87ECE" w:rsidP="00A87ECE">
      <w:pPr>
        <w:pStyle w:val="TableFigureFooter"/>
        <w:keepNext/>
        <w:jc w:val="left"/>
        <w:rPr>
          <w:i/>
          <w:iCs/>
        </w:rPr>
      </w:pPr>
      <w:r w:rsidRPr="00B166BA">
        <w:rPr>
          <w:i/>
          <w:iCs/>
          <w:vertAlign w:val="superscript"/>
        </w:rPr>
        <w:t xml:space="preserve">4 </w:t>
      </w:r>
      <w:r w:rsidRPr="00B166BA">
        <w:rPr>
          <w:i/>
          <w:iCs/>
        </w:rPr>
        <w:t>$40 million to &lt; $50 million</w:t>
      </w:r>
    </w:p>
    <w:p w14:paraId="2ED4568E" w14:textId="09F81F52" w:rsidR="00A87ECE" w:rsidRPr="00B166BA" w:rsidRDefault="00A87ECE" w:rsidP="00A87ECE">
      <w:pPr>
        <w:pStyle w:val="TableFigureFooter"/>
        <w:keepNext/>
        <w:jc w:val="left"/>
        <w:rPr>
          <w:i/>
          <w:iCs/>
        </w:rPr>
      </w:pPr>
      <w:r w:rsidRPr="00B166BA">
        <w:rPr>
          <w:i/>
          <w:iCs/>
          <w:vertAlign w:val="superscript"/>
        </w:rPr>
        <w:t>5</w:t>
      </w:r>
      <w:r w:rsidRPr="00B166BA">
        <w:rPr>
          <w:i/>
          <w:iCs/>
        </w:rPr>
        <w:t xml:space="preserve"> $50 million to &lt; $60 million</w:t>
      </w:r>
    </w:p>
    <w:p w14:paraId="7886BA71" w14:textId="42D5AB9A" w:rsidR="007E2B65" w:rsidRPr="00B166BA" w:rsidRDefault="007E2B65" w:rsidP="007E2B65">
      <w:pPr>
        <w:pStyle w:val="TableFigureFooter"/>
        <w:keepNext/>
        <w:jc w:val="left"/>
        <w:rPr>
          <w:i/>
          <w:iCs/>
        </w:rPr>
      </w:pPr>
      <w:r w:rsidRPr="00B166BA">
        <w:rPr>
          <w:i/>
          <w:iCs/>
          <w:vertAlign w:val="superscript"/>
        </w:rPr>
        <w:t>6</w:t>
      </w:r>
      <w:r w:rsidRPr="00B166BA">
        <w:rPr>
          <w:i/>
          <w:iCs/>
        </w:rPr>
        <w:t xml:space="preserve"> net cost saving</w:t>
      </w:r>
    </w:p>
    <w:p w14:paraId="0194A45E" w14:textId="747843CA" w:rsidR="00F32E29" w:rsidRPr="00EB31F2" w:rsidRDefault="007E2B65" w:rsidP="00B166BA">
      <w:pPr>
        <w:pStyle w:val="TableFigureFooter"/>
        <w:contextualSpacing w:val="0"/>
        <w:jc w:val="left"/>
      </w:pPr>
      <w:r w:rsidRPr="00B166BA">
        <w:rPr>
          <w:i/>
          <w:iCs/>
          <w:vertAlign w:val="superscript"/>
        </w:rPr>
        <w:t>7</w:t>
      </w:r>
      <w:r w:rsidRPr="00B166BA">
        <w:rPr>
          <w:i/>
          <w:iCs/>
        </w:rPr>
        <w:t xml:space="preserve"> $0 to &lt; $10 million</w:t>
      </w:r>
    </w:p>
    <w:p w14:paraId="73CCD637" w14:textId="5722CB3B" w:rsidR="006F3D74" w:rsidRPr="00EB31F2" w:rsidRDefault="006F3D74" w:rsidP="00170F84">
      <w:pPr>
        <w:pStyle w:val="3Bodytext"/>
        <w:jc w:val="both"/>
      </w:pPr>
      <w:r w:rsidRPr="00EB31F2">
        <w:t xml:space="preserve">The Department estimated that </w:t>
      </w:r>
      <w:r w:rsidR="00054A94" w:rsidRPr="00054A94">
        <w:t>100,000 to &lt; 200,000</w:t>
      </w:r>
      <w:r w:rsidR="00054A94">
        <w:t xml:space="preserve"> </w:t>
      </w:r>
      <w:r w:rsidR="00641429" w:rsidRPr="00EB31F2">
        <w:t>mepolizumab scripts</w:t>
      </w:r>
      <w:r w:rsidRPr="00EB31F2">
        <w:t xml:space="preserve"> would be supplied</w:t>
      </w:r>
      <w:r w:rsidR="00641429" w:rsidRPr="00EB31F2">
        <w:t xml:space="preserve"> to patients</w:t>
      </w:r>
      <w:r w:rsidRPr="00EB31F2">
        <w:t xml:space="preserve"> over the first six years of </w:t>
      </w:r>
      <w:r w:rsidR="00641429" w:rsidRPr="00EB31F2">
        <w:t xml:space="preserve">amending the </w:t>
      </w:r>
      <w:r w:rsidRPr="00EB31F2">
        <w:t>listing (</w:t>
      </w:r>
      <w:r w:rsidR="003A53FC">
        <w:t>2</w:t>
      </w:r>
      <w:r w:rsidR="00054A94" w:rsidRPr="00054A94">
        <w:t>0,000 to &lt;</w:t>
      </w:r>
      <w:r w:rsidR="00EC4E53">
        <w:t> </w:t>
      </w:r>
      <w:r w:rsidR="003A53FC">
        <w:t>3</w:t>
      </w:r>
      <w:r w:rsidR="00054A94" w:rsidRPr="00054A94">
        <w:t>0,000</w:t>
      </w:r>
      <w:r w:rsidRPr="00EB31F2">
        <w:t xml:space="preserve"> in Year 1 to </w:t>
      </w:r>
      <w:r w:rsidR="00054A94" w:rsidRPr="00054A94">
        <w:t>30,000 to &lt; 40,000</w:t>
      </w:r>
      <w:r w:rsidRPr="00EB31F2">
        <w:t xml:space="preserve"> in Year 6).</w:t>
      </w:r>
    </w:p>
    <w:p w14:paraId="5214CF79" w14:textId="7C370A3F" w:rsidR="00812D03" w:rsidRPr="00EB31F2" w:rsidRDefault="006F3D74" w:rsidP="00170F84">
      <w:pPr>
        <w:pStyle w:val="3Bodytext"/>
        <w:jc w:val="both"/>
      </w:pPr>
      <w:r w:rsidRPr="00EB31F2">
        <w:t>The Department estimated that the cost of</w:t>
      </w:r>
      <w:r w:rsidR="00641429" w:rsidRPr="00EB31F2">
        <w:t xml:space="preserve"> amending the listing of</w:t>
      </w:r>
      <w:r w:rsidRPr="00EB31F2">
        <w:t xml:space="preserve"> </w:t>
      </w:r>
      <w:r w:rsidR="001811E0" w:rsidRPr="00EB31F2">
        <w:t>mepolizumab</w:t>
      </w:r>
      <w:r w:rsidRPr="00EB31F2">
        <w:t xml:space="preserve"> to the PBS/RPBS is expected to be $</w:t>
      </w:r>
      <w:r w:rsidR="00054A94" w:rsidRPr="00054A94">
        <w:t>200 million to &lt; $300 million</w:t>
      </w:r>
      <w:r w:rsidR="00054A94">
        <w:t xml:space="preserve"> </w:t>
      </w:r>
      <w:r w:rsidRPr="00EB31F2">
        <w:t>over six years (Year 1 $</w:t>
      </w:r>
      <w:r w:rsidR="00054A94" w:rsidRPr="00054A94">
        <w:t>30</w:t>
      </w:r>
      <w:r w:rsidR="00EC4E53">
        <w:t> </w:t>
      </w:r>
      <w:r w:rsidR="00054A94" w:rsidRPr="00054A94">
        <w:t>million to &lt; $40 million</w:t>
      </w:r>
      <w:r w:rsidR="00054A94">
        <w:t xml:space="preserve"> </w:t>
      </w:r>
      <w:r w:rsidRPr="00EB31F2">
        <w:t>to Year 6 $</w:t>
      </w:r>
      <w:r w:rsidR="00054A94" w:rsidRPr="00054A94">
        <w:t>50 million to &lt; $60 million</w:t>
      </w:r>
      <w:r w:rsidRPr="00EB31F2">
        <w:t>)</w:t>
      </w:r>
      <w:r w:rsidR="002E2A7F" w:rsidRPr="00EB31F2">
        <w:t xml:space="preserve"> and the </w:t>
      </w:r>
      <w:r w:rsidRPr="00EB31F2">
        <w:t xml:space="preserve">net financial impact to the PBS/RPBS </w:t>
      </w:r>
      <w:r w:rsidR="002E2A7F" w:rsidRPr="00EB31F2">
        <w:t>to be</w:t>
      </w:r>
      <w:r w:rsidRPr="00EB31F2">
        <w:t xml:space="preserve"> </w:t>
      </w:r>
      <w:r w:rsidR="00054A94" w:rsidRPr="00054A94">
        <w:t>$10 million to &lt; $20 million</w:t>
      </w:r>
      <w:r w:rsidR="00EC4E53">
        <w:t xml:space="preserve"> </w:t>
      </w:r>
      <w:r w:rsidRPr="00EB31F2">
        <w:t>over six years (Year 1 $</w:t>
      </w:r>
      <w:r w:rsidR="00054A94" w:rsidRPr="00054A94">
        <w:t>0 to &lt;</w:t>
      </w:r>
      <w:r w:rsidR="00EC4E53">
        <w:t> </w:t>
      </w:r>
      <w:r w:rsidR="00054A94" w:rsidRPr="00054A94">
        <w:t>$10 million</w:t>
      </w:r>
      <w:r w:rsidR="00EC4E53">
        <w:t xml:space="preserve"> </w:t>
      </w:r>
      <w:r w:rsidRPr="00EB31F2">
        <w:t>to Year 6 $</w:t>
      </w:r>
      <w:r w:rsidR="00054A94" w:rsidRPr="00054A94">
        <w:t>0 to &lt; $10 million</w:t>
      </w:r>
      <w:r w:rsidRPr="00EB31F2">
        <w:t xml:space="preserve">). </w:t>
      </w:r>
    </w:p>
    <w:p w14:paraId="78D8FB8E" w14:textId="59F80A5B" w:rsidR="003D0B70" w:rsidRPr="00EB31F2" w:rsidRDefault="00FC36E6" w:rsidP="00170F84">
      <w:pPr>
        <w:pStyle w:val="3Bodytext"/>
        <w:jc w:val="both"/>
        <w:rPr>
          <w:lang w:bidi="en-US"/>
        </w:rPr>
      </w:pPr>
      <w:r w:rsidRPr="00EB31F2">
        <w:t xml:space="preserve">In its pre-PBAC response, the sponsor stated that </w:t>
      </w:r>
      <w:r w:rsidR="00812D03" w:rsidRPr="00EB31F2">
        <w:rPr>
          <w:lang w:bidi="en-US"/>
        </w:rPr>
        <w:t xml:space="preserve">the </w:t>
      </w:r>
      <w:r w:rsidR="003D0B70" w:rsidRPr="00EB31F2">
        <w:rPr>
          <w:lang w:bidi="en-US"/>
        </w:rPr>
        <w:t xml:space="preserve">assumption underpinning the </w:t>
      </w:r>
      <w:r w:rsidR="00812D03" w:rsidRPr="00EB31F2">
        <w:rPr>
          <w:lang w:bidi="en-US"/>
        </w:rPr>
        <w:t xml:space="preserve">financial analyses conducted by the Department </w:t>
      </w:r>
      <w:r w:rsidR="003D0B70" w:rsidRPr="00EB31F2">
        <w:rPr>
          <w:lang w:bidi="en-US"/>
        </w:rPr>
        <w:t>(</w:t>
      </w:r>
      <w:r w:rsidR="00812D03" w:rsidRPr="00EB31F2">
        <w:rPr>
          <w:lang w:bidi="en-US"/>
        </w:rPr>
        <w:t xml:space="preserve">all rejections under the written </w:t>
      </w:r>
      <w:r w:rsidR="00812D03" w:rsidRPr="00EB31F2">
        <w:t>authority</w:t>
      </w:r>
      <w:r w:rsidR="00812D03" w:rsidRPr="00EB31F2">
        <w:rPr>
          <w:lang w:bidi="en-US"/>
        </w:rPr>
        <w:t xml:space="preserve"> level settings would otherwise be approved under the amended authority level</w:t>
      </w:r>
      <w:r w:rsidR="003D0B70" w:rsidRPr="00EB31F2">
        <w:rPr>
          <w:lang w:bidi="en-US"/>
        </w:rPr>
        <w:t xml:space="preserve">) </w:t>
      </w:r>
      <w:r w:rsidR="00812D03" w:rsidRPr="00EB31F2">
        <w:rPr>
          <w:lang w:bidi="en-US"/>
        </w:rPr>
        <w:t>is unlikely to represent a plausible circumstance</w:t>
      </w:r>
      <w:r w:rsidR="00A61BF3" w:rsidRPr="00EB31F2">
        <w:rPr>
          <w:lang w:bidi="en-US"/>
        </w:rPr>
        <w:t>. The pre-PBAC response considered that</w:t>
      </w:r>
      <w:r w:rsidR="00812D03" w:rsidRPr="00EB31F2">
        <w:rPr>
          <w:lang w:bidi="en-US"/>
        </w:rPr>
        <w:t xml:space="preserve"> </w:t>
      </w:r>
      <w:r w:rsidR="00812BE7" w:rsidRPr="00EB31F2">
        <w:rPr>
          <w:lang w:bidi="en-US"/>
        </w:rPr>
        <w:t>any change in expenditure to PBS is likely to be negligible.</w:t>
      </w:r>
    </w:p>
    <w:p w14:paraId="1D314F7D" w14:textId="13F7066F" w:rsidR="00F51A32" w:rsidRPr="00EB31F2" w:rsidRDefault="003D0B70" w:rsidP="00170F84">
      <w:pPr>
        <w:pStyle w:val="3Bodytext"/>
        <w:jc w:val="both"/>
        <w:rPr>
          <w:lang w:bidi="en-US"/>
        </w:rPr>
      </w:pPr>
      <w:r w:rsidRPr="00EB31F2">
        <w:t>The pre-PBAC response</w:t>
      </w:r>
      <w:r w:rsidR="00F51A32" w:rsidRPr="00EB31F2">
        <w:t xml:space="preserve"> cited a 2010 report conduc</w:t>
      </w:r>
      <w:r w:rsidR="005C3555" w:rsidRPr="00EB31F2">
        <w:t>t</w:t>
      </w:r>
      <w:r w:rsidR="00F51A32" w:rsidRPr="00EB31F2">
        <w:t>ed by the Department of Health and Ageing, noting</w:t>
      </w:r>
      <w:r w:rsidR="00DA0CB5" w:rsidRPr="00EB31F2">
        <w:t xml:space="preserve"> the </w:t>
      </w:r>
      <w:r w:rsidR="00F51A32" w:rsidRPr="00EB31F2">
        <w:t xml:space="preserve">three main reasons for authority application </w:t>
      </w:r>
      <w:r w:rsidR="00170F84" w:rsidRPr="00EB31F2">
        <w:t>rejections</w:t>
      </w:r>
      <w:r w:rsidR="00DA0CB5" w:rsidRPr="00EB31F2">
        <w:t xml:space="preserve"> as follows:</w:t>
      </w:r>
    </w:p>
    <w:p w14:paraId="5A07F092" w14:textId="27329A62" w:rsidR="00170F84" w:rsidRPr="00EB31F2" w:rsidRDefault="00812D03" w:rsidP="00170F84">
      <w:pPr>
        <w:pStyle w:val="3Bodytext"/>
        <w:numPr>
          <w:ilvl w:val="0"/>
          <w:numId w:val="10"/>
        </w:numPr>
        <w:jc w:val="both"/>
        <w:rPr>
          <w:lang w:bidi="en-US"/>
        </w:rPr>
      </w:pPr>
      <w:r w:rsidRPr="00EB31F2">
        <w:rPr>
          <w:i/>
          <w:iCs/>
          <w:lang w:bidi="en-US"/>
        </w:rPr>
        <w:t>The patient does not meet the criteria of the restriction, therefore is not eligible for the particular</w:t>
      </w:r>
      <w:r w:rsidR="00170F84" w:rsidRPr="00EB31F2">
        <w:rPr>
          <w:i/>
          <w:iCs/>
          <w:lang w:bidi="en-US"/>
        </w:rPr>
        <w:t xml:space="preserve"> </w:t>
      </w:r>
      <w:r w:rsidRPr="00EB31F2">
        <w:rPr>
          <w:i/>
          <w:iCs/>
          <w:lang w:bidi="en-US"/>
        </w:rPr>
        <w:t>PBS subsidised medicine</w:t>
      </w:r>
      <w:r w:rsidR="00F51A32" w:rsidRPr="00EB31F2">
        <w:rPr>
          <w:lang w:bidi="en-US"/>
        </w:rPr>
        <w:t>. The</w:t>
      </w:r>
      <w:r w:rsidR="00170F84" w:rsidRPr="00EB31F2">
        <w:rPr>
          <w:lang w:bidi="en-US"/>
        </w:rPr>
        <w:t xml:space="preserve"> pre-PBAC response stated that </w:t>
      </w:r>
      <w:r w:rsidRPr="00EB31F2">
        <w:rPr>
          <w:lang w:bidi="en-US"/>
        </w:rPr>
        <w:t xml:space="preserve">such </w:t>
      </w:r>
      <w:r w:rsidRPr="00EB31F2">
        <w:rPr>
          <w:lang w:bidi="en-US"/>
        </w:rPr>
        <w:lastRenderedPageBreak/>
        <w:t xml:space="preserve">rejections would also apply under a telephone/online setting as the clinical criteria dictating patient eligibility remains the same. </w:t>
      </w:r>
    </w:p>
    <w:p w14:paraId="77E94024" w14:textId="15324FDD" w:rsidR="00812D03" w:rsidRPr="00EB31F2" w:rsidRDefault="00812D03" w:rsidP="00170F84">
      <w:pPr>
        <w:pStyle w:val="3Bodytext"/>
        <w:numPr>
          <w:ilvl w:val="0"/>
          <w:numId w:val="10"/>
        </w:numPr>
        <w:jc w:val="both"/>
        <w:rPr>
          <w:lang w:bidi="en-US"/>
        </w:rPr>
      </w:pPr>
      <w:r w:rsidRPr="00EB31F2">
        <w:rPr>
          <w:i/>
          <w:iCs/>
          <w:lang w:bidi="en-US"/>
        </w:rPr>
        <w:t>Another authority prescription for the same item has previously been approved and adequate supplies should still exist for the patient</w:t>
      </w:r>
      <w:r w:rsidR="00170F84" w:rsidRPr="00EB31F2">
        <w:rPr>
          <w:lang w:bidi="en-US"/>
        </w:rPr>
        <w:t>. The pre-PBAC response stated that</w:t>
      </w:r>
      <w:r w:rsidRPr="00EB31F2">
        <w:rPr>
          <w:lang w:bidi="en-US"/>
        </w:rPr>
        <w:t xml:space="preserve"> rejections related to incorrect timing of application would similarly apply under a telephone/online setting.</w:t>
      </w:r>
    </w:p>
    <w:p w14:paraId="4A4E9506" w14:textId="020FBE3F" w:rsidR="00812D03" w:rsidRPr="00EB31F2" w:rsidRDefault="00812D03" w:rsidP="00170F84">
      <w:pPr>
        <w:pStyle w:val="ListParagraph"/>
        <w:numPr>
          <w:ilvl w:val="0"/>
          <w:numId w:val="10"/>
        </w:numPr>
        <w:jc w:val="both"/>
        <w:rPr>
          <w:lang w:bidi="en-US"/>
        </w:rPr>
      </w:pPr>
      <w:r w:rsidRPr="00EB31F2">
        <w:rPr>
          <w:i/>
          <w:iCs/>
          <w:lang w:bidi="en-US"/>
        </w:rPr>
        <w:t>Prescriber decides during the phone call not to proceed with the authority reques</w:t>
      </w:r>
      <w:r w:rsidR="00170F84" w:rsidRPr="00EB31F2">
        <w:rPr>
          <w:i/>
          <w:iCs/>
          <w:lang w:bidi="en-US"/>
        </w:rPr>
        <w:t xml:space="preserve">t. </w:t>
      </w:r>
      <w:r w:rsidR="00170F84" w:rsidRPr="00EB31F2">
        <w:rPr>
          <w:lang w:bidi="en-US"/>
        </w:rPr>
        <w:t>The pre-PBAC response stated that this situation is</w:t>
      </w:r>
      <w:r w:rsidRPr="00EB31F2">
        <w:rPr>
          <w:lang w:bidi="en-US"/>
        </w:rPr>
        <w:t xml:space="preserve"> not applicable for</w:t>
      </w:r>
      <w:r w:rsidR="00170F84" w:rsidRPr="00EB31F2">
        <w:rPr>
          <w:lang w:bidi="en-US"/>
        </w:rPr>
        <w:t xml:space="preserve"> the </w:t>
      </w:r>
      <w:r w:rsidRPr="00EB31F2">
        <w:rPr>
          <w:lang w:bidi="en-US"/>
        </w:rPr>
        <w:t>Authority Required (Written) restriction for mepolizumab in uncontrolled severe asthma.</w:t>
      </w:r>
    </w:p>
    <w:p w14:paraId="43B7DFF8" w14:textId="291D9223" w:rsidR="00812D03" w:rsidRPr="00EB31F2" w:rsidRDefault="00170F84" w:rsidP="00170F84">
      <w:pPr>
        <w:pStyle w:val="3Bodytext"/>
        <w:jc w:val="both"/>
        <w:rPr>
          <w:color w:val="000000" w:themeColor="text1"/>
        </w:rPr>
      </w:pPr>
      <w:r w:rsidRPr="00EB31F2">
        <w:rPr>
          <w:color w:val="000000" w:themeColor="text1"/>
        </w:rPr>
        <w:t xml:space="preserve">The pre-PBAC response further noted input from a </w:t>
      </w:r>
      <w:r w:rsidR="00812D03" w:rsidRPr="00EB31F2">
        <w:rPr>
          <w:color w:val="000000" w:themeColor="text1"/>
        </w:rPr>
        <w:t xml:space="preserve">Respiratory Clinical Nurse </w:t>
      </w:r>
      <w:r w:rsidR="00DA0CB5" w:rsidRPr="00EB31F2">
        <w:rPr>
          <w:color w:val="000000" w:themeColor="text1"/>
        </w:rPr>
        <w:t>Consultant (RCNC) that stated authority application rejections are primarily related to typographical errors or dates that are incorrectly include</w:t>
      </w:r>
      <w:r w:rsidR="008E2602">
        <w:rPr>
          <w:color w:val="000000" w:themeColor="text1"/>
        </w:rPr>
        <w:t>d</w:t>
      </w:r>
      <w:r w:rsidR="00DA0CB5" w:rsidRPr="00EB31F2">
        <w:rPr>
          <w:color w:val="000000" w:themeColor="text1"/>
        </w:rPr>
        <w:t xml:space="preserve"> in the application</w:t>
      </w:r>
      <w:r w:rsidR="000A1D39">
        <w:rPr>
          <w:color w:val="000000" w:themeColor="text1"/>
        </w:rPr>
        <w:t>, and that most applications are subsequently approved when these errors are corrected</w:t>
      </w:r>
      <w:r w:rsidR="00DA0CB5" w:rsidRPr="00EB31F2">
        <w:rPr>
          <w:color w:val="000000" w:themeColor="text1"/>
        </w:rPr>
        <w:t>. The RCNC also noted that there is a robust assessment in place to ensure patients meet the clinical criteria for biologic treatment, such as mepolizumab and clinicians do not routinely submit for continuation if patients’ treatment with mepolizumab are failing.</w:t>
      </w:r>
    </w:p>
    <w:p w14:paraId="607ABD29" w14:textId="77777777" w:rsidR="001D1FA1" w:rsidRPr="00EB31F2" w:rsidRDefault="001D1FA1" w:rsidP="00240123">
      <w:pPr>
        <w:pStyle w:val="Heading1"/>
        <w:keepLines/>
        <w:numPr>
          <w:ilvl w:val="0"/>
          <w:numId w:val="1"/>
        </w:numPr>
        <w:spacing w:before="240"/>
        <w:ind w:left="709" w:hanging="709"/>
        <w:rPr>
          <w:sz w:val="32"/>
          <w:szCs w:val="32"/>
        </w:rPr>
      </w:pPr>
      <w:bookmarkStart w:id="20" w:name="_Hlk76381249"/>
      <w:bookmarkStart w:id="21" w:name="_Hlk76377955"/>
      <w:r w:rsidRPr="00EB31F2">
        <w:rPr>
          <w:sz w:val="32"/>
          <w:szCs w:val="32"/>
        </w:rPr>
        <w:t>PBAC Outcome</w:t>
      </w:r>
    </w:p>
    <w:p w14:paraId="0E1AABB1" w14:textId="57D6CBD2" w:rsidR="00AE4478" w:rsidRPr="00EB31F2" w:rsidRDefault="00AE4478" w:rsidP="00AE4478">
      <w:pPr>
        <w:pStyle w:val="4-SubsectionHeading"/>
        <w:rPr>
          <w:iCs/>
          <w:lang w:eastAsia="en-US"/>
        </w:rPr>
      </w:pPr>
      <w:r w:rsidRPr="00EB31F2">
        <w:rPr>
          <w:iCs/>
          <w:lang w:eastAsia="en-US"/>
        </w:rPr>
        <w:t>Amendment to authority levels</w:t>
      </w:r>
    </w:p>
    <w:p w14:paraId="4E32BDF4" w14:textId="770FB4AA" w:rsidR="00BA664E" w:rsidRPr="003D60FA" w:rsidRDefault="0084658D" w:rsidP="00BA664E">
      <w:pPr>
        <w:pStyle w:val="3Bodytext"/>
        <w:jc w:val="both"/>
        <w:rPr>
          <w:snapToGrid w:val="0"/>
        </w:rPr>
      </w:pPr>
      <w:r w:rsidRPr="003D60FA">
        <w:rPr>
          <w:snapToGrid w:val="0"/>
        </w:rPr>
        <w:t xml:space="preserve">The PBAC did not recommend amendments to the authority level for mepolizumab for the treatment of </w:t>
      </w:r>
      <w:r w:rsidR="00BA664E" w:rsidRPr="003D60FA">
        <w:rPr>
          <w:snapToGrid w:val="0"/>
        </w:rPr>
        <w:t>uncontrolled severe asthma.</w:t>
      </w:r>
      <w:r w:rsidRPr="003D60FA">
        <w:rPr>
          <w:snapToGrid w:val="0"/>
        </w:rPr>
        <w:t xml:space="preserve"> </w:t>
      </w:r>
      <w:r w:rsidR="00B22CDC" w:rsidRPr="003D60FA">
        <w:rPr>
          <w:snapToGrid w:val="0"/>
        </w:rPr>
        <w:t xml:space="preserve">The PBAC </w:t>
      </w:r>
      <w:r w:rsidR="00512A90">
        <w:rPr>
          <w:snapToGrid w:val="0"/>
        </w:rPr>
        <w:t xml:space="preserve">considered </w:t>
      </w:r>
      <w:r w:rsidR="00B22CDC" w:rsidRPr="003D60FA">
        <w:rPr>
          <w:snapToGrid w:val="0"/>
        </w:rPr>
        <w:t>that while the available data suggest</w:t>
      </w:r>
      <w:r w:rsidR="00E37DDC" w:rsidRPr="003D60FA">
        <w:rPr>
          <w:snapToGrid w:val="0"/>
        </w:rPr>
        <w:t>ed</w:t>
      </w:r>
      <w:r w:rsidR="00B22CDC" w:rsidRPr="003D60FA">
        <w:rPr>
          <w:snapToGrid w:val="0"/>
        </w:rPr>
        <w:t xml:space="preserve"> that the growth of mepolizumab </w:t>
      </w:r>
      <w:r w:rsidR="00983342" w:rsidRPr="003D60FA">
        <w:rPr>
          <w:snapToGrid w:val="0"/>
        </w:rPr>
        <w:t xml:space="preserve">is gradually </w:t>
      </w:r>
      <w:r w:rsidR="00094764" w:rsidRPr="003D60FA">
        <w:rPr>
          <w:snapToGrid w:val="0"/>
        </w:rPr>
        <w:t xml:space="preserve">stabilising, </w:t>
      </w:r>
      <w:r w:rsidR="00094764">
        <w:rPr>
          <w:snapToGrid w:val="0"/>
        </w:rPr>
        <w:t>the</w:t>
      </w:r>
      <w:r w:rsidR="000A1D39">
        <w:rPr>
          <w:snapToGrid w:val="0"/>
        </w:rPr>
        <w:t xml:space="preserve"> overall uncontrolled severe asthma market continues to grow</w:t>
      </w:r>
      <w:r w:rsidR="006F3275" w:rsidRPr="003D60FA">
        <w:rPr>
          <w:snapToGrid w:val="0"/>
        </w:rPr>
        <w:t>.</w:t>
      </w:r>
      <w:r w:rsidR="001B054A" w:rsidRPr="003D60FA">
        <w:rPr>
          <w:snapToGrid w:val="0"/>
        </w:rPr>
        <w:t xml:space="preserve"> </w:t>
      </w:r>
      <w:r w:rsidR="00BA664E" w:rsidRPr="003D60FA">
        <w:rPr>
          <w:snapToGrid w:val="0"/>
        </w:rPr>
        <w:t xml:space="preserve">The PBAC </w:t>
      </w:r>
      <w:r w:rsidR="001B054A" w:rsidRPr="003D60FA">
        <w:rPr>
          <w:snapToGrid w:val="0"/>
        </w:rPr>
        <w:t xml:space="preserve">therefore </w:t>
      </w:r>
      <w:r w:rsidR="00BA664E" w:rsidRPr="003D60FA">
        <w:rPr>
          <w:snapToGrid w:val="0"/>
        </w:rPr>
        <w:t>considered that it would not be appropriate to amend the circumstances of mepolizumab in isolation</w:t>
      </w:r>
      <w:r w:rsidR="001B054A" w:rsidRPr="003D60FA">
        <w:rPr>
          <w:snapToGrid w:val="0"/>
        </w:rPr>
        <w:t>,</w:t>
      </w:r>
      <w:r w:rsidR="00BA664E" w:rsidRPr="003D60FA">
        <w:rPr>
          <w:snapToGrid w:val="0"/>
        </w:rPr>
        <w:t xml:space="preserve"> </w:t>
      </w:r>
      <w:r w:rsidR="000603DE" w:rsidRPr="003D60FA">
        <w:rPr>
          <w:snapToGrid w:val="0"/>
        </w:rPr>
        <w:t xml:space="preserve">noting </w:t>
      </w:r>
      <w:r w:rsidR="001B054A" w:rsidRPr="003D60FA">
        <w:rPr>
          <w:snapToGrid w:val="0"/>
        </w:rPr>
        <w:t>the</w:t>
      </w:r>
      <w:r w:rsidR="00767DFD" w:rsidRPr="003D60FA">
        <w:rPr>
          <w:snapToGrid w:val="0"/>
        </w:rPr>
        <w:t xml:space="preserve"> </w:t>
      </w:r>
      <w:r w:rsidR="00512A90">
        <w:rPr>
          <w:snapToGrid w:val="0"/>
        </w:rPr>
        <w:t xml:space="preserve">continued </w:t>
      </w:r>
      <w:r w:rsidR="00D62CBE" w:rsidRPr="003D60FA">
        <w:rPr>
          <w:snapToGrid w:val="0"/>
        </w:rPr>
        <w:t xml:space="preserve">growth of the </w:t>
      </w:r>
      <w:r w:rsidR="001B054A" w:rsidRPr="003D60FA">
        <w:rPr>
          <w:snapToGrid w:val="0"/>
        </w:rPr>
        <w:t xml:space="preserve">overall </w:t>
      </w:r>
      <w:r w:rsidR="000603DE" w:rsidRPr="003D60FA">
        <w:rPr>
          <w:snapToGrid w:val="0"/>
        </w:rPr>
        <w:t xml:space="preserve">anti-IL5 </w:t>
      </w:r>
      <w:r w:rsidR="001B054A" w:rsidRPr="003D60FA">
        <w:rPr>
          <w:snapToGrid w:val="0"/>
        </w:rPr>
        <w:t>market for uncontrolled severe asthma</w:t>
      </w:r>
      <w:r w:rsidR="00B22CDC" w:rsidRPr="003D60FA">
        <w:rPr>
          <w:snapToGrid w:val="0"/>
        </w:rPr>
        <w:t xml:space="preserve">. </w:t>
      </w:r>
    </w:p>
    <w:p w14:paraId="1EA5A2D9" w14:textId="0FF669C4" w:rsidR="00BF7C07" w:rsidRPr="00EB31F2" w:rsidRDefault="00BA664E" w:rsidP="00B22CDC">
      <w:pPr>
        <w:pStyle w:val="3Bodytext"/>
        <w:jc w:val="both"/>
      </w:pPr>
      <w:r w:rsidRPr="003D60FA">
        <w:rPr>
          <w:snapToGrid w:val="0"/>
        </w:rPr>
        <w:t xml:space="preserve">The PBAC noted that the submission </w:t>
      </w:r>
      <w:r w:rsidR="00EC0534" w:rsidRPr="003D60FA">
        <w:rPr>
          <w:snapToGrid w:val="0"/>
        </w:rPr>
        <w:t>claimed</w:t>
      </w:r>
      <w:r w:rsidR="00EF3D22" w:rsidRPr="003D60FA">
        <w:rPr>
          <w:snapToGrid w:val="0"/>
        </w:rPr>
        <w:t xml:space="preserve"> </w:t>
      </w:r>
      <w:r w:rsidRPr="003D60FA">
        <w:rPr>
          <w:snapToGrid w:val="0"/>
        </w:rPr>
        <w:t xml:space="preserve">that the annual initiations for the anti-IL5 biologic agents (i.e., mepolizumab and benralizumab) for the treatment of uncontrolled severe asthma have stabilised. </w:t>
      </w:r>
      <w:r w:rsidR="00926ECE" w:rsidRPr="003D60FA">
        <w:rPr>
          <w:snapToGrid w:val="0"/>
        </w:rPr>
        <w:t>The PBAC</w:t>
      </w:r>
      <w:r w:rsidR="009B711C" w:rsidRPr="003D60FA">
        <w:rPr>
          <w:snapToGrid w:val="0"/>
        </w:rPr>
        <w:t xml:space="preserve"> </w:t>
      </w:r>
      <w:r w:rsidR="00926ECE" w:rsidRPr="003D60FA">
        <w:rPr>
          <w:snapToGrid w:val="0"/>
        </w:rPr>
        <w:t xml:space="preserve">noted </w:t>
      </w:r>
      <w:r w:rsidR="00B22CDC" w:rsidRPr="003D60FA">
        <w:rPr>
          <w:snapToGrid w:val="0"/>
        </w:rPr>
        <w:t xml:space="preserve">that </w:t>
      </w:r>
      <w:r w:rsidR="00926ECE" w:rsidRPr="003D60FA">
        <w:rPr>
          <w:snapToGrid w:val="0"/>
        </w:rPr>
        <w:t>the pre-PBAC response provide</w:t>
      </w:r>
      <w:r w:rsidR="00926ECE" w:rsidRPr="00EB31F2">
        <w:t>d an additional 6-months of initiation services data from July to December 2023, indicat</w:t>
      </w:r>
      <w:r w:rsidR="00512A90">
        <w:t>ing</w:t>
      </w:r>
      <w:r w:rsidR="00926ECE" w:rsidRPr="00EB31F2">
        <w:t xml:space="preserve"> that the annual growth for anti-IL5 initiation prescriptions for </w:t>
      </w:r>
      <w:r w:rsidR="00983342" w:rsidRPr="00EB31F2">
        <w:t xml:space="preserve">Year </w:t>
      </w:r>
      <w:r w:rsidR="00926ECE" w:rsidRPr="00EB31F2">
        <w:t xml:space="preserve">2022 and </w:t>
      </w:r>
      <w:r w:rsidR="00983342" w:rsidRPr="00EB31F2">
        <w:t xml:space="preserve">Year </w:t>
      </w:r>
      <w:r w:rsidR="00926ECE" w:rsidRPr="00EB31F2">
        <w:t>2023 was 2.9% and 8.5%</w:t>
      </w:r>
      <w:r w:rsidR="00512A90">
        <w:t>,</w:t>
      </w:r>
      <w:r w:rsidR="00926ECE" w:rsidRPr="00EB31F2">
        <w:t xml:space="preserve"> respectively.</w:t>
      </w:r>
      <w:r w:rsidR="009B711C" w:rsidRPr="00EB31F2">
        <w:t xml:space="preserve"> </w:t>
      </w:r>
      <w:r w:rsidR="003857A8" w:rsidRPr="00EB31F2">
        <w:t>T</w:t>
      </w:r>
      <w:r w:rsidR="00926ECE" w:rsidRPr="003D60FA">
        <w:rPr>
          <w:snapToGrid w:val="0"/>
        </w:rPr>
        <w:t>he PBAC considered that the available data</w:t>
      </w:r>
      <w:r w:rsidR="003553BB" w:rsidRPr="003D60FA">
        <w:rPr>
          <w:snapToGrid w:val="0"/>
        </w:rPr>
        <w:t xml:space="preserve"> </w:t>
      </w:r>
      <w:r w:rsidR="008B6335" w:rsidRPr="003D60FA">
        <w:rPr>
          <w:snapToGrid w:val="0"/>
        </w:rPr>
        <w:t xml:space="preserve">was insufficient to provide a reliable estimate of the maturity of the anti-IL5 market and </w:t>
      </w:r>
      <w:r w:rsidR="00091CBB" w:rsidRPr="003D60FA">
        <w:rPr>
          <w:snapToGrid w:val="0"/>
        </w:rPr>
        <w:t xml:space="preserve">considered </w:t>
      </w:r>
      <w:r w:rsidR="003553BB" w:rsidRPr="003D60FA">
        <w:rPr>
          <w:snapToGrid w:val="0"/>
        </w:rPr>
        <w:t>that</w:t>
      </w:r>
      <w:r w:rsidR="00926ECE" w:rsidRPr="003D60FA">
        <w:rPr>
          <w:snapToGrid w:val="0"/>
        </w:rPr>
        <w:t xml:space="preserve"> the anti-IL5</w:t>
      </w:r>
      <w:r w:rsidR="008B6335" w:rsidRPr="003D60FA">
        <w:rPr>
          <w:snapToGrid w:val="0"/>
        </w:rPr>
        <w:t xml:space="preserve"> market</w:t>
      </w:r>
      <w:r w:rsidR="003553BB" w:rsidRPr="003D60FA">
        <w:rPr>
          <w:snapToGrid w:val="0"/>
        </w:rPr>
        <w:t xml:space="preserve"> </w:t>
      </w:r>
      <w:r w:rsidR="009B711C" w:rsidRPr="003D60FA">
        <w:rPr>
          <w:snapToGrid w:val="0"/>
        </w:rPr>
        <w:t>was not stable</w:t>
      </w:r>
      <w:r w:rsidR="008B6335" w:rsidRPr="003D60FA">
        <w:rPr>
          <w:snapToGrid w:val="0"/>
        </w:rPr>
        <w:t xml:space="preserve"> yet</w:t>
      </w:r>
      <w:r w:rsidR="001B054A" w:rsidRPr="003D60FA">
        <w:rPr>
          <w:snapToGrid w:val="0"/>
        </w:rPr>
        <w:t xml:space="preserve">. </w:t>
      </w:r>
    </w:p>
    <w:p w14:paraId="5E3FB37D" w14:textId="3B47C331" w:rsidR="00ED460A" w:rsidRPr="00EB31F2" w:rsidRDefault="00ED460A" w:rsidP="00CB167F">
      <w:pPr>
        <w:pStyle w:val="3Bodytext"/>
        <w:jc w:val="both"/>
      </w:pPr>
      <w:r w:rsidRPr="00EB31F2">
        <w:rPr>
          <w:rFonts w:cs="Arial"/>
          <w:snapToGrid w:val="0"/>
        </w:rPr>
        <w:t>The PBAC noted the submission</w:t>
      </w:r>
      <w:r w:rsidR="000B5D35">
        <w:rPr>
          <w:rFonts w:cs="Arial"/>
          <w:snapToGrid w:val="0"/>
        </w:rPr>
        <w:t xml:space="preserve">’s claim </w:t>
      </w:r>
      <w:r w:rsidRPr="00EB31F2">
        <w:rPr>
          <w:rFonts w:cs="Arial"/>
          <w:snapToGrid w:val="0"/>
        </w:rPr>
        <w:t>that continuing prescriptions for anti-IL5 agents showed moderate growth of 16% in the FY</w:t>
      </w:r>
      <w:r w:rsidR="008B6335" w:rsidRPr="00EB31F2">
        <w:rPr>
          <w:rFonts w:cs="Arial"/>
          <w:snapToGrid w:val="0"/>
        </w:rPr>
        <w:t xml:space="preserve"> </w:t>
      </w:r>
      <w:r w:rsidRPr="00EB31F2">
        <w:rPr>
          <w:rFonts w:cs="Arial"/>
          <w:snapToGrid w:val="0"/>
        </w:rPr>
        <w:t xml:space="preserve">2023. The PBAC </w:t>
      </w:r>
      <w:r w:rsidR="000B5D35">
        <w:rPr>
          <w:rFonts w:cs="Arial"/>
          <w:snapToGrid w:val="0"/>
        </w:rPr>
        <w:t xml:space="preserve">also </w:t>
      </w:r>
      <w:r w:rsidRPr="00EB31F2">
        <w:rPr>
          <w:rFonts w:cs="Arial"/>
          <w:snapToGrid w:val="0"/>
        </w:rPr>
        <w:t>noted th</w:t>
      </w:r>
      <w:r w:rsidR="000B5D35">
        <w:rPr>
          <w:rFonts w:cs="Arial"/>
          <w:snapToGrid w:val="0"/>
        </w:rPr>
        <w:t>e</w:t>
      </w:r>
      <w:r w:rsidRPr="00EB31F2">
        <w:rPr>
          <w:rFonts w:cs="Arial"/>
          <w:snapToGrid w:val="0"/>
        </w:rPr>
        <w:t xml:space="preserve"> submission</w:t>
      </w:r>
      <w:r w:rsidR="000B5D35">
        <w:rPr>
          <w:rFonts w:cs="Arial"/>
          <w:snapToGrid w:val="0"/>
        </w:rPr>
        <w:t>’s</w:t>
      </w:r>
      <w:r w:rsidRPr="00EB31F2">
        <w:rPr>
          <w:rFonts w:cs="Arial"/>
          <w:snapToGrid w:val="0"/>
        </w:rPr>
        <w:t xml:space="preserve"> claim that clinicians are now more experienced with prescribing biologics for uncontrolled severe asthma and other </w:t>
      </w:r>
      <w:r w:rsidR="00B166BA" w:rsidRPr="00EB31F2">
        <w:rPr>
          <w:rFonts w:cs="Arial"/>
          <w:snapToGrid w:val="0"/>
        </w:rPr>
        <w:t>conditions</w:t>
      </w:r>
      <w:r w:rsidR="00B166BA">
        <w:rPr>
          <w:rFonts w:cs="Arial"/>
          <w:snapToGrid w:val="0"/>
        </w:rPr>
        <w:t xml:space="preserve"> and</w:t>
      </w:r>
      <w:r w:rsidRPr="00EB31F2">
        <w:rPr>
          <w:rFonts w:cs="Arial"/>
          <w:snapToGrid w:val="0"/>
        </w:rPr>
        <w:t xml:space="preserve"> are familiar with identifying patients appropriate for initiating treatment and ensuring treatment is only continued in patients demonstrating benefit. </w:t>
      </w:r>
      <w:r w:rsidR="00983342" w:rsidRPr="003D60FA">
        <w:rPr>
          <w:snapToGrid w:val="0"/>
        </w:rPr>
        <w:t xml:space="preserve">The PBAC acknowledged the input from health </w:t>
      </w:r>
      <w:r w:rsidR="00983342" w:rsidRPr="003D60FA">
        <w:rPr>
          <w:snapToGrid w:val="0"/>
        </w:rPr>
        <w:lastRenderedPageBreak/>
        <w:t xml:space="preserve">professionals and organisations in support of the authority level amendment to ease administrative burden. </w:t>
      </w:r>
    </w:p>
    <w:p w14:paraId="5A4EB9B1" w14:textId="2EED09F1" w:rsidR="00F4106D" w:rsidRPr="003D60FA" w:rsidRDefault="00F4106D" w:rsidP="00F4106D">
      <w:pPr>
        <w:pStyle w:val="3Bodytext"/>
        <w:jc w:val="both"/>
        <w:rPr>
          <w:snapToGrid w:val="0"/>
        </w:rPr>
      </w:pPr>
      <w:r w:rsidRPr="003D60FA">
        <w:rPr>
          <w:snapToGrid w:val="0"/>
        </w:rPr>
        <w:t>The PBAC recalled</w:t>
      </w:r>
      <w:r w:rsidR="000B5D35">
        <w:rPr>
          <w:snapToGrid w:val="0"/>
        </w:rPr>
        <w:t xml:space="preserve"> that at its July 2021 meeting,</w:t>
      </w:r>
      <w:r w:rsidRPr="003D60FA">
        <w:rPr>
          <w:snapToGrid w:val="0"/>
        </w:rPr>
        <w:t xml:space="preserve"> </w:t>
      </w:r>
      <w:r w:rsidR="007C0031" w:rsidRPr="003D60FA">
        <w:rPr>
          <w:snapToGrid w:val="0"/>
        </w:rPr>
        <w:t xml:space="preserve">it </w:t>
      </w:r>
      <w:r w:rsidRPr="003D60FA">
        <w:rPr>
          <w:snapToGrid w:val="0"/>
        </w:rPr>
        <w:t xml:space="preserve">recommended that the </w:t>
      </w:r>
      <w:r w:rsidRPr="00EB31F2">
        <w:rPr>
          <w:rFonts w:cstheme="minorHAnsi"/>
          <w:iCs/>
        </w:rPr>
        <w:t>authority requirements for continuing treatment with omalizumab for SAA be amended from Authority Required (Written) to Authority Required (Telephone/Online).</w:t>
      </w:r>
      <w:r w:rsidR="000B5D35">
        <w:rPr>
          <w:rFonts w:cstheme="minorHAnsi"/>
          <w:iCs/>
        </w:rPr>
        <w:t xml:space="preserve"> The PBAC noted that this amendment has not yet been implemented</w:t>
      </w:r>
      <w:r w:rsidR="00F420CB">
        <w:rPr>
          <w:rFonts w:cstheme="minorHAnsi"/>
          <w:iCs/>
        </w:rPr>
        <w:t xml:space="preserve"> </w:t>
      </w:r>
      <w:r w:rsidR="00F420CB" w:rsidRPr="00EB31F2">
        <w:rPr>
          <w:iCs/>
        </w:rPr>
        <w:t>(Review of Authority Required (Written) PBS listings Tranche 3</w:t>
      </w:r>
      <w:r w:rsidR="00EC4E53">
        <w:rPr>
          <w:iCs/>
        </w:rPr>
        <w:t>, July 2021 PBAC Outcomes</w:t>
      </w:r>
      <w:r w:rsidR="00F420CB" w:rsidRPr="00EB31F2">
        <w:rPr>
          <w:iCs/>
        </w:rPr>
        <w:t>)</w:t>
      </w:r>
      <w:r w:rsidR="000B5D35">
        <w:rPr>
          <w:rFonts w:cstheme="minorHAnsi"/>
          <w:iCs/>
        </w:rPr>
        <w:t>.</w:t>
      </w:r>
      <w:r w:rsidRPr="00EB31F2">
        <w:rPr>
          <w:rFonts w:cstheme="minorHAnsi"/>
          <w:iCs/>
        </w:rPr>
        <w:t xml:space="preserve"> </w:t>
      </w:r>
      <w:r w:rsidR="001513FA" w:rsidRPr="00EB31F2">
        <w:rPr>
          <w:rFonts w:cstheme="minorHAnsi"/>
          <w:iCs/>
        </w:rPr>
        <w:t xml:space="preserve">The PBAC recalled that it did not recommend an amendment to the authority requirements for initial treatment with omalizumab </w:t>
      </w:r>
      <w:r w:rsidR="000B5D35">
        <w:rPr>
          <w:rFonts w:cstheme="minorHAnsi"/>
          <w:iCs/>
        </w:rPr>
        <w:t>for</w:t>
      </w:r>
      <w:r w:rsidR="001513FA" w:rsidRPr="00EB31F2">
        <w:rPr>
          <w:rFonts w:cstheme="minorHAnsi"/>
          <w:iCs/>
        </w:rPr>
        <w:t xml:space="preserve"> SAA, </w:t>
      </w:r>
      <w:r w:rsidR="000B5D35">
        <w:rPr>
          <w:rFonts w:cstheme="minorHAnsi"/>
          <w:iCs/>
        </w:rPr>
        <w:t>as</w:t>
      </w:r>
      <w:r w:rsidR="000B5D35" w:rsidRPr="00EB31F2">
        <w:rPr>
          <w:rFonts w:cstheme="minorHAnsi"/>
          <w:iCs/>
        </w:rPr>
        <w:t xml:space="preserve"> </w:t>
      </w:r>
      <w:r w:rsidR="001513FA" w:rsidRPr="00EB31F2">
        <w:rPr>
          <w:rFonts w:cstheme="minorHAnsi"/>
          <w:iCs/>
        </w:rPr>
        <w:t>the consistent increase in incident and prevalent patient numbers demonstrated the market was not yet stable</w:t>
      </w:r>
      <w:r w:rsidR="00C06CAA">
        <w:rPr>
          <w:snapToGrid w:val="0"/>
        </w:rPr>
        <w:t xml:space="preserve">. The PBAC </w:t>
      </w:r>
      <w:r w:rsidR="000A1D39">
        <w:rPr>
          <w:snapToGrid w:val="0"/>
        </w:rPr>
        <w:t>noted that the DUSC could reassess the market utilisation and restriction levels once the listings are mature</w:t>
      </w:r>
      <w:r w:rsidR="00D17085" w:rsidRPr="003D60FA">
        <w:rPr>
          <w:snapToGrid w:val="0"/>
        </w:rPr>
        <w:t xml:space="preserve">. </w:t>
      </w:r>
    </w:p>
    <w:p w14:paraId="6815D9FC" w14:textId="30BACAAB" w:rsidR="00926ECE" w:rsidRPr="003D60FA" w:rsidRDefault="00FC36E6" w:rsidP="00926ECE">
      <w:pPr>
        <w:pStyle w:val="3Bodytext"/>
        <w:jc w:val="both"/>
        <w:rPr>
          <w:snapToGrid w:val="0"/>
        </w:rPr>
      </w:pPr>
      <w:r w:rsidRPr="003D60FA">
        <w:rPr>
          <w:snapToGrid w:val="0"/>
        </w:rPr>
        <w:t xml:space="preserve">The PBAC </w:t>
      </w:r>
      <w:r w:rsidR="002538FF" w:rsidRPr="003D60FA">
        <w:rPr>
          <w:snapToGrid w:val="0"/>
        </w:rPr>
        <w:t xml:space="preserve">noted </w:t>
      </w:r>
      <w:r w:rsidR="00F4106D" w:rsidRPr="003D60FA">
        <w:rPr>
          <w:snapToGrid w:val="0"/>
        </w:rPr>
        <w:t xml:space="preserve">that </w:t>
      </w:r>
      <w:r w:rsidR="002538FF" w:rsidRPr="003D60FA">
        <w:rPr>
          <w:snapToGrid w:val="0"/>
        </w:rPr>
        <w:t xml:space="preserve">the </w:t>
      </w:r>
      <w:r w:rsidR="00CA6768" w:rsidRPr="003D60FA">
        <w:rPr>
          <w:snapToGrid w:val="0"/>
        </w:rPr>
        <w:t xml:space="preserve">Department had estimated a potential cost to Government of </w:t>
      </w:r>
      <w:r w:rsidR="00CA6768" w:rsidRPr="00EB31F2">
        <w:t>$</w:t>
      </w:r>
      <w:r w:rsidR="003D6BDE" w:rsidRPr="003D6BDE">
        <w:t>10 million to &lt; $20 million</w:t>
      </w:r>
      <w:r w:rsidR="003D6BDE">
        <w:t xml:space="preserve"> </w:t>
      </w:r>
      <w:r w:rsidR="00CA6768" w:rsidRPr="00EB31F2">
        <w:t>over six years,</w:t>
      </w:r>
      <w:r w:rsidR="00CA6768" w:rsidRPr="003D60FA">
        <w:rPr>
          <w:snapToGrid w:val="0"/>
        </w:rPr>
        <w:t xml:space="preserve"> based on the assumption that </w:t>
      </w:r>
      <w:r w:rsidR="00D17085" w:rsidRPr="003D60FA">
        <w:rPr>
          <w:snapToGrid w:val="0"/>
        </w:rPr>
        <w:t xml:space="preserve">a </w:t>
      </w:r>
      <w:r w:rsidR="00CA6768" w:rsidRPr="00EB31F2">
        <w:t>proportion of rejected authority requests would be included in the eligible population due to the change to the authority level</w:t>
      </w:r>
      <w:r w:rsidR="00F4106D" w:rsidRPr="00EB31F2">
        <w:t xml:space="preserve"> of mepolizumab</w:t>
      </w:r>
      <w:r w:rsidR="00CA6768" w:rsidRPr="00EB31F2">
        <w:t xml:space="preserve">. The PBAC noted the pre-PBAC response </w:t>
      </w:r>
      <w:r w:rsidR="009E5DF8" w:rsidRPr="00EB31F2">
        <w:t xml:space="preserve">stating the common reasons for authority application </w:t>
      </w:r>
      <w:r w:rsidR="00B166BA" w:rsidRPr="00EB31F2">
        <w:t>rejections and</w:t>
      </w:r>
      <w:r w:rsidR="009E5DF8" w:rsidRPr="00EB31F2">
        <w:t xml:space="preserve"> </w:t>
      </w:r>
      <w:r w:rsidR="000B5D35">
        <w:t>considered</w:t>
      </w:r>
      <w:r w:rsidR="000B5D35" w:rsidRPr="00EB31F2">
        <w:t xml:space="preserve"> </w:t>
      </w:r>
      <w:r w:rsidR="009E5DF8" w:rsidRPr="00EB31F2">
        <w:t xml:space="preserve">that the cost to Government </w:t>
      </w:r>
      <w:r w:rsidR="008E2602">
        <w:t>may</w:t>
      </w:r>
      <w:r w:rsidR="009E5DF8" w:rsidRPr="00EB31F2">
        <w:t xml:space="preserve"> be less than</w:t>
      </w:r>
      <w:r w:rsidR="00F4106D" w:rsidRPr="00EB31F2">
        <w:t xml:space="preserve"> what</w:t>
      </w:r>
      <w:r w:rsidR="009E5DF8" w:rsidRPr="00EB31F2">
        <w:t xml:space="preserve"> was estimated</w:t>
      </w:r>
      <w:r w:rsidR="000B5D35">
        <w:t xml:space="preserve"> by the Department</w:t>
      </w:r>
      <w:r w:rsidR="009E5DF8" w:rsidRPr="00EB31F2">
        <w:t xml:space="preserve">. </w:t>
      </w:r>
    </w:p>
    <w:p w14:paraId="2F4DA63D" w14:textId="77777777" w:rsidR="0076018E" w:rsidRPr="003D60FA" w:rsidRDefault="0076018E" w:rsidP="0076018E">
      <w:pPr>
        <w:widowControl w:val="0"/>
        <w:rPr>
          <w:rFonts w:asciiTheme="minorHAnsi" w:hAnsiTheme="minorHAnsi" w:cs="Arial"/>
          <w:b/>
          <w:bCs/>
          <w:snapToGrid w:val="0"/>
        </w:rPr>
      </w:pPr>
      <w:r w:rsidRPr="003D60FA">
        <w:rPr>
          <w:rFonts w:asciiTheme="minorHAnsi" w:hAnsiTheme="minorHAnsi" w:cs="Arial"/>
          <w:b/>
          <w:bCs/>
          <w:snapToGrid w:val="0"/>
        </w:rPr>
        <w:t>Outcome:</w:t>
      </w:r>
    </w:p>
    <w:p w14:paraId="7DDB51D0" w14:textId="60E0B9C2" w:rsidR="0076018E" w:rsidRPr="003D60FA" w:rsidRDefault="0076018E" w:rsidP="0076018E">
      <w:pPr>
        <w:rPr>
          <w:rFonts w:asciiTheme="minorHAnsi" w:hAnsiTheme="minorHAnsi" w:cs="Arial"/>
          <w:bCs/>
          <w:snapToGrid w:val="0"/>
        </w:rPr>
      </w:pPr>
      <w:r w:rsidRPr="003D60FA">
        <w:rPr>
          <w:rFonts w:asciiTheme="minorHAnsi" w:hAnsiTheme="minorHAnsi" w:cs="Arial"/>
          <w:bCs/>
          <w:snapToGrid w:val="0"/>
        </w:rPr>
        <w:t>Not recommended</w:t>
      </w:r>
    </w:p>
    <w:p w14:paraId="36918792" w14:textId="1F14C0A2" w:rsidR="00AE4478" w:rsidRPr="00EB31F2" w:rsidRDefault="00AE4478" w:rsidP="00AE4478">
      <w:pPr>
        <w:pStyle w:val="4-SubsectionHeading"/>
        <w:rPr>
          <w:iCs/>
          <w:lang w:eastAsia="en-US"/>
        </w:rPr>
      </w:pPr>
      <w:r w:rsidRPr="00EB31F2">
        <w:rPr>
          <w:iCs/>
          <w:lang w:eastAsia="en-US"/>
        </w:rPr>
        <w:t>Amend</w:t>
      </w:r>
      <w:r w:rsidR="0076018E" w:rsidRPr="00EB31F2">
        <w:rPr>
          <w:iCs/>
          <w:lang w:eastAsia="en-US"/>
        </w:rPr>
        <w:t>m</w:t>
      </w:r>
      <w:r w:rsidRPr="00EB31F2">
        <w:rPr>
          <w:iCs/>
          <w:lang w:eastAsia="en-US"/>
        </w:rPr>
        <w:t>ent to clinical criteria</w:t>
      </w:r>
    </w:p>
    <w:p w14:paraId="5A885557" w14:textId="4E9BB4A2" w:rsidR="00EF363F" w:rsidRPr="00EB31F2" w:rsidRDefault="00EF363F" w:rsidP="00240123">
      <w:pPr>
        <w:pStyle w:val="3Bodytext"/>
        <w:jc w:val="both"/>
        <w:rPr>
          <w:rFonts w:cstheme="minorHAnsi"/>
          <w:szCs w:val="24"/>
        </w:rPr>
      </w:pPr>
      <w:r w:rsidRPr="003D60FA">
        <w:rPr>
          <w:rFonts w:cs="Arial"/>
          <w:snapToGrid w:val="0"/>
        </w:rPr>
        <w:t>The PBAC recommended amend</w:t>
      </w:r>
      <w:r w:rsidR="000B5D35">
        <w:rPr>
          <w:rFonts w:cs="Arial"/>
          <w:snapToGrid w:val="0"/>
        </w:rPr>
        <w:t>ing</w:t>
      </w:r>
      <w:r w:rsidRPr="003D60FA">
        <w:rPr>
          <w:rFonts w:cs="Arial"/>
          <w:snapToGrid w:val="0"/>
        </w:rPr>
        <w:t xml:space="preserve"> the </w:t>
      </w:r>
      <w:r w:rsidRPr="00EB31F2">
        <w:rPr>
          <w:rFonts w:cstheme="minorHAnsi"/>
          <w:szCs w:val="24"/>
        </w:rPr>
        <w:t xml:space="preserve">clinical criteria of mepolizumab for the treatment of </w:t>
      </w:r>
      <w:r w:rsidR="00847188" w:rsidRPr="00EB31F2">
        <w:rPr>
          <w:rFonts w:cstheme="minorHAnsi"/>
          <w:szCs w:val="24"/>
        </w:rPr>
        <w:t xml:space="preserve">uncontrolled severe asthma </w:t>
      </w:r>
      <w:r w:rsidRPr="00EB31F2">
        <w:rPr>
          <w:rFonts w:cstheme="minorHAnsi"/>
          <w:szCs w:val="24"/>
        </w:rPr>
        <w:t>to remove the OCS requirement within the definition of ‘optimised asthma therapy’</w:t>
      </w:r>
      <w:r w:rsidR="00F4106D" w:rsidRPr="00EB31F2">
        <w:rPr>
          <w:rFonts w:cstheme="minorHAnsi"/>
          <w:szCs w:val="24"/>
        </w:rPr>
        <w:t xml:space="preserve"> to align</w:t>
      </w:r>
      <w:r w:rsidR="00632399" w:rsidRPr="00EB31F2">
        <w:rPr>
          <w:rFonts w:cstheme="minorHAnsi"/>
          <w:szCs w:val="24"/>
        </w:rPr>
        <w:t xml:space="preserve"> with current </w:t>
      </w:r>
      <w:r w:rsidR="00847188" w:rsidRPr="00EB31F2">
        <w:rPr>
          <w:rFonts w:cstheme="minorHAnsi"/>
          <w:szCs w:val="24"/>
        </w:rPr>
        <w:t xml:space="preserve">treatment </w:t>
      </w:r>
      <w:r w:rsidR="00632399" w:rsidRPr="00EB31F2">
        <w:rPr>
          <w:rFonts w:cstheme="minorHAnsi"/>
          <w:szCs w:val="24"/>
        </w:rPr>
        <w:t>guidelines</w:t>
      </w:r>
      <w:r w:rsidRPr="00EB31F2">
        <w:rPr>
          <w:rFonts w:cstheme="minorHAnsi"/>
          <w:szCs w:val="24"/>
        </w:rPr>
        <w:t>.</w:t>
      </w:r>
      <w:r w:rsidR="00632399" w:rsidRPr="00EB31F2">
        <w:rPr>
          <w:rFonts w:cstheme="minorHAnsi"/>
          <w:szCs w:val="24"/>
        </w:rPr>
        <w:t xml:space="preserve"> </w:t>
      </w:r>
    </w:p>
    <w:p w14:paraId="47095108" w14:textId="20436B38" w:rsidR="00632399" w:rsidRPr="00EB31F2" w:rsidRDefault="00AE4478" w:rsidP="00163F7A">
      <w:pPr>
        <w:pStyle w:val="3Bodytext"/>
        <w:jc w:val="both"/>
        <w:rPr>
          <w:rFonts w:eastAsia="Times New Roman" w:cstheme="minorHAnsi"/>
          <w:color w:val="222222"/>
          <w:szCs w:val="24"/>
        </w:rPr>
      </w:pPr>
      <w:r w:rsidRPr="00EB31F2">
        <w:rPr>
          <w:iCs/>
        </w:rPr>
        <w:t xml:space="preserve">The PBAC noted </w:t>
      </w:r>
      <w:r w:rsidRPr="00EB31F2">
        <w:rPr>
          <w:rFonts w:eastAsia="Times New Roman" w:cstheme="minorHAnsi"/>
          <w:color w:val="222222"/>
          <w:szCs w:val="24"/>
        </w:rPr>
        <w:t>the GINA and Australian Asthma Handbook guidelines and</w:t>
      </w:r>
      <w:r w:rsidR="00F4106D" w:rsidRPr="00EB31F2">
        <w:rPr>
          <w:rFonts w:eastAsia="Times New Roman" w:cstheme="minorHAnsi"/>
          <w:color w:val="222222"/>
          <w:szCs w:val="24"/>
        </w:rPr>
        <w:t xml:space="preserve"> the</w:t>
      </w:r>
      <w:r w:rsidRPr="00EB31F2">
        <w:rPr>
          <w:rFonts w:eastAsia="Times New Roman" w:cstheme="minorHAnsi"/>
          <w:color w:val="222222"/>
          <w:szCs w:val="24"/>
        </w:rPr>
        <w:t xml:space="preserve"> input from health professionals supporting the removal of the OCS criterion, stating that </w:t>
      </w:r>
      <w:r w:rsidR="00163F7A" w:rsidRPr="00EB31F2">
        <w:rPr>
          <w:rFonts w:eastAsia="Times New Roman" w:cstheme="minorHAnsi"/>
          <w:color w:val="222222"/>
          <w:szCs w:val="24"/>
        </w:rPr>
        <w:t xml:space="preserve">the current OCS requirement </w:t>
      </w:r>
      <w:r w:rsidR="00D55D71" w:rsidRPr="00EB31F2">
        <w:rPr>
          <w:rFonts w:eastAsia="Times New Roman" w:cstheme="minorHAnsi"/>
          <w:color w:val="222222"/>
          <w:szCs w:val="24"/>
        </w:rPr>
        <w:t>results in an</w:t>
      </w:r>
      <w:r w:rsidR="00163F7A" w:rsidRPr="00EB31F2">
        <w:rPr>
          <w:rFonts w:eastAsia="Times New Roman" w:cstheme="minorHAnsi"/>
          <w:color w:val="222222"/>
          <w:szCs w:val="24"/>
        </w:rPr>
        <w:t xml:space="preserve"> unnecessarily high amount of systemic corticosteroid exposure which d</w:t>
      </w:r>
      <w:r w:rsidR="00D55D71" w:rsidRPr="00EB31F2">
        <w:rPr>
          <w:rFonts w:eastAsia="Times New Roman" w:cstheme="minorHAnsi"/>
          <w:color w:val="222222"/>
          <w:szCs w:val="24"/>
        </w:rPr>
        <w:t>oes</w:t>
      </w:r>
      <w:r w:rsidR="00163F7A" w:rsidRPr="00EB31F2">
        <w:rPr>
          <w:rFonts w:eastAsia="Times New Roman" w:cstheme="minorHAnsi"/>
          <w:color w:val="222222"/>
          <w:szCs w:val="24"/>
        </w:rPr>
        <w:t xml:space="preserve"> not align with the current treatment guidelines</w:t>
      </w:r>
      <w:r w:rsidR="00D55D71" w:rsidRPr="00EB31F2">
        <w:rPr>
          <w:rFonts w:eastAsia="Times New Roman" w:cstheme="minorHAnsi"/>
          <w:color w:val="222222"/>
          <w:szCs w:val="24"/>
        </w:rPr>
        <w:t>,</w:t>
      </w:r>
      <w:r w:rsidR="00163F7A" w:rsidRPr="00EB31F2">
        <w:rPr>
          <w:rFonts w:eastAsia="Times New Roman" w:cstheme="minorHAnsi"/>
          <w:color w:val="222222"/>
          <w:szCs w:val="24"/>
        </w:rPr>
        <w:t xml:space="preserve"> and </w:t>
      </w:r>
      <w:r w:rsidR="00D55D71" w:rsidRPr="00EB31F2">
        <w:rPr>
          <w:rFonts w:eastAsia="Times New Roman" w:cstheme="minorHAnsi"/>
          <w:color w:val="222222"/>
          <w:szCs w:val="24"/>
        </w:rPr>
        <w:t xml:space="preserve">that </w:t>
      </w:r>
      <w:r w:rsidRPr="00EB31F2">
        <w:rPr>
          <w:rFonts w:eastAsia="Times New Roman" w:cstheme="minorHAnsi"/>
          <w:color w:val="222222"/>
          <w:szCs w:val="24"/>
        </w:rPr>
        <w:t>moderate use of corticosteroids over a lifetime can place an individual at risk of significant morbidities.</w:t>
      </w:r>
      <w:r w:rsidR="00163F7A" w:rsidRPr="00EB31F2">
        <w:t xml:space="preserve"> </w:t>
      </w:r>
      <w:r w:rsidRPr="00EB31F2">
        <w:t xml:space="preserve">The PBAC also noted input from </w:t>
      </w:r>
      <w:r w:rsidR="00926ECE" w:rsidRPr="00EB31F2">
        <w:t>several health organisations</w:t>
      </w:r>
      <w:r w:rsidR="00847188" w:rsidRPr="00EB31F2">
        <w:t xml:space="preserve"> in support of</w:t>
      </w:r>
      <w:r w:rsidR="00632399" w:rsidRPr="00EB31F2">
        <w:t xml:space="preserve"> the removal of the current OCS criterion, </w:t>
      </w:r>
      <w:r w:rsidR="000B5D35">
        <w:t xml:space="preserve">which </w:t>
      </w:r>
      <w:r w:rsidR="00632399" w:rsidRPr="00EB31F2">
        <w:t>stat</w:t>
      </w:r>
      <w:r w:rsidR="000B5D35">
        <w:t>ed</w:t>
      </w:r>
      <w:r w:rsidR="00632399" w:rsidRPr="00EB31F2">
        <w:t xml:space="preserve"> that </w:t>
      </w:r>
      <w:r w:rsidR="00632399" w:rsidRPr="00EB31F2">
        <w:rPr>
          <w:rFonts w:eastAsia="Times New Roman" w:cstheme="minorHAnsi"/>
          <w:color w:val="222222"/>
          <w:szCs w:val="24"/>
        </w:rPr>
        <w:t xml:space="preserve">the </w:t>
      </w:r>
      <w:r w:rsidR="00847188" w:rsidRPr="00EB31F2">
        <w:rPr>
          <w:rFonts w:eastAsia="Times New Roman" w:cstheme="minorHAnsi"/>
          <w:color w:val="222222"/>
          <w:szCs w:val="24"/>
        </w:rPr>
        <w:t xml:space="preserve">current requirement </w:t>
      </w:r>
      <w:r w:rsidR="00632399" w:rsidRPr="00EB31F2">
        <w:rPr>
          <w:rFonts w:eastAsia="Times New Roman" w:cstheme="minorHAnsi"/>
          <w:color w:val="222222"/>
          <w:szCs w:val="24"/>
        </w:rPr>
        <w:t>promotes excessive OCS prescribing and exposure, and that arbitrary OCS requirements to commence treatment do not improve patient outcomes and may incentivise unnecessary treatment of OCS to enable access to mepolizumab.</w:t>
      </w:r>
      <w:r w:rsidR="00163F7A" w:rsidRPr="00EB31F2">
        <w:rPr>
          <w:rFonts w:eastAsia="Times New Roman" w:cstheme="minorHAnsi"/>
          <w:color w:val="222222"/>
          <w:szCs w:val="24"/>
        </w:rPr>
        <w:t xml:space="preserve"> </w:t>
      </w:r>
    </w:p>
    <w:p w14:paraId="4BC92BAA" w14:textId="6BE4F802" w:rsidR="00847188" w:rsidRPr="00EB31F2" w:rsidRDefault="00847188" w:rsidP="00632399">
      <w:pPr>
        <w:pStyle w:val="3Bodytext"/>
        <w:jc w:val="both"/>
        <w:rPr>
          <w:rFonts w:eastAsia="Times New Roman" w:cstheme="minorHAnsi"/>
          <w:color w:val="222222"/>
          <w:szCs w:val="24"/>
        </w:rPr>
      </w:pPr>
      <w:r w:rsidRPr="00EB31F2">
        <w:rPr>
          <w:rFonts w:eastAsia="Times New Roman" w:cstheme="minorHAnsi"/>
          <w:color w:val="222222"/>
          <w:szCs w:val="24"/>
        </w:rPr>
        <w:t xml:space="preserve">The PBAC recalled </w:t>
      </w:r>
      <w:r w:rsidR="00D559F5" w:rsidRPr="00EB31F2">
        <w:rPr>
          <w:rFonts w:eastAsia="Times New Roman" w:cstheme="minorHAnsi"/>
          <w:color w:val="222222"/>
          <w:szCs w:val="24"/>
        </w:rPr>
        <w:t xml:space="preserve">and noted </w:t>
      </w:r>
      <w:r w:rsidRPr="00EB31F2">
        <w:rPr>
          <w:rFonts w:eastAsia="Times New Roman" w:cstheme="minorHAnsi"/>
          <w:color w:val="222222"/>
          <w:szCs w:val="24"/>
        </w:rPr>
        <w:t xml:space="preserve">the concerns raised </w:t>
      </w:r>
      <w:r w:rsidR="000B5D35">
        <w:rPr>
          <w:rFonts w:eastAsia="Times New Roman" w:cstheme="minorHAnsi"/>
          <w:color w:val="222222"/>
          <w:szCs w:val="24"/>
        </w:rPr>
        <w:t>about</w:t>
      </w:r>
      <w:r w:rsidR="000B5D35" w:rsidRPr="00EB31F2">
        <w:rPr>
          <w:rFonts w:eastAsia="Times New Roman" w:cstheme="minorHAnsi"/>
          <w:color w:val="222222"/>
          <w:szCs w:val="24"/>
        </w:rPr>
        <w:t xml:space="preserve"> </w:t>
      </w:r>
      <w:r w:rsidRPr="00EB31F2">
        <w:rPr>
          <w:rFonts w:eastAsia="Times New Roman" w:cstheme="minorHAnsi"/>
          <w:color w:val="222222"/>
          <w:szCs w:val="24"/>
        </w:rPr>
        <w:t>the high threshold of OCS requirement in the Severe Asthma Stakeholder Meeting</w:t>
      </w:r>
      <w:r w:rsidR="00C61416">
        <w:rPr>
          <w:rFonts w:eastAsia="Times New Roman" w:cstheme="minorHAnsi"/>
          <w:color w:val="222222"/>
          <w:szCs w:val="24"/>
        </w:rPr>
        <w:t xml:space="preserve"> </w:t>
      </w:r>
      <w:r w:rsidR="00F420CB">
        <w:rPr>
          <w:rFonts w:eastAsia="Times New Roman" w:cstheme="minorHAnsi"/>
          <w:color w:val="222222"/>
          <w:szCs w:val="24"/>
        </w:rPr>
        <w:t>(Severe Asthma Stakeholder Meeting Outcome Statement 12-2018</w:t>
      </w:r>
      <w:r w:rsidR="00227AB4">
        <w:rPr>
          <w:rFonts w:eastAsia="Times New Roman" w:cstheme="minorHAnsi"/>
          <w:color w:val="222222"/>
          <w:szCs w:val="24"/>
        </w:rPr>
        <w:t>)</w:t>
      </w:r>
      <w:r w:rsidRPr="00EB31F2">
        <w:rPr>
          <w:rFonts w:eastAsia="Times New Roman" w:cstheme="minorHAnsi"/>
          <w:color w:val="222222"/>
          <w:szCs w:val="24"/>
        </w:rPr>
        <w:t xml:space="preserve">. </w:t>
      </w:r>
    </w:p>
    <w:p w14:paraId="49DA1EAB" w14:textId="42A428BB" w:rsidR="00163F7A" w:rsidRPr="003D60FA" w:rsidRDefault="00632399" w:rsidP="00163F7A">
      <w:pPr>
        <w:pStyle w:val="3Bodytext"/>
        <w:jc w:val="both"/>
        <w:rPr>
          <w:rFonts w:cs="Arial"/>
          <w:snapToGrid w:val="0"/>
        </w:rPr>
      </w:pPr>
      <w:r w:rsidRPr="00EB31F2">
        <w:rPr>
          <w:iCs/>
        </w:rPr>
        <w:t xml:space="preserve">The PBAC </w:t>
      </w:r>
      <w:r w:rsidR="00847188" w:rsidRPr="00EB31F2">
        <w:rPr>
          <w:iCs/>
        </w:rPr>
        <w:t xml:space="preserve">noted the pre-PBAC response reiterated that removal of the OCS criteria ensures alignment with current treatment guidelines and should not broaden patient </w:t>
      </w:r>
      <w:r w:rsidR="00847188" w:rsidRPr="00EB31F2">
        <w:rPr>
          <w:iCs/>
        </w:rPr>
        <w:lastRenderedPageBreak/>
        <w:t>eligibility. The PBAC agreed with the pre-PBAC response and</w:t>
      </w:r>
      <w:r w:rsidRPr="00EB31F2">
        <w:rPr>
          <w:iCs/>
        </w:rPr>
        <w:t xml:space="preserve"> consider</w:t>
      </w:r>
      <w:r w:rsidR="00847188" w:rsidRPr="00EB31F2">
        <w:rPr>
          <w:iCs/>
        </w:rPr>
        <w:t>ed</w:t>
      </w:r>
      <w:r w:rsidRPr="00EB31F2">
        <w:rPr>
          <w:iCs/>
        </w:rPr>
        <w:t xml:space="preserve"> </w:t>
      </w:r>
      <w:r w:rsidR="00847188" w:rsidRPr="00EB31F2">
        <w:rPr>
          <w:iCs/>
        </w:rPr>
        <w:t>the removal of the OCS requirement</w:t>
      </w:r>
      <w:r w:rsidRPr="00EB31F2">
        <w:rPr>
          <w:iCs/>
        </w:rPr>
        <w:t xml:space="preserve"> w</w:t>
      </w:r>
      <w:r w:rsidR="00847188" w:rsidRPr="00EB31F2">
        <w:rPr>
          <w:iCs/>
        </w:rPr>
        <w:t>ould not</w:t>
      </w:r>
      <w:r w:rsidRPr="00EB31F2">
        <w:rPr>
          <w:iCs/>
        </w:rPr>
        <w:t xml:space="preserve"> increase the eligible population and therefore considered there to be nil financial impact</w:t>
      </w:r>
      <w:r w:rsidR="00847188" w:rsidRPr="00EB31F2">
        <w:rPr>
          <w:iCs/>
        </w:rPr>
        <w:t xml:space="preserve"> to the Government. </w:t>
      </w:r>
    </w:p>
    <w:p w14:paraId="3E3540FE" w14:textId="3DEF7E3A" w:rsidR="00632399" w:rsidRPr="003D60FA" w:rsidRDefault="00163F7A" w:rsidP="00163F7A">
      <w:pPr>
        <w:pStyle w:val="3Bodytext"/>
        <w:jc w:val="both"/>
        <w:rPr>
          <w:rFonts w:cs="Arial"/>
          <w:snapToGrid w:val="0"/>
        </w:rPr>
      </w:pPr>
      <w:r w:rsidRPr="00EB31F2">
        <w:rPr>
          <w:iCs/>
        </w:rPr>
        <w:t xml:space="preserve">The PBAC recommended flow-on changes of this amendment to </w:t>
      </w:r>
      <w:r w:rsidR="003553BB" w:rsidRPr="00EB31F2">
        <w:rPr>
          <w:iCs/>
        </w:rPr>
        <w:t xml:space="preserve">the </w:t>
      </w:r>
      <w:r w:rsidRPr="00EB31F2">
        <w:rPr>
          <w:iCs/>
        </w:rPr>
        <w:t xml:space="preserve">other </w:t>
      </w:r>
      <w:r w:rsidR="00D62CBE" w:rsidRPr="00EB31F2">
        <w:rPr>
          <w:iCs/>
        </w:rPr>
        <w:t>PBS-listed biologics for uncontrolled severe asthma</w:t>
      </w:r>
      <w:r w:rsidRPr="00EB31F2">
        <w:rPr>
          <w:iCs/>
        </w:rPr>
        <w:t>.</w:t>
      </w:r>
    </w:p>
    <w:p w14:paraId="35AA4110" w14:textId="4AAD6A3B" w:rsidR="001D1FA1" w:rsidRPr="003D60FA" w:rsidRDefault="001D1FA1" w:rsidP="00632399">
      <w:pPr>
        <w:pStyle w:val="3Bodytext"/>
        <w:jc w:val="both"/>
        <w:rPr>
          <w:rFonts w:cstheme="minorHAnsi"/>
        </w:rPr>
      </w:pPr>
      <w:r w:rsidRPr="003D60FA">
        <w:rPr>
          <w:rFonts w:cstheme="minorHAnsi"/>
        </w:rPr>
        <w:t xml:space="preserve">The PBAC found that the criteria prescribed by the </w:t>
      </w:r>
      <w:r w:rsidRPr="003D60FA">
        <w:rPr>
          <w:rFonts w:cstheme="minorHAnsi"/>
          <w:i/>
        </w:rPr>
        <w:t>National Health (Pharmaceuticals and Vaccines – Cost Recovery) Regulations 2022</w:t>
      </w:r>
      <w:r w:rsidRPr="003D60FA">
        <w:rPr>
          <w:rFonts w:cstheme="minorHAnsi"/>
        </w:rPr>
        <w:t xml:space="preserve"> for Pricing Pathway A were not met. </w:t>
      </w:r>
      <w:r w:rsidR="00632399" w:rsidRPr="003D60FA">
        <w:rPr>
          <w:rFonts w:cstheme="minorHAnsi"/>
        </w:rPr>
        <w:t>Specifically,</w:t>
      </w:r>
      <w:r w:rsidRPr="003D60FA">
        <w:rPr>
          <w:rFonts w:cstheme="minorHAnsi"/>
        </w:rPr>
        <w:t xml:space="preserve"> the PBAC found that in the circumstances of its recommendation for </w:t>
      </w:r>
      <w:r w:rsidR="00632399" w:rsidRPr="003D60FA">
        <w:rPr>
          <w:rFonts w:cstheme="minorHAnsi"/>
        </w:rPr>
        <w:t xml:space="preserve">the amendment to the clinical criteria for mepolizumab for </w:t>
      </w:r>
      <w:r w:rsidR="00A440D5" w:rsidRPr="003D60FA">
        <w:rPr>
          <w:rFonts w:cstheme="minorHAnsi"/>
        </w:rPr>
        <w:t>uncontrolled severe asthma</w:t>
      </w:r>
      <w:r w:rsidR="00632399" w:rsidRPr="003D60FA">
        <w:rPr>
          <w:rFonts w:cstheme="minorHAnsi"/>
        </w:rPr>
        <w:t xml:space="preserve">, the removal of OCS requirements </w:t>
      </w:r>
      <w:r w:rsidRPr="003D60FA">
        <w:rPr>
          <w:rFonts w:cstheme="minorHAnsi"/>
        </w:rPr>
        <w:t>is</w:t>
      </w:r>
      <w:r w:rsidR="00632399" w:rsidRPr="003D60FA">
        <w:rPr>
          <w:rFonts w:cstheme="minorHAnsi"/>
        </w:rPr>
        <w:t xml:space="preserve"> not</w:t>
      </w:r>
      <w:r w:rsidRPr="003D60FA">
        <w:rPr>
          <w:rFonts w:cstheme="minorHAnsi"/>
        </w:rPr>
        <w:t xml:space="preserve"> expected to address a high and urgent unmet clinical need</w:t>
      </w:r>
      <w:r w:rsidR="00632399" w:rsidRPr="003D60FA">
        <w:rPr>
          <w:rFonts w:cstheme="minorHAnsi"/>
        </w:rPr>
        <w:t>.</w:t>
      </w:r>
    </w:p>
    <w:p w14:paraId="40E03848" w14:textId="3DBC4997" w:rsidR="001D1FA1" w:rsidRPr="003D60FA" w:rsidRDefault="001D1FA1" w:rsidP="0076018E">
      <w:pPr>
        <w:widowControl w:val="0"/>
        <w:rPr>
          <w:rFonts w:asciiTheme="minorHAnsi" w:hAnsiTheme="minorHAnsi" w:cs="Arial"/>
          <w:b/>
          <w:bCs/>
          <w:snapToGrid w:val="0"/>
        </w:rPr>
      </w:pPr>
      <w:r w:rsidRPr="003D60FA">
        <w:rPr>
          <w:rFonts w:asciiTheme="minorHAnsi" w:hAnsiTheme="minorHAnsi" w:cs="Arial"/>
          <w:b/>
          <w:bCs/>
          <w:snapToGrid w:val="0"/>
        </w:rPr>
        <w:t>Outcome:</w:t>
      </w:r>
    </w:p>
    <w:p w14:paraId="3459CE97" w14:textId="00CA539C" w:rsidR="001D1FA1" w:rsidRPr="003D60FA" w:rsidRDefault="001D1FA1" w:rsidP="0076018E">
      <w:pPr>
        <w:spacing w:after="120"/>
        <w:rPr>
          <w:rFonts w:asciiTheme="minorHAnsi" w:hAnsiTheme="minorHAnsi" w:cs="Arial"/>
          <w:bCs/>
          <w:snapToGrid w:val="0"/>
        </w:rPr>
      </w:pPr>
      <w:r w:rsidRPr="003D60FA">
        <w:rPr>
          <w:rFonts w:asciiTheme="minorHAnsi" w:hAnsiTheme="minorHAnsi" w:cs="Arial"/>
          <w:bCs/>
          <w:snapToGrid w:val="0"/>
        </w:rPr>
        <w:t>Recommended</w:t>
      </w:r>
    </w:p>
    <w:p w14:paraId="65A4D4EC" w14:textId="561E0C17" w:rsidR="0084658D" w:rsidRPr="00EB31F2" w:rsidRDefault="0084658D" w:rsidP="0084658D">
      <w:pPr>
        <w:pStyle w:val="3Bodytext"/>
        <w:jc w:val="both"/>
        <w:rPr>
          <w:rFonts w:cs="Arial"/>
          <w:b/>
          <w:bCs/>
          <w:snapToGrid w:val="0"/>
        </w:rPr>
      </w:pPr>
      <w:r w:rsidRPr="003D60FA">
        <w:rPr>
          <w:rFonts w:cs="Arial"/>
          <w:bCs/>
          <w:snapToGrid w:val="0"/>
        </w:rPr>
        <w:t xml:space="preserve">The PBAC noted that this recommendation is not eligible for an Independent Review </w:t>
      </w:r>
      <w:r w:rsidR="00557365" w:rsidRPr="003D60FA">
        <w:rPr>
          <w:rFonts w:cs="Arial"/>
          <w:bCs/>
          <w:snapToGrid w:val="0"/>
        </w:rPr>
        <w:t xml:space="preserve">as it was not seeking a change to the listing that includes a new indication, objectively subtype of disease or new population, and </w:t>
      </w:r>
      <w:r w:rsidRPr="003D60FA">
        <w:rPr>
          <w:rFonts w:cs="Arial"/>
          <w:bCs/>
          <w:snapToGrid w:val="0"/>
        </w:rPr>
        <w:t>it received a positive recommendation for the amendment to OCS clinical criteria.</w:t>
      </w:r>
    </w:p>
    <w:bookmarkEnd w:id="20"/>
    <w:p w14:paraId="3E4C635F" w14:textId="77777777" w:rsidR="001D1FA1" w:rsidRPr="00EB31F2" w:rsidRDefault="001D1FA1" w:rsidP="00F420CB">
      <w:pPr>
        <w:pStyle w:val="Heading1"/>
        <w:keepLines/>
        <w:numPr>
          <w:ilvl w:val="0"/>
          <w:numId w:val="1"/>
        </w:numPr>
        <w:spacing w:before="240"/>
        <w:ind w:left="709" w:hanging="709"/>
        <w:rPr>
          <w:sz w:val="32"/>
          <w:szCs w:val="32"/>
        </w:rPr>
      </w:pPr>
      <w:r w:rsidRPr="00EB31F2">
        <w:rPr>
          <w:sz w:val="32"/>
          <w:szCs w:val="32"/>
        </w:rPr>
        <w:t>Recommended listing</w:t>
      </w:r>
    </w:p>
    <w:p w14:paraId="38ED6D53" w14:textId="3B699CA0" w:rsidR="00600D07" w:rsidRPr="00EB31F2" w:rsidRDefault="001D1FA1" w:rsidP="00240123">
      <w:pPr>
        <w:widowControl w:val="0"/>
        <w:numPr>
          <w:ilvl w:val="1"/>
          <w:numId w:val="1"/>
        </w:numPr>
        <w:spacing w:after="120"/>
        <w:rPr>
          <w:rFonts w:asciiTheme="minorHAnsi" w:hAnsiTheme="minorHAnsi" w:cs="Arial"/>
          <w:bCs/>
          <w:snapToGrid w:val="0"/>
        </w:rPr>
      </w:pPr>
      <w:r w:rsidRPr="003D60FA">
        <w:rPr>
          <w:rFonts w:asciiTheme="minorHAnsi" w:hAnsiTheme="minorHAnsi" w:cs="Arial"/>
          <w:bCs/>
          <w:snapToGrid w:val="0"/>
        </w:rPr>
        <w:t>Amend</w:t>
      </w:r>
      <w:r w:rsidRPr="00EB31F2">
        <w:rPr>
          <w:rFonts w:asciiTheme="minorHAnsi" w:hAnsiTheme="minorHAnsi" w:cs="Arial"/>
          <w:bCs/>
          <w:snapToGrid w:val="0"/>
        </w:rPr>
        <w:t xml:space="preserve"> existing listing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850"/>
        <w:gridCol w:w="2668"/>
        <w:gridCol w:w="811"/>
        <w:gridCol w:w="812"/>
        <w:gridCol w:w="811"/>
        <w:gridCol w:w="812"/>
        <w:gridCol w:w="1831"/>
      </w:tblGrid>
      <w:tr w:rsidR="00600D07" w:rsidRPr="00EB31F2" w14:paraId="3665304E" w14:textId="77777777" w:rsidTr="004E52D1">
        <w:trPr>
          <w:cantSplit/>
          <w:trHeight w:val="20"/>
        </w:trPr>
        <w:tc>
          <w:tcPr>
            <w:tcW w:w="3939" w:type="dxa"/>
            <w:gridSpan w:val="3"/>
            <w:vAlign w:val="center"/>
          </w:tcPr>
          <w:p w14:paraId="0787DA27" w14:textId="77777777" w:rsidR="00600D07" w:rsidRPr="00EB31F2" w:rsidRDefault="00600D07">
            <w:pPr>
              <w:keepLines/>
              <w:rPr>
                <w:rFonts w:ascii="Arial Narrow" w:hAnsi="Arial Narrow" w:cs="Arial"/>
                <w:b/>
                <w:bCs/>
                <w:sz w:val="20"/>
                <w:szCs w:val="20"/>
              </w:rPr>
            </w:pPr>
            <w:r w:rsidRPr="00EB31F2">
              <w:rPr>
                <w:rFonts w:ascii="Arial Narrow" w:hAnsi="Arial Narrow" w:cs="Arial"/>
                <w:b/>
                <w:bCs/>
                <w:sz w:val="20"/>
                <w:szCs w:val="20"/>
              </w:rPr>
              <w:t>MEDICINAL PRODUCT</w:t>
            </w:r>
          </w:p>
          <w:p w14:paraId="01C8CB36" w14:textId="77777777" w:rsidR="00600D07" w:rsidRPr="00EB31F2" w:rsidRDefault="00600D07">
            <w:pPr>
              <w:keepLines/>
              <w:rPr>
                <w:rFonts w:ascii="Arial Narrow" w:hAnsi="Arial Narrow" w:cs="Arial"/>
                <w:b/>
                <w:sz w:val="20"/>
                <w:szCs w:val="20"/>
              </w:rPr>
            </w:pPr>
            <w:r w:rsidRPr="00EB31F2">
              <w:rPr>
                <w:rFonts w:ascii="Arial Narrow" w:hAnsi="Arial Narrow" w:cs="Arial"/>
                <w:b/>
                <w:bCs/>
                <w:sz w:val="20"/>
                <w:szCs w:val="20"/>
              </w:rPr>
              <w:t>medicinal product pack</w:t>
            </w:r>
          </w:p>
        </w:tc>
        <w:tc>
          <w:tcPr>
            <w:tcW w:w="811" w:type="dxa"/>
            <w:vAlign w:val="center"/>
          </w:tcPr>
          <w:p w14:paraId="0F287D35" w14:textId="77777777" w:rsidR="00600D07" w:rsidRPr="00EB31F2" w:rsidRDefault="00600D07">
            <w:pPr>
              <w:keepLines/>
              <w:jc w:val="center"/>
              <w:rPr>
                <w:rFonts w:ascii="Arial Narrow" w:hAnsi="Arial Narrow" w:cs="Arial"/>
                <w:b/>
                <w:sz w:val="20"/>
                <w:szCs w:val="20"/>
              </w:rPr>
            </w:pPr>
            <w:r w:rsidRPr="00EB31F2">
              <w:rPr>
                <w:rFonts w:ascii="Arial Narrow" w:hAnsi="Arial Narrow" w:cs="Arial"/>
                <w:b/>
                <w:sz w:val="20"/>
                <w:szCs w:val="20"/>
              </w:rPr>
              <w:t>PBS item code</w:t>
            </w:r>
          </w:p>
        </w:tc>
        <w:tc>
          <w:tcPr>
            <w:tcW w:w="812" w:type="dxa"/>
            <w:vAlign w:val="center"/>
          </w:tcPr>
          <w:p w14:paraId="1F5822A4" w14:textId="77777777" w:rsidR="00600D07" w:rsidRPr="00EB31F2" w:rsidRDefault="00600D07">
            <w:pPr>
              <w:keepLines/>
              <w:jc w:val="center"/>
              <w:rPr>
                <w:rFonts w:ascii="Arial Narrow" w:hAnsi="Arial Narrow" w:cs="Arial"/>
                <w:b/>
                <w:sz w:val="20"/>
                <w:szCs w:val="20"/>
              </w:rPr>
            </w:pPr>
            <w:r w:rsidRPr="00EB31F2">
              <w:rPr>
                <w:rFonts w:ascii="Arial Narrow" w:hAnsi="Arial Narrow" w:cs="Arial"/>
                <w:b/>
                <w:sz w:val="20"/>
                <w:szCs w:val="20"/>
              </w:rPr>
              <w:t>Max. qty packs</w:t>
            </w:r>
          </w:p>
        </w:tc>
        <w:tc>
          <w:tcPr>
            <w:tcW w:w="811" w:type="dxa"/>
            <w:vAlign w:val="center"/>
          </w:tcPr>
          <w:p w14:paraId="1335A388" w14:textId="77777777" w:rsidR="00600D07" w:rsidRPr="00EB31F2" w:rsidRDefault="00600D07">
            <w:pPr>
              <w:keepLines/>
              <w:jc w:val="center"/>
              <w:rPr>
                <w:rFonts w:ascii="Arial Narrow" w:hAnsi="Arial Narrow" w:cs="Arial"/>
                <w:b/>
                <w:sz w:val="20"/>
                <w:szCs w:val="20"/>
              </w:rPr>
            </w:pPr>
            <w:r w:rsidRPr="00EB31F2">
              <w:rPr>
                <w:rFonts w:ascii="Arial Narrow" w:hAnsi="Arial Narrow" w:cs="Arial"/>
                <w:b/>
                <w:sz w:val="20"/>
                <w:szCs w:val="20"/>
              </w:rPr>
              <w:t>Max. qty units</w:t>
            </w:r>
          </w:p>
        </w:tc>
        <w:tc>
          <w:tcPr>
            <w:tcW w:w="812" w:type="dxa"/>
            <w:vAlign w:val="center"/>
          </w:tcPr>
          <w:p w14:paraId="0BCF437E" w14:textId="314CAE8C" w:rsidR="00600D07" w:rsidRPr="00EB31F2" w:rsidRDefault="00FD73E2">
            <w:pPr>
              <w:keepLines/>
              <w:jc w:val="center"/>
              <w:rPr>
                <w:rFonts w:ascii="Arial Narrow" w:hAnsi="Arial Narrow" w:cs="Arial"/>
                <w:b/>
                <w:sz w:val="20"/>
                <w:szCs w:val="20"/>
              </w:rPr>
            </w:pPr>
            <w:r w:rsidRPr="00EB31F2">
              <w:rPr>
                <w:rFonts w:ascii="Arial Narrow" w:hAnsi="Arial Narrow" w:cs="Arial"/>
                <w:b/>
                <w:sz w:val="20"/>
                <w:szCs w:val="20"/>
              </w:rPr>
              <w:t>№. of</w:t>
            </w:r>
          </w:p>
          <w:p w14:paraId="295CFD42" w14:textId="77777777" w:rsidR="00600D07" w:rsidRPr="00EB31F2" w:rsidRDefault="00600D07">
            <w:pPr>
              <w:keepLines/>
              <w:jc w:val="center"/>
              <w:rPr>
                <w:rFonts w:ascii="Arial Narrow" w:hAnsi="Arial Narrow" w:cs="Arial"/>
                <w:b/>
                <w:sz w:val="20"/>
                <w:szCs w:val="20"/>
              </w:rPr>
            </w:pPr>
            <w:r w:rsidRPr="00EB31F2">
              <w:rPr>
                <w:rFonts w:ascii="Arial Narrow" w:hAnsi="Arial Narrow" w:cs="Arial"/>
                <w:b/>
                <w:sz w:val="20"/>
                <w:szCs w:val="20"/>
              </w:rPr>
              <w:t>Rpts</w:t>
            </w:r>
          </w:p>
        </w:tc>
        <w:tc>
          <w:tcPr>
            <w:tcW w:w="1831" w:type="dxa"/>
            <w:vAlign w:val="center"/>
          </w:tcPr>
          <w:p w14:paraId="6F6CA790" w14:textId="77777777" w:rsidR="00600D07" w:rsidRPr="00EB31F2" w:rsidRDefault="00600D07">
            <w:pPr>
              <w:keepLines/>
              <w:rPr>
                <w:rFonts w:ascii="Arial Narrow" w:hAnsi="Arial Narrow" w:cs="Arial"/>
                <w:b/>
                <w:sz w:val="20"/>
                <w:szCs w:val="20"/>
              </w:rPr>
            </w:pPr>
            <w:r w:rsidRPr="00EB31F2">
              <w:rPr>
                <w:rFonts w:ascii="Arial Narrow" w:hAnsi="Arial Narrow" w:cs="Arial"/>
                <w:b/>
                <w:sz w:val="20"/>
                <w:szCs w:val="20"/>
              </w:rPr>
              <w:t>Available brands</w:t>
            </w:r>
          </w:p>
        </w:tc>
      </w:tr>
      <w:tr w:rsidR="00600D07" w:rsidRPr="00EB31F2" w14:paraId="50DDE7B6" w14:textId="77777777" w:rsidTr="004E52D1">
        <w:trPr>
          <w:cantSplit/>
          <w:trHeight w:val="20"/>
        </w:trPr>
        <w:tc>
          <w:tcPr>
            <w:tcW w:w="9016" w:type="dxa"/>
            <w:gridSpan w:val="8"/>
            <w:vAlign w:val="center"/>
          </w:tcPr>
          <w:p w14:paraId="62FAF6E0" w14:textId="77777777" w:rsidR="00600D07" w:rsidRPr="00EB31F2" w:rsidRDefault="00600D07">
            <w:pPr>
              <w:keepLines/>
              <w:rPr>
                <w:rFonts w:ascii="Arial Narrow" w:hAnsi="Arial Narrow" w:cs="Arial"/>
                <w:sz w:val="20"/>
                <w:szCs w:val="20"/>
              </w:rPr>
            </w:pPr>
            <w:r w:rsidRPr="00EB31F2">
              <w:rPr>
                <w:rFonts w:ascii="Arial Narrow" w:hAnsi="Arial Narrow" w:cs="Arial"/>
                <w:sz w:val="20"/>
                <w:szCs w:val="20"/>
              </w:rPr>
              <w:t>MEPOLIZUMAB</w:t>
            </w:r>
          </w:p>
        </w:tc>
      </w:tr>
      <w:tr w:rsidR="00600D07" w:rsidRPr="00EB31F2" w14:paraId="2DA5939F" w14:textId="77777777">
        <w:trPr>
          <w:cantSplit/>
          <w:trHeight w:val="20"/>
        </w:trPr>
        <w:tc>
          <w:tcPr>
            <w:tcW w:w="3939" w:type="dxa"/>
            <w:gridSpan w:val="3"/>
            <w:vMerge w:val="restart"/>
            <w:vAlign w:val="center"/>
          </w:tcPr>
          <w:p w14:paraId="6C0F0004" w14:textId="77777777" w:rsidR="00600D07" w:rsidRPr="00EB31F2" w:rsidRDefault="00600D07">
            <w:pPr>
              <w:keepLines/>
              <w:rPr>
                <w:rFonts w:ascii="Arial Narrow" w:hAnsi="Arial Narrow" w:cs="Arial"/>
                <w:sz w:val="20"/>
                <w:szCs w:val="20"/>
              </w:rPr>
            </w:pPr>
            <w:r w:rsidRPr="00EB31F2">
              <w:rPr>
                <w:rFonts w:ascii="Arial Narrow" w:hAnsi="Arial Narrow" w:cs="Arial"/>
                <w:sz w:val="20"/>
                <w:szCs w:val="20"/>
              </w:rPr>
              <w:t>mepolizumab 100 mg injection, 1 vial</w:t>
            </w:r>
          </w:p>
        </w:tc>
        <w:tc>
          <w:tcPr>
            <w:tcW w:w="811" w:type="dxa"/>
            <w:vAlign w:val="center"/>
          </w:tcPr>
          <w:p w14:paraId="16807D8F" w14:textId="77777777" w:rsidR="00600D07" w:rsidRPr="00EB31F2" w:rsidRDefault="00600D07">
            <w:pPr>
              <w:keepLines/>
              <w:jc w:val="center"/>
              <w:rPr>
                <w:rFonts w:ascii="Arial Narrow" w:hAnsi="Arial Narrow" w:cs="Arial"/>
                <w:sz w:val="20"/>
                <w:szCs w:val="20"/>
              </w:rPr>
            </w:pPr>
            <w:r w:rsidRPr="00EB31F2">
              <w:rPr>
                <w:rFonts w:ascii="Arial Narrow" w:hAnsi="Arial Narrow" w:cs="Arial"/>
                <w:sz w:val="20"/>
                <w:szCs w:val="20"/>
              </w:rPr>
              <w:t>10996R</w:t>
            </w:r>
          </w:p>
        </w:tc>
        <w:tc>
          <w:tcPr>
            <w:tcW w:w="812" w:type="dxa"/>
            <w:vMerge w:val="restart"/>
            <w:vAlign w:val="center"/>
          </w:tcPr>
          <w:p w14:paraId="5A5DA433" w14:textId="77777777" w:rsidR="00600D07" w:rsidRPr="00EB31F2" w:rsidRDefault="00600D07">
            <w:pPr>
              <w:keepLines/>
              <w:jc w:val="center"/>
              <w:rPr>
                <w:rFonts w:ascii="Arial Narrow" w:hAnsi="Arial Narrow" w:cs="Arial"/>
                <w:sz w:val="20"/>
                <w:szCs w:val="20"/>
              </w:rPr>
            </w:pPr>
            <w:r w:rsidRPr="00EB31F2">
              <w:rPr>
                <w:rFonts w:ascii="Arial Narrow" w:hAnsi="Arial Narrow" w:cs="Arial"/>
                <w:sz w:val="20"/>
                <w:szCs w:val="20"/>
              </w:rPr>
              <w:t>1</w:t>
            </w:r>
          </w:p>
        </w:tc>
        <w:tc>
          <w:tcPr>
            <w:tcW w:w="811" w:type="dxa"/>
            <w:vMerge w:val="restart"/>
            <w:vAlign w:val="center"/>
          </w:tcPr>
          <w:p w14:paraId="55711CC8" w14:textId="77777777" w:rsidR="00600D07" w:rsidRPr="00EB31F2" w:rsidRDefault="00600D07">
            <w:pPr>
              <w:keepLines/>
              <w:jc w:val="center"/>
              <w:rPr>
                <w:rFonts w:ascii="Arial Narrow" w:hAnsi="Arial Narrow" w:cs="Arial"/>
                <w:sz w:val="20"/>
                <w:szCs w:val="20"/>
              </w:rPr>
            </w:pPr>
            <w:r w:rsidRPr="00EB31F2">
              <w:rPr>
                <w:rFonts w:ascii="Arial Narrow" w:hAnsi="Arial Narrow" w:cs="Arial"/>
                <w:sz w:val="20"/>
                <w:szCs w:val="20"/>
              </w:rPr>
              <w:t>1</w:t>
            </w:r>
          </w:p>
        </w:tc>
        <w:tc>
          <w:tcPr>
            <w:tcW w:w="812" w:type="dxa"/>
            <w:vMerge w:val="restart"/>
            <w:vAlign w:val="center"/>
          </w:tcPr>
          <w:p w14:paraId="6F69FFD7" w14:textId="77777777" w:rsidR="00600D07" w:rsidRPr="00EB31F2" w:rsidRDefault="00600D07">
            <w:pPr>
              <w:keepLines/>
              <w:jc w:val="center"/>
              <w:rPr>
                <w:rFonts w:ascii="Arial Narrow" w:hAnsi="Arial Narrow" w:cs="Arial"/>
                <w:sz w:val="20"/>
                <w:szCs w:val="20"/>
              </w:rPr>
            </w:pPr>
            <w:r w:rsidRPr="00EB31F2">
              <w:rPr>
                <w:rFonts w:ascii="Arial Narrow" w:hAnsi="Arial Narrow" w:cs="Arial"/>
                <w:sz w:val="20"/>
                <w:szCs w:val="20"/>
              </w:rPr>
              <w:t>7</w:t>
            </w:r>
          </w:p>
        </w:tc>
        <w:tc>
          <w:tcPr>
            <w:tcW w:w="1831" w:type="dxa"/>
            <w:vMerge w:val="restart"/>
            <w:vAlign w:val="center"/>
          </w:tcPr>
          <w:p w14:paraId="5088DD7B" w14:textId="77777777" w:rsidR="00600D07" w:rsidRPr="00EB31F2" w:rsidRDefault="00600D07">
            <w:pPr>
              <w:keepLines/>
              <w:rPr>
                <w:rFonts w:ascii="Arial Narrow" w:hAnsi="Arial Narrow" w:cs="Arial"/>
                <w:sz w:val="20"/>
                <w:szCs w:val="20"/>
              </w:rPr>
            </w:pPr>
            <w:r w:rsidRPr="00EB31F2">
              <w:rPr>
                <w:rFonts w:ascii="Arial Narrow" w:hAnsi="Arial Narrow" w:cs="Arial"/>
                <w:sz w:val="20"/>
                <w:szCs w:val="20"/>
              </w:rPr>
              <w:t>Nucala</w:t>
            </w:r>
          </w:p>
        </w:tc>
      </w:tr>
      <w:tr w:rsidR="00600D07" w:rsidRPr="00EB31F2" w14:paraId="1F24613F" w14:textId="77777777">
        <w:trPr>
          <w:cantSplit/>
          <w:trHeight w:val="20"/>
        </w:trPr>
        <w:tc>
          <w:tcPr>
            <w:tcW w:w="3939" w:type="dxa"/>
            <w:gridSpan w:val="3"/>
            <w:vMerge/>
            <w:vAlign w:val="center"/>
          </w:tcPr>
          <w:p w14:paraId="441D0FBB" w14:textId="77777777" w:rsidR="00600D07" w:rsidRPr="00EB31F2" w:rsidRDefault="00600D07">
            <w:pPr>
              <w:keepLines/>
              <w:rPr>
                <w:rFonts w:ascii="Arial Narrow" w:hAnsi="Arial Narrow" w:cs="Arial"/>
                <w:sz w:val="20"/>
                <w:szCs w:val="20"/>
              </w:rPr>
            </w:pPr>
          </w:p>
        </w:tc>
        <w:tc>
          <w:tcPr>
            <w:tcW w:w="811" w:type="dxa"/>
            <w:vAlign w:val="center"/>
          </w:tcPr>
          <w:p w14:paraId="29F15206" w14:textId="77777777" w:rsidR="00600D07" w:rsidRPr="00EB31F2" w:rsidRDefault="00600D07">
            <w:pPr>
              <w:keepLines/>
              <w:jc w:val="center"/>
              <w:rPr>
                <w:rFonts w:ascii="Arial Narrow" w:hAnsi="Arial Narrow" w:cs="Arial"/>
                <w:sz w:val="20"/>
                <w:szCs w:val="20"/>
              </w:rPr>
            </w:pPr>
            <w:r w:rsidRPr="00EB31F2">
              <w:rPr>
                <w:rFonts w:ascii="Arial Narrow" w:hAnsi="Arial Narrow" w:cs="Arial"/>
                <w:sz w:val="20"/>
                <w:szCs w:val="20"/>
              </w:rPr>
              <w:t>11003D</w:t>
            </w:r>
          </w:p>
        </w:tc>
        <w:tc>
          <w:tcPr>
            <w:tcW w:w="812" w:type="dxa"/>
            <w:vMerge/>
            <w:vAlign w:val="center"/>
          </w:tcPr>
          <w:p w14:paraId="29E488E5" w14:textId="77777777" w:rsidR="00600D07" w:rsidRPr="00EB31F2" w:rsidRDefault="00600D07">
            <w:pPr>
              <w:keepLines/>
              <w:jc w:val="center"/>
              <w:rPr>
                <w:rFonts w:ascii="Arial Narrow" w:hAnsi="Arial Narrow" w:cs="Arial"/>
                <w:sz w:val="20"/>
                <w:szCs w:val="20"/>
              </w:rPr>
            </w:pPr>
          </w:p>
        </w:tc>
        <w:tc>
          <w:tcPr>
            <w:tcW w:w="811" w:type="dxa"/>
            <w:vMerge/>
            <w:vAlign w:val="center"/>
          </w:tcPr>
          <w:p w14:paraId="3F64956E" w14:textId="77777777" w:rsidR="00600D07" w:rsidRPr="00EB31F2" w:rsidRDefault="00600D07">
            <w:pPr>
              <w:keepLines/>
              <w:jc w:val="center"/>
              <w:rPr>
                <w:rFonts w:ascii="Arial Narrow" w:hAnsi="Arial Narrow" w:cs="Arial"/>
                <w:sz w:val="20"/>
                <w:szCs w:val="20"/>
              </w:rPr>
            </w:pPr>
          </w:p>
        </w:tc>
        <w:tc>
          <w:tcPr>
            <w:tcW w:w="812" w:type="dxa"/>
            <w:vMerge/>
            <w:vAlign w:val="center"/>
          </w:tcPr>
          <w:p w14:paraId="10C56771" w14:textId="77777777" w:rsidR="00600D07" w:rsidRPr="00EB31F2" w:rsidRDefault="00600D07">
            <w:pPr>
              <w:keepLines/>
              <w:jc w:val="center"/>
              <w:rPr>
                <w:rFonts w:ascii="Arial Narrow" w:hAnsi="Arial Narrow" w:cs="Arial"/>
                <w:sz w:val="20"/>
                <w:szCs w:val="20"/>
              </w:rPr>
            </w:pPr>
          </w:p>
        </w:tc>
        <w:tc>
          <w:tcPr>
            <w:tcW w:w="1831" w:type="dxa"/>
            <w:vMerge/>
            <w:vAlign w:val="center"/>
          </w:tcPr>
          <w:p w14:paraId="001E22A9" w14:textId="77777777" w:rsidR="00600D07" w:rsidRPr="00EB31F2" w:rsidRDefault="00600D07">
            <w:pPr>
              <w:keepLines/>
              <w:rPr>
                <w:rFonts w:ascii="Arial Narrow" w:hAnsi="Arial Narrow" w:cs="Arial"/>
                <w:sz w:val="20"/>
                <w:szCs w:val="20"/>
              </w:rPr>
            </w:pPr>
          </w:p>
        </w:tc>
      </w:tr>
      <w:tr w:rsidR="00600D07" w:rsidRPr="00EB31F2" w14:paraId="0F9DCF8F" w14:textId="77777777">
        <w:trPr>
          <w:cantSplit/>
          <w:trHeight w:val="20"/>
        </w:trPr>
        <w:tc>
          <w:tcPr>
            <w:tcW w:w="3939" w:type="dxa"/>
            <w:gridSpan w:val="3"/>
            <w:vMerge w:val="restart"/>
            <w:vAlign w:val="center"/>
          </w:tcPr>
          <w:p w14:paraId="51B37C0A" w14:textId="77777777" w:rsidR="00600D07" w:rsidRPr="00EB31F2" w:rsidRDefault="00600D07">
            <w:pPr>
              <w:keepLines/>
              <w:rPr>
                <w:rFonts w:ascii="Arial Narrow" w:hAnsi="Arial Narrow" w:cs="Arial"/>
                <w:sz w:val="20"/>
                <w:szCs w:val="20"/>
              </w:rPr>
            </w:pPr>
            <w:r w:rsidRPr="00EB31F2">
              <w:rPr>
                <w:rFonts w:ascii="Arial Narrow" w:hAnsi="Arial Narrow" w:cs="Arial"/>
                <w:sz w:val="20"/>
                <w:szCs w:val="20"/>
              </w:rPr>
              <w:t>mepolizumab 100 mg/mL injection, 1 mL pen device</w:t>
            </w:r>
          </w:p>
        </w:tc>
        <w:tc>
          <w:tcPr>
            <w:tcW w:w="811" w:type="dxa"/>
            <w:vAlign w:val="center"/>
          </w:tcPr>
          <w:p w14:paraId="6DAA5ECD" w14:textId="77777777" w:rsidR="00600D07" w:rsidRPr="00EB31F2" w:rsidRDefault="00600D07">
            <w:pPr>
              <w:keepLines/>
              <w:jc w:val="center"/>
              <w:rPr>
                <w:rFonts w:ascii="Arial Narrow" w:hAnsi="Arial Narrow" w:cs="Arial"/>
                <w:sz w:val="20"/>
                <w:szCs w:val="20"/>
              </w:rPr>
            </w:pPr>
            <w:r w:rsidRPr="00EB31F2">
              <w:rPr>
                <w:rFonts w:ascii="Arial Narrow" w:hAnsi="Arial Narrow" w:cs="Arial"/>
                <w:sz w:val="20"/>
                <w:szCs w:val="20"/>
              </w:rPr>
              <w:t>12007Y</w:t>
            </w:r>
          </w:p>
        </w:tc>
        <w:tc>
          <w:tcPr>
            <w:tcW w:w="812" w:type="dxa"/>
            <w:vMerge/>
            <w:vAlign w:val="center"/>
          </w:tcPr>
          <w:p w14:paraId="3C03D024" w14:textId="77777777" w:rsidR="00600D07" w:rsidRPr="00EB31F2" w:rsidRDefault="00600D07">
            <w:pPr>
              <w:keepLines/>
              <w:jc w:val="center"/>
              <w:rPr>
                <w:rFonts w:ascii="Arial Narrow" w:hAnsi="Arial Narrow" w:cs="Arial"/>
                <w:sz w:val="20"/>
                <w:szCs w:val="20"/>
              </w:rPr>
            </w:pPr>
          </w:p>
        </w:tc>
        <w:tc>
          <w:tcPr>
            <w:tcW w:w="811" w:type="dxa"/>
            <w:vMerge/>
            <w:vAlign w:val="center"/>
          </w:tcPr>
          <w:p w14:paraId="7954BDAE" w14:textId="77777777" w:rsidR="00600D07" w:rsidRPr="00EB31F2" w:rsidRDefault="00600D07">
            <w:pPr>
              <w:keepLines/>
              <w:jc w:val="center"/>
              <w:rPr>
                <w:rFonts w:ascii="Arial Narrow" w:hAnsi="Arial Narrow" w:cs="Arial"/>
                <w:sz w:val="20"/>
                <w:szCs w:val="20"/>
              </w:rPr>
            </w:pPr>
          </w:p>
        </w:tc>
        <w:tc>
          <w:tcPr>
            <w:tcW w:w="812" w:type="dxa"/>
            <w:vMerge/>
            <w:vAlign w:val="center"/>
          </w:tcPr>
          <w:p w14:paraId="42FDBCCA" w14:textId="77777777" w:rsidR="00600D07" w:rsidRPr="00EB31F2" w:rsidRDefault="00600D07">
            <w:pPr>
              <w:keepLines/>
              <w:jc w:val="center"/>
              <w:rPr>
                <w:rFonts w:ascii="Arial Narrow" w:hAnsi="Arial Narrow" w:cs="Arial"/>
                <w:sz w:val="20"/>
                <w:szCs w:val="20"/>
              </w:rPr>
            </w:pPr>
          </w:p>
        </w:tc>
        <w:tc>
          <w:tcPr>
            <w:tcW w:w="1831" w:type="dxa"/>
            <w:vMerge/>
            <w:vAlign w:val="center"/>
          </w:tcPr>
          <w:p w14:paraId="1B405F89" w14:textId="77777777" w:rsidR="00600D07" w:rsidRPr="00EB31F2" w:rsidRDefault="00600D07">
            <w:pPr>
              <w:keepLines/>
              <w:rPr>
                <w:rFonts w:ascii="Arial Narrow" w:hAnsi="Arial Narrow" w:cs="Arial"/>
                <w:sz w:val="20"/>
                <w:szCs w:val="20"/>
              </w:rPr>
            </w:pPr>
          </w:p>
        </w:tc>
      </w:tr>
      <w:tr w:rsidR="00600D07" w:rsidRPr="00EB31F2" w14:paraId="413B42D0" w14:textId="77777777">
        <w:trPr>
          <w:cantSplit/>
          <w:trHeight w:val="20"/>
        </w:trPr>
        <w:tc>
          <w:tcPr>
            <w:tcW w:w="3939" w:type="dxa"/>
            <w:gridSpan w:val="3"/>
            <w:vMerge/>
            <w:vAlign w:val="center"/>
          </w:tcPr>
          <w:p w14:paraId="34304AAF" w14:textId="77777777" w:rsidR="00600D07" w:rsidRPr="00EB31F2" w:rsidRDefault="00600D07">
            <w:pPr>
              <w:keepLines/>
              <w:rPr>
                <w:rFonts w:ascii="Arial Narrow" w:hAnsi="Arial Narrow" w:cs="Arial"/>
                <w:sz w:val="20"/>
                <w:szCs w:val="20"/>
              </w:rPr>
            </w:pPr>
          </w:p>
        </w:tc>
        <w:tc>
          <w:tcPr>
            <w:tcW w:w="811" w:type="dxa"/>
            <w:vAlign w:val="center"/>
          </w:tcPr>
          <w:p w14:paraId="3BADFC15" w14:textId="77777777" w:rsidR="00600D07" w:rsidRPr="00EB31F2" w:rsidRDefault="00600D07">
            <w:pPr>
              <w:keepLines/>
              <w:jc w:val="center"/>
              <w:rPr>
                <w:rFonts w:ascii="Arial Narrow" w:hAnsi="Arial Narrow" w:cs="Arial"/>
                <w:sz w:val="20"/>
                <w:szCs w:val="20"/>
              </w:rPr>
            </w:pPr>
            <w:r w:rsidRPr="00EB31F2">
              <w:rPr>
                <w:rFonts w:ascii="Arial Narrow" w:hAnsi="Arial Narrow" w:cs="Arial"/>
                <w:sz w:val="20"/>
                <w:szCs w:val="20"/>
              </w:rPr>
              <w:t>12051G</w:t>
            </w:r>
          </w:p>
        </w:tc>
        <w:tc>
          <w:tcPr>
            <w:tcW w:w="812" w:type="dxa"/>
            <w:vMerge/>
            <w:vAlign w:val="center"/>
          </w:tcPr>
          <w:p w14:paraId="1CAC89AC" w14:textId="77777777" w:rsidR="00600D07" w:rsidRPr="00EB31F2" w:rsidRDefault="00600D07">
            <w:pPr>
              <w:keepLines/>
              <w:jc w:val="center"/>
              <w:rPr>
                <w:rFonts w:ascii="Arial Narrow" w:hAnsi="Arial Narrow" w:cs="Arial"/>
                <w:sz w:val="20"/>
                <w:szCs w:val="20"/>
              </w:rPr>
            </w:pPr>
          </w:p>
        </w:tc>
        <w:tc>
          <w:tcPr>
            <w:tcW w:w="811" w:type="dxa"/>
            <w:vMerge/>
            <w:vAlign w:val="center"/>
          </w:tcPr>
          <w:p w14:paraId="222A4F5F" w14:textId="77777777" w:rsidR="00600D07" w:rsidRPr="00EB31F2" w:rsidRDefault="00600D07">
            <w:pPr>
              <w:keepLines/>
              <w:jc w:val="center"/>
              <w:rPr>
                <w:rFonts w:ascii="Arial Narrow" w:hAnsi="Arial Narrow" w:cs="Arial"/>
                <w:sz w:val="20"/>
                <w:szCs w:val="20"/>
              </w:rPr>
            </w:pPr>
          </w:p>
        </w:tc>
        <w:tc>
          <w:tcPr>
            <w:tcW w:w="812" w:type="dxa"/>
            <w:vMerge/>
            <w:vAlign w:val="center"/>
          </w:tcPr>
          <w:p w14:paraId="4C33B8B7" w14:textId="77777777" w:rsidR="00600D07" w:rsidRPr="00EB31F2" w:rsidRDefault="00600D07">
            <w:pPr>
              <w:keepLines/>
              <w:jc w:val="center"/>
              <w:rPr>
                <w:rFonts w:ascii="Arial Narrow" w:hAnsi="Arial Narrow" w:cs="Arial"/>
                <w:sz w:val="20"/>
                <w:szCs w:val="20"/>
              </w:rPr>
            </w:pPr>
          </w:p>
        </w:tc>
        <w:tc>
          <w:tcPr>
            <w:tcW w:w="1831" w:type="dxa"/>
            <w:vMerge/>
            <w:vAlign w:val="center"/>
          </w:tcPr>
          <w:p w14:paraId="77423013" w14:textId="77777777" w:rsidR="00600D07" w:rsidRPr="00EB31F2" w:rsidRDefault="00600D07">
            <w:pPr>
              <w:keepLines/>
              <w:rPr>
                <w:rFonts w:ascii="Arial Narrow" w:hAnsi="Arial Narrow" w:cs="Arial"/>
                <w:sz w:val="20"/>
                <w:szCs w:val="20"/>
              </w:rPr>
            </w:pPr>
          </w:p>
        </w:tc>
      </w:tr>
      <w:tr w:rsidR="00600D07" w:rsidRPr="00EB31F2" w14:paraId="35670321"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97EED6C" w14:textId="77777777" w:rsidR="00600D07" w:rsidRPr="00EB31F2" w:rsidRDefault="00600D07">
            <w:pPr>
              <w:rPr>
                <w:rFonts w:ascii="Arial Narrow" w:hAnsi="Arial Narrow" w:cs="Arial"/>
                <w:sz w:val="20"/>
                <w:szCs w:val="20"/>
              </w:rPr>
            </w:pPr>
          </w:p>
        </w:tc>
      </w:tr>
      <w:tr w:rsidR="00732948" w:rsidRPr="002722F7" w14:paraId="2AC48700"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29B4C22" w14:textId="77777777" w:rsidR="00732948" w:rsidRPr="002722F7" w:rsidRDefault="00732948">
            <w:pPr>
              <w:keepLines/>
              <w:rPr>
                <w:rFonts w:ascii="Arial Narrow" w:hAnsi="Arial Narrow" w:cs="Arial"/>
                <w:b/>
                <w:sz w:val="20"/>
                <w:szCs w:val="20"/>
              </w:rPr>
            </w:pPr>
            <w:r w:rsidRPr="002722F7">
              <w:rPr>
                <w:rFonts w:ascii="Arial Narrow" w:hAnsi="Arial Narrow"/>
                <w:b/>
                <w:sz w:val="20"/>
                <w:szCs w:val="20"/>
              </w:rPr>
              <w:t>Restriction Summary 11843 / Treatment of Concept: 11848</w:t>
            </w:r>
          </w:p>
        </w:tc>
      </w:tr>
      <w:tr w:rsidR="00732948" w:rsidRPr="002722F7" w14:paraId="7CDF3717"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507BCBE3" w14:textId="44CDA115" w:rsidR="00732948" w:rsidRPr="002722F7" w:rsidRDefault="00732948">
            <w:pPr>
              <w:jc w:val="center"/>
              <w:rPr>
                <w:rFonts w:ascii="Arial Narrow" w:hAnsi="Arial Narrow" w:cs="Arial"/>
                <w:b/>
                <w:sz w:val="20"/>
                <w:szCs w:val="20"/>
              </w:rPr>
            </w:pPr>
            <w:r w:rsidRPr="002722F7">
              <w:rPr>
                <w:rFonts w:ascii="Arial Narrow" w:hAnsi="Arial Narrow" w:cs="Arial"/>
                <w:b/>
                <w:sz w:val="20"/>
                <w:szCs w:val="20"/>
              </w:rPr>
              <w:t xml:space="preserve">Concept ID </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849A8D8" w14:textId="77777777" w:rsidR="00732948" w:rsidRPr="002722F7" w:rsidRDefault="00732948">
            <w:pPr>
              <w:keepLines/>
              <w:rPr>
                <w:rFonts w:ascii="Arial Narrow" w:hAnsi="Arial Narrow" w:cs="Arial"/>
                <w:sz w:val="20"/>
                <w:szCs w:val="20"/>
              </w:rPr>
            </w:pPr>
            <w:r w:rsidRPr="002722F7">
              <w:rPr>
                <w:rFonts w:ascii="Arial Narrow" w:hAnsi="Arial Narrow" w:cs="Arial"/>
                <w:b/>
                <w:sz w:val="20"/>
                <w:szCs w:val="20"/>
              </w:rPr>
              <w:t xml:space="preserve">Category / Program: </w:t>
            </w:r>
            <w:r w:rsidRPr="002722F7">
              <w:rPr>
                <w:rFonts w:ascii="Arial Narrow" w:hAnsi="Arial Narrow" w:cs="Arial"/>
                <w:sz w:val="20"/>
                <w:szCs w:val="20"/>
              </w:rPr>
              <w:t xml:space="preserve">Section 100 – Highly Specialised Drugs Program </w:t>
            </w:r>
          </w:p>
        </w:tc>
      </w:tr>
      <w:tr w:rsidR="00732948" w:rsidRPr="002722F7" w14:paraId="503C8C13" w14:textId="77777777">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1A515848" w14:textId="77777777" w:rsidR="00732948" w:rsidRPr="002722F7" w:rsidRDefault="00732948">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DB47D6D" w14:textId="77777777" w:rsidR="00732948" w:rsidRPr="002722F7" w:rsidRDefault="00732948">
            <w:pPr>
              <w:keepLines/>
              <w:rPr>
                <w:rFonts w:ascii="Arial Narrow" w:hAnsi="Arial Narrow" w:cs="Arial"/>
                <w:b/>
                <w:sz w:val="20"/>
                <w:szCs w:val="20"/>
              </w:rPr>
            </w:pPr>
            <w:r w:rsidRPr="002722F7">
              <w:rPr>
                <w:rFonts w:ascii="Arial Narrow" w:hAnsi="Arial Narrow" w:cs="Arial"/>
                <w:b/>
                <w:sz w:val="20"/>
                <w:szCs w:val="20"/>
              </w:rPr>
              <w:t xml:space="preserve">Prescriber type: </w:t>
            </w:r>
            <w:r w:rsidRPr="002722F7">
              <w:rPr>
                <w:rFonts w:ascii="Arial Narrow" w:hAnsi="Arial Narrow" w:cs="Arial"/>
                <w:sz w:val="20"/>
                <w:szCs w:val="20"/>
              </w:rPr>
              <w:fldChar w:fldCharType="begin" w:fldLock="1">
                <w:ffData>
                  <w:name w:val=""/>
                  <w:enabled/>
                  <w:calcOnExit w:val="0"/>
                  <w:checkBox>
                    <w:sizeAuto/>
                    <w:default w:val="1"/>
                  </w:checkBox>
                </w:ffData>
              </w:fldChar>
            </w:r>
            <w:r w:rsidRPr="002722F7">
              <w:rPr>
                <w:rFonts w:ascii="Arial Narrow" w:hAnsi="Arial Narrow" w:cs="Arial"/>
                <w:sz w:val="20"/>
                <w:szCs w:val="20"/>
              </w:rPr>
              <w:instrText xml:space="preserve"> FORMCHECKBOX </w:instrText>
            </w:r>
            <w:r w:rsidR="00165390">
              <w:rPr>
                <w:rFonts w:ascii="Arial Narrow" w:hAnsi="Arial Narrow" w:cs="Arial"/>
                <w:sz w:val="20"/>
                <w:szCs w:val="20"/>
              </w:rPr>
            </w:r>
            <w:r w:rsidR="00165390">
              <w:rPr>
                <w:rFonts w:ascii="Arial Narrow" w:hAnsi="Arial Narrow" w:cs="Arial"/>
                <w:sz w:val="20"/>
                <w:szCs w:val="20"/>
              </w:rPr>
              <w:fldChar w:fldCharType="separate"/>
            </w:r>
            <w:r w:rsidRPr="002722F7">
              <w:rPr>
                <w:rFonts w:ascii="Arial Narrow" w:hAnsi="Arial Narrow" w:cs="Arial"/>
                <w:sz w:val="20"/>
                <w:szCs w:val="20"/>
              </w:rPr>
              <w:fldChar w:fldCharType="end"/>
            </w:r>
            <w:r w:rsidRPr="002722F7">
              <w:rPr>
                <w:rFonts w:ascii="Arial Narrow" w:hAnsi="Arial Narrow" w:cs="Arial"/>
                <w:sz w:val="20"/>
                <w:szCs w:val="20"/>
              </w:rPr>
              <w:t>Medical Practitioners</w:t>
            </w:r>
          </w:p>
        </w:tc>
      </w:tr>
      <w:tr w:rsidR="00732948" w:rsidRPr="002722F7" w14:paraId="02940456" w14:textId="77777777">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3DD687B3" w14:textId="77777777" w:rsidR="00732948" w:rsidRPr="002722F7" w:rsidRDefault="00732948">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A20ACDA" w14:textId="77777777" w:rsidR="00732948" w:rsidRPr="002722F7" w:rsidRDefault="00732948">
            <w:pPr>
              <w:keepLines/>
              <w:rPr>
                <w:rFonts w:ascii="Arial Narrow" w:eastAsia="Calibri" w:hAnsi="Arial Narrow" w:cs="Arial"/>
                <w:sz w:val="20"/>
                <w:szCs w:val="20"/>
              </w:rPr>
            </w:pPr>
            <w:r w:rsidRPr="002722F7">
              <w:rPr>
                <w:rFonts w:ascii="Arial Narrow" w:hAnsi="Arial Narrow" w:cs="Arial"/>
                <w:b/>
                <w:sz w:val="20"/>
                <w:szCs w:val="20"/>
              </w:rPr>
              <w:t xml:space="preserve">Restriction type: </w:t>
            </w:r>
            <w:r w:rsidRPr="002722F7">
              <w:rPr>
                <w:rFonts w:ascii="Arial Narrow" w:eastAsia="Calibri" w:hAnsi="Arial Narrow" w:cs="Arial"/>
                <w:sz w:val="20"/>
                <w:szCs w:val="20"/>
              </w:rPr>
              <w:fldChar w:fldCharType="begin" w:fldLock="1">
                <w:ffData>
                  <w:name w:val="Check3"/>
                  <w:enabled/>
                  <w:calcOnExit w:val="0"/>
                  <w:checkBox>
                    <w:sizeAuto/>
                    <w:default w:val="1"/>
                  </w:checkBox>
                </w:ffData>
              </w:fldChar>
            </w:r>
            <w:r w:rsidRPr="002722F7">
              <w:rPr>
                <w:rFonts w:ascii="Arial Narrow" w:eastAsia="Calibri" w:hAnsi="Arial Narrow" w:cs="Arial"/>
                <w:sz w:val="20"/>
                <w:szCs w:val="20"/>
              </w:rPr>
              <w:instrText xml:space="preserve"> FORMCHECKBOX </w:instrText>
            </w:r>
            <w:r w:rsidR="00165390">
              <w:rPr>
                <w:rFonts w:ascii="Arial Narrow" w:eastAsia="Calibri" w:hAnsi="Arial Narrow" w:cs="Arial"/>
                <w:sz w:val="20"/>
                <w:szCs w:val="20"/>
              </w:rPr>
            </w:r>
            <w:r w:rsidR="00165390">
              <w:rPr>
                <w:rFonts w:ascii="Arial Narrow" w:eastAsia="Calibri" w:hAnsi="Arial Narrow" w:cs="Arial"/>
                <w:sz w:val="20"/>
                <w:szCs w:val="20"/>
              </w:rPr>
              <w:fldChar w:fldCharType="separate"/>
            </w:r>
            <w:r w:rsidRPr="002722F7">
              <w:rPr>
                <w:rFonts w:ascii="Arial Narrow" w:eastAsia="Calibri" w:hAnsi="Arial Narrow" w:cs="Arial"/>
                <w:sz w:val="20"/>
                <w:szCs w:val="20"/>
              </w:rPr>
              <w:fldChar w:fldCharType="end"/>
            </w:r>
            <w:r w:rsidRPr="002722F7">
              <w:rPr>
                <w:rFonts w:ascii="Arial Narrow" w:eastAsia="Calibri" w:hAnsi="Arial Narrow" w:cs="Arial"/>
                <w:sz w:val="20"/>
                <w:szCs w:val="20"/>
              </w:rPr>
              <w:t xml:space="preserve">Authority Required </w:t>
            </w:r>
            <w:r w:rsidRPr="00A1043A">
              <w:rPr>
                <w:rFonts w:ascii="Arial Narrow" w:eastAsia="Calibri" w:hAnsi="Arial Narrow" w:cs="Arial"/>
                <w:sz w:val="20"/>
                <w:szCs w:val="20"/>
              </w:rPr>
              <w:t>(in writing) – Postal/HPOS upload</w:t>
            </w:r>
            <w:r w:rsidRPr="002722F7">
              <w:rPr>
                <w:rFonts w:ascii="Arial Narrow" w:eastAsia="Calibri" w:hAnsi="Arial Narrow" w:cs="Arial"/>
                <w:sz w:val="20"/>
                <w:szCs w:val="20"/>
              </w:rPr>
              <w:t xml:space="preserve"> </w:t>
            </w:r>
          </w:p>
        </w:tc>
      </w:tr>
      <w:tr w:rsidR="00732948" w:rsidRPr="002722F7" w14:paraId="7A860152" w14:textId="77777777">
        <w:tblPrEx>
          <w:tblCellMar>
            <w:top w:w="15" w:type="dxa"/>
            <w:bottom w:w="15" w:type="dxa"/>
          </w:tblCellMar>
          <w:tblLook w:val="04A0" w:firstRow="1" w:lastRow="0" w:firstColumn="1" w:lastColumn="0" w:noHBand="0" w:noVBand="1"/>
        </w:tblPrEx>
        <w:trPr>
          <w:trHeight w:val="20"/>
        </w:trPr>
        <w:tc>
          <w:tcPr>
            <w:tcW w:w="421" w:type="dxa"/>
            <w:vMerge w:val="restart"/>
            <w:tcBorders>
              <w:left w:val="single" w:sz="4" w:space="0" w:color="auto"/>
              <w:right w:val="single" w:sz="4" w:space="0" w:color="auto"/>
            </w:tcBorders>
            <w:textDirection w:val="btLr"/>
            <w:vAlign w:val="center"/>
          </w:tcPr>
          <w:p w14:paraId="03770241" w14:textId="77777777" w:rsidR="00732948" w:rsidRPr="002722F7" w:rsidRDefault="00732948">
            <w:pPr>
              <w:jc w:val="center"/>
              <w:rPr>
                <w:rFonts w:ascii="Arial Narrow" w:hAnsi="Arial Narrow" w:cs="Arial"/>
                <w:sz w:val="20"/>
                <w:szCs w:val="20"/>
              </w:rPr>
            </w:pPr>
            <w:r w:rsidRPr="002722F7">
              <w:rPr>
                <w:rFonts w:ascii="Arial Narrow" w:hAnsi="Arial Narrow" w:cs="Arial"/>
                <w:sz w:val="20"/>
                <w:szCs w:val="20"/>
              </w:rPr>
              <w:t>Prescribing rule level</w:t>
            </w:r>
          </w:p>
        </w:tc>
        <w:tc>
          <w:tcPr>
            <w:tcW w:w="850" w:type="dxa"/>
            <w:vAlign w:val="center"/>
          </w:tcPr>
          <w:p w14:paraId="5B6928B1" w14:textId="424CEDF5" w:rsidR="00732948" w:rsidRPr="002722F7" w:rsidRDefault="00732948">
            <w:pPr>
              <w:jc w:val="center"/>
              <w:rPr>
                <w:rFonts w:ascii="Arial Narrow" w:hAnsi="Arial Narrow"/>
                <w:sz w:val="20"/>
                <w:szCs w:val="20"/>
              </w:rPr>
            </w:pPr>
          </w:p>
        </w:tc>
        <w:tc>
          <w:tcPr>
            <w:tcW w:w="7745" w:type="dxa"/>
            <w:gridSpan w:val="6"/>
          </w:tcPr>
          <w:p w14:paraId="6C4AE698"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b/>
                <w:bCs/>
                <w:sz w:val="20"/>
                <w:szCs w:val="20"/>
                <w:bdr w:val="none" w:sz="0" w:space="0" w:color="auto" w:frame="1"/>
              </w:rPr>
              <w:t>Administrative Advice:</w:t>
            </w:r>
          </w:p>
          <w:p w14:paraId="107D356E"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b/>
                <w:bCs/>
                <w:sz w:val="20"/>
                <w:szCs w:val="20"/>
                <w:bdr w:val="none" w:sz="0" w:space="0" w:color="auto" w:frame="1"/>
              </w:rPr>
              <w:t>TREATMENT OF ADULT AND ADOLESCENT PATIENTS WITH UNCONTROLLED SEVERE ASTHMA</w:t>
            </w:r>
          </w:p>
          <w:p w14:paraId="2E777921" w14:textId="77777777" w:rsidR="00732948" w:rsidRPr="002722F7" w:rsidRDefault="00732948">
            <w:pPr>
              <w:textAlignment w:val="baseline"/>
              <w:rPr>
                <w:rFonts w:ascii="Arial Narrow" w:hAnsi="Arial Narrow" w:cs="Open Sans"/>
                <w:i/>
                <w:iCs/>
                <w:sz w:val="20"/>
                <w:szCs w:val="20"/>
              </w:rPr>
            </w:pPr>
            <w:r w:rsidRPr="002722F7">
              <w:rPr>
                <w:rFonts w:ascii="Arial Narrow" w:hAnsi="Arial Narrow" w:cs="Open Sans"/>
                <w:sz w:val="20"/>
                <w:szCs w:val="20"/>
              </w:rPr>
              <w:t xml:space="preserve">The following information applies to the prescribing under the Pharmaceutical Benefits Scheme (PBS) of the biological medicines </w:t>
            </w:r>
            <w:r w:rsidRPr="00A1043A">
              <w:rPr>
                <w:rFonts w:ascii="Arial Narrow" w:hAnsi="Arial Narrow" w:cs="Open Sans"/>
                <w:sz w:val="20"/>
                <w:szCs w:val="20"/>
              </w:rPr>
              <w:t>benralizumab, dupilumab, mepolizumab and omalizumab for uncontrolled severe asthma. Therefore, where the term 'biological medicine' appears in notes and restrictions, it refers to benralizumab, dupilumab, mepolizumab and omalizumab only.</w:t>
            </w:r>
          </w:p>
          <w:p w14:paraId="386EBB5C"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 xml:space="preserve">A patient is eligible for PBS-subsidised treatment with only 1 </w:t>
            </w:r>
            <w:r w:rsidRPr="00A1043A">
              <w:rPr>
                <w:rFonts w:ascii="Arial Narrow" w:hAnsi="Arial Narrow" w:cs="Open Sans"/>
                <w:sz w:val="20"/>
                <w:szCs w:val="20"/>
              </w:rPr>
              <w:t>of the above</w:t>
            </w:r>
            <w:r w:rsidRPr="002722F7">
              <w:rPr>
                <w:rFonts w:ascii="Arial Narrow" w:hAnsi="Arial Narrow" w:cs="Open Sans"/>
                <w:sz w:val="20"/>
                <w:szCs w:val="20"/>
              </w:rPr>
              <w:t xml:space="preserve"> biological medicine</w:t>
            </w:r>
            <w:r w:rsidRPr="002722F7">
              <w:rPr>
                <w:rFonts w:ascii="Arial Narrow" w:hAnsi="Arial Narrow" w:cs="Open Sans"/>
                <w:strike/>
                <w:sz w:val="20"/>
                <w:szCs w:val="20"/>
              </w:rPr>
              <w:t>s</w:t>
            </w:r>
            <w:r w:rsidRPr="002722F7">
              <w:rPr>
                <w:rFonts w:ascii="Arial Narrow" w:hAnsi="Arial Narrow" w:cs="Open Sans"/>
                <w:sz w:val="20"/>
                <w:szCs w:val="20"/>
              </w:rPr>
              <w:t xml:space="preserve"> at any 1 time.</w:t>
            </w:r>
          </w:p>
          <w:p w14:paraId="0B168022"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A patient receiving PBS-subsidised treatment for uncontrolled severe asthma is able to commence a treatment cycle where they may trial a biological medicine without having to experience a disease flare when swapping to an alternate biological medicine within the same treatment cycle.</w:t>
            </w:r>
          </w:p>
          <w:p w14:paraId="793E454E"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lastRenderedPageBreak/>
              <w:t>Under these arrangements, within a treatment cycle, a patient may receive long-term treatment with a biological medicine as long as they sustain a response to therapy.</w:t>
            </w:r>
          </w:p>
          <w:p w14:paraId="64F5C0F0"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A patient currently receiving PBS-subsidised treatment as of 1 April 2021 is considered to have started a cycle of treatment.</w:t>
            </w:r>
          </w:p>
          <w:p w14:paraId="42F79DEA"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Within the same treatment cycle, a patient cannot trial and fail, or cease to respond to, the same PBS-subsidised biological medicine more than once.</w:t>
            </w:r>
          </w:p>
          <w:p w14:paraId="3071F4F9"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Therefore, once a patient fails to meet the response criteria for a PBS-subsidised biological medicine, they must change to an alternate biological medicine if they wish to continue PBS-subsidised biological treatment.</w:t>
            </w:r>
          </w:p>
          <w:p w14:paraId="1ECFBB91"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Once a patient has either failed to achieve or sustain a response to treatment 4 times, they are deemed to have completed a single treatment cycle. They must have at least a 12-month break in PBS-subsidised biological medicine therapy before they are eligible to recommence another new treatment cycle [further details are under 'Recommencement of treatment after a treatment break in PBS-subsidised therapy' below].</w:t>
            </w:r>
          </w:p>
          <w:p w14:paraId="225B6B9D"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The length of the break in therapy is measured from the date the most recent treatment with a PBS-subsidised biological medicine is ceased until the date of the first application for recommencement of treatment with a biological medicine under the new treatment cycle.</w:t>
            </w:r>
          </w:p>
          <w:p w14:paraId="283C39E2"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There is no limit to the number of treatment cycles that a patient may undertake in their lifetime.</w:t>
            </w:r>
          </w:p>
          <w:p w14:paraId="29855065"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How to prescribe PBS-subsidised biological medicine treatment for uncontrolled severe asthma.</w:t>
            </w:r>
          </w:p>
          <w:p w14:paraId="7A69FC7E"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(1) Initial treatment:</w:t>
            </w:r>
          </w:p>
          <w:p w14:paraId="4F086AC1"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Applications for initial treatment should be made where:</w:t>
            </w:r>
          </w:p>
          <w:p w14:paraId="10F4470E"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(i) a patient has not received prior PBS-subsidised biological medicine treatment and wishes to commence such therapy (Initial 1 restriction); or</w:t>
            </w:r>
          </w:p>
          <w:p w14:paraId="0656AEDE"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(ii) a patient has received prior PBS-subsidised treatment with a biological medicine and wishes to recommence a new treatment cycle with this biological medicine following a treatment break in PBS-subsidised therapy (Initial 1 restriction); or</w:t>
            </w:r>
          </w:p>
          <w:p w14:paraId="467F38C4"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(iii) a patient has received prior PBS-subsidised biological medicine therapy and wishes to trial an alternate biological medicine within the same treatment cycle (Initial 2 restriction) - [further details are under 'Swapping therapy' below].</w:t>
            </w:r>
          </w:p>
          <w:p w14:paraId="19B180EF"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All applications for initial treatment will be limited to provide for a maximum of up to 32 weeks of therapy of a biological medicine. It is recommended that a patient be reviewed in the month prior to completing their course of initial treatment to ensure uninterrupted biological medicine supply.</w:t>
            </w:r>
          </w:p>
          <w:p w14:paraId="49AC2079"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(2) Continuing treatment:</w:t>
            </w:r>
          </w:p>
          <w:p w14:paraId="6B669F04"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Following the completion of an initial treatment course with a specific biological medicine, a patient may qualify to receive up to 24 weeks of continuing treatment with that biological medicine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the month prior to completing their current course of treatment to ensure uninterrupted biological medicine supply.</w:t>
            </w:r>
          </w:p>
          <w:p w14:paraId="5AEF4D38"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(3) Baseline measurements to determine response:</w:t>
            </w:r>
          </w:p>
          <w:p w14:paraId="2972456C"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 xml:space="preserve">Baseline measurements of the Asthma Control Questionnaire (ACQ; 5 item version) </w:t>
            </w:r>
            <w:r w:rsidRPr="00B166BA">
              <w:rPr>
                <w:rFonts w:ascii="Arial Narrow" w:hAnsi="Arial Narrow" w:cs="Open Sans"/>
                <w:sz w:val="20"/>
                <w:szCs w:val="20"/>
              </w:rPr>
              <w:t>or oral corticosteroid dose</w:t>
            </w:r>
            <w:r w:rsidRPr="002722F7">
              <w:rPr>
                <w:rFonts w:ascii="Arial Narrow" w:hAnsi="Arial Narrow" w:cs="Open Sans"/>
                <w:sz w:val="20"/>
                <w:szCs w:val="20"/>
              </w:rPr>
              <w:t xml:space="preserve"> submitted with the Initial authority application for a biological medicine must be used to determine whether an adequate response to treatment has been achieved or sustained.</w:t>
            </w:r>
          </w:p>
          <w:p w14:paraId="1FDDFF2D"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For patients transitioned from the paediatric to the adolescent/adult restriction, the exacerbation history may also be used to determine response.</w:t>
            </w:r>
          </w:p>
          <w:p w14:paraId="22932B01"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However, prescribers may provide new baseline measurements when a new Initial treatment authority application is</w:t>
            </w:r>
            <w:r w:rsidRPr="00A1043A">
              <w:rPr>
                <w:rFonts w:ascii="Arial Narrow" w:hAnsi="Arial Narrow" w:cs="Open Sans"/>
                <w:sz w:val="20"/>
                <w:szCs w:val="20"/>
              </w:rPr>
              <w:t xml:space="preserve"> submitted</w:t>
            </w:r>
            <w:r w:rsidRPr="002722F7">
              <w:rPr>
                <w:rFonts w:ascii="Arial Narrow" w:hAnsi="Arial Narrow" w:cs="Open Sans"/>
                <w:i/>
                <w:iCs/>
                <w:sz w:val="20"/>
                <w:szCs w:val="20"/>
              </w:rPr>
              <w:t xml:space="preserve"> </w:t>
            </w:r>
            <w:r w:rsidRPr="002722F7">
              <w:rPr>
                <w:rFonts w:ascii="Arial Narrow" w:hAnsi="Arial Narrow" w:cs="Open Sans"/>
                <w:sz w:val="20"/>
                <w:szCs w:val="20"/>
              </w:rPr>
              <w:t>and these new baseline measurements may be used to assess response.</w:t>
            </w:r>
          </w:p>
          <w:p w14:paraId="02E58E0C"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(4) Swapping therapy within the same treatment cycle.</w:t>
            </w:r>
          </w:p>
          <w:p w14:paraId="3B871D2E"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Once initial treatment with the first PBS-subsidised biological medicine is approved, a patient may swap to an alternate biological medicine at any time by qualifying under an Initial 2 restriction.</w:t>
            </w:r>
          </w:p>
          <w:p w14:paraId="497737BE"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However, they cannot swap to a particular biological medicine if they have failed to respond to prior treatment with that drug within the same treatment cycle.</w:t>
            </w:r>
          </w:p>
          <w:p w14:paraId="7DA2502F"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Within the same treatment cycle a patient may alternate between therapy with any biological medicine of their choice (1 at a time) providing:</w:t>
            </w:r>
          </w:p>
          <w:p w14:paraId="56EB04F2"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lastRenderedPageBreak/>
              <w:t>(i) they have not received PBS-subsidised treatment with that particular biological medicine previously; or</w:t>
            </w:r>
          </w:p>
          <w:p w14:paraId="1129AB15"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(ii) they have demonstrated an adequate response to that particular biological medicine if they have previously trialled it on the PBS; and</w:t>
            </w:r>
          </w:p>
          <w:p w14:paraId="0694FF14"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(iii) they have not previously failed to respond to treatment with all 4 biological medicines in this treatment cycle.</w:t>
            </w:r>
          </w:p>
          <w:p w14:paraId="1D0A4975"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(5) Re-commencement of a new treatment cycle after a treatment break in PBS-subsidised therapy:</w:t>
            </w:r>
          </w:p>
          <w:p w14:paraId="2EB0C0E8"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A patient who wishes to trial a second or subsequent new treatment cycle, following a break in PBS-subsidised therapy of at least 12 months (in patients who have failed to achieve or ceased to sustain a response to treatment 4 times within a treatment cycle), must re-qualify through an Initial 1 restriction.</w:t>
            </w:r>
          </w:p>
          <w:p w14:paraId="4DE54EFC"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(6) Monitoring of patients:</w:t>
            </w:r>
          </w:p>
          <w:p w14:paraId="7113F70E" w14:textId="77777777" w:rsidR="00732948" w:rsidRPr="002722F7" w:rsidRDefault="00732948">
            <w:pPr>
              <w:textAlignment w:val="baseline"/>
              <w:rPr>
                <w:rFonts w:ascii="Arial Narrow" w:hAnsi="Arial Narrow" w:cs="Open Sans"/>
                <w:sz w:val="20"/>
                <w:szCs w:val="20"/>
              </w:rPr>
            </w:pPr>
            <w:r w:rsidRPr="002722F7">
              <w:rPr>
                <w:rFonts w:ascii="Arial Narrow" w:hAnsi="Arial Narrow" w:cs="Open Sans"/>
                <w:sz w:val="20"/>
                <w:szCs w:val="20"/>
              </w:rPr>
              <w:t>Omalizumab only:</w:t>
            </w:r>
          </w:p>
          <w:p w14:paraId="25F9C84D" w14:textId="77777777" w:rsidR="00732948" w:rsidRPr="002722F7" w:rsidRDefault="00732948">
            <w:pPr>
              <w:rPr>
                <w:rFonts w:ascii="Arial Narrow" w:hAnsi="Arial Narrow"/>
                <w:sz w:val="20"/>
                <w:szCs w:val="20"/>
              </w:rPr>
            </w:pPr>
            <w:r w:rsidRPr="002722F7">
              <w:rPr>
                <w:rFonts w:ascii="Arial Narrow" w:hAnsi="Arial Narrow" w:cs="Open Sans"/>
                <w:sz w:val="20"/>
                <w:szCs w:val="20"/>
              </w:rPr>
              <w:t>Anaphylaxis and anaphylactoid reactions have been reported following first or subsequent administration of omalizumab (see Product Information). Patients should be monitored post-injection, and medications for the treatment of anaphylactic reactions should be available for immediate use following administration of omalizumab. Patients should be informed that such reactions are possible and prompt medical attention should be sought if allergic reactions occur.</w:t>
            </w:r>
          </w:p>
        </w:tc>
      </w:tr>
      <w:tr w:rsidR="00732948" w:rsidRPr="002722F7" w14:paraId="05A0265F" w14:textId="77777777">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01ED8E58" w14:textId="77777777" w:rsidR="00732948" w:rsidRPr="002722F7" w:rsidRDefault="00732948">
            <w:pPr>
              <w:rPr>
                <w:rFonts w:ascii="Arial Narrow" w:hAnsi="Arial Narrow" w:cs="Arial"/>
                <w:sz w:val="20"/>
                <w:szCs w:val="20"/>
              </w:rPr>
            </w:pPr>
          </w:p>
        </w:tc>
        <w:tc>
          <w:tcPr>
            <w:tcW w:w="850" w:type="dxa"/>
            <w:vAlign w:val="center"/>
          </w:tcPr>
          <w:p w14:paraId="117A7AA6" w14:textId="1C51B097" w:rsidR="00732948" w:rsidRPr="002722F7" w:rsidRDefault="00732948">
            <w:pPr>
              <w:jc w:val="center"/>
              <w:rPr>
                <w:rFonts w:ascii="Arial Narrow" w:hAnsi="Arial Narrow"/>
                <w:sz w:val="20"/>
                <w:szCs w:val="20"/>
              </w:rPr>
            </w:pPr>
          </w:p>
        </w:tc>
        <w:tc>
          <w:tcPr>
            <w:tcW w:w="7745" w:type="dxa"/>
            <w:gridSpan w:val="6"/>
            <w:vAlign w:val="center"/>
          </w:tcPr>
          <w:p w14:paraId="22BFDA05" w14:textId="77777777" w:rsidR="00732948" w:rsidRPr="002722F7" w:rsidRDefault="00732948">
            <w:pPr>
              <w:rPr>
                <w:rFonts w:ascii="Arial Narrow" w:hAnsi="Arial Narrow"/>
                <w:b/>
                <w:bCs/>
                <w:sz w:val="20"/>
                <w:szCs w:val="20"/>
              </w:rPr>
            </w:pPr>
            <w:r w:rsidRPr="002722F7">
              <w:rPr>
                <w:rFonts w:ascii="Arial Narrow" w:hAnsi="Arial Narrow"/>
                <w:b/>
                <w:bCs/>
                <w:sz w:val="20"/>
                <w:szCs w:val="20"/>
              </w:rPr>
              <w:t>Administrative Advice:</w:t>
            </w:r>
          </w:p>
          <w:p w14:paraId="351BC6A3" w14:textId="77777777" w:rsidR="00732948" w:rsidRPr="002722F7" w:rsidRDefault="00732948">
            <w:pPr>
              <w:rPr>
                <w:rFonts w:ascii="Arial Narrow" w:hAnsi="Arial Narrow"/>
                <w:sz w:val="20"/>
                <w:szCs w:val="20"/>
              </w:rPr>
            </w:pPr>
            <w:r w:rsidRPr="002722F7">
              <w:rPr>
                <w:rFonts w:ascii="Arial Narrow" w:hAnsi="Arial Narrow"/>
                <w:sz w:val="20"/>
                <w:szCs w:val="20"/>
              </w:rPr>
              <w:t>For copies of the ACQ, please contact GlaxoSmithKline Medical Information on 1800 033 109.</w:t>
            </w:r>
          </w:p>
        </w:tc>
      </w:tr>
      <w:tr w:rsidR="00732948" w:rsidRPr="002722F7" w14:paraId="57256B23" w14:textId="77777777">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6BECC51A" w14:textId="77777777" w:rsidR="00732948" w:rsidRPr="002722F7" w:rsidRDefault="00732948">
            <w:pPr>
              <w:rPr>
                <w:rFonts w:ascii="Arial Narrow" w:hAnsi="Arial Narrow" w:cs="Arial"/>
                <w:sz w:val="20"/>
                <w:szCs w:val="20"/>
              </w:rPr>
            </w:pPr>
          </w:p>
        </w:tc>
        <w:tc>
          <w:tcPr>
            <w:tcW w:w="850" w:type="dxa"/>
            <w:vAlign w:val="center"/>
          </w:tcPr>
          <w:p w14:paraId="7552784B" w14:textId="04F04981" w:rsidR="00732948" w:rsidRPr="002722F7" w:rsidRDefault="00732948">
            <w:pPr>
              <w:jc w:val="center"/>
              <w:rPr>
                <w:rFonts w:ascii="Arial Narrow" w:hAnsi="Arial Narrow"/>
                <w:sz w:val="20"/>
                <w:szCs w:val="20"/>
              </w:rPr>
            </w:pPr>
          </w:p>
        </w:tc>
        <w:tc>
          <w:tcPr>
            <w:tcW w:w="7745" w:type="dxa"/>
            <w:gridSpan w:val="6"/>
            <w:vAlign w:val="center"/>
          </w:tcPr>
          <w:p w14:paraId="77DDCD34" w14:textId="77777777" w:rsidR="00732948" w:rsidRPr="002722F7" w:rsidRDefault="00732948">
            <w:pPr>
              <w:rPr>
                <w:rFonts w:ascii="Arial Narrow" w:hAnsi="Arial Narrow"/>
                <w:b/>
                <w:bCs/>
                <w:sz w:val="20"/>
                <w:szCs w:val="20"/>
              </w:rPr>
            </w:pPr>
            <w:r w:rsidRPr="002722F7">
              <w:rPr>
                <w:rFonts w:ascii="Arial Narrow" w:hAnsi="Arial Narrow"/>
                <w:b/>
                <w:bCs/>
                <w:sz w:val="20"/>
                <w:szCs w:val="20"/>
              </w:rPr>
              <w:t>Administrative Advice:</w:t>
            </w:r>
          </w:p>
          <w:p w14:paraId="13163CC1" w14:textId="77777777" w:rsidR="00732948" w:rsidRPr="002722F7" w:rsidRDefault="00732948">
            <w:pPr>
              <w:rPr>
                <w:rFonts w:ascii="Arial Narrow" w:hAnsi="Arial Narrow"/>
                <w:sz w:val="20"/>
                <w:szCs w:val="20"/>
              </w:rPr>
            </w:pPr>
            <w:r w:rsidRPr="002722F7">
              <w:rPr>
                <w:rFonts w:ascii="Arial Narrow" w:hAnsi="Arial Narrow"/>
                <w:sz w:val="20"/>
                <w:szCs w:val="20"/>
              </w:rPr>
              <w:t>Special Pricing Arrangements apply.</w:t>
            </w:r>
          </w:p>
        </w:tc>
      </w:tr>
      <w:tr w:rsidR="00732948" w:rsidRPr="002722F7" w14:paraId="6FCC5651" w14:textId="77777777">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bottom w:val="single" w:sz="4" w:space="0" w:color="auto"/>
              <w:right w:val="single" w:sz="4" w:space="0" w:color="auto"/>
            </w:tcBorders>
          </w:tcPr>
          <w:p w14:paraId="518C124D" w14:textId="77777777" w:rsidR="00732948" w:rsidRPr="002722F7" w:rsidRDefault="00732948">
            <w:pPr>
              <w:rPr>
                <w:rFonts w:ascii="Arial Narrow" w:hAnsi="Arial Narrow" w:cs="Arial"/>
                <w:sz w:val="20"/>
                <w:szCs w:val="20"/>
              </w:rPr>
            </w:pPr>
          </w:p>
        </w:tc>
        <w:tc>
          <w:tcPr>
            <w:tcW w:w="850" w:type="dxa"/>
            <w:vAlign w:val="center"/>
          </w:tcPr>
          <w:p w14:paraId="73A16C54" w14:textId="4A7457A1" w:rsidR="00732948" w:rsidRPr="002722F7" w:rsidRDefault="00732948">
            <w:pPr>
              <w:jc w:val="center"/>
              <w:rPr>
                <w:rFonts w:ascii="Arial Narrow" w:hAnsi="Arial Narrow"/>
                <w:sz w:val="20"/>
                <w:szCs w:val="20"/>
              </w:rPr>
            </w:pPr>
          </w:p>
        </w:tc>
        <w:tc>
          <w:tcPr>
            <w:tcW w:w="7745" w:type="dxa"/>
            <w:gridSpan w:val="6"/>
            <w:vAlign w:val="center"/>
          </w:tcPr>
          <w:p w14:paraId="12C5D9C4" w14:textId="77777777" w:rsidR="00732948" w:rsidRPr="002722F7" w:rsidRDefault="00732948">
            <w:pPr>
              <w:rPr>
                <w:rFonts w:ascii="Arial Narrow" w:hAnsi="Arial Narrow"/>
                <w:b/>
                <w:bCs/>
                <w:color w:val="333333"/>
                <w:sz w:val="20"/>
                <w:szCs w:val="20"/>
              </w:rPr>
            </w:pPr>
            <w:r w:rsidRPr="002722F7">
              <w:rPr>
                <w:rFonts w:ascii="Arial Narrow" w:hAnsi="Arial Narrow"/>
                <w:b/>
                <w:bCs/>
                <w:color w:val="333333"/>
                <w:sz w:val="20"/>
                <w:szCs w:val="20"/>
              </w:rPr>
              <w:t>Administrative Advice:</w:t>
            </w:r>
          </w:p>
          <w:p w14:paraId="4B3FE26F" w14:textId="77777777" w:rsidR="00732948" w:rsidRPr="00B2393D" w:rsidRDefault="00732948">
            <w:pPr>
              <w:rPr>
                <w:rFonts w:ascii="Arial Narrow" w:hAnsi="Arial Narrow"/>
                <w:color w:val="333333"/>
                <w:sz w:val="20"/>
                <w:szCs w:val="20"/>
              </w:rPr>
            </w:pPr>
            <w:r w:rsidRPr="00B2393D">
              <w:rPr>
                <w:rFonts w:ascii="Arial Narrow" w:hAnsi="Arial Narrow"/>
                <w:color w:val="333333"/>
                <w:sz w:val="20"/>
                <w:szCs w:val="20"/>
              </w:rPr>
              <w:t xml:space="preserve">Any queries concerning the arrangements to prescribe may be directed to Services Australia on 1800 700 270 (hours of operation 8 a.m. to 5 p.m. </w:t>
            </w:r>
            <w:r w:rsidRPr="00B35028">
              <w:rPr>
                <w:rFonts w:ascii="Arial Narrow" w:hAnsi="Arial Narrow"/>
                <w:strike/>
                <w:color w:val="333333"/>
                <w:sz w:val="20"/>
                <w:szCs w:val="20"/>
              </w:rPr>
              <w:t>EST</w:t>
            </w:r>
            <w:r w:rsidRPr="00B2393D">
              <w:rPr>
                <w:rFonts w:ascii="Arial Narrow" w:hAnsi="Arial Narrow"/>
                <w:color w:val="333333"/>
                <w:sz w:val="20"/>
                <w:szCs w:val="20"/>
              </w:rPr>
              <w:t xml:space="preserve"> Monday to Friday). </w:t>
            </w:r>
          </w:p>
          <w:p w14:paraId="6CDE98EF" w14:textId="77777777" w:rsidR="00732948" w:rsidRPr="00B2393D" w:rsidRDefault="00732948">
            <w:pPr>
              <w:rPr>
                <w:rFonts w:ascii="Arial Narrow" w:hAnsi="Arial Narrow"/>
                <w:color w:val="333333"/>
                <w:sz w:val="20"/>
                <w:szCs w:val="20"/>
              </w:rPr>
            </w:pPr>
            <w:r w:rsidRPr="00B2393D">
              <w:rPr>
                <w:rFonts w:ascii="Arial Narrow" w:hAnsi="Arial Narrow"/>
                <w:color w:val="333333"/>
                <w:sz w:val="20"/>
                <w:szCs w:val="20"/>
              </w:rPr>
              <w:t xml:space="preserve">Prescribing information (including Authority Application forms and other relevant documentation as applicable) is available on the Services Australia website at </w:t>
            </w:r>
            <w:hyperlink r:id="rId11" w:history="1">
              <w:r w:rsidRPr="00B2393D">
                <w:rPr>
                  <w:rStyle w:val="Hyperlink"/>
                  <w:rFonts w:ascii="Arial Narrow" w:hAnsi="Arial Narrow"/>
                  <w:sz w:val="20"/>
                  <w:szCs w:val="20"/>
                </w:rPr>
                <w:t>www.servicesautralia.gov.au</w:t>
              </w:r>
            </w:hyperlink>
          </w:p>
          <w:p w14:paraId="329DF625" w14:textId="77777777" w:rsidR="00732948" w:rsidRPr="00B2393D" w:rsidRDefault="00732948">
            <w:pPr>
              <w:rPr>
                <w:rFonts w:ascii="Arial Narrow" w:hAnsi="Arial Narrow"/>
                <w:color w:val="333333"/>
                <w:sz w:val="20"/>
                <w:szCs w:val="20"/>
              </w:rPr>
            </w:pPr>
            <w:r w:rsidRPr="00B2393D">
              <w:rPr>
                <w:rFonts w:ascii="Arial Narrow" w:hAnsi="Arial Narrow"/>
                <w:color w:val="333333"/>
                <w:sz w:val="20"/>
                <w:szCs w:val="20"/>
              </w:rPr>
              <w:t xml:space="preserve">Applications for authority to prescribe should be submitted online using the form upload facility in Health Professional Online Services (HPOS) at </w:t>
            </w:r>
            <w:hyperlink r:id="rId12" w:history="1">
              <w:r w:rsidRPr="00B2393D">
                <w:rPr>
                  <w:rStyle w:val="Hyperlink"/>
                  <w:rFonts w:ascii="Arial Narrow" w:hAnsi="Arial Narrow"/>
                  <w:sz w:val="20"/>
                  <w:szCs w:val="20"/>
                </w:rPr>
                <w:t>www.servicesaustralia.gov.au/hpos</w:t>
              </w:r>
            </w:hyperlink>
          </w:p>
          <w:p w14:paraId="70F8C3E1" w14:textId="77777777" w:rsidR="00732948" w:rsidRPr="00B2393D" w:rsidRDefault="00732948">
            <w:pPr>
              <w:rPr>
                <w:rFonts w:ascii="Arial Narrow" w:hAnsi="Arial Narrow"/>
                <w:color w:val="333333"/>
                <w:sz w:val="20"/>
                <w:szCs w:val="20"/>
              </w:rPr>
            </w:pPr>
            <w:r w:rsidRPr="00B2393D">
              <w:rPr>
                <w:rFonts w:ascii="Arial Narrow" w:hAnsi="Arial Narrow"/>
                <w:color w:val="333333"/>
                <w:sz w:val="20"/>
                <w:szCs w:val="20"/>
              </w:rPr>
              <w:t>Or mailed to:</w:t>
            </w:r>
          </w:p>
          <w:p w14:paraId="127F71CC" w14:textId="77777777" w:rsidR="00732948" w:rsidRPr="00B2393D" w:rsidRDefault="00732948">
            <w:pPr>
              <w:rPr>
                <w:rFonts w:ascii="Arial Narrow" w:hAnsi="Arial Narrow"/>
                <w:color w:val="333333"/>
                <w:sz w:val="20"/>
                <w:szCs w:val="20"/>
              </w:rPr>
            </w:pPr>
            <w:r w:rsidRPr="00B2393D">
              <w:rPr>
                <w:rFonts w:ascii="Arial Narrow" w:hAnsi="Arial Narrow"/>
                <w:color w:val="333333"/>
                <w:sz w:val="20"/>
                <w:szCs w:val="20"/>
              </w:rPr>
              <w:t xml:space="preserve">Services Australia </w:t>
            </w:r>
          </w:p>
          <w:p w14:paraId="3E3D57AE" w14:textId="77777777" w:rsidR="00732948" w:rsidRPr="00B2393D" w:rsidRDefault="00732948">
            <w:pPr>
              <w:rPr>
                <w:rFonts w:ascii="Arial Narrow" w:hAnsi="Arial Narrow"/>
                <w:color w:val="333333"/>
                <w:sz w:val="20"/>
                <w:szCs w:val="20"/>
              </w:rPr>
            </w:pPr>
            <w:r w:rsidRPr="00B2393D">
              <w:rPr>
                <w:rFonts w:ascii="Arial Narrow" w:hAnsi="Arial Narrow"/>
                <w:color w:val="333333"/>
                <w:sz w:val="20"/>
                <w:szCs w:val="20"/>
              </w:rPr>
              <w:t xml:space="preserve">Complex Drugs </w:t>
            </w:r>
          </w:p>
          <w:p w14:paraId="52598D5E" w14:textId="77777777" w:rsidR="00732948" w:rsidRPr="00B2393D" w:rsidRDefault="00732948">
            <w:pPr>
              <w:rPr>
                <w:rFonts w:ascii="Arial Narrow" w:hAnsi="Arial Narrow"/>
                <w:color w:val="333333"/>
                <w:sz w:val="20"/>
                <w:szCs w:val="20"/>
              </w:rPr>
            </w:pPr>
            <w:r w:rsidRPr="00B2393D">
              <w:rPr>
                <w:rFonts w:ascii="Arial Narrow" w:hAnsi="Arial Narrow"/>
                <w:color w:val="333333"/>
                <w:sz w:val="20"/>
                <w:szCs w:val="20"/>
              </w:rPr>
              <w:t>Reply Paid 9826</w:t>
            </w:r>
          </w:p>
          <w:p w14:paraId="50914336" w14:textId="77777777" w:rsidR="00732948" w:rsidRPr="002722F7" w:rsidRDefault="00732948">
            <w:pPr>
              <w:rPr>
                <w:rFonts w:ascii="Arial Narrow" w:hAnsi="Arial Narrow"/>
                <w:b/>
                <w:bCs/>
                <w:color w:val="333333"/>
                <w:sz w:val="20"/>
                <w:szCs w:val="20"/>
              </w:rPr>
            </w:pPr>
            <w:r w:rsidRPr="00B2393D">
              <w:rPr>
                <w:rFonts w:ascii="Arial Narrow" w:hAnsi="Arial Narrow"/>
                <w:color w:val="333333"/>
                <w:sz w:val="20"/>
                <w:szCs w:val="20"/>
              </w:rPr>
              <w:t>HOBART TAS 7001</w:t>
            </w:r>
          </w:p>
        </w:tc>
      </w:tr>
      <w:tr w:rsidR="00732948" w:rsidRPr="002722F7" w14:paraId="345DE345" w14:textId="77777777" w:rsidTr="00B166BA">
        <w:tblPrEx>
          <w:tblCellMar>
            <w:top w:w="15" w:type="dxa"/>
            <w:bottom w:w="15" w:type="dxa"/>
          </w:tblCellMar>
        </w:tblPrEx>
        <w:trPr>
          <w:cantSplit/>
          <w:trHeight w:val="20"/>
        </w:trPr>
        <w:tc>
          <w:tcPr>
            <w:tcW w:w="1271" w:type="dxa"/>
            <w:gridSpan w:val="2"/>
            <w:vAlign w:val="center"/>
          </w:tcPr>
          <w:p w14:paraId="0D184A41" w14:textId="6C528C1C" w:rsidR="00732948" w:rsidRPr="002722F7" w:rsidRDefault="00732948">
            <w:pPr>
              <w:keepLines/>
              <w:jc w:val="center"/>
              <w:rPr>
                <w:rFonts w:ascii="Arial Narrow" w:hAnsi="Arial Narrow"/>
                <w:sz w:val="20"/>
                <w:szCs w:val="20"/>
              </w:rPr>
            </w:pPr>
          </w:p>
        </w:tc>
        <w:tc>
          <w:tcPr>
            <w:tcW w:w="7745" w:type="dxa"/>
            <w:gridSpan w:val="6"/>
            <w:vAlign w:val="center"/>
            <w:hideMark/>
          </w:tcPr>
          <w:p w14:paraId="77E55795" w14:textId="77777777" w:rsidR="00732948" w:rsidRPr="002722F7" w:rsidRDefault="00732948">
            <w:pPr>
              <w:keepLines/>
              <w:rPr>
                <w:rFonts w:ascii="Arial Narrow" w:hAnsi="Arial Narrow"/>
                <w:sz w:val="20"/>
                <w:szCs w:val="20"/>
              </w:rPr>
            </w:pPr>
            <w:r w:rsidRPr="002722F7">
              <w:rPr>
                <w:rFonts w:ascii="Arial Narrow" w:hAnsi="Arial Narrow"/>
                <w:b/>
                <w:bCs/>
                <w:sz w:val="20"/>
                <w:szCs w:val="20"/>
              </w:rPr>
              <w:t>Indication:</w:t>
            </w:r>
            <w:r w:rsidRPr="002722F7">
              <w:rPr>
                <w:rFonts w:ascii="Arial Narrow" w:hAnsi="Arial Narrow"/>
                <w:sz w:val="20"/>
                <w:szCs w:val="20"/>
              </w:rPr>
              <w:t xml:space="preserve"> Uncontrolled severe asthma</w:t>
            </w:r>
          </w:p>
        </w:tc>
      </w:tr>
      <w:tr w:rsidR="00732948" w:rsidRPr="00EB31F2" w14:paraId="0B1FDCBA" w14:textId="77777777" w:rsidTr="00732948">
        <w:tblPrEx>
          <w:tblCellMar>
            <w:top w:w="15" w:type="dxa"/>
            <w:bottom w:w="15" w:type="dxa"/>
          </w:tblCellMar>
          <w:tblLook w:val="04A0" w:firstRow="1" w:lastRow="0" w:firstColumn="1" w:lastColumn="0" w:noHBand="0" w:noVBand="1"/>
        </w:tblPrEx>
        <w:trPr>
          <w:trHeight w:val="20"/>
        </w:trPr>
        <w:tc>
          <w:tcPr>
            <w:tcW w:w="1271" w:type="dxa"/>
            <w:gridSpan w:val="2"/>
            <w:tcBorders>
              <w:left w:val="single" w:sz="4" w:space="0" w:color="auto"/>
              <w:bottom w:val="single" w:sz="4" w:space="0" w:color="auto"/>
              <w:right w:val="single" w:sz="4" w:space="0" w:color="auto"/>
            </w:tcBorders>
            <w:vAlign w:val="center"/>
          </w:tcPr>
          <w:p w14:paraId="1B5B5A3B" w14:textId="77777777" w:rsidR="00732948" w:rsidRPr="00EB31F2" w:rsidRDefault="00732948" w:rsidP="00732948">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5F9CC4F" w14:textId="2E763147" w:rsidR="00732948" w:rsidRPr="00EB31F2" w:rsidRDefault="00732948" w:rsidP="00732948">
            <w:pPr>
              <w:keepLines/>
              <w:jc w:val="left"/>
              <w:rPr>
                <w:rFonts w:ascii="Arial Narrow" w:hAnsi="Arial Narrow" w:cs="Arial"/>
                <w:b/>
                <w:sz w:val="20"/>
                <w:szCs w:val="20"/>
              </w:rPr>
            </w:pPr>
            <w:r w:rsidRPr="002722F7">
              <w:rPr>
                <w:rFonts w:ascii="Arial Narrow" w:hAnsi="Arial Narrow"/>
                <w:b/>
                <w:bCs/>
                <w:sz w:val="20"/>
                <w:szCs w:val="20"/>
              </w:rPr>
              <w:t>Treatment Phase:</w:t>
            </w:r>
            <w:r w:rsidRPr="002722F7">
              <w:rPr>
                <w:rFonts w:ascii="Arial Narrow" w:hAnsi="Arial Narrow"/>
                <w:sz w:val="20"/>
                <w:szCs w:val="20"/>
              </w:rPr>
              <w:t xml:space="preserve"> Initial treatment – Initial 1 (New patients; or Recommencement of treatment in a new treatment cycle following a break in PBS subsidised biological medicine therapy)</w:t>
            </w:r>
          </w:p>
        </w:tc>
      </w:tr>
      <w:tr w:rsidR="00732948" w:rsidRPr="00EB31F2" w14:paraId="4359706A" w14:textId="77777777" w:rsidTr="00B166BA">
        <w:tblPrEx>
          <w:tblCellMar>
            <w:top w:w="15" w:type="dxa"/>
            <w:bottom w:w="15" w:type="dxa"/>
          </w:tblCellMar>
        </w:tblPrEx>
        <w:trPr>
          <w:cantSplit/>
          <w:trHeight w:val="20"/>
        </w:trPr>
        <w:tc>
          <w:tcPr>
            <w:tcW w:w="1271" w:type="dxa"/>
            <w:gridSpan w:val="2"/>
            <w:vAlign w:val="center"/>
          </w:tcPr>
          <w:p w14:paraId="64303F7A" w14:textId="35D5F918" w:rsidR="00732948" w:rsidRPr="00EB31F2" w:rsidRDefault="00732948" w:rsidP="00732948">
            <w:pPr>
              <w:jc w:val="center"/>
              <w:rPr>
                <w:rFonts w:ascii="Arial Narrow" w:hAnsi="Arial Narrow"/>
                <w:sz w:val="20"/>
                <w:szCs w:val="20"/>
              </w:rPr>
            </w:pPr>
          </w:p>
        </w:tc>
        <w:tc>
          <w:tcPr>
            <w:tcW w:w="7745" w:type="dxa"/>
            <w:gridSpan w:val="6"/>
            <w:vAlign w:val="center"/>
            <w:hideMark/>
          </w:tcPr>
          <w:p w14:paraId="6D0A688A" w14:textId="390D135B" w:rsidR="00732948" w:rsidRPr="00EB31F2" w:rsidRDefault="00732948" w:rsidP="00732948">
            <w:pPr>
              <w:rPr>
                <w:rFonts w:ascii="Arial Narrow" w:hAnsi="Arial Narrow"/>
                <w:sz w:val="20"/>
                <w:szCs w:val="20"/>
              </w:rPr>
            </w:pPr>
            <w:r w:rsidRPr="002722F7">
              <w:rPr>
                <w:rFonts w:ascii="Arial Narrow" w:hAnsi="Arial Narrow"/>
                <w:b/>
                <w:bCs/>
                <w:sz w:val="20"/>
                <w:szCs w:val="20"/>
              </w:rPr>
              <w:t>Treatment criteria:</w:t>
            </w:r>
          </w:p>
        </w:tc>
      </w:tr>
      <w:tr w:rsidR="00732948" w:rsidRPr="00EB31F2" w14:paraId="0208C700"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37729EE" w14:textId="6CC1EF59" w:rsidR="00732948" w:rsidRPr="00EB31F2" w:rsidRDefault="00732948" w:rsidP="00732948">
            <w:pPr>
              <w:jc w:val="center"/>
              <w:rPr>
                <w:rFonts w:ascii="Arial Narrow" w:hAnsi="Arial Narrow"/>
                <w:sz w:val="20"/>
                <w:szCs w:val="20"/>
              </w:rPr>
            </w:pPr>
          </w:p>
        </w:tc>
        <w:tc>
          <w:tcPr>
            <w:tcW w:w="7745" w:type="dxa"/>
            <w:gridSpan w:val="6"/>
            <w:vAlign w:val="center"/>
          </w:tcPr>
          <w:p w14:paraId="5D90408A" w14:textId="7F4819D4" w:rsidR="00732948" w:rsidRPr="00EB31F2" w:rsidRDefault="00732948" w:rsidP="00732948">
            <w:pPr>
              <w:rPr>
                <w:rFonts w:ascii="Arial Narrow" w:hAnsi="Arial Narrow"/>
                <w:sz w:val="20"/>
                <w:szCs w:val="20"/>
              </w:rPr>
            </w:pPr>
            <w:r w:rsidRPr="002722F7">
              <w:rPr>
                <w:rFonts w:ascii="Arial Narrow" w:hAnsi="Arial Narrow" w:cs="Arial Narrow"/>
                <w:iCs/>
                <w:sz w:val="20"/>
                <w:szCs w:val="20"/>
              </w:rPr>
              <w:t>Must be treated by a respiratory physician, clinical immunologist, allergist or general physician experienced in the management of patients with severe asthma</w:t>
            </w:r>
          </w:p>
        </w:tc>
      </w:tr>
      <w:tr w:rsidR="00732948" w:rsidRPr="00EB31F2" w14:paraId="6C50FE1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9178547" w14:textId="77777777" w:rsidR="00732948" w:rsidRPr="00EB31F2" w:rsidRDefault="00732948" w:rsidP="00732948">
            <w:pPr>
              <w:jc w:val="center"/>
              <w:rPr>
                <w:rFonts w:ascii="Arial Narrow" w:hAnsi="Arial Narrow"/>
                <w:sz w:val="20"/>
                <w:szCs w:val="20"/>
              </w:rPr>
            </w:pPr>
          </w:p>
        </w:tc>
        <w:tc>
          <w:tcPr>
            <w:tcW w:w="7745" w:type="dxa"/>
            <w:gridSpan w:val="6"/>
            <w:vAlign w:val="center"/>
          </w:tcPr>
          <w:p w14:paraId="2660D826" w14:textId="7222D704" w:rsidR="00732948" w:rsidRPr="00EB31F2" w:rsidRDefault="00732948" w:rsidP="00732948">
            <w:pPr>
              <w:rPr>
                <w:rFonts w:ascii="Arial Narrow" w:hAnsi="Arial Narrow"/>
                <w:sz w:val="20"/>
                <w:szCs w:val="20"/>
              </w:rPr>
            </w:pPr>
            <w:r w:rsidRPr="002722F7">
              <w:rPr>
                <w:rFonts w:ascii="Arial Narrow" w:hAnsi="Arial Narrow"/>
                <w:b/>
                <w:bCs/>
                <w:sz w:val="20"/>
                <w:szCs w:val="20"/>
              </w:rPr>
              <w:t xml:space="preserve">Clinical criteria: </w:t>
            </w:r>
          </w:p>
        </w:tc>
      </w:tr>
      <w:tr w:rsidR="00732948" w:rsidRPr="00EB31F2" w14:paraId="6E37DC9A"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1E0EB39" w14:textId="3D53F3EE" w:rsidR="00732948" w:rsidRPr="00EB31F2" w:rsidRDefault="00732948" w:rsidP="00732948">
            <w:pPr>
              <w:jc w:val="center"/>
              <w:rPr>
                <w:rFonts w:ascii="Arial Narrow" w:hAnsi="Arial Narrow"/>
                <w:sz w:val="20"/>
                <w:szCs w:val="20"/>
              </w:rPr>
            </w:pPr>
          </w:p>
        </w:tc>
        <w:tc>
          <w:tcPr>
            <w:tcW w:w="7745" w:type="dxa"/>
            <w:gridSpan w:val="6"/>
            <w:vAlign w:val="center"/>
          </w:tcPr>
          <w:p w14:paraId="5CACDA19" w14:textId="32D40380" w:rsidR="00732948" w:rsidRPr="00EB31F2" w:rsidRDefault="00732948" w:rsidP="00732948">
            <w:pPr>
              <w:rPr>
                <w:rFonts w:ascii="Arial Narrow" w:hAnsi="Arial Narrow"/>
                <w:sz w:val="20"/>
                <w:szCs w:val="20"/>
              </w:rPr>
            </w:pPr>
            <w:r w:rsidRPr="002722F7">
              <w:rPr>
                <w:rFonts w:ascii="Arial Narrow" w:hAnsi="Arial Narrow"/>
                <w:sz w:val="20"/>
                <w:szCs w:val="20"/>
              </w:rPr>
              <w:t xml:space="preserve">Patient must be under the care of the same physician for at least 6 months; or </w:t>
            </w:r>
          </w:p>
        </w:tc>
      </w:tr>
      <w:tr w:rsidR="00732948" w:rsidRPr="00EB31F2" w14:paraId="57E0F1B1"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FDACF6A" w14:textId="58C1CE39" w:rsidR="00732948" w:rsidRPr="002722F7" w:rsidRDefault="00732948" w:rsidP="00732948">
            <w:pPr>
              <w:jc w:val="center"/>
              <w:rPr>
                <w:rFonts w:ascii="Arial Narrow" w:hAnsi="Arial Narrow"/>
                <w:sz w:val="20"/>
                <w:szCs w:val="20"/>
              </w:rPr>
            </w:pPr>
          </w:p>
        </w:tc>
        <w:tc>
          <w:tcPr>
            <w:tcW w:w="7745" w:type="dxa"/>
            <w:gridSpan w:val="6"/>
            <w:vAlign w:val="center"/>
          </w:tcPr>
          <w:p w14:paraId="4853F4BE" w14:textId="329FFEF0" w:rsidR="00732948" w:rsidRPr="002722F7" w:rsidRDefault="00732948" w:rsidP="00732948">
            <w:pPr>
              <w:rPr>
                <w:rFonts w:ascii="Arial Narrow" w:hAnsi="Arial Narrow"/>
                <w:sz w:val="20"/>
                <w:szCs w:val="20"/>
              </w:rPr>
            </w:pPr>
            <w:r w:rsidRPr="002722F7">
              <w:rPr>
                <w:rFonts w:ascii="Arial Narrow" w:hAnsi="Arial Narrow"/>
                <w:sz w:val="20"/>
                <w:szCs w:val="20"/>
              </w:rPr>
              <w:t>Patient must have been diagnosed by a multidisciplinary severe asthma clinic team</w:t>
            </w:r>
          </w:p>
        </w:tc>
      </w:tr>
      <w:tr w:rsidR="00732948" w:rsidRPr="00EB31F2" w14:paraId="13D904D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190C30F" w14:textId="77777777" w:rsidR="00732948" w:rsidRPr="002722F7" w:rsidRDefault="00732948" w:rsidP="00732948">
            <w:pPr>
              <w:jc w:val="center"/>
              <w:rPr>
                <w:rFonts w:ascii="Arial Narrow" w:hAnsi="Arial Narrow"/>
                <w:sz w:val="20"/>
                <w:szCs w:val="20"/>
              </w:rPr>
            </w:pPr>
          </w:p>
        </w:tc>
        <w:tc>
          <w:tcPr>
            <w:tcW w:w="7745" w:type="dxa"/>
            <w:gridSpan w:val="6"/>
            <w:vAlign w:val="center"/>
          </w:tcPr>
          <w:p w14:paraId="3997E92C" w14:textId="079B8D5E" w:rsidR="00732948" w:rsidRPr="002722F7" w:rsidRDefault="00732948" w:rsidP="00732948">
            <w:pPr>
              <w:rPr>
                <w:rFonts w:ascii="Arial Narrow" w:hAnsi="Arial Narrow"/>
                <w:sz w:val="20"/>
                <w:szCs w:val="20"/>
              </w:rPr>
            </w:pPr>
            <w:r w:rsidRPr="002722F7">
              <w:rPr>
                <w:rFonts w:ascii="Arial Narrow" w:hAnsi="Arial Narrow"/>
                <w:b/>
                <w:bCs/>
                <w:sz w:val="20"/>
                <w:szCs w:val="20"/>
              </w:rPr>
              <w:t>AND</w:t>
            </w:r>
          </w:p>
        </w:tc>
      </w:tr>
      <w:tr w:rsidR="00732948" w:rsidRPr="00EB31F2" w14:paraId="1ABF6DA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1D4ED68" w14:textId="1E11359A" w:rsidR="00732948" w:rsidRPr="002722F7" w:rsidRDefault="00732948" w:rsidP="00732948">
            <w:pPr>
              <w:jc w:val="center"/>
              <w:rPr>
                <w:rFonts w:ascii="Arial Narrow" w:hAnsi="Arial Narrow"/>
                <w:sz w:val="20"/>
                <w:szCs w:val="20"/>
              </w:rPr>
            </w:pPr>
          </w:p>
        </w:tc>
        <w:tc>
          <w:tcPr>
            <w:tcW w:w="7745" w:type="dxa"/>
            <w:gridSpan w:val="6"/>
            <w:vAlign w:val="center"/>
          </w:tcPr>
          <w:p w14:paraId="60A450DF" w14:textId="40D68025" w:rsidR="00732948" w:rsidRPr="002722F7" w:rsidRDefault="00732948" w:rsidP="00732948">
            <w:pPr>
              <w:rPr>
                <w:rFonts w:ascii="Arial Narrow" w:hAnsi="Arial Narrow"/>
                <w:b/>
                <w:bCs/>
                <w:sz w:val="20"/>
                <w:szCs w:val="20"/>
              </w:rPr>
            </w:pPr>
            <w:r w:rsidRPr="002722F7">
              <w:rPr>
                <w:rFonts w:ascii="Arial Narrow" w:hAnsi="Arial Narrow"/>
                <w:b/>
                <w:bCs/>
                <w:sz w:val="20"/>
                <w:szCs w:val="20"/>
              </w:rPr>
              <w:t>Clinical criteria:</w:t>
            </w:r>
          </w:p>
        </w:tc>
      </w:tr>
      <w:tr w:rsidR="00732948" w:rsidRPr="00EB31F2" w14:paraId="0341B805"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8146337" w14:textId="15422712" w:rsidR="00732948" w:rsidRPr="002722F7" w:rsidRDefault="00732948" w:rsidP="00732948">
            <w:pPr>
              <w:jc w:val="center"/>
              <w:rPr>
                <w:rFonts w:ascii="Arial Narrow" w:hAnsi="Arial Narrow"/>
                <w:sz w:val="20"/>
                <w:szCs w:val="20"/>
              </w:rPr>
            </w:pPr>
          </w:p>
        </w:tc>
        <w:tc>
          <w:tcPr>
            <w:tcW w:w="7745" w:type="dxa"/>
            <w:gridSpan w:val="6"/>
            <w:vAlign w:val="center"/>
          </w:tcPr>
          <w:p w14:paraId="012F00E3" w14:textId="49505B7C" w:rsidR="00732948" w:rsidRPr="002722F7" w:rsidRDefault="00732948" w:rsidP="00732948">
            <w:pPr>
              <w:rPr>
                <w:rFonts w:ascii="Arial Narrow" w:hAnsi="Arial Narrow"/>
                <w:b/>
                <w:bCs/>
                <w:sz w:val="20"/>
                <w:szCs w:val="20"/>
              </w:rPr>
            </w:pPr>
            <w:r w:rsidRPr="002722F7">
              <w:rPr>
                <w:rFonts w:ascii="Arial Narrow" w:hAnsi="Arial Narrow"/>
                <w:sz w:val="20"/>
                <w:szCs w:val="20"/>
              </w:rPr>
              <w:t>Patient must not have received PBS-subsidised treatment with a biological medicine for severe asthma; or</w:t>
            </w:r>
          </w:p>
        </w:tc>
      </w:tr>
      <w:tr w:rsidR="00732948" w:rsidRPr="00EB31F2" w14:paraId="498398B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D1609F8" w14:textId="25E19404" w:rsidR="00732948" w:rsidRPr="002722F7" w:rsidRDefault="00732948" w:rsidP="00732948">
            <w:pPr>
              <w:jc w:val="center"/>
              <w:rPr>
                <w:rFonts w:ascii="Arial Narrow" w:hAnsi="Arial Narrow"/>
                <w:sz w:val="20"/>
                <w:szCs w:val="20"/>
              </w:rPr>
            </w:pPr>
          </w:p>
        </w:tc>
        <w:tc>
          <w:tcPr>
            <w:tcW w:w="7745" w:type="dxa"/>
            <w:gridSpan w:val="6"/>
            <w:vAlign w:val="center"/>
          </w:tcPr>
          <w:p w14:paraId="418940B1" w14:textId="4508E9F7" w:rsidR="00732948" w:rsidRPr="002722F7" w:rsidRDefault="00732948" w:rsidP="00732948">
            <w:pPr>
              <w:rPr>
                <w:rFonts w:ascii="Arial Narrow" w:hAnsi="Arial Narrow"/>
                <w:sz w:val="20"/>
                <w:szCs w:val="20"/>
              </w:rPr>
            </w:pPr>
            <w:r w:rsidRPr="002722F7">
              <w:rPr>
                <w:rFonts w:ascii="Arial Narrow" w:hAnsi="Arial Narrow"/>
                <w:sz w:val="20"/>
                <w:szCs w:val="20"/>
              </w:rPr>
              <w:t>Patient must have had a break in treatment from the most recently approved PBS-subsidised biological medicine for severe asthma</w:t>
            </w:r>
          </w:p>
        </w:tc>
      </w:tr>
      <w:tr w:rsidR="00732948" w:rsidRPr="00EB31F2" w14:paraId="5289CBC7"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2BDC69A" w14:textId="77777777" w:rsidR="00732948" w:rsidRPr="002722F7" w:rsidRDefault="00732948" w:rsidP="00732948">
            <w:pPr>
              <w:jc w:val="center"/>
              <w:rPr>
                <w:rFonts w:ascii="Arial Narrow" w:hAnsi="Arial Narrow"/>
                <w:sz w:val="20"/>
                <w:szCs w:val="20"/>
              </w:rPr>
            </w:pPr>
          </w:p>
        </w:tc>
        <w:tc>
          <w:tcPr>
            <w:tcW w:w="7745" w:type="dxa"/>
            <w:gridSpan w:val="6"/>
            <w:vAlign w:val="center"/>
          </w:tcPr>
          <w:p w14:paraId="1578B378" w14:textId="0B5B84BE" w:rsidR="00732948" w:rsidRPr="002722F7" w:rsidRDefault="00732948" w:rsidP="00732948">
            <w:pPr>
              <w:rPr>
                <w:rFonts w:ascii="Arial Narrow" w:hAnsi="Arial Narrow"/>
                <w:sz w:val="20"/>
                <w:szCs w:val="20"/>
              </w:rPr>
            </w:pPr>
            <w:r w:rsidRPr="002722F7">
              <w:rPr>
                <w:rFonts w:ascii="Arial Narrow" w:hAnsi="Arial Narrow"/>
                <w:b/>
                <w:bCs/>
                <w:sz w:val="20"/>
                <w:szCs w:val="20"/>
              </w:rPr>
              <w:t>AND</w:t>
            </w:r>
          </w:p>
        </w:tc>
      </w:tr>
      <w:tr w:rsidR="00732948" w:rsidRPr="00EB31F2" w14:paraId="1EF3229A"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2608F08" w14:textId="59F812F3" w:rsidR="00732948" w:rsidRPr="002722F7" w:rsidRDefault="00732948" w:rsidP="00732948">
            <w:pPr>
              <w:jc w:val="center"/>
              <w:rPr>
                <w:rFonts w:ascii="Arial Narrow" w:hAnsi="Arial Narrow"/>
                <w:sz w:val="20"/>
                <w:szCs w:val="20"/>
              </w:rPr>
            </w:pPr>
          </w:p>
        </w:tc>
        <w:tc>
          <w:tcPr>
            <w:tcW w:w="7745" w:type="dxa"/>
            <w:gridSpan w:val="6"/>
            <w:vAlign w:val="center"/>
          </w:tcPr>
          <w:p w14:paraId="0D5C09DD" w14:textId="7471BDB4" w:rsidR="00732948" w:rsidRPr="002722F7" w:rsidRDefault="00732948" w:rsidP="00732948">
            <w:pPr>
              <w:rPr>
                <w:rFonts w:ascii="Arial Narrow" w:hAnsi="Arial Narrow"/>
                <w:b/>
                <w:bCs/>
                <w:sz w:val="20"/>
                <w:szCs w:val="20"/>
              </w:rPr>
            </w:pPr>
            <w:r w:rsidRPr="002722F7">
              <w:rPr>
                <w:rFonts w:ascii="Arial Narrow" w:hAnsi="Arial Narrow"/>
                <w:b/>
                <w:bCs/>
                <w:sz w:val="20"/>
                <w:szCs w:val="20"/>
              </w:rPr>
              <w:t>Clinical criteria:</w:t>
            </w:r>
          </w:p>
        </w:tc>
      </w:tr>
      <w:tr w:rsidR="00732948" w:rsidRPr="00EB31F2" w14:paraId="620119D2"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20FD083" w14:textId="1CFBE8A5" w:rsidR="00732948" w:rsidRPr="002722F7" w:rsidRDefault="00732948" w:rsidP="00732948">
            <w:pPr>
              <w:jc w:val="center"/>
              <w:rPr>
                <w:rFonts w:ascii="Arial Narrow" w:hAnsi="Arial Narrow"/>
                <w:sz w:val="20"/>
                <w:szCs w:val="20"/>
              </w:rPr>
            </w:pPr>
          </w:p>
        </w:tc>
        <w:tc>
          <w:tcPr>
            <w:tcW w:w="7745" w:type="dxa"/>
            <w:gridSpan w:val="6"/>
            <w:vAlign w:val="center"/>
          </w:tcPr>
          <w:p w14:paraId="53BF03C9" w14:textId="7D187010" w:rsidR="00732948" w:rsidRPr="002722F7" w:rsidRDefault="00732948" w:rsidP="00732948">
            <w:pPr>
              <w:rPr>
                <w:rFonts w:ascii="Arial Narrow" w:hAnsi="Arial Narrow"/>
                <w:b/>
                <w:bCs/>
                <w:sz w:val="20"/>
                <w:szCs w:val="20"/>
              </w:rPr>
            </w:pPr>
            <w:r w:rsidRPr="002722F7">
              <w:rPr>
                <w:rFonts w:ascii="Arial Narrow" w:hAnsi="Arial Narrow"/>
                <w:sz w:val="20"/>
                <w:szCs w:val="20"/>
              </w:rPr>
              <w:t xml:space="preserve">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 </w:t>
            </w:r>
          </w:p>
        </w:tc>
      </w:tr>
      <w:tr w:rsidR="00732948" w:rsidRPr="00EB31F2" w14:paraId="645C856D"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0A8D61B" w14:textId="0718B8CB" w:rsidR="00732948" w:rsidRPr="002722F7" w:rsidRDefault="00732948" w:rsidP="00732948">
            <w:pPr>
              <w:jc w:val="center"/>
              <w:rPr>
                <w:rFonts w:ascii="Arial Narrow" w:hAnsi="Arial Narrow"/>
                <w:sz w:val="20"/>
                <w:szCs w:val="20"/>
              </w:rPr>
            </w:pPr>
          </w:p>
        </w:tc>
        <w:tc>
          <w:tcPr>
            <w:tcW w:w="7745" w:type="dxa"/>
            <w:gridSpan w:val="6"/>
            <w:vAlign w:val="center"/>
          </w:tcPr>
          <w:p w14:paraId="082A932B" w14:textId="2319313C" w:rsidR="00732948" w:rsidRPr="002722F7" w:rsidRDefault="00732948" w:rsidP="00732948">
            <w:pPr>
              <w:rPr>
                <w:rFonts w:ascii="Arial Narrow" w:hAnsi="Arial Narrow"/>
                <w:sz w:val="20"/>
                <w:szCs w:val="20"/>
              </w:rPr>
            </w:pPr>
            <w:r w:rsidRPr="002722F7">
              <w:rPr>
                <w:rFonts w:ascii="Arial Narrow" w:hAnsi="Arial Narrow"/>
                <w:sz w:val="20"/>
                <w:szCs w:val="20"/>
              </w:rPr>
              <w:t>Patient must have a diagnosis of asthma from at least two physicians experienced in the management of patients with severe asthma</w:t>
            </w:r>
          </w:p>
        </w:tc>
      </w:tr>
      <w:tr w:rsidR="00732948" w:rsidRPr="00EB31F2" w14:paraId="19D0444E"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45CC17A" w14:textId="77777777" w:rsidR="00732948" w:rsidRPr="002722F7" w:rsidRDefault="00732948" w:rsidP="00732948">
            <w:pPr>
              <w:jc w:val="center"/>
              <w:rPr>
                <w:rFonts w:ascii="Arial Narrow" w:hAnsi="Arial Narrow"/>
                <w:sz w:val="20"/>
                <w:szCs w:val="20"/>
              </w:rPr>
            </w:pPr>
          </w:p>
        </w:tc>
        <w:tc>
          <w:tcPr>
            <w:tcW w:w="7745" w:type="dxa"/>
            <w:gridSpan w:val="6"/>
            <w:vAlign w:val="center"/>
          </w:tcPr>
          <w:p w14:paraId="157738F1" w14:textId="65D91423" w:rsidR="00732948" w:rsidRPr="002722F7" w:rsidRDefault="00732948" w:rsidP="00732948">
            <w:pPr>
              <w:rPr>
                <w:rFonts w:ascii="Arial Narrow" w:hAnsi="Arial Narrow"/>
                <w:sz w:val="20"/>
                <w:szCs w:val="20"/>
              </w:rPr>
            </w:pPr>
            <w:r w:rsidRPr="002722F7">
              <w:rPr>
                <w:rFonts w:ascii="Arial Narrow" w:hAnsi="Arial Narrow"/>
                <w:b/>
                <w:bCs/>
                <w:sz w:val="20"/>
                <w:szCs w:val="20"/>
              </w:rPr>
              <w:t>AND</w:t>
            </w:r>
          </w:p>
        </w:tc>
      </w:tr>
      <w:tr w:rsidR="00732948" w:rsidRPr="00EB31F2" w14:paraId="38A0F227"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CD9D8BB" w14:textId="5A75F5B9" w:rsidR="00732948" w:rsidRPr="002722F7" w:rsidRDefault="00732948" w:rsidP="00732948">
            <w:pPr>
              <w:jc w:val="center"/>
              <w:rPr>
                <w:rFonts w:ascii="Arial Narrow" w:hAnsi="Arial Narrow"/>
                <w:sz w:val="20"/>
                <w:szCs w:val="20"/>
              </w:rPr>
            </w:pPr>
          </w:p>
        </w:tc>
        <w:tc>
          <w:tcPr>
            <w:tcW w:w="7745" w:type="dxa"/>
            <w:gridSpan w:val="6"/>
            <w:vAlign w:val="center"/>
          </w:tcPr>
          <w:p w14:paraId="3C5C366E" w14:textId="0D18383D" w:rsidR="00732948" w:rsidRPr="002722F7" w:rsidRDefault="00732948" w:rsidP="00732948">
            <w:pPr>
              <w:rPr>
                <w:rFonts w:ascii="Arial Narrow" w:hAnsi="Arial Narrow"/>
                <w:b/>
                <w:bCs/>
                <w:sz w:val="20"/>
                <w:szCs w:val="20"/>
              </w:rPr>
            </w:pPr>
            <w:r w:rsidRPr="002722F7">
              <w:rPr>
                <w:rFonts w:ascii="Arial Narrow" w:hAnsi="Arial Narrow"/>
                <w:b/>
                <w:bCs/>
                <w:sz w:val="20"/>
                <w:szCs w:val="20"/>
              </w:rPr>
              <w:t>Clinical criteria:</w:t>
            </w:r>
          </w:p>
        </w:tc>
      </w:tr>
      <w:tr w:rsidR="00732948" w:rsidRPr="00EB31F2" w14:paraId="60CDFDCE"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6F475ED" w14:textId="7A6099F6" w:rsidR="00732948" w:rsidRPr="002722F7" w:rsidRDefault="00732948" w:rsidP="00732948">
            <w:pPr>
              <w:jc w:val="center"/>
              <w:rPr>
                <w:rFonts w:ascii="Arial Narrow" w:hAnsi="Arial Narrow"/>
                <w:sz w:val="20"/>
                <w:szCs w:val="20"/>
              </w:rPr>
            </w:pPr>
          </w:p>
        </w:tc>
        <w:tc>
          <w:tcPr>
            <w:tcW w:w="7745" w:type="dxa"/>
            <w:gridSpan w:val="6"/>
            <w:vAlign w:val="center"/>
          </w:tcPr>
          <w:p w14:paraId="6B5CC3BC" w14:textId="4FC63C8E" w:rsidR="00732948" w:rsidRPr="002722F7" w:rsidRDefault="00732948" w:rsidP="00732948">
            <w:pPr>
              <w:rPr>
                <w:rFonts w:ascii="Arial Narrow" w:hAnsi="Arial Narrow"/>
                <w:b/>
                <w:bCs/>
                <w:sz w:val="20"/>
                <w:szCs w:val="20"/>
              </w:rPr>
            </w:pPr>
            <w:r w:rsidRPr="002722F7">
              <w:rPr>
                <w:rFonts w:ascii="Arial Narrow" w:hAnsi="Arial Narrow"/>
                <w:sz w:val="20"/>
                <w:szCs w:val="20"/>
              </w:rPr>
              <w:t>Patient must have a duration of asthma of at least 1 year</w:t>
            </w:r>
          </w:p>
        </w:tc>
      </w:tr>
      <w:tr w:rsidR="00732948" w:rsidRPr="00EB31F2" w14:paraId="53CAD933"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FEC2CFD" w14:textId="77777777" w:rsidR="00732948" w:rsidRPr="002722F7" w:rsidRDefault="00732948" w:rsidP="00732948">
            <w:pPr>
              <w:jc w:val="center"/>
              <w:rPr>
                <w:rFonts w:ascii="Arial Narrow" w:hAnsi="Arial Narrow"/>
                <w:sz w:val="20"/>
                <w:szCs w:val="20"/>
              </w:rPr>
            </w:pPr>
          </w:p>
        </w:tc>
        <w:tc>
          <w:tcPr>
            <w:tcW w:w="7745" w:type="dxa"/>
            <w:gridSpan w:val="6"/>
            <w:vAlign w:val="center"/>
          </w:tcPr>
          <w:p w14:paraId="1286ADEB" w14:textId="27FB68A6" w:rsidR="00732948" w:rsidRPr="002722F7" w:rsidRDefault="00732948" w:rsidP="00732948">
            <w:pPr>
              <w:rPr>
                <w:rFonts w:ascii="Arial Narrow" w:hAnsi="Arial Narrow"/>
                <w:sz w:val="20"/>
                <w:szCs w:val="20"/>
              </w:rPr>
            </w:pPr>
            <w:r w:rsidRPr="002722F7">
              <w:rPr>
                <w:rFonts w:ascii="Arial Narrow" w:hAnsi="Arial Narrow"/>
                <w:b/>
                <w:bCs/>
                <w:sz w:val="20"/>
                <w:szCs w:val="20"/>
              </w:rPr>
              <w:t>AND</w:t>
            </w:r>
          </w:p>
        </w:tc>
      </w:tr>
      <w:tr w:rsidR="00732948" w:rsidRPr="00EB31F2" w14:paraId="39DDCE5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E5A4619" w14:textId="66FF77D0" w:rsidR="00732948" w:rsidRPr="002722F7" w:rsidRDefault="00732948" w:rsidP="00732948">
            <w:pPr>
              <w:jc w:val="center"/>
              <w:rPr>
                <w:rFonts w:ascii="Arial Narrow" w:hAnsi="Arial Narrow"/>
                <w:sz w:val="20"/>
                <w:szCs w:val="20"/>
              </w:rPr>
            </w:pPr>
          </w:p>
        </w:tc>
        <w:tc>
          <w:tcPr>
            <w:tcW w:w="7745" w:type="dxa"/>
            <w:gridSpan w:val="6"/>
            <w:vAlign w:val="center"/>
          </w:tcPr>
          <w:p w14:paraId="283FFD1B" w14:textId="394CB3A6" w:rsidR="00732948" w:rsidRPr="002722F7" w:rsidRDefault="00732948" w:rsidP="00732948">
            <w:pPr>
              <w:rPr>
                <w:rFonts w:ascii="Arial Narrow" w:hAnsi="Arial Narrow"/>
                <w:b/>
                <w:bCs/>
                <w:sz w:val="20"/>
                <w:szCs w:val="20"/>
              </w:rPr>
            </w:pPr>
            <w:r w:rsidRPr="002722F7">
              <w:rPr>
                <w:rFonts w:ascii="Arial Narrow" w:hAnsi="Arial Narrow"/>
                <w:b/>
                <w:bCs/>
                <w:sz w:val="20"/>
                <w:szCs w:val="20"/>
              </w:rPr>
              <w:t>Clinical criteria:</w:t>
            </w:r>
          </w:p>
        </w:tc>
      </w:tr>
      <w:tr w:rsidR="00732948" w:rsidRPr="00EB31F2" w14:paraId="48A8A755"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CB1210F" w14:textId="71A453BB" w:rsidR="00732948" w:rsidRPr="002722F7" w:rsidRDefault="00732948" w:rsidP="00732948">
            <w:pPr>
              <w:jc w:val="center"/>
              <w:rPr>
                <w:rFonts w:ascii="Arial Narrow" w:hAnsi="Arial Narrow"/>
                <w:sz w:val="20"/>
                <w:szCs w:val="20"/>
              </w:rPr>
            </w:pPr>
          </w:p>
        </w:tc>
        <w:tc>
          <w:tcPr>
            <w:tcW w:w="7745" w:type="dxa"/>
            <w:gridSpan w:val="6"/>
            <w:vAlign w:val="center"/>
          </w:tcPr>
          <w:p w14:paraId="424E15D7" w14:textId="665199D4" w:rsidR="00732948" w:rsidRPr="002722F7" w:rsidRDefault="00732948" w:rsidP="00732948">
            <w:pPr>
              <w:rPr>
                <w:rFonts w:ascii="Arial Narrow" w:hAnsi="Arial Narrow"/>
                <w:b/>
                <w:bCs/>
                <w:sz w:val="20"/>
                <w:szCs w:val="20"/>
              </w:rPr>
            </w:pPr>
            <w:r w:rsidRPr="002722F7">
              <w:rPr>
                <w:rFonts w:ascii="Arial Narrow" w:hAnsi="Arial Narrow"/>
                <w:sz w:val="20"/>
                <w:szCs w:val="20"/>
              </w:rPr>
              <w:t xml:space="preserve">Patient must have blood eosinophil count greater than or equal to 300 cells per microlitre in the past 12 months; or </w:t>
            </w:r>
          </w:p>
        </w:tc>
      </w:tr>
      <w:tr w:rsidR="00732948" w:rsidRPr="00EB31F2" w14:paraId="2781D62E"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184D48C" w14:textId="482D1FB9" w:rsidR="00732948" w:rsidRPr="002722F7" w:rsidRDefault="00732948" w:rsidP="00732948">
            <w:pPr>
              <w:jc w:val="center"/>
              <w:rPr>
                <w:rFonts w:ascii="Arial Narrow" w:hAnsi="Arial Narrow"/>
                <w:sz w:val="20"/>
                <w:szCs w:val="20"/>
              </w:rPr>
            </w:pPr>
          </w:p>
        </w:tc>
        <w:tc>
          <w:tcPr>
            <w:tcW w:w="7745" w:type="dxa"/>
            <w:gridSpan w:val="6"/>
            <w:vAlign w:val="center"/>
          </w:tcPr>
          <w:p w14:paraId="1FDAC9F1" w14:textId="4D498224" w:rsidR="00732948" w:rsidRPr="002722F7" w:rsidRDefault="00732948" w:rsidP="00732948">
            <w:pPr>
              <w:rPr>
                <w:rFonts w:ascii="Arial Narrow" w:hAnsi="Arial Narrow"/>
                <w:sz w:val="20"/>
                <w:szCs w:val="20"/>
              </w:rPr>
            </w:pPr>
            <w:r w:rsidRPr="002722F7">
              <w:rPr>
                <w:rFonts w:ascii="Arial Narrow" w:hAnsi="Arial Narrow"/>
                <w:sz w:val="20"/>
                <w:szCs w:val="20"/>
              </w:rPr>
              <w:t>Patient must blood eosinophil count greater than or equal to 150 cells per microlitre while receiving treatment with oral corticosteroids in the last 12 months</w:t>
            </w:r>
          </w:p>
        </w:tc>
      </w:tr>
      <w:tr w:rsidR="00732948" w:rsidRPr="00EB31F2" w14:paraId="1DDC970C"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1423ED3" w14:textId="77777777" w:rsidR="00732948" w:rsidRPr="002722F7" w:rsidRDefault="00732948" w:rsidP="00732948">
            <w:pPr>
              <w:jc w:val="center"/>
              <w:rPr>
                <w:rFonts w:ascii="Arial Narrow" w:hAnsi="Arial Narrow"/>
                <w:sz w:val="20"/>
                <w:szCs w:val="20"/>
              </w:rPr>
            </w:pPr>
          </w:p>
        </w:tc>
        <w:tc>
          <w:tcPr>
            <w:tcW w:w="7745" w:type="dxa"/>
            <w:gridSpan w:val="6"/>
            <w:vAlign w:val="center"/>
          </w:tcPr>
          <w:p w14:paraId="4571126C" w14:textId="329B6AB9" w:rsidR="00732948" w:rsidRPr="002722F7" w:rsidRDefault="00732948" w:rsidP="00732948">
            <w:pPr>
              <w:rPr>
                <w:rFonts w:ascii="Arial Narrow" w:hAnsi="Arial Narrow"/>
                <w:sz w:val="20"/>
                <w:szCs w:val="20"/>
              </w:rPr>
            </w:pPr>
            <w:r w:rsidRPr="002722F7">
              <w:rPr>
                <w:rFonts w:ascii="Arial Narrow" w:hAnsi="Arial Narrow"/>
                <w:b/>
                <w:bCs/>
                <w:sz w:val="20"/>
                <w:szCs w:val="20"/>
              </w:rPr>
              <w:t>AND</w:t>
            </w:r>
          </w:p>
        </w:tc>
      </w:tr>
      <w:tr w:rsidR="00732948" w:rsidRPr="00EB31F2" w14:paraId="56079D4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3C19CC4" w14:textId="0626E08A" w:rsidR="00732948" w:rsidRPr="002722F7" w:rsidRDefault="00732948" w:rsidP="00732948">
            <w:pPr>
              <w:jc w:val="center"/>
              <w:rPr>
                <w:rFonts w:ascii="Arial Narrow" w:hAnsi="Arial Narrow"/>
                <w:sz w:val="20"/>
                <w:szCs w:val="20"/>
              </w:rPr>
            </w:pPr>
          </w:p>
        </w:tc>
        <w:tc>
          <w:tcPr>
            <w:tcW w:w="7745" w:type="dxa"/>
            <w:gridSpan w:val="6"/>
            <w:vAlign w:val="center"/>
          </w:tcPr>
          <w:p w14:paraId="45A7EBA3" w14:textId="4BB1DEA8" w:rsidR="00732948" w:rsidRPr="002722F7" w:rsidRDefault="00732948" w:rsidP="00732948">
            <w:pPr>
              <w:rPr>
                <w:rFonts w:ascii="Arial Narrow" w:hAnsi="Arial Narrow"/>
                <w:b/>
                <w:bCs/>
                <w:sz w:val="20"/>
                <w:szCs w:val="20"/>
              </w:rPr>
            </w:pPr>
            <w:r w:rsidRPr="002722F7">
              <w:rPr>
                <w:rFonts w:ascii="Arial Narrow" w:hAnsi="Arial Narrow"/>
                <w:b/>
                <w:bCs/>
                <w:sz w:val="20"/>
                <w:szCs w:val="20"/>
              </w:rPr>
              <w:t>Clinical criteria:</w:t>
            </w:r>
          </w:p>
        </w:tc>
      </w:tr>
      <w:tr w:rsidR="00732948" w:rsidRPr="00EB31F2" w14:paraId="3F175561"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52A63E9" w14:textId="1C80C9EE" w:rsidR="00732948" w:rsidRPr="002722F7" w:rsidRDefault="00732948" w:rsidP="00732948">
            <w:pPr>
              <w:jc w:val="center"/>
              <w:rPr>
                <w:rFonts w:ascii="Arial Narrow" w:hAnsi="Arial Narrow"/>
                <w:sz w:val="20"/>
                <w:szCs w:val="20"/>
              </w:rPr>
            </w:pPr>
          </w:p>
        </w:tc>
        <w:tc>
          <w:tcPr>
            <w:tcW w:w="7745" w:type="dxa"/>
            <w:gridSpan w:val="6"/>
            <w:vAlign w:val="center"/>
          </w:tcPr>
          <w:p w14:paraId="7647E489" w14:textId="31A811DF" w:rsidR="00732948" w:rsidRPr="002722F7" w:rsidRDefault="00732948" w:rsidP="00732948">
            <w:pPr>
              <w:rPr>
                <w:rFonts w:ascii="Arial Narrow" w:hAnsi="Arial Narrow"/>
                <w:b/>
                <w:bCs/>
                <w:sz w:val="20"/>
                <w:szCs w:val="20"/>
              </w:rPr>
            </w:pPr>
            <w:r w:rsidRPr="002722F7">
              <w:rPr>
                <w:rFonts w:ascii="Arial Narrow" w:hAnsi="Arial Narrow"/>
                <w:sz w:val="20"/>
                <w:szCs w:val="20"/>
              </w:rPr>
              <w:t>Patient must have failed to achieve adequate control with optimised asthma therapy, despite formal assessment of an adherence to correct inhaler technique, which has been documented</w:t>
            </w:r>
          </w:p>
        </w:tc>
      </w:tr>
      <w:tr w:rsidR="00732948" w:rsidRPr="00EB31F2" w14:paraId="54AF8D7D"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9CBA1E9" w14:textId="77777777" w:rsidR="00732948" w:rsidRPr="002722F7" w:rsidRDefault="00732948" w:rsidP="00732948">
            <w:pPr>
              <w:jc w:val="center"/>
              <w:rPr>
                <w:rFonts w:ascii="Arial Narrow" w:hAnsi="Arial Narrow"/>
                <w:sz w:val="20"/>
                <w:szCs w:val="20"/>
              </w:rPr>
            </w:pPr>
          </w:p>
        </w:tc>
        <w:tc>
          <w:tcPr>
            <w:tcW w:w="7745" w:type="dxa"/>
            <w:gridSpan w:val="6"/>
            <w:vAlign w:val="center"/>
          </w:tcPr>
          <w:p w14:paraId="040F2949" w14:textId="6DD3E88C" w:rsidR="00732948" w:rsidRPr="002722F7" w:rsidRDefault="00732948" w:rsidP="00732948">
            <w:pPr>
              <w:rPr>
                <w:rFonts w:ascii="Arial Narrow" w:hAnsi="Arial Narrow"/>
                <w:sz w:val="20"/>
                <w:szCs w:val="20"/>
              </w:rPr>
            </w:pPr>
            <w:r w:rsidRPr="002722F7">
              <w:rPr>
                <w:rFonts w:ascii="Arial Narrow" w:hAnsi="Arial Narrow"/>
                <w:b/>
                <w:bCs/>
                <w:sz w:val="20"/>
                <w:szCs w:val="20"/>
              </w:rPr>
              <w:t>AND</w:t>
            </w:r>
          </w:p>
        </w:tc>
      </w:tr>
      <w:tr w:rsidR="00732948" w:rsidRPr="00EB31F2" w14:paraId="3B315C82"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8D719F7" w14:textId="13CF60FE" w:rsidR="00732948" w:rsidRPr="002722F7" w:rsidRDefault="00732948" w:rsidP="00732948">
            <w:pPr>
              <w:jc w:val="center"/>
              <w:rPr>
                <w:rFonts w:ascii="Arial Narrow" w:hAnsi="Arial Narrow"/>
                <w:sz w:val="20"/>
                <w:szCs w:val="20"/>
              </w:rPr>
            </w:pPr>
          </w:p>
        </w:tc>
        <w:tc>
          <w:tcPr>
            <w:tcW w:w="7745" w:type="dxa"/>
            <w:gridSpan w:val="6"/>
            <w:vAlign w:val="center"/>
          </w:tcPr>
          <w:p w14:paraId="6F0C0539" w14:textId="527DEACF" w:rsidR="00732948" w:rsidRPr="002722F7" w:rsidRDefault="00732948" w:rsidP="00732948">
            <w:pPr>
              <w:rPr>
                <w:rFonts w:ascii="Arial Narrow" w:hAnsi="Arial Narrow"/>
                <w:b/>
                <w:bCs/>
                <w:sz w:val="20"/>
                <w:szCs w:val="20"/>
              </w:rPr>
            </w:pPr>
            <w:r w:rsidRPr="002722F7">
              <w:rPr>
                <w:rFonts w:ascii="Arial Narrow" w:hAnsi="Arial Narrow"/>
                <w:b/>
                <w:bCs/>
                <w:sz w:val="20"/>
                <w:szCs w:val="20"/>
              </w:rPr>
              <w:t>Clinical criteria:</w:t>
            </w:r>
          </w:p>
        </w:tc>
      </w:tr>
      <w:tr w:rsidR="00732948" w:rsidRPr="00EB31F2" w14:paraId="16AD74CD"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14AEA1D" w14:textId="15C8A63A" w:rsidR="00732948" w:rsidRPr="002722F7" w:rsidRDefault="00732948" w:rsidP="00732948">
            <w:pPr>
              <w:jc w:val="center"/>
              <w:rPr>
                <w:rFonts w:ascii="Arial Narrow" w:hAnsi="Arial Narrow"/>
                <w:sz w:val="20"/>
                <w:szCs w:val="20"/>
              </w:rPr>
            </w:pPr>
          </w:p>
        </w:tc>
        <w:tc>
          <w:tcPr>
            <w:tcW w:w="7745" w:type="dxa"/>
            <w:gridSpan w:val="6"/>
            <w:vAlign w:val="center"/>
          </w:tcPr>
          <w:p w14:paraId="2204368D" w14:textId="53F2575B" w:rsidR="00732948" w:rsidRPr="002722F7" w:rsidRDefault="00732948" w:rsidP="00732948">
            <w:pPr>
              <w:rPr>
                <w:rFonts w:ascii="Arial Narrow" w:hAnsi="Arial Narrow"/>
                <w:b/>
                <w:bCs/>
                <w:sz w:val="20"/>
                <w:szCs w:val="20"/>
              </w:rPr>
            </w:pPr>
            <w:r w:rsidRPr="002722F7">
              <w:rPr>
                <w:rFonts w:ascii="Arial Narrow" w:hAnsi="Arial Narrow"/>
                <w:sz w:val="20"/>
                <w:szCs w:val="20"/>
              </w:rPr>
              <w:t>Patient must not receive more than 32 weeks of treatment under this restriction</w:t>
            </w:r>
          </w:p>
        </w:tc>
      </w:tr>
      <w:tr w:rsidR="00732948" w:rsidRPr="00EB31F2" w14:paraId="76C6BCEF"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003EA1A" w14:textId="77777777" w:rsidR="00732948" w:rsidRPr="002722F7" w:rsidRDefault="00732948" w:rsidP="00732948">
            <w:pPr>
              <w:jc w:val="center"/>
              <w:rPr>
                <w:rFonts w:ascii="Arial Narrow" w:hAnsi="Arial Narrow"/>
                <w:sz w:val="20"/>
                <w:szCs w:val="20"/>
              </w:rPr>
            </w:pPr>
          </w:p>
        </w:tc>
        <w:tc>
          <w:tcPr>
            <w:tcW w:w="7745" w:type="dxa"/>
            <w:gridSpan w:val="6"/>
            <w:vAlign w:val="center"/>
          </w:tcPr>
          <w:p w14:paraId="0138B00E" w14:textId="414B1157" w:rsidR="00732948" w:rsidRPr="002722F7" w:rsidRDefault="00732948" w:rsidP="00732948">
            <w:pPr>
              <w:rPr>
                <w:rFonts w:ascii="Arial Narrow" w:hAnsi="Arial Narrow"/>
                <w:sz w:val="20"/>
                <w:szCs w:val="20"/>
              </w:rPr>
            </w:pPr>
            <w:r w:rsidRPr="002722F7">
              <w:rPr>
                <w:rFonts w:ascii="Arial Narrow" w:hAnsi="Arial Narrow"/>
                <w:b/>
                <w:bCs/>
                <w:sz w:val="20"/>
                <w:szCs w:val="20"/>
              </w:rPr>
              <w:t>AND</w:t>
            </w:r>
          </w:p>
        </w:tc>
      </w:tr>
      <w:tr w:rsidR="00732948" w:rsidRPr="00EB31F2" w14:paraId="600A9946"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E388228" w14:textId="4D9DAA27" w:rsidR="00732948" w:rsidRPr="002722F7" w:rsidRDefault="00732948" w:rsidP="00732948">
            <w:pPr>
              <w:jc w:val="center"/>
              <w:rPr>
                <w:rFonts w:ascii="Arial Narrow" w:hAnsi="Arial Narrow"/>
                <w:sz w:val="20"/>
                <w:szCs w:val="20"/>
              </w:rPr>
            </w:pPr>
          </w:p>
        </w:tc>
        <w:tc>
          <w:tcPr>
            <w:tcW w:w="7745" w:type="dxa"/>
            <w:gridSpan w:val="6"/>
            <w:vAlign w:val="center"/>
          </w:tcPr>
          <w:p w14:paraId="68E62447" w14:textId="4D91AFEB" w:rsidR="00732948" w:rsidRPr="002722F7" w:rsidRDefault="00732948" w:rsidP="00732948">
            <w:pPr>
              <w:rPr>
                <w:rFonts w:ascii="Arial Narrow" w:hAnsi="Arial Narrow"/>
                <w:b/>
                <w:bCs/>
                <w:sz w:val="20"/>
                <w:szCs w:val="20"/>
              </w:rPr>
            </w:pPr>
            <w:r w:rsidRPr="002722F7">
              <w:rPr>
                <w:rFonts w:ascii="Arial Narrow" w:hAnsi="Arial Narrow"/>
                <w:b/>
                <w:bCs/>
                <w:sz w:val="20"/>
                <w:szCs w:val="20"/>
              </w:rPr>
              <w:t>Clinical criteria:</w:t>
            </w:r>
          </w:p>
        </w:tc>
      </w:tr>
      <w:tr w:rsidR="00732948" w:rsidRPr="00EB31F2" w14:paraId="28FE03DB"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0F26871" w14:textId="34958504" w:rsidR="00732948" w:rsidRPr="002722F7" w:rsidRDefault="00732948" w:rsidP="00732948">
            <w:pPr>
              <w:jc w:val="center"/>
              <w:rPr>
                <w:rFonts w:ascii="Arial Narrow" w:hAnsi="Arial Narrow"/>
                <w:sz w:val="20"/>
                <w:szCs w:val="20"/>
              </w:rPr>
            </w:pPr>
          </w:p>
        </w:tc>
        <w:tc>
          <w:tcPr>
            <w:tcW w:w="7745" w:type="dxa"/>
            <w:gridSpan w:val="6"/>
            <w:vAlign w:val="center"/>
          </w:tcPr>
          <w:p w14:paraId="6E9D70D1" w14:textId="3283C55B" w:rsidR="00732948" w:rsidRPr="002722F7" w:rsidRDefault="00732948" w:rsidP="00732948">
            <w:pPr>
              <w:rPr>
                <w:rFonts w:ascii="Arial Narrow" w:hAnsi="Arial Narrow"/>
                <w:b/>
                <w:bCs/>
                <w:sz w:val="20"/>
                <w:szCs w:val="20"/>
              </w:rPr>
            </w:pPr>
            <w:r w:rsidRPr="002722F7">
              <w:rPr>
                <w:rFonts w:ascii="Arial Narrow" w:hAnsi="Arial Narrow"/>
                <w:sz w:val="20"/>
                <w:szCs w:val="20"/>
              </w:rPr>
              <w:t>The treatment must not be used in combination with and within 4 weeks of another PBS-subsidised biological medicine prescribed for severe asthma</w:t>
            </w:r>
          </w:p>
        </w:tc>
      </w:tr>
      <w:tr w:rsidR="00732948" w:rsidRPr="00EB31F2" w14:paraId="3BD2AA22"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B73BB3B" w14:textId="671CC50A" w:rsidR="00732948" w:rsidRPr="002722F7" w:rsidRDefault="00732948" w:rsidP="00732948">
            <w:pPr>
              <w:jc w:val="center"/>
              <w:rPr>
                <w:rFonts w:ascii="Arial Narrow" w:hAnsi="Arial Narrow"/>
                <w:sz w:val="20"/>
                <w:szCs w:val="20"/>
              </w:rPr>
            </w:pPr>
          </w:p>
        </w:tc>
        <w:tc>
          <w:tcPr>
            <w:tcW w:w="7745" w:type="dxa"/>
            <w:gridSpan w:val="6"/>
            <w:vAlign w:val="center"/>
          </w:tcPr>
          <w:p w14:paraId="11E2909E" w14:textId="6D359296" w:rsidR="00732948" w:rsidRPr="002722F7" w:rsidRDefault="00732948" w:rsidP="00732948">
            <w:pPr>
              <w:rPr>
                <w:rFonts w:ascii="Arial Narrow" w:hAnsi="Arial Narrow"/>
                <w:sz w:val="20"/>
                <w:szCs w:val="20"/>
              </w:rPr>
            </w:pPr>
            <w:r w:rsidRPr="002722F7">
              <w:rPr>
                <w:rFonts w:ascii="Arial Narrow" w:hAnsi="Arial Narrow"/>
                <w:b/>
                <w:bCs/>
                <w:sz w:val="20"/>
                <w:szCs w:val="20"/>
              </w:rPr>
              <w:t>Population criteria:</w:t>
            </w:r>
          </w:p>
        </w:tc>
      </w:tr>
      <w:tr w:rsidR="00732948" w:rsidRPr="00EB31F2" w14:paraId="39E964D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DA06E8B" w14:textId="55C001A0" w:rsidR="00732948" w:rsidRPr="002722F7" w:rsidRDefault="00732948" w:rsidP="00732948">
            <w:pPr>
              <w:jc w:val="center"/>
              <w:rPr>
                <w:rFonts w:ascii="Arial Narrow" w:hAnsi="Arial Narrow"/>
                <w:sz w:val="20"/>
                <w:szCs w:val="20"/>
              </w:rPr>
            </w:pPr>
          </w:p>
        </w:tc>
        <w:tc>
          <w:tcPr>
            <w:tcW w:w="7745" w:type="dxa"/>
            <w:gridSpan w:val="6"/>
            <w:vAlign w:val="center"/>
          </w:tcPr>
          <w:p w14:paraId="2EBD9427" w14:textId="1AC2F57C" w:rsidR="00732948" w:rsidRPr="002722F7" w:rsidRDefault="00732948" w:rsidP="00732948">
            <w:pPr>
              <w:rPr>
                <w:rFonts w:ascii="Arial Narrow" w:hAnsi="Arial Narrow"/>
                <w:b/>
                <w:bCs/>
                <w:sz w:val="20"/>
                <w:szCs w:val="20"/>
              </w:rPr>
            </w:pPr>
            <w:r w:rsidRPr="002722F7">
              <w:rPr>
                <w:rFonts w:ascii="Arial Narrow" w:hAnsi="Arial Narrow"/>
                <w:sz w:val="20"/>
                <w:szCs w:val="20"/>
              </w:rPr>
              <w:t>Patient must be aged 12 years or older</w:t>
            </w:r>
          </w:p>
        </w:tc>
      </w:tr>
      <w:tr w:rsidR="00732948" w:rsidRPr="00EB31F2" w14:paraId="537BCA2E"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109D348" w14:textId="420B2DAB" w:rsidR="00732948" w:rsidRPr="002722F7" w:rsidRDefault="00732948" w:rsidP="00732948">
            <w:pPr>
              <w:jc w:val="center"/>
              <w:rPr>
                <w:rFonts w:ascii="Arial Narrow" w:hAnsi="Arial Narrow"/>
                <w:sz w:val="20"/>
                <w:szCs w:val="20"/>
              </w:rPr>
            </w:pPr>
          </w:p>
        </w:tc>
        <w:tc>
          <w:tcPr>
            <w:tcW w:w="7745" w:type="dxa"/>
            <w:gridSpan w:val="6"/>
            <w:vAlign w:val="center"/>
          </w:tcPr>
          <w:p w14:paraId="05263ACA" w14:textId="77777777" w:rsidR="00732948" w:rsidRPr="002722F7" w:rsidRDefault="00732948" w:rsidP="00732948">
            <w:pPr>
              <w:rPr>
                <w:rFonts w:ascii="Arial Narrow" w:hAnsi="Arial Narrow"/>
                <w:bCs/>
                <w:sz w:val="20"/>
                <w:szCs w:val="20"/>
              </w:rPr>
            </w:pPr>
            <w:r w:rsidRPr="002722F7">
              <w:rPr>
                <w:rFonts w:ascii="Arial Narrow" w:hAnsi="Arial Narrow"/>
                <w:b/>
                <w:bCs/>
                <w:sz w:val="20"/>
                <w:szCs w:val="20"/>
              </w:rPr>
              <w:t xml:space="preserve">Prescribing Instructions: </w:t>
            </w:r>
          </w:p>
          <w:p w14:paraId="26A9F941" w14:textId="77777777" w:rsidR="00732948" w:rsidRPr="002722F7" w:rsidRDefault="00732948" w:rsidP="00732948">
            <w:pPr>
              <w:rPr>
                <w:rFonts w:ascii="Arial Narrow" w:hAnsi="Arial Narrow"/>
                <w:bCs/>
                <w:strike/>
                <w:sz w:val="20"/>
                <w:szCs w:val="20"/>
              </w:rPr>
            </w:pPr>
            <w:r w:rsidRPr="002722F7">
              <w:rPr>
                <w:rFonts w:ascii="Arial Narrow" w:hAnsi="Arial Narrow"/>
                <w:bCs/>
                <w:sz w:val="20"/>
                <w:szCs w:val="20"/>
              </w:rPr>
              <w:t>Optimised asthma therapy includes</w:t>
            </w:r>
            <w:r w:rsidRPr="002722F7">
              <w:rPr>
                <w:rFonts w:ascii="Arial Narrow" w:hAnsi="Arial Narrow"/>
                <w:bCs/>
                <w:strike/>
                <w:sz w:val="20"/>
                <w:szCs w:val="20"/>
              </w:rPr>
              <w:t>:</w:t>
            </w:r>
          </w:p>
          <w:p w14:paraId="61CBE9FC" w14:textId="77777777" w:rsidR="00732948" w:rsidRPr="002722F7" w:rsidRDefault="00732948" w:rsidP="00732948">
            <w:pPr>
              <w:rPr>
                <w:rFonts w:ascii="Arial Narrow" w:hAnsi="Arial Narrow"/>
                <w:sz w:val="20"/>
                <w:szCs w:val="20"/>
              </w:rPr>
            </w:pPr>
            <w:r w:rsidRPr="002722F7">
              <w:rPr>
                <w:rFonts w:ascii="Arial Narrow" w:hAnsi="Arial Narrow"/>
                <w:bCs/>
                <w:strike/>
                <w:sz w:val="20"/>
                <w:szCs w:val="20"/>
              </w:rPr>
              <w:t>(</w:t>
            </w:r>
            <w:r w:rsidRPr="002722F7">
              <w:rPr>
                <w:rFonts w:ascii="Arial Narrow" w:hAnsi="Arial Narrow"/>
                <w:strike/>
                <w:sz w:val="20"/>
                <w:szCs w:val="20"/>
              </w:rPr>
              <w:t xml:space="preserve">i) </w:t>
            </w:r>
            <w:r w:rsidRPr="002722F7">
              <w:rPr>
                <w:rFonts w:ascii="Arial Narrow" w:hAnsi="Arial Narrow"/>
                <w:sz w:val="20"/>
                <w:szCs w:val="20"/>
              </w:rPr>
              <w:t xml:space="preserve">Adherence to maximal inhaled therapy, including high dose inhaled corticosteroid (ICS) plus long-acting beta-2 agonist (LABA) therapy for at least 12 months, unless contraindicated or not tolerated; </w:t>
            </w:r>
          </w:p>
          <w:p w14:paraId="66DC4B4D" w14:textId="77777777" w:rsidR="00732948" w:rsidRPr="002722F7" w:rsidRDefault="00732948" w:rsidP="00732948">
            <w:pPr>
              <w:rPr>
                <w:rFonts w:ascii="Arial Narrow" w:hAnsi="Arial Narrow"/>
                <w:strike/>
                <w:sz w:val="20"/>
                <w:szCs w:val="20"/>
              </w:rPr>
            </w:pPr>
            <w:r w:rsidRPr="002722F7">
              <w:rPr>
                <w:rFonts w:ascii="Arial Narrow" w:hAnsi="Arial Narrow"/>
                <w:strike/>
                <w:sz w:val="20"/>
                <w:szCs w:val="20"/>
              </w:rPr>
              <w:t xml:space="preserve">AND </w:t>
            </w:r>
          </w:p>
          <w:p w14:paraId="2C41B240" w14:textId="77777777" w:rsidR="00732948" w:rsidRPr="002722F7" w:rsidRDefault="00732948" w:rsidP="00732948">
            <w:pPr>
              <w:rPr>
                <w:rFonts w:ascii="Arial Narrow" w:hAnsi="Arial Narrow"/>
                <w:strike/>
                <w:sz w:val="20"/>
                <w:szCs w:val="20"/>
              </w:rPr>
            </w:pPr>
            <w:r w:rsidRPr="002722F7">
              <w:rPr>
                <w:rFonts w:ascii="Arial Narrow" w:hAnsi="Arial Narrow"/>
                <w:strike/>
                <w:sz w:val="20"/>
                <w:szCs w:val="20"/>
              </w:rPr>
              <w:t xml:space="preserve">(ii) treatment with oral corticosteroids, either daily oral corticosteroids for at least 6 weeks, OR a cumulative dose of oral corticosteroids of at least 500 mg prednisolone equivalent in the previous 12 months, unless contraindicated or not tolerated. </w:t>
            </w:r>
          </w:p>
          <w:p w14:paraId="50FB4B12" w14:textId="6F5FFC97" w:rsidR="00732948" w:rsidRPr="002722F7" w:rsidRDefault="00732948" w:rsidP="00732948">
            <w:pPr>
              <w:rPr>
                <w:rFonts w:ascii="Arial Narrow" w:hAnsi="Arial Narrow"/>
                <w:sz w:val="20"/>
                <w:szCs w:val="20"/>
              </w:rPr>
            </w:pPr>
            <w:r w:rsidRPr="002722F7">
              <w:rPr>
                <w:rFonts w:ascii="Arial Narrow" w:hAnsi="Arial Narrow"/>
                <w:sz w:val="20"/>
                <w:szCs w:val="20"/>
              </w:rPr>
              <w:t xml:space="preserve">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w:t>
            </w:r>
            <w:r w:rsidRPr="00B2393D">
              <w:rPr>
                <w:rFonts w:ascii="Arial Narrow" w:hAnsi="Arial Narrow"/>
                <w:sz w:val="20"/>
                <w:szCs w:val="20"/>
              </w:rPr>
              <w:t>in the Authority application.</w:t>
            </w:r>
          </w:p>
        </w:tc>
      </w:tr>
      <w:tr w:rsidR="00732948" w:rsidRPr="00EB31F2" w14:paraId="3693DE94" w14:textId="77777777" w:rsidTr="00C61416">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41DC1865" w14:textId="2AE5A51E" w:rsidR="00732948" w:rsidRPr="002722F7" w:rsidRDefault="00732948" w:rsidP="00732948">
            <w:pPr>
              <w:jc w:val="center"/>
              <w:rPr>
                <w:rFonts w:ascii="Arial Narrow" w:hAnsi="Arial Narrow"/>
                <w:sz w:val="20"/>
                <w:szCs w:val="20"/>
              </w:rPr>
            </w:pPr>
          </w:p>
        </w:tc>
        <w:tc>
          <w:tcPr>
            <w:tcW w:w="7745" w:type="dxa"/>
            <w:gridSpan w:val="6"/>
            <w:vAlign w:val="center"/>
          </w:tcPr>
          <w:p w14:paraId="1127A092" w14:textId="77777777" w:rsidR="00732948" w:rsidRPr="002722F7" w:rsidRDefault="00732948" w:rsidP="00732948">
            <w:pPr>
              <w:rPr>
                <w:rFonts w:ascii="Arial Narrow" w:hAnsi="Arial Narrow"/>
                <w:bCs/>
                <w:sz w:val="20"/>
                <w:szCs w:val="20"/>
              </w:rPr>
            </w:pPr>
            <w:r w:rsidRPr="002722F7">
              <w:rPr>
                <w:rFonts w:ascii="Arial Narrow" w:hAnsi="Arial Narrow"/>
                <w:b/>
                <w:bCs/>
                <w:sz w:val="20"/>
                <w:szCs w:val="20"/>
              </w:rPr>
              <w:t xml:space="preserve">Prescribing Instructions: </w:t>
            </w:r>
          </w:p>
          <w:p w14:paraId="3847C706" w14:textId="3F13741D" w:rsidR="00732948" w:rsidRPr="002722F7" w:rsidRDefault="00732948" w:rsidP="00732948">
            <w:pPr>
              <w:rPr>
                <w:rFonts w:ascii="Arial Narrow" w:hAnsi="Arial Narrow"/>
                <w:sz w:val="20"/>
                <w:szCs w:val="20"/>
              </w:rPr>
            </w:pPr>
            <w:r w:rsidRPr="002722F7">
              <w:rPr>
                <w:rFonts w:ascii="Arial Narrow" w:hAnsi="Arial Narrow"/>
                <w:sz w:val="20"/>
                <w:szCs w:val="20"/>
              </w:rPr>
              <w:t xml:space="preserve">The following initiation criteria indicate failure to achieve adequate control and must be demonstrated in all patients at the time of </w:t>
            </w:r>
            <w:r w:rsidR="00506CD9" w:rsidRPr="002722F7">
              <w:rPr>
                <w:rFonts w:ascii="Arial Narrow" w:hAnsi="Arial Narrow"/>
                <w:sz w:val="20"/>
                <w:szCs w:val="20"/>
              </w:rPr>
              <w:t>applicat</w:t>
            </w:r>
            <w:r w:rsidR="00506CD9">
              <w:rPr>
                <w:rFonts w:ascii="Arial Narrow" w:hAnsi="Arial Narrow"/>
                <w:sz w:val="20"/>
                <w:szCs w:val="20"/>
              </w:rPr>
              <w:t>i</w:t>
            </w:r>
            <w:r w:rsidR="00506CD9" w:rsidRPr="002722F7">
              <w:rPr>
                <w:rFonts w:ascii="Arial Narrow" w:hAnsi="Arial Narrow"/>
                <w:sz w:val="20"/>
                <w:szCs w:val="20"/>
              </w:rPr>
              <w:t>on</w:t>
            </w:r>
            <w:r w:rsidRPr="002722F7">
              <w:rPr>
                <w:rFonts w:ascii="Arial Narrow" w:hAnsi="Arial Narrow"/>
                <w:sz w:val="20"/>
                <w:szCs w:val="20"/>
              </w:rPr>
              <w:t>:</w:t>
            </w:r>
          </w:p>
          <w:p w14:paraId="34AB14AF" w14:textId="77777777" w:rsidR="00732948" w:rsidRPr="00A10B7A" w:rsidRDefault="00732948" w:rsidP="00732948">
            <w:pPr>
              <w:rPr>
                <w:rFonts w:ascii="Arial Narrow" w:hAnsi="Arial Narrow"/>
                <w:sz w:val="20"/>
                <w:szCs w:val="20"/>
              </w:rPr>
            </w:pPr>
            <w:r w:rsidRPr="002722F7">
              <w:rPr>
                <w:rFonts w:ascii="Arial Narrow" w:hAnsi="Arial Narrow"/>
                <w:sz w:val="20"/>
                <w:szCs w:val="20"/>
              </w:rPr>
              <w:t xml:space="preserve">(a) an Asthma Control Questionnaire (ACQ-5) score of at least 2.0, as assessed in the previous month, </w:t>
            </w:r>
            <w:r w:rsidRPr="00A10B7A">
              <w:rPr>
                <w:rFonts w:ascii="Arial Narrow" w:hAnsi="Arial Narrow"/>
                <w:sz w:val="20"/>
                <w:szCs w:val="20"/>
              </w:rPr>
              <w:t xml:space="preserve">AND </w:t>
            </w:r>
          </w:p>
          <w:p w14:paraId="22455FCF" w14:textId="77777777" w:rsidR="00732948" w:rsidRPr="00A10B7A" w:rsidRDefault="00732948" w:rsidP="00732948">
            <w:pPr>
              <w:rPr>
                <w:rFonts w:ascii="Arial Narrow" w:hAnsi="Arial Narrow"/>
                <w:sz w:val="20"/>
                <w:szCs w:val="20"/>
              </w:rPr>
            </w:pPr>
            <w:r w:rsidRPr="00A10B7A">
              <w:rPr>
                <w:rFonts w:ascii="Arial Narrow" w:hAnsi="Arial Narrow"/>
                <w:sz w:val="20"/>
                <w:szCs w:val="20"/>
              </w:rPr>
              <w:t xml:space="preserve">(b) while receiving optimised asthma therapy in the past 12 months, experienced at least 1 admission to hospital for a severe asthma exacerbation, OR 1 severe asthma exacerbation, requiring documented use </w:t>
            </w:r>
            <w:r w:rsidRPr="00A10B7A">
              <w:rPr>
                <w:rFonts w:ascii="Arial Narrow" w:hAnsi="Arial Narrow"/>
                <w:sz w:val="20"/>
                <w:szCs w:val="20"/>
              </w:rPr>
              <w:lastRenderedPageBreak/>
              <w:t xml:space="preserve">of systemic corticosteroids (oral corticosteroids initiated or increased for at least 3 day, or parenteral corticosteroids) prescribed/supervised by a physician. </w:t>
            </w:r>
          </w:p>
          <w:p w14:paraId="5A7940B2" w14:textId="77777777" w:rsidR="00732948" w:rsidRPr="002722F7" w:rsidRDefault="00732948" w:rsidP="00732948">
            <w:pPr>
              <w:rPr>
                <w:rFonts w:ascii="Arial Narrow" w:hAnsi="Arial Narrow"/>
                <w:sz w:val="20"/>
                <w:szCs w:val="20"/>
              </w:rPr>
            </w:pPr>
          </w:p>
          <w:p w14:paraId="78B3C4DA" w14:textId="77777777" w:rsidR="00732948" w:rsidRPr="002722F7" w:rsidRDefault="00732948" w:rsidP="00732948">
            <w:pPr>
              <w:rPr>
                <w:rFonts w:ascii="Arial Narrow" w:hAnsi="Arial Narrow"/>
                <w:sz w:val="20"/>
                <w:szCs w:val="20"/>
              </w:rPr>
            </w:pPr>
            <w:r w:rsidRPr="002722F7">
              <w:rPr>
                <w:rFonts w:ascii="Arial Narrow" w:hAnsi="Arial Narrow"/>
                <w:sz w:val="20"/>
                <w:szCs w:val="20"/>
              </w:rPr>
              <w:t>The Asthma Control Questionnaire (5 item version) assessment of the patient’s response to this initial course of treatment</w:t>
            </w:r>
            <w:r w:rsidRPr="00B166BA">
              <w:rPr>
                <w:rFonts w:ascii="Arial Narrow" w:hAnsi="Arial Narrow"/>
                <w:sz w:val="20"/>
                <w:szCs w:val="20"/>
              </w:rPr>
              <w:t>, and the assessment of oral corticosteroid dose,</w:t>
            </w:r>
            <w:r w:rsidRPr="00CB5C1F">
              <w:rPr>
                <w:rFonts w:ascii="Arial Narrow" w:hAnsi="Arial Narrow"/>
                <w:sz w:val="20"/>
                <w:szCs w:val="20"/>
              </w:rPr>
              <w:t xml:space="preserve"> should </w:t>
            </w:r>
            <w:r w:rsidRPr="002722F7">
              <w:rPr>
                <w:rFonts w:ascii="Arial Narrow" w:hAnsi="Arial Narrow"/>
                <w:sz w:val="20"/>
                <w:szCs w:val="20"/>
              </w:rPr>
              <w:t xml:space="preserve">be made at around 28 weeks after the first PBS-subsidised dose of this drug under this restriction so that there is adequate time for a response to be demonstrated </w:t>
            </w:r>
            <w:r w:rsidRPr="00B2393D">
              <w:rPr>
                <w:rFonts w:ascii="Arial Narrow" w:hAnsi="Arial Narrow"/>
                <w:sz w:val="20"/>
                <w:szCs w:val="20"/>
              </w:rPr>
              <w:t>and for the application for the first continuing therapy to be processed.</w:t>
            </w:r>
            <w:r w:rsidRPr="002722F7">
              <w:rPr>
                <w:rFonts w:ascii="Arial Narrow" w:hAnsi="Arial Narrow"/>
                <w:sz w:val="20"/>
                <w:szCs w:val="20"/>
              </w:rPr>
              <w:t xml:space="preserve"> </w:t>
            </w:r>
          </w:p>
          <w:p w14:paraId="2393D762" w14:textId="77777777" w:rsidR="00732948" w:rsidRPr="002722F7" w:rsidRDefault="00732948" w:rsidP="00732948">
            <w:pPr>
              <w:rPr>
                <w:rFonts w:ascii="Arial Narrow" w:hAnsi="Arial Narrow"/>
                <w:sz w:val="20"/>
                <w:szCs w:val="20"/>
              </w:rPr>
            </w:pPr>
          </w:p>
          <w:p w14:paraId="79BA8B90" w14:textId="77777777" w:rsidR="00732948" w:rsidRPr="002722F7" w:rsidRDefault="00732948" w:rsidP="00732948">
            <w:pPr>
              <w:rPr>
                <w:rFonts w:ascii="Arial Narrow" w:hAnsi="Arial Narrow"/>
                <w:sz w:val="20"/>
                <w:szCs w:val="20"/>
              </w:rPr>
            </w:pPr>
            <w:r w:rsidRPr="002722F7">
              <w:rPr>
                <w:rFonts w:ascii="Arial Narrow" w:hAnsi="Arial Narrow"/>
                <w:sz w:val="20"/>
                <w:szCs w:val="20"/>
              </w:rPr>
              <w:t xml:space="preserve">This assessment, which will be used to determine eligibility for the first continuing treatment, should be conducted within 4 weeks of the date of assessment. </w:t>
            </w:r>
            <w:r w:rsidRPr="00B2393D">
              <w:rPr>
                <w:rFonts w:ascii="Arial Narrow" w:hAnsi="Arial Narrow"/>
                <w:sz w:val="20"/>
                <w:szCs w:val="20"/>
              </w:rPr>
              <w:t>To avoid an interruption of supply for the first continuing treatment, the assessment should be submitted no later than 2 weeks prior to the patient completing their current treatment course, unless the patient is currently on a treatment break. Where a response assessment is not undertaken and submitted,</w:t>
            </w:r>
            <w:r w:rsidRPr="002722F7">
              <w:rPr>
                <w:rFonts w:ascii="Arial Narrow" w:hAnsi="Arial Narrow"/>
                <w:sz w:val="20"/>
                <w:szCs w:val="20"/>
              </w:rPr>
              <w:t xml:space="preserve"> the patient will be deemed to have failed to respond to treatment with this drug. </w:t>
            </w:r>
          </w:p>
          <w:p w14:paraId="0488FFAA" w14:textId="77777777" w:rsidR="00732948" w:rsidRPr="002722F7" w:rsidRDefault="00732948" w:rsidP="00732948">
            <w:pPr>
              <w:rPr>
                <w:rFonts w:ascii="Arial Narrow" w:hAnsi="Arial Narrow"/>
                <w:sz w:val="20"/>
                <w:szCs w:val="20"/>
              </w:rPr>
            </w:pPr>
          </w:p>
          <w:p w14:paraId="16C4C30D" w14:textId="77777777" w:rsidR="00732948" w:rsidRPr="002722F7" w:rsidRDefault="00732948" w:rsidP="00732948">
            <w:pPr>
              <w:rPr>
                <w:rFonts w:ascii="Arial Narrow" w:hAnsi="Arial Narrow"/>
                <w:sz w:val="20"/>
                <w:szCs w:val="20"/>
              </w:rPr>
            </w:pPr>
            <w:r w:rsidRPr="002722F7">
              <w:rPr>
                <w:rFonts w:ascii="Arial Narrow" w:hAnsi="Arial Narrow"/>
                <w:sz w:val="20"/>
                <w:szCs w:val="20"/>
              </w:rPr>
              <w:t xml:space="preserve">If a patient fails to demonstrate a response to treatment with this drug they will not be eligible to receive further PBS-subsided treatment with this drug for this condition within the same treatment cycle. </w:t>
            </w:r>
          </w:p>
          <w:p w14:paraId="157B763C" w14:textId="77777777" w:rsidR="00732948" w:rsidRPr="002722F7" w:rsidRDefault="00732948" w:rsidP="00732948">
            <w:pPr>
              <w:rPr>
                <w:rFonts w:ascii="Arial Narrow" w:hAnsi="Arial Narrow"/>
                <w:sz w:val="20"/>
                <w:szCs w:val="20"/>
              </w:rPr>
            </w:pPr>
          </w:p>
          <w:p w14:paraId="3C738B3A" w14:textId="77777777" w:rsidR="00732948" w:rsidRPr="002722F7" w:rsidRDefault="00732948" w:rsidP="00732948">
            <w:pPr>
              <w:rPr>
                <w:rFonts w:ascii="Arial Narrow" w:hAnsi="Arial Narrow"/>
                <w:sz w:val="20"/>
                <w:szCs w:val="20"/>
              </w:rPr>
            </w:pPr>
            <w:r w:rsidRPr="002722F7">
              <w:rPr>
                <w:rFonts w:ascii="Arial Narrow" w:hAnsi="Arial Narrow"/>
                <w:sz w:val="20"/>
                <w:szCs w:val="20"/>
              </w:rPr>
              <w:t xml:space="preserve">A treatment break in PBS-subsidised biological medicine therapy of at least 12 months must be observed in a patient who has either failed to achieve or sustain a response to treatment with 4 biological medicines within the same treatment cycle. </w:t>
            </w:r>
          </w:p>
          <w:p w14:paraId="37B10916" w14:textId="77777777" w:rsidR="00732948" w:rsidRPr="002722F7" w:rsidRDefault="00732948" w:rsidP="00732948">
            <w:pPr>
              <w:rPr>
                <w:rFonts w:ascii="Arial Narrow" w:hAnsi="Arial Narrow"/>
                <w:sz w:val="20"/>
                <w:szCs w:val="20"/>
              </w:rPr>
            </w:pPr>
          </w:p>
          <w:p w14:paraId="1DB662BE" w14:textId="77777777" w:rsidR="00732948" w:rsidRPr="002722F7" w:rsidRDefault="00732948" w:rsidP="00732948">
            <w:pPr>
              <w:rPr>
                <w:rFonts w:ascii="Arial Narrow" w:hAnsi="Arial Narrow"/>
                <w:sz w:val="20"/>
                <w:szCs w:val="20"/>
              </w:rPr>
            </w:pPr>
            <w:r w:rsidRPr="002722F7">
              <w:rPr>
                <w:rFonts w:ascii="Arial Narrow" w:hAnsi="Arial Narrow"/>
                <w:sz w:val="20"/>
                <w:szCs w:val="20"/>
              </w:rPr>
              <w:t xml:space="preserve">The length of the break in therapy is measured from the date the most recent treatment with a PBS-subsidised biological medicine was administered until the date of the first application for recommencement of treatment with a biological medicine under the new treatment cycle. </w:t>
            </w:r>
          </w:p>
          <w:p w14:paraId="78F6CD04" w14:textId="77777777" w:rsidR="00732948" w:rsidRPr="002722F7" w:rsidRDefault="00732948" w:rsidP="00732948">
            <w:pPr>
              <w:rPr>
                <w:rFonts w:ascii="Arial Narrow" w:hAnsi="Arial Narrow"/>
                <w:sz w:val="20"/>
                <w:szCs w:val="20"/>
              </w:rPr>
            </w:pPr>
          </w:p>
          <w:p w14:paraId="2F2402EC" w14:textId="77777777" w:rsidR="00732948" w:rsidRPr="002722F7" w:rsidRDefault="00732948" w:rsidP="00732948">
            <w:pPr>
              <w:rPr>
                <w:rFonts w:ascii="Arial Narrow" w:hAnsi="Arial Narrow"/>
                <w:sz w:val="20"/>
                <w:szCs w:val="20"/>
              </w:rPr>
            </w:pPr>
            <w:r w:rsidRPr="002722F7">
              <w:rPr>
                <w:rFonts w:ascii="Arial Narrow" w:hAnsi="Arial Narrow"/>
                <w:sz w:val="20"/>
                <w:szCs w:val="20"/>
              </w:rPr>
              <w:t>There is no limit to the number of treatment cycles that a patient may undertake in their lifetime.</w:t>
            </w:r>
          </w:p>
          <w:p w14:paraId="1390E3F1" w14:textId="77777777" w:rsidR="00732948" w:rsidRPr="002722F7" w:rsidRDefault="00732948" w:rsidP="00732948">
            <w:pPr>
              <w:rPr>
                <w:rFonts w:ascii="Arial Narrow" w:hAnsi="Arial Narrow"/>
                <w:sz w:val="20"/>
                <w:szCs w:val="20"/>
              </w:rPr>
            </w:pPr>
          </w:p>
          <w:p w14:paraId="38853D9D" w14:textId="77777777" w:rsidR="00732948" w:rsidRPr="002722F7" w:rsidRDefault="00732948" w:rsidP="00732948">
            <w:pPr>
              <w:rPr>
                <w:rFonts w:ascii="Arial Narrow" w:hAnsi="Arial Narrow"/>
                <w:sz w:val="20"/>
                <w:szCs w:val="20"/>
              </w:rPr>
            </w:pPr>
            <w:r w:rsidRPr="002722F7">
              <w:rPr>
                <w:rFonts w:ascii="Arial Narrow" w:hAnsi="Arial Narrow"/>
                <w:sz w:val="20"/>
                <w:szCs w:val="20"/>
              </w:rPr>
              <w:t xml:space="preserve">At the time of the authority application, medical practitioners should request up to 7 repeats to provide for an initial course of mepolizumab sufficient for up to 32 weeks of therapy. </w:t>
            </w:r>
          </w:p>
          <w:p w14:paraId="6A997830" w14:textId="77777777" w:rsidR="00732948" w:rsidRPr="002722F7" w:rsidRDefault="00732948" w:rsidP="00732948">
            <w:pPr>
              <w:rPr>
                <w:rFonts w:ascii="Arial Narrow" w:hAnsi="Arial Narrow"/>
                <w:sz w:val="20"/>
                <w:szCs w:val="20"/>
              </w:rPr>
            </w:pPr>
          </w:p>
          <w:p w14:paraId="1CA4C692" w14:textId="77777777" w:rsidR="00732948" w:rsidRPr="002722F7" w:rsidRDefault="00732948" w:rsidP="00732948">
            <w:pPr>
              <w:rPr>
                <w:rFonts w:ascii="Arial Narrow" w:hAnsi="Arial Narrow"/>
                <w:sz w:val="20"/>
                <w:szCs w:val="20"/>
              </w:rPr>
            </w:pPr>
            <w:r w:rsidRPr="002722F7">
              <w:rPr>
                <w:rFonts w:ascii="Arial Narrow" w:hAnsi="Arial Narrow"/>
                <w:sz w:val="20"/>
                <w:szCs w:val="20"/>
              </w:rPr>
              <w:t xml:space="preserve">A multidisciplinary severe asthma clinic team comprises of: </w:t>
            </w:r>
          </w:p>
          <w:p w14:paraId="78628F8D" w14:textId="77777777" w:rsidR="00732948" w:rsidRPr="002722F7" w:rsidRDefault="00732948" w:rsidP="00732948">
            <w:pPr>
              <w:pStyle w:val="ListParagraph"/>
              <w:numPr>
                <w:ilvl w:val="0"/>
                <w:numId w:val="11"/>
              </w:numPr>
              <w:spacing w:after="0" w:line="259" w:lineRule="auto"/>
              <w:contextualSpacing/>
              <w:rPr>
                <w:rFonts w:ascii="Arial Narrow" w:hAnsi="Arial Narrow"/>
                <w:sz w:val="20"/>
                <w:szCs w:val="20"/>
              </w:rPr>
            </w:pPr>
            <w:r w:rsidRPr="002722F7">
              <w:rPr>
                <w:rFonts w:ascii="Arial Narrow" w:hAnsi="Arial Narrow"/>
                <w:sz w:val="20"/>
                <w:szCs w:val="20"/>
              </w:rPr>
              <w:t>A respiratory physician; and</w:t>
            </w:r>
          </w:p>
          <w:p w14:paraId="7829FD1F" w14:textId="77777777" w:rsidR="00732948" w:rsidRPr="002722F7" w:rsidRDefault="00732948" w:rsidP="00732948">
            <w:pPr>
              <w:pStyle w:val="ListParagraph"/>
              <w:numPr>
                <w:ilvl w:val="0"/>
                <w:numId w:val="11"/>
              </w:numPr>
              <w:spacing w:after="0" w:line="259" w:lineRule="auto"/>
              <w:contextualSpacing/>
              <w:rPr>
                <w:rFonts w:ascii="Arial Narrow" w:hAnsi="Arial Narrow"/>
                <w:sz w:val="20"/>
                <w:szCs w:val="20"/>
              </w:rPr>
            </w:pPr>
            <w:r w:rsidRPr="002722F7">
              <w:rPr>
                <w:rFonts w:ascii="Arial Narrow" w:hAnsi="Arial Narrow"/>
                <w:sz w:val="20"/>
                <w:szCs w:val="20"/>
              </w:rPr>
              <w:t xml:space="preserve">A pharmacist, nurse or asthma educator. </w:t>
            </w:r>
          </w:p>
          <w:p w14:paraId="7DE0737D" w14:textId="77777777" w:rsidR="00732948" w:rsidRPr="002722F7" w:rsidRDefault="00732948" w:rsidP="00732948">
            <w:pPr>
              <w:rPr>
                <w:rFonts w:ascii="Arial Narrow" w:hAnsi="Arial Narrow"/>
                <w:sz w:val="20"/>
                <w:szCs w:val="20"/>
              </w:rPr>
            </w:pPr>
          </w:p>
          <w:p w14:paraId="26BB6B89" w14:textId="77777777" w:rsidR="00732948" w:rsidRPr="00A10B7A" w:rsidRDefault="00732948" w:rsidP="00732948">
            <w:pPr>
              <w:rPr>
                <w:rFonts w:ascii="Arial Narrow" w:hAnsi="Arial Narrow"/>
                <w:sz w:val="20"/>
                <w:szCs w:val="20"/>
              </w:rPr>
            </w:pPr>
            <w:r w:rsidRPr="00A10B7A">
              <w:rPr>
                <w:rFonts w:ascii="Arial Narrow" w:hAnsi="Arial Narrow"/>
                <w:sz w:val="20"/>
                <w:szCs w:val="20"/>
              </w:rPr>
              <w:t>The authority application must be made in writing and must include:</w:t>
            </w:r>
          </w:p>
          <w:p w14:paraId="7F193A9C" w14:textId="77777777" w:rsidR="00732948" w:rsidRPr="00A10B7A" w:rsidRDefault="00732948" w:rsidP="00732948">
            <w:pPr>
              <w:rPr>
                <w:rFonts w:ascii="Arial Narrow" w:hAnsi="Arial Narrow"/>
                <w:sz w:val="20"/>
                <w:szCs w:val="20"/>
              </w:rPr>
            </w:pPr>
            <w:r w:rsidRPr="00A10B7A">
              <w:rPr>
                <w:rFonts w:ascii="Arial Narrow" w:hAnsi="Arial Narrow"/>
                <w:sz w:val="20"/>
                <w:szCs w:val="20"/>
              </w:rPr>
              <w:t xml:space="preserve">(a) a completed authority prescription form; and </w:t>
            </w:r>
          </w:p>
          <w:p w14:paraId="05EA7CB2" w14:textId="77777777" w:rsidR="00732948" w:rsidRPr="00A10B7A" w:rsidRDefault="00732948" w:rsidP="00732948">
            <w:pPr>
              <w:rPr>
                <w:rFonts w:ascii="Arial Narrow" w:hAnsi="Arial Narrow"/>
                <w:sz w:val="20"/>
                <w:szCs w:val="20"/>
              </w:rPr>
            </w:pPr>
            <w:r w:rsidRPr="00A10B7A">
              <w:rPr>
                <w:rFonts w:ascii="Arial Narrow" w:hAnsi="Arial Narrow"/>
                <w:sz w:val="20"/>
                <w:szCs w:val="20"/>
              </w:rPr>
              <w:t xml:space="preserve">(b) a completed </w:t>
            </w:r>
            <w:r>
              <w:rPr>
                <w:rFonts w:ascii="Arial Narrow" w:hAnsi="Arial Narrow"/>
                <w:i/>
                <w:iCs/>
                <w:sz w:val="20"/>
                <w:szCs w:val="20"/>
              </w:rPr>
              <w:t xml:space="preserve">authority application form relevant to the indication and treatment phase (the latest version is located on the website specified in the Administrative Advice), which includes: </w:t>
            </w:r>
            <w:r w:rsidRPr="00A10B7A">
              <w:rPr>
                <w:rFonts w:ascii="Arial Narrow" w:hAnsi="Arial Narrow"/>
                <w:strike/>
                <w:sz w:val="20"/>
                <w:szCs w:val="20"/>
              </w:rPr>
              <w:t>Severe Asthma Initial PBS Authority Application – Supporting Information Form, which includes the following:</w:t>
            </w:r>
          </w:p>
          <w:p w14:paraId="0FBE5C42" w14:textId="77777777" w:rsidR="00732948" w:rsidRPr="00A10B7A" w:rsidRDefault="00732948" w:rsidP="00732948">
            <w:pPr>
              <w:rPr>
                <w:rFonts w:ascii="Arial Narrow" w:hAnsi="Arial Narrow"/>
                <w:sz w:val="20"/>
                <w:szCs w:val="20"/>
              </w:rPr>
            </w:pPr>
            <w:r w:rsidRPr="00A10B7A">
              <w:rPr>
                <w:rFonts w:ascii="Arial Narrow" w:hAnsi="Arial Narrow"/>
                <w:sz w:val="20"/>
                <w:szCs w:val="20"/>
              </w:rPr>
              <w:t xml:space="preserve">(i) details of prior optimised asthma drug therapy (date of commencement and duration of therapy); and </w:t>
            </w:r>
          </w:p>
          <w:p w14:paraId="14E60E2C" w14:textId="77777777" w:rsidR="00732948" w:rsidRPr="00A10B7A" w:rsidRDefault="00732948" w:rsidP="00732948">
            <w:pPr>
              <w:rPr>
                <w:rFonts w:ascii="Arial Narrow" w:hAnsi="Arial Narrow"/>
                <w:sz w:val="20"/>
                <w:szCs w:val="20"/>
              </w:rPr>
            </w:pPr>
            <w:r w:rsidRPr="00A10B7A">
              <w:rPr>
                <w:rFonts w:ascii="Arial Narrow" w:hAnsi="Arial Narrow"/>
                <w:sz w:val="20"/>
                <w:szCs w:val="20"/>
              </w:rPr>
              <w:t xml:space="preserve">(ii) details of severe exacerbation/s experienced in the past 12 months while receiving optimised asthma therapy (date and treatment); and </w:t>
            </w:r>
          </w:p>
          <w:p w14:paraId="58BA5851" w14:textId="77777777" w:rsidR="00732948" w:rsidRPr="00A10B7A" w:rsidRDefault="00732948" w:rsidP="00732948">
            <w:pPr>
              <w:rPr>
                <w:rFonts w:ascii="Arial Narrow" w:hAnsi="Arial Narrow"/>
                <w:sz w:val="20"/>
                <w:szCs w:val="20"/>
              </w:rPr>
            </w:pPr>
            <w:r w:rsidRPr="00A10B7A">
              <w:rPr>
                <w:rFonts w:ascii="Arial Narrow" w:hAnsi="Arial Narrow"/>
                <w:sz w:val="20"/>
                <w:szCs w:val="20"/>
              </w:rPr>
              <w:t xml:space="preserve">(iii) the eosinophil count and date; and </w:t>
            </w:r>
          </w:p>
          <w:p w14:paraId="33A0B030" w14:textId="7FDB0D50" w:rsidR="00732948" w:rsidRPr="002722F7" w:rsidRDefault="00732948" w:rsidP="00732948">
            <w:pPr>
              <w:rPr>
                <w:rFonts w:ascii="Arial Narrow" w:hAnsi="Arial Narrow"/>
                <w:b/>
                <w:bCs/>
                <w:sz w:val="20"/>
                <w:szCs w:val="20"/>
              </w:rPr>
            </w:pPr>
            <w:r w:rsidRPr="00A10B7A">
              <w:rPr>
                <w:rFonts w:ascii="Arial Narrow" w:hAnsi="Arial Narrow"/>
                <w:sz w:val="20"/>
                <w:szCs w:val="20"/>
              </w:rPr>
              <w:t>(iv) Asthma Control Questionnaire (ACQ-5) score.</w:t>
            </w:r>
          </w:p>
        </w:tc>
      </w:tr>
      <w:tr w:rsidR="00732948" w:rsidRPr="00EB31F2" w14:paraId="6402D89E"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3395EB5" w14:textId="46FC2DCA" w:rsidR="00732948" w:rsidRPr="002722F7" w:rsidRDefault="00732948" w:rsidP="00732948">
            <w:pPr>
              <w:jc w:val="center"/>
              <w:rPr>
                <w:rFonts w:ascii="Arial Narrow" w:hAnsi="Arial Narrow"/>
                <w:sz w:val="20"/>
                <w:szCs w:val="20"/>
              </w:rPr>
            </w:pPr>
          </w:p>
        </w:tc>
        <w:tc>
          <w:tcPr>
            <w:tcW w:w="7745" w:type="dxa"/>
            <w:gridSpan w:val="6"/>
            <w:vAlign w:val="center"/>
          </w:tcPr>
          <w:p w14:paraId="2E99707C" w14:textId="77777777" w:rsidR="00732948" w:rsidRPr="002722F7" w:rsidRDefault="00732948" w:rsidP="00732948">
            <w:pPr>
              <w:rPr>
                <w:rFonts w:ascii="Arial Narrow" w:hAnsi="Arial Narrow"/>
                <w:bCs/>
                <w:sz w:val="20"/>
                <w:szCs w:val="20"/>
              </w:rPr>
            </w:pPr>
            <w:r w:rsidRPr="002722F7">
              <w:rPr>
                <w:rFonts w:ascii="Arial Narrow" w:hAnsi="Arial Narrow"/>
                <w:b/>
                <w:bCs/>
                <w:sz w:val="20"/>
                <w:szCs w:val="20"/>
              </w:rPr>
              <w:t xml:space="preserve">Administrative Advice: </w:t>
            </w:r>
          </w:p>
          <w:p w14:paraId="4AF2E9DE" w14:textId="4F7D0AA8" w:rsidR="00732948" w:rsidRPr="002722F7" w:rsidRDefault="00732948" w:rsidP="00732948">
            <w:pPr>
              <w:rPr>
                <w:rFonts w:ascii="Arial Narrow" w:hAnsi="Arial Narrow"/>
                <w:b/>
                <w:bCs/>
                <w:sz w:val="20"/>
                <w:szCs w:val="20"/>
              </w:rPr>
            </w:pPr>
            <w:r w:rsidRPr="002722F7">
              <w:rPr>
                <w:rFonts w:ascii="Arial Narrow" w:hAnsi="Arial Narrow"/>
                <w:bCs/>
                <w:sz w:val="20"/>
                <w:szCs w:val="20"/>
              </w:rPr>
              <w:t>The Services Australia website (</w:t>
            </w:r>
            <w:hyperlink r:id="rId13" w:history="1">
              <w:r w:rsidRPr="002722F7">
                <w:rPr>
                  <w:rStyle w:val="Hyperlink"/>
                  <w:rFonts w:ascii="Arial Narrow" w:hAnsi="Arial Narrow"/>
                  <w:bCs/>
                  <w:sz w:val="20"/>
                  <w:szCs w:val="20"/>
                </w:rPr>
                <w:t>www.servicesaustralia.gov.au</w:t>
              </w:r>
            </w:hyperlink>
            <w:r w:rsidRPr="002722F7">
              <w:rPr>
                <w:rFonts w:ascii="Arial Narrow" w:hAnsi="Arial Narrow"/>
                <w:bCs/>
                <w:sz w:val="20"/>
                <w:szCs w:val="20"/>
              </w:rPr>
              <w:t xml:space="preserve">) has details of the accepted toxicities, including severity which will be accepted for the purposes of exempting a patient from the requirement of treatment with optimised asthma therapy. </w:t>
            </w:r>
          </w:p>
        </w:tc>
      </w:tr>
      <w:tr w:rsidR="00732948" w:rsidRPr="00EB31F2" w14:paraId="1C4FB06C"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25C9749" w14:textId="274C78A9" w:rsidR="00732948" w:rsidRPr="002722F7" w:rsidRDefault="00732948" w:rsidP="00732948">
            <w:pPr>
              <w:jc w:val="center"/>
              <w:rPr>
                <w:rFonts w:ascii="Arial Narrow" w:hAnsi="Arial Narrow"/>
                <w:sz w:val="20"/>
                <w:szCs w:val="20"/>
              </w:rPr>
            </w:pPr>
          </w:p>
        </w:tc>
        <w:tc>
          <w:tcPr>
            <w:tcW w:w="7745" w:type="dxa"/>
            <w:gridSpan w:val="6"/>
            <w:vAlign w:val="center"/>
          </w:tcPr>
          <w:p w14:paraId="05BB5BC7" w14:textId="77777777" w:rsidR="00732948" w:rsidRPr="002722F7" w:rsidRDefault="00732948" w:rsidP="00732948">
            <w:pPr>
              <w:rPr>
                <w:rFonts w:ascii="Arial Narrow" w:hAnsi="Arial Narrow"/>
                <w:b/>
                <w:bCs/>
                <w:sz w:val="20"/>
                <w:szCs w:val="20"/>
              </w:rPr>
            </w:pPr>
            <w:r w:rsidRPr="002722F7">
              <w:rPr>
                <w:rFonts w:ascii="Arial Narrow" w:hAnsi="Arial Narrow"/>
                <w:b/>
                <w:bCs/>
                <w:sz w:val="20"/>
                <w:szCs w:val="20"/>
              </w:rPr>
              <w:t>Administrative Advice:</w:t>
            </w:r>
          </w:p>
          <w:p w14:paraId="7524B564" w14:textId="7FBC8927" w:rsidR="00732948" w:rsidRPr="002722F7" w:rsidRDefault="00732948" w:rsidP="00732948">
            <w:pPr>
              <w:rPr>
                <w:rFonts w:ascii="Arial Narrow" w:hAnsi="Arial Narrow"/>
                <w:b/>
                <w:bCs/>
                <w:sz w:val="20"/>
                <w:szCs w:val="20"/>
              </w:rPr>
            </w:pPr>
            <w:r w:rsidRPr="002722F7">
              <w:rPr>
                <w:rFonts w:ascii="Arial Narrow" w:hAnsi="Arial Narrow"/>
                <w:sz w:val="20"/>
                <w:szCs w:val="20"/>
              </w:rPr>
              <w:t xml:space="preserve">Formal assessment and correction of inhaler technique should be performed in accordance with the National Asthma Council (NAC) Information Paper for Health Professionals on Inhaler Technique (available at </w:t>
            </w:r>
            <w:hyperlink r:id="rId14" w:history="1">
              <w:r w:rsidRPr="00A10B7A">
                <w:rPr>
                  <w:rStyle w:val="Hyperlink"/>
                  <w:rFonts w:ascii="Arial Narrow" w:hAnsi="Arial Narrow"/>
                  <w:strike/>
                  <w:sz w:val="20"/>
                  <w:szCs w:val="20"/>
                </w:rPr>
                <w:t>www.servicesaustralia.gov.au</w:t>
              </w:r>
            </w:hyperlink>
            <w:r w:rsidRPr="00A10B7A">
              <w:rPr>
                <w:rFonts w:ascii="Arial Narrow" w:hAnsi="Arial Narrow"/>
                <w:strike/>
                <w:color w:val="333333"/>
                <w:sz w:val="20"/>
                <w:szCs w:val="20"/>
              </w:rPr>
              <w:t xml:space="preserve"> </w:t>
            </w:r>
            <w:r w:rsidRPr="00A10B7A">
              <w:rPr>
                <w:rFonts w:ascii="Arial Narrow" w:hAnsi="Arial Narrow"/>
                <w:strike/>
                <w:sz w:val="20"/>
                <w:szCs w:val="20"/>
              </w:rPr>
              <w:t>or</w:t>
            </w:r>
            <w:r w:rsidRPr="002722F7">
              <w:rPr>
                <w:rFonts w:ascii="Arial Narrow" w:hAnsi="Arial Narrow"/>
                <w:color w:val="333333"/>
                <w:sz w:val="20"/>
                <w:szCs w:val="20"/>
              </w:rPr>
              <w:t xml:space="preserve"> </w:t>
            </w:r>
            <w:hyperlink r:id="rId15" w:history="1">
              <w:r w:rsidRPr="002722F7">
                <w:rPr>
                  <w:rStyle w:val="Hyperlink"/>
                  <w:rFonts w:ascii="Arial Narrow" w:hAnsi="Arial Narrow"/>
                  <w:sz w:val="20"/>
                  <w:szCs w:val="20"/>
                </w:rPr>
                <w:t>www.nationalasthma.org.au</w:t>
              </w:r>
            </w:hyperlink>
            <w:r w:rsidRPr="002722F7">
              <w:rPr>
                <w:rFonts w:ascii="Arial Narrow" w:hAnsi="Arial Narrow"/>
                <w:sz w:val="20"/>
                <w:szCs w:val="20"/>
              </w:rPr>
              <w:t xml:space="preserve">); the assessment and adherence to correct technique should be documented in the patient’s medical records. Patients can obtain support with inhaler technique through their local Asthma Foundation (1800 645 130). </w:t>
            </w:r>
          </w:p>
        </w:tc>
      </w:tr>
      <w:tr w:rsidR="00732948" w:rsidRPr="00EB31F2" w14:paraId="5AC372D9" w14:textId="77777777">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272BEA2C" w14:textId="77777777" w:rsidR="00732948" w:rsidRPr="002722F7" w:rsidRDefault="00732948" w:rsidP="00732948">
            <w:pPr>
              <w:rPr>
                <w:rFonts w:ascii="Arial Narrow" w:hAnsi="Arial Narrow"/>
                <w:b/>
                <w:bCs/>
                <w:sz w:val="20"/>
                <w:szCs w:val="20"/>
              </w:rPr>
            </w:pPr>
          </w:p>
        </w:tc>
      </w:tr>
      <w:tr w:rsidR="00732948" w:rsidRPr="00EB31F2" w14:paraId="0C95BDB7" w14:textId="77777777">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3334D32A" w14:textId="77777777" w:rsidR="00732948" w:rsidRPr="002722F7" w:rsidRDefault="00732948" w:rsidP="00732948">
            <w:pPr>
              <w:rPr>
                <w:rFonts w:ascii="Arial Narrow" w:hAnsi="Arial Narrow"/>
                <w:b/>
                <w:bCs/>
                <w:sz w:val="20"/>
                <w:szCs w:val="20"/>
              </w:rPr>
            </w:pPr>
          </w:p>
        </w:tc>
      </w:tr>
      <w:tr w:rsidR="00732948" w:rsidRPr="00EB31F2" w14:paraId="4B38161D" w14:textId="77777777">
        <w:tblPrEx>
          <w:tblCellMar>
            <w:top w:w="15" w:type="dxa"/>
            <w:bottom w:w="15" w:type="dxa"/>
          </w:tblCellMar>
          <w:tblLook w:val="04A0" w:firstRow="1" w:lastRow="0" w:firstColumn="1" w:lastColumn="0" w:noHBand="0" w:noVBand="1"/>
        </w:tblPrEx>
        <w:trPr>
          <w:cantSplit/>
          <w:trHeight w:val="20"/>
        </w:trPr>
        <w:tc>
          <w:tcPr>
            <w:tcW w:w="9016" w:type="dxa"/>
            <w:gridSpan w:val="8"/>
          </w:tcPr>
          <w:p w14:paraId="1ABC7743" w14:textId="056F02EF" w:rsidR="00732948" w:rsidRPr="002722F7" w:rsidRDefault="00732948" w:rsidP="00732948">
            <w:pPr>
              <w:rPr>
                <w:rFonts w:ascii="Arial Narrow" w:hAnsi="Arial Narrow"/>
                <w:b/>
                <w:bCs/>
                <w:sz w:val="20"/>
                <w:szCs w:val="20"/>
              </w:rPr>
            </w:pPr>
            <w:r w:rsidRPr="002722F7">
              <w:rPr>
                <w:rFonts w:ascii="Arial Narrow" w:hAnsi="Arial Narrow"/>
                <w:b/>
                <w:bCs/>
                <w:sz w:val="20"/>
                <w:szCs w:val="20"/>
              </w:rPr>
              <w:t>Restriction Summary 11896/ Treatment of Concept: 11950</w:t>
            </w:r>
          </w:p>
        </w:tc>
      </w:tr>
      <w:tr w:rsidR="00732948" w:rsidRPr="00EB31F2" w14:paraId="4BC060CA" w14:textId="77777777" w:rsidTr="00732948">
        <w:tblPrEx>
          <w:tblCellMar>
            <w:top w:w="15" w:type="dxa"/>
            <w:bottom w:w="15" w:type="dxa"/>
          </w:tblCellMar>
          <w:tblLook w:val="04A0" w:firstRow="1" w:lastRow="0" w:firstColumn="1" w:lastColumn="0" w:noHBand="0" w:noVBand="1"/>
        </w:tblPrEx>
        <w:trPr>
          <w:cantSplit/>
          <w:trHeight w:val="20"/>
        </w:trPr>
        <w:tc>
          <w:tcPr>
            <w:tcW w:w="1271" w:type="dxa"/>
            <w:gridSpan w:val="2"/>
          </w:tcPr>
          <w:p w14:paraId="486B799B" w14:textId="2E4E0644" w:rsidR="00732948" w:rsidRPr="002722F7" w:rsidRDefault="00732948" w:rsidP="00732948">
            <w:pPr>
              <w:jc w:val="center"/>
              <w:rPr>
                <w:rFonts w:ascii="Arial Narrow" w:hAnsi="Arial Narrow"/>
                <w:b/>
                <w:bCs/>
                <w:sz w:val="20"/>
                <w:szCs w:val="20"/>
              </w:rPr>
            </w:pPr>
            <w:r w:rsidRPr="002722F7">
              <w:rPr>
                <w:rFonts w:ascii="Arial Narrow" w:hAnsi="Arial Narrow" w:cs="Arial"/>
                <w:b/>
                <w:sz w:val="20"/>
                <w:szCs w:val="20"/>
              </w:rPr>
              <w:t>Concept ID</w:t>
            </w:r>
          </w:p>
        </w:tc>
        <w:tc>
          <w:tcPr>
            <w:tcW w:w="7745" w:type="dxa"/>
            <w:gridSpan w:val="6"/>
            <w:vAlign w:val="center"/>
          </w:tcPr>
          <w:p w14:paraId="5E24FB0F" w14:textId="0253333A" w:rsidR="00732948" w:rsidRPr="002722F7" w:rsidRDefault="00732948" w:rsidP="00732948">
            <w:pPr>
              <w:rPr>
                <w:rFonts w:ascii="Arial Narrow" w:hAnsi="Arial Narrow"/>
                <w:b/>
                <w:bCs/>
                <w:sz w:val="20"/>
                <w:szCs w:val="20"/>
              </w:rPr>
            </w:pPr>
            <w:r w:rsidRPr="002722F7">
              <w:rPr>
                <w:rFonts w:ascii="Arial Narrow" w:hAnsi="Arial Narrow" w:cs="Arial"/>
                <w:b/>
                <w:sz w:val="20"/>
                <w:szCs w:val="20"/>
              </w:rPr>
              <w:t xml:space="preserve">Prescriber type: </w:t>
            </w:r>
            <w:r w:rsidRPr="002722F7">
              <w:rPr>
                <w:rFonts w:ascii="Arial Narrow" w:hAnsi="Arial Narrow" w:cs="Arial"/>
                <w:sz w:val="20"/>
                <w:szCs w:val="20"/>
              </w:rPr>
              <w:fldChar w:fldCharType="begin" w:fldLock="1">
                <w:ffData>
                  <w:name w:val=""/>
                  <w:enabled/>
                  <w:calcOnExit w:val="0"/>
                  <w:checkBox>
                    <w:sizeAuto/>
                    <w:default w:val="1"/>
                  </w:checkBox>
                </w:ffData>
              </w:fldChar>
            </w:r>
            <w:r w:rsidRPr="002722F7">
              <w:rPr>
                <w:rFonts w:ascii="Arial Narrow" w:hAnsi="Arial Narrow" w:cs="Arial"/>
                <w:sz w:val="20"/>
                <w:szCs w:val="20"/>
              </w:rPr>
              <w:instrText xml:space="preserve"> FORMCHECKBOX </w:instrText>
            </w:r>
            <w:r w:rsidR="00165390">
              <w:rPr>
                <w:rFonts w:ascii="Arial Narrow" w:hAnsi="Arial Narrow" w:cs="Arial"/>
                <w:sz w:val="20"/>
                <w:szCs w:val="20"/>
              </w:rPr>
            </w:r>
            <w:r w:rsidR="00165390">
              <w:rPr>
                <w:rFonts w:ascii="Arial Narrow" w:hAnsi="Arial Narrow" w:cs="Arial"/>
                <w:sz w:val="20"/>
                <w:szCs w:val="20"/>
              </w:rPr>
              <w:fldChar w:fldCharType="separate"/>
            </w:r>
            <w:r w:rsidRPr="002722F7">
              <w:rPr>
                <w:rFonts w:ascii="Arial Narrow" w:hAnsi="Arial Narrow" w:cs="Arial"/>
                <w:sz w:val="20"/>
                <w:szCs w:val="20"/>
              </w:rPr>
              <w:fldChar w:fldCharType="end"/>
            </w:r>
            <w:r w:rsidRPr="002722F7">
              <w:rPr>
                <w:rFonts w:ascii="Arial Narrow" w:hAnsi="Arial Narrow" w:cs="Arial"/>
                <w:sz w:val="20"/>
                <w:szCs w:val="20"/>
              </w:rPr>
              <w:t xml:space="preserve">Medical Practitioners </w:t>
            </w:r>
          </w:p>
        </w:tc>
      </w:tr>
      <w:tr w:rsidR="00732948" w:rsidRPr="00EB31F2" w14:paraId="057BCFC5"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1A60C6ED" w14:textId="77777777" w:rsidR="00732948" w:rsidRPr="002722F7" w:rsidRDefault="00732948" w:rsidP="00732948">
            <w:pPr>
              <w:jc w:val="center"/>
              <w:rPr>
                <w:rFonts w:ascii="Arial Narrow" w:hAnsi="Arial Narrow" w:cs="Arial"/>
                <w:b/>
                <w:sz w:val="20"/>
                <w:szCs w:val="20"/>
              </w:rPr>
            </w:pPr>
          </w:p>
        </w:tc>
        <w:tc>
          <w:tcPr>
            <w:tcW w:w="7745" w:type="dxa"/>
            <w:gridSpan w:val="6"/>
            <w:vAlign w:val="center"/>
          </w:tcPr>
          <w:p w14:paraId="0DBC2248" w14:textId="79DE6119" w:rsidR="00732948" w:rsidRPr="002722F7" w:rsidRDefault="00732948" w:rsidP="00732948">
            <w:pPr>
              <w:rPr>
                <w:rFonts w:ascii="Arial Narrow" w:hAnsi="Arial Narrow" w:cs="Arial"/>
                <w:b/>
                <w:sz w:val="20"/>
                <w:szCs w:val="20"/>
              </w:rPr>
            </w:pPr>
            <w:r w:rsidRPr="002722F7">
              <w:rPr>
                <w:rFonts w:ascii="Arial Narrow" w:hAnsi="Arial Narrow" w:cs="Arial"/>
                <w:b/>
                <w:sz w:val="20"/>
                <w:szCs w:val="20"/>
              </w:rPr>
              <w:t xml:space="preserve">Restriction type: </w:t>
            </w:r>
            <w:r w:rsidRPr="002722F7">
              <w:rPr>
                <w:rFonts w:ascii="Arial Narrow" w:eastAsia="Calibri" w:hAnsi="Arial Narrow" w:cs="Arial"/>
                <w:sz w:val="20"/>
                <w:szCs w:val="20"/>
              </w:rPr>
              <w:fldChar w:fldCharType="begin" w:fldLock="1">
                <w:ffData>
                  <w:name w:val=""/>
                  <w:enabled/>
                  <w:calcOnExit w:val="0"/>
                  <w:checkBox>
                    <w:sizeAuto/>
                    <w:default w:val="1"/>
                  </w:checkBox>
                </w:ffData>
              </w:fldChar>
            </w:r>
            <w:r w:rsidRPr="002722F7">
              <w:rPr>
                <w:rFonts w:ascii="Arial Narrow" w:eastAsia="Calibri" w:hAnsi="Arial Narrow" w:cs="Arial"/>
                <w:sz w:val="20"/>
                <w:szCs w:val="20"/>
              </w:rPr>
              <w:instrText xml:space="preserve"> FORMCHECKBOX </w:instrText>
            </w:r>
            <w:r w:rsidR="00165390">
              <w:rPr>
                <w:rFonts w:ascii="Arial Narrow" w:eastAsia="Calibri" w:hAnsi="Arial Narrow" w:cs="Arial"/>
                <w:sz w:val="20"/>
                <w:szCs w:val="20"/>
              </w:rPr>
            </w:r>
            <w:r w:rsidR="00165390">
              <w:rPr>
                <w:rFonts w:ascii="Arial Narrow" w:eastAsia="Calibri" w:hAnsi="Arial Narrow" w:cs="Arial"/>
                <w:sz w:val="20"/>
                <w:szCs w:val="20"/>
              </w:rPr>
              <w:fldChar w:fldCharType="separate"/>
            </w:r>
            <w:r w:rsidRPr="002722F7">
              <w:rPr>
                <w:rFonts w:ascii="Arial Narrow" w:eastAsia="Calibri" w:hAnsi="Arial Narrow" w:cs="Arial"/>
                <w:sz w:val="20"/>
                <w:szCs w:val="20"/>
              </w:rPr>
              <w:fldChar w:fldCharType="end"/>
            </w:r>
            <w:r w:rsidRPr="002722F7">
              <w:rPr>
                <w:rFonts w:ascii="Arial Narrow" w:eastAsia="Calibri" w:hAnsi="Arial Narrow" w:cs="Arial"/>
                <w:sz w:val="20"/>
                <w:szCs w:val="20"/>
              </w:rPr>
              <w:t xml:space="preserve">Authority Required </w:t>
            </w:r>
            <w:r w:rsidRPr="00C51696">
              <w:rPr>
                <w:rFonts w:ascii="Arial Narrow" w:eastAsia="Calibri" w:hAnsi="Arial Narrow" w:cs="Arial"/>
                <w:sz w:val="20"/>
                <w:szCs w:val="20"/>
              </w:rPr>
              <w:t xml:space="preserve">(in writing only via post/HPOS upload) </w:t>
            </w:r>
          </w:p>
        </w:tc>
      </w:tr>
      <w:tr w:rsidR="00732948" w:rsidRPr="00EB31F2" w14:paraId="77C5E6D8" w14:textId="77777777" w:rsidTr="0073294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B793236" w14:textId="3BBDC05D" w:rsidR="00732948" w:rsidRPr="00521732" w:rsidRDefault="00732948" w:rsidP="00732948">
            <w:pPr>
              <w:jc w:val="center"/>
              <w:rPr>
                <w:rFonts w:ascii="Arial Narrow" w:hAnsi="Arial Narrow" w:cs="Arial"/>
                <w:b/>
                <w:sz w:val="20"/>
                <w:szCs w:val="20"/>
              </w:rPr>
            </w:pPr>
          </w:p>
        </w:tc>
        <w:tc>
          <w:tcPr>
            <w:tcW w:w="7745" w:type="dxa"/>
            <w:gridSpan w:val="6"/>
            <w:vAlign w:val="center"/>
          </w:tcPr>
          <w:p w14:paraId="63881CCE" w14:textId="7615D09B" w:rsidR="00732948" w:rsidRPr="00521732" w:rsidRDefault="00732948" w:rsidP="00732948">
            <w:pPr>
              <w:rPr>
                <w:rFonts w:ascii="Arial Narrow" w:hAnsi="Arial Narrow" w:cs="Arial"/>
                <w:b/>
                <w:sz w:val="20"/>
                <w:szCs w:val="20"/>
              </w:rPr>
            </w:pPr>
            <w:r w:rsidRPr="00521732">
              <w:rPr>
                <w:rFonts w:ascii="Arial Narrow" w:hAnsi="Arial Narrow"/>
                <w:b/>
                <w:bCs/>
                <w:sz w:val="20"/>
                <w:szCs w:val="20"/>
              </w:rPr>
              <w:t>Indication:</w:t>
            </w:r>
            <w:r w:rsidRPr="00521732">
              <w:rPr>
                <w:rFonts w:ascii="Arial Narrow" w:hAnsi="Arial Narrow"/>
                <w:sz w:val="20"/>
                <w:szCs w:val="20"/>
              </w:rPr>
              <w:t xml:space="preserve"> Uncontrolled severe asthma </w:t>
            </w:r>
          </w:p>
        </w:tc>
      </w:tr>
      <w:tr w:rsidR="00732948" w:rsidRPr="00EB31F2" w14:paraId="1D5753D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340E36B" w14:textId="77777777" w:rsidR="00732948" w:rsidRPr="00521732" w:rsidRDefault="00732948" w:rsidP="00732948">
            <w:pPr>
              <w:jc w:val="center"/>
              <w:rPr>
                <w:rFonts w:ascii="Arial Narrow" w:hAnsi="Arial Narrow" w:cs="Arial"/>
                <w:sz w:val="20"/>
                <w:szCs w:val="20"/>
              </w:rPr>
            </w:pPr>
          </w:p>
        </w:tc>
        <w:tc>
          <w:tcPr>
            <w:tcW w:w="7745" w:type="dxa"/>
            <w:gridSpan w:val="6"/>
            <w:vAlign w:val="center"/>
          </w:tcPr>
          <w:p w14:paraId="3B614315" w14:textId="3A386FCB" w:rsidR="00732948" w:rsidRPr="00521732" w:rsidRDefault="00732948" w:rsidP="00732948">
            <w:pPr>
              <w:rPr>
                <w:rFonts w:ascii="Arial Narrow" w:hAnsi="Arial Narrow"/>
                <w:b/>
                <w:bCs/>
                <w:sz w:val="20"/>
                <w:szCs w:val="20"/>
              </w:rPr>
            </w:pPr>
            <w:r w:rsidRPr="00521732">
              <w:rPr>
                <w:rFonts w:ascii="Arial Narrow" w:hAnsi="Arial Narrow"/>
                <w:b/>
                <w:bCs/>
                <w:sz w:val="20"/>
                <w:szCs w:val="20"/>
              </w:rPr>
              <w:t>Treatment Phase:</w:t>
            </w:r>
            <w:r w:rsidRPr="00521732">
              <w:rPr>
                <w:rFonts w:ascii="Arial Narrow" w:hAnsi="Arial Narrow"/>
                <w:sz w:val="20"/>
                <w:szCs w:val="20"/>
              </w:rPr>
              <w:t xml:space="preserve"> Initial treatment – Initial 2 (Change of treatment)</w:t>
            </w:r>
          </w:p>
        </w:tc>
      </w:tr>
      <w:tr w:rsidR="00732948" w:rsidRPr="00EB31F2" w14:paraId="381DB48F"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B6EBCC1" w14:textId="798988DF" w:rsidR="00732948" w:rsidRPr="00521732" w:rsidRDefault="00732948" w:rsidP="00732948">
            <w:pPr>
              <w:jc w:val="center"/>
              <w:rPr>
                <w:rFonts w:ascii="Arial Narrow" w:hAnsi="Arial Narrow" w:cs="Arial"/>
                <w:sz w:val="20"/>
                <w:szCs w:val="20"/>
              </w:rPr>
            </w:pPr>
          </w:p>
        </w:tc>
        <w:tc>
          <w:tcPr>
            <w:tcW w:w="7745" w:type="dxa"/>
            <w:gridSpan w:val="6"/>
            <w:vAlign w:val="center"/>
          </w:tcPr>
          <w:p w14:paraId="024BFC61" w14:textId="55F211F9" w:rsidR="00732948" w:rsidRPr="00521732" w:rsidRDefault="00732948" w:rsidP="00732948">
            <w:pPr>
              <w:rPr>
                <w:rFonts w:ascii="Arial Narrow" w:hAnsi="Arial Narrow"/>
                <w:b/>
                <w:bCs/>
                <w:sz w:val="20"/>
                <w:szCs w:val="20"/>
              </w:rPr>
            </w:pPr>
            <w:r w:rsidRPr="00521732">
              <w:rPr>
                <w:rFonts w:ascii="Arial Narrow" w:hAnsi="Arial Narrow"/>
                <w:b/>
                <w:bCs/>
                <w:sz w:val="20"/>
                <w:szCs w:val="20"/>
              </w:rPr>
              <w:t>Treatment criteria:</w:t>
            </w:r>
          </w:p>
        </w:tc>
      </w:tr>
      <w:tr w:rsidR="00732948" w:rsidRPr="00EB31F2" w14:paraId="42FBA575"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4C70AD6" w14:textId="2C54D217" w:rsidR="00732948" w:rsidRPr="00521732" w:rsidRDefault="00732948" w:rsidP="00732948">
            <w:pPr>
              <w:jc w:val="center"/>
              <w:rPr>
                <w:rFonts w:ascii="Arial Narrow" w:hAnsi="Arial Narrow"/>
                <w:sz w:val="20"/>
                <w:szCs w:val="20"/>
              </w:rPr>
            </w:pPr>
          </w:p>
        </w:tc>
        <w:tc>
          <w:tcPr>
            <w:tcW w:w="7745" w:type="dxa"/>
            <w:gridSpan w:val="6"/>
            <w:vAlign w:val="center"/>
          </w:tcPr>
          <w:p w14:paraId="12F7AEDA" w14:textId="700FEB6D" w:rsidR="00732948" w:rsidRPr="00521732" w:rsidRDefault="00732948" w:rsidP="00732948">
            <w:pPr>
              <w:rPr>
                <w:rFonts w:ascii="Arial Narrow" w:hAnsi="Arial Narrow"/>
                <w:b/>
                <w:bCs/>
                <w:sz w:val="20"/>
                <w:szCs w:val="20"/>
              </w:rPr>
            </w:pPr>
            <w:r w:rsidRPr="00521732">
              <w:rPr>
                <w:rFonts w:ascii="Arial Narrow" w:hAnsi="Arial Narrow" w:cs="Arial Narrow"/>
                <w:iCs/>
                <w:sz w:val="20"/>
                <w:szCs w:val="20"/>
              </w:rPr>
              <w:t>Must be treated by a respiratory physician, clinical immunologist, allergist or general physician experienced in the management of patients with severe asthma</w:t>
            </w:r>
          </w:p>
        </w:tc>
      </w:tr>
      <w:tr w:rsidR="00732948" w:rsidRPr="00EB31F2" w14:paraId="0B2BC24B"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3D57348" w14:textId="4D0C9897" w:rsidR="00732948" w:rsidRPr="00521732" w:rsidRDefault="00732948" w:rsidP="00732948">
            <w:pPr>
              <w:jc w:val="center"/>
              <w:rPr>
                <w:rFonts w:ascii="Arial Narrow" w:hAnsi="Arial Narrow"/>
                <w:sz w:val="20"/>
                <w:szCs w:val="20"/>
              </w:rPr>
            </w:pPr>
          </w:p>
        </w:tc>
        <w:tc>
          <w:tcPr>
            <w:tcW w:w="7745" w:type="dxa"/>
            <w:gridSpan w:val="6"/>
            <w:vAlign w:val="center"/>
          </w:tcPr>
          <w:p w14:paraId="1EB46FA5" w14:textId="53F2F727" w:rsidR="00732948" w:rsidRPr="00521732" w:rsidRDefault="00732948" w:rsidP="00732948">
            <w:pPr>
              <w:rPr>
                <w:rFonts w:ascii="Arial Narrow" w:hAnsi="Arial Narrow" w:cs="Arial Narrow"/>
                <w:iCs/>
                <w:sz w:val="20"/>
                <w:szCs w:val="20"/>
              </w:rPr>
            </w:pPr>
            <w:r w:rsidRPr="00521732">
              <w:rPr>
                <w:rFonts w:ascii="Arial Narrow" w:hAnsi="Arial Narrow"/>
                <w:b/>
                <w:bCs/>
                <w:sz w:val="20"/>
                <w:szCs w:val="20"/>
              </w:rPr>
              <w:t>Clinical criteria:</w:t>
            </w:r>
          </w:p>
        </w:tc>
      </w:tr>
      <w:tr w:rsidR="00732948" w:rsidRPr="00EB31F2" w14:paraId="71EFDE42"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BE234B9" w14:textId="7746C9B2" w:rsidR="00732948" w:rsidRPr="00521732" w:rsidRDefault="00732948" w:rsidP="00732948">
            <w:pPr>
              <w:jc w:val="center"/>
              <w:rPr>
                <w:rFonts w:ascii="Arial Narrow" w:hAnsi="Arial Narrow"/>
                <w:sz w:val="20"/>
                <w:szCs w:val="20"/>
              </w:rPr>
            </w:pPr>
          </w:p>
        </w:tc>
        <w:tc>
          <w:tcPr>
            <w:tcW w:w="7745" w:type="dxa"/>
            <w:gridSpan w:val="6"/>
            <w:vAlign w:val="center"/>
          </w:tcPr>
          <w:p w14:paraId="100D868F" w14:textId="050AC8D0" w:rsidR="00732948" w:rsidRPr="00521732" w:rsidRDefault="00732948" w:rsidP="00732948">
            <w:pPr>
              <w:rPr>
                <w:rFonts w:ascii="Arial Narrow" w:hAnsi="Arial Narrow"/>
                <w:b/>
                <w:bCs/>
                <w:sz w:val="20"/>
                <w:szCs w:val="20"/>
              </w:rPr>
            </w:pPr>
            <w:r w:rsidRPr="00521732">
              <w:rPr>
                <w:rFonts w:ascii="Arial Narrow" w:hAnsi="Arial Narrow"/>
                <w:sz w:val="20"/>
                <w:szCs w:val="20"/>
              </w:rPr>
              <w:t xml:space="preserve">Patient must be under the care of the same physician for at least 6 months; or </w:t>
            </w:r>
          </w:p>
        </w:tc>
      </w:tr>
      <w:tr w:rsidR="00732948" w:rsidRPr="00EB31F2" w14:paraId="6D3E931F"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CE0C864" w14:textId="71B4A0A1" w:rsidR="00732948" w:rsidRPr="00521732" w:rsidRDefault="00732948" w:rsidP="00732948">
            <w:pPr>
              <w:jc w:val="center"/>
              <w:rPr>
                <w:rFonts w:ascii="Arial Narrow" w:hAnsi="Arial Narrow"/>
                <w:sz w:val="20"/>
                <w:szCs w:val="20"/>
              </w:rPr>
            </w:pPr>
          </w:p>
        </w:tc>
        <w:tc>
          <w:tcPr>
            <w:tcW w:w="7745" w:type="dxa"/>
            <w:gridSpan w:val="6"/>
            <w:vAlign w:val="center"/>
          </w:tcPr>
          <w:p w14:paraId="76747878" w14:textId="2FD43AD9" w:rsidR="00732948" w:rsidRPr="00521732" w:rsidRDefault="00732948" w:rsidP="00732948">
            <w:pPr>
              <w:rPr>
                <w:rFonts w:ascii="Arial Narrow" w:hAnsi="Arial Narrow"/>
                <w:sz w:val="20"/>
                <w:szCs w:val="20"/>
              </w:rPr>
            </w:pPr>
            <w:r w:rsidRPr="00521732">
              <w:rPr>
                <w:rFonts w:ascii="Arial Narrow" w:hAnsi="Arial Narrow"/>
                <w:sz w:val="20"/>
                <w:szCs w:val="20"/>
              </w:rPr>
              <w:t>Patient must have been diagnosed by a multidisciplinary severe asthma clinic team</w:t>
            </w:r>
          </w:p>
        </w:tc>
      </w:tr>
      <w:tr w:rsidR="00732948" w:rsidRPr="00EB31F2" w14:paraId="3AF759F0"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A723DB9" w14:textId="77777777" w:rsidR="00732948" w:rsidRPr="00521732" w:rsidRDefault="00732948" w:rsidP="00732948">
            <w:pPr>
              <w:jc w:val="center"/>
              <w:rPr>
                <w:rFonts w:ascii="Arial Narrow" w:hAnsi="Arial Narrow"/>
                <w:sz w:val="20"/>
                <w:szCs w:val="20"/>
              </w:rPr>
            </w:pPr>
          </w:p>
        </w:tc>
        <w:tc>
          <w:tcPr>
            <w:tcW w:w="7745" w:type="dxa"/>
            <w:gridSpan w:val="6"/>
            <w:vAlign w:val="center"/>
          </w:tcPr>
          <w:p w14:paraId="4BB6B2D4" w14:textId="3E422DBF" w:rsidR="00732948" w:rsidRPr="00521732" w:rsidRDefault="00732948" w:rsidP="00732948">
            <w:pPr>
              <w:rPr>
                <w:rFonts w:ascii="Arial Narrow" w:hAnsi="Arial Narrow"/>
                <w:sz w:val="20"/>
                <w:szCs w:val="20"/>
              </w:rPr>
            </w:pPr>
            <w:r w:rsidRPr="00521732">
              <w:rPr>
                <w:rFonts w:ascii="Arial Narrow" w:hAnsi="Arial Narrow"/>
                <w:b/>
                <w:bCs/>
                <w:sz w:val="20"/>
                <w:szCs w:val="20"/>
              </w:rPr>
              <w:t>AND</w:t>
            </w:r>
          </w:p>
        </w:tc>
      </w:tr>
      <w:tr w:rsidR="00732948" w:rsidRPr="00EB31F2" w14:paraId="557018B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AA6B69F" w14:textId="39834124" w:rsidR="00732948" w:rsidRPr="00521732" w:rsidRDefault="00732948" w:rsidP="00732948">
            <w:pPr>
              <w:jc w:val="center"/>
              <w:rPr>
                <w:rFonts w:ascii="Arial Narrow" w:hAnsi="Arial Narrow"/>
                <w:sz w:val="20"/>
                <w:szCs w:val="20"/>
              </w:rPr>
            </w:pPr>
          </w:p>
        </w:tc>
        <w:tc>
          <w:tcPr>
            <w:tcW w:w="7745" w:type="dxa"/>
            <w:gridSpan w:val="6"/>
            <w:vAlign w:val="center"/>
          </w:tcPr>
          <w:p w14:paraId="28B8D27F" w14:textId="38345843" w:rsidR="00732948" w:rsidRPr="00521732" w:rsidRDefault="00732948" w:rsidP="00732948">
            <w:pPr>
              <w:rPr>
                <w:rFonts w:ascii="Arial Narrow" w:hAnsi="Arial Narrow"/>
                <w:b/>
                <w:bCs/>
                <w:sz w:val="20"/>
                <w:szCs w:val="20"/>
              </w:rPr>
            </w:pPr>
            <w:r w:rsidRPr="00521732">
              <w:rPr>
                <w:rFonts w:ascii="Arial Narrow" w:hAnsi="Arial Narrow"/>
                <w:b/>
                <w:bCs/>
                <w:sz w:val="20"/>
                <w:szCs w:val="20"/>
              </w:rPr>
              <w:t>Clinical criteria:</w:t>
            </w:r>
          </w:p>
        </w:tc>
      </w:tr>
      <w:tr w:rsidR="00732948" w:rsidRPr="00EB31F2" w14:paraId="25F955AE"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5C31880" w14:textId="7B66D745" w:rsidR="00732948" w:rsidRPr="00521732" w:rsidRDefault="00732948" w:rsidP="00732948">
            <w:pPr>
              <w:jc w:val="center"/>
              <w:rPr>
                <w:rFonts w:ascii="Arial Narrow" w:hAnsi="Arial Narrow"/>
                <w:sz w:val="20"/>
                <w:szCs w:val="20"/>
              </w:rPr>
            </w:pPr>
          </w:p>
        </w:tc>
        <w:tc>
          <w:tcPr>
            <w:tcW w:w="7745" w:type="dxa"/>
            <w:gridSpan w:val="6"/>
            <w:vAlign w:val="center"/>
          </w:tcPr>
          <w:p w14:paraId="288F8BF7" w14:textId="0995F792" w:rsidR="00732948" w:rsidRPr="00521732" w:rsidRDefault="00732948" w:rsidP="00732948">
            <w:pPr>
              <w:rPr>
                <w:rFonts w:ascii="Arial Narrow" w:hAnsi="Arial Narrow"/>
                <w:b/>
                <w:bCs/>
                <w:sz w:val="20"/>
                <w:szCs w:val="20"/>
              </w:rPr>
            </w:pPr>
            <w:r w:rsidRPr="00521732">
              <w:rPr>
                <w:rFonts w:ascii="Arial Narrow" w:hAnsi="Arial Narrow"/>
                <w:sz w:val="20"/>
                <w:szCs w:val="20"/>
              </w:rPr>
              <w:t>Patient must have received prior PBS-subsidised treatment with a biological medicine for severe asthma in this treatment cycle</w:t>
            </w:r>
          </w:p>
        </w:tc>
      </w:tr>
      <w:tr w:rsidR="00732948" w:rsidRPr="00EB31F2" w14:paraId="1C53AE76"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DADD4C7" w14:textId="77777777" w:rsidR="00732948" w:rsidRPr="00521732" w:rsidRDefault="00732948" w:rsidP="00732948">
            <w:pPr>
              <w:jc w:val="center"/>
              <w:rPr>
                <w:rFonts w:ascii="Arial Narrow" w:hAnsi="Arial Narrow"/>
                <w:sz w:val="20"/>
                <w:szCs w:val="20"/>
              </w:rPr>
            </w:pPr>
          </w:p>
        </w:tc>
        <w:tc>
          <w:tcPr>
            <w:tcW w:w="7745" w:type="dxa"/>
            <w:gridSpan w:val="6"/>
            <w:vAlign w:val="center"/>
          </w:tcPr>
          <w:p w14:paraId="30C8A44B" w14:textId="515896D8" w:rsidR="00732948" w:rsidRPr="00521732" w:rsidRDefault="00732948" w:rsidP="00732948">
            <w:pPr>
              <w:rPr>
                <w:rFonts w:ascii="Arial Narrow" w:hAnsi="Arial Narrow"/>
                <w:sz w:val="20"/>
                <w:szCs w:val="20"/>
              </w:rPr>
            </w:pPr>
            <w:r w:rsidRPr="00521732">
              <w:rPr>
                <w:rFonts w:ascii="Arial Narrow" w:hAnsi="Arial Narrow"/>
                <w:b/>
                <w:bCs/>
                <w:sz w:val="20"/>
                <w:szCs w:val="20"/>
              </w:rPr>
              <w:t>AND</w:t>
            </w:r>
          </w:p>
        </w:tc>
      </w:tr>
      <w:tr w:rsidR="00732948" w:rsidRPr="00EB31F2" w14:paraId="78146457"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27EB144" w14:textId="335D6010" w:rsidR="00732948" w:rsidRPr="00521732" w:rsidRDefault="00732948" w:rsidP="00732948">
            <w:pPr>
              <w:jc w:val="center"/>
              <w:rPr>
                <w:rFonts w:ascii="Arial Narrow" w:hAnsi="Arial Narrow"/>
                <w:sz w:val="20"/>
                <w:szCs w:val="20"/>
              </w:rPr>
            </w:pPr>
          </w:p>
        </w:tc>
        <w:tc>
          <w:tcPr>
            <w:tcW w:w="7745" w:type="dxa"/>
            <w:gridSpan w:val="6"/>
            <w:vAlign w:val="center"/>
          </w:tcPr>
          <w:p w14:paraId="2163432A" w14:textId="43FE523D" w:rsidR="00732948" w:rsidRPr="00521732" w:rsidRDefault="00732948" w:rsidP="00732948">
            <w:pPr>
              <w:rPr>
                <w:rFonts w:ascii="Arial Narrow" w:hAnsi="Arial Narrow"/>
                <w:b/>
                <w:bCs/>
                <w:sz w:val="20"/>
                <w:szCs w:val="20"/>
              </w:rPr>
            </w:pPr>
            <w:r w:rsidRPr="00521732">
              <w:rPr>
                <w:rFonts w:ascii="Arial Narrow" w:hAnsi="Arial Narrow"/>
                <w:b/>
                <w:bCs/>
                <w:sz w:val="20"/>
                <w:szCs w:val="20"/>
              </w:rPr>
              <w:t>Clinical criteria:</w:t>
            </w:r>
          </w:p>
        </w:tc>
      </w:tr>
      <w:tr w:rsidR="00732948" w:rsidRPr="00EB31F2" w14:paraId="696734BD"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21EAB03" w14:textId="203B122B" w:rsidR="00732948" w:rsidRPr="00521732" w:rsidRDefault="00732948" w:rsidP="00732948">
            <w:pPr>
              <w:jc w:val="center"/>
              <w:rPr>
                <w:rFonts w:ascii="Arial Narrow" w:hAnsi="Arial Narrow"/>
                <w:sz w:val="20"/>
                <w:szCs w:val="20"/>
              </w:rPr>
            </w:pPr>
          </w:p>
        </w:tc>
        <w:tc>
          <w:tcPr>
            <w:tcW w:w="7745" w:type="dxa"/>
            <w:gridSpan w:val="6"/>
            <w:vAlign w:val="center"/>
          </w:tcPr>
          <w:p w14:paraId="0D935D19" w14:textId="56843F1A" w:rsidR="00732948" w:rsidRPr="00521732" w:rsidRDefault="00732948" w:rsidP="00732948">
            <w:pPr>
              <w:rPr>
                <w:rFonts w:ascii="Arial Narrow" w:hAnsi="Arial Narrow"/>
                <w:b/>
                <w:bCs/>
                <w:sz w:val="20"/>
                <w:szCs w:val="20"/>
              </w:rPr>
            </w:pPr>
            <w:r w:rsidRPr="00521732">
              <w:rPr>
                <w:rFonts w:ascii="Arial Narrow" w:hAnsi="Arial Narrow"/>
                <w:sz w:val="20"/>
                <w:szCs w:val="20"/>
              </w:rPr>
              <w:t>Patient must not have failed, or ceased to respond to, PBS-subsidised treatment with this drug for severe asthma during the current treatment cycle</w:t>
            </w:r>
          </w:p>
        </w:tc>
      </w:tr>
      <w:tr w:rsidR="00732948" w:rsidRPr="00EB31F2" w14:paraId="5AB99901"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F8353E8" w14:textId="77777777" w:rsidR="00732948" w:rsidRPr="00521732" w:rsidRDefault="00732948" w:rsidP="00732948">
            <w:pPr>
              <w:jc w:val="center"/>
              <w:rPr>
                <w:rFonts w:ascii="Arial Narrow" w:hAnsi="Arial Narrow"/>
                <w:sz w:val="20"/>
                <w:szCs w:val="20"/>
              </w:rPr>
            </w:pPr>
          </w:p>
        </w:tc>
        <w:tc>
          <w:tcPr>
            <w:tcW w:w="7745" w:type="dxa"/>
            <w:gridSpan w:val="6"/>
            <w:vAlign w:val="center"/>
          </w:tcPr>
          <w:p w14:paraId="7C36BB3A" w14:textId="1D2F9BCC" w:rsidR="00732948" w:rsidRPr="00521732" w:rsidRDefault="00732948" w:rsidP="00732948">
            <w:pPr>
              <w:rPr>
                <w:rFonts w:ascii="Arial Narrow" w:hAnsi="Arial Narrow"/>
                <w:sz w:val="20"/>
                <w:szCs w:val="20"/>
              </w:rPr>
            </w:pPr>
            <w:r w:rsidRPr="00521732">
              <w:rPr>
                <w:rFonts w:ascii="Arial Narrow" w:hAnsi="Arial Narrow"/>
                <w:b/>
                <w:bCs/>
                <w:sz w:val="20"/>
                <w:szCs w:val="20"/>
              </w:rPr>
              <w:t>AND</w:t>
            </w:r>
          </w:p>
        </w:tc>
      </w:tr>
      <w:tr w:rsidR="00732948" w:rsidRPr="00EB31F2" w14:paraId="547A45E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0C35776" w14:textId="1534B29F" w:rsidR="00732948" w:rsidRPr="00521732" w:rsidRDefault="00732948" w:rsidP="00732948">
            <w:pPr>
              <w:jc w:val="center"/>
              <w:rPr>
                <w:rFonts w:ascii="Arial Narrow" w:hAnsi="Arial Narrow"/>
                <w:sz w:val="20"/>
                <w:szCs w:val="20"/>
              </w:rPr>
            </w:pPr>
          </w:p>
        </w:tc>
        <w:tc>
          <w:tcPr>
            <w:tcW w:w="7745" w:type="dxa"/>
            <w:gridSpan w:val="6"/>
            <w:vAlign w:val="center"/>
          </w:tcPr>
          <w:p w14:paraId="00FF12A0" w14:textId="2945F35F" w:rsidR="00732948" w:rsidRPr="00521732" w:rsidRDefault="00732948" w:rsidP="00732948">
            <w:pPr>
              <w:rPr>
                <w:rFonts w:ascii="Arial Narrow" w:hAnsi="Arial Narrow"/>
                <w:b/>
                <w:bCs/>
                <w:sz w:val="20"/>
                <w:szCs w:val="20"/>
              </w:rPr>
            </w:pPr>
            <w:r w:rsidRPr="00521732">
              <w:rPr>
                <w:rFonts w:ascii="Arial Narrow" w:hAnsi="Arial Narrow"/>
                <w:b/>
                <w:bCs/>
                <w:sz w:val="20"/>
                <w:szCs w:val="20"/>
              </w:rPr>
              <w:t>Clinical criteria:</w:t>
            </w:r>
          </w:p>
        </w:tc>
      </w:tr>
      <w:tr w:rsidR="00732948" w:rsidRPr="00EB31F2" w14:paraId="42901B6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330CA9F" w14:textId="21B53DAD" w:rsidR="00732948" w:rsidRPr="00521732" w:rsidRDefault="00732948" w:rsidP="00732948">
            <w:pPr>
              <w:jc w:val="center"/>
              <w:rPr>
                <w:rFonts w:ascii="Arial Narrow" w:hAnsi="Arial Narrow"/>
                <w:sz w:val="20"/>
                <w:szCs w:val="20"/>
              </w:rPr>
            </w:pPr>
          </w:p>
        </w:tc>
        <w:tc>
          <w:tcPr>
            <w:tcW w:w="7745" w:type="dxa"/>
            <w:gridSpan w:val="6"/>
            <w:vAlign w:val="center"/>
          </w:tcPr>
          <w:p w14:paraId="21D9FB72" w14:textId="785D9310" w:rsidR="00732948" w:rsidRPr="00521732" w:rsidRDefault="00732948" w:rsidP="00732948">
            <w:pPr>
              <w:rPr>
                <w:rFonts w:ascii="Arial Narrow" w:hAnsi="Arial Narrow"/>
                <w:b/>
                <w:bCs/>
                <w:sz w:val="20"/>
                <w:szCs w:val="20"/>
              </w:rPr>
            </w:pPr>
            <w:r w:rsidRPr="00521732">
              <w:rPr>
                <w:rFonts w:ascii="Arial Narrow" w:hAnsi="Arial Narrow"/>
                <w:sz w:val="20"/>
                <w:szCs w:val="20"/>
              </w:rPr>
              <w:t xml:space="preserve">Patient must have had a blood eosinophil count greater than or equal to 300 cells per microlitre and that is no older than 12 months immediately prior to commencing PBS-subsidised biological medicine treatment for severe asthma; or </w:t>
            </w:r>
          </w:p>
        </w:tc>
      </w:tr>
      <w:tr w:rsidR="00732948" w:rsidRPr="00EB31F2" w14:paraId="34E36CCF"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505847B" w14:textId="410BED5D" w:rsidR="00732948" w:rsidRPr="00521732" w:rsidRDefault="00732948" w:rsidP="00732948">
            <w:pPr>
              <w:jc w:val="center"/>
              <w:rPr>
                <w:rFonts w:ascii="Arial Narrow" w:hAnsi="Arial Narrow"/>
                <w:sz w:val="20"/>
                <w:szCs w:val="20"/>
              </w:rPr>
            </w:pPr>
          </w:p>
        </w:tc>
        <w:tc>
          <w:tcPr>
            <w:tcW w:w="7745" w:type="dxa"/>
            <w:gridSpan w:val="6"/>
            <w:vAlign w:val="center"/>
          </w:tcPr>
          <w:p w14:paraId="5FB81AA7" w14:textId="7BC37E90" w:rsidR="00732948" w:rsidRPr="00521732" w:rsidRDefault="00732948" w:rsidP="00732948">
            <w:pPr>
              <w:rPr>
                <w:rFonts w:ascii="Arial Narrow" w:hAnsi="Arial Narrow"/>
                <w:sz w:val="20"/>
                <w:szCs w:val="20"/>
              </w:rPr>
            </w:pPr>
            <w:r w:rsidRPr="00521732">
              <w:rPr>
                <w:rFonts w:ascii="Arial Narrow" w:hAnsi="Arial Narrow"/>
                <w:sz w:val="20"/>
                <w:szCs w:val="20"/>
              </w:rPr>
              <w:t>Patient must have had a blood eosinophil count greater than or equal to 150 cells per microlitre while receiving treatment with oral corticosteroids and that is no older than 12 months immediately prior to commencing PBS-subsidised biological medicine treatment for severe asthma</w:t>
            </w:r>
          </w:p>
        </w:tc>
      </w:tr>
      <w:tr w:rsidR="00732948" w:rsidRPr="00EB31F2" w14:paraId="57D6784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EFB6B64" w14:textId="77777777" w:rsidR="00732948" w:rsidRPr="00521732" w:rsidRDefault="00732948" w:rsidP="00732948">
            <w:pPr>
              <w:jc w:val="center"/>
              <w:rPr>
                <w:rFonts w:ascii="Arial Narrow" w:hAnsi="Arial Narrow"/>
                <w:sz w:val="20"/>
                <w:szCs w:val="20"/>
              </w:rPr>
            </w:pPr>
          </w:p>
        </w:tc>
        <w:tc>
          <w:tcPr>
            <w:tcW w:w="7745" w:type="dxa"/>
            <w:gridSpan w:val="6"/>
            <w:vAlign w:val="center"/>
          </w:tcPr>
          <w:p w14:paraId="2E53970C" w14:textId="59D14296" w:rsidR="00732948" w:rsidRPr="00521732" w:rsidRDefault="00732948" w:rsidP="00732948">
            <w:pPr>
              <w:rPr>
                <w:rFonts w:ascii="Arial Narrow" w:hAnsi="Arial Narrow"/>
                <w:sz w:val="20"/>
                <w:szCs w:val="20"/>
              </w:rPr>
            </w:pPr>
            <w:r w:rsidRPr="00521732">
              <w:rPr>
                <w:rFonts w:ascii="Arial Narrow" w:hAnsi="Arial Narrow"/>
                <w:b/>
                <w:bCs/>
                <w:sz w:val="20"/>
                <w:szCs w:val="20"/>
              </w:rPr>
              <w:t>AND</w:t>
            </w:r>
          </w:p>
        </w:tc>
      </w:tr>
      <w:tr w:rsidR="00732948" w:rsidRPr="00EB31F2" w14:paraId="1598C3D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78B316D" w14:textId="019DE89F" w:rsidR="00732948" w:rsidRPr="00521732" w:rsidRDefault="00732948" w:rsidP="00732948">
            <w:pPr>
              <w:jc w:val="center"/>
              <w:rPr>
                <w:rFonts w:ascii="Arial Narrow" w:hAnsi="Arial Narrow"/>
                <w:sz w:val="20"/>
                <w:szCs w:val="20"/>
              </w:rPr>
            </w:pPr>
          </w:p>
        </w:tc>
        <w:tc>
          <w:tcPr>
            <w:tcW w:w="7745" w:type="dxa"/>
            <w:gridSpan w:val="6"/>
            <w:vAlign w:val="center"/>
          </w:tcPr>
          <w:p w14:paraId="51F3EB5A" w14:textId="6D813B8E" w:rsidR="00732948" w:rsidRPr="00521732" w:rsidRDefault="00732948" w:rsidP="00732948">
            <w:pPr>
              <w:rPr>
                <w:rFonts w:ascii="Arial Narrow" w:hAnsi="Arial Narrow"/>
                <w:b/>
                <w:bCs/>
                <w:sz w:val="20"/>
                <w:szCs w:val="20"/>
              </w:rPr>
            </w:pPr>
            <w:r w:rsidRPr="00521732">
              <w:rPr>
                <w:rFonts w:ascii="Arial Narrow" w:hAnsi="Arial Narrow"/>
                <w:b/>
                <w:bCs/>
                <w:sz w:val="20"/>
                <w:szCs w:val="20"/>
              </w:rPr>
              <w:t>Clinical criteria:</w:t>
            </w:r>
          </w:p>
        </w:tc>
      </w:tr>
      <w:tr w:rsidR="00732948" w:rsidRPr="00EB31F2" w14:paraId="79006CE6"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1796BD7" w14:textId="21F1DB74" w:rsidR="00732948" w:rsidRPr="00521732" w:rsidRDefault="00732948" w:rsidP="00732948">
            <w:pPr>
              <w:jc w:val="center"/>
              <w:rPr>
                <w:rFonts w:ascii="Arial Narrow" w:hAnsi="Arial Narrow"/>
                <w:sz w:val="20"/>
                <w:szCs w:val="20"/>
              </w:rPr>
            </w:pPr>
          </w:p>
        </w:tc>
        <w:tc>
          <w:tcPr>
            <w:tcW w:w="7745" w:type="dxa"/>
            <w:gridSpan w:val="6"/>
            <w:vAlign w:val="center"/>
          </w:tcPr>
          <w:p w14:paraId="1A2ADA2B" w14:textId="6A17C2C2" w:rsidR="00732948" w:rsidRPr="00521732" w:rsidRDefault="00732948" w:rsidP="00732948">
            <w:pPr>
              <w:rPr>
                <w:rFonts w:ascii="Arial Narrow" w:hAnsi="Arial Narrow"/>
                <w:b/>
                <w:bCs/>
                <w:sz w:val="20"/>
                <w:szCs w:val="20"/>
              </w:rPr>
            </w:pPr>
            <w:r w:rsidRPr="00521732">
              <w:rPr>
                <w:rFonts w:ascii="Arial Narrow" w:hAnsi="Arial Narrow"/>
                <w:sz w:val="20"/>
                <w:szCs w:val="20"/>
              </w:rPr>
              <w:t>Patient must not receive more than 32 weeks of treatment under this restriction</w:t>
            </w:r>
          </w:p>
        </w:tc>
      </w:tr>
      <w:tr w:rsidR="00732948" w:rsidRPr="00EB31F2" w14:paraId="0A8FDD11"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E2B511F" w14:textId="77777777" w:rsidR="00732948" w:rsidRPr="00521732" w:rsidRDefault="00732948" w:rsidP="00732948">
            <w:pPr>
              <w:jc w:val="center"/>
              <w:rPr>
                <w:rFonts w:ascii="Arial Narrow" w:hAnsi="Arial Narrow"/>
                <w:sz w:val="20"/>
                <w:szCs w:val="20"/>
              </w:rPr>
            </w:pPr>
          </w:p>
        </w:tc>
        <w:tc>
          <w:tcPr>
            <w:tcW w:w="7745" w:type="dxa"/>
            <w:gridSpan w:val="6"/>
            <w:vAlign w:val="center"/>
          </w:tcPr>
          <w:p w14:paraId="5ED41E00" w14:textId="4C207A57" w:rsidR="00732948" w:rsidRPr="00521732" w:rsidRDefault="00732948" w:rsidP="00732948">
            <w:pPr>
              <w:rPr>
                <w:rFonts w:ascii="Arial Narrow" w:hAnsi="Arial Narrow"/>
                <w:sz w:val="20"/>
                <w:szCs w:val="20"/>
              </w:rPr>
            </w:pPr>
            <w:r w:rsidRPr="00521732">
              <w:rPr>
                <w:rFonts w:ascii="Arial Narrow" w:hAnsi="Arial Narrow"/>
                <w:b/>
                <w:bCs/>
                <w:sz w:val="20"/>
                <w:szCs w:val="20"/>
              </w:rPr>
              <w:t>AND</w:t>
            </w:r>
          </w:p>
        </w:tc>
      </w:tr>
      <w:tr w:rsidR="00732948" w:rsidRPr="00EB31F2" w14:paraId="000B307C"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D478822" w14:textId="567CB3C1" w:rsidR="00732948" w:rsidRPr="00521732" w:rsidRDefault="00732948" w:rsidP="00732948">
            <w:pPr>
              <w:jc w:val="center"/>
              <w:rPr>
                <w:rFonts w:ascii="Arial Narrow" w:hAnsi="Arial Narrow"/>
                <w:sz w:val="20"/>
                <w:szCs w:val="20"/>
              </w:rPr>
            </w:pPr>
          </w:p>
        </w:tc>
        <w:tc>
          <w:tcPr>
            <w:tcW w:w="7745" w:type="dxa"/>
            <w:gridSpan w:val="6"/>
            <w:vAlign w:val="center"/>
          </w:tcPr>
          <w:p w14:paraId="7C3E608E" w14:textId="3497C7AA" w:rsidR="00732948" w:rsidRPr="00521732" w:rsidRDefault="00732948" w:rsidP="00732948">
            <w:pPr>
              <w:rPr>
                <w:rFonts w:ascii="Arial Narrow" w:hAnsi="Arial Narrow"/>
                <w:b/>
                <w:bCs/>
                <w:sz w:val="20"/>
                <w:szCs w:val="20"/>
              </w:rPr>
            </w:pPr>
            <w:r w:rsidRPr="00521732">
              <w:rPr>
                <w:rFonts w:ascii="Arial Narrow" w:hAnsi="Arial Narrow"/>
                <w:b/>
                <w:bCs/>
                <w:sz w:val="20"/>
                <w:szCs w:val="20"/>
              </w:rPr>
              <w:t>Clinical criteria:</w:t>
            </w:r>
          </w:p>
        </w:tc>
      </w:tr>
      <w:tr w:rsidR="00732948" w:rsidRPr="00EB31F2" w14:paraId="3FACDF3D"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93A93A2" w14:textId="0908C474" w:rsidR="00732948" w:rsidRPr="00521732" w:rsidRDefault="00732948" w:rsidP="00732948">
            <w:pPr>
              <w:jc w:val="center"/>
              <w:rPr>
                <w:rFonts w:ascii="Arial Narrow" w:hAnsi="Arial Narrow"/>
                <w:sz w:val="20"/>
                <w:szCs w:val="20"/>
              </w:rPr>
            </w:pPr>
          </w:p>
        </w:tc>
        <w:tc>
          <w:tcPr>
            <w:tcW w:w="7745" w:type="dxa"/>
            <w:gridSpan w:val="6"/>
            <w:vAlign w:val="center"/>
          </w:tcPr>
          <w:p w14:paraId="473E64C6" w14:textId="36612B92" w:rsidR="00732948" w:rsidRPr="00521732" w:rsidRDefault="00732948" w:rsidP="00732948">
            <w:pPr>
              <w:rPr>
                <w:rFonts w:ascii="Arial Narrow" w:hAnsi="Arial Narrow"/>
                <w:b/>
                <w:bCs/>
                <w:sz w:val="20"/>
                <w:szCs w:val="20"/>
              </w:rPr>
            </w:pPr>
            <w:r w:rsidRPr="00521732">
              <w:rPr>
                <w:rFonts w:ascii="Arial Narrow" w:hAnsi="Arial Narrow"/>
                <w:sz w:val="20"/>
                <w:szCs w:val="20"/>
              </w:rPr>
              <w:t>The treatment must not be used in combination with and within 4 weeks of another PBS-subsidised biological medicine prescribed for severe asthma</w:t>
            </w:r>
          </w:p>
        </w:tc>
      </w:tr>
      <w:tr w:rsidR="00732948" w:rsidRPr="00EB31F2" w14:paraId="414A251A"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E5D508D" w14:textId="30653CF4" w:rsidR="00732948" w:rsidRPr="00521732" w:rsidRDefault="00732948" w:rsidP="00732948">
            <w:pPr>
              <w:jc w:val="center"/>
              <w:rPr>
                <w:rFonts w:ascii="Arial Narrow" w:hAnsi="Arial Narrow"/>
                <w:sz w:val="20"/>
                <w:szCs w:val="20"/>
              </w:rPr>
            </w:pPr>
          </w:p>
        </w:tc>
        <w:tc>
          <w:tcPr>
            <w:tcW w:w="7745" w:type="dxa"/>
            <w:gridSpan w:val="6"/>
            <w:vAlign w:val="center"/>
          </w:tcPr>
          <w:p w14:paraId="0CE827C3" w14:textId="0942C45B" w:rsidR="00732948" w:rsidRPr="00521732" w:rsidRDefault="00732948" w:rsidP="00732948">
            <w:pPr>
              <w:rPr>
                <w:rFonts w:ascii="Arial Narrow" w:hAnsi="Arial Narrow"/>
                <w:sz w:val="20"/>
                <w:szCs w:val="20"/>
              </w:rPr>
            </w:pPr>
            <w:r w:rsidRPr="00521732">
              <w:rPr>
                <w:rFonts w:ascii="Arial Narrow" w:hAnsi="Arial Narrow"/>
                <w:b/>
                <w:bCs/>
                <w:sz w:val="20"/>
                <w:szCs w:val="20"/>
              </w:rPr>
              <w:t>Population criteria:</w:t>
            </w:r>
          </w:p>
        </w:tc>
      </w:tr>
      <w:tr w:rsidR="00732948" w:rsidRPr="00EB31F2" w14:paraId="26FA5FE7"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BA11DC8" w14:textId="36E039ED" w:rsidR="00732948" w:rsidRPr="00521732" w:rsidRDefault="00732948" w:rsidP="00732948">
            <w:pPr>
              <w:jc w:val="center"/>
              <w:rPr>
                <w:rFonts w:ascii="Arial Narrow" w:hAnsi="Arial Narrow"/>
                <w:sz w:val="20"/>
                <w:szCs w:val="20"/>
              </w:rPr>
            </w:pPr>
          </w:p>
        </w:tc>
        <w:tc>
          <w:tcPr>
            <w:tcW w:w="7745" w:type="dxa"/>
            <w:gridSpan w:val="6"/>
            <w:vAlign w:val="center"/>
          </w:tcPr>
          <w:p w14:paraId="5F003B93" w14:textId="5959C6B3" w:rsidR="00732948" w:rsidRPr="00521732" w:rsidRDefault="00732948" w:rsidP="00732948">
            <w:pPr>
              <w:rPr>
                <w:rFonts w:ascii="Arial Narrow" w:hAnsi="Arial Narrow"/>
                <w:b/>
                <w:bCs/>
                <w:sz w:val="20"/>
                <w:szCs w:val="20"/>
              </w:rPr>
            </w:pPr>
            <w:r w:rsidRPr="00521732">
              <w:rPr>
                <w:rFonts w:ascii="Arial Narrow" w:hAnsi="Arial Narrow"/>
                <w:sz w:val="20"/>
                <w:szCs w:val="20"/>
              </w:rPr>
              <w:t>Patient must be aged 12 years or older</w:t>
            </w:r>
          </w:p>
        </w:tc>
      </w:tr>
      <w:tr w:rsidR="00732948" w:rsidRPr="00EB31F2" w14:paraId="2D49C02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63339A2" w14:textId="5635CD54" w:rsidR="00732948" w:rsidRPr="00521732" w:rsidRDefault="00732948" w:rsidP="00732948">
            <w:pPr>
              <w:jc w:val="center"/>
              <w:rPr>
                <w:rFonts w:ascii="Arial Narrow" w:hAnsi="Arial Narrow"/>
                <w:sz w:val="20"/>
                <w:szCs w:val="20"/>
              </w:rPr>
            </w:pPr>
          </w:p>
        </w:tc>
        <w:tc>
          <w:tcPr>
            <w:tcW w:w="7745" w:type="dxa"/>
            <w:gridSpan w:val="6"/>
            <w:vAlign w:val="center"/>
          </w:tcPr>
          <w:p w14:paraId="149EF0EC" w14:textId="77777777" w:rsidR="00732948" w:rsidRPr="00521732" w:rsidRDefault="00732948" w:rsidP="00732948">
            <w:pPr>
              <w:rPr>
                <w:rFonts w:ascii="Arial Narrow" w:hAnsi="Arial Narrow"/>
                <w:bCs/>
                <w:sz w:val="20"/>
                <w:szCs w:val="20"/>
              </w:rPr>
            </w:pPr>
            <w:r w:rsidRPr="00521732">
              <w:rPr>
                <w:rFonts w:ascii="Arial Narrow" w:hAnsi="Arial Narrow"/>
                <w:b/>
                <w:bCs/>
                <w:sz w:val="20"/>
                <w:szCs w:val="20"/>
              </w:rPr>
              <w:t xml:space="preserve">Prescribing Instructions: </w:t>
            </w:r>
          </w:p>
          <w:p w14:paraId="308D445C" w14:textId="77777777" w:rsidR="00732948" w:rsidRPr="00521732" w:rsidRDefault="00732948" w:rsidP="00732948">
            <w:pPr>
              <w:rPr>
                <w:rFonts w:ascii="Arial Narrow" w:hAnsi="Arial Narrow"/>
                <w:sz w:val="20"/>
                <w:szCs w:val="20"/>
              </w:rPr>
            </w:pPr>
            <w:r w:rsidRPr="00521732">
              <w:rPr>
                <w:rFonts w:ascii="Arial Narrow" w:hAnsi="Arial Narrow"/>
                <w:sz w:val="20"/>
                <w:szCs w:val="20"/>
              </w:rPr>
              <w:t>The authority application must be made in writing and must include:</w:t>
            </w:r>
          </w:p>
          <w:p w14:paraId="368440DC" w14:textId="77777777" w:rsidR="00732948" w:rsidRPr="00521732" w:rsidRDefault="00732948" w:rsidP="00732948">
            <w:pPr>
              <w:rPr>
                <w:rFonts w:ascii="Arial Narrow" w:hAnsi="Arial Narrow"/>
                <w:sz w:val="20"/>
                <w:szCs w:val="20"/>
              </w:rPr>
            </w:pPr>
            <w:r w:rsidRPr="00521732">
              <w:rPr>
                <w:rFonts w:ascii="Arial Narrow" w:hAnsi="Arial Narrow"/>
                <w:sz w:val="20"/>
                <w:szCs w:val="20"/>
              </w:rPr>
              <w:t xml:space="preserve">(a) a completed authority prescription form; and </w:t>
            </w:r>
          </w:p>
          <w:p w14:paraId="0AB8FDAF" w14:textId="77777777" w:rsidR="00732948" w:rsidRPr="00521732" w:rsidRDefault="00732948" w:rsidP="00732948">
            <w:pPr>
              <w:rPr>
                <w:rFonts w:ascii="Arial Narrow" w:hAnsi="Arial Narrow"/>
                <w:sz w:val="20"/>
                <w:szCs w:val="20"/>
              </w:rPr>
            </w:pPr>
            <w:r w:rsidRPr="00521732">
              <w:rPr>
                <w:rFonts w:ascii="Arial Narrow" w:hAnsi="Arial Narrow"/>
                <w:sz w:val="20"/>
                <w:szCs w:val="20"/>
              </w:rPr>
              <w:t xml:space="preserve">(b) a completed </w:t>
            </w:r>
            <w:r w:rsidRPr="00521732">
              <w:rPr>
                <w:rFonts w:ascii="Arial Narrow" w:hAnsi="Arial Narrow"/>
                <w:i/>
                <w:iCs/>
                <w:sz w:val="20"/>
                <w:szCs w:val="20"/>
              </w:rPr>
              <w:t xml:space="preserve">authority application form relevant to the indication and treatment phase (the latest version is located on the website specified in the Administrative Advice), which includes: </w:t>
            </w:r>
            <w:r w:rsidRPr="00521732">
              <w:rPr>
                <w:rFonts w:ascii="Arial Narrow" w:hAnsi="Arial Narrow"/>
                <w:strike/>
                <w:sz w:val="20"/>
                <w:szCs w:val="20"/>
              </w:rPr>
              <w:t>Severe Asthma (mepolizumab/benralizumab) Initial PBS Authority Application – Supporting Information Form, which includes the following:</w:t>
            </w:r>
          </w:p>
          <w:p w14:paraId="75E8DA2B" w14:textId="77777777" w:rsidR="00732948" w:rsidRPr="00521732" w:rsidRDefault="00732948" w:rsidP="00732948">
            <w:pPr>
              <w:rPr>
                <w:rFonts w:ascii="Arial Narrow" w:hAnsi="Arial Narrow"/>
                <w:sz w:val="20"/>
                <w:szCs w:val="20"/>
              </w:rPr>
            </w:pPr>
            <w:r w:rsidRPr="00521732">
              <w:rPr>
                <w:rFonts w:ascii="Arial Narrow" w:hAnsi="Arial Narrow"/>
                <w:sz w:val="20"/>
                <w:szCs w:val="20"/>
              </w:rPr>
              <w:t xml:space="preserve">(i) Asthma Control Questionnaire (ACQ-5 item version) score (where a new baseline is being submitted or where the patient has responded to prior treatment); and </w:t>
            </w:r>
          </w:p>
          <w:p w14:paraId="01069B49" w14:textId="77777777" w:rsidR="00732948" w:rsidRPr="00521732" w:rsidRDefault="00732948" w:rsidP="00732948">
            <w:pPr>
              <w:rPr>
                <w:rFonts w:ascii="Arial Narrow" w:hAnsi="Arial Narrow"/>
                <w:sz w:val="20"/>
                <w:szCs w:val="20"/>
              </w:rPr>
            </w:pPr>
            <w:r w:rsidRPr="00521732">
              <w:rPr>
                <w:rFonts w:ascii="Arial Narrow" w:hAnsi="Arial Narrow"/>
                <w:sz w:val="20"/>
                <w:szCs w:val="20"/>
              </w:rPr>
              <w:t xml:space="preserve">(ii) the details of prior biological medicine treatment including the details of date and duration of treatment; and </w:t>
            </w:r>
          </w:p>
          <w:p w14:paraId="757FF624" w14:textId="77777777" w:rsidR="00732948" w:rsidRPr="00521732" w:rsidRDefault="00732948" w:rsidP="00732948">
            <w:pPr>
              <w:rPr>
                <w:rFonts w:ascii="Arial Narrow" w:hAnsi="Arial Narrow"/>
                <w:sz w:val="20"/>
                <w:szCs w:val="20"/>
              </w:rPr>
            </w:pPr>
            <w:r w:rsidRPr="00521732">
              <w:rPr>
                <w:rFonts w:ascii="Arial Narrow" w:hAnsi="Arial Narrow"/>
                <w:sz w:val="20"/>
                <w:szCs w:val="20"/>
              </w:rPr>
              <w:t xml:space="preserve">(iii) eosinophil count and date; and </w:t>
            </w:r>
          </w:p>
          <w:p w14:paraId="097193AF" w14:textId="77777777" w:rsidR="00732948" w:rsidRPr="00B166BA" w:rsidRDefault="00732948" w:rsidP="00732948">
            <w:pPr>
              <w:rPr>
                <w:rFonts w:ascii="Arial Narrow" w:hAnsi="Arial Narrow"/>
                <w:sz w:val="20"/>
                <w:szCs w:val="20"/>
              </w:rPr>
            </w:pPr>
            <w:r w:rsidRPr="00B166BA">
              <w:rPr>
                <w:rFonts w:ascii="Arial Narrow" w:hAnsi="Arial Narrow"/>
                <w:sz w:val="20"/>
                <w:szCs w:val="20"/>
              </w:rPr>
              <w:t xml:space="preserve">(iv) the dose of the maintenance oral corticosteroid (where the response criteria or baseline is based on corticosteroid dose); and </w:t>
            </w:r>
          </w:p>
          <w:p w14:paraId="6C7F0508" w14:textId="77777777" w:rsidR="00732948" w:rsidRPr="00521732" w:rsidRDefault="00732948" w:rsidP="00732948">
            <w:pPr>
              <w:rPr>
                <w:rFonts w:ascii="Arial Narrow" w:hAnsi="Arial Narrow"/>
                <w:sz w:val="20"/>
                <w:szCs w:val="20"/>
              </w:rPr>
            </w:pPr>
            <w:r w:rsidRPr="00521732">
              <w:rPr>
                <w:rFonts w:ascii="Arial Narrow" w:hAnsi="Arial Narrow"/>
                <w:sz w:val="20"/>
                <w:szCs w:val="20"/>
              </w:rPr>
              <w:t>(</w:t>
            </w:r>
            <w:r w:rsidRPr="00521732">
              <w:rPr>
                <w:rFonts w:ascii="Arial Narrow" w:hAnsi="Arial Narrow"/>
                <w:i/>
                <w:iCs/>
                <w:sz w:val="20"/>
                <w:szCs w:val="20"/>
              </w:rPr>
              <w:t>i</w:t>
            </w:r>
            <w:r w:rsidRPr="00521732">
              <w:rPr>
                <w:rFonts w:ascii="Arial Narrow" w:hAnsi="Arial Narrow"/>
                <w:sz w:val="20"/>
                <w:szCs w:val="20"/>
              </w:rPr>
              <w:t xml:space="preserve">v) the reason for switching therapy (e.g. failure of prior therapy, partial response to prior therapy, adverse event to prior therapy). </w:t>
            </w:r>
          </w:p>
          <w:p w14:paraId="5FF1072E" w14:textId="77777777" w:rsidR="00732948" w:rsidRPr="00521732" w:rsidRDefault="00732948" w:rsidP="00732948">
            <w:pPr>
              <w:rPr>
                <w:rFonts w:ascii="Arial Narrow" w:hAnsi="Arial Narrow"/>
                <w:sz w:val="20"/>
                <w:szCs w:val="20"/>
              </w:rPr>
            </w:pPr>
          </w:p>
          <w:p w14:paraId="3CAD528B" w14:textId="77777777" w:rsidR="00732948" w:rsidRPr="00521732" w:rsidRDefault="00732948" w:rsidP="00732948">
            <w:pPr>
              <w:rPr>
                <w:rFonts w:ascii="Arial Narrow" w:hAnsi="Arial Narrow"/>
                <w:sz w:val="20"/>
                <w:szCs w:val="20"/>
              </w:rPr>
            </w:pPr>
            <w:r w:rsidRPr="00521732">
              <w:rPr>
                <w:rFonts w:ascii="Arial Narrow" w:hAnsi="Arial Narrow"/>
                <w:sz w:val="20"/>
                <w:szCs w:val="20"/>
              </w:rPr>
              <w:t xml:space="preserve">An application for a patient who has received PBS-subsidised biological medicine treatment for severe asthma who wishes to change therapy to this biological medicine, must be accompanied by the results of an ACQ-5 assessment of the patient’s most recent course of PBS-subsidised biological medicine treatment. The assessment must have been made not more than 4 weeks after the last dose of biological medicine. Where a response assessment was not undertaken, the patient will be deemed to have failed to respond to treatment with that previous biological medicine. </w:t>
            </w:r>
          </w:p>
          <w:p w14:paraId="60446860" w14:textId="77777777" w:rsidR="00732948" w:rsidRPr="00521732" w:rsidRDefault="00732948" w:rsidP="00732948">
            <w:pPr>
              <w:rPr>
                <w:rFonts w:ascii="Arial Narrow" w:hAnsi="Arial Narrow"/>
                <w:sz w:val="20"/>
                <w:szCs w:val="20"/>
              </w:rPr>
            </w:pPr>
          </w:p>
          <w:p w14:paraId="3B650876" w14:textId="77777777" w:rsidR="00732948" w:rsidRPr="00521732" w:rsidRDefault="00732948" w:rsidP="00732948">
            <w:pPr>
              <w:rPr>
                <w:rFonts w:ascii="Arial Narrow" w:hAnsi="Arial Narrow"/>
                <w:sz w:val="20"/>
                <w:szCs w:val="20"/>
              </w:rPr>
            </w:pPr>
            <w:r w:rsidRPr="00521732">
              <w:rPr>
                <w:rFonts w:ascii="Arial Narrow" w:hAnsi="Arial Narrow"/>
                <w:sz w:val="20"/>
                <w:szCs w:val="20"/>
              </w:rPr>
              <w:t xml:space="preserve">An ACQ-5 assessment of the patient may be made at the time of application for treatment (to establish a new baseline score) but should be made again around 28 weeks after the first PBS-subsidised dose of this biological medicine under this restriction so that there is adequate time for a response to be demonstrated and for the application for the first continuing therapy to be processed. </w:t>
            </w:r>
          </w:p>
          <w:p w14:paraId="2E026BB0" w14:textId="77777777" w:rsidR="00732948" w:rsidRPr="00521732" w:rsidRDefault="00732948" w:rsidP="00732948">
            <w:pPr>
              <w:rPr>
                <w:rFonts w:ascii="Arial Narrow" w:hAnsi="Arial Narrow"/>
                <w:sz w:val="20"/>
                <w:szCs w:val="20"/>
              </w:rPr>
            </w:pPr>
          </w:p>
          <w:p w14:paraId="2DEA0A18" w14:textId="77777777" w:rsidR="00732948" w:rsidRPr="00521732" w:rsidRDefault="00732948" w:rsidP="00732948">
            <w:pPr>
              <w:rPr>
                <w:rFonts w:ascii="Arial Narrow" w:hAnsi="Arial Narrow"/>
                <w:sz w:val="20"/>
                <w:szCs w:val="20"/>
              </w:rPr>
            </w:pPr>
            <w:r w:rsidRPr="00521732">
              <w:rPr>
                <w:rFonts w:ascii="Arial Narrow" w:hAnsi="Arial Narrow"/>
                <w:sz w:val="20"/>
                <w:szCs w:val="20"/>
              </w:rPr>
              <w:t xml:space="preserve">This assessment, which will be used to determine eligibility for the first continuing treatment, should be conducted within 4 weeks of the </w:t>
            </w:r>
            <w:r w:rsidRPr="00521732">
              <w:rPr>
                <w:rFonts w:ascii="Arial Narrow" w:hAnsi="Arial Narrow"/>
                <w:i/>
                <w:iCs/>
                <w:sz w:val="20"/>
                <w:szCs w:val="20"/>
              </w:rPr>
              <w:t xml:space="preserve">last dose of biological medicine </w:t>
            </w:r>
            <w:r w:rsidRPr="00521732">
              <w:rPr>
                <w:rFonts w:ascii="Arial Narrow" w:hAnsi="Arial Narrow"/>
                <w:strike/>
                <w:sz w:val="20"/>
                <w:szCs w:val="20"/>
              </w:rPr>
              <w:t>date of assessment</w:t>
            </w:r>
            <w:r w:rsidRPr="00521732">
              <w:rPr>
                <w:rFonts w:ascii="Arial Narrow" w:hAnsi="Arial Narrow"/>
                <w:sz w:val="20"/>
                <w:szCs w:val="20"/>
              </w:rPr>
              <w:t xml:space="preserve">. To avoid an interruption of supply for the first continuing treatment, the assessment should be submitted no later than 2 weeks prior to the patient completing their current treatment course, unless the patient is currently on a treatment break. Where a response assessment is not undertaken and submitted, the patient will be deemed to have failed to respond to treatment with this drug. </w:t>
            </w:r>
          </w:p>
          <w:p w14:paraId="0691F551" w14:textId="77777777" w:rsidR="00732948" w:rsidRPr="00521732" w:rsidRDefault="00732948" w:rsidP="00732948">
            <w:pPr>
              <w:rPr>
                <w:rFonts w:ascii="Arial Narrow" w:hAnsi="Arial Narrow"/>
                <w:sz w:val="20"/>
                <w:szCs w:val="20"/>
              </w:rPr>
            </w:pPr>
          </w:p>
          <w:p w14:paraId="287CD98D" w14:textId="77777777" w:rsidR="00732948" w:rsidRPr="00521732" w:rsidRDefault="00732948" w:rsidP="00732948">
            <w:pPr>
              <w:rPr>
                <w:rFonts w:ascii="Arial Narrow" w:hAnsi="Arial Narrow"/>
                <w:sz w:val="20"/>
                <w:szCs w:val="20"/>
              </w:rPr>
            </w:pPr>
            <w:r w:rsidRPr="00521732">
              <w:rPr>
                <w:rFonts w:ascii="Arial Narrow" w:hAnsi="Arial Narrow"/>
                <w:sz w:val="20"/>
                <w:szCs w:val="20"/>
              </w:rPr>
              <w:t xml:space="preserve">At the time of the authority application, medical practitioners should request up to 7 repeats to provide for an initial course sufficient for up to 32 weeks of therapy. </w:t>
            </w:r>
            <w:r w:rsidRPr="00521732">
              <w:rPr>
                <w:rFonts w:ascii="Arial Narrow" w:hAnsi="Arial Narrow"/>
                <w:sz w:val="20"/>
                <w:szCs w:val="20"/>
              </w:rPr>
              <w:br/>
            </w:r>
          </w:p>
          <w:p w14:paraId="58B2C7BE" w14:textId="77777777" w:rsidR="00732948" w:rsidRPr="00521732" w:rsidRDefault="00732948" w:rsidP="00732948">
            <w:pPr>
              <w:rPr>
                <w:rFonts w:ascii="Arial Narrow" w:hAnsi="Arial Narrow"/>
                <w:sz w:val="20"/>
                <w:szCs w:val="20"/>
              </w:rPr>
            </w:pPr>
            <w:r w:rsidRPr="00521732">
              <w:rPr>
                <w:rFonts w:ascii="Arial Narrow" w:hAnsi="Arial Narrow"/>
                <w:sz w:val="20"/>
                <w:szCs w:val="20"/>
              </w:rPr>
              <w:t>A multidisciplinary severe asthma clinic team comprises of:</w:t>
            </w:r>
          </w:p>
          <w:p w14:paraId="5DA5B5D7" w14:textId="77777777" w:rsidR="00732948" w:rsidRPr="00521732" w:rsidRDefault="00732948" w:rsidP="00732948">
            <w:pPr>
              <w:pStyle w:val="ListParagraph"/>
              <w:numPr>
                <w:ilvl w:val="0"/>
                <w:numId w:val="12"/>
              </w:numPr>
              <w:spacing w:after="0" w:line="259" w:lineRule="auto"/>
              <w:contextualSpacing/>
              <w:rPr>
                <w:rFonts w:ascii="Arial Narrow" w:hAnsi="Arial Narrow"/>
                <w:sz w:val="20"/>
                <w:szCs w:val="20"/>
              </w:rPr>
            </w:pPr>
            <w:r w:rsidRPr="00521732">
              <w:rPr>
                <w:rFonts w:ascii="Arial Narrow" w:hAnsi="Arial Narrow"/>
                <w:sz w:val="20"/>
                <w:szCs w:val="20"/>
              </w:rPr>
              <w:t xml:space="preserve">A respiratory physician; and </w:t>
            </w:r>
          </w:p>
          <w:p w14:paraId="7636BEFC" w14:textId="393DCF93" w:rsidR="00732948" w:rsidRPr="00521732" w:rsidRDefault="00732948" w:rsidP="00732948">
            <w:pPr>
              <w:rPr>
                <w:rFonts w:ascii="Arial Narrow" w:hAnsi="Arial Narrow"/>
                <w:sz w:val="20"/>
                <w:szCs w:val="20"/>
              </w:rPr>
            </w:pPr>
            <w:r w:rsidRPr="00521732">
              <w:rPr>
                <w:rFonts w:ascii="Arial Narrow" w:hAnsi="Arial Narrow"/>
                <w:sz w:val="20"/>
                <w:szCs w:val="20"/>
              </w:rPr>
              <w:t>A pharmacist, nurse or asthma educator.</w:t>
            </w:r>
          </w:p>
        </w:tc>
      </w:tr>
    </w:tbl>
    <w:p w14:paraId="359254C2" w14:textId="239DD15D" w:rsidR="00600D07" w:rsidRPr="00EB31F2" w:rsidRDefault="00600D07" w:rsidP="00943326">
      <w:pPr>
        <w:widowControl w:val="0"/>
        <w:numPr>
          <w:ilvl w:val="1"/>
          <w:numId w:val="1"/>
        </w:numPr>
        <w:spacing w:before="120" w:after="120"/>
        <w:rPr>
          <w:rFonts w:asciiTheme="minorHAnsi" w:hAnsiTheme="minorHAnsi" w:cs="Arial"/>
          <w:bCs/>
          <w:snapToGrid w:val="0"/>
        </w:rPr>
      </w:pPr>
      <w:r w:rsidRPr="00EB31F2">
        <w:rPr>
          <w:rFonts w:asciiTheme="minorHAnsi" w:hAnsiTheme="minorHAnsi" w:cs="Arial"/>
          <w:bCs/>
          <w:snapToGrid w:val="0"/>
        </w:rPr>
        <w:t xml:space="preserve">Flow-on changes to the </w:t>
      </w:r>
      <w:r w:rsidR="00732948">
        <w:rPr>
          <w:rFonts w:asciiTheme="minorHAnsi" w:hAnsiTheme="minorHAnsi" w:cs="Arial"/>
          <w:bCs/>
          <w:snapToGrid w:val="0"/>
        </w:rPr>
        <w:t xml:space="preserve">optimised asthma therapy </w:t>
      </w:r>
      <w:r w:rsidR="00EF0872">
        <w:rPr>
          <w:rFonts w:asciiTheme="minorHAnsi" w:hAnsiTheme="minorHAnsi" w:cs="Arial"/>
          <w:bCs/>
          <w:snapToGrid w:val="0"/>
        </w:rPr>
        <w:t xml:space="preserve">definition </w:t>
      </w:r>
      <w:r w:rsidR="00732948">
        <w:rPr>
          <w:rFonts w:asciiTheme="minorHAnsi" w:hAnsiTheme="minorHAnsi" w:cs="Arial"/>
          <w:bCs/>
          <w:snapToGrid w:val="0"/>
        </w:rPr>
        <w:t>as shown above to the following item codes: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7"/>
        <w:gridCol w:w="2499"/>
      </w:tblGrid>
      <w:tr w:rsidR="00600D07" w:rsidRPr="00EB31F2" w14:paraId="03F77E58" w14:textId="77777777" w:rsidTr="00600D07">
        <w:trPr>
          <w:cantSplit/>
          <w:trHeight w:val="20"/>
        </w:trPr>
        <w:tc>
          <w:tcPr>
            <w:tcW w:w="3614" w:type="pct"/>
            <w:vAlign w:val="center"/>
          </w:tcPr>
          <w:p w14:paraId="41F317FE" w14:textId="77777777" w:rsidR="00600D07" w:rsidRPr="00EB31F2" w:rsidRDefault="00600D07" w:rsidP="00943326">
            <w:pPr>
              <w:rPr>
                <w:rFonts w:ascii="Arial Narrow" w:hAnsi="Arial Narrow" w:cs="Arial"/>
                <w:b/>
                <w:bCs/>
                <w:sz w:val="20"/>
                <w:szCs w:val="20"/>
              </w:rPr>
            </w:pPr>
            <w:r w:rsidRPr="00EB31F2">
              <w:rPr>
                <w:rFonts w:ascii="Arial Narrow" w:hAnsi="Arial Narrow" w:cs="Arial"/>
                <w:b/>
                <w:bCs/>
                <w:sz w:val="20"/>
                <w:szCs w:val="20"/>
              </w:rPr>
              <w:t>MEDICINAL PRODUCT</w:t>
            </w:r>
          </w:p>
          <w:p w14:paraId="25EC384D" w14:textId="77777777" w:rsidR="00600D07" w:rsidRPr="00EB31F2" w:rsidRDefault="00600D07" w:rsidP="00943326">
            <w:pPr>
              <w:rPr>
                <w:rFonts w:ascii="Arial Narrow" w:hAnsi="Arial Narrow" w:cs="Arial"/>
                <w:b/>
                <w:sz w:val="20"/>
                <w:szCs w:val="20"/>
              </w:rPr>
            </w:pPr>
            <w:r w:rsidRPr="00EB31F2">
              <w:rPr>
                <w:rFonts w:ascii="Arial Narrow" w:hAnsi="Arial Narrow" w:cs="Arial"/>
                <w:b/>
                <w:bCs/>
                <w:sz w:val="20"/>
                <w:szCs w:val="20"/>
              </w:rPr>
              <w:t>medicinal product pack</w:t>
            </w:r>
          </w:p>
        </w:tc>
        <w:tc>
          <w:tcPr>
            <w:tcW w:w="1386" w:type="pct"/>
            <w:vAlign w:val="center"/>
          </w:tcPr>
          <w:p w14:paraId="7238B152" w14:textId="77777777" w:rsidR="00600D07" w:rsidRPr="00EB31F2" w:rsidRDefault="00600D07" w:rsidP="00943326">
            <w:pPr>
              <w:jc w:val="center"/>
              <w:rPr>
                <w:rFonts w:ascii="Arial Narrow" w:hAnsi="Arial Narrow" w:cs="Arial"/>
                <w:b/>
                <w:sz w:val="20"/>
                <w:szCs w:val="20"/>
              </w:rPr>
            </w:pPr>
            <w:r w:rsidRPr="00EB31F2">
              <w:rPr>
                <w:rFonts w:ascii="Arial Narrow" w:hAnsi="Arial Narrow" w:cs="Arial"/>
                <w:b/>
                <w:sz w:val="20"/>
                <w:szCs w:val="20"/>
              </w:rPr>
              <w:t>PBS item code</w:t>
            </w:r>
          </w:p>
        </w:tc>
      </w:tr>
      <w:tr w:rsidR="00600D07" w:rsidRPr="00EB31F2" w14:paraId="22BD4A05" w14:textId="77777777" w:rsidTr="00600D07">
        <w:trPr>
          <w:cantSplit/>
          <w:trHeight w:val="20"/>
        </w:trPr>
        <w:tc>
          <w:tcPr>
            <w:tcW w:w="5000" w:type="pct"/>
            <w:gridSpan w:val="2"/>
            <w:vAlign w:val="center"/>
          </w:tcPr>
          <w:p w14:paraId="48B6AAA5" w14:textId="0A1D4489" w:rsidR="00600D07" w:rsidRPr="00EB31F2" w:rsidRDefault="00600D07" w:rsidP="00943326">
            <w:pPr>
              <w:rPr>
                <w:rFonts w:ascii="Arial Narrow" w:hAnsi="Arial Narrow" w:cs="Arial"/>
                <w:sz w:val="20"/>
                <w:szCs w:val="20"/>
              </w:rPr>
            </w:pPr>
            <w:r w:rsidRPr="00EB31F2">
              <w:rPr>
                <w:rFonts w:ascii="Arial Narrow" w:hAnsi="Arial Narrow" w:cs="Arial"/>
                <w:sz w:val="20"/>
                <w:szCs w:val="20"/>
              </w:rPr>
              <w:t>OMALIZUMAB</w:t>
            </w:r>
          </w:p>
        </w:tc>
      </w:tr>
      <w:tr w:rsidR="00600D07" w:rsidRPr="00EB31F2" w14:paraId="7CEEF8AB" w14:textId="77777777" w:rsidTr="00600D07">
        <w:trPr>
          <w:cantSplit/>
          <w:trHeight w:val="20"/>
        </w:trPr>
        <w:tc>
          <w:tcPr>
            <w:tcW w:w="3614" w:type="pct"/>
            <w:vMerge w:val="restart"/>
            <w:vAlign w:val="center"/>
          </w:tcPr>
          <w:p w14:paraId="52CD5FA2" w14:textId="6C20841F" w:rsidR="00600D07" w:rsidRPr="00EB31F2" w:rsidRDefault="00600D07" w:rsidP="00943326">
            <w:pPr>
              <w:rPr>
                <w:rFonts w:ascii="Arial Narrow" w:hAnsi="Arial Narrow" w:cs="Arial"/>
                <w:sz w:val="20"/>
                <w:szCs w:val="20"/>
              </w:rPr>
            </w:pPr>
            <w:r w:rsidRPr="00EB31F2">
              <w:rPr>
                <w:rFonts w:ascii="Arial Narrow" w:hAnsi="Arial Narrow" w:cs="Arial"/>
                <w:sz w:val="20"/>
                <w:szCs w:val="20"/>
              </w:rPr>
              <w:t>omalizumab 75 mg/0.5 mL injection, 0.5 mL syringe</w:t>
            </w:r>
          </w:p>
        </w:tc>
        <w:tc>
          <w:tcPr>
            <w:tcW w:w="1386" w:type="pct"/>
            <w:vAlign w:val="center"/>
          </w:tcPr>
          <w:p w14:paraId="2BDA9E13" w14:textId="2528423B" w:rsidR="00600D07" w:rsidRPr="00EB31F2" w:rsidRDefault="00600D07" w:rsidP="00943326">
            <w:pPr>
              <w:jc w:val="center"/>
              <w:rPr>
                <w:rFonts w:ascii="Arial Narrow" w:hAnsi="Arial Narrow" w:cs="Arial"/>
                <w:sz w:val="20"/>
                <w:szCs w:val="20"/>
              </w:rPr>
            </w:pPr>
            <w:r w:rsidRPr="00EB31F2">
              <w:rPr>
                <w:rFonts w:ascii="Arial Narrow" w:hAnsi="Arial Narrow" w:cs="Arial"/>
                <w:sz w:val="20"/>
                <w:szCs w:val="20"/>
              </w:rPr>
              <w:t>10118M</w:t>
            </w:r>
          </w:p>
        </w:tc>
      </w:tr>
      <w:tr w:rsidR="00600D07" w:rsidRPr="00EB31F2" w14:paraId="5B36D058" w14:textId="77777777" w:rsidTr="00600D07">
        <w:trPr>
          <w:cantSplit/>
          <w:trHeight w:val="20"/>
        </w:trPr>
        <w:tc>
          <w:tcPr>
            <w:tcW w:w="3614" w:type="pct"/>
            <w:vMerge/>
            <w:vAlign w:val="center"/>
          </w:tcPr>
          <w:p w14:paraId="76C6BA0B" w14:textId="77777777" w:rsidR="00600D07" w:rsidRPr="00EB31F2" w:rsidRDefault="00600D07" w:rsidP="00943326">
            <w:pPr>
              <w:rPr>
                <w:rFonts w:ascii="Arial Narrow" w:hAnsi="Arial Narrow" w:cs="Arial"/>
                <w:sz w:val="20"/>
                <w:szCs w:val="20"/>
              </w:rPr>
            </w:pPr>
          </w:p>
        </w:tc>
        <w:tc>
          <w:tcPr>
            <w:tcW w:w="1386" w:type="pct"/>
            <w:vAlign w:val="center"/>
          </w:tcPr>
          <w:p w14:paraId="40DC3700" w14:textId="0EFB188B" w:rsidR="00600D07" w:rsidRPr="00EB31F2" w:rsidRDefault="00600D07" w:rsidP="00943326">
            <w:pPr>
              <w:jc w:val="center"/>
              <w:rPr>
                <w:rFonts w:ascii="Arial Narrow" w:hAnsi="Arial Narrow" w:cs="Arial"/>
                <w:sz w:val="20"/>
                <w:szCs w:val="20"/>
              </w:rPr>
            </w:pPr>
            <w:r w:rsidRPr="00EB31F2">
              <w:rPr>
                <w:rFonts w:ascii="Arial Narrow" w:hAnsi="Arial Narrow" w:cs="Arial"/>
                <w:sz w:val="20"/>
                <w:szCs w:val="20"/>
              </w:rPr>
              <w:t>10110D</w:t>
            </w:r>
          </w:p>
        </w:tc>
      </w:tr>
      <w:tr w:rsidR="00600D07" w:rsidRPr="00EB31F2" w14:paraId="2FD98FA2" w14:textId="77777777" w:rsidTr="00600D07">
        <w:trPr>
          <w:cantSplit/>
          <w:trHeight w:val="20"/>
        </w:trPr>
        <w:tc>
          <w:tcPr>
            <w:tcW w:w="3614" w:type="pct"/>
            <w:vMerge w:val="restart"/>
            <w:vAlign w:val="center"/>
          </w:tcPr>
          <w:p w14:paraId="60E39589" w14:textId="5D203D82" w:rsidR="00600D07" w:rsidRPr="00EB31F2" w:rsidRDefault="00600D07" w:rsidP="00943326">
            <w:pPr>
              <w:rPr>
                <w:rFonts w:ascii="Arial Narrow" w:hAnsi="Arial Narrow" w:cs="Arial"/>
                <w:sz w:val="20"/>
                <w:szCs w:val="20"/>
              </w:rPr>
            </w:pPr>
            <w:r w:rsidRPr="00EB31F2">
              <w:rPr>
                <w:rFonts w:ascii="Arial Narrow" w:hAnsi="Arial Narrow" w:cs="Arial"/>
                <w:sz w:val="20"/>
                <w:szCs w:val="20"/>
              </w:rPr>
              <w:t>omalizumab 150 mg/mL injection, 1 mL syringe</w:t>
            </w:r>
          </w:p>
        </w:tc>
        <w:tc>
          <w:tcPr>
            <w:tcW w:w="1386" w:type="pct"/>
            <w:vAlign w:val="center"/>
          </w:tcPr>
          <w:p w14:paraId="15EC933F" w14:textId="21215585" w:rsidR="00600D07" w:rsidRPr="00EB31F2" w:rsidRDefault="00600D07" w:rsidP="00943326">
            <w:pPr>
              <w:jc w:val="center"/>
              <w:rPr>
                <w:rFonts w:ascii="Arial Narrow" w:hAnsi="Arial Narrow" w:cs="Arial"/>
                <w:sz w:val="20"/>
                <w:szCs w:val="20"/>
              </w:rPr>
            </w:pPr>
            <w:r w:rsidRPr="00EB31F2">
              <w:rPr>
                <w:rFonts w:ascii="Arial Narrow" w:hAnsi="Arial Narrow" w:cs="Arial"/>
                <w:sz w:val="20"/>
                <w:szCs w:val="20"/>
              </w:rPr>
              <w:t>10109C</w:t>
            </w:r>
          </w:p>
        </w:tc>
      </w:tr>
      <w:tr w:rsidR="00600D07" w:rsidRPr="00EB31F2" w14:paraId="2FF277FA" w14:textId="77777777" w:rsidTr="00600D07">
        <w:trPr>
          <w:cantSplit/>
          <w:trHeight w:val="20"/>
        </w:trPr>
        <w:tc>
          <w:tcPr>
            <w:tcW w:w="3614" w:type="pct"/>
            <w:vMerge/>
            <w:vAlign w:val="center"/>
          </w:tcPr>
          <w:p w14:paraId="48681916" w14:textId="77777777" w:rsidR="00600D07" w:rsidRPr="00EB31F2" w:rsidRDefault="00600D07" w:rsidP="00943326">
            <w:pPr>
              <w:rPr>
                <w:rFonts w:ascii="Arial Narrow" w:hAnsi="Arial Narrow" w:cs="Arial"/>
                <w:sz w:val="20"/>
                <w:szCs w:val="20"/>
              </w:rPr>
            </w:pPr>
          </w:p>
        </w:tc>
        <w:tc>
          <w:tcPr>
            <w:tcW w:w="1386" w:type="pct"/>
            <w:vAlign w:val="center"/>
          </w:tcPr>
          <w:p w14:paraId="5C9735A9" w14:textId="13CECDED" w:rsidR="00600D07" w:rsidRPr="00EB31F2" w:rsidRDefault="00600D07" w:rsidP="00943326">
            <w:pPr>
              <w:jc w:val="center"/>
              <w:rPr>
                <w:rFonts w:ascii="Arial Narrow" w:hAnsi="Arial Narrow" w:cs="Arial"/>
                <w:sz w:val="20"/>
                <w:szCs w:val="20"/>
              </w:rPr>
            </w:pPr>
            <w:r w:rsidRPr="00EB31F2">
              <w:rPr>
                <w:rFonts w:ascii="Arial Narrow" w:hAnsi="Arial Narrow" w:cs="Arial"/>
                <w:sz w:val="20"/>
                <w:szCs w:val="20"/>
              </w:rPr>
              <w:t>10122R</w:t>
            </w:r>
          </w:p>
        </w:tc>
      </w:tr>
      <w:tr w:rsidR="00600D07" w:rsidRPr="00EB31F2" w14:paraId="79C3CC5F" w14:textId="77777777" w:rsidTr="00600D07">
        <w:trPr>
          <w:cantSplit/>
          <w:trHeight w:val="20"/>
        </w:trPr>
        <w:tc>
          <w:tcPr>
            <w:tcW w:w="5000" w:type="pct"/>
            <w:gridSpan w:val="2"/>
            <w:vAlign w:val="center"/>
          </w:tcPr>
          <w:p w14:paraId="3ED7D99A" w14:textId="05985201" w:rsidR="00600D07" w:rsidRPr="00EB31F2" w:rsidRDefault="00600D07" w:rsidP="00943326">
            <w:pPr>
              <w:jc w:val="left"/>
              <w:rPr>
                <w:rFonts w:ascii="Arial Narrow" w:hAnsi="Arial Narrow" w:cs="Arial"/>
                <w:sz w:val="20"/>
                <w:szCs w:val="20"/>
              </w:rPr>
            </w:pPr>
            <w:r w:rsidRPr="00EB31F2">
              <w:rPr>
                <w:rFonts w:ascii="Arial Narrow" w:hAnsi="Arial Narrow" w:cs="Arial"/>
                <w:sz w:val="20"/>
                <w:szCs w:val="20"/>
              </w:rPr>
              <w:t>BENRALIZUMAB</w:t>
            </w:r>
          </w:p>
        </w:tc>
      </w:tr>
      <w:tr w:rsidR="00600D07" w:rsidRPr="00EB31F2" w14:paraId="01FAF985" w14:textId="77777777" w:rsidTr="00600D07">
        <w:trPr>
          <w:cantSplit/>
          <w:trHeight w:val="20"/>
        </w:trPr>
        <w:tc>
          <w:tcPr>
            <w:tcW w:w="3614" w:type="pct"/>
            <w:vMerge w:val="restart"/>
            <w:vAlign w:val="center"/>
          </w:tcPr>
          <w:p w14:paraId="4505EB39" w14:textId="65004F11" w:rsidR="00600D07" w:rsidRPr="00EB31F2" w:rsidRDefault="00600D07" w:rsidP="00943326">
            <w:pPr>
              <w:rPr>
                <w:rFonts w:ascii="Arial Narrow" w:hAnsi="Arial Narrow" w:cs="Arial"/>
                <w:sz w:val="20"/>
                <w:szCs w:val="20"/>
              </w:rPr>
            </w:pPr>
            <w:r w:rsidRPr="00EB31F2">
              <w:rPr>
                <w:rFonts w:ascii="Arial Narrow" w:hAnsi="Arial Narrow" w:cs="Arial"/>
                <w:sz w:val="20"/>
                <w:szCs w:val="20"/>
              </w:rPr>
              <w:t>benralizumab 30 mg/mL injection, 1 mL pen device</w:t>
            </w:r>
          </w:p>
        </w:tc>
        <w:tc>
          <w:tcPr>
            <w:tcW w:w="1386" w:type="pct"/>
            <w:vAlign w:val="center"/>
          </w:tcPr>
          <w:p w14:paraId="0F1DB6D0" w14:textId="1A9F9303" w:rsidR="00600D07" w:rsidRPr="00EB31F2" w:rsidRDefault="00600D07" w:rsidP="00943326">
            <w:pPr>
              <w:jc w:val="center"/>
              <w:rPr>
                <w:rFonts w:ascii="Arial Narrow" w:hAnsi="Arial Narrow" w:cs="Arial"/>
                <w:sz w:val="20"/>
                <w:szCs w:val="20"/>
              </w:rPr>
            </w:pPr>
            <w:r w:rsidRPr="00EB31F2">
              <w:rPr>
                <w:rFonts w:ascii="Arial Narrow" w:hAnsi="Arial Narrow" w:cs="Arial"/>
                <w:sz w:val="20"/>
                <w:szCs w:val="20"/>
              </w:rPr>
              <w:t>11997K</w:t>
            </w:r>
          </w:p>
        </w:tc>
      </w:tr>
      <w:tr w:rsidR="00600D07" w:rsidRPr="00EB31F2" w14:paraId="7F024317" w14:textId="77777777" w:rsidTr="00600D07">
        <w:trPr>
          <w:cantSplit/>
          <w:trHeight w:val="20"/>
        </w:trPr>
        <w:tc>
          <w:tcPr>
            <w:tcW w:w="3614" w:type="pct"/>
            <w:vMerge/>
            <w:vAlign w:val="center"/>
          </w:tcPr>
          <w:p w14:paraId="61FF5A44" w14:textId="77777777" w:rsidR="00600D07" w:rsidRPr="00EB31F2" w:rsidRDefault="00600D07" w:rsidP="00943326">
            <w:pPr>
              <w:rPr>
                <w:rFonts w:ascii="Arial Narrow" w:hAnsi="Arial Narrow" w:cs="Arial"/>
                <w:sz w:val="20"/>
                <w:szCs w:val="20"/>
              </w:rPr>
            </w:pPr>
          </w:p>
        </w:tc>
        <w:tc>
          <w:tcPr>
            <w:tcW w:w="1386" w:type="pct"/>
            <w:vAlign w:val="center"/>
          </w:tcPr>
          <w:p w14:paraId="1C36D7D2" w14:textId="0DB40AC9" w:rsidR="00600D07" w:rsidRPr="00EB31F2" w:rsidRDefault="00600D07" w:rsidP="00943326">
            <w:pPr>
              <w:jc w:val="center"/>
              <w:rPr>
                <w:rFonts w:ascii="Arial Narrow" w:hAnsi="Arial Narrow" w:cs="Arial"/>
                <w:sz w:val="20"/>
                <w:szCs w:val="20"/>
              </w:rPr>
            </w:pPr>
            <w:r w:rsidRPr="00EB31F2">
              <w:rPr>
                <w:rFonts w:ascii="Arial Narrow" w:hAnsi="Arial Narrow" w:cs="Arial"/>
                <w:sz w:val="20"/>
                <w:szCs w:val="20"/>
              </w:rPr>
              <w:t>11994G</w:t>
            </w:r>
          </w:p>
        </w:tc>
      </w:tr>
      <w:tr w:rsidR="00600D07" w:rsidRPr="00EB31F2" w14:paraId="2360EA52" w14:textId="77777777" w:rsidTr="00600D07">
        <w:trPr>
          <w:cantSplit/>
          <w:trHeight w:val="20"/>
        </w:trPr>
        <w:tc>
          <w:tcPr>
            <w:tcW w:w="5000" w:type="pct"/>
            <w:gridSpan w:val="2"/>
            <w:vAlign w:val="center"/>
          </w:tcPr>
          <w:p w14:paraId="7FA62185" w14:textId="10E3C616" w:rsidR="00600D07" w:rsidRPr="00EB31F2" w:rsidRDefault="00600D07" w:rsidP="00943326">
            <w:pPr>
              <w:jc w:val="left"/>
              <w:rPr>
                <w:rFonts w:ascii="Arial Narrow" w:hAnsi="Arial Narrow" w:cs="Arial"/>
                <w:sz w:val="20"/>
                <w:szCs w:val="20"/>
              </w:rPr>
            </w:pPr>
            <w:r w:rsidRPr="00EB31F2">
              <w:rPr>
                <w:rFonts w:ascii="Arial Narrow" w:hAnsi="Arial Narrow" w:cs="Arial"/>
                <w:sz w:val="20"/>
                <w:szCs w:val="20"/>
              </w:rPr>
              <w:t>DUPILUMAB</w:t>
            </w:r>
          </w:p>
        </w:tc>
      </w:tr>
      <w:tr w:rsidR="00600D07" w:rsidRPr="00EB31F2" w14:paraId="24AE5400" w14:textId="77777777" w:rsidTr="00600D07">
        <w:trPr>
          <w:cantSplit/>
          <w:trHeight w:val="20"/>
        </w:trPr>
        <w:tc>
          <w:tcPr>
            <w:tcW w:w="3614" w:type="pct"/>
            <w:vMerge w:val="restart"/>
            <w:vAlign w:val="center"/>
          </w:tcPr>
          <w:p w14:paraId="533223D8" w14:textId="4FCF2240" w:rsidR="00600D07" w:rsidRPr="00EB31F2" w:rsidRDefault="00600D07" w:rsidP="00943326">
            <w:pPr>
              <w:rPr>
                <w:rFonts w:ascii="Arial Narrow" w:hAnsi="Arial Narrow" w:cs="Arial"/>
                <w:sz w:val="20"/>
                <w:szCs w:val="20"/>
              </w:rPr>
            </w:pPr>
            <w:r w:rsidRPr="00EB31F2">
              <w:rPr>
                <w:rFonts w:ascii="Arial Narrow" w:hAnsi="Arial Narrow" w:cs="Arial"/>
                <w:sz w:val="20"/>
                <w:szCs w:val="20"/>
              </w:rPr>
              <w:t>dupilumab 200 mg/1.14 mL injection, 2 x 1.14 mL syringes</w:t>
            </w:r>
          </w:p>
        </w:tc>
        <w:tc>
          <w:tcPr>
            <w:tcW w:w="1386" w:type="pct"/>
            <w:vAlign w:val="center"/>
          </w:tcPr>
          <w:p w14:paraId="4595F394" w14:textId="46BE6074" w:rsidR="00600D07" w:rsidRPr="00EB31F2" w:rsidRDefault="00600D07" w:rsidP="00943326">
            <w:pPr>
              <w:jc w:val="center"/>
              <w:rPr>
                <w:rFonts w:ascii="Arial Narrow" w:hAnsi="Arial Narrow" w:cs="Arial"/>
                <w:sz w:val="20"/>
                <w:szCs w:val="20"/>
              </w:rPr>
            </w:pPr>
            <w:r w:rsidRPr="00EB31F2">
              <w:rPr>
                <w:rFonts w:ascii="Arial Narrow" w:hAnsi="Arial Narrow" w:cs="Arial"/>
                <w:sz w:val="20"/>
                <w:szCs w:val="20"/>
              </w:rPr>
              <w:t>12309W</w:t>
            </w:r>
          </w:p>
        </w:tc>
      </w:tr>
      <w:tr w:rsidR="00600D07" w:rsidRPr="00EB31F2" w14:paraId="799176C4" w14:textId="77777777" w:rsidTr="00600D07">
        <w:trPr>
          <w:cantSplit/>
          <w:trHeight w:val="20"/>
        </w:trPr>
        <w:tc>
          <w:tcPr>
            <w:tcW w:w="3614" w:type="pct"/>
            <w:vMerge/>
            <w:vAlign w:val="center"/>
          </w:tcPr>
          <w:p w14:paraId="36356B3A" w14:textId="77777777" w:rsidR="00600D07" w:rsidRPr="00EB31F2" w:rsidRDefault="00600D07" w:rsidP="00943326">
            <w:pPr>
              <w:rPr>
                <w:rFonts w:ascii="Arial Narrow" w:hAnsi="Arial Narrow" w:cs="Arial"/>
                <w:sz w:val="20"/>
                <w:szCs w:val="20"/>
              </w:rPr>
            </w:pPr>
          </w:p>
        </w:tc>
        <w:tc>
          <w:tcPr>
            <w:tcW w:w="1386" w:type="pct"/>
            <w:vAlign w:val="center"/>
          </w:tcPr>
          <w:p w14:paraId="3A5F6AD0" w14:textId="2CD2A45D" w:rsidR="00600D07" w:rsidRPr="00EB31F2" w:rsidRDefault="00600D07" w:rsidP="00943326">
            <w:pPr>
              <w:jc w:val="center"/>
              <w:rPr>
                <w:rFonts w:ascii="Arial Narrow" w:hAnsi="Arial Narrow" w:cs="Arial"/>
                <w:sz w:val="20"/>
                <w:szCs w:val="20"/>
              </w:rPr>
            </w:pPr>
            <w:r w:rsidRPr="00EB31F2">
              <w:rPr>
                <w:rFonts w:ascii="Arial Narrow" w:hAnsi="Arial Narrow" w:cs="Arial"/>
                <w:sz w:val="20"/>
                <w:szCs w:val="20"/>
              </w:rPr>
              <w:t>12313C</w:t>
            </w:r>
          </w:p>
        </w:tc>
      </w:tr>
    </w:tbl>
    <w:p w14:paraId="3DABF2AA" w14:textId="77777777" w:rsidR="00600D07" w:rsidRPr="003D60FA" w:rsidRDefault="00600D07" w:rsidP="00943326">
      <w:pPr>
        <w:spacing w:before="120"/>
        <w:rPr>
          <w:rFonts w:asciiTheme="minorHAnsi" w:hAnsiTheme="minorHAnsi" w:cs="Arial"/>
          <w:b/>
          <w:i/>
          <w:iCs/>
          <w:snapToGrid w:val="0"/>
        </w:rPr>
      </w:pPr>
      <w:bookmarkStart w:id="22" w:name="_Hlk161310598"/>
      <w:r w:rsidRPr="003D60FA">
        <w:rPr>
          <w:rFonts w:asciiTheme="minorHAnsi" w:hAnsiTheme="minorHAnsi" w:cs="Arial"/>
          <w:b/>
          <w:i/>
          <w:iCs/>
          <w:snapToGrid w:val="0"/>
        </w:rPr>
        <w:t>These restrictions may be subject to further review. Should there be any changes made to</w:t>
      </w:r>
    </w:p>
    <w:p w14:paraId="50EADDFB" w14:textId="7C6037E0" w:rsidR="000857A2" w:rsidRPr="00943326" w:rsidRDefault="00600D07" w:rsidP="00943326">
      <w:pPr>
        <w:rPr>
          <w:rFonts w:asciiTheme="minorHAnsi" w:hAnsiTheme="minorHAnsi" w:cs="Arial"/>
          <w:b/>
          <w:i/>
          <w:iCs/>
          <w:snapToGrid w:val="0"/>
        </w:rPr>
      </w:pPr>
      <w:r w:rsidRPr="003D60FA">
        <w:rPr>
          <w:rFonts w:asciiTheme="minorHAnsi" w:hAnsiTheme="minorHAnsi" w:cs="Arial"/>
          <w:b/>
          <w:i/>
          <w:iCs/>
          <w:snapToGrid w:val="0"/>
        </w:rPr>
        <w:t>the restriction the sponsor will be informed.</w:t>
      </w:r>
      <w:bookmarkEnd w:id="21"/>
      <w:bookmarkEnd w:id="22"/>
    </w:p>
    <w:p w14:paraId="5D52C724" w14:textId="37219977" w:rsidR="000857A2" w:rsidRPr="003C76D2" w:rsidRDefault="000857A2" w:rsidP="00943326">
      <w:pPr>
        <w:pStyle w:val="Heading1"/>
        <w:numPr>
          <w:ilvl w:val="0"/>
          <w:numId w:val="1"/>
        </w:numPr>
        <w:spacing w:before="240"/>
        <w:ind w:left="709" w:hanging="709"/>
        <w:rPr>
          <w:sz w:val="32"/>
          <w:szCs w:val="32"/>
        </w:rPr>
      </w:pPr>
      <w:r w:rsidRPr="003C76D2">
        <w:rPr>
          <w:sz w:val="32"/>
          <w:szCs w:val="32"/>
        </w:rPr>
        <w:t>Context for Decision</w:t>
      </w:r>
    </w:p>
    <w:p w14:paraId="4BAE8B91" w14:textId="77777777" w:rsidR="000857A2" w:rsidRPr="000857A2" w:rsidRDefault="000857A2" w:rsidP="00943326">
      <w:pPr>
        <w:spacing w:after="120"/>
        <w:ind w:left="720"/>
        <w:rPr>
          <w:rFonts w:asciiTheme="minorHAnsi" w:hAnsiTheme="minorHAnsi" w:cs="Arial"/>
          <w:bCs/>
          <w:lang w:val="en-GB"/>
        </w:rPr>
      </w:pPr>
      <w:r w:rsidRPr="000857A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22D0B34" w14:textId="77777777" w:rsidR="000857A2" w:rsidRPr="000857A2" w:rsidRDefault="000857A2" w:rsidP="00943326">
      <w:pPr>
        <w:pStyle w:val="Heading1"/>
        <w:numPr>
          <w:ilvl w:val="0"/>
          <w:numId w:val="1"/>
        </w:numPr>
        <w:spacing w:before="240"/>
        <w:ind w:left="709" w:hanging="709"/>
        <w:rPr>
          <w:sz w:val="32"/>
          <w:szCs w:val="32"/>
        </w:rPr>
      </w:pPr>
      <w:r w:rsidRPr="000857A2">
        <w:rPr>
          <w:sz w:val="32"/>
          <w:szCs w:val="32"/>
        </w:rPr>
        <w:t>Sponsor’s Comment</w:t>
      </w:r>
    </w:p>
    <w:p w14:paraId="61D8B197" w14:textId="7D9CFA8A" w:rsidR="002F0AFB" w:rsidRPr="00E65D71" w:rsidRDefault="002F0AFB" w:rsidP="00E65D71">
      <w:pPr>
        <w:spacing w:after="120"/>
        <w:ind w:left="720"/>
        <w:rPr>
          <w:rFonts w:asciiTheme="minorHAnsi" w:eastAsiaTheme="minorHAnsi" w:hAnsiTheme="minorHAnsi" w:cs="Arial"/>
          <w:bCs/>
          <w:lang w:eastAsia="en-US"/>
        </w:rPr>
      </w:pPr>
      <w:r w:rsidRPr="00E65D71">
        <w:rPr>
          <w:rFonts w:asciiTheme="minorHAnsi" w:eastAsiaTheme="minorHAnsi" w:hAnsiTheme="minorHAnsi" w:cs="Arial"/>
          <w:bCs/>
          <w:lang w:eastAsia="en-US"/>
        </w:rPr>
        <w:t xml:space="preserve">GSK welcomes the PBAC's recommendation to remove the </w:t>
      </w:r>
      <w:r w:rsidR="0099176E" w:rsidRPr="00E65D71">
        <w:rPr>
          <w:rFonts w:asciiTheme="minorHAnsi" w:eastAsiaTheme="minorHAnsi" w:hAnsiTheme="minorHAnsi" w:cs="Arial"/>
          <w:bCs/>
          <w:lang w:eastAsia="en-US"/>
        </w:rPr>
        <w:t>oral corticosteroid</w:t>
      </w:r>
      <w:r w:rsidRPr="00E65D71">
        <w:rPr>
          <w:rFonts w:asciiTheme="minorHAnsi" w:eastAsiaTheme="minorHAnsi" w:hAnsiTheme="minorHAnsi" w:cs="Arial"/>
          <w:bCs/>
          <w:lang w:eastAsia="en-US"/>
        </w:rPr>
        <w:t xml:space="preserve"> requirement within the definition of 'optimised asthma therapy' from the clinical criteria of mepolizumab for the treatment of uncontrolled severe asthma to align with current treatment guidelines. </w:t>
      </w:r>
    </w:p>
    <w:p w14:paraId="06E0887E" w14:textId="4FE8C034" w:rsidR="000857A2" w:rsidRPr="00FD73E2" w:rsidRDefault="002F0AFB" w:rsidP="00E65D71">
      <w:pPr>
        <w:spacing w:after="120"/>
        <w:ind w:left="720"/>
        <w:rPr>
          <w:rFonts w:asciiTheme="minorHAnsi" w:eastAsiaTheme="minorHAnsi" w:hAnsiTheme="minorHAnsi" w:cs="Arial"/>
          <w:bCs/>
          <w:lang w:eastAsia="en-US"/>
        </w:rPr>
      </w:pPr>
      <w:r w:rsidRPr="00E65D71">
        <w:rPr>
          <w:rFonts w:asciiTheme="minorHAnsi" w:eastAsiaTheme="minorHAnsi" w:hAnsiTheme="minorHAnsi" w:cs="Arial"/>
          <w:bCs/>
          <w:lang w:eastAsia="en-US"/>
        </w:rPr>
        <w:t>GSK notes the PBAC’s decision not to recommend changes to the authority level for prescribing. With healthcare professionals and patient organisations highlighting the benefits of such changes through efficient access and increased opportunity for patient care, GSK would appreciate that this matter is addressed by the DUSC and PBAC in a timely manner.</w:t>
      </w:r>
    </w:p>
    <w:sectPr w:rsidR="000857A2" w:rsidRPr="00FD73E2" w:rsidSect="00C27B58">
      <w:headerReference w:type="default" r:id="rId16"/>
      <w:footerReference w:type="even" r:id="rId17"/>
      <w:footerReference w:type="default" r:id="rId18"/>
      <w:footerReference w:type="first" r:id="rId19"/>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D5460" w14:textId="77777777" w:rsidR="00D82A63" w:rsidRDefault="00D82A63">
      <w:r>
        <w:separator/>
      </w:r>
    </w:p>
    <w:p w14:paraId="010AB986" w14:textId="77777777" w:rsidR="00D82A63" w:rsidRDefault="00D82A63"/>
  </w:endnote>
  <w:endnote w:type="continuationSeparator" w:id="0">
    <w:p w14:paraId="18AE420F" w14:textId="77777777" w:rsidR="00D82A63" w:rsidRDefault="00D82A63">
      <w:r>
        <w:continuationSeparator/>
      </w:r>
    </w:p>
    <w:p w14:paraId="7028EF35" w14:textId="77777777" w:rsidR="00D82A63" w:rsidRDefault="00D82A63"/>
  </w:endnote>
  <w:endnote w:type="continuationNotice" w:id="1">
    <w:p w14:paraId="261829BC" w14:textId="77777777" w:rsidR="00D82A63" w:rsidRDefault="00D82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1B4776D3" w:rsidR="009C26AA" w:rsidRPr="00407CAA" w:rsidRDefault="00401640" w:rsidP="00C56D78">
    <w:pPr>
      <w:pStyle w:val="MinorOVRHeader"/>
      <w:jc w:val="center"/>
      <w:rPr>
        <w:b/>
        <w:bCs/>
      </w:rPr>
    </w:pPr>
    <w:r w:rsidRPr="00407CAA">
      <w:rPr>
        <w:b/>
        <w:bCs/>
      </w:rPr>
      <w:fldChar w:fldCharType="begin"/>
    </w:r>
    <w:r w:rsidRPr="00407CAA">
      <w:rPr>
        <w:b/>
        <w:bCs/>
      </w:rPr>
      <w:instrText xml:space="preserve"> PAGE   \* MERGEFORMAT </w:instrText>
    </w:r>
    <w:r w:rsidRPr="00407CAA">
      <w:rPr>
        <w:b/>
        <w:bCs/>
      </w:rPr>
      <w:fldChar w:fldCharType="separate"/>
    </w:r>
    <w:r w:rsidRPr="00407CAA">
      <w:rPr>
        <w:b/>
        <w:bCs/>
      </w:rPr>
      <w:t>1</w:t>
    </w:r>
    <w:r w:rsidRPr="00407CAA">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8CFDB" w14:textId="77777777" w:rsidR="00D82A63" w:rsidRDefault="00D82A63">
      <w:r>
        <w:separator/>
      </w:r>
    </w:p>
    <w:p w14:paraId="7F8AE583" w14:textId="77777777" w:rsidR="00D82A63" w:rsidRDefault="00D82A63"/>
  </w:footnote>
  <w:footnote w:type="continuationSeparator" w:id="0">
    <w:p w14:paraId="5849C4A6" w14:textId="77777777" w:rsidR="00D82A63" w:rsidRDefault="00D82A63">
      <w:r>
        <w:continuationSeparator/>
      </w:r>
    </w:p>
    <w:p w14:paraId="2109E6BA" w14:textId="77777777" w:rsidR="00D82A63" w:rsidRDefault="00D82A63"/>
  </w:footnote>
  <w:footnote w:type="continuationNotice" w:id="1">
    <w:p w14:paraId="5CD1E5BF" w14:textId="77777777" w:rsidR="00D82A63" w:rsidRDefault="00D82A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036308E2" w:rsidR="00C56D78" w:rsidRPr="006D604A" w:rsidRDefault="00F32E29" w:rsidP="00C56D78">
    <w:pPr>
      <w:keepNext/>
      <w:tabs>
        <w:tab w:val="center" w:pos="4513"/>
        <w:tab w:val="right" w:pos="9026"/>
      </w:tabs>
      <w:jc w:val="center"/>
      <w:rPr>
        <w:rFonts w:asciiTheme="minorHAnsi" w:eastAsiaTheme="minorEastAsia" w:hAnsiTheme="minorHAnsi" w:cstheme="minorHAnsi"/>
        <w:i/>
      </w:rPr>
    </w:pPr>
    <w:r w:rsidRPr="006D604A">
      <w:rPr>
        <w:rFonts w:asciiTheme="minorHAnsi" w:hAnsiTheme="minorHAnsi" w:cs="Arial"/>
        <w:i/>
      </w:rPr>
      <w:t>Public Summary Document</w:t>
    </w:r>
    <w:r w:rsidRPr="006D604A" w:rsidDel="001A7CB1">
      <w:rPr>
        <w:rFonts w:asciiTheme="minorHAnsi" w:hAnsiTheme="minorHAnsi" w:cs="Arial"/>
        <w:i/>
      </w:rPr>
      <w:t xml:space="preserve"> </w:t>
    </w:r>
    <w:r w:rsidR="00CC2224" w:rsidRPr="006D604A">
      <w:rPr>
        <w:rFonts w:asciiTheme="minorHAnsi" w:eastAsiaTheme="minorEastAsia" w:hAnsiTheme="minorHAnsi" w:cstheme="minorHAnsi"/>
        <w:i/>
      </w:rPr>
      <w:t xml:space="preserve">– </w:t>
    </w:r>
    <w:r w:rsidR="00407CAA" w:rsidRPr="006D604A">
      <w:rPr>
        <w:rFonts w:asciiTheme="minorHAnsi" w:eastAsiaTheme="minorEastAsia" w:hAnsiTheme="minorHAnsi" w:cstheme="minorHAnsi"/>
        <w:i/>
      </w:rPr>
      <w:t>March 202</w:t>
    </w:r>
    <w:r w:rsidR="00203E9C" w:rsidRPr="006D604A">
      <w:rPr>
        <w:rFonts w:asciiTheme="minorHAnsi" w:eastAsiaTheme="minorEastAsia" w:hAnsiTheme="minorHAnsi" w:cstheme="minorHAnsi"/>
        <w:i/>
      </w:rPr>
      <w:t>4</w:t>
    </w:r>
    <w:r w:rsidR="00C56D78" w:rsidRPr="006D604A">
      <w:rPr>
        <w:rFonts w:asciiTheme="minorHAnsi" w:eastAsiaTheme="minorEastAsia" w:hAnsiTheme="minorHAnsi" w:cstheme="minorHAnsi"/>
        <w:i/>
      </w:rPr>
      <w:t xml:space="preserve"> 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B9A3BF9"/>
    <w:multiLevelType w:val="hybridMultilevel"/>
    <w:tmpl w:val="F656FF9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6C2D85"/>
    <w:multiLevelType w:val="hybridMultilevel"/>
    <w:tmpl w:val="2B10766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 w15:restartNumberingAfterBreak="0">
    <w:nsid w:val="1C150275"/>
    <w:multiLevelType w:val="hybridMultilevel"/>
    <w:tmpl w:val="F9B40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B46FFB"/>
    <w:multiLevelType w:val="hybridMultilevel"/>
    <w:tmpl w:val="93522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407BE3"/>
    <w:multiLevelType w:val="hybridMultilevel"/>
    <w:tmpl w:val="1B24B5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315A7E"/>
    <w:multiLevelType w:val="hybridMultilevel"/>
    <w:tmpl w:val="2BE200F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0" w15:restartNumberingAfterBreak="0">
    <w:nsid w:val="4D172DD3"/>
    <w:multiLevelType w:val="hybridMultilevel"/>
    <w:tmpl w:val="65CCB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7F5632"/>
    <w:multiLevelType w:val="hybridMultilevel"/>
    <w:tmpl w:val="10865716"/>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480483C"/>
    <w:multiLevelType w:val="hybridMultilevel"/>
    <w:tmpl w:val="E318C04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4" w15:restartNumberingAfterBreak="0">
    <w:nsid w:val="784D033C"/>
    <w:multiLevelType w:val="multilevel"/>
    <w:tmpl w:val="636CB81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957570559">
    <w:abstractNumId w:val="14"/>
  </w:num>
  <w:num w:numId="2" w16cid:durableId="536628895">
    <w:abstractNumId w:val="0"/>
  </w:num>
  <w:num w:numId="3" w16cid:durableId="1159004663">
    <w:abstractNumId w:val="12"/>
  </w:num>
  <w:num w:numId="4" w16cid:durableId="495537779">
    <w:abstractNumId w:val="9"/>
  </w:num>
  <w:num w:numId="5" w16cid:durableId="1468400811">
    <w:abstractNumId w:val="1"/>
  </w:num>
  <w:num w:numId="6" w16cid:durableId="132985464">
    <w:abstractNumId w:val="14"/>
  </w:num>
  <w:num w:numId="7" w16cid:durableId="1125735157">
    <w:abstractNumId w:val="6"/>
  </w:num>
  <w:num w:numId="8" w16cid:durableId="1128089716">
    <w:abstractNumId w:val="11"/>
  </w:num>
  <w:num w:numId="9" w16cid:durableId="1711032877">
    <w:abstractNumId w:val="13"/>
  </w:num>
  <w:num w:numId="10" w16cid:durableId="159542043">
    <w:abstractNumId w:val="8"/>
  </w:num>
  <w:num w:numId="11" w16cid:durableId="1848515239">
    <w:abstractNumId w:val="3"/>
  </w:num>
  <w:num w:numId="12" w16cid:durableId="527644662">
    <w:abstractNumId w:val="5"/>
  </w:num>
  <w:num w:numId="13" w16cid:durableId="954021662">
    <w:abstractNumId w:val="7"/>
  </w:num>
  <w:num w:numId="14" w16cid:durableId="1578901171">
    <w:abstractNumId w:val="14"/>
  </w:num>
  <w:num w:numId="15" w16cid:durableId="465465264">
    <w:abstractNumId w:val="2"/>
  </w:num>
  <w:num w:numId="16" w16cid:durableId="2143620068">
    <w:abstractNumId w:val="10"/>
  </w:num>
  <w:num w:numId="17" w16cid:durableId="1575049738">
    <w:abstractNumId w:val="4"/>
  </w:num>
  <w:num w:numId="18" w16cid:durableId="228882987">
    <w:abstractNumId w:val="14"/>
  </w:num>
  <w:num w:numId="19" w16cid:durableId="46149982">
    <w:abstractNumId w:val="14"/>
  </w:num>
  <w:num w:numId="20" w16cid:durableId="1510215319">
    <w:abstractNumId w:val="14"/>
  </w:num>
  <w:num w:numId="21" w16cid:durableId="2062900545">
    <w:abstractNumId w:val="14"/>
  </w:num>
  <w:num w:numId="22" w16cid:durableId="1748304615">
    <w:abstractNumId w:val="14"/>
  </w:num>
  <w:num w:numId="23" w16cid:durableId="147202054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485"/>
    <w:rsid w:val="00003EC5"/>
    <w:rsid w:val="00006782"/>
    <w:rsid w:val="00010EB4"/>
    <w:rsid w:val="0001131C"/>
    <w:rsid w:val="0001179A"/>
    <w:rsid w:val="00011A59"/>
    <w:rsid w:val="00014D69"/>
    <w:rsid w:val="00016A41"/>
    <w:rsid w:val="0001707B"/>
    <w:rsid w:val="000214D1"/>
    <w:rsid w:val="00021F20"/>
    <w:rsid w:val="0002464A"/>
    <w:rsid w:val="00025A04"/>
    <w:rsid w:val="00025F1B"/>
    <w:rsid w:val="0002693D"/>
    <w:rsid w:val="0003050E"/>
    <w:rsid w:val="0003106B"/>
    <w:rsid w:val="000335B9"/>
    <w:rsid w:val="00034905"/>
    <w:rsid w:val="00034E1E"/>
    <w:rsid w:val="00037906"/>
    <w:rsid w:val="00037E6F"/>
    <w:rsid w:val="00040A30"/>
    <w:rsid w:val="000421A1"/>
    <w:rsid w:val="0004240E"/>
    <w:rsid w:val="000425A2"/>
    <w:rsid w:val="00044E52"/>
    <w:rsid w:val="00044EC4"/>
    <w:rsid w:val="00045E26"/>
    <w:rsid w:val="00046903"/>
    <w:rsid w:val="00050E62"/>
    <w:rsid w:val="000514B5"/>
    <w:rsid w:val="000521ED"/>
    <w:rsid w:val="0005313C"/>
    <w:rsid w:val="0005322E"/>
    <w:rsid w:val="00054A94"/>
    <w:rsid w:val="00054E2B"/>
    <w:rsid w:val="000603DE"/>
    <w:rsid w:val="00060E64"/>
    <w:rsid w:val="000621AB"/>
    <w:rsid w:val="00062C03"/>
    <w:rsid w:val="00062E88"/>
    <w:rsid w:val="00065273"/>
    <w:rsid w:val="00066193"/>
    <w:rsid w:val="00066755"/>
    <w:rsid w:val="00071A5B"/>
    <w:rsid w:val="00072003"/>
    <w:rsid w:val="00072730"/>
    <w:rsid w:val="0007337F"/>
    <w:rsid w:val="00074320"/>
    <w:rsid w:val="000763D5"/>
    <w:rsid w:val="00076C38"/>
    <w:rsid w:val="00077143"/>
    <w:rsid w:val="00077DF7"/>
    <w:rsid w:val="0008050C"/>
    <w:rsid w:val="00082169"/>
    <w:rsid w:val="000834BE"/>
    <w:rsid w:val="00083B10"/>
    <w:rsid w:val="00083F01"/>
    <w:rsid w:val="0008578B"/>
    <w:rsid w:val="000857A2"/>
    <w:rsid w:val="00087C4C"/>
    <w:rsid w:val="000918CB"/>
    <w:rsid w:val="00091B06"/>
    <w:rsid w:val="00091CBB"/>
    <w:rsid w:val="00094764"/>
    <w:rsid w:val="000951C4"/>
    <w:rsid w:val="00095ADA"/>
    <w:rsid w:val="00095F3A"/>
    <w:rsid w:val="000969AD"/>
    <w:rsid w:val="000975FB"/>
    <w:rsid w:val="000A02F8"/>
    <w:rsid w:val="000A13D2"/>
    <w:rsid w:val="000A1D39"/>
    <w:rsid w:val="000A2F90"/>
    <w:rsid w:val="000A3AA2"/>
    <w:rsid w:val="000A3CEA"/>
    <w:rsid w:val="000A42EF"/>
    <w:rsid w:val="000A44B2"/>
    <w:rsid w:val="000A5093"/>
    <w:rsid w:val="000A52F6"/>
    <w:rsid w:val="000A58B8"/>
    <w:rsid w:val="000B44C3"/>
    <w:rsid w:val="000B558D"/>
    <w:rsid w:val="000B5A89"/>
    <w:rsid w:val="000B5D35"/>
    <w:rsid w:val="000B65F6"/>
    <w:rsid w:val="000B7767"/>
    <w:rsid w:val="000C1AFF"/>
    <w:rsid w:val="000C2E35"/>
    <w:rsid w:val="000C4401"/>
    <w:rsid w:val="000C5740"/>
    <w:rsid w:val="000C5F95"/>
    <w:rsid w:val="000C6996"/>
    <w:rsid w:val="000C7563"/>
    <w:rsid w:val="000C7C46"/>
    <w:rsid w:val="000D09E9"/>
    <w:rsid w:val="000D113F"/>
    <w:rsid w:val="000D23BA"/>
    <w:rsid w:val="000E187B"/>
    <w:rsid w:val="000E19B7"/>
    <w:rsid w:val="000E1D4B"/>
    <w:rsid w:val="000E20FC"/>
    <w:rsid w:val="000E3168"/>
    <w:rsid w:val="000E3C1D"/>
    <w:rsid w:val="000E3DFB"/>
    <w:rsid w:val="000E5EA1"/>
    <w:rsid w:val="000E681E"/>
    <w:rsid w:val="000E696B"/>
    <w:rsid w:val="000E76A2"/>
    <w:rsid w:val="000E7E52"/>
    <w:rsid w:val="000E7E90"/>
    <w:rsid w:val="000EE1C7"/>
    <w:rsid w:val="000F0003"/>
    <w:rsid w:val="000F0BE4"/>
    <w:rsid w:val="000F3384"/>
    <w:rsid w:val="000F3421"/>
    <w:rsid w:val="000F4E6A"/>
    <w:rsid w:val="000F6ABB"/>
    <w:rsid w:val="000F7354"/>
    <w:rsid w:val="000F7C27"/>
    <w:rsid w:val="00101ABE"/>
    <w:rsid w:val="00102202"/>
    <w:rsid w:val="00102700"/>
    <w:rsid w:val="00102A78"/>
    <w:rsid w:val="00103118"/>
    <w:rsid w:val="00103F1B"/>
    <w:rsid w:val="00104227"/>
    <w:rsid w:val="001053D5"/>
    <w:rsid w:val="00107409"/>
    <w:rsid w:val="001107BF"/>
    <w:rsid w:val="001114A6"/>
    <w:rsid w:val="00113649"/>
    <w:rsid w:val="00113D5C"/>
    <w:rsid w:val="00116116"/>
    <w:rsid w:val="001161CE"/>
    <w:rsid w:val="00116B03"/>
    <w:rsid w:val="00117875"/>
    <w:rsid w:val="00120AA6"/>
    <w:rsid w:val="001239DB"/>
    <w:rsid w:val="0012417C"/>
    <w:rsid w:val="00124395"/>
    <w:rsid w:val="00124BF2"/>
    <w:rsid w:val="00125837"/>
    <w:rsid w:val="0012597F"/>
    <w:rsid w:val="00126B19"/>
    <w:rsid w:val="00126D3A"/>
    <w:rsid w:val="0012749D"/>
    <w:rsid w:val="001274FE"/>
    <w:rsid w:val="00127A23"/>
    <w:rsid w:val="001306A5"/>
    <w:rsid w:val="00130918"/>
    <w:rsid w:val="001311AE"/>
    <w:rsid w:val="0013377C"/>
    <w:rsid w:val="00134994"/>
    <w:rsid w:val="001366C2"/>
    <w:rsid w:val="00136C17"/>
    <w:rsid w:val="00140B74"/>
    <w:rsid w:val="00140D94"/>
    <w:rsid w:val="00142395"/>
    <w:rsid w:val="0014250D"/>
    <w:rsid w:val="00142714"/>
    <w:rsid w:val="00144D09"/>
    <w:rsid w:val="00144E06"/>
    <w:rsid w:val="001452ED"/>
    <w:rsid w:val="00146AB0"/>
    <w:rsid w:val="00147D84"/>
    <w:rsid w:val="001513FA"/>
    <w:rsid w:val="00151CBD"/>
    <w:rsid w:val="001533C3"/>
    <w:rsid w:val="001549C1"/>
    <w:rsid w:val="0015664A"/>
    <w:rsid w:val="00156C8D"/>
    <w:rsid w:val="00160F4D"/>
    <w:rsid w:val="00162BDD"/>
    <w:rsid w:val="00162D4E"/>
    <w:rsid w:val="00163329"/>
    <w:rsid w:val="00163F7A"/>
    <w:rsid w:val="00164623"/>
    <w:rsid w:val="001652DE"/>
    <w:rsid w:val="00165390"/>
    <w:rsid w:val="001653EC"/>
    <w:rsid w:val="00165B64"/>
    <w:rsid w:val="00165C29"/>
    <w:rsid w:val="001672E5"/>
    <w:rsid w:val="00167C39"/>
    <w:rsid w:val="00170F84"/>
    <w:rsid w:val="00171072"/>
    <w:rsid w:val="00173B49"/>
    <w:rsid w:val="00174F81"/>
    <w:rsid w:val="00176B9D"/>
    <w:rsid w:val="00180713"/>
    <w:rsid w:val="00180720"/>
    <w:rsid w:val="001811E0"/>
    <w:rsid w:val="001830CE"/>
    <w:rsid w:val="001836E3"/>
    <w:rsid w:val="00184659"/>
    <w:rsid w:val="001860E5"/>
    <w:rsid w:val="0018643B"/>
    <w:rsid w:val="0019393E"/>
    <w:rsid w:val="0019556F"/>
    <w:rsid w:val="00195AC8"/>
    <w:rsid w:val="00196307"/>
    <w:rsid w:val="00197C70"/>
    <w:rsid w:val="00197F03"/>
    <w:rsid w:val="001A0D10"/>
    <w:rsid w:val="001A33EA"/>
    <w:rsid w:val="001A3615"/>
    <w:rsid w:val="001A4413"/>
    <w:rsid w:val="001A4C4F"/>
    <w:rsid w:val="001A5A2B"/>
    <w:rsid w:val="001A5F95"/>
    <w:rsid w:val="001A76FB"/>
    <w:rsid w:val="001B017F"/>
    <w:rsid w:val="001B054A"/>
    <w:rsid w:val="001B0B79"/>
    <w:rsid w:val="001B19EA"/>
    <w:rsid w:val="001B1D4C"/>
    <w:rsid w:val="001B2BBC"/>
    <w:rsid w:val="001B2BCD"/>
    <w:rsid w:val="001B3A40"/>
    <w:rsid w:val="001B3FFE"/>
    <w:rsid w:val="001B5129"/>
    <w:rsid w:val="001C0B4C"/>
    <w:rsid w:val="001C0EC4"/>
    <w:rsid w:val="001C1195"/>
    <w:rsid w:val="001C12AE"/>
    <w:rsid w:val="001C1E84"/>
    <w:rsid w:val="001C20E1"/>
    <w:rsid w:val="001C2509"/>
    <w:rsid w:val="001C2A0F"/>
    <w:rsid w:val="001C2E42"/>
    <w:rsid w:val="001D107B"/>
    <w:rsid w:val="001D1F5F"/>
    <w:rsid w:val="001D1FA1"/>
    <w:rsid w:val="001E06D2"/>
    <w:rsid w:val="001E17C4"/>
    <w:rsid w:val="001E2A47"/>
    <w:rsid w:val="001E2D65"/>
    <w:rsid w:val="001E399C"/>
    <w:rsid w:val="001E3B38"/>
    <w:rsid w:val="001F005B"/>
    <w:rsid w:val="001F08BF"/>
    <w:rsid w:val="001F0C10"/>
    <w:rsid w:val="001F1850"/>
    <w:rsid w:val="001F1FBF"/>
    <w:rsid w:val="001F2311"/>
    <w:rsid w:val="001F2B80"/>
    <w:rsid w:val="001F2F1C"/>
    <w:rsid w:val="001F3189"/>
    <w:rsid w:val="001F515D"/>
    <w:rsid w:val="002005F9"/>
    <w:rsid w:val="00200BEA"/>
    <w:rsid w:val="00201FB8"/>
    <w:rsid w:val="00203E9C"/>
    <w:rsid w:val="00203FAC"/>
    <w:rsid w:val="00207249"/>
    <w:rsid w:val="002133FB"/>
    <w:rsid w:val="00213CFB"/>
    <w:rsid w:val="0021553C"/>
    <w:rsid w:val="0021557B"/>
    <w:rsid w:val="00216B87"/>
    <w:rsid w:val="002174FD"/>
    <w:rsid w:val="00217BE1"/>
    <w:rsid w:val="002206D5"/>
    <w:rsid w:val="00220FAF"/>
    <w:rsid w:val="00221361"/>
    <w:rsid w:val="002214B9"/>
    <w:rsid w:val="00221930"/>
    <w:rsid w:val="00222680"/>
    <w:rsid w:val="00223370"/>
    <w:rsid w:val="00224D1E"/>
    <w:rsid w:val="00226611"/>
    <w:rsid w:val="00227AB4"/>
    <w:rsid w:val="00227BC5"/>
    <w:rsid w:val="00230F63"/>
    <w:rsid w:val="00234252"/>
    <w:rsid w:val="0023466E"/>
    <w:rsid w:val="00236402"/>
    <w:rsid w:val="002366BA"/>
    <w:rsid w:val="00236E1B"/>
    <w:rsid w:val="00237AC6"/>
    <w:rsid w:val="00240123"/>
    <w:rsid w:val="00242197"/>
    <w:rsid w:val="00242B64"/>
    <w:rsid w:val="00242BFD"/>
    <w:rsid w:val="00244139"/>
    <w:rsid w:val="00244490"/>
    <w:rsid w:val="00244BEC"/>
    <w:rsid w:val="002452D5"/>
    <w:rsid w:val="00245B9C"/>
    <w:rsid w:val="002475E0"/>
    <w:rsid w:val="00252425"/>
    <w:rsid w:val="00252587"/>
    <w:rsid w:val="00253499"/>
    <w:rsid w:val="002535A2"/>
    <w:rsid w:val="002538FF"/>
    <w:rsid w:val="0025517E"/>
    <w:rsid w:val="002551A4"/>
    <w:rsid w:val="00257664"/>
    <w:rsid w:val="00260165"/>
    <w:rsid w:val="00263B40"/>
    <w:rsid w:val="00265151"/>
    <w:rsid w:val="00265C2C"/>
    <w:rsid w:val="00266509"/>
    <w:rsid w:val="00271BA1"/>
    <w:rsid w:val="00271F1B"/>
    <w:rsid w:val="002722F7"/>
    <w:rsid w:val="00272BEA"/>
    <w:rsid w:val="00273159"/>
    <w:rsid w:val="00273AC5"/>
    <w:rsid w:val="00274A6F"/>
    <w:rsid w:val="00275605"/>
    <w:rsid w:val="002762FA"/>
    <w:rsid w:val="00276BE3"/>
    <w:rsid w:val="00277505"/>
    <w:rsid w:val="00277873"/>
    <w:rsid w:val="0028158C"/>
    <w:rsid w:val="002823B6"/>
    <w:rsid w:val="00290C03"/>
    <w:rsid w:val="00292392"/>
    <w:rsid w:val="00292E3B"/>
    <w:rsid w:val="00292F0D"/>
    <w:rsid w:val="002933A8"/>
    <w:rsid w:val="00294274"/>
    <w:rsid w:val="0029458F"/>
    <w:rsid w:val="002950B1"/>
    <w:rsid w:val="00297A63"/>
    <w:rsid w:val="002A018F"/>
    <w:rsid w:val="002A0E04"/>
    <w:rsid w:val="002A104C"/>
    <w:rsid w:val="002A1EF7"/>
    <w:rsid w:val="002A2B7B"/>
    <w:rsid w:val="002A3B98"/>
    <w:rsid w:val="002A494D"/>
    <w:rsid w:val="002A4960"/>
    <w:rsid w:val="002A636A"/>
    <w:rsid w:val="002A6DC9"/>
    <w:rsid w:val="002A755F"/>
    <w:rsid w:val="002B0AE0"/>
    <w:rsid w:val="002B1AE6"/>
    <w:rsid w:val="002B1D51"/>
    <w:rsid w:val="002B2DE8"/>
    <w:rsid w:val="002B30F8"/>
    <w:rsid w:val="002B388A"/>
    <w:rsid w:val="002B3BFE"/>
    <w:rsid w:val="002B3C1A"/>
    <w:rsid w:val="002B4C2A"/>
    <w:rsid w:val="002B5596"/>
    <w:rsid w:val="002B77BA"/>
    <w:rsid w:val="002B77D7"/>
    <w:rsid w:val="002C0763"/>
    <w:rsid w:val="002C212F"/>
    <w:rsid w:val="002C2F35"/>
    <w:rsid w:val="002C6AA9"/>
    <w:rsid w:val="002C7485"/>
    <w:rsid w:val="002D1292"/>
    <w:rsid w:val="002D2641"/>
    <w:rsid w:val="002D283A"/>
    <w:rsid w:val="002D34B3"/>
    <w:rsid w:val="002D4543"/>
    <w:rsid w:val="002D63A0"/>
    <w:rsid w:val="002D715F"/>
    <w:rsid w:val="002E022A"/>
    <w:rsid w:val="002E2A7F"/>
    <w:rsid w:val="002E3153"/>
    <w:rsid w:val="002E4A02"/>
    <w:rsid w:val="002E5292"/>
    <w:rsid w:val="002E72CA"/>
    <w:rsid w:val="002E75DD"/>
    <w:rsid w:val="002F0AFB"/>
    <w:rsid w:val="002F1D07"/>
    <w:rsid w:val="002F35C7"/>
    <w:rsid w:val="002F5C5B"/>
    <w:rsid w:val="002F600D"/>
    <w:rsid w:val="002F6F0F"/>
    <w:rsid w:val="002F7E47"/>
    <w:rsid w:val="00300AD6"/>
    <w:rsid w:val="00300B1B"/>
    <w:rsid w:val="003019D0"/>
    <w:rsid w:val="003019DE"/>
    <w:rsid w:val="0030311E"/>
    <w:rsid w:val="003064AF"/>
    <w:rsid w:val="0030707D"/>
    <w:rsid w:val="00307DC6"/>
    <w:rsid w:val="00310A8B"/>
    <w:rsid w:val="00310B68"/>
    <w:rsid w:val="003160D2"/>
    <w:rsid w:val="003173FC"/>
    <w:rsid w:val="00317C6C"/>
    <w:rsid w:val="00320B80"/>
    <w:rsid w:val="00320CD3"/>
    <w:rsid w:val="003215FF"/>
    <w:rsid w:val="00321672"/>
    <w:rsid w:val="00322667"/>
    <w:rsid w:val="00325EB0"/>
    <w:rsid w:val="0032607C"/>
    <w:rsid w:val="00326E79"/>
    <w:rsid w:val="0032748A"/>
    <w:rsid w:val="003301B1"/>
    <w:rsid w:val="00331189"/>
    <w:rsid w:val="0033263D"/>
    <w:rsid w:val="00334E69"/>
    <w:rsid w:val="0033518A"/>
    <w:rsid w:val="00335535"/>
    <w:rsid w:val="00335E19"/>
    <w:rsid w:val="003367EF"/>
    <w:rsid w:val="00341AE4"/>
    <w:rsid w:val="003425CA"/>
    <w:rsid w:val="00343FB7"/>
    <w:rsid w:val="0034515F"/>
    <w:rsid w:val="003463B6"/>
    <w:rsid w:val="003474B1"/>
    <w:rsid w:val="003476EE"/>
    <w:rsid w:val="00350C9E"/>
    <w:rsid w:val="003535AB"/>
    <w:rsid w:val="003541DD"/>
    <w:rsid w:val="003553BB"/>
    <w:rsid w:val="00356E5B"/>
    <w:rsid w:val="00357FF2"/>
    <w:rsid w:val="00360887"/>
    <w:rsid w:val="0036249F"/>
    <w:rsid w:val="00365C14"/>
    <w:rsid w:val="00367627"/>
    <w:rsid w:val="00371246"/>
    <w:rsid w:val="003736C9"/>
    <w:rsid w:val="00375A13"/>
    <w:rsid w:val="00381DB5"/>
    <w:rsid w:val="00383B77"/>
    <w:rsid w:val="00384988"/>
    <w:rsid w:val="003857A8"/>
    <w:rsid w:val="003872CF"/>
    <w:rsid w:val="003874CB"/>
    <w:rsid w:val="00390189"/>
    <w:rsid w:val="00396E08"/>
    <w:rsid w:val="003970DD"/>
    <w:rsid w:val="0039782C"/>
    <w:rsid w:val="003A13A6"/>
    <w:rsid w:val="003A2165"/>
    <w:rsid w:val="003A3AF3"/>
    <w:rsid w:val="003A3FD4"/>
    <w:rsid w:val="003A4152"/>
    <w:rsid w:val="003A53FC"/>
    <w:rsid w:val="003A5B4A"/>
    <w:rsid w:val="003A5D95"/>
    <w:rsid w:val="003A6510"/>
    <w:rsid w:val="003A74E2"/>
    <w:rsid w:val="003B0D3A"/>
    <w:rsid w:val="003B1FF5"/>
    <w:rsid w:val="003B2302"/>
    <w:rsid w:val="003B23C5"/>
    <w:rsid w:val="003B2A75"/>
    <w:rsid w:val="003B49B2"/>
    <w:rsid w:val="003B6124"/>
    <w:rsid w:val="003B6EF7"/>
    <w:rsid w:val="003B7960"/>
    <w:rsid w:val="003C0908"/>
    <w:rsid w:val="003C093A"/>
    <w:rsid w:val="003C0EB1"/>
    <w:rsid w:val="003C1ECF"/>
    <w:rsid w:val="003C2C02"/>
    <w:rsid w:val="003C2FB5"/>
    <w:rsid w:val="003C5F5F"/>
    <w:rsid w:val="003C76D2"/>
    <w:rsid w:val="003D0B70"/>
    <w:rsid w:val="003D24C5"/>
    <w:rsid w:val="003D4594"/>
    <w:rsid w:val="003D4AC4"/>
    <w:rsid w:val="003D5433"/>
    <w:rsid w:val="003D57D4"/>
    <w:rsid w:val="003D60FA"/>
    <w:rsid w:val="003D63B7"/>
    <w:rsid w:val="003D6BDE"/>
    <w:rsid w:val="003D74C5"/>
    <w:rsid w:val="003E18DA"/>
    <w:rsid w:val="003E1F9E"/>
    <w:rsid w:val="003E4374"/>
    <w:rsid w:val="003E468B"/>
    <w:rsid w:val="003E62BD"/>
    <w:rsid w:val="003E658D"/>
    <w:rsid w:val="003F044F"/>
    <w:rsid w:val="003F0C3A"/>
    <w:rsid w:val="003F15F0"/>
    <w:rsid w:val="003F2AD9"/>
    <w:rsid w:val="003F3228"/>
    <w:rsid w:val="003F5C8C"/>
    <w:rsid w:val="003F63CE"/>
    <w:rsid w:val="003F775A"/>
    <w:rsid w:val="00400E55"/>
    <w:rsid w:val="0040128E"/>
    <w:rsid w:val="00401640"/>
    <w:rsid w:val="00401D08"/>
    <w:rsid w:val="00401FFB"/>
    <w:rsid w:val="0040216B"/>
    <w:rsid w:val="00404852"/>
    <w:rsid w:val="0040590E"/>
    <w:rsid w:val="00407CAA"/>
    <w:rsid w:val="00407CC8"/>
    <w:rsid w:val="00414F0C"/>
    <w:rsid w:val="00420400"/>
    <w:rsid w:val="00423E78"/>
    <w:rsid w:val="004252EC"/>
    <w:rsid w:val="004266CA"/>
    <w:rsid w:val="00427177"/>
    <w:rsid w:val="00430D39"/>
    <w:rsid w:val="00431352"/>
    <w:rsid w:val="00435A95"/>
    <w:rsid w:val="00442C91"/>
    <w:rsid w:val="00444E9D"/>
    <w:rsid w:val="004465BD"/>
    <w:rsid w:val="00446938"/>
    <w:rsid w:val="004528FA"/>
    <w:rsid w:val="00452A6C"/>
    <w:rsid w:val="00453DCC"/>
    <w:rsid w:val="00455791"/>
    <w:rsid w:val="00456030"/>
    <w:rsid w:val="0046127E"/>
    <w:rsid w:val="00461A44"/>
    <w:rsid w:val="00462D26"/>
    <w:rsid w:val="00462D36"/>
    <w:rsid w:val="00462DB1"/>
    <w:rsid w:val="00463543"/>
    <w:rsid w:val="0046368B"/>
    <w:rsid w:val="0046385A"/>
    <w:rsid w:val="00464039"/>
    <w:rsid w:val="0046681B"/>
    <w:rsid w:val="00466ADA"/>
    <w:rsid w:val="004702BB"/>
    <w:rsid w:val="0047494B"/>
    <w:rsid w:val="00476245"/>
    <w:rsid w:val="004771E9"/>
    <w:rsid w:val="00477A9B"/>
    <w:rsid w:val="00482AE4"/>
    <w:rsid w:val="00483035"/>
    <w:rsid w:val="004838C7"/>
    <w:rsid w:val="00485940"/>
    <w:rsid w:val="00486C95"/>
    <w:rsid w:val="004877C2"/>
    <w:rsid w:val="004904B9"/>
    <w:rsid w:val="00491EDC"/>
    <w:rsid w:val="004924DD"/>
    <w:rsid w:val="004928E1"/>
    <w:rsid w:val="00492D8D"/>
    <w:rsid w:val="00496662"/>
    <w:rsid w:val="004A0AA0"/>
    <w:rsid w:val="004A1431"/>
    <w:rsid w:val="004A2484"/>
    <w:rsid w:val="004A2DBC"/>
    <w:rsid w:val="004A5A85"/>
    <w:rsid w:val="004A71D1"/>
    <w:rsid w:val="004A7C5B"/>
    <w:rsid w:val="004B1845"/>
    <w:rsid w:val="004B2348"/>
    <w:rsid w:val="004B2E01"/>
    <w:rsid w:val="004B2E98"/>
    <w:rsid w:val="004B5640"/>
    <w:rsid w:val="004B6084"/>
    <w:rsid w:val="004BCF29"/>
    <w:rsid w:val="004C0206"/>
    <w:rsid w:val="004C03D0"/>
    <w:rsid w:val="004C0897"/>
    <w:rsid w:val="004C11B0"/>
    <w:rsid w:val="004C1BD7"/>
    <w:rsid w:val="004C1BF2"/>
    <w:rsid w:val="004C239C"/>
    <w:rsid w:val="004C31FE"/>
    <w:rsid w:val="004C524C"/>
    <w:rsid w:val="004C5EDD"/>
    <w:rsid w:val="004C5FFA"/>
    <w:rsid w:val="004C691D"/>
    <w:rsid w:val="004C69B6"/>
    <w:rsid w:val="004C6C07"/>
    <w:rsid w:val="004C6D7E"/>
    <w:rsid w:val="004C7E15"/>
    <w:rsid w:val="004C7EC6"/>
    <w:rsid w:val="004D2CD1"/>
    <w:rsid w:val="004D365C"/>
    <w:rsid w:val="004D38B3"/>
    <w:rsid w:val="004D4BA5"/>
    <w:rsid w:val="004D4FF6"/>
    <w:rsid w:val="004D5ADD"/>
    <w:rsid w:val="004E0CC3"/>
    <w:rsid w:val="004E4F3A"/>
    <w:rsid w:val="004E52D1"/>
    <w:rsid w:val="004E692D"/>
    <w:rsid w:val="004E7230"/>
    <w:rsid w:val="004E7D87"/>
    <w:rsid w:val="004F2553"/>
    <w:rsid w:val="004F306A"/>
    <w:rsid w:val="004F5AF2"/>
    <w:rsid w:val="00501554"/>
    <w:rsid w:val="00502AFE"/>
    <w:rsid w:val="00502E64"/>
    <w:rsid w:val="00503AD7"/>
    <w:rsid w:val="00503E89"/>
    <w:rsid w:val="00504E0C"/>
    <w:rsid w:val="00504E13"/>
    <w:rsid w:val="00506CD9"/>
    <w:rsid w:val="005076E6"/>
    <w:rsid w:val="005109D4"/>
    <w:rsid w:val="0051230A"/>
    <w:rsid w:val="00512A90"/>
    <w:rsid w:val="00514CD7"/>
    <w:rsid w:val="005167EC"/>
    <w:rsid w:val="005170DA"/>
    <w:rsid w:val="00520D6A"/>
    <w:rsid w:val="00521732"/>
    <w:rsid w:val="00522DB6"/>
    <w:rsid w:val="00523FC6"/>
    <w:rsid w:val="00523FE6"/>
    <w:rsid w:val="005264A7"/>
    <w:rsid w:val="0052792D"/>
    <w:rsid w:val="005319B2"/>
    <w:rsid w:val="00532402"/>
    <w:rsid w:val="00532C74"/>
    <w:rsid w:val="00533239"/>
    <w:rsid w:val="00534E2E"/>
    <w:rsid w:val="00535133"/>
    <w:rsid w:val="0054064C"/>
    <w:rsid w:val="00544552"/>
    <w:rsid w:val="00545130"/>
    <w:rsid w:val="00546B36"/>
    <w:rsid w:val="0055286A"/>
    <w:rsid w:val="00555745"/>
    <w:rsid w:val="00557365"/>
    <w:rsid w:val="00557D4F"/>
    <w:rsid w:val="0056122E"/>
    <w:rsid w:val="00561278"/>
    <w:rsid w:val="0056484E"/>
    <w:rsid w:val="00565999"/>
    <w:rsid w:val="00567D8A"/>
    <w:rsid w:val="00570231"/>
    <w:rsid w:val="005714B7"/>
    <w:rsid w:val="005714C4"/>
    <w:rsid w:val="005764CD"/>
    <w:rsid w:val="00577C4D"/>
    <w:rsid w:val="00580423"/>
    <w:rsid w:val="00580532"/>
    <w:rsid w:val="00581932"/>
    <w:rsid w:val="00581975"/>
    <w:rsid w:val="00583002"/>
    <w:rsid w:val="00584858"/>
    <w:rsid w:val="005903BB"/>
    <w:rsid w:val="00590D65"/>
    <w:rsid w:val="00591DDE"/>
    <w:rsid w:val="00593893"/>
    <w:rsid w:val="005963BB"/>
    <w:rsid w:val="0059645C"/>
    <w:rsid w:val="00596D37"/>
    <w:rsid w:val="00597D6C"/>
    <w:rsid w:val="005A0BB5"/>
    <w:rsid w:val="005A15D2"/>
    <w:rsid w:val="005A3173"/>
    <w:rsid w:val="005A3223"/>
    <w:rsid w:val="005A3DA3"/>
    <w:rsid w:val="005A52C4"/>
    <w:rsid w:val="005A63A1"/>
    <w:rsid w:val="005B0486"/>
    <w:rsid w:val="005B1032"/>
    <w:rsid w:val="005B1473"/>
    <w:rsid w:val="005B36FA"/>
    <w:rsid w:val="005B3BD3"/>
    <w:rsid w:val="005C19FD"/>
    <w:rsid w:val="005C3555"/>
    <w:rsid w:val="005C4F73"/>
    <w:rsid w:val="005D03AB"/>
    <w:rsid w:val="005D401D"/>
    <w:rsid w:val="005D5017"/>
    <w:rsid w:val="005D5708"/>
    <w:rsid w:val="005D63FA"/>
    <w:rsid w:val="005D643D"/>
    <w:rsid w:val="005D73C7"/>
    <w:rsid w:val="005E0C2D"/>
    <w:rsid w:val="005E0D82"/>
    <w:rsid w:val="005E0F59"/>
    <w:rsid w:val="005E1333"/>
    <w:rsid w:val="005E15B6"/>
    <w:rsid w:val="005E3136"/>
    <w:rsid w:val="005E507D"/>
    <w:rsid w:val="005F0AD0"/>
    <w:rsid w:val="005F0C3F"/>
    <w:rsid w:val="005F27F1"/>
    <w:rsid w:val="005F517F"/>
    <w:rsid w:val="005F563E"/>
    <w:rsid w:val="00600D07"/>
    <w:rsid w:val="00601A91"/>
    <w:rsid w:val="00601D94"/>
    <w:rsid w:val="00602BA3"/>
    <w:rsid w:val="00605B63"/>
    <w:rsid w:val="00605F9A"/>
    <w:rsid w:val="00606442"/>
    <w:rsid w:val="00606EED"/>
    <w:rsid w:val="00607DDB"/>
    <w:rsid w:val="00612A95"/>
    <w:rsid w:val="00612E34"/>
    <w:rsid w:val="00614159"/>
    <w:rsid w:val="006158A3"/>
    <w:rsid w:val="00616C5F"/>
    <w:rsid w:val="00616DAC"/>
    <w:rsid w:val="00617725"/>
    <w:rsid w:val="00617C00"/>
    <w:rsid w:val="00621164"/>
    <w:rsid w:val="006263BF"/>
    <w:rsid w:val="00626BCC"/>
    <w:rsid w:val="0062748A"/>
    <w:rsid w:val="006302CF"/>
    <w:rsid w:val="00630546"/>
    <w:rsid w:val="00630A2C"/>
    <w:rsid w:val="00631B9B"/>
    <w:rsid w:val="00632374"/>
    <w:rsid w:val="00632399"/>
    <w:rsid w:val="00634A75"/>
    <w:rsid w:val="00634BD9"/>
    <w:rsid w:val="0063682E"/>
    <w:rsid w:val="00640088"/>
    <w:rsid w:val="00641429"/>
    <w:rsid w:val="00642672"/>
    <w:rsid w:val="00642DA8"/>
    <w:rsid w:val="00642E3D"/>
    <w:rsid w:val="006436CD"/>
    <w:rsid w:val="0064488D"/>
    <w:rsid w:val="00645264"/>
    <w:rsid w:val="00650976"/>
    <w:rsid w:val="00651169"/>
    <w:rsid w:val="00651AFE"/>
    <w:rsid w:val="00653D69"/>
    <w:rsid w:val="006552E6"/>
    <w:rsid w:val="00655794"/>
    <w:rsid w:val="00656F2F"/>
    <w:rsid w:val="00657C63"/>
    <w:rsid w:val="00661CBC"/>
    <w:rsid w:val="00662ADA"/>
    <w:rsid w:val="00662B85"/>
    <w:rsid w:val="00665B98"/>
    <w:rsid w:val="006670B3"/>
    <w:rsid w:val="006670BE"/>
    <w:rsid w:val="0067045A"/>
    <w:rsid w:val="00670A76"/>
    <w:rsid w:val="006711AA"/>
    <w:rsid w:val="006729DF"/>
    <w:rsid w:val="00672B57"/>
    <w:rsid w:val="00673F1F"/>
    <w:rsid w:val="00675622"/>
    <w:rsid w:val="00675DEB"/>
    <w:rsid w:val="0067747D"/>
    <w:rsid w:val="006818D5"/>
    <w:rsid w:val="00681CA4"/>
    <w:rsid w:val="006838A5"/>
    <w:rsid w:val="00686559"/>
    <w:rsid w:val="0069039D"/>
    <w:rsid w:val="006906DB"/>
    <w:rsid w:val="00690C06"/>
    <w:rsid w:val="00691900"/>
    <w:rsid w:val="00691E6C"/>
    <w:rsid w:val="00693425"/>
    <w:rsid w:val="0069342D"/>
    <w:rsid w:val="00693DFB"/>
    <w:rsid w:val="00694FD5"/>
    <w:rsid w:val="0069501D"/>
    <w:rsid w:val="00696129"/>
    <w:rsid w:val="006961DF"/>
    <w:rsid w:val="00697CF2"/>
    <w:rsid w:val="006A12A5"/>
    <w:rsid w:val="006A2515"/>
    <w:rsid w:val="006A396F"/>
    <w:rsid w:val="006A572D"/>
    <w:rsid w:val="006A5E20"/>
    <w:rsid w:val="006A73DD"/>
    <w:rsid w:val="006A7F98"/>
    <w:rsid w:val="006B0D94"/>
    <w:rsid w:val="006B16B6"/>
    <w:rsid w:val="006B3ECF"/>
    <w:rsid w:val="006B3FBC"/>
    <w:rsid w:val="006B485D"/>
    <w:rsid w:val="006B7234"/>
    <w:rsid w:val="006B7DDA"/>
    <w:rsid w:val="006C0C45"/>
    <w:rsid w:val="006C2806"/>
    <w:rsid w:val="006C329C"/>
    <w:rsid w:val="006C334C"/>
    <w:rsid w:val="006C6C10"/>
    <w:rsid w:val="006C708E"/>
    <w:rsid w:val="006D14E7"/>
    <w:rsid w:val="006D4444"/>
    <w:rsid w:val="006D5F30"/>
    <w:rsid w:val="006D604A"/>
    <w:rsid w:val="006D63B7"/>
    <w:rsid w:val="006D6493"/>
    <w:rsid w:val="006D6EC7"/>
    <w:rsid w:val="006D72AA"/>
    <w:rsid w:val="006D7B05"/>
    <w:rsid w:val="006D7E45"/>
    <w:rsid w:val="006E1143"/>
    <w:rsid w:val="006E1BCD"/>
    <w:rsid w:val="006E2732"/>
    <w:rsid w:val="006E4EE6"/>
    <w:rsid w:val="006E59CD"/>
    <w:rsid w:val="006E7A8F"/>
    <w:rsid w:val="006F00ED"/>
    <w:rsid w:val="006F026F"/>
    <w:rsid w:val="006F0A71"/>
    <w:rsid w:val="006F1C6B"/>
    <w:rsid w:val="006F2715"/>
    <w:rsid w:val="006F3275"/>
    <w:rsid w:val="006F3666"/>
    <w:rsid w:val="006F3D74"/>
    <w:rsid w:val="006F40C2"/>
    <w:rsid w:val="006F5125"/>
    <w:rsid w:val="006F733D"/>
    <w:rsid w:val="00700765"/>
    <w:rsid w:val="00702959"/>
    <w:rsid w:val="00702B6F"/>
    <w:rsid w:val="007030B4"/>
    <w:rsid w:val="00703B86"/>
    <w:rsid w:val="00704069"/>
    <w:rsid w:val="00706A2F"/>
    <w:rsid w:val="0070718E"/>
    <w:rsid w:val="00707E52"/>
    <w:rsid w:val="00710259"/>
    <w:rsid w:val="0071031F"/>
    <w:rsid w:val="00710551"/>
    <w:rsid w:val="00710737"/>
    <w:rsid w:val="00711F18"/>
    <w:rsid w:val="0071340B"/>
    <w:rsid w:val="00713C50"/>
    <w:rsid w:val="0071436D"/>
    <w:rsid w:val="00715BBB"/>
    <w:rsid w:val="007174BB"/>
    <w:rsid w:val="007201FC"/>
    <w:rsid w:val="0072025D"/>
    <w:rsid w:val="00723328"/>
    <w:rsid w:val="007237DE"/>
    <w:rsid w:val="0072502E"/>
    <w:rsid w:val="0073137C"/>
    <w:rsid w:val="00732948"/>
    <w:rsid w:val="007340B9"/>
    <w:rsid w:val="00734FD0"/>
    <w:rsid w:val="007353D3"/>
    <w:rsid w:val="0073736F"/>
    <w:rsid w:val="00740D9D"/>
    <w:rsid w:val="0074156B"/>
    <w:rsid w:val="00741619"/>
    <w:rsid w:val="00742885"/>
    <w:rsid w:val="00747092"/>
    <w:rsid w:val="007477FF"/>
    <w:rsid w:val="007526E6"/>
    <w:rsid w:val="00754DF9"/>
    <w:rsid w:val="007555E8"/>
    <w:rsid w:val="00755CC5"/>
    <w:rsid w:val="0076018E"/>
    <w:rsid w:val="00761514"/>
    <w:rsid w:val="00762862"/>
    <w:rsid w:val="0076420C"/>
    <w:rsid w:val="00766CAC"/>
    <w:rsid w:val="00767378"/>
    <w:rsid w:val="00767DFD"/>
    <w:rsid w:val="00771D07"/>
    <w:rsid w:val="00772649"/>
    <w:rsid w:val="00773BE3"/>
    <w:rsid w:val="007743DD"/>
    <w:rsid w:val="00774C27"/>
    <w:rsid w:val="00774E2C"/>
    <w:rsid w:val="0077503C"/>
    <w:rsid w:val="0077518D"/>
    <w:rsid w:val="007753C2"/>
    <w:rsid w:val="007758BE"/>
    <w:rsid w:val="00776068"/>
    <w:rsid w:val="0077651B"/>
    <w:rsid w:val="007820E7"/>
    <w:rsid w:val="007838B8"/>
    <w:rsid w:val="00784264"/>
    <w:rsid w:val="00785526"/>
    <w:rsid w:val="00785779"/>
    <w:rsid w:val="007878B3"/>
    <w:rsid w:val="00787FD8"/>
    <w:rsid w:val="007915BA"/>
    <w:rsid w:val="00791844"/>
    <w:rsid w:val="00793CE9"/>
    <w:rsid w:val="00796667"/>
    <w:rsid w:val="00797068"/>
    <w:rsid w:val="007979BD"/>
    <w:rsid w:val="007A0BD3"/>
    <w:rsid w:val="007A3D8E"/>
    <w:rsid w:val="007A5C88"/>
    <w:rsid w:val="007A6A2F"/>
    <w:rsid w:val="007B024E"/>
    <w:rsid w:val="007B3BAF"/>
    <w:rsid w:val="007B3DDC"/>
    <w:rsid w:val="007B72A6"/>
    <w:rsid w:val="007B74FC"/>
    <w:rsid w:val="007C0031"/>
    <w:rsid w:val="007C06D2"/>
    <w:rsid w:val="007C08E0"/>
    <w:rsid w:val="007C0F57"/>
    <w:rsid w:val="007C2F4B"/>
    <w:rsid w:val="007C40B6"/>
    <w:rsid w:val="007C53F8"/>
    <w:rsid w:val="007C5975"/>
    <w:rsid w:val="007C729F"/>
    <w:rsid w:val="007C72AD"/>
    <w:rsid w:val="007D09A8"/>
    <w:rsid w:val="007D503D"/>
    <w:rsid w:val="007D59E7"/>
    <w:rsid w:val="007D5F2A"/>
    <w:rsid w:val="007E07AC"/>
    <w:rsid w:val="007E1014"/>
    <w:rsid w:val="007E12F8"/>
    <w:rsid w:val="007E1D28"/>
    <w:rsid w:val="007E28BA"/>
    <w:rsid w:val="007E2B65"/>
    <w:rsid w:val="007E4564"/>
    <w:rsid w:val="007E490F"/>
    <w:rsid w:val="007E6533"/>
    <w:rsid w:val="007E7615"/>
    <w:rsid w:val="007E7F60"/>
    <w:rsid w:val="007F0021"/>
    <w:rsid w:val="007F2641"/>
    <w:rsid w:val="007F42A0"/>
    <w:rsid w:val="007F7C36"/>
    <w:rsid w:val="007F7F45"/>
    <w:rsid w:val="0080001F"/>
    <w:rsid w:val="00801958"/>
    <w:rsid w:val="00801A19"/>
    <w:rsid w:val="008055AF"/>
    <w:rsid w:val="008057CD"/>
    <w:rsid w:val="008066B8"/>
    <w:rsid w:val="00806796"/>
    <w:rsid w:val="0080700E"/>
    <w:rsid w:val="00810167"/>
    <w:rsid w:val="008104D0"/>
    <w:rsid w:val="00811CC0"/>
    <w:rsid w:val="00812BE7"/>
    <w:rsid w:val="00812D03"/>
    <w:rsid w:val="00814276"/>
    <w:rsid w:val="008151D6"/>
    <w:rsid w:val="00820803"/>
    <w:rsid w:val="008210D0"/>
    <w:rsid w:val="00821527"/>
    <w:rsid w:val="00821D98"/>
    <w:rsid w:val="008225CE"/>
    <w:rsid w:val="00822696"/>
    <w:rsid w:val="00822827"/>
    <w:rsid w:val="008231F0"/>
    <w:rsid w:val="00825A6C"/>
    <w:rsid w:val="0082617E"/>
    <w:rsid w:val="008268BB"/>
    <w:rsid w:val="00826F6D"/>
    <w:rsid w:val="008306F3"/>
    <w:rsid w:val="00830E40"/>
    <w:rsid w:val="00832D9A"/>
    <w:rsid w:val="00835C62"/>
    <w:rsid w:val="008368A1"/>
    <w:rsid w:val="00840EF7"/>
    <w:rsid w:val="00842AF9"/>
    <w:rsid w:val="008438A6"/>
    <w:rsid w:val="00844C0A"/>
    <w:rsid w:val="00846056"/>
    <w:rsid w:val="0084658D"/>
    <w:rsid w:val="0084681F"/>
    <w:rsid w:val="008469FA"/>
    <w:rsid w:val="00847188"/>
    <w:rsid w:val="00847D08"/>
    <w:rsid w:val="00847EC0"/>
    <w:rsid w:val="00854506"/>
    <w:rsid w:val="00855A31"/>
    <w:rsid w:val="00855FD6"/>
    <w:rsid w:val="0085667B"/>
    <w:rsid w:val="00856DDD"/>
    <w:rsid w:val="008578FF"/>
    <w:rsid w:val="00860233"/>
    <w:rsid w:val="00863E68"/>
    <w:rsid w:val="00864502"/>
    <w:rsid w:val="008647B5"/>
    <w:rsid w:val="00865DBB"/>
    <w:rsid w:val="00867D64"/>
    <w:rsid w:val="00871FA6"/>
    <w:rsid w:val="00872E8F"/>
    <w:rsid w:val="00875DCB"/>
    <w:rsid w:val="00876FBF"/>
    <w:rsid w:val="0087755A"/>
    <w:rsid w:val="00882085"/>
    <w:rsid w:val="00883188"/>
    <w:rsid w:val="00884A0C"/>
    <w:rsid w:val="00885115"/>
    <w:rsid w:val="00886ACA"/>
    <w:rsid w:val="00886B01"/>
    <w:rsid w:val="0089031E"/>
    <w:rsid w:val="0089109A"/>
    <w:rsid w:val="00893D5C"/>
    <w:rsid w:val="0089460B"/>
    <w:rsid w:val="0089480B"/>
    <w:rsid w:val="00897D58"/>
    <w:rsid w:val="00897F22"/>
    <w:rsid w:val="008A0B39"/>
    <w:rsid w:val="008A17A3"/>
    <w:rsid w:val="008A1956"/>
    <w:rsid w:val="008A1E85"/>
    <w:rsid w:val="008A2419"/>
    <w:rsid w:val="008A4937"/>
    <w:rsid w:val="008A50F1"/>
    <w:rsid w:val="008A59D9"/>
    <w:rsid w:val="008A626B"/>
    <w:rsid w:val="008A643E"/>
    <w:rsid w:val="008A6819"/>
    <w:rsid w:val="008B007A"/>
    <w:rsid w:val="008B2EC0"/>
    <w:rsid w:val="008B6335"/>
    <w:rsid w:val="008B6DCF"/>
    <w:rsid w:val="008C4D49"/>
    <w:rsid w:val="008D0945"/>
    <w:rsid w:val="008D1409"/>
    <w:rsid w:val="008D15CC"/>
    <w:rsid w:val="008D1729"/>
    <w:rsid w:val="008D1B5C"/>
    <w:rsid w:val="008D3C82"/>
    <w:rsid w:val="008D447E"/>
    <w:rsid w:val="008D693F"/>
    <w:rsid w:val="008D6ACF"/>
    <w:rsid w:val="008D7A41"/>
    <w:rsid w:val="008E2602"/>
    <w:rsid w:val="008E2C72"/>
    <w:rsid w:val="008E33EE"/>
    <w:rsid w:val="008E3680"/>
    <w:rsid w:val="008E4F87"/>
    <w:rsid w:val="008E5420"/>
    <w:rsid w:val="008E5870"/>
    <w:rsid w:val="008E77E4"/>
    <w:rsid w:val="008F0213"/>
    <w:rsid w:val="008F07ED"/>
    <w:rsid w:val="008F11F8"/>
    <w:rsid w:val="008F1434"/>
    <w:rsid w:val="008F1554"/>
    <w:rsid w:val="008F2BB9"/>
    <w:rsid w:val="008F3D6A"/>
    <w:rsid w:val="008F54C3"/>
    <w:rsid w:val="008F7355"/>
    <w:rsid w:val="009023DC"/>
    <w:rsid w:val="009027C5"/>
    <w:rsid w:val="00904413"/>
    <w:rsid w:val="009067B7"/>
    <w:rsid w:val="00906E7A"/>
    <w:rsid w:val="00906E7F"/>
    <w:rsid w:val="0090775A"/>
    <w:rsid w:val="00907DFD"/>
    <w:rsid w:val="00911651"/>
    <w:rsid w:val="00913C99"/>
    <w:rsid w:val="00917D69"/>
    <w:rsid w:val="00920B6D"/>
    <w:rsid w:val="009216A9"/>
    <w:rsid w:val="00926560"/>
    <w:rsid w:val="00926B15"/>
    <w:rsid w:val="00926ECE"/>
    <w:rsid w:val="00930291"/>
    <w:rsid w:val="00930937"/>
    <w:rsid w:val="009324A6"/>
    <w:rsid w:val="00933B7D"/>
    <w:rsid w:val="00933E6C"/>
    <w:rsid w:val="00935A6E"/>
    <w:rsid w:val="00937958"/>
    <w:rsid w:val="009406E5"/>
    <w:rsid w:val="00941602"/>
    <w:rsid w:val="0094189E"/>
    <w:rsid w:val="00942160"/>
    <w:rsid w:val="00943326"/>
    <w:rsid w:val="00943976"/>
    <w:rsid w:val="00946921"/>
    <w:rsid w:val="00947343"/>
    <w:rsid w:val="009502A9"/>
    <w:rsid w:val="00950911"/>
    <w:rsid w:val="0095146F"/>
    <w:rsid w:val="00951F2D"/>
    <w:rsid w:val="00952839"/>
    <w:rsid w:val="0095344C"/>
    <w:rsid w:val="009534C7"/>
    <w:rsid w:val="00955823"/>
    <w:rsid w:val="00957944"/>
    <w:rsid w:val="00957C11"/>
    <w:rsid w:val="009602C5"/>
    <w:rsid w:val="00960633"/>
    <w:rsid w:val="0096103A"/>
    <w:rsid w:val="00962223"/>
    <w:rsid w:val="0096252B"/>
    <w:rsid w:val="00962988"/>
    <w:rsid w:val="00963C09"/>
    <w:rsid w:val="009644D9"/>
    <w:rsid w:val="00964A9F"/>
    <w:rsid w:val="00966264"/>
    <w:rsid w:val="00966D0D"/>
    <w:rsid w:val="00967732"/>
    <w:rsid w:val="0096783C"/>
    <w:rsid w:val="00970023"/>
    <w:rsid w:val="009722B3"/>
    <w:rsid w:val="00973E24"/>
    <w:rsid w:val="00973FE6"/>
    <w:rsid w:val="00974C21"/>
    <w:rsid w:val="00974D5F"/>
    <w:rsid w:val="00975948"/>
    <w:rsid w:val="00976803"/>
    <w:rsid w:val="009772FD"/>
    <w:rsid w:val="00977BF3"/>
    <w:rsid w:val="009803E4"/>
    <w:rsid w:val="00980B0E"/>
    <w:rsid w:val="00982B39"/>
    <w:rsid w:val="00983342"/>
    <w:rsid w:val="009836A3"/>
    <w:rsid w:val="00984C58"/>
    <w:rsid w:val="009855A8"/>
    <w:rsid w:val="00985CBE"/>
    <w:rsid w:val="00985D1A"/>
    <w:rsid w:val="00985E3A"/>
    <w:rsid w:val="00990CF8"/>
    <w:rsid w:val="009913F4"/>
    <w:rsid w:val="0099176E"/>
    <w:rsid w:val="00991782"/>
    <w:rsid w:val="00993794"/>
    <w:rsid w:val="009937F7"/>
    <w:rsid w:val="0099465B"/>
    <w:rsid w:val="009951A1"/>
    <w:rsid w:val="00997A44"/>
    <w:rsid w:val="009A0CDD"/>
    <w:rsid w:val="009A3168"/>
    <w:rsid w:val="009A4621"/>
    <w:rsid w:val="009A4BDF"/>
    <w:rsid w:val="009A5D04"/>
    <w:rsid w:val="009A61CA"/>
    <w:rsid w:val="009A7178"/>
    <w:rsid w:val="009B0062"/>
    <w:rsid w:val="009B069B"/>
    <w:rsid w:val="009B0C64"/>
    <w:rsid w:val="009B0F67"/>
    <w:rsid w:val="009B208A"/>
    <w:rsid w:val="009B2756"/>
    <w:rsid w:val="009B3D56"/>
    <w:rsid w:val="009B3F8C"/>
    <w:rsid w:val="009B533B"/>
    <w:rsid w:val="009B546B"/>
    <w:rsid w:val="009B711C"/>
    <w:rsid w:val="009C26AA"/>
    <w:rsid w:val="009C703C"/>
    <w:rsid w:val="009D0C29"/>
    <w:rsid w:val="009D206E"/>
    <w:rsid w:val="009D3CAA"/>
    <w:rsid w:val="009D4C56"/>
    <w:rsid w:val="009D507A"/>
    <w:rsid w:val="009D6532"/>
    <w:rsid w:val="009D6F7B"/>
    <w:rsid w:val="009D71FD"/>
    <w:rsid w:val="009E06F0"/>
    <w:rsid w:val="009E0755"/>
    <w:rsid w:val="009E10AD"/>
    <w:rsid w:val="009E2588"/>
    <w:rsid w:val="009E2E8E"/>
    <w:rsid w:val="009E2F27"/>
    <w:rsid w:val="009E40E1"/>
    <w:rsid w:val="009E5DF8"/>
    <w:rsid w:val="009F0EFA"/>
    <w:rsid w:val="009F2E01"/>
    <w:rsid w:val="009F4E46"/>
    <w:rsid w:val="009F5B65"/>
    <w:rsid w:val="009F5F2E"/>
    <w:rsid w:val="009F6B04"/>
    <w:rsid w:val="00A00619"/>
    <w:rsid w:val="00A01009"/>
    <w:rsid w:val="00A01432"/>
    <w:rsid w:val="00A06225"/>
    <w:rsid w:val="00A066E6"/>
    <w:rsid w:val="00A108A3"/>
    <w:rsid w:val="00A110B2"/>
    <w:rsid w:val="00A110D1"/>
    <w:rsid w:val="00A12587"/>
    <w:rsid w:val="00A128E6"/>
    <w:rsid w:val="00A13772"/>
    <w:rsid w:val="00A144D3"/>
    <w:rsid w:val="00A17EA7"/>
    <w:rsid w:val="00A21D7D"/>
    <w:rsid w:val="00A22AC3"/>
    <w:rsid w:val="00A2351E"/>
    <w:rsid w:val="00A23F3F"/>
    <w:rsid w:val="00A24067"/>
    <w:rsid w:val="00A24A4B"/>
    <w:rsid w:val="00A2744D"/>
    <w:rsid w:val="00A30D16"/>
    <w:rsid w:val="00A33EB7"/>
    <w:rsid w:val="00A34E6C"/>
    <w:rsid w:val="00A34FD0"/>
    <w:rsid w:val="00A36398"/>
    <w:rsid w:val="00A36607"/>
    <w:rsid w:val="00A36846"/>
    <w:rsid w:val="00A37C8D"/>
    <w:rsid w:val="00A4020E"/>
    <w:rsid w:val="00A40493"/>
    <w:rsid w:val="00A408E8"/>
    <w:rsid w:val="00A40FB5"/>
    <w:rsid w:val="00A42826"/>
    <w:rsid w:val="00A429B3"/>
    <w:rsid w:val="00A440D5"/>
    <w:rsid w:val="00A44EC1"/>
    <w:rsid w:val="00A47062"/>
    <w:rsid w:val="00A50B96"/>
    <w:rsid w:val="00A510E4"/>
    <w:rsid w:val="00A51F8C"/>
    <w:rsid w:val="00A526F7"/>
    <w:rsid w:val="00A5273B"/>
    <w:rsid w:val="00A53A9D"/>
    <w:rsid w:val="00A552CC"/>
    <w:rsid w:val="00A55FEE"/>
    <w:rsid w:val="00A57422"/>
    <w:rsid w:val="00A61BF3"/>
    <w:rsid w:val="00A62130"/>
    <w:rsid w:val="00A62C1A"/>
    <w:rsid w:val="00A63CA2"/>
    <w:rsid w:val="00A6426D"/>
    <w:rsid w:val="00A64DF1"/>
    <w:rsid w:val="00A64E4F"/>
    <w:rsid w:val="00A64FB5"/>
    <w:rsid w:val="00A656C1"/>
    <w:rsid w:val="00A665C1"/>
    <w:rsid w:val="00A673A4"/>
    <w:rsid w:val="00A7001A"/>
    <w:rsid w:val="00A70622"/>
    <w:rsid w:val="00A70977"/>
    <w:rsid w:val="00A70D58"/>
    <w:rsid w:val="00A744F9"/>
    <w:rsid w:val="00A75324"/>
    <w:rsid w:val="00A753A1"/>
    <w:rsid w:val="00A77613"/>
    <w:rsid w:val="00A77B87"/>
    <w:rsid w:val="00A77E01"/>
    <w:rsid w:val="00A801AD"/>
    <w:rsid w:val="00A81851"/>
    <w:rsid w:val="00A8390C"/>
    <w:rsid w:val="00A86AE0"/>
    <w:rsid w:val="00A87ECE"/>
    <w:rsid w:val="00A912B0"/>
    <w:rsid w:val="00A91362"/>
    <w:rsid w:val="00A9151C"/>
    <w:rsid w:val="00A919C6"/>
    <w:rsid w:val="00A928BD"/>
    <w:rsid w:val="00A92D61"/>
    <w:rsid w:val="00A97DE9"/>
    <w:rsid w:val="00AA12CD"/>
    <w:rsid w:val="00AA4D1C"/>
    <w:rsid w:val="00AA52FD"/>
    <w:rsid w:val="00AA7006"/>
    <w:rsid w:val="00AB3138"/>
    <w:rsid w:val="00AB4684"/>
    <w:rsid w:val="00AB5856"/>
    <w:rsid w:val="00AC081D"/>
    <w:rsid w:val="00AC0C6F"/>
    <w:rsid w:val="00AC1266"/>
    <w:rsid w:val="00AC193C"/>
    <w:rsid w:val="00AC30C1"/>
    <w:rsid w:val="00AC4DE5"/>
    <w:rsid w:val="00AC5206"/>
    <w:rsid w:val="00AC5F29"/>
    <w:rsid w:val="00AD095B"/>
    <w:rsid w:val="00AD3106"/>
    <w:rsid w:val="00AD4322"/>
    <w:rsid w:val="00AD7BFE"/>
    <w:rsid w:val="00AE11A5"/>
    <w:rsid w:val="00AE13E2"/>
    <w:rsid w:val="00AE183E"/>
    <w:rsid w:val="00AE22D3"/>
    <w:rsid w:val="00AE2E99"/>
    <w:rsid w:val="00AE4478"/>
    <w:rsid w:val="00AE5A49"/>
    <w:rsid w:val="00AF03E6"/>
    <w:rsid w:val="00AF11D8"/>
    <w:rsid w:val="00AF21D8"/>
    <w:rsid w:val="00AF5867"/>
    <w:rsid w:val="00AF62DF"/>
    <w:rsid w:val="00AF68CC"/>
    <w:rsid w:val="00AF70D7"/>
    <w:rsid w:val="00AF7136"/>
    <w:rsid w:val="00B00086"/>
    <w:rsid w:val="00B0089B"/>
    <w:rsid w:val="00B00CD0"/>
    <w:rsid w:val="00B00E7F"/>
    <w:rsid w:val="00B01FF4"/>
    <w:rsid w:val="00B0326D"/>
    <w:rsid w:val="00B06037"/>
    <w:rsid w:val="00B06478"/>
    <w:rsid w:val="00B07533"/>
    <w:rsid w:val="00B07CFB"/>
    <w:rsid w:val="00B1059E"/>
    <w:rsid w:val="00B13418"/>
    <w:rsid w:val="00B14A36"/>
    <w:rsid w:val="00B16273"/>
    <w:rsid w:val="00B166BA"/>
    <w:rsid w:val="00B16D7D"/>
    <w:rsid w:val="00B170A5"/>
    <w:rsid w:val="00B1725F"/>
    <w:rsid w:val="00B176C8"/>
    <w:rsid w:val="00B17B09"/>
    <w:rsid w:val="00B17EE5"/>
    <w:rsid w:val="00B205AA"/>
    <w:rsid w:val="00B2100A"/>
    <w:rsid w:val="00B21A91"/>
    <w:rsid w:val="00B21C34"/>
    <w:rsid w:val="00B22CDC"/>
    <w:rsid w:val="00B22E84"/>
    <w:rsid w:val="00B233AD"/>
    <w:rsid w:val="00B23E25"/>
    <w:rsid w:val="00B25F75"/>
    <w:rsid w:val="00B266C3"/>
    <w:rsid w:val="00B26B3F"/>
    <w:rsid w:val="00B2778F"/>
    <w:rsid w:val="00B327E2"/>
    <w:rsid w:val="00B33635"/>
    <w:rsid w:val="00B37A23"/>
    <w:rsid w:val="00B37CF8"/>
    <w:rsid w:val="00B37F00"/>
    <w:rsid w:val="00B42AF4"/>
    <w:rsid w:val="00B43E90"/>
    <w:rsid w:val="00B44308"/>
    <w:rsid w:val="00B44B33"/>
    <w:rsid w:val="00B45722"/>
    <w:rsid w:val="00B460F4"/>
    <w:rsid w:val="00B467DC"/>
    <w:rsid w:val="00B4786B"/>
    <w:rsid w:val="00B47A88"/>
    <w:rsid w:val="00B51087"/>
    <w:rsid w:val="00B52303"/>
    <w:rsid w:val="00B5392A"/>
    <w:rsid w:val="00B539EF"/>
    <w:rsid w:val="00B56118"/>
    <w:rsid w:val="00B566E1"/>
    <w:rsid w:val="00B56AFB"/>
    <w:rsid w:val="00B602F6"/>
    <w:rsid w:val="00B62EC1"/>
    <w:rsid w:val="00B64A96"/>
    <w:rsid w:val="00B6533B"/>
    <w:rsid w:val="00B66E23"/>
    <w:rsid w:val="00B6773F"/>
    <w:rsid w:val="00B70EB3"/>
    <w:rsid w:val="00B72906"/>
    <w:rsid w:val="00B7395F"/>
    <w:rsid w:val="00B74F48"/>
    <w:rsid w:val="00B7525E"/>
    <w:rsid w:val="00B75433"/>
    <w:rsid w:val="00B75F70"/>
    <w:rsid w:val="00B760FB"/>
    <w:rsid w:val="00B76765"/>
    <w:rsid w:val="00B767AB"/>
    <w:rsid w:val="00B801BA"/>
    <w:rsid w:val="00B812D6"/>
    <w:rsid w:val="00B81B16"/>
    <w:rsid w:val="00B825A1"/>
    <w:rsid w:val="00B83DF2"/>
    <w:rsid w:val="00B846E6"/>
    <w:rsid w:val="00B84D5C"/>
    <w:rsid w:val="00B85AF6"/>
    <w:rsid w:val="00B92E46"/>
    <w:rsid w:val="00B93EFE"/>
    <w:rsid w:val="00B941ED"/>
    <w:rsid w:val="00B956ED"/>
    <w:rsid w:val="00B966C8"/>
    <w:rsid w:val="00BA2DA8"/>
    <w:rsid w:val="00BA347C"/>
    <w:rsid w:val="00BA407E"/>
    <w:rsid w:val="00BA4C79"/>
    <w:rsid w:val="00BA664E"/>
    <w:rsid w:val="00BB298A"/>
    <w:rsid w:val="00BB2C4C"/>
    <w:rsid w:val="00BB3469"/>
    <w:rsid w:val="00BB5C49"/>
    <w:rsid w:val="00BB6240"/>
    <w:rsid w:val="00BB6285"/>
    <w:rsid w:val="00BB69F5"/>
    <w:rsid w:val="00BB6E48"/>
    <w:rsid w:val="00BB7EC3"/>
    <w:rsid w:val="00BC04B1"/>
    <w:rsid w:val="00BC470E"/>
    <w:rsid w:val="00BC4B9A"/>
    <w:rsid w:val="00BC4D53"/>
    <w:rsid w:val="00BD02C3"/>
    <w:rsid w:val="00BD195F"/>
    <w:rsid w:val="00BD1C0D"/>
    <w:rsid w:val="00BD4600"/>
    <w:rsid w:val="00BD7483"/>
    <w:rsid w:val="00BD784C"/>
    <w:rsid w:val="00BE020A"/>
    <w:rsid w:val="00BE13DF"/>
    <w:rsid w:val="00BE1EF0"/>
    <w:rsid w:val="00BE25D7"/>
    <w:rsid w:val="00BF08D4"/>
    <w:rsid w:val="00BF092C"/>
    <w:rsid w:val="00BF27A0"/>
    <w:rsid w:val="00BF4CB6"/>
    <w:rsid w:val="00BF51E1"/>
    <w:rsid w:val="00BF5D23"/>
    <w:rsid w:val="00BF67FE"/>
    <w:rsid w:val="00BF6CBD"/>
    <w:rsid w:val="00BF7C07"/>
    <w:rsid w:val="00C00DA7"/>
    <w:rsid w:val="00C034FB"/>
    <w:rsid w:val="00C04821"/>
    <w:rsid w:val="00C04CDE"/>
    <w:rsid w:val="00C059D5"/>
    <w:rsid w:val="00C05A97"/>
    <w:rsid w:val="00C068A6"/>
    <w:rsid w:val="00C068EB"/>
    <w:rsid w:val="00C06CAA"/>
    <w:rsid w:val="00C07C36"/>
    <w:rsid w:val="00C112DE"/>
    <w:rsid w:val="00C12768"/>
    <w:rsid w:val="00C12D70"/>
    <w:rsid w:val="00C14B19"/>
    <w:rsid w:val="00C16724"/>
    <w:rsid w:val="00C21B09"/>
    <w:rsid w:val="00C21E88"/>
    <w:rsid w:val="00C2447A"/>
    <w:rsid w:val="00C25EFF"/>
    <w:rsid w:val="00C2673A"/>
    <w:rsid w:val="00C278CD"/>
    <w:rsid w:val="00C27B58"/>
    <w:rsid w:val="00C27C1C"/>
    <w:rsid w:val="00C3166C"/>
    <w:rsid w:val="00C33186"/>
    <w:rsid w:val="00C35996"/>
    <w:rsid w:val="00C42BCD"/>
    <w:rsid w:val="00C4485F"/>
    <w:rsid w:val="00C46C13"/>
    <w:rsid w:val="00C473A5"/>
    <w:rsid w:val="00C4747E"/>
    <w:rsid w:val="00C5104A"/>
    <w:rsid w:val="00C5151E"/>
    <w:rsid w:val="00C52256"/>
    <w:rsid w:val="00C5342C"/>
    <w:rsid w:val="00C53B2B"/>
    <w:rsid w:val="00C56D78"/>
    <w:rsid w:val="00C57465"/>
    <w:rsid w:val="00C60272"/>
    <w:rsid w:val="00C603D4"/>
    <w:rsid w:val="00C61416"/>
    <w:rsid w:val="00C61C52"/>
    <w:rsid w:val="00C61D86"/>
    <w:rsid w:val="00C6256A"/>
    <w:rsid w:val="00C63FDA"/>
    <w:rsid w:val="00C64EBC"/>
    <w:rsid w:val="00C664D2"/>
    <w:rsid w:val="00C677E1"/>
    <w:rsid w:val="00C70E6E"/>
    <w:rsid w:val="00C710E2"/>
    <w:rsid w:val="00C71C3F"/>
    <w:rsid w:val="00C7409E"/>
    <w:rsid w:val="00C74D6D"/>
    <w:rsid w:val="00C76E76"/>
    <w:rsid w:val="00C77891"/>
    <w:rsid w:val="00C77B74"/>
    <w:rsid w:val="00C80FEB"/>
    <w:rsid w:val="00C82062"/>
    <w:rsid w:val="00C829A9"/>
    <w:rsid w:val="00C8674F"/>
    <w:rsid w:val="00C86F31"/>
    <w:rsid w:val="00C87B80"/>
    <w:rsid w:val="00C90330"/>
    <w:rsid w:val="00C91449"/>
    <w:rsid w:val="00C92D10"/>
    <w:rsid w:val="00C92F79"/>
    <w:rsid w:val="00C95200"/>
    <w:rsid w:val="00C96EC0"/>
    <w:rsid w:val="00C973A2"/>
    <w:rsid w:val="00CA06F9"/>
    <w:rsid w:val="00CA14BB"/>
    <w:rsid w:val="00CA230C"/>
    <w:rsid w:val="00CA2FA9"/>
    <w:rsid w:val="00CA4617"/>
    <w:rsid w:val="00CA48D9"/>
    <w:rsid w:val="00CA6768"/>
    <w:rsid w:val="00CB1193"/>
    <w:rsid w:val="00CB167F"/>
    <w:rsid w:val="00CB4767"/>
    <w:rsid w:val="00CB493D"/>
    <w:rsid w:val="00CB5C1F"/>
    <w:rsid w:val="00CC139B"/>
    <w:rsid w:val="00CC2224"/>
    <w:rsid w:val="00CC3B97"/>
    <w:rsid w:val="00CD0689"/>
    <w:rsid w:val="00CD6257"/>
    <w:rsid w:val="00CD682A"/>
    <w:rsid w:val="00CD7C0B"/>
    <w:rsid w:val="00CE10C4"/>
    <w:rsid w:val="00CE2343"/>
    <w:rsid w:val="00CE27B5"/>
    <w:rsid w:val="00CE2BDF"/>
    <w:rsid w:val="00CE64C8"/>
    <w:rsid w:val="00CE6D24"/>
    <w:rsid w:val="00CE6DAF"/>
    <w:rsid w:val="00CF410A"/>
    <w:rsid w:val="00CF7528"/>
    <w:rsid w:val="00CF7FDE"/>
    <w:rsid w:val="00D012AF"/>
    <w:rsid w:val="00D0321E"/>
    <w:rsid w:val="00D04D87"/>
    <w:rsid w:val="00D05457"/>
    <w:rsid w:val="00D069EB"/>
    <w:rsid w:val="00D06B3C"/>
    <w:rsid w:val="00D07792"/>
    <w:rsid w:val="00D07A8A"/>
    <w:rsid w:val="00D10E31"/>
    <w:rsid w:val="00D11199"/>
    <w:rsid w:val="00D134B6"/>
    <w:rsid w:val="00D14081"/>
    <w:rsid w:val="00D1455A"/>
    <w:rsid w:val="00D14573"/>
    <w:rsid w:val="00D14A70"/>
    <w:rsid w:val="00D17085"/>
    <w:rsid w:val="00D207EA"/>
    <w:rsid w:val="00D211FB"/>
    <w:rsid w:val="00D21340"/>
    <w:rsid w:val="00D22093"/>
    <w:rsid w:val="00D22158"/>
    <w:rsid w:val="00D26F02"/>
    <w:rsid w:val="00D31150"/>
    <w:rsid w:val="00D3138B"/>
    <w:rsid w:val="00D31FCE"/>
    <w:rsid w:val="00D3280C"/>
    <w:rsid w:val="00D3406A"/>
    <w:rsid w:val="00D34D24"/>
    <w:rsid w:val="00D36003"/>
    <w:rsid w:val="00D36500"/>
    <w:rsid w:val="00D40472"/>
    <w:rsid w:val="00D40B11"/>
    <w:rsid w:val="00D42864"/>
    <w:rsid w:val="00D429EC"/>
    <w:rsid w:val="00D441F1"/>
    <w:rsid w:val="00D4572C"/>
    <w:rsid w:val="00D469B2"/>
    <w:rsid w:val="00D52B24"/>
    <w:rsid w:val="00D52EAA"/>
    <w:rsid w:val="00D52ECF"/>
    <w:rsid w:val="00D54B09"/>
    <w:rsid w:val="00D559F5"/>
    <w:rsid w:val="00D55A62"/>
    <w:rsid w:val="00D55D71"/>
    <w:rsid w:val="00D6243E"/>
    <w:rsid w:val="00D62CBE"/>
    <w:rsid w:val="00D65658"/>
    <w:rsid w:val="00D67429"/>
    <w:rsid w:val="00D67EB2"/>
    <w:rsid w:val="00D70349"/>
    <w:rsid w:val="00D72B6F"/>
    <w:rsid w:val="00D741EB"/>
    <w:rsid w:val="00D74CEA"/>
    <w:rsid w:val="00D7679C"/>
    <w:rsid w:val="00D817A9"/>
    <w:rsid w:val="00D820F3"/>
    <w:rsid w:val="00D82A63"/>
    <w:rsid w:val="00D83605"/>
    <w:rsid w:val="00D84934"/>
    <w:rsid w:val="00D866EB"/>
    <w:rsid w:val="00D87D1A"/>
    <w:rsid w:val="00D906DA"/>
    <w:rsid w:val="00D91271"/>
    <w:rsid w:val="00D919F5"/>
    <w:rsid w:val="00D945F6"/>
    <w:rsid w:val="00D946D8"/>
    <w:rsid w:val="00D94F03"/>
    <w:rsid w:val="00D94F1D"/>
    <w:rsid w:val="00D95161"/>
    <w:rsid w:val="00D95C23"/>
    <w:rsid w:val="00D9758D"/>
    <w:rsid w:val="00DA0A82"/>
    <w:rsid w:val="00DA0CB5"/>
    <w:rsid w:val="00DA0D14"/>
    <w:rsid w:val="00DA1FC9"/>
    <w:rsid w:val="00DA2CB5"/>
    <w:rsid w:val="00DA358F"/>
    <w:rsid w:val="00DA383E"/>
    <w:rsid w:val="00DA4BAC"/>
    <w:rsid w:val="00DA722E"/>
    <w:rsid w:val="00DA792A"/>
    <w:rsid w:val="00DB0151"/>
    <w:rsid w:val="00DB0160"/>
    <w:rsid w:val="00DB04D7"/>
    <w:rsid w:val="00DB2C7A"/>
    <w:rsid w:val="00DB50E1"/>
    <w:rsid w:val="00DB716B"/>
    <w:rsid w:val="00DC0566"/>
    <w:rsid w:val="00DC05E1"/>
    <w:rsid w:val="00DC1499"/>
    <w:rsid w:val="00DC16CF"/>
    <w:rsid w:val="00DC2C3E"/>
    <w:rsid w:val="00DC3137"/>
    <w:rsid w:val="00DC3A71"/>
    <w:rsid w:val="00DC4575"/>
    <w:rsid w:val="00DC4880"/>
    <w:rsid w:val="00DC5E90"/>
    <w:rsid w:val="00DC7E92"/>
    <w:rsid w:val="00DD0BE9"/>
    <w:rsid w:val="00DD26F9"/>
    <w:rsid w:val="00DD350E"/>
    <w:rsid w:val="00DD42AB"/>
    <w:rsid w:val="00DD52C9"/>
    <w:rsid w:val="00DD5395"/>
    <w:rsid w:val="00DE06AF"/>
    <w:rsid w:val="00DE6D27"/>
    <w:rsid w:val="00DE76EA"/>
    <w:rsid w:val="00DF01F8"/>
    <w:rsid w:val="00DF021D"/>
    <w:rsid w:val="00DF14EE"/>
    <w:rsid w:val="00DF217D"/>
    <w:rsid w:val="00DF26A7"/>
    <w:rsid w:val="00DF3277"/>
    <w:rsid w:val="00DF6A31"/>
    <w:rsid w:val="00DF77A1"/>
    <w:rsid w:val="00DF7919"/>
    <w:rsid w:val="00E0207E"/>
    <w:rsid w:val="00E02AE6"/>
    <w:rsid w:val="00E03912"/>
    <w:rsid w:val="00E04748"/>
    <w:rsid w:val="00E05516"/>
    <w:rsid w:val="00E060AF"/>
    <w:rsid w:val="00E06FEA"/>
    <w:rsid w:val="00E078D9"/>
    <w:rsid w:val="00E07907"/>
    <w:rsid w:val="00E10293"/>
    <w:rsid w:val="00E103A0"/>
    <w:rsid w:val="00E1043F"/>
    <w:rsid w:val="00E1157E"/>
    <w:rsid w:val="00E11F44"/>
    <w:rsid w:val="00E12CA9"/>
    <w:rsid w:val="00E13E60"/>
    <w:rsid w:val="00E15627"/>
    <w:rsid w:val="00E164B3"/>
    <w:rsid w:val="00E16910"/>
    <w:rsid w:val="00E21164"/>
    <w:rsid w:val="00E239E2"/>
    <w:rsid w:val="00E23C21"/>
    <w:rsid w:val="00E24E09"/>
    <w:rsid w:val="00E260C1"/>
    <w:rsid w:val="00E26C45"/>
    <w:rsid w:val="00E27234"/>
    <w:rsid w:val="00E27EBA"/>
    <w:rsid w:val="00E30E07"/>
    <w:rsid w:val="00E3495C"/>
    <w:rsid w:val="00E364BC"/>
    <w:rsid w:val="00E37DDC"/>
    <w:rsid w:val="00E42BDB"/>
    <w:rsid w:val="00E45217"/>
    <w:rsid w:val="00E51B78"/>
    <w:rsid w:val="00E524A9"/>
    <w:rsid w:val="00E53F1A"/>
    <w:rsid w:val="00E5726D"/>
    <w:rsid w:val="00E57EEB"/>
    <w:rsid w:val="00E61193"/>
    <w:rsid w:val="00E62D94"/>
    <w:rsid w:val="00E62ECC"/>
    <w:rsid w:val="00E64F37"/>
    <w:rsid w:val="00E65091"/>
    <w:rsid w:val="00E65393"/>
    <w:rsid w:val="00E65D71"/>
    <w:rsid w:val="00E65E54"/>
    <w:rsid w:val="00E661C7"/>
    <w:rsid w:val="00E66679"/>
    <w:rsid w:val="00E72B5E"/>
    <w:rsid w:val="00E732C4"/>
    <w:rsid w:val="00E737AE"/>
    <w:rsid w:val="00E74E41"/>
    <w:rsid w:val="00E80155"/>
    <w:rsid w:val="00E8134B"/>
    <w:rsid w:val="00E81E0D"/>
    <w:rsid w:val="00E81E89"/>
    <w:rsid w:val="00E81F28"/>
    <w:rsid w:val="00E82D8D"/>
    <w:rsid w:val="00E848C0"/>
    <w:rsid w:val="00E84AD0"/>
    <w:rsid w:val="00E84BB8"/>
    <w:rsid w:val="00E86F92"/>
    <w:rsid w:val="00E91B96"/>
    <w:rsid w:val="00E92F2E"/>
    <w:rsid w:val="00E935DA"/>
    <w:rsid w:val="00E93D1E"/>
    <w:rsid w:val="00E941A1"/>
    <w:rsid w:val="00E9565D"/>
    <w:rsid w:val="00E95CE3"/>
    <w:rsid w:val="00E95F9A"/>
    <w:rsid w:val="00EA0856"/>
    <w:rsid w:val="00EA1DC4"/>
    <w:rsid w:val="00EA252F"/>
    <w:rsid w:val="00EA2825"/>
    <w:rsid w:val="00EA4441"/>
    <w:rsid w:val="00EA5027"/>
    <w:rsid w:val="00EA64C2"/>
    <w:rsid w:val="00EA6518"/>
    <w:rsid w:val="00EA71A2"/>
    <w:rsid w:val="00EA7466"/>
    <w:rsid w:val="00EA7EDE"/>
    <w:rsid w:val="00EB0B63"/>
    <w:rsid w:val="00EB1936"/>
    <w:rsid w:val="00EB31F2"/>
    <w:rsid w:val="00EB3545"/>
    <w:rsid w:val="00EB37BE"/>
    <w:rsid w:val="00EB4BAE"/>
    <w:rsid w:val="00EB5088"/>
    <w:rsid w:val="00EB7210"/>
    <w:rsid w:val="00EB77B7"/>
    <w:rsid w:val="00EB795A"/>
    <w:rsid w:val="00EC0534"/>
    <w:rsid w:val="00EC2726"/>
    <w:rsid w:val="00EC4E53"/>
    <w:rsid w:val="00EC511C"/>
    <w:rsid w:val="00EC575E"/>
    <w:rsid w:val="00EC681C"/>
    <w:rsid w:val="00EC7B87"/>
    <w:rsid w:val="00ED03DE"/>
    <w:rsid w:val="00ED1644"/>
    <w:rsid w:val="00ED2593"/>
    <w:rsid w:val="00ED3709"/>
    <w:rsid w:val="00ED460A"/>
    <w:rsid w:val="00ED7D55"/>
    <w:rsid w:val="00ED7D9C"/>
    <w:rsid w:val="00EE00A7"/>
    <w:rsid w:val="00EE1A24"/>
    <w:rsid w:val="00EE2F77"/>
    <w:rsid w:val="00EE3158"/>
    <w:rsid w:val="00EE31A2"/>
    <w:rsid w:val="00EE4329"/>
    <w:rsid w:val="00EE6203"/>
    <w:rsid w:val="00EF0069"/>
    <w:rsid w:val="00EF0872"/>
    <w:rsid w:val="00EF08D5"/>
    <w:rsid w:val="00EF363F"/>
    <w:rsid w:val="00EF3C52"/>
    <w:rsid w:val="00EF3D22"/>
    <w:rsid w:val="00EF3FDE"/>
    <w:rsid w:val="00EF44A0"/>
    <w:rsid w:val="00EF4580"/>
    <w:rsid w:val="00EF4FED"/>
    <w:rsid w:val="00EF556B"/>
    <w:rsid w:val="00EF5EB7"/>
    <w:rsid w:val="00EF5F45"/>
    <w:rsid w:val="00EF6843"/>
    <w:rsid w:val="00EF6941"/>
    <w:rsid w:val="00EF6FB3"/>
    <w:rsid w:val="00F0068B"/>
    <w:rsid w:val="00F007C6"/>
    <w:rsid w:val="00F0172E"/>
    <w:rsid w:val="00F01FB0"/>
    <w:rsid w:val="00F02C84"/>
    <w:rsid w:val="00F03C5D"/>
    <w:rsid w:val="00F04B89"/>
    <w:rsid w:val="00F050BD"/>
    <w:rsid w:val="00F05657"/>
    <w:rsid w:val="00F05AB0"/>
    <w:rsid w:val="00F114FA"/>
    <w:rsid w:val="00F12C74"/>
    <w:rsid w:val="00F13214"/>
    <w:rsid w:val="00F13DA6"/>
    <w:rsid w:val="00F15387"/>
    <w:rsid w:val="00F1559A"/>
    <w:rsid w:val="00F16772"/>
    <w:rsid w:val="00F17ED6"/>
    <w:rsid w:val="00F20676"/>
    <w:rsid w:val="00F209E2"/>
    <w:rsid w:val="00F23185"/>
    <w:rsid w:val="00F23968"/>
    <w:rsid w:val="00F2398F"/>
    <w:rsid w:val="00F25578"/>
    <w:rsid w:val="00F258E5"/>
    <w:rsid w:val="00F25B9C"/>
    <w:rsid w:val="00F26106"/>
    <w:rsid w:val="00F2675A"/>
    <w:rsid w:val="00F26CC6"/>
    <w:rsid w:val="00F27F09"/>
    <w:rsid w:val="00F300BC"/>
    <w:rsid w:val="00F305FA"/>
    <w:rsid w:val="00F3263C"/>
    <w:rsid w:val="00F32E29"/>
    <w:rsid w:val="00F3334E"/>
    <w:rsid w:val="00F3573A"/>
    <w:rsid w:val="00F358DC"/>
    <w:rsid w:val="00F36CCB"/>
    <w:rsid w:val="00F374E5"/>
    <w:rsid w:val="00F37B93"/>
    <w:rsid w:val="00F37BAD"/>
    <w:rsid w:val="00F37ECA"/>
    <w:rsid w:val="00F40A1C"/>
    <w:rsid w:val="00F4106D"/>
    <w:rsid w:val="00F420CB"/>
    <w:rsid w:val="00F43AF2"/>
    <w:rsid w:val="00F45216"/>
    <w:rsid w:val="00F4670D"/>
    <w:rsid w:val="00F5007E"/>
    <w:rsid w:val="00F508F6"/>
    <w:rsid w:val="00F50EC4"/>
    <w:rsid w:val="00F51A32"/>
    <w:rsid w:val="00F52232"/>
    <w:rsid w:val="00F527B1"/>
    <w:rsid w:val="00F52DC2"/>
    <w:rsid w:val="00F54AF9"/>
    <w:rsid w:val="00F550CF"/>
    <w:rsid w:val="00F553D2"/>
    <w:rsid w:val="00F55ACC"/>
    <w:rsid w:val="00F56A2D"/>
    <w:rsid w:val="00F57A6D"/>
    <w:rsid w:val="00F6044B"/>
    <w:rsid w:val="00F612A5"/>
    <w:rsid w:val="00F6199D"/>
    <w:rsid w:val="00F62F19"/>
    <w:rsid w:val="00F638CC"/>
    <w:rsid w:val="00F64C9E"/>
    <w:rsid w:val="00F64CC1"/>
    <w:rsid w:val="00F708B1"/>
    <w:rsid w:val="00F72317"/>
    <w:rsid w:val="00F73DC1"/>
    <w:rsid w:val="00F75BB8"/>
    <w:rsid w:val="00F77714"/>
    <w:rsid w:val="00F80475"/>
    <w:rsid w:val="00F80E6E"/>
    <w:rsid w:val="00F81390"/>
    <w:rsid w:val="00F8150A"/>
    <w:rsid w:val="00F81F7A"/>
    <w:rsid w:val="00F8247A"/>
    <w:rsid w:val="00F82E5C"/>
    <w:rsid w:val="00F83E86"/>
    <w:rsid w:val="00F83F58"/>
    <w:rsid w:val="00F85206"/>
    <w:rsid w:val="00F87C7A"/>
    <w:rsid w:val="00F87CEA"/>
    <w:rsid w:val="00F9265D"/>
    <w:rsid w:val="00F9629A"/>
    <w:rsid w:val="00F97EFC"/>
    <w:rsid w:val="00FA0349"/>
    <w:rsid w:val="00FA0B04"/>
    <w:rsid w:val="00FA0B9F"/>
    <w:rsid w:val="00FA0C7C"/>
    <w:rsid w:val="00FA1BDD"/>
    <w:rsid w:val="00FA305C"/>
    <w:rsid w:val="00FA462E"/>
    <w:rsid w:val="00FA4D41"/>
    <w:rsid w:val="00FA4DD5"/>
    <w:rsid w:val="00FA5883"/>
    <w:rsid w:val="00FA6055"/>
    <w:rsid w:val="00FB0B39"/>
    <w:rsid w:val="00FB322F"/>
    <w:rsid w:val="00FB442F"/>
    <w:rsid w:val="00FB4EC5"/>
    <w:rsid w:val="00FC118C"/>
    <w:rsid w:val="00FC1344"/>
    <w:rsid w:val="00FC15D7"/>
    <w:rsid w:val="00FC1929"/>
    <w:rsid w:val="00FC36E6"/>
    <w:rsid w:val="00FC5B46"/>
    <w:rsid w:val="00FC64B1"/>
    <w:rsid w:val="00FD1D4F"/>
    <w:rsid w:val="00FD24BF"/>
    <w:rsid w:val="00FD3B6E"/>
    <w:rsid w:val="00FD4140"/>
    <w:rsid w:val="00FD5021"/>
    <w:rsid w:val="00FD514B"/>
    <w:rsid w:val="00FD57EB"/>
    <w:rsid w:val="00FD6D8E"/>
    <w:rsid w:val="00FD73E2"/>
    <w:rsid w:val="00FE0663"/>
    <w:rsid w:val="00FE0E94"/>
    <w:rsid w:val="00FE369C"/>
    <w:rsid w:val="00FE3CD9"/>
    <w:rsid w:val="00FE5D78"/>
    <w:rsid w:val="00FF00BD"/>
    <w:rsid w:val="00FF067C"/>
    <w:rsid w:val="00FF0B13"/>
    <w:rsid w:val="00FF1672"/>
    <w:rsid w:val="00FF1ED4"/>
    <w:rsid w:val="00FF2801"/>
    <w:rsid w:val="00FF356E"/>
    <w:rsid w:val="00FF799B"/>
    <w:rsid w:val="00FF7B11"/>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18E"/>
    <w:pPr>
      <w:jc w:val="both"/>
    </w:pPr>
    <w:rPr>
      <w:rFonts w:ascii="Calibri" w:hAnsi="Calibri"/>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aliases w:val="ASD Table,Summary box,CMA Table Templat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 List,ES Paragraph,PBAC ES Paragraph,PBAC normal points,Summary Bullets,Footer Setting,Bullet 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 List Char,ES Paragraph Char,Bullet 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uiPriority w:val="99"/>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SR Caption,Inset title,Caption Char1 Char,Caption Char Char Char,Caption Char1 Char Char Char,Caption Char Char Char Char Char,Caption Char Char1 Char,Caption Char1 Char1,Caption Char Char Char1,Caption Char1,Caption Char Char,Caption ChaCaptio"/>
    <w:basedOn w:val="Normal"/>
    <w:next w:val="Normal"/>
    <w:link w:val="CaptionChar"/>
    <w:uiPriority w:val="35"/>
    <w:unhideWhenUsed/>
    <w:qFormat/>
    <w:rsid w:val="00F27F09"/>
    <w:rPr>
      <w:rFonts w:ascii="Arial Narrow" w:hAnsi="Arial Narrow"/>
      <w:b/>
      <w:iCs/>
      <w:color w:val="000000" w:themeColor="text1"/>
      <w:sz w:val="20"/>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iPriority w:val="99"/>
    <w:unhideWhenUsed/>
    <w:rsid w:val="006F40C2"/>
    <w:pPr>
      <w:numPr>
        <w:numId w:val="5"/>
      </w:numPr>
      <w:contextualSpacing/>
    </w:pPr>
  </w:style>
  <w:style w:type="paragraph" w:styleId="Revision">
    <w:name w:val="Revision"/>
    <w:hidden/>
    <w:uiPriority w:val="99"/>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customStyle="1" w:styleId="4Bodytextnumbered">
    <w:name w:val="4. Body text numbered"/>
    <w:basedOn w:val="ListParagraph"/>
    <w:qFormat/>
    <w:rsid w:val="00EC511C"/>
    <w:pPr>
      <w:tabs>
        <w:tab w:val="num" w:pos="360"/>
      </w:tabs>
      <w:ind w:left="720" w:firstLine="0"/>
      <w:jc w:val="both"/>
    </w:pPr>
    <w:rPr>
      <w:rFonts w:eastAsiaTheme="minorHAnsi" w:cstheme="minorBidi"/>
      <w:snapToGrid/>
      <w:szCs w:val="22"/>
      <w:lang w:eastAsia="en-US"/>
    </w:rPr>
  </w:style>
  <w:style w:type="character" w:customStyle="1" w:styleId="CaptionChar">
    <w:name w:val="Caption Char"/>
    <w:aliases w:val="CSR Caption Char,Inset title Char,Caption Char1 Char Char,Caption Char Char Char Char,Caption Char1 Char Char Char Char,Caption Char Char Char Char Char Char,Caption Char Char1 Char Char,Caption Char1 Char1 Char,Caption Char Char Char1 Char"/>
    <w:basedOn w:val="DefaultParagraphFont"/>
    <w:link w:val="Caption"/>
    <w:uiPriority w:val="35"/>
    <w:rsid w:val="00F27F09"/>
    <w:rPr>
      <w:rFonts w:ascii="Arial Narrow" w:hAnsi="Arial Narrow"/>
      <w:b/>
      <w:iCs/>
      <w:color w:val="000000" w:themeColor="text1"/>
      <w:szCs w:val="18"/>
    </w:rPr>
  </w:style>
  <w:style w:type="paragraph" w:customStyle="1" w:styleId="HeadingCustom">
    <w:name w:val="Heading Custom"/>
    <w:basedOn w:val="Heading1"/>
    <w:link w:val="HeadingCustomChar"/>
    <w:qFormat/>
    <w:rsid w:val="004838C7"/>
    <w:pPr>
      <w:keepNext/>
      <w:keepLines/>
      <w:spacing w:before="240" w:after="0" w:line="259" w:lineRule="auto"/>
      <w:ind w:firstLine="0"/>
    </w:pPr>
    <w:rPr>
      <w:rFonts w:ascii="Calibri" w:hAnsi="Calibri" w:cstheme="majorBidi"/>
      <w:snapToGrid/>
      <w:color w:val="365F91" w:themeColor="accent1" w:themeShade="BF"/>
      <w:sz w:val="32"/>
      <w:szCs w:val="32"/>
      <w:u w:val="single"/>
      <w:shd w:val="clear" w:color="auto" w:fill="FFFFFF"/>
      <w:lang w:val="en-US"/>
    </w:rPr>
  </w:style>
  <w:style w:type="character" w:customStyle="1" w:styleId="HeadingCustomChar">
    <w:name w:val="Heading Custom Char"/>
    <w:basedOn w:val="Heading1Char"/>
    <w:link w:val="HeadingCustom"/>
    <w:rsid w:val="004838C7"/>
    <w:rPr>
      <w:rFonts w:ascii="Calibri" w:hAnsi="Calibri" w:cstheme="majorBidi"/>
      <w:b/>
      <w:snapToGrid/>
      <w:color w:val="365F91" w:themeColor="accent1" w:themeShade="BF"/>
      <w:sz w:val="32"/>
      <w:szCs w:val="32"/>
      <w:u w:val="single"/>
      <w:lang w:val="en-US"/>
    </w:rPr>
  </w:style>
  <w:style w:type="paragraph" w:styleId="NormalWeb">
    <w:name w:val="Normal (Web)"/>
    <w:basedOn w:val="Normal"/>
    <w:uiPriority w:val="99"/>
    <w:unhideWhenUsed/>
    <w:rsid w:val="00FB4EC5"/>
    <w:pPr>
      <w:spacing w:before="100" w:beforeAutospacing="1" w:after="100" w:afterAutospacing="1"/>
      <w:jc w:val="left"/>
    </w:pPr>
    <w:rPr>
      <w:rFonts w:eastAsiaTheme="minorHAnsi" w:cs="Calibri"/>
      <w:sz w:val="22"/>
      <w:szCs w:val="22"/>
    </w:rPr>
  </w:style>
  <w:style w:type="character" w:customStyle="1" w:styleId="BalloonTextChar">
    <w:name w:val="Balloon Text Char"/>
    <w:basedOn w:val="DefaultParagraphFont"/>
    <w:link w:val="BalloonText"/>
    <w:uiPriority w:val="99"/>
    <w:semiHidden/>
    <w:rsid w:val="00C8674F"/>
    <w:rPr>
      <w:rFonts w:ascii="Tahoma" w:hAnsi="Tahoma" w:cs="Tahoma"/>
      <w:sz w:val="16"/>
      <w:szCs w:val="16"/>
    </w:rPr>
  </w:style>
  <w:style w:type="character" w:customStyle="1" w:styleId="text-widget">
    <w:name w:val="text-widget"/>
    <w:basedOn w:val="DefaultParagraphFont"/>
    <w:rsid w:val="00C8674F"/>
  </w:style>
  <w:style w:type="table" w:customStyle="1" w:styleId="TableGrid1">
    <w:name w:val="Table Grid1"/>
    <w:basedOn w:val="TableNormal"/>
    <w:next w:val="TableGrid"/>
    <w:uiPriority w:val="39"/>
    <w:rsid w:val="00C8674F"/>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8674F"/>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8674F"/>
    <w:pPr>
      <w:spacing w:before="100" w:beforeAutospacing="1" w:after="100" w:afterAutospacing="1"/>
      <w:jc w:val="left"/>
    </w:pPr>
    <w:rPr>
      <w:rFonts w:ascii="Times New Roman" w:hAnsi="Times New Roman"/>
    </w:rPr>
  </w:style>
  <w:style w:type="character" w:customStyle="1" w:styleId="cf01">
    <w:name w:val="cf01"/>
    <w:basedOn w:val="DefaultParagraphFont"/>
    <w:rsid w:val="00C8674F"/>
    <w:rPr>
      <w:rFonts w:ascii="Segoe UI" w:hAnsi="Segoe UI" w:cs="Segoe UI" w:hint="default"/>
      <w:sz w:val="18"/>
      <w:szCs w:val="18"/>
    </w:rPr>
  </w:style>
  <w:style w:type="character" w:customStyle="1" w:styleId="eop">
    <w:name w:val="eop"/>
    <w:basedOn w:val="DefaultParagraphFont"/>
    <w:rsid w:val="00367627"/>
  </w:style>
  <w:style w:type="paragraph" w:customStyle="1" w:styleId="3-SubsectionHeading">
    <w:name w:val="3-Subsection Heading"/>
    <w:basedOn w:val="Heading2"/>
    <w:next w:val="Normal"/>
    <w:link w:val="3-SubsectionHeadingChar"/>
    <w:qFormat/>
    <w:rsid w:val="00690C06"/>
    <w:pPr>
      <w:spacing w:before="120" w:after="120"/>
      <w:outlineLvl w:val="9"/>
    </w:pPr>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3-SubsectionHeadingChar">
    <w:name w:val="3-Subsection Heading Char"/>
    <w:basedOn w:val="DefaultParagraphFont"/>
    <w:link w:val="3-SubsectionHeading"/>
    <w:rsid w:val="00690C06"/>
    <w:rPr>
      <w:rFonts w:asciiTheme="minorHAnsi" w:eastAsiaTheme="majorEastAsia" w:hAnsiTheme="minorHAnsi" w:cstheme="majorBidi"/>
      <w:b/>
      <w:i/>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41505900">
      <w:bodyDiv w:val="1"/>
      <w:marLeft w:val="0"/>
      <w:marRight w:val="0"/>
      <w:marTop w:val="0"/>
      <w:marBottom w:val="0"/>
      <w:divBdr>
        <w:top w:val="none" w:sz="0" w:space="0" w:color="auto"/>
        <w:left w:val="none" w:sz="0" w:space="0" w:color="auto"/>
        <w:bottom w:val="none" w:sz="0" w:space="0" w:color="auto"/>
        <w:right w:val="none" w:sz="0" w:space="0" w:color="auto"/>
      </w:divBdr>
    </w:div>
    <w:div w:id="212012642">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00812778">
      <w:bodyDiv w:val="1"/>
      <w:marLeft w:val="0"/>
      <w:marRight w:val="0"/>
      <w:marTop w:val="0"/>
      <w:marBottom w:val="0"/>
      <w:divBdr>
        <w:top w:val="none" w:sz="0" w:space="0" w:color="auto"/>
        <w:left w:val="none" w:sz="0" w:space="0" w:color="auto"/>
        <w:bottom w:val="none" w:sz="0" w:space="0" w:color="auto"/>
        <w:right w:val="none" w:sz="0" w:space="0" w:color="auto"/>
      </w:divBdr>
    </w:div>
    <w:div w:id="339040050">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86966870">
      <w:bodyDiv w:val="1"/>
      <w:marLeft w:val="0"/>
      <w:marRight w:val="0"/>
      <w:marTop w:val="0"/>
      <w:marBottom w:val="0"/>
      <w:divBdr>
        <w:top w:val="none" w:sz="0" w:space="0" w:color="auto"/>
        <w:left w:val="none" w:sz="0" w:space="0" w:color="auto"/>
        <w:bottom w:val="none" w:sz="0" w:space="0" w:color="auto"/>
        <w:right w:val="none" w:sz="0" w:space="0" w:color="auto"/>
      </w:divBdr>
    </w:div>
    <w:div w:id="715928509">
      <w:bodyDiv w:val="1"/>
      <w:marLeft w:val="0"/>
      <w:marRight w:val="0"/>
      <w:marTop w:val="0"/>
      <w:marBottom w:val="0"/>
      <w:divBdr>
        <w:top w:val="none" w:sz="0" w:space="0" w:color="auto"/>
        <w:left w:val="none" w:sz="0" w:space="0" w:color="auto"/>
        <w:bottom w:val="none" w:sz="0" w:space="0" w:color="auto"/>
        <w:right w:val="none" w:sz="0" w:space="0" w:color="auto"/>
      </w:divBdr>
    </w:div>
    <w:div w:id="732119795">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2371842">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97416603">
      <w:bodyDiv w:val="1"/>
      <w:marLeft w:val="0"/>
      <w:marRight w:val="0"/>
      <w:marTop w:val="0"/>
      <w:marBottom w:val="0"/>
      <w:divBdr>
        <w:top w:val="none" w:sz="0" w:space="0" w:color="auto"/>
        <w:left w:val="none" w:sz="0" w:space="0" w:color="auto"/>
        <w:bottom w:val="none" w:sz="0" w:space="0" w:color="auto"/>
        <w:right w:val="none" w:sz="0" w:space="0" w:color="auto"/>
      </w:divBdr>
    </w:div>
    <w:div w:id="117430256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14488286">
      <w:bodyDiv w:val="1"/>
      <w:marLeft w:val="0"/>
      <w:marRight w:val="0"/>
      <w:marTop w:val="0"/>
      <w:marBottom w:val="0"/>
      <w:divBdr>
        <w:top w:val="none" w:sz="0" w:space="0" w:color="auto"/>
        <w:left w:val="none" w:sz="0" w:space="0" w:color="auto"/>
        <w:bottom w:val="none" w:sz="0" w:space="0" w:color="auto"/>
        <w:right w:val="none" w:sz="0" w:space="0" w:color="auto"/>
      </w:divBdr>
    </w:div>
    <w:div w:id="1330325548">
      <w:bodyDiv w:val="1"/>
      <w:marLeft w:val="0"/>
      <w:marRight w:val="0"/>
      <w:marTop w:val="0"/>
      <w:marBottom w:val="0"/>
      <w:divBdr>
        <w:top w:val="none" w:sz="0" w:space="0" w:color="auto"/>
        <w:left w:val="none" w:sz="0" w:space="0" w:color="auto"/>
        <w:bottom w:val="none" w:sz="0" w:space="0" w:color="auto"/>
        <w:right w:val="none" w:sz="0" w:space="0" w:color="auto"/>
      </w:divBdr>
      <w:divsChild>
        <w:div w:id="337394094">
          <w:marLeft w:val="0"/>
          <w:marRight w:val="0"/>
          <w:marTop w:val="0"/>
          <w:marBottom w:val="0"/>
          <w:divBdr>
            <w:top w:val="none" w:sz="0" w:space="0" w:color="auto"/>
            <w:left w:val="none" w:sz="0" w:space="0" w:color="auto"/>
            <w:bottom w:val="none" w:sz="0" w:space="0" w:color="auto"/>
            <w:right w:val="none" w:sz="0" w:space="0" w:color="auto"/>
          </w:divBdr>
        </w:div>
      </w:divsChild>
    </w:div>
    <w:div w:id="1333218064">
      <w:bodyDiv w:val="1"/>
      <w:marLeft w:val="0"/>
      <w:marRight w:val="0"/>
      <w:marTop w:val="0"/>
      <w:marBottom w:val="0"/>
      <w:divBdr>
        <w:top w:val="none" w:sz="0" w:space="0" w:color="auto"/>
        <w:left w:val="none" w:sz="0" w:space="0" w:color="auto"/>
        <w:bottom w:val="none" w:sz="0" w:space="0" w:color="auto"/>
        <w:right w:val="none" w:sz="0" w:space="0" w:color="auto"/>
      </w:divBdr>
    </w:div>
    <w:div w:id="1407728174">
      <w:bodyDiv w:val="1"/>
      <w:marLeft w:val="0"/>
      <w:marRight w:val="0"/>
      <w:marTop w:val="0"/>
      <w:marBottom w:val="0"/>
      <w:divBdr>
        <w:top w:val="none" w:sz="0" w:space="0" w:color="auto"/>
        <w:left w:val="none" w:sz="0" w:space="0" w:color="auto"/>
        <w:bottom w:val="none" w:sz="0" w:space="0" w:color="auto"/>
        <w:right w:val="none" w:sz="0" w:space="0" w:color="auto"/>
      </w:divBdr>
    </w:div>
    <w:div w:id="1494906820">
      <w:bodyDiv w:val="1"/>
      <w:marLeft w:val="0"/>
      <w:marRight w:val="0"/>
      <w:marTop w:val="0"/>
      <w:marBottom w:val="0"/>
      <w:divBdr>
        <w:top w:val="none" w:sz="0" w:space="0" w:color="auto"/>
        <w:left w:val="none" w:sz="0" w:space="0" w:color="auto"/>
        <w:bottom w:val="none" w:sz="0" w:space="0" w:color="auto"/>
        <w:right w:val="none" w:sz="0" w:space="0" w:color="auto"/>
      </w:divBdr>
      <w:divsChild>
        <w:div w:id="101925879">
          <w:marLeft w:val="0"/>
          <w:marRight w:val="0"/>
          <w:marTop w:val="0"/>
          <w:marBottom w:val="0"/>
          <w:divBdr>
            <w:top w:val="none" w:sz="0" w:space="0" w:color="auto"/>
            <w:left w:val="none" w:sz="0" w:space="0" w:color="auto"/>
            <w:bottom w:val="none" w:sz="0" w:space="0" w:color="auto"/>
            <w:right w:val="none" w:sz="0" w:space="0" w:color="auto"/>
          </w:divBdr>
          <w:divsChild>
            <w:div w:id="1668746881">
              <w:marLeft w:val="0"/>
              <w:marRight w:val="0"/>
              <w:marTop w:val="0"/>
              <w:marBottom w:val="0"/>
              <w:divBdr>
                <w:top w:val="none" w:sz="0" w:space="0" w:color="auto"/>
                <w:left w:val="none" w:sz="0" w:space="0" w:color="auto"/>
                <w:bottom w:val="none" w:sz="0" w:space="0" w:color="auto"/>
                <w:right w:val="none" w:sz="0" w:space="0" w:color="auto"/>
              </w:divBdr>
              <w:divsChild>
                <w:div w:id="23606357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363362299">
          <w:marLeft w:val="0"/>
          <w:marRight w:val="0"/>
          <w:marTop w:val="0"/>
          <w:marBottom w:val="0"/>
          <w:divBdr>
            <w:top w:val="none" w:sz="0" w:space="0" w:color="auto"/>
            <w:left w:val="none" w:sz="0" w:space="0" w:color="auto"/>
            <w:bottom w:val="none" w:sz="0" w:space="0" w:color="auto"/>
            <w:right w:val="none" w:sz="0" w:space="0" w:color="auto"/>
          </w:divBdr>
          <w:divsChild>
            <w:div w:id="98838117">
              <w:marLeft w:val="0"/>
              <w:marRight w:val="0"/>
              <w:marTop w:val="0"/>
              <w:marBottom w:val="0"/>
              <w:divBdr>
                <w:top w:val="none" w:sz="0" w:space="0" w:color="auto"/>
                <w:left w:val="none" w:sz="0" w:space="0" w:color="auto"/>
                <w:bottom w:val="none" w:sz="0" w:space="0" w:color="auto"/>
                <w:right w:val="none" w:sz="0" w:space="0" w:color="auto"/>
              </w:divBdr>
              <w:divsChild>
                <w:div w:id="66532607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423960054">
          <w:marLeft w:val="0"/>
          <w:marRight w:val="0"/>
          <w:marTop w:val="0"/>
          <w:marBottom w:val="0"/>
          <w:divBdr>
            <w:top w:val="none" w:sz="0" w:space="0" w:color="auto"/>
            <w:left w:val="none" w:sz="0" w:space="0" w:color="auto"/>
            <w:bottom w:val="none" w:sz="0" w:space="0" w:color="auto"/>
            <w:right w:val="none" w:sz="0" w:space="0" w:color="auto"/>
          </w:divBdr>
          <w:divsChild>
            <w:div w:id="734665207">
              <w:marLeft w:val="0"/>
              <w:marRight w:val="0"/>
              <w:marTop w:val="0"/>
              <w:marBottom w:val="0"/>
              <w:divBdr>
                <w:top w:val="none" w:sz="0" w:space="0" w:color="auto"/>
                <w:left w:val="none" w:sz="0" w:space="0" w:color="auto"/>
                <w:bottom w:val="none" w:sz="0" w:space="0" w:color="auto"/>
                <w:right w:val="none" w:sz="0" w:space="0" w:color="auto"/>
              </w:divBdr>
              <w:divsChild>
                <w:div w:id="1978135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495338099">
          <w:marLeft w:val="0"/>
          <w:marRight w:val="0"/>
          <w:marTop w:val="0"/>
          <w:marBottom w:val="0"/>
          <w:divBdr>
            <w:top w:val="none" w:sz="0" w:space="0" w:color="auto"/>
            <w:left w:val="none" w:sz="0" w:space="0" w:color="auto"/>
            <w:bottom w:val="none" w:sz="0" w:space="0" w:color="auto"/>
            <w:right w:val="none" w:sz="0" w:space="0" w:color="auto"/>
          </w:divBdr>
          <w:divsChild>
            <w:div w:id="929658225">
              <w:marLeft w:val="0"/>
              <w:marRight w:val="0"/>
              <w:marTop w:val="0"/>
              <w:marBottom w:val="0"/>
              <w:divBdr>
                <w:top w:val="none" w:sz="0" w:space="0" w:color="auto"/>
                <w:left w:val="none" w:sz="0" w:space="0" w:color="auto"/>
                <w:bottom w:val="none" w:sz="0" w:space="0" w:color="auto"/>
                <w:right w:val="none" w:sz="0" w:space="0" w:color="auto"/>
              </w:divBdr>
              <w:divsChild>
                <w:div w:id="67484665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27018491">
          <w:marLeft w:val="0"/>
          <w:marRight w:val="0"/>
          <w:marTop w:val="0"/>
          <w:marBottom w:val="0"/>
          <w:divBdr>
            <w:top w:val="none" w:sz="0" w:space="0" w:color="auto"/>
            <w:left w:val="none" w:sz="0" w:space="0" w:color="auto"/>
            <w:bottom w:val="none" w:sz="0" w:space="0" w:color="auto"/>
            <w:right w:val="none" w:sz="0" w:space="0" w:color="auto"/>
          </w:divBdr>
          <w:divsChild>
            <w:div w:id="1045300959">
              <w:marLeft w:val="0"/>
              <w:marRight w:val="0"/>
              <w:marTop w:val="0"/>
              <w:marBottom w:val="0"/>
              <w:divBdr>
                <w:top w:val="none" w:sz="0" w:space="0" w:color="auto"/>
                <w:left w:val="none" w:sz="0" w:space="0" w:color="auto"/>
                <w:bottom w:val="none" w:sz="0" w:space="0" w:color="auto"/>
                <w:right w:val="none" w:sz="0" w:space="0" w:color="auto"/>
              </w:divBdr>
              <w:divsChild>
                <w:div w:id="201746164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952908056">
          <w:marLeft w:val="0"/>
          <w:marRight w:val="0"/>
          <w:marTop w:val="0"/>
          <w:marBottom w:val="0"/>
          <w:divBdr>
            <w:top w:val="none" w:sz="0" w:space="0" w:color="auto"/>
            <w:left w:val="none" w:sz="0" w:space="0" w:color="auto"/>
            <w:bottom w:val="none" w:sz="0" w:space="0" w:color="auto"/>
            <w:right w:val="none" w:sz="0" w:space="0" w:color="auto"/>
          </w:divBdr>
          <w:divsChild>
            <w:div w:id="647783396">
              <w:marLeft w:val="0"/>
              <w:marRight w:val="0"/>
              <w:marTop w:val="0"/>
              <w:marBottom w:val="0"/>
              <w:divBdr>
                <w:top w:val="none" w:sz="0" w:space="0" w:color="auto"/>
                <w:left w:val="none" w:sz="0" w:space="0" w:color="auto"/>
                <w:bottom w:val="none" w:sz="0" w:space="0" w:color="auto"/>
                <w:right w:val="none" w:sz="0" w:space="0" w:color="auto"/>
              </w:divBdr>
              <w:divsChild>
                <w:div w:id="76876909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286739669">
          <w:marLeft w:val="0"/>
          <w:marRight w:val="0"/>
          <w:marTop w:val="0"/>
          <w:marBottom w:val="0"/>
          <w:divBdr>
            <w:top w:val="none" w:sz="0" w:space="0" w:color="auto"/>
            <w:left w:val="none" w:sz="0" w:space="0" w:color="auto"/>
            <w:bottom w:val="none" w:sz="0" w:space="0" w:color="auto"/>
            <w:right w:val="none" w:sz="0" w:space="0" w:color="auto"/>
          </w:divBdr>
          <w:divsChild>
            <w:div w:id="1293828529">
              <w:marLeft w:val="0"/>
              <w:marRight w:val="0"/>
              <w:marTop w:val="0"/>
              <w:marBottom w:val="0"/>
              <w:divBdr>
                <w:top w:val="none" w:sz="0" w:space="0" w:color="auto"/>
                <w:left w:val="none" w:sz="0" w:space="0" w:color="auto"/>
                <w:bottom w:val="none" w:sz="0" w:space="0" w:color="auto"/>
                <w:right w:val="none" w:sz="0" w:space="0" w:color="auto"/>
              </w:divBdr>
              <w:divsChild>
                <w:div w:id="56977482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346592185">
          <w:marLeft w:val="0"/>
          <w:marRight w:val="0"/>
          <w:marTop w:val="0"/>
          <w:marBottom w:val="0"/>
          <w:divBdr>
            <w:top w:val="none" w:sz="0" w:space="0" w:color="auto"/>
            <w:left w:val="none" w:sz="0" w:space="0" w:color="auto"/>
            <w:bottom w:val="none" w:sz="0" w:space="0" w:color="auto"/>
            <w:right w:val="none" w:sz="0" w:space="0" w:color="auto"/>
          </w:divBdr>
          <w:divsChild>
            <w:div w:id="2104110779">
              <w:marLeft w:val="0"/>
              <w:marRight w:val="0"/>
              <w:marTop w:val="0"/>
              <w:marBottom w:val="0"/>
              <w:divBdr>
                <w:top w:val="none" w:sz="0" w:space="0" w:color="auto"/>
                <w:left w:val="none" w:sz="0" w:space="0" w:color="auto"/>
                <w:bottom w:val="none" w:sz="0" w:space="0" w:color="auto"/>
                <w:right w:val="none" w:sz="0" w:space="0" w:color="auto"/>
              </w:divBdr>
              <w:divsChild>
                <w:div w:id="12420613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463772537">
          <w:marLeft w:val="0"/>
          <w:marRight w:val="0"/>
          <w:marTop w:val="0"/>
          <w:marBottom w:val="0"/>
          <w:divBdr>
            <w:top w:val="none" w:sz="0" w:space="0" w:color="auto"/>
            <w:left w:val="none" w:sz="0" w:space="0" w:color="auto"/>
            <w:bottom w:val="none" w:sz="0" w:space="0" w:color="auto"/>
            <w:right w:val="none" w:sz="0" w:space="0" w:color="auto"/>
          </w:divBdr>
          <w:divsChild>
            <w:div w:id="1604416435">
              <w:marLeft w:val="0"/>
              <w:marRight w:val="0"/>
              <w:marTop w:val="0"/>
              <w:marBottom w:val="0"/>
              <w:divBdr>
                <w:top w:val="none" w:sz="0" w:space="0" w:color="auto"/>
                <w:left w:val="none" w:sz="0" w:space="0" w:color="auto"/>
                <w:bottom w:val="none" w:sz="0" w:space="0" w:color="auto"/>
                <w:right w:val="none" w:sz="0" w:space="0" w:color="auto"/>
              </w:divBdr>
              <w:divsChild>
                <w:div w:id="199387153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483159260">
          <w:marLeft w:val="0"/>
          <w:marRight w:val="0"/>
          <w:marTop w:val="0"/>
          <w:marBottom w:val="0"/>
          <w:divBdr>
            <w:top w:val="none" w:sz="0" w:space="0" w:color="auto"/>
            <w:left w:val="none" w:sz="0" w:space="0" w:color="auto"/>
            <w:bottom w:val="none" w:sz="0" w:space="0" w:color="auto"/>
            <w:right w:val="none" w:sz="0" w:space="0" w:color="auto"/>
          </w:divBdr>
          <w:divsChild>
            <w:div w:id="45834145">
              <w:marLeft w:val="0"/>
              <w:marRight w:val="0"/>
              <w:marTop w:val="0"/>
              <w:marBottom w:val="0"/>
              <w:divBdr>
                <w:top w:val="none" w:sz="0" w:space="0" w:color="auto"/>
                <w:left w:val="none" w:sz="0" w:space="0" w:color="auto"/>
                <w:bottom w:val="none" w:sz="0" w:space="0" w:color="auto"/>
                <w:right w:val="none" w:sz="0" w:space="0" w:color="auto"/>
              </w:divBdr>
              <w:divsChild>
                <w:div w:id="191766931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855024705">
          <w:marLeft w:val="0"/>
          <w:marRight w:val="0"/>
          <w:marTop w:val="0"/>
          <w:marBottom w:val="0"/>
          <w:divBdr>
            <w:top w:val="none" w:sz="0" w:space="0" w:color="auto"/>
            <w:left w:val="none" w:sz="0" w:space="0" w:color="auto"/>
            <w:bottom w:val="none" w:sz="0" w:space="0" w:color="auto"/>
            <w:right w:val="none" w:sz="0" w:space="0" w:color="auto"/>
          </w:divBdr>
          <w:divsChild>
            <w:div w:id="1820611749">
              <w:marLeft w:val="0"/>
              <w:marRight w:val="0"/>
              <w:marTop w:val="0"/>
              <w:marBottom w:val="0"/>
              <w:divBdr>
                <w:top w:val="none" w:sz="0" w:space="0" w:color="auto"/>
                <w:left w:val="none" w:sz="0" w:space="0" w:color="auto"/>
                <w:bottom w:val="none" w:sz="0" w:space="0" w:color="auto"/>
                <w:right w:val="none" w:sz="0" w:space="0" w:color="auto"/>
              </w:divBdr>
              <w:divsChild>
                <w:div w:id="111929918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2083406578">
          <w:marLeft w:val="0"/>
          <w:marRight w:val="0"/>
          <w:marTop w:val="0"/>
          <w:marBottom w:val="0"/>
          <w:divBdr>
            <w:top w:val="none" w:sz="0" w:space="0" w:color="auto"/>
            <w:left w:val="none" w:sz="0" w:space="0" w:color="auto"/>
            <w:bottom w:val="none" w:sz="0" w:space="0" w:color="auto"/>
            <w:right w:val="none" w:sz="0" w:space="0" w:color="auto"/>
          </w:divBdr>
          <w:divsChild>
            <w:div w:id="645552821">
              <w:marLeft w:val="0"/>
              <w:marRight w:val="0"/>
              <w:marTop w:val="0"/>
              <w:marBottom w:val="0"/>
              <w:divBdr>
                <w:top w:val="none" w:sz="0" w:space="0" w:color="auto"/>
                <w:left w:val="none" w:sz="0" w:space="0" w:color="auto"/>
                <w:bottom w:val="none" w:sz="0" w:space="0" w:color="auto"/>
                <w:right w:val="none" w:sz="0" w:space="0" w:color="auto"/>
              </w:divBdr>
              <w:divsChild>
                <w:div w:id="38260819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98493">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20600220">
      <w:bodyDiv w:val="1"/>
      <w:marLeft w:val="0"/>
      <w:marRight w:val="0"/>
      <w:marTop w:val="0"/>
      <w:marBottom w:val="0"/>
      <w:divBdr>
        <w:top w:val="none" w:sz="0" w:space="0" w:color="auto"/>
        <w:left w:val="none" w:sz="0" w:space="0" w:color="auto"/>
        <w:bottom w:val="none" w:sz="0" w:space="0" w:color="auto"/>
        <w:right w:val="none" w:sz="0" w:space="0" w:color="auto"/>
      </w:divBdr>
      <w:divsChild>
        <w:div w:id="1953901954">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22947490">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51929114">
      <w:bodyDiv w:val="1"/>
      <w:marLeft w:val="0"/>
      <w:marRight w:val="0"/>
      <w:marTop w:val="0"/>
      <w:marBottom w:val="0"/>
      <w:divBdr>
        <w:top w:val="none" w:sz="0" w:space="0" w:color="auto"/>
        <w:left w:val="none" w:sz="0" w:space="0" w:color="auto"/>
        <w:bottom w:val="none" w:sz="0" w:space="0" w:color="auto"/>
        <w:right w:val="none" w:sz="0" w:space="0" w:color="auto"/>
      </w:divBdr>
      <w:divsChild>
        <w:div w:id="614336578">
          <w:marLeft w:val="0"/>
          <w:marRight w:val="0"/>
          <w:marTop w:val="0"/>
          <w:marBottom w:val="0"/>
          <w:divBdr>
            <w:top w:val="none" w:sz="0" w:space="0" w:color="auto"/>
            <w:left w:val="none" w:sz="0" w:space="0" w:color="auto"/>
            <w:bottom w:val="none" w:sz="0" w:space="0" w:color="auto"/>
            <w:right w:val="none" w:sz="0" w:space="0" w:color="auto"/>
          </w:divBdr>
        </w:div>
      </w:divsChild>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6465201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79147114">
      <w:bodyDiv w:val="1"/>
      <w:marLeft w:val="0"/>
      <w:marRight w:val="0"/>
      <w:marTop w:val="0"/>
      <w:marBottom w:val="0"/>
      <w:divBdr>
        <w:top w:val="none" w:sz="0" w:space="0" w:color="auto"/>
        <w:left w:val="none" w:sz="0" w:space="0" w:color="auto"/>
        <w:bottom w:val="none" w:sz="0" w:space="0" w:color="auto"/>
        <w:right w:val="none" w:sz="0" w:space="0" w:color="auto"/>
      </w:divBdr>
    </w:div>
    <w:div w:id="1981643393">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40158635">
      <w:bodyDiv w:val="1"/>
      <w:marLeft w:val="0"/>
      <w:marRight w:val="0"/>
      <w:marTop w:val="0"/>
      <w:marBottom w:val="0"/>
      <w:divBdr>
        <w:top w:val="none" w:sz="0" w:space="0" w:color="auto"/>
        <w:left w:val="none" w:sz="0" w:space="0" w:color="auto"/>
        <w:bottom w:val="none" w:sz="0" w:space="0" w:color="auto"/>
        <w:right w:val="none" w:sz="0" w:space="0" w:color="auto"/>
      </w:divBdr>
    </w:div>
    <w:div w:id="2062828785">
      <w:bodyDiv w:val="1"/>
      <w:marLeft w:val="0"/>
      <w:marRight w:val="0"/>
      <w:marTop w:val="0"/>
      <w:marBottom w:val="0"/>
      <w:divBdr>
        <w:top w:val="none" w:sz="0" w:space="0" w:color="auto"/>
        <w:left w:val="none" w:sz="0" w:space="0" w:color="auto"/>
        <w:bottom w:val="none" w:sz="0" w:space="0" w:color="auto"/>
        <w:right w:val="none" w:sz="0" w:space="0" w:color="auto"/>
      </w:divBdr>
    </w:div>
    <w:div w:id="213421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rvicesaustralia.gov.a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rvicesaustralia.gov.au/hp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tralia.gov.au" TargetMode="External"/><Relationship Id="rId5" Type="http://schemas.openxmlformats.org/officeDocument/2006/relationships/webSettings" Target="webSettings.xml"/><Relationship Id="rId15" Type="http://schemas.openxmlformats.org/officeDocument/2006/relationships/hyperlink" Target="http://www.nationalasthma.org.au" TargetMode="Externa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ervicesaustrali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PBA211</b:Tag>
    <b:SourceType>InternetSite</b:SourceType>
    <b:Guid>{E5474BBB-5F98-47DE-9566-93AC051FC1F9}</b:Guid>
    <b:Title>July 2021 PBAC Meeting outcomes</b:Title>
    <b:Year>2021</b:Year>
    <b:Author>
      <b:Author>
        <b:NameList>
          <b:Person>
            <b:Last>PBAC</b:Last>
          </b:Person>
        </b:NameList>
      </b:Author>
    </b:Author>
    <b:URL>https://www.pbs.gov.au/industry/listing/elements/pbac-meetings/pbac-outcomes/2021-07/july-2021-pbac-web-outcomes-07-2021.pdf</b:URL>
    <b:RefOrder>2</b:RefOrder>
  </b:Source>
  <b:Source>
    <b:Tag>GSK21</b:Tag>
    <b:SourceType>Report</b:SourceType>
    <b:Guid>{29CF56B5-25FB-4D6F-86D0-C9C36DED1FA9}</b:Guid>
    <b:Author>
      <b:Author>
        <b:NameList>
          <b:Person>
            <b:Last>GSK</b:Last>
          </b:Person>
        </b:NameList>
      </b:Author>
    </b:Author>
    <b:Title>GSK response to DUSC review of Authority Required (written) listings</b:Title>
    <b:Year>2021</b:Year>
    <b:RefOrder>3</b:RefOrder>
  </b:Source>
  <b:Source>
    <b:Tag>Nat21</b:Tag>
    <b:SourceType>InternetSite</b:SourceType>
    <b:Guid>{DA59274E-654A-4DF8-8741-8924E6CBF1F9}</b:Guid>
    <b:Title>Monoclonal antibody therapy for severe asthma</b:Title>
    <b:Year>2021</b:Year>
    <b:URL>https://d8z57tiamduo7.cloudfront.net/resources/NAC_Biologicals-info-paper_2021_1005-web.pdf</b:URL>
    <b:Author>
      <b:Author>
        <b:NameList>
          <b:Person>
            <b:Last>National Asthma Council</b:Last>
          </b:Person>
        </b:NameList>
      </b:Author>
    </b:Author>
    <b:RefOrder>4</b:RefOrder>
  </b:Source>
  <b:Source>
    <b:Tag>Pav23</b:Tag>
    <b:SourceType>JournalArticle</b:SourceType>
    <b:Guid>{E796A8E8-6EB0-48ED-B8C7-942DBDFCACA0}</b:Guid>
    <b:Author>
      <b:Author>
        <b:NameList>
          <b:Person>
            <b:Last>Pavord</b:Last>
            <b:First>Ian</b:First>
          </b:Person>
        </b:NameList>
      </b:Author>
    </b:Author>
    <b:Title>Baseline FeNO Independently Predicts the Dupilumab Response in Patients With Moderate-to-Severe Asthma</b:Title>
    <b:Year>2023</b:Year>
    <b:Publisher>J ALLERGY CLIN IMMUNOL PRACT</b:Publisher>
    <b:Volume>11</b:Volume>
    <b:Issue>4</b:Issue>
    <b:RefOrder>5</b:RefOrder>
  </b:Source>
  <b:Source>
    <b:Tag>DUS19</b:Tag>
    <b:SourceType>InternetSite</b:SourceType>
    <b:Guid>{EB174418-9528-4F15-BC4C-B4E3904C9276}</b:Guid>
    <b:Author>
      <b:Author>
        <b:NameList>
          <b:Person>
            <b:Last>DUSC</b:Last>
          </b:Person>
        </b:NameList>
      </b:Author>
    </b:Author>
    <b:Title>Biologics for uncontrolled severe allergic  and eosinophilic asthma</b:Title>
    <b:Year>2019</b:Year>
    <b:Month>October</b:Month>
    <b:URL>https://www.pbs.gov.au/industry/listing/participants/public-release-docs/2019-10/severe-asthma-biologics-review-dusc-prd-2019-10.PDF</b:URL>
    <b:RefOrder>1</b:RefOrder>
  </b:Source>
  <b:Source>
    <b:Tag>GIN19</b:Tag>
    <b:SourceType>InternetSite</b:SourceType>
    <b:Guid>{A79108E8-35A9-439D-87E7-E1651306A9DA}</b:Guid>
    <b:Author>
      <b:Author>
        <b:NameList>
          <b:Person>
            <b:Last>GINA</b:Last>
          </b:Person>
        </b:NameList>
      </b:Author>
    </b:Author>
    <b:Year>2023</b:Year>
    <b:Month>August</b:Month>
    <b:URL>https://ginasthma.org/wp-content/uploads/2023/09/GINA-Severe-Asthma-Guide-2023-WEB-WMS.pdf</b:URL>
    <b:InternetSiteTitle>Difficult-to-treat and severe asthma in adolescent and adult patients. Diagnosis and management</b:InternetSiteTitle>
    <b:RefOrder>6</b:RefOrder>
  </b:Source>
  <b:Source>
    <b:Tag>Hol20</b:Tag>
    <b:SourceType>JournalArticle</b:SourceType>
    <b:Guid>{0BF40C9A-57A6-4802-9BC2-EB288768DFD3}</b:Guid>
    <b:Title>Management of severe asthma: a European Respiratory Society/American Thoracic Society guideline</b:Title>
    <b:Year>2020</b:Year>
    <b:Author>
      <b:Author>
        <b:NameList>
          <b:Person>
            <b:Last>Holguin</b:Last>
            <b:First>Fernando.</b:First>
            <b:Middle>et al.</b:Middle>
          </b:Person>
        </b:NameList>
      </b:Author>
    </b:Author>
    <b:JournalName>Eur Respir J </b:JournalName>
    <b:RefOrder>7</b:RefOrder>
  </b:Source>
  <b:Source>
    <b:Tag>CRE23</b:Tag>
    <b:SourceType>InternetSite</b:SourceType>
    <b:Guid>{DAC05FA4-E147-45D6-B54B-F0D617248AC5}</b:Guid>
    <b:Author>
      <b:Author>
        <b:NameList>
          <b:Person>
            <b:Last>CRE Severe Asthma</b:Last>
          </b:Person>
        </b:NameList>
      </b:Author>
    </b:Author>
    <b:Title>Severe asthma toolkit</b:Title>
    <b:Year>2023</b:Year>
    <b:URL>https://toolkit.severeasthma.org.au/</b:URL>
    <b:RefOrder>8</b:RefOrder>
  </b:Source>
  <b:Source>
    <b:Tag>Meyil</b:Tag>
    <b:SourceType>InternetSite</b:SourceType>
    <b:Guid>{E24B0612-425D-4D5F-B86C-C6A1413B694B}</b:Guid>
    <b:Title>Difficult-to-treat and severe asthma in adults</b:Title>
    <b:Year>2019</b:Year>
    <b:Month>April</b:Month>
    <b:YearAccessed>2023</b:YearAccessed>
    <b:MonthAccessed>October</b:MonthAccessed>
    <b:DayAccessed>30</b:DayAccessed>
    <b:URL>https://www1.racgp.org.au/getattachment/e4bed67a-d0ea-4a27-a749-feca2122aac8/Difficult-to-treat-and-severe-asthma-in-adults.aspx</b:URL>
    <b:Author>
      <b:Author>
        <b:NameList>
          <b:Person>
            <b:Last>Meyers</b:Last>
            <b:First>Josh</b:First>
          </b:Person>
        </b:NameList>
      </b:Author>
    </b:Author>
    <b:RefOrder>9</b:RefOrder>
  </b:Source>
  <b:Source>
    <b:Tag>PBS23</b:Tag>
    <b:SourceType>InternetSite</b:SourceType>
    <b:Guid>{9E70DE21-8D0E-4170-AD44-74CB5D39CEC8}</b:Guid>
    <b:Author>
      <b:Author>
        <b:NameList>
          <b:Person>
            <b:Last>PBS</b:Last>
          </b:Person>
        </b:NameList>
      </b:Author>
    </b:Author>
    <b:Title>1 November 2023 Changes to the PBS Listings of Medicines for Severe Active Rheumatoid Arthritis</b:Title>
    <b:Year>2023</b:Year>
    <b:Month>Oct</b:Month>
    <b:URL>https://www.pbs.gov.au/info/news/2023/10/1-Nov-PMR-RA-PBS-Changes</b:URL>
    <b:RefOrder>10</b:RefOrder>
  </b:Source>
  <b:Source>
    <b:Tag>PBS232</b:Tag>
    <b:SourceType>InternetSite</b:SourceType>
    <b:Guid>{A3E8E575-5D05-4231-BBAF-47671C63C91E}</b:Guid>
    <b:Author>
      <b:Author>
        <b:NameList>
          <b:Person>
            <b:Last>PBS</b:Last>
          </b:Person>
        </b:NameList>
      </b:Author>
    </b:Author>
    <b:Title>PBS News: 1 November 2023 changes to the PBS listings of medicines for children and adolescents with Chronic Plaque Psoriasis</b:Title>
    <b:Year>2023</b:Year>
    <b:URL>https://www.pbs.gov.au/info/news/2023/10/1-Nov-PMR-CPP-PBS-Changes</b:URL>
    <b:RefOrder>11</b:RefOrder>
  </b:Source>
  <b:Source>
    <b:Tag>PBA18</b:Tag>
    <b:SourceType>InternetSite</b:SourceType>
    <b:Guid>{897386CD-7D89-42F1-996E-37252E4BF9B2}</b:Guid>
    <b:Title>Severe Asthma Stakeholder Meeting Outcome Statement</b:Title>
    <b:Year>2018</b:Year>
    <b:Author>
      <b:Author>
        <b:NameList>
          <b:Person>
            <b:Last>PBAC</b:Last>
          </b:Person>
        </b:NameList>
      </b:Author>
    </b:Author>
    <b:URL>https://www.pbs.gov.au/industry/listing/elements/pbac-meetings/pbac-stakeholder-meetings/Asthma-Stakeholder-Meeting-Dec-2018-Outcome-Statement.pdf</b:URL>
    <b:RefOrder>12</b:RefOrder>
  </b:Source>
  <b:Source>
    <b:Tag>Pri18</b:Tag>
    <b:SourceType>JournalArticle</b:SourceType>
    <b:Guid>{C4CB1A25-EFA6-4184-92F1-A59BE1F057DC}</b:Guid>
    <b:Author>
      <b:Author>
        <b:NameList>
          <b:Person>
            <b:Last>Price</b:Last>
            <b:First>David</b:First>
          </b:Person>
        </b:NameList>
      </b:Author>
    </b:Author>
    <b:Title>Adverse outcomes from initiation of systemic corticosteroids for asthma: long-term observational study</b:Title>
    <b:Year>2018</b:Year>
    <b:Publisher>Journal of Asthma and Allergy</b:Publisher>
    <b:Volume>11</b:Volume>
    <b:RefOrder>13</b:RefOrder>
  </b:Source>
  <b:Source>
    <b:Tag>GIN22</b:Tag>
    <b:SourceType>InternetSite</b:SourceType>
    <b:Guid>{62C3804A-4854-434B-A038-8A6EFA0C29F7}</b:Guid>
    <b:Author>
      <b:Author>
        <b:NameList>
          <b:Person>
            <b:Last>GINA</b:Last>
          </b:Person>
        </b:NameList>
      </b:Author>
    </b:Author>
    <b:Title>Global Initiative for Asthma: Global strategy for asthma management and prevention </b:Title>
    <b:Year>2022</b:Year>
    <b:URL>https://ginasthma.org/wp-content/uploads/2022/07/GINA-Main-Report-2022-FINAL-22-07-01-WMS.pdf</b:URL>
    <b:RefOrder>14</b:RefOrder>
  </b:Source>
  <b:Source>
    <b:Tag>Nat</b:Tag>
    <b:SourceType>InternetSite</b:SourceType>
    <b:Guid>{D661A41D-A4FE-42BC-9824-B50633AB17DB}</b:Guid>
    <b:Author>
      <b:Author>
        <b:NameList>
          <b:Person>
            <b:Last>National Asthma Council</b:Last>
          </b:Person>
        </b:NameList>
      </b:Author>
    </b:Author>
    <b:Title>Starting systemic corticosteroid treatment</b:Title>
    <b:InternetSiteTitle>Australian Asthma Handbook</b:InternetSiteTitle>
    <b:URL>https://www.asthmahandbook.org.au/acute-asthma/clinical/corticosteroids</b:URL>
    <b:Year>2023</b:Year>
    <b:RefOrder>15</b:RefOrder>
  </b:Source>
  <b:Source>
    <b:Tag>GSK19</b:Tag>
    <b:SourceType>Report</b:SourceType>
    <b:Guid>{D2854667-ECF2-4F5C-BBBF-BB62E98019F7}</b:Guid>
    <b:Title>GSK response to DUSC review</b:Title>
    <b:Year>2019</b:Year>
    <b:Author>
      <b:Author>
        <b:NameList>
          <b:Person>
            <b:Last>GSK</b:Last>
          </b:Person>
        </b:NameList>
      </b:Author>
    </b:Author>
    <b:RefOrder>16</b:RefOrder>
  </b:Source>
  <b:Source>
    <b:Tag>Pro23</b:Tag>
    <b:SourceType>Report</b:SourceType>
    <b:Guid>{15AA996E-1371-4BD7-A541-78DBD185AF0C}</b:Guid>
    <b:Author>
      <b:Author>
        <b:NameList>
          <b:Person>
            <b:Last>Prospection</b:Last>
          </b:Person>
        </b:NameList>
      </b:Author>
    </b:Author>
    <b:Title>Anti-IL5 - Patients On Treatment report (PBS 10% sample)</b:Title>
    <b:Year>2023</b:Year>
    <b:RefOrder>17</b:RefOrder>
  </b:Source>
  <b:Source>
    <b:Tag>Ill23</b:Tag>
    <b:SourceType>Report</b:SourceType>
    <b:Guid>{5BD8C4FF-2A61-4C0D-BA17-C2A646F25B02}</b:Guid>
    <b:Title>Medicare Statistics - PBS item reports (Illuminate Red) for mepolizumab and benralizumab (2017-2023)</b:Title>
    <b:Year>2023</b:Year>
    <b:Author>
      <b:Author>
        <b:NameList>
          <b:Person>
            <b:Last>Illuminate Red</b:Last>
          </b:Person>
        </b:NameList>
      </b:Author>
    </b:Author>
    <b:RefOrder>18</b:RefOrder>
  </b:Source>
</b:Sources>
</file>

<file path=customXml/itemProps1.xml><?xml version="1.0" encoding="utf-8"?>
<ds:datastoreItem xmlns:ds="http://schemas.openxmlformats.org/officeDocument/2006/customXml" ds:itemID="{369E8A22-6E31-4AAF-B372-5F8DC226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9879</Words>
  <Characters>56963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66709</CharactersWithSpaces>
  <SharedDoc>false</SharedDoc>
  <HLinks>
    <vt:vector size="30" baseType="variant">
      <vt:variant>
        <vt:i4>4194377</vt:i4>
      </vt:variant>
      <vt:variant>
        <vt:i4>111</vt:i4>
      </vt:variant>
      <vt:variant>
        <vt:i4>0</vt:i4>
      </vt:variant>
      <vt:variant>
        <vt:i4>5</vt:i4>
      </vt:variant>
      <vt:variant>
        <vt:lpwstr>http://www.nationalasthma.org.au/</vt:lpwstr>
      </vt:variant>
      <vt:variant>
        <vt:lpwstr/>
      </vt:variant>
      <vt:variant>
        <vt:i4>1310784</vt:i4>
      </vt:variant>
      <vt:variant>
        <vt:i4>108</vt:i4>
      </vt:variant>
      <vt:variant>
        <vt:i4>0</vt:i4>
      </vt:variant>
      <vt:variant>
        <vt:i4>5</vt:i4>
      </vt:variant>
      <vt:variant>
        <vt:lpwstr>http://www.servicesaustralia.gov.au/</vt:lpwstr>
      </vt:variant>
      <vt:variant>
        <vt:lpwstr/>
      </vt:variant>
      <vt:variant>
        <vt:i4>1310784</vt:i4>
      </vt:variant>
      <vt:variant>
        <vt:i4>105</vt:i4>
      </vt:variant>
      <vt:variant>
        <vt:i4>0</vt:i4>
      </vt:variant>
      <vt:variant>
        <vt:i4>5</vt:i4>
      </vt:variant>
      <vt:variant>
        <vt:lpwstr>http://www.servicesaustralia.gov.au/</vt:lpwstr>
      </vt:variant>
      <vt:variant>
        <vt:lpwstr/>
      </vt:variant>
      <vt:variant>
        <vt:i4>1507399</vt:i4>
      </vt:variant>
      <vt:variant>
        <vt:i4>102</vt:i4>
      </vt:variant>
      <vt:variant>
        <vt:i4>0</vt:i4>
      </vt:variant>
      <vt:variant>
        <vt:i4>5</vt:i4>
      </vt:variant>
      <vt:variant>
        <vt:lpwstr>http://www.servicesaustralia.gov.au/hpos</vt:lpwstr>
      </vt:variant>
      <vt:variant>
        <vt:lpwstr/>
      </vt:variant>
      <vt:variant>
        <vt:i4>2162729</vt:i4>
      </vt:variant>
      <vt:variant>
        <vt:i4>99</vt:i4>
      </vt:variant>
      <vt:variant>
        <vt:i4>0</vt:i4>
      </vt:variant>
      <vt:variant>
        <vt:i4>5</vt:i4>
      </vt:variant>
      <vt:variant>
        <vt:lpwstr>http://www.servicesautralia.gov.au/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2024-07-04T01:37:00Z</dcterms:created>
  <dcterms:modified xsi:type="dcterms:W3CDTF">2024-07-04T01:37:00Z</dcterms:modified>
</cp:coreProperties>
</file>