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0595A" w14:textId="2E80A366" w:rsidR="00016609" w:rsidRPr="00456281" w:rsidRDefault="008049B3" w:rsidP="00016609">
      <w:pPr>
        <w:pStyle w:val="1-MainHeading"/>
      </w:pPr>
      <w:bookmarkStart w:id="0" w:name="_Toc157002539"/>
      <w:bookmarkStart w:id="1" w:name="_Toc107927616"/>
      <w:bookmarkStart w:id="2" w:name="_Hlk158822777"/>
      <w:bookmarkStart w:id="3" w:name="_Toc380679747"/>
      <w:bookmarkStart w:id="4" w:name="_Toc380742604"/>
      <w:bookmarkStart w:id="5" w:name="_Toc380746171"/>
      <w:bookmarkStart w:id="6" w:name="_Toc380746294"/>
      <w:bookmarkStart w:id="7" w:name="_Toc380746578"/>
      <w:r w:rsidRPr="00941440">
        <w:t>5.11</w:t>
      </w:r>
      <w:r w:rsidR="00016609" w:rsidRPr="00941440">
        <w:tab/>
        <w:t>IRINOTECAN</w:t>
      </w:r>
      <w:r w:rsidR="00F6580B" w:rsidRPr="00941440">
        <w:t xml:space="preserve"> (NANOLIPOSOMAL)</w:t>
      </w:r>
      <w:r w:rsidR="00016609" w:rsidRPr="00941440">
        <w:t>,</w:t>
      </w:r>
      <w:r w:rsidR="00016609" w:rsidRPr="00456281">
        <w:br/>
      </w:r>
      <w:r w:rsidR="00884DA9" w:rsidRPr="00456281">
        <w:t>Solution for I.V. infusion containing nanoliposomal irinotecan (as sucrosofate) 43 mg in 10 mL</w:t>
      </w:r>
      <w:r w:rsidR="00016609" w:rsidRPr="00456281">
        <w:t>,</w:t>
      </w:r>
      <w:r w:rsidR="00016609" w:rsidRPr="00456281">
        <w:br/>
        <w:t>Onivyde</w:t>
      </w:r>
      <w:r w:rsidR="00016609" w:rsidRPr="00456281">
        <w:rPr>
          <w:vertAlign w:val="superscript"/>
        </w:rPr>
        <w:t>®</w:t>
      </w:r>
      <w:r w:rsidR="00016609" w:rsidRPr="00456281">
        <w:t>,</w:t>
      </w:r>
      <w:r w:rsidR="00016609" w:rsidRPr="00456281">
        <w:br/>
        <w:t>SERVIER LABORATORIES (AUST.) PTY. LTD.</w:t>
      </w:r>
      <w:bookmarkEnd w:id="0"/>
      <w:r w:rsidR="00016609" w:rsidRPr="00456281">
        <w:t xml:space="preserve"> </w:t>
      </w:r>
      <w:bookmarkEnd w:id="1"/>
    </w:p>
    <w:p w14:paraId="3F0CE16F" w14:textId="77777777" w:rsidR="00016609" w:rsidRPr="00456281" w:rsidRDefault="00016609" w:rsidP="00016609">
      <w:pPr>
        <w:pStyle w:val="2-SectionHeading"/>
      </w:pPr>
      <w:bookmarkStart w:id="8" w:name="_Toc107927618"/>
      <w:bookmarkStart w:id="9" w:name="_Toc157002541"/>
      <w:r w:rsidRPr="00456281">
        <w:t>Purpose of submission</w:t>
      </w:r>
      <w:bookmarkEnd w:id="8"/>
      <w:bookmarkEnd w:id="9"/>
    </w:p>
    <w:p w14:paraId="6C3132CB" w14:textId="522C1630" w:rsidR="00016609" w:rsidRPr="00456281" w:rsidRDefault="00016609" w:rsidP="00016609">
      <w:pPr>
        <w:pStyle w:val="3-BodyText"/>
      </w:pPr>
      <w:r w:rsidRPr="00456281">
        <w:t xml:space="preserve">The Category </w:t>
      </w:r>
      <w:r w:rsidR="009148ED" w:rsidRPr="00456281">
        <w:t>2</w:t>
      </w:r>
      <w:r w:rsidRPr="00456281">
        <w:t xml:space="preserve"> submission requested </w:t>
      </w:r>
      <w:r w:rsidR="00760E1B" w:rsidRPr="00456281">
        <w:t xml:space="preserve">a </w:t>
      </w:r>
      <w:r w:rsidRPr="00456281">
        <w:t>Section 100</w:t>
      </w:r>
      <w:r w:rsidR="00760E1B" w:rsidRPr="00456281">
        <w:t xml:space="preserve"> (Efficient Funding of Chemotherapy)</w:t>
      </w:r>
      <w:r w:rsidRPr="00456281">
        <w:t xml:space="preserve"> Authority Required </w:t>
      </w:r>
      <w:r w:rsidR="00760E1B" w:rsidRPr="00456281">
        <w:t>(STREAMLINED)</w:t>
      </w:r>
      <w:r w:rsidRPr="00456281">
        <w:t xml:space="preserve"> listing for </w:t>
      </w:r>
      <w:bookmarkStart w:id="10" w:name="_Hlk164083757"/>
      <w:r w:rsidRPr="00456281">
        <w:rPr>
          <w:rFonts w:eastAsiaTheme="majorEastAsia"/>
        </w:rPr>
        <w:t xml:space="preserve">nanoliposomal irinotecan (nal-IRI) </w:t>
      </w:r>
      <w:bookmarkEnd w:id="10"/>
      <w:r w:rsidRPr="00456281">
        <w:t>as a first-line chemotherapy for the treatment of metastatic pancreatic adenocarcinoma (mPAC), used in combination with oxaliplatin, 5</w:t>
      </w:r>
      <w:r w:rsidR="00932F03" w:rsidRPr="00456281">
        <w:noBreakHyphen/>
      </w:r>
      <w:r w:rsidRPr="00456281">
        <w:t>fluorouracil (5-FU) and folinic acid/leucovorin (LV). The four-drug chemotherapy regimen is known as NALIRIFOX.</w:t>
      </w:r>
    </w:p>
    <w:p w14:paraId="45BD942C" w14:textId="3DCF91AB" w:rsidR="001E1024" w:rsidRPr="00456281" w:rsidRDefault="00016609" w:rsidP="005117A2">
      <w:pPr>
        <w:pStyle w:val="3-BodyText"/>
      </w:pPr>
      <w:r w:rsidRPr="00456281">
        <w:t>Listing was requested on the basis of a cost-effectiveness analysis versus gemcitabine plus nanoparticle albumin</w:t>
      </w:r>
      <w:r w:rsidR="00C2160D" w:rsidRPr="00456281">
        <w:t>-</w:t>
      </w:r>
      <w:r w:rsidRPr="00456281">
        <w:t>bound paclitaxel (Gem+NabP).</w:t>
      </w:r>
      <w:r w:rsidR="00932F03" w:rsidRPr="00456281">
        <w:t xml:space="preserve"> </w:t>
      </w:r>
      <w:r w:rsidR="00330C62" w:rsidRPr="00456281">
        <w:t xml:space="preserve">The submission considered </w:t>
      </w:r>
      <w:r w:rsidR="002D0EAA" w:rsidRPr="00456281">
        <w:t>FOLFIRINOX</w:t>
      </w:r>
      <w:r w:rsidR="00330C62" w:rsidRPr="00456281">
        <w:t xml:space="preserve"> </w:t>
      </w:r>
      <w:r w:rsidR="00500DDE" w:rsidRPr="00456281">
        <w:t xml:space="preserve">(non-liposomal irinotecan used in combination with oxaliplatin, 5-FU and LV) </w:t>
      </w:r>
      <w:r w:rsidR="00330C62" w:rsidRPr="00456281">
        <w:t>a minor comparator</w:t>
      </w:r>
      <w:r w:rsidR="002D0EAA" w:rsidRPr="00456281">
        <w:t>.</w:t>
      </w:r>
      <w:r w:rsidR="00932F03" w:rsidRPr="00456281">
        <w:t xml:space="preserve"> The key components of the clinical issue addressed by the submission are presented in </w:t>
      </w:r>
      <w:r w:rsidR="00932F03" w:rsidRPr="00456281">
        <w:fldChar w:fldCharType="begin"/>
      </w:r>
      <w:r w:rsidR="00932F03" w:rsidRPr="00456281">
        <w:instrText xml:space="preserve"> REF _Ref156312608 \h </w:instrText>
      </w:r>
      <w:r w:rsidR="00932F03" w:rsidRPr="00456281">
        <w:fldChar w:fldCharType="separate"/>
      </w:r>
      <w:r w:rsidR="00EE5AD4" w:rsidRPr="00456281">
        <w:t xml:space="preserve">Table </w:t>
      </w:r>
      <w:r w:rsidR="00EE5AD4">
        <w:rPr>
          <w:noProof/>
        </w:rPr>
        <w:t>1</w:t>
      </w:r>
      <w:r w:rsidR="00932F03" w:rsidRPr="00456281">
        <w:fldChar w:fldCharType="end"/>
      </w:r>
      <w:r w:rsidR="00932F03" w:rsidRPr="00456281">
        <w:t>.</w:t>
      </w:r>
      <w:r w:rsidR="006B3A95" w:rsidRPr="00456281">
        <w:t xml:space="preserve"> </w:t>
      </w:r>
    </w:p>
    <w:p w14:paraId="6516680E" w14:textId="1F202B6B" w:rsidR="00016609" w:rsidRPr="00456281" w:rsidRDefault="00016609" w:rsidP="002B3A12">
      <w:pPr>
        <w:pStyle w:val="TableFigureHeading"/>
        <w:rPr>
          <w:rStyle w:val="CommentReference"/>
          <w:b/>
          <w:szCs w:val="24"/>
        </w:rPr>
      </w:pPr>
      <w:bookmarkStart w:id="11" w:name="_Ref156312608"/>
      <w:bookmarkStart w:id="12" w:name="_Hlk156821704"/>
      <w:r w:rsidRPr="00456281">
        <w:lastRenderedPageBreak/>
        <w:t xml:space="preserve">Table </w:t>
      </w:r>
      <w:r w:rsidR="00B75F7B">
        <w:fldChar w:fldCharType="begin"/>
      </w:r>
      <w:r w:rsidR="00B75F7B">
        <w:instrText xml:space="preserve"> SEQ Table \* ARABIC </w:instrText>
      </w:r>
      <w:r w:rsidR="00B75F7B">
        <w:fldChar w:fldCharType="separate"/>
      </w:r>
      <w:r w:rsidR="00EE5AD4">
        <w:rPr>
          <w:noProof/>
        </w:rPr>
        <w:t>1</w:t>
      </w:r>
      <w:r w:rsidR="00B75F7B">
        <w:fldChar w:fldCharType="end"/>
      </w:r>
      <w:bookmarkEnd w:id="11"/>
      <w:r w:rsidRPr="00456281">
        <w:t>:</w:t>
      </w:r>
      <w:r w:rsidRPr="00456281">
        <w:rPr>
          <w:rStyle w:val="CommentReference"/>
          <w:b/>
          <w:szCs w:val="24"/>
        </w:rPr>
        <w:t xml:space="preserve"> Key components of the clinical issue addressed by the 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144"/>
        <w:gridCol w:w="7873"/>
      </w:tblGrid>
      <w:tr w:rsidR="00016609" w:rsidRPr="00456281" w14:paraId="0EA2C797" w14:textId="77777777" w:rsidTr="00D36AB7">
        <w:trPr>
          <w:cantSplit/>
          <w:tblHeader/>
        </w:trPr>
        <w:tc>
          <w:tcPr>
            <w:tcW w:w="0" w:type="auto"/>
            <w:shd w:val="clear" w:color="auto" w:fill="auto"/>
          </w:tcPr>
          <w:p w14:paraId="27A2C784" w14:textId="77777777" w:rsidR="00016609" w:rsidRPr="00456281" w:rsidRDefault="00016609" w:rsidP="00956744">
            <w:pPr>
              <w:pStyle w:val="In-tableHeading"/>
              <w:rPr>
                <w:szCs w:val="20"/>
                <w:lang w:val="en-AU"/>
              </w:rPr>
            </w:pPr>
            <w:r w:rsidRPr="00456281">
              <w:rPr>
                <w:lang w:val="en-AU"/>
              </w:rPr>
              <w:t>Component</w:t>
            </w:r>
          </w:p>
        </w:tc>
        <w:tc>
          <w:tcPr>
            <w:tcW w:w="0" w:type="auto"/>
            <w:shd w:val="clear" w:color="auto" w:fill="auto"/>
          </w:tcPr>
          <w:p w14:paraId="2ACCD20B" w14:textId="77777777" w:rsidR="00016609" w:rsidRPr="00456281" w:rsidRDefault="00016609" w:rsidP="00956744">
            <w:pPr>
              <w:pStyle w:val="In-tableHeading"/>
              <w:rPr>
                <w:lang w:val="en-AU"/>
              </w:rPr>
            </w:pPr>
            <w:r w:rsidRPr="00456281">
              <w:rPr>
                <w:lang w:val="en-AU"/>
              </w:rPr>
              <w:t>Description</w:t>
            </w:r>
          </w:p>
        </w:tc>
      </w:tr>
      <w:tr w:rsidR="00016609" w:rsidRPr="00456281" w14:paraId="4D7AF6B2" w14:textId="77777777" w:rsidTr="00D36AB7">
        <w:trPr>
          <w:cantSplit/>
        </w:trPr>
        <w:tc>
          <w:tcPr>
            <w:tcW w:w="0" w:type="auto"/>
            <w:shd w:val="clear" w:color="auto" w:fill="auto"/>
          </w:tcPr>
          <w:p w14:paraId="15CFAC4C" w14:textId="77777777" w:rsidR="00016609" w:rsidRPr="00456281" w:rsidRDefault="00016609" w:rsidP="00956744">
            <w:pPr>
              <w:pStyle w:val="TableText0"/>
            </w:pPr>
            <w:r w:rsidRPr="00456281">
              <w:t>Population</w:t>
            </w:r>
          </w:p>
        </w:tc>
        <w:tc>
          <w:tcPr>
            <w:tcW w:w="0" w:type="auto"/>
            <w:shd w:val="clear" w:color="auto" w:fill="auto"/>
          </w:tcPr>
          <w:p w14:paraId="5B119B2D" w14:textId="77777777" w:rsidR="00016609" w:rsidRPr="00456281" w:rsidRDefault="00016609" w:rsidP="00956744">
            <w:pPr>
              <w:pStyle w:val="TableText0"/>
              <w:rPr>
                <w:szCs w:val="20"/>
              </w:rPr>
            </w:pPr>
            <w:r w:rsidRPr="00456281">
              <w:rPr>
                <w:szCs w:val="20"/>
              </w:rPr>
              <w:t>Previously untreated patients diagnosed with metastatic pancreatic cancer</w:t>
            </w:r>
          </w:p>
        </w:tc>
      </w:tr>
      <w:tr w:rsidR="00016609" w:rsidRPr="00456281" w14:paraId="1B3E56DB" w14:textId="77777777" w:rsidTr="00D36AB7">
        <w:trPr>
          <w:cantSplit/>
        </w:trPr>
        <w:tc>
          <w:tcPr>
            <w:tcW w:w="0" w:type="auto"/>
            <w:shd w:val="clear" w:color="auto" w:fill="auto"/>
          </w:tcPr>
          <w:p w14:paraId="0156F358" w14:textId="77777777" w:rsidR="00016609" w:rsidRPr="00456281" w:rsidRDefault="00016609" w:rsidP="00956744">
            <w:pPr>
              <w:pStyle w:val="TableText0"/>
            </w:pPr>
            <w:r w:rsidRPr="00456281">
              <w:t>Intervention</w:t>
            </w:r>
          </w:p>
        </w:tc>
        <w:tc>
          <w:tcPr>
            <w:tcW w:w="0" w:type="auto"/>
            <w:shd w:val="clear" w:color="auto" w:fill="auto"/>
            <w:vAlign w:val="center"/>
          </w:tcPr>
          <w:p w14:paraId="7FC220ED" w14:textId="77777777" w:rsidR="00016609" w:rsidRPr="00456281" w:rsidRDefault="00016609" w:rsidP="00956744">
            <w:pPr>
              <w:pStyle w:val="TableText0"/>
            </w:pPr>
            <w:r w:rsidRPr="00456281">
              <w:t>NALIRIFOX regimen administered intravenously on days 1 and 15 of each 28-day cycle:</w:t>
            </w:r>
          </w:p>
          <w:p w14:paraId="55761983" w14:textId="17D74352" w:rsidR="00016609" w:rsidRPr="00456281" w:rsidRDefault="00016609" w:rsidP="00016609">
            <w:pPr>
              <w:pStyle w:val="TableText0"/>
              <w:numPr>
                <w:ilvl w:val="0"/>
                <w:numId w:val="6"/>
              </w:numPr>
            </w:pPr>
            <w:r w:rsidRPr="00456281">
              <w:t>nal-IRI 50 mg/m</w:t>
            </w:r>
            <w:r w:rsidRPr="00456281">
              <w:rPr>
                <w:vertAlign w:val="superscript"/>
              </w:rPr>
              <w:t>2</w:t>
            </w:r>
            <w:r w:rsidR="008D7323" w:rsidRPr="00456281">
              <w:t xml:space="preserve"> </w:t>
            </w:r>
          </w:p>
          <w:p w14:paraId="2EBD8DE2" w14:textId="47B743A6" w:rsidR="00016609" w:rsidRPr="00456281" w:rsidRDefault="00016609" w:rsidP="00016609">
            <w:pPr>
              <w:pStyle w:val="TableText0"/>
              <w:numPr>
                <w:ilvl w:val="0"/>
                <w:numId w:val="6"/>
              </w:numPr>
            </w:pPr>
            <w:r w:rsidRPr="00456281">
              <w:t>5-fluorouracil 2</w:t>
            </w:r>
            <w:r w:rsidR="00EF6A6A" w:rsidRPr="00456281">
              <w:t>,</w:t>
            </w:r>
            <w:r w:rsidRPr="00456281">
              <w:t>400 mg/m</w:t>
            </w:r>
            <w:r w:rsidRPr="00456281">
              <w:rPr>
                <w:vertAlign w:val="superscript"/>
              </w:rPr>
              <w:t>2</w:t>
            </w:r>
          </w:p>
          <w:p w14:paraId="38F8E208" w14:textId="7A91DAD1" w:rsidR="00016609" w:rsidRPr="00456281" w:rsidRDefault="00016609" w:rsidP="00016609">
            <w:pPr>
              <w:pStyle w:val="TableText0"/>
              <w:numPr>
                <w:ilvl w:val="0"/>
                <w:numId w:val="6"/>
              </w:numPr>
            </w:pPr>
            <w:r w:rsidRPr="00456281">
              <w:t>leucovorin/folinic acid 400 mg/m</w:t>
            </w:r>
            <w:r w:rsidRPr="00456281">
              <w:rPr>
                <w:vertAlign w:val="superscript"/>
              </w:rPr>
              <w:t>2</w:t>
            </w:r>
            <w:r w:rsidRPr="00456281">
              <w:t xml:space="preserve"> and</w:t>
            </w:r>
          </w:p>
          <w:p w14:paraId="3F0418F5" w14:textId="357F9645" w:rsidR="00016609" w:rsidRPr="00456281" w:rsidRDefault="00016609" w:rsidP="00331D60">
            <w:pPr>
              <w:pStyle w:val="TableText0"/>
              <w:numPr>
                <w:ilvl w:val="0"/>
                <w:numId w:val="6"/>
              </w:numPr>
            </w:pPr>
            <w:r w:rsidRPr="00456281">
              <w:t>oxaliplatin 60 mg/m</w:t>
            </w:r>
            <w:r w:rsidRPr="00456281">
              <w:rPr>
                <w:vertAlign w:val="superscript"/>
              </w:rPr>
              <w:t>2</w:t>
            </w:r>
          </w:p>
        </w:tc>
      </w:tr>
      <w:tr w:rsidR="00016609" w:rsidRPr="00456281" w14:paraId="0D231BB4" w14:textId="77777777" w:rsidTr="00D36AB7">
        <w:trPr>
          <w:cantSplit/>
        </w:trPr>
        <w:tc>
          <w:tcPr>
            <w:tcW w:w="0" w:type="auto"/>
            <w:shd w:val="clear" w:color="auto" w:fill="auto"/>
          </w:tcPr>
          <w:p w14:paraId="4196DFF5" w14:textId="77777777" w:rsidR="00016609" w:rsidRPr="00456281" w:rsidRDefault="00016609" w:rsidP="00956744">
            <w:pPr>
              <w:pStyle w:val="TableText0"/>
            </w:pPr>
            <w:r w:rsidRPr="00456281">
              <w:t>Comparator</w:t>
            </w:r>
          </w:p>
        </w:tc>
        <w:tc>
          <w:tcPr>
            <w:tcW w:w="0" w:type="auto"/>
            <w:shd w:val="clear" w:color="auto" w:fill="auto"/>
            <w:vAlign w:val="center"/>
          </w:tcPr>
          <w:p w14:paraId="541A9005" w14:textId="77777777" w:rsidR="00016609" w:rsidRPr="00456281" w:rsidRDefault="00016609" w:rsidP="00956744">
            <w:pPr>
              <w:pStyle w:val="TableText0"/>
              <w:rPr>
                <w:u w:val="single"/>
              </w:rPr>
            </w:pPr>
            <w:r w:rsidRPr="00456281">
              <w:rPr>
                <w:u w:val="single"/>
              </w:rPr>
              <w:t>Main comparator:</w:t>
            </w:r>
          </w:p>
          <w:p w14:paraId="1A13FDBD" w14:textId="77777777" w:rsidR="00016609" w:rsidRPr="00456281" w:rsidRDefault="00016609" w:rsidP="00956744">
            <w:pPr>
              <w:pStyle w:val="TableText0"/>
            </w:pPr>
            <w:r w:rsidRPr="00456281">
              <w:t>Gem+NabP regimen administered intravenously on days 1, 8 and 15 of each 28-day cycle:</w:t>
            </w:r>
          </w:p>
          <w:p w14:paraId="0BFA010C" w14:textId="36CB60DA" w:rsidR="00016609" w:rsidRPr="00456281" w:rsidRDefault="00016609" w:rsidP="00016609">
            <w:pPr>
              <w:pStyle w:val="TableText0"/>
              <w:numPr>
                <w:ilvl w:val="0"/>
                <w:numId w:val="7"/>
              </w:numPr>
            </w:pPr>
            <w:r w:rsidRPr="00456281">
              <w:t>gemcitabine 1</w:t>
            </w:r>
            <w:r w:rsidR="00EF6A6A" w:rsidRPr="00456281">
              <w:t>,</w:t>
            </w:r>
            <w:r w:rsidRPr="00456281">
              <w:t xml:space="preserve">000 </w:t>
            </w:r>
            <w:r w:rsidR="00D83376" w:rsidRPr="00456281">
              <w:t>mg/m</w:t>
            </w:r>
            <w:r w:rsidR="00D83376" w:rsidRPr="00456281">
              <w:rPr>
                <w:vertAlign w:val="superscript"/>
              </w:rPr>
              <w:t>2</w:t>
            </w:r>
            <w:r w:rsidR="00EF6A6A" w:rsidRPr="00456281">
              <w:t xml:space="preserve"> </w:t>
            </w:r>
            <w:r w:rsidRPr="00456281">
              <w:t>and</w:t>
            </w:r>
          </w:p>
          <w:p w14:paraId="50780239" w14:textId="56C8AC62" w:rsidR="00016609" w:rsidRPr="00456281" w:rsidRDefault="00016609" w:rsidP="00956744">
            <w:pPr>
              <w:pStyle w:val="TableText0"/>
              <w:numPr>
                <w:ilvl w:val="0"/>
                <w:numId w:val="7"/>
              </w:numPr>
            </w:pPr>
            <w:r w:rsidRPr="00456281">
              <w:t>nanoparticle albumin</w:t>
            </w:r>
            <w:r w:rsidR="00760E1B" w:rsidRPr="00456281">
              <w:t>-</w:t>
            </w:r>
            <w:r w:rsidRPr="00456281">
              <w:t xml:space="preserve">bound (nab-) paclitaxel 125 </w:t>
            </w:r>
            <w:r w:rsidR="00D83376" w:rsidRPr="00456281">
              <w:t>mg/m</w:t>
            </w:r>
            <w:r w:rsidR="00D83376" w:rsidRPr="00456281">
              <w:rPr>
                <w:vertAlign w:val="superscript"/>
              </w:rPr>
              <w:t>2</w:t>
            </w:r>
          </w:p>
          <w:p w14:paraId="26FA1FBF" w14:textId="709FAD5E" w:rsidR="00016609" w:rsidRPr="00456281" w:rsidRDefault="00016609" w:rsidP="00956744">
            <w:pPr>
              <w:pStyle w:val="TableText0"/>
              <w:rPr>
                <w:u w:val="single"/>
              </w:rPr>
            </w:pPr>
            <w:r w:rsidRPr="00456281">
              <w:rPr>
                <w:u w:val="single"/>
              </w:rPr>
              <w:t xml:space="preserve">Secondary </w:t>
            </w:r>
            <w:r w:rsidR="002D0EAA" w:rsidRPr="00456281">
              <w:rPr>
                <w:u w:val="single"/>
              </w:rPr>
              <w:t>(</w:t>
            </w:r>
            <w:r w:rsidR="00330C62" w:rsidRPr="00456281">
              <w:rPr>
                <w:u w:val="single"/>
              </w:rPr>
              <w:t>Minor</w:t>
            </w:r>
            <w:r w:rsidR="002D0EAA" w:rsidRPr="00456281">
              <w:rPr>
                <w:u w:val="single"/>
              </w:rPr>
              <w:t>)</w:t>
            </w:r>
            <w:r w:rsidR="00330C62" w:rsidRPr="00456281">
              <w:rPr>
                <w:u w:val="single"/>
              </w:rPr>
              <w:t xml:space="preserve"> </w:t>
            </w:r>
            <w:r w:rsidRPr="00456281">
              <w:rPr>
                <w:u w:val="single"/>
              </w:rPr>
              <w:t>comparator:</w:t>
            </w:r>
          </w:p>
          <w:p w14:paraId="64A0B076" w14:textId="77777777" w:rsidR="00016609" w:rsidRPr="00456281" w:rsidRDefault="00016609" w:rsidP="00956744">
            <w:pPr>
              <w:pStyle w:val="TableText0"/>
            </w:pPr>
            <w:r w:rsidRPr="00456281">
              <w:t>FOLFIRINOX regimen administered intravenously on days 1 and 15 of each 28-day cycle:</w:t>
            </w:r>
          </w:p>
          <w:p w14:paraId="039E830D" w14:textId="77777777" w:rsidR="00016609" w:rsidRPr="00456281" w:rsidRDefault="00016609" w:rsidP="00016609">
            <w:pPr>
              <w:pStyle w:val="TableText0"/>
              <w:numPr>
                <w:ilvl w:val="0"/>
                <w:numId w:val="6"/>
              </w:numPr>
            </w:pPr>
            <w:r w:rsidRPr="00456281">
              <w:t>irinotecan 180 mg/m</w:t>
            </w:r>
            <w:r w:rsidRPr="00456281">
              <w:rPr>
                <w:vertAlign w:val="superscript"/>
              </w:rPr>
              <w:t>2</w:t>
            </w:r>
          </w:p>
          <w:p w14:paraId="365F08E6" w14:textId="1B88E87A" w:rsidR="00016609" w:rsidRPr="00456281" w:rsidRDefault="00016609" w:rsidP="00C41F7C">
            <w:pPr>
              <w:pStyle w:val="TableText0"/>
              <w:numPr>
                <w:ilvl w:val="0"/>
                <w:numId w:val="6"/>
              </w:numPr>
            </w:pPr>
            <w:r w:rsidRPr="00456281">
              <w:t>5-fluorouracil 400 mg/m</w:t>
            </w:r>
            <w:r w:rsidRPr="00456281">
              <w:rPr>
                <w:vertAlign w:val="superscript"/>
              </w:rPr>
              <w:t>2</w:t>
            </w:r>
            <w:r w:rsidR="00C41F7C" w:rsidRPr="00456281">
              <w:t xml:space="preserve"> and </w:t>
            </w:r>
            <w:r w:rsidRPr="00456281">
              <w:t>5-fluorouracil 2</w:t>
            </w:r>
            <w:r w:rsidR="00C41F7C" w:rsidRPr="00456281">
              <w:t>,</w:t>
            </w:r>
            <w:r w:rsidRPr="00456281">
              <w:t>400 mg/m</w:t>
            </w:r>
            <w:r w:rsidRPr="00456281">
              <w:rPr>
                <w:vertAlign w:val="superscript"/>
              </w:rPr>
              <w:t>2</w:t>
            </w:r>
            <w:r w:rsidRPr="00456281">
              <w:t xml:space="preserve">- over 46 hours </w:t>
            </w:r>
          </w:p>
          <w:p w14:paraId="76E53B30" w14:textId="1DB53DDC" w:rsidR="00016609" w:rsidRPr="00456281" w:rsidRDefault="00016609" w:rsidP="00016609">
            <w:pPr>
              <w:pStyle w:val="TableText0"/>
              <w:numPr>
                <w:ilvl w:val="0"/>
                <w:numId w:val="6"/>
              </w:numPr>
            </w:pPr>
            <w:r w:rsidRPr="00456281">
              <w:t>leucovorin/folinic acid 50</w:t>
            </w:r>
            <w:r w:rsidR="00EF6A6A" w:rsidRPr="00456281">
              <w:t> </w:t>
            </w:r>
            <w:r w:rsidRPr="00456281">
              <w:t>mg and</w:t>
            </w:r>
          </w:p>
          <w:p w14:paraId="531CA642" w14:textId="34DD2857" w:rsidR="004D299D" w:rsidRPr="00456281" w:rsidRDefault="00016609" w:rsidP="004D299D">
            <w:pPr>
              <w:pStyle w:val="TableText0"/>
              <w:numPr>
                <w:ilvl w:val="0"/>
                <w:numId w:val="6"/>
              </w:numPr>
            </w:pPr>
            <w:r w:rsidRPr="00456281">
              <w:t>oxaliplatin 85 mg/m</w:t>
            </w:r>
            <w:r w:rsidRPr="00456281">
              <w:rPr>
                <w:vertAlign w:val="superscript"/>
              </w:rPr>
              <w:t>2</w:t>
            </w:r>
          </w:p>
        </w:tc>
      </w:tr>
      <w:tr w:rsidR="00016609" w:rsidRPr="00456281" w14:paraId="3731ABCA" w14:textId="77777777" w:rsidTr="00D36AB7">
        <w:trPr>
          <w:cantSplit/>
        </w:trPr>
        <w:tc>
          <w:tcPr>
            <w:tcW w:w="0" w:type="auto"/>
            <w:shd w:val="clear" w:color="auto" w:fill="auto"/>
          </w:tcPr>
          <w:p w14:paraId="16EA872F" w14:textId="77777777" w:rsidR="00016609" w:rsidRPr="00456281" w:rsidRDefault="00016609" w:rsidP="00956744">
            <w:pPr>
              <w:pStyle w:val="TableText0"/>
            </w:pPr>
            <w:r w:rsidRPr="00456281">
              <w:t>Outcomes</w:t>
            </w:r>
          </w:p>
        </w:tc>
        <w:tc>
          <w:tcPr>
            <w:tcW w:w="0" w:type="auto"/>
            <w:shd w:val="clear" w:color="auto" w:fill="auto"/>
            <w:vAlign w:val="center"/>
          </w:tcPr>
          <w:p w14:paraId="3E50D1CB" w14:textId="77777777" w:rsidR="00016609" w:rsidRPr="00456281" w:rsidRDefault="00016609" w:rsidP="00956744">
            <w:pPr>
              <w:pStyle w:val="TableText0"/>
            </w:pPr>
            <w:r w:rsidRPr="00456281">
              <w:t>Primary endpoint: overall survival (OS)</w:t>
            </w:r>
          </w:p>
          <w:p w14:paraId="3D8D29AB" w14:textId="50157029" w:rsidR="00016609" w:rsidRPr="00456281" w:rsidRDefault="00016609" w:rsidP="00956744">
            <w:pPr>
              <w:pStyle w:val="TableText0"/>
            </w:pPr>
            <w:r w:rsidRPr="00456281">
              <w:t xml:space="preserve">Secondary endpoints: progression-free survival (PFS); </w:t>
            </w:r>
            <w:r w:rsidR="0076267D" w:rsidRPr="00456281">
              <w:t xml:space="preserve">objective </w:t>
            </w:r>
            <w:r w:rsidRPr="00456281">
              <w:t>response rate (ORR)</w:t>
            </w:r>
          </w:p>
          <w:p w14:paraId="6B84658D" w14:textId="77777777" w:rsidR="00016609" w:rsidRPr="00456281" w:rsidRDefault="00016609" w:rsidP="00956744">
            <w:pPr>
              <w:pStyle w:val="TableText0"/>
            </w:pPr>
            <w:r w:rsidRPr="00456281">
              <w:t>Patient reported endpoints (exploratory endpoints)</w:t>
            </w:r>
          </w:p>
          <w:p w14:paraId="5138C9A8" w14:textId="6E795754" w:rsidR="00016609" w:rsidRPr="00456281" w:rsidRDefault="00016609" w:rsidP="00956744">
            <w:pPr>
              <w:pStyle w:val="TableText0"/>
              <w:ind w:left="720"/>
            </w:pPr>
            <w:r w:rsidRPr="00456281">
              <w:t>European Organisation for Research and Treatment of Cancer Quality of Life Questionnaire Core 30 quality of life core 30 Questionnaire (EORTC QLQ 30</w:t>
            </w:r>
            <w:r w:rsidR="00D776E8" w:rsidRPr="00456281">
              <w:t>).</w:t>
            </w:r>
          </w:p>
          <w:p w14:paraId="0A9D208E" w14:textId="77777777" w:rsidR="00016609" w:rsidRPr="00456281" w:rsidRDefault="00016609" w:rsidP="00956744">
            <w:pPr>
              <w:pStyle w:val="TableText0"/>
              <w:ind w:left="720"/>
            </w:pPr>
            <w:r w:rsidRPr="00456281">
              <w:t>EuroQol 5-dimension health status questionnaire (5 level) (EQ-5D-5L)</w:t>
            </w:r>
          </w:p>
          <w:p w14:paraId="48F697FD" w14:textId="77777777" w:rsidR="00016609" w:rsidRPr="00456281" w:rsidRDefault="00016609" w:rsidP="00956744">
            <w:pPr>
              <w:pStyle w:val="TableText0"/>
              <w:rPr>
                <w:rFonts w:eastAsia="Times New Roman" w:cs="Arial"/>
                <w:bCs w:val="0"/>
                <w:snapToGrid w:val="0"/>
                <w:color w:val="0066FF"/>
                <w:szCs w:val="20"/>
              </w:rPr>
            </w:pPr>
            <w:r w:rsidRPr="00456281">
              <w:t>Safety</w:t>
            </w:r>
          </w:p>
        </w:tc>
      </w:tr>
      <w:tr w:rsidR="00016609" w:rsidRPr="00456281" w14:paraId="5C3F9C2E" w14:textId="77777777" w:rsidTr="00D36AB7">
        <w:trPr>
          <w:cantSplit/>
        </w:trPr>
        <w:tc>
          <w:tcPr>
            <w:tcW w:w="0" w:type="auto"/>
            <w:shd w:val="clear" w:color="auto" w:fill="auto"/>
          </w:tcPr>
          <w:p w14:paraId="079826EC" w14:textId="77777777" w:rsidR="00016609" w:rsidRPr="00456281" w:rsidRDefault="00016609" w:rsidP="00956744">
            <w:pPr>
              <w:pStyle w:val="TableText0"/>
            </w:pPr>
            <w:r w:rsidRPr="00456281">
              <w:t>Clinical claim</w:t>
            </w:r>
          </w:p>
        </w:tc>
        <w:tc>
          <w:tcPr>
            <w:tcW w:w="0" w:type="auto"/>
            <w:shd w:val="clear" w:color="auto" w:fill="auto"/>
            <w:vAlign w:val="center"/>
          </w:tcPr>
          <w:p w14:paraId="306799E1" w14:textId="2CF54514" w:rsidR="00C41F7C" w:rsidRPr="00456281" w:rsidRDefault="00C41F7C" w:rsidP="00956744">
            <w:pPr>
              <w:pStyle w:val="TableText0"/>
              <w:rPr>
                <w:u w:val="single"/>
              </w:rPr>
            </w:pPr>
            <w:r w:rsidRPr="00456281">
              <w:rPr>
                <w:u w:val="single"/>
              </w:rPr>
              <w:t>Main comparator:</w:t>
            </w:r>
          </w:p>
          <w:p w14:paraId="7319EA99" w14:textId="2C9D7A3F" w:rsidR="00016609" w:rsidRPr="00456281" w:rsidRDefault="00016609" w:rsidP="00956744">
            <w:pPr>
              <w:pStyle w:val="TableText0"/>
            </w:pPr>
            <w:r w:rsidRPr="00456281">
              <w:t>NALIRIFOX is superior in terms of effectiveness compared to Gem+NabP</w:t>
            </w:r>
          </w:p>
          <w:p w14:paraId="4449D8A2" w14:textId="77777777" w:rsidR="00016609" w:rsidRPr="00456281" w:rsidRDefault="00016609" w:rsidP="00956744">
            <w:pPr>
              <w:pStyle w:val="TableText0"/>
            </w:pPr>
            <w:r w:rsidRPr="00456281">
              <w:t>NALIRIFOX is non-inferior in terms of overall safety compared to Gem+NabP, noting these treatments have differing adverse event profiles</w:t>
            </w:r>
          </w:p>
          <w:p w14:paraId="35654166" w14:textId="6C2EC259" w:rsidR="00C41F7C" w:rsidRPr="00456281" w:rsidRDefault="002D0EAA" w:rsidP="00956744">
            <w:pPr>
              <w:pStyle w:val="TableText0"/>
              <w:rPr>
                <w:u w:val="single"/>
              </w:rPr>
            </w:pPr>
            <w:r w:rsidRPr="00456281">
              <w:rPr>
                <w:u w:val="single"/>
              </w:rPr>
              <w:t>Secondary (</w:t>
            </w:r>
            <w:r w:rsidR="00C41F7C" w:rsidRPr="00456281">
              <w:rPr>
                <w:u w:val="single"/>
              </w:rPr>
              <w:t>Minor</w:t>
            </w:r>
            <w:r w:rsidRPr="00456281">
              <w:rPr>
                <w:u w:val="single"/>
              </w:rPr>
              <w:t>)</w:t>
            </w:r>
            <w:r w:rsidR="00C41F7C" w:rsidRPr="00456281">
              <w:rPr>
                <w:u w:val="single"/>
              </w:rPr>
              <w:t xml:space="preserve"> comparator:</w:t>
            </w:r>
          </w:p>
          <w:p w14:paraId="42E82638" w14:textId="32F69427" w:rsidR="00016609" w:rsidRPr="00456281" w:rsidRDefault="00016609" w:rsidP="00956744">
            <w:pPr>
              <w:pStyle w:val="TableText0"/>
            </w:pPr>
            <w:bookmarkStart w:id="13" w:name="_Hlk159244763"/>
            <w:r w:rsidRPr="00456281">
              <w:t>NALIRIFOX is superior to FOLFIRINOX because NALIRIFOX has a proven survival benefit over Gem+NabP</w:t>
            </w:r>
            <w:r w:rsidR="00D83C9B" w:rsidRPr="00456281">
              <w:t>,</w:t>
            </w:r>
            <w:r w:rsidRPr="00456281">
              <w:t xml:space="preserve"> </w:t>
            </w:r>
            <w:r w:rsidR="00D83C9B" w:rsidRPr="00456281">
              <w:t>whereas FOLFIRINOX does not</w:t>
            </w:r>
          </w:p>
          <w:p w14:paraId="5F0EF7A7" w14:textId="2BEC9CD1" w:rsidR="00016609" w:rsidRPr="00456281" w:rsidRDefault="00016609" w:rsidP="00956744">
            <w:pPr>
              <w:pStyle w:val="TableText0"/>
              <w:rPr>
                <w:rFonts w:eastAsia="Times New Roman" w:cs="Arial"/>
                <w:bCs w:val="0"/>
                <w:snapToGrid w:val="0"/>
                <w:color w:val="0066FF"/>
                <w:szCs w:val="20"/>
              </w:rPr>
            </w:pPr>
            <w:r w:rsidRPr="00456281">
              <w:t>NALIRIFOX is superior to FOLFIRINOX because NALIRIFOX has proven to be of similar levels of toxicity to Gem+NabP</w:t>
            </w:r>
            <w:r w:rsidR="00D83C9B" w:rsidRPr="00456281">
              <w:t>, whereas FOLFIRINOX has historically been reserved for fitter and younger patients due to its unfavourable safety profile</w:t>
            </w:r>
            <w:bookmarkEnd w:id="13"/>
          </w:p>
        </w:tc>
      </w:tr>
    </w:tbl>
    <w:p w14:paraId="0F577ABD" w14:textId="25E55797" w:rsidR="00016609" w:rsidRPr="00456281" w:rsidRDefault="00016609" w:rsidP="00D36AB7">
      <w:pPr>
        <w:pStyle w:val="FooterTableFigure"/>
        <w:keepNext/>
      </w:pPr>
      <w:r w:rsidRPr="00456281">
        <w:t>Source: Table 1, p10 of the submission and Appendix A of the submission</w:t>
      </w:r>
      <w:r w:rsidR="00C41F7C" w:rsidRPr="00456281">
        <w:t>.</w:t>
      </w:r>
    </w:p>
    <w:p w14:paraId="2A0C58F6" w14:textId="16701088" w:rsidR="00016609" w:rsidRPr="00456281" w:rsidRDefault="00016609" w:rsidP="00076C6A">
      <w:pPr>
        <w:pStyle w:val="FooterTableFigure"/>
      </w:pPr>
      <w:r w:rsidRPr="00456281">
        <w:t>Abbreviations: EORT</w:t>
      </w:r>
      <w:r w:rsidR="00B82AF1" w:rsidRPr="00456281">
        <w:t>C</w:t>
      </w:r>
      <w:r w:rsidRPr="00456281">
        <w:t xml:space="preserve"> QLQ 30, European Organisation for Research and Treatment of Cancer Quality of Life Questionnaire Core 30 quality of life core 30 Questionnaire; EQ-5D-5L, EuroQol 5-dimension health status questionnaire (5 level); FOLFIRINOX, Fluorouracil, Folinic Acid, Irinotecan, Oxaliplatin; Gem+NabP, gemcitabine plus nanoparticle </w:t>
      </w:r>
      <w:r w:rsidR="00D83C9B" w:rsidRPr="00456281">
        <w:t>albumin-bound</w:t>
      </w:r>
      <w:r w:rsidRPr="00456281">
        <w:t xml:space="preserve"> paclitaxel; nal-IRI, nanoliposomal irinotecan;  </w:t>
      </w:r>
      <w:bookmarkEnd w:id="12"/>
      <w:r w:rsidRPr="00456281">
        <w:t xml:space="preserve">NALIRIFOX, nanoliposomal irinotecan (nal-IRI) in combination with 5-fluorouracil, leucovorin/folinic acid, and oxaliplatin; ORR, </w:t>
      </w:r>
      <w:r w:rsidR="0076267D" w:rsidRPr="00456281">
        <w:t xml:space="preserve">objective </w:t>
      </w:r>
      <w:r w:rsidRPr="00456281">
        <w:t>response rate; OS, overall survival; PFS, progression-free survival.</w:t>
      </w:r>
    </w:p>
    <w:p w14:paraId="36BDA6F7" w14:textId="77777777" w:rsidR="00016609" w:rsidRPr="00456281" w:rsidRDefault="00016609" w:rsidP="00016609">
      <w:pPr>
        <w:pStyle w:val="2-SectionHeading"/>
      </w:pPr>
      <w:bookmarkStart w:id="14" w:name="_Toc107927619"/>
      <w:bookmarkStart w:id="15" w:name="_Toc157002542"/>
      <w:r w:rsidRPr="00456281">
        <w:t>Background</w:t>
      </w:r>
      <w:bookmarkEnd w:id="14"/>
      <w:bookmarkEnd w:id="15"/>
    </w:p>
    <w:p w14:paraId="24BB2427" w14:textId="77777777" w:rsidR="00016609" w:rsidRPr="00456281" w:rsidRDefault="00016609" w:rsidP="00016609">
      <w:pPr>
        <w:pStyle w:val="4-SubsectionHeading"/>
      </w:pPr>
      <w:bookmarkStart w:id="16" w:name="_Toc22897638"/>
      <w:bookmarkStart w:id="17" w:name="_Toc107927620"/>
      <w:bookmarkStart w:id="18" w:name="_Toc157002543"/>
      <w:r w:rsidRPr="00456281">
        <w:t>Registration status</w:t>
      </w:r>
      <w:bookmarkEnd w:id="16"/>
      <w:bookmarkEnd w:id="17"/>
      <w:bookmarkEnd w:id="18"/>
    </w:p>
    <w:p w14:paraId="4DF619D2" w14:textId="2E09B56D" w:rsidR="0075114A" w:rsidRPr="00456281" w:rsidRDefault="00B24124" w:rsidP="00B24124">
      <w:pPr>
        <w:pStyle w:val="3-BodyText"/>
        <w:snapToGrid w:val="0"/>
      </w:pPr>
      <w:r w:rsidRPr="00456281">
        <w:t xml:space="preserve">The TGA approved the registration of </w:t>
      </w:r>
      <w:r w:rsidR="0075114A" w:rsidRPr="00456281">
        <w:t>nal-IRI</w:t>
      </w:r>
      <w:r w:rsidR="00456281">
        <w:t xml:space="preserve"> </w:t>
      </w:r>
      <w:r w:rsidR="0075114A" w:rsidRPr="00456281">
        <w:t xml:space="preserve">on </w:t>
      </w:r>
      <w:r w:rsidRPr="00456281">
        <w:t>5</w:t>
      </w:r>
      <w:r w:rsidR="0075114A" w:rsidRPr="00456281">
        <w:t xml:space="preserve"> March 2024 for </w:t>
      </w:r>
      <w:r w:rsidR="009C097C" w:rsidRPr="00456281">
        <w:t>the indication: “</w:t>
      </w:r>
      <w:r w:rsidR="0075114A" w:rsidRPr="00456281">
        <w:t>in combination with oxaliplatin and 5-fluorouracil (5-FU) and leucovorin (LV) for the first-line treatment of metastatic pancreatic adenocarcinoma.</w:t>
      </w:r>
      <w:r w:rsidR="009C097C" w:rsidRPr="00456281">
        <w:t>”</w:t>
      </w:r>
    </w:p>
    <w:p w14:paraId="12A79956" w14:textId="2FE24034" w:rsidR="00016609" w:rsidRPr="00456281" w:rsidRDefault="00463523" w:rsidP="00EA0974">
      <w:pPr>
        <w:pStyle w:val="3-BodyText"/>
      </w:pPr>
      <w:r w:rsidRPr="00456281">
        <w:t>Nal</w:t>
      </w:r>
      <w:r w:rsidR="00016609" w:rsidRPr="00456281">
        <w:t xml:space="preserve">-IRI </w:t>
      </w:r>
      <w:r w:rsidR="009C097C" w:rsidRPr="00456281">
        <w:t>is also TGA-registered</w:t>
      </w:r>
      <w:r w:rsidR="00016609" w:rsidRPr="00456281">
        <w:t xml:space="preserve"> for the indication: </w:t>
      </w:r>
      <w:r w:rsidR="009C097C" w:rsidRPr="00456281">
        <w:t>“in combination with 5-FU and LV for the treatment of metastatic pancreatic adenocarcinoma after disease progression following gemcitabine-based therapy.</w:t>
      </w:r>
      <w:r w:rsidR="00CE71CC" w:rsidRPr="00456281">
        <w:t>”</w:t>
      </w:r>
    </w:p>
    <w:p w14:paraId="46B7555D" w14:textId="77777777" w:rsidR="00016609" w:rsidRPr="00456281" w:rsidRDefault="00016609" w:rsidP="00016609">
      <w:pPr>
        <w:pStyle w:val="4-SubsectionHeading"/>
      </w:pPr>
      <w:bookmarkStart w:id="19" w:name="_Toc22897639"/>
      <w:bookmarkStart w:id="20" w:name="_Toc107927621"/>
      <w:bookmarkStart w:id="21" w:name="_Toc157002544"/>
      <w:r w:rsidRPr="00456281">
        <w:lastRenderedPageBreak/>
        <w:t>Previous PBAC consideration</w:t>
      </w:r>
      <w:bookmarkEnd w:id="19"/>
      <w:bookmarkEnd w:id="20"/>
      <w:bookmarkEnd w:id="21"/>
    </w:p>
    <w:p w14:paraId="0252A36F" w14:textId="0F9DA4F3" w:rsidR="00016609" w:rsidRPr="00456281" w:rsidRDefault="000173DB">
      <w:pPr>
        <w:pStyle w:val="3-BodyText"/>
      </w:pPr>
      <w:r w:rsidRPr="00456281">
        <w:t>The PBAC has not previously considered nal-IRI for the proposed indication.</w:t>
      </w:r>
    </w:p>
    <w:p w14:paraId="37549A37" w14:textId="308AC4B0" w:rsidR="00016609" w:rsidRPr="00456281" w:rsidRDefault="00463523" w:rsidP="00016609">
      <w:pPr>
        <w:pStyle w:val="3-BodyText"/>
      </w:pPr>
      <w:bookmarkStart w:id="22" w:name="_Ref155715017"/>
      <w:r w:rsidRPr="00456281">
        <w:t>Nal</w:t>
      </w:r>
      <w:r w:rsidR="00016609" w:rsidRPr="00456281">
        <w:t>-IRI has previously been considered by the PBAC on two occasions</w:t>
      </w:r>
      <w:r w:rsidRPr="00456281">
        <w:t>:</w:t>
      </w:r>
      <w:bookmarkEnd w:id="22"/>
    </w:p>
    <w:p w14:paraId="43ACEEFF" w14:textId="4069797E" w:rsidR="00016609" w:rsidRPr="00456281" w:rsidRDefault="00016609" w:rsidP="00690769">
      <w:pPr>
        <w:pStyle w:val="ListParagraph"/>
        <w:numPr>
          <w:ilvl w:val="0"/>
          <w:numId w:val="14"/>
        </w:numPr>
      </w:pPr>
      <w:r w:rsidRPr="00456281">
        <w:t xml:space="preserve">November 2016: </w:t>
      </w:r>
      <w:r w:rsidR="000173DB" w:rsidRPr="00456281">
        <w:t xml:space="preserve">Submission </w:t>
      </w:r>
      <w:r w:rsidR="00D776E8" w:rsidRPr="00456281">
        <w:t>requested use</w:t>
      </w:r>
      <w:r w:rsidRPr="00456281">
        <w:t xml:space="preserve"> in combination with 5-FU and folinic acid for the treatment of </w:t>
      </w:r>
      <w:r w:rsidR="00463523" w:rsidRPr="00456281">
        <w:t>mPAC</w:t>
      </w:r>
      <w:r w:rsidRPr="00456281">
        <w:t xml:space="preserve"> in adult patients with disease progression who have previously received gemcitabine-based therapy. The PBAC did not recommend listing on the basis of unacceptably high incremental cost for a modest and uncertain incremental clinical benefit (para 7.1, irinotecan (</w:t>
      </w:r>
      <w:r w:rsidR="00291828" w:rsidRPr="00456281">
        <w:t>nanoliposomal</w:t>
      </w:r>
      <w:r w:rsidRPr="00456281">
        <w:t xml:space="preserve">), </w:t>
      </w:r>
      <w:r w:rsidR="006F629B" w:rsidRPr="00456281">
        <w:t>Public Summary Document (</w:t>
      </w:r>
      <w:r w:rsidRPr="00456281">
        <w:t>PSD</w:t>
      </w:r>
      <w:r w:rsidR="006F629B" w:rsidRPr="00456281">
        <w:t>)</w:t>
      </w:r>
      <w:r w:rsidRPr="00456281">
        <w:t>, November 2016 PBAC meeting).</w:t>
      </w:r>
    </w:p>
    <w:p w14:paraId="5C599443" w14:textId="283098AF" w:rsidR="00016609" w:rsidRPr="00456281" w:rsidRDefault="00016609" w:rsidP="00690769">
      <w:pPr>
        <w:pStyle w:val="ListParagraph"/>
        <w:numPr>
          <w:ilvl w:val="0"/>
          <w:numId w:val="14"/>
        </w:numPr>
      </w:pPr>
      <w:r w:rsidRPr="00456281">
        <w:t xml:space="preserve">March 2018: </w:t>
      </w:r>
      <w:r w:rsidR="000173DB" w:rsidRPr="00456281">
        <w:t xml:space="preserve">Resubmission </w:t>
      </w:r>
      <w:r w:rsidR="00D776E8" w:rsidRPr="00456281">
        <w:t>requested use</w:t>
      </w:r>
      <w:r w:rsidRPr="00456281">
        <w:t xml:space="preserve"> in combination with 5-FU and folinic acid for the treatment of patients with </w:t>
      </w:r>
      <w:r w:rsidR="00463523" w:rsidRPr="00456281">
        <w:t>mPAC</w:t>
      </w:r>
      <w:r w:rsidRPr="00456281">
        <w:t xml:space="preserve"> who have previously failed gemcitabine-based therapy. The PBAC did not recommend listing on the basis of unacceptably high incremental cost for a modest and uncertain incremental clinical benefit (para 6.1, irinotecan (</w:t>
      </w:r>
      <w:r w:rsidR="00291828" w:rsidRPr="00456281">
        <w:t>nanoliposomal</w:t>
      </w:r>
      <w:r w:rsidRPr="00456281">
        <w:t>), PSD, March 2018 PBAC meeting).</w:t>
      </w:r>
    </w:p>
    <w:p w14:paraId="7399B032" w14:textId="77777777" w:rsidR="00016609" w:rsidRPr="00456281" w:rsidRDefault="00016609" w:rsidP="00016609">
      <w:pPr>
        <w:pStyle w:val="2-SectionHeading"/>
      </w:pPr>
      <w:bookmarkStart w:id="23" w:name="_Toc107902078"/>
      <w:bookmarkStart w:id="24" w:name="_Toc107927622"/>
      <w:bookmarkStart w:id="25" w:name="_Toc157002545"/>
      <w:bookmarkEnd w:id="23"/>
      <w:r w:rsidRPr="00456281">
        <w:t>Requested listing</w:t>
      </w:r>
      <w:bookmarkEnd w:id="24"/>
      <w:bookmarkEnd w:id="25"/>
    </w:p>
    <w:p w14:paraId="61CEB2BB" w14:textId="767B9D89" w:rsidR="00635DC6" w:rsidRPr="00456281" w:rsidRDefault="00C82E80" w:rsidP="00D06EFD">
      <w:pPr>
        <w:pStyle w:val="3-BodyText"/>
      </w:pPr>
      <w:r w:rsidRPr="00456281">
        <w:t>Suggestions and additions proposed by the Secretariat are added in italics and suggested deletions are crossed out with strikethrough</w:t>
      </w:r>
      <w:r w:rsidR="00635DC6" w:rsidRPr="00456281">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4"/>
        <w:gridCol w:w="1973"/>
        <w:gridCol w:w="1973"/>
        <w:gridCol w:w="1977"/>
      </w:tblGrid>
      <w:tr w:rsidR="00016609" w:rsidRPr="00456281" w14:paraId="521F7501" w14:textId="77777777" w:rsidTr="00956744">
        <w:trPr>
          <w:cantSplit/>
          <w:trHeight w:val="20"/>
        </w:trPr>
        <w:tc>
          <w:tcPr>
            <w:tcW w:w="1716" w:type="pct"/>
            <w:vAlign w:val="center"/>
          </w:tcPr>
          <w:p w14:paraId="6A09508B" w14:textId="77777777" w:rsidR="00016609" w:rsidRPr="00456281" w:rsidRDefault="00016609" w:rsidP="00956744">
            <w:pPr>
              <w:pStyle w:val="In-tableHeading"/>
              <w:rPr>
                <w:lang w:val="en-AU"/>
              </w:rPr>
            </w:pPr>
            <w:r w:rsidRPr="00456281">
              <w:rPr>
                <w:lang w:val="en-AU"/>
              </w:rPr>
              <w:t>MEDICINAL PRODUCT</w:t>
            </w:r>
          </w:p>
          <w:p w14:paraId="0263D15F" w14:textId="77777777" w:rsidR="00016609" w:rsidRPr="00456281" w:rsidRDefault="00016609" w:rsidP="00956744">
            <w:pPr>
              <w:pStyle w:val="In-tableHeading"/>
              <w:rPr>
                <w:lang w:val="en-AU"/>
              </w:rPr>
            </w:pPr>
            <w:r w:rsidRPr="00456281">
              <w:rPr>
                <w:lang w:val="en-AU"/>
              </w:rPr>
              <w:t>Form</w:t>
            </w:r>
          </w:p>
        </w:tc>
        <w:tc>
          <w:tcPr>
            <w:tcW w:w="1094" w:type="pct"/>
            <w:vAlign w:val="center"/>
          </w:tcPr>
          <w:p w14:paraId="4A63DA11" w14:textId="77777777" w:rsidR="00016609" w:rsidRPr="00456281" w:rsidRDefault="00016609" w:rsidP="00956744">
            <w:pPr>
              <w:pStyle w:val="In-tableHeading"/>
              <w:jc w:val="center"/>
              <w:rPr>
                <w:lang w:val="en-AU"/>
              </w:rPr>
            </w:pPr>
            <w:r w:rsidRPr="00456281">
              <w:rPr>
                <w:lang w:val="en-AU"/>
              </w:rPr>
              <w:t>Dispensed Price Max Amt</w:t>
            </w:r>
          </w:p>
        </w:tc>
        <w:tc>
          <w:tcPr>
            <w:tcW w:w="1094" w:type="pct"/>
            <w:vAlign w:val="center"/>
          </w:tcPr>
          <w:p w14:paraId="73B18CA0" w14:textId="77777777" w:rsidR="00016609" w:rsidRPr="00456281" w:rsidRDefault="00016609" w:rsidP="00956744">
            <w:pPr>
              <w:pStyle w:val="In-tableHeading"/>
              <w:jc w:val="center"/>
              <w:rPr>
                <w:lang w:val="en-AU"/>
              </w:rPr>
            </w:pPr>
            <w:r w:rsidRPr="00456281">
              <w:rPr>
                <w:lang w:val="en-AU"/>
              </w:rPr>
              <w:t>Max. Amount</w:t>
            </w:r>
          </w:p>
        </w:tc>
        <w:tc>
          <w:tcPr>
            <w:tcW w:w="1096" w:type="pct"/>
            <w:vAlign w:val="center"/>
          </w:tcPr>
          <w:p w14:paraId="7D6CCDC8" w14:textId="77777777" w:rsidR="00016609" w:rsidRPr="00456281" w:rsidRDefault="00016609" w:rsidP="00956744">
            <w:pPr>
              <w:pStyle w:val="In-tableHeading"/>
              <w:jc w:val="center"/>
              <w:rPr>
                <w:lang w:val="en-AU"/>
              </w:rPr>
            </w:pPr>
            <w:r w:rsidRPr="00456281">
              <w:rPr>
                <w:lang w:val="en-AU"/>
              </w:rPr>
              <w:t>№.of Rpts</w:t>
            </w:r>
          </w:p>
        </w:tc>
      </w:tr>
      <w:tr w:rsidR="00016609" w:rsidRPr="00456281" w14:paraId="72E10C7A" w14:textId="77777777" w:rsidTr="00956744">
        <w:trPr>
          <w:cantSplit/>
          <w:trHeight w:val="20"/>
        </w:trPr>
        <w:tc>
          <w:tcPr>
            <w:tcW w:w="1716" w:type="pct"/>
            <w:vAlign w:val="center"/>
          </w:tcPr>
          <w:p w14:paraId="3764753B" w14:textId="77777777" w:rsidR="0090090D" w:rsidRPr="00941440" w:rsidRDefault="0090090D" w:rsidP="00956744">
            <w:pPr>
              <w:pStyle w:val="TableText0"/>
              <w:rPr>
                <w:strike/>
              </w:rPr>
            </w:pPr>
            <w:r w:rsidRPr="00941440">
              <w:rPr>
                <w:strike/>
              </w:rPr>
              <w:t>IRINOTECAN LIPOSOME</w:t>
            </w:r>
          </w:p>
          <w:p w14:paraId="710B310D" w14:textId="5565BCDA" w:rsidR="00941440" w:rsidRPr="00941440" w:rsidRDefault="00941440" w:rsidP="00956744">
            <w:pPr>
              <w:pStyle w:val="TableText0"/>
              <w:rPr>
                <w:i/>
                <w:iCs/>
              </w:rPr>
            </w:pPr>
            <w:r w:rsidRPr="00941440">
              <w:rPr>
                <w:i/>
                <w:iCs/>
              </w:rPr>
              <w:t>NANOLIPOSOMAL IRINOTECAN</w:t>
            </w:r>
          </w:p>
          <w:p w14:paraId="6994C19C" w14:textId="312EF21E" w:rsidR="0090090D" w:rsidRPr="00456281" w:rsidRDefault="0090090D" w:rsidP="00956744">
            <w:pPr>
              <w:pStyle w:val="TableText0"/>
            </w:pPr>
            <w:r w:rsidRPr="00456281">
              <w:t>Injection</w:t>
            </w:r>
          </w:p>
          <w:p w14:paraId="1BD8913D" w14:textId="47538150" w:rsidR="00016609" w:rsidRPr="00456281" w:rsidRDefault="00016609" w:rsidP="00956744">
            <w:pPr>
              <w:pStyle w:val="TableText0"/>
              <w:rPr>
                <w:strike/>
              </w:rPr>
            </w:pPr>
            <w:r w:rsidRPr="00456281">
              <w:rPr>
                <w:strike/>
              </w:rPr>
              <w:t xml:space="preserve">Irinotecan nanoliposomal 43mg/10mL injection, 10mL vial </w:t>
            </w:r>
          </w:p>
        </w:tc>
        <w:tc>
          <w:tcPr>
            <w:tcW w:w="1094" w:type="pct"/>
            <w:vAlign w:val="center"/>
          </w:tcPr>
          <w:p w14:paraId="5E489DE3" w14:textId="77777777" w:rsidR="00016609" w:rsidRPr="00456281" w:rsidRDefault="00016609" w:rsidP="00956744">
            <w:pPr>
              <w:pStyle w:val="TableText0"/>
              <w:jc w:val="center"/>
            </w:pPr>
            <w:r w:rsidRPr="00456281">
              <w:t>Published price:</w:t>
            </w:r>
          </w:p>
          <w:p w14:paraId="22DDE74E" w14:textId="77777777" w:rsidR="00016609" w:rsidRPr="00456281" w:rsidRDefault="00016609" w:rsidP="00956744">
            <w:pPr>
              <w:pStyle w:val="TableText0"/>
              <w:jc w:val="center"/>
            </w:pPr>
            <w:r w:rsidRPr="00456281">
              <w:t xml:space="preserve">Public: $3,988.62 </w:t>
            </w:r>
          </w:p>
          <w:p w14:paraId="35FF6D02" w14:textId="77777777" w:rsidR="00016609" w:rsidRPr="00456281" w:rsidRDefault="00016609" w:rsidP="00956744">
            <w:pPr>
              <w:pStyle w:val="TableText0"/>
              <w:jc w:val="center"/>
            </w:pPr>
            <w:r w:rsidRPr="00456281">
              <w:t>Private: $4,086.51</w:t>
            </w:r>
          </w:p>
          <w:p w14:paraId="2305BF1E" w14:textId="77777777" w:rsidR="00016609" w:rsidRPr="00456281" w:rsidRDefault="00016609" w:rsidP="00956744">
            <w:pPr>
              <w:pStyle w:val="TableText0"/>
              <w:jc w:val="center"/>
            </w:pPr>
          </w:p>
          <w:p w14:paraId="2E81B020" w14:textId="35B86411" w:rsidR="00016609" w:rsidRPr="00456281" w:rsidRDefault="00016609" w:rsidP="00956744">
            <w:pPr>
              <w:pStyle w:val="TableText0"/>
              <w:jc w:val="center"/>
            </w:pPr>
            <w:r w:rsidRPr="00456281">
              <w:t>Effective price:</w:t>
            </w:r>
            <w:r w:rsidR="00C82E80" w:rsidRPr="00456281">
              <w:rPr>
                <w:vertAlign w:val="superscript"/>
              </w:rPr>
              <w:t>a</w:t>
            </w:r>
          </w:p>
          <w:p w14:paraId="404E8761" w14:textId="19B832DB" w:rsidR="00016609" w:rsidRPr="00456281" w:rsidRDefault="00016609" w:rsidP="00956744">
            <w:pPr>
              <w:pStyle w:val="TableText0"/>
              <w:jc w:val="center"/>
            </w:pPr>
            <w:r w:rsidRPr="00456281">
              <w:t>Public: $</w:t>
            </w:r>
            <w:r w:rsidR="00F16C78" w:rsidRPr="00F16C78">
              <w:rPr>
                <w:color w:val="000000"/>
                <w:spacing w:val="75"/>
                <w:shd w:val="solid" w:color="000000" w:fill="000000"/>
                <w:fitText w:val="151" w:id="-961860864"/>
                <w14:textFill>
                  <w14:solidFill>
                    <w14:srgbClr w14:val="000000">
                      <w14:alpha w14:val="100000"/>
                    </w14:srgbClr>
                  </w14:solidFill>
                </w14:textFill>
              </w:rPr>
              <w:t>|</w:t>
            </w:r>
            <w:r w:rsidR="00F16C78" w:rsidRPr="00F16C78">
              <w:rPr>
                <w:color w:val="000000"/>
                <w:shd w:val="solid" w:color="000000" w:fill="000000"/>
                <w:fitText w:val="151" w:id="-961860864"/>
                <w14:textFill>
                  <w14:solidFill>
                    <w14:srgbClr w14:val="000000">
                      <w14:alpha w14:val="100000"/>
                    </w14:srgbClr>
                  </w14:solidFill>
                </w14:textFill>
              </w:rPr>
              <w:t>|</w:t>
            </w:r>
          </w:p>
          <w:p w14:paraId="1FAC6038" w14:textId="0126CFD7" w:rsidR="00016609" w:rsidRPr="00456281" w:rsidRDefault="00016609" w:rsidP="00956744">
            <w:pPr>
              <w:pStyle w:val="TableText0"/>
              <w:jc w:val="center"/>
            </w:pPr>
            <w:r w:rsidRPr="00456281">
              <w:t>Private: $</w:t>
            </w:r>
            <w:r w:rsidR="00F16C78" w:rsidRPr="00F16C78">
              <w:rPr>
                <w:color w:val="000000"/>
                <w:spacing w:val="89"/>
                <w:shd w:val="solid" w:color="000000" w:fill="000000"/>
                <w:fitText w:val="175" w:id="-961860863"/>
                <w14:textFill>
                  <w14:solidFill>
                    <w14:srgbClr w14:val="000000">
                      <w14:alpha w14:val="100000"/>
                    </w14:srgbClr>
                  </w14:solidFill>
                </w14:textFill>
              </w:rPr>
              <w:t>|</w:t>
            </w:r>
            <w:r w:rsidR="00F16C78" w:rsidRPr="00F16C78">
              <w:rPr>
                <w:color w:val="000000"/>
                <w:shd w:val="solid" w:color="000000" w:fill="000000"/>
                <w:fitText w:val="175" w:id="-961860863"/>
                <w14:textFill>
                  <w14:solidFill>
                    <w14:srgbClr w14:val="000000">
                      <w14:alpha w14:val="100000"/>
                    </w14:srgbClr>
                  </w14:solidFill>
                </w14:textFill>
              </w:rPr>
              <w:t>|</w:t>
            </w:r>
          </w:p>
        </w:tc>
        <w:tc>
          <w:tcPr>
            <w:tcW w:w="1094" w:type="pct"/>
            <w:vAlign w:val="center"/>
          </w:tcPr>
          <w:p w14:paraId="32F3FEDD" w14:textId="77777777" w:rsidR="00016609" w:rsidRPr="00456281" w:rsidRDefault="00016609" w:rsidP="00956744">
            <w:pPr>
              <w:pStyle w:val="TableText0"/>
              <w:jc w:val="center"/>
            </w:pPr>
            <w:r w:rsidRPr="00456281">
              <w:t>110mg</w:t>
            </w:r>
          </w:p>
        </w:tc>
        <w:tc>
          <w:tcPr>
            <w:tcW w:w="1096" w:type="pct"/>
            <w:vAlign w:val="center"/>
          </w:tcPr>
          <w:p w14:paraId="558538CE" w14:textId="77777777" w:rsidR="00016609" w:rsidRPr="00456281" w:rsidRDefault="00016609" w:rsidP="00956744">
            <w:pPr>
              <w:pStyle w:val="TableText0"/>
              <w:jc w:val="center"/>
            </w:pPr>
            <w:r w:rsidRPr="00456281">
              <w:t>9</w:t>
            </w:r>
          </w:p>
        </w:tc>
      </w:tr>
      <w:tr w:rsidR="00016609" w:rsidRPr="00456281" w14:paraId="648633FA" w14:textId="77777777" w:rsidTr="00956744">
        <w:trPr>
          <w:cantSplit/>
          <w:trHeight w:val="20"/>
        </w:trPr>
        <w:tc>
          <w:tcPr>
            <w:tcW w:w="5000" w:type="pct"/>
            <w:gridSpan w:val="4"/>
            <w:vAlign w:val="center"/>
          </w:tcPr>
          <w:p w14:paraId="3EA895C3" w14:textId="77777777" w:rsidR="00016609" w:rsidRPr="00456281" w:rsidRDefault="00016609" w:rsidP="00956744">
            <w:pPr>
              <w:rPr>
                <w:b/>
              </w:rPr>
            </w:pPr>
            <w:r w:rsidRPr="00456281">
              <w:rPr>
                <w:rFonts w:ascii="Arial Narrow" w:eastAsiaTheme="majorEastAsia" w:hAnsi="Arial Narrow" w:cs="Times New Roman"/>
                <w:b/>
                <w:sz w:val="20"/>
              </w:rPr>
              <w:t>Available brands</w:t>
            </w:r>
            <w:r w:rsidRPr="00456281">
              <w:rPr>
                <w:b/>
              </w:rPr>
              <w:t xml:space="preserve"> </w:t>
            </w:r>
          </w:p>
        </w:tc>
      </w:tr>
      <w:tr w:rsidR="00016609" w:rsidRPr="00456281" w14:paraId="72C76ECF" w14:textId="77777777" w:rsidTr="00956744">
        <w:trPr>
          <w:cantSplit/>
          <w:trHeight w:val="20"/>
        </w:trPr>
        <w:tc>
          <w:tcPr>
            <w:tcW w:w="5000" w:type="pct"/>
            <w:gridSpan w:val="4"/>
            <w:vAlign w:val="center"/>
          </w:tcPr>
          <w:p w14:paraId="0B84EB5E" w14:textId="77777777" w:rsidR="00016609" w:rsidRPr="00456281" w:rsidRDefault="00016609" w:rsidP="00956744">
            <w:pPr>
              <w:pStyle w:val="TableText0"/>
            </w:pPr>
            <w:r w:rsidRPr="00456281">
              <w:t>ONIVYDE®, Servier Laboratories (Aust.) Pty. Ltd</w:t>
            </w:r>
          </w:p>
          <w:p w14:paraId="05463E0F" w14:textId="77777777" w:rsidR="00016609" w:rsidRPr="00456281" w:rsidRDefault="00016609" w:rsidP="00956744">
            <w:pPr>
              <w:pStyle w:val="TableText0"/>
            </w:pPr>
            <w:r w:rsidRPr="00456281">
              <w:t>Irinotecan nanoliposomal 43mg/10mL injection, 10mL vial</w:t>
            </w:r>
          </w:p>
        </w:tc>
      </w:tr>
    </w:tbl>
    <w:p w14:paraId="67F2DF3A" w14:textId="77777777" w:rsidR="00016609" w:rsidRPr="00456281" w:rsidRDefault="00016609" w:rsidP="00016609">
      <w:pPr>
        <w:pStyle w:val="TableFooter"/>
      </w:pPr>
      <w:r w:rsidRPr="00456281">
        <w:t>Source: Table 14, p37 of the submission</w:t>
      </w:r>
    </w:p>
    <w:p w14:paraId="6B6AA0CA" w14:textId="0C41C294" w:rsidR="00016609" w:rsidRPr="00456281" w:rsidRDefault="004873AD" w:rsidP="00076C6A">
      <w:pPr>
        <w:pStyle w:val="TableFooter"/>
        <w:spacing w:after="120"/>
      </w:pPr>
      <w:r w:rsidRPr="00456281">
        <w:t>a T</w:t>
      </w:r>
      <w:r w:rsidR="00C82E80" w:rsidRPr="00456281">
        <w:t xml:space="preserve">he proposed effective price </w:t>
      </w:r>
      <w:r w:rsidR="00CA6A8F" w:rsidRPr="00456281">
        <w:t>was</w:t>
      </w:r>
      <w:r w:rsidR="00C82E80" w:rsidRPr="00456281">
        <w:t xml:space="preserve"> based on the published price of </w:t>
      </w:r>
      <w:r w:rsidRPr="00456281">
        <w:t xml:space="preserve">NabP, which is subject to a special pricing arrangement.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9017"/>
      </w:tblGrid>
      <w:tr w:rsidR="00016609" w:rsidRPr="00456281" w14:paraId="526A3A69" w14:textId="77777777" w:rsidTr="00956744">
        <w:trPr>
          <w:cantSplit/>
          <w:trHeight w:val="20"/>
        </w:trPr>
        <w:tc>
          <w:tcPr>
            <w:tcW w:w="5000" w:type="pct"/>
          </w:tcPr>
          <w:p w14:paraId="74A754B9" w14:textId="77777777" w:rsidR="00016609" w:rsidRPr="00456281" w:rsidRDefault="00016609" w:rsidP="00076C6A">
            <w:pPr>
              <w:pStyle w:val="TableText0"/>
              <w:keepNext w:val="0"/>
            </w:pPr>
            <w:r w:rsidRPr="00456281">
              <w:rPr>
                <w:b/>
              </w:rPr>
              <w:t xml:space="preserve">Category / Program: </w:t>
            </w:r>
            <w:r w:rsidRPr="00456281">
              <w:t xml:space="preserve">Section 100 – Efficient Funding of Chemotherapy Public/Private Hospitals </w:t>
            </w:r>
          </w:p>
        </w:tc>
      </w:tr>
      <w:tr w:rsidR="00016609" w:rsidRPr="00456281" w14:paraId="1DEE9D90" w14:textId="77777777" w:rsidTr="00956744">
        <w:trPr>
          <w:cantSplit/>
          <w:trHeight w:val="20"/>
        </w:trPr>
        <w:tc>
          <w:tcPr>
            <w:tcW w:w="5000" w:type="pct"/>
          </w:tcPr>
          <w:p w14:paraId="504FBC10" w14:textId="7E1DD909" w:rsidR="00016609" w:rsidRPr="00456281" w:rsidRDefault="00016609" w:rsidP="00076C6A">
            <w:pPr>
              <w:pStyle w:val="TableText0"/>
              <w:keepNext w:val="0"/>
              <w:rPr>
                <w:b/>
              </w:rPr>
            </w:pPr>
            <w:r w:rsidRPr="00456281">
              <w:rPr>
                <w:b/>
              </w:rPr>
              <w:t xml:space="preserve">Prescriber type: </w:t>
            </w:r>
            <w:r w:rsidRPr="00456281">
              <w:fldChar w:fldCharType="begin">
                <w:ffData>
                  <w:name w:val=""/>
                  <w:enabled/>
                  <w:calcOnExit w:val="0"/>
                  <w:checkBox>
                    <w:sizeAuto/>
                    <w:default w:val="1"/>
                  </w:checkBox>
                </w:ffData>
              </w:fldChar>
            </w:r>
            <w:r w:rsidRPr="00456281">
              <w:instrText xml:space="preserve"> FORMCHECKBOX </w:instrText>
            </w:r>
            <w:r w:rsidR="00EE5AD4">
              <w:fldChar w:fldCharType="separate"/>
            </w:r>
            <w:r w:rsidRPr="00456281">
              <w:fldChar w:fldCharType="end"/>
            </w:r>
            <w:r w:rsidRPr="00456281">
              <w:t xml:space="preserve">Medical Practitioners </w:t>
            </w:r>
          </w:p>
        </w:tc>
      </w:tr>
      <w:tr w:rsidR="00016609" w:rsidRPr="00456281" w14:paraId="5B9059DD" w14:textId="77777777" w:rsidTr="00956744">
        <w:trPr>
          <w:cantSplit/>
          <w:trHeight w:val="20"/>
        </w:trPr>
        <w:tc>
          <w:tcPr>
            <w:tcW w:w="5000" w:type="pct"/>
          </w:tcPr>
          <w:p w14:paraId="661F586E" w14:textId="77777777" w:rsidR="00016609" w:rsidRPr="00456281" w:rsidRDefault="00016609" w:rsidP="00076C6A">
            <w:pPr>
              <w:pStyle w:val="TableText0"/>
              <w:keepNext w:val="0"/>
              <w:rPr>
                <w:rFonts w:eastAsia="Times New Roman"/>
              </w:rPr>
            </w:pPr>
            <w:r w:rsidRPr="00456281">
              <w:rPr>
                <w:b/>
              </w:rPr>
              <w:t xml:space="preserve">Restriction type: </w:t>
            </w:r>
            <w:r w:rsidRPr="00456281">
              <w:rPr>
                <w:rFonts w:eastAsia="Times New Roman"/>
              </w:rPr>
              <w:t xml:space="preserve">Authority Required (STREAMLINED) </w:t>
            </w:r>
          </w:p>
        </w:tc>
      </w:tr>
      <w:tr w:rsidR="00016609" w:rsidRPr="00456281" w14:paraId="2ACD943B" w14:textId="77777777" w:rsidTr="00956744">
        <w:trPr>
          <w:cantSplit/>
          <w:trHeight w:val="20"/>
        </w:trPr>
        <w:tc>
          <w:tcPr>
            <w:tcW w:w="5000" w:type="pct"/>
            <w:vAlign w:val="center"/>
          </w:tcPr>
          <w:p w14:paraId="4BD44E53" w14:textId="77777777" w:rsidR="00016609" w:rsidRPr="00456281" w:rsidRDefault="00016609" w:rsidP="00076C6A">
            <w:pPr>
              <w:pStyle w:val="TableText0"/>
              <w:keepNext w:val="0"/>
              <w:rPr>
                <w:bCs w:val="0"/>
              </w:rPr>
            </w:pPr>
            <w:r w:rsidRPr="00456281">
              <w:rPr>
                <w:b/>
              </w:rPr>
              <w:t xml:space="preserve">Severity: </w:t>
            </w:r>
            <w:r w:rsidRPr="00456281">
              <w:rPr>
                <w:bCs w:val="0"/>
              </w:rPr>
              <w:t>Stage IV (metastatic)</w:t>
            </w:r>
          </w:p>
        </w:tc>
      </w:tr>
      <w:tr w:rsidR="00016609" w:rsidRPr="00456281" w14:paraId="73B8C077" w14:textId="77777777" w:rsidTr="00956744">
        <w:trPr>
          <w:cantSplit/>
          <w:trHeight w:val="20"/>
        </w:trPr>
        <w:tc>
          <w:tcPr>
            <w:tcW w:w="5000" w:type="pct"/>
            <w:vAlign w:val="center"/>
          </w:tcPr>
          <w:p w14:paraId="2BBC5940" w14:textId="3FE6F891" w:rsidR="00016609" w:rsidRPr="00456281" w:rsidRDefault="00016609" w:rsidP="00076C6A">
            <w:pPr>
              <w:pStyle w:val="TableText0"/>
              <w:keepNext w:val="0"/>
              <w:rPr>
                <w:bCs w:val="0"/>
              </w:rPr>
            </w:pPr>
            <w:r w:rsidRPr="00456281">
              <w:rPr>
                <w:b/>
              </w:rPr>
              <w:t xml:space="preserve">Condition: </w:t>
            </w:r>
            <w:r w:rsidR="0090090D" w:rsidRPr="00456281">
              <w:rPr>
                <w:i/>
                <w:iCs/>
                <w:color w:val="333333"/>
                <w:szCs w:val="20"/>
              </w:rPr>
              <w:t>Adenocarcinoma of the pancreas</w:t>
            </w:r>
            <w:r w:rsidR="0090090D" w:rsidRPr="00456281">
              <w:rPr>
                <w:b/>
                <w:color w:val="333333"/>
                <w:szCs w:val="20"/>
              </w:rPr>
              <w:t xml:space="preserve"> </w:t>
            </w:r>
            <w:r w:rsidRPr="00456281">
              <w:rPr>
                <w:bCs w:val="0"/>
                <w:strike/>
              </w:rPr>
              <w:t>Pancreatic cancer</w:t>
            </w:r>
          </w:p>
        </w:tc>
      </w:tr>
      <w:tr w:rsidR="00016609" w:rsidRPr="00456281" w14:paraId="0BAF0A36" w14:textId="77777777" w:rsidTr="00956744">
        <w:trPr>
          <w:cantSplit/>
          <w:trHeight w:val="20"/>
        </w:trPr>
        <w:tc>
          <w:tcPr>
            <w:tcW w:w="5000" w:type="pct"/>
            <w:vAlign w:val="center"/>
            <w:hideMark/>
          </w:tcPr>
          <w:p w14:paraId="11BC9BBB" w14:textId="77777777" w:rsidR="00016609" w:rsidRPr="00456281" w:rsidRDefault="00016609" w:rsidP="00076C6A">
            <w:pPr>
              <w:pStyle w:val="TableText0"/>
              <w:keepNext w:val="0"/>
              <w:rPr>
                <w:bCs w:val="0"/>
              </w:rPr>
            </w:pPr>
            <w:r w:rsidRPr="00456281">
              <w:rPr>
                <w:b/>
              </w:rPr>
              <w:t xml:space="preserve">Indication: </w:t>
            </w:r>
            <w:r w:rsidRPr="00456281">
              <w:rPr>
                <w:bCs w:val="0"/>
              </w:rPr>
              <w:t>Stage IV (metastatic) adenocarcinoma of the pancreas</w:t>
            </w:r>
          </w:p>
        </w:tc>
      </w:tr>
      <w:tr w:rsidR="00016609" w:rsidRPr="00456281" w14:paraId="656899B0" w14:textId="77777777" w:rsidTr="00956744">
        <w:trPr>
          <w:cantSplit/>
          <w:trHeight w:val="20"/>
        </w:trPr>
        <w:tc>
          <w:tcPr>
            <w:tcW w:w="5000" w:type="pct"/>
            <w:vAlign w:val="center"/>
            <w:hideMark/>
          </w:tcPr>
          <w:p w14:paraId="552772B6" w14:textId="77777777" w:rsidR="00016609" w:rsidRPr="00456281" w:rsidRDefault="00016609" w:rsidP="00076C6A">
            <w:pPr>
              <w:pStyle w:val="TableText0"/>
              <w:keepNext w:val="0"/>
              <w:rPr>
                <w:bCs w:val="0"/>
              </w:rPr>
            </w:pPr>
            <w:r w:rsidRPr="00456281">
              <w:rPr>
                <w:b/>
              </w:rPr>
              <w:t xml:space="preserve">Treatment Phase: </w:t>
            </w:r>
            <w:r w:rsidRPr="00456281">
              <w:rPr>
                <w:bCs w:val="0"/>
              </w:rPr>
              <w:t>N/A</w:t>
            </w:r>
          </w:p>
        </w:tc>
      </w:tr>
      <w:tr w:rsidR="00016609" w:rsidRPr="00456281" w14:paraId="4F509C47" w14:textId="77777777" w:rsidTr="00956744">
        <w:trPr>
          <w:cantSplit/>
          <w:trHeight w:val="20"/>
        </w:trPr>
        <w:tc>
          <w:tcPr>
            <w:tcW w:w="5000" w:type="pct"/>
            <w:vAlign w:val="center"/>
            <w:hideMark/>
          </w:tcPr>
          <w:p w14:paraId="78DCF284" w14:textId="77777777" w:rsidR="00016609" w:rsidRPr="00456281" w:rsidRDefault="00016609" w:rsidP="00076C6A">
            <w:pPr>
              <w:pStyle w:val="TableText0"/>
              <w:keepNext w:val="0"/>
            </w:pPr>
            <w:r w:rsidRPr="00456281">
              <w:rPr>
                <w:b/>
              </w:rPr>
              <w:t>Clinical criteria:</w:t>
            </w:r>
          </w:p>
        </w:tc>
      </w:tr>
      <w:tr w:rsidR="00016609" w:rsidRPr="00456281" w14:paraId="1B420E14" w14:textId="77777777" w:rsidTr="00956744">
        <w:trPr>
          <w:cantSplit/>
          <w:trHeight w:val="20"/>
        </w:trPr>
        <w:tc>
          <w:tcPr>
            <w:tcW w:w="5000" w:type="pct"/>
            <w:vAlign w:val="center"/>
            <w:hideMark/>
          </w:tcPr>
          <w:p w14:paraId="6288200A" w14:textId="77777777" w:rsidR="00016609" w:rsidRPr="00456281" w:rsidRDefault="00016609" w:rsidP="00076C6A">
            <w:pPr>
              <w:pStyle w:val="TableText0"/>
              <w:keepNext w:val="0"/>
              <w:rPr>
                <w:color w:val="000000" w:themeColor="text1"/>
              </w:rPr>
            </w:pPr>
            <w:r w:rsidRPr="00456281">
              <w:rPr>
                <w:color w:val="000000" w:themeColor="text1"/>
              </w:rPr>
              <w:t>The treatment must be in combination with oxaliplatin, 5-fluorouracil and folinic acid (leucovorin)</w:t>
            </w:r>
          </w:p>
        </w:tc>
      </w:tr>
      <w:tr w:rsidR="00016609" w:rsidRPr="00456281" w14:paraId="65BA81CF" w14:textId="77777777" w:rsidTr="00956744">
        <w:trPr>
          <w:cantSplit/>
          <w:trHeight w:val="20"/>
        </w:trPr>
        <w:tc>
          <w:tcPr>
            <w:tcW w:w="5000" w:type="pct"/>
            <w:vAlign w:val="center"/>
            <w:hideMark/>
          </w:tcPr>
          <w:p w14:paraId="5022E510" w14:textId="77777777" w:rsidR="00016609" w:rsidRPr="00456281" w:rsidRDefault="00016609" w:rsidP="00076C6A">
            <w:pPr>
              <w:pStyle w:val="TableText0"/>
              <w:keepNext w:val="0"/>
            </w:pPr>
            <w:r w:rsidRPr="00456281">
              <w:rPr>
                <w:b/>
              </w:rPr>
              <w:t>AND</w:t>
            </w:r>
          </w:p>
        </w:tc>
      </w:tr>
      <w:tr w:rsidR="00016609" w:rsidRPr="00456281" w14:paraId="4EF803F5" w14:textId="77777777" w:rsidTr="00956744">
        <w:trPr>
          <w:cantSplit/>
          <w:trHeight w:val="20"/>
        </w:trPr>
        <w:tc>
          <w:tcPr>
            <w:tcW w:w="5000" w:type="pct"/>
            <w:vAlign w:val="center"/>
            <w:hideMark/>
          </w:tcPr>
          <w:p w14:paraId="3F12CAB9" w14:textId="77777777" w:rsidR="00016609" w:rsidRPr="00456281" w:rsidRDefault="00016609" w:rsidP="00076C6A">
            <w:pPr>
              <w:pStyle w:val="TableText0"/>
              <w:keepNext w:val="0"/>
              <w:rPr>
                <w:color w:val="000000" w:themeColor="text1"/>
              </w:rPr>
            </w:pPr>
            <w:r w:rsidRPr="00456281">
              <w:rPr>
                <w:color w:val="000000" w:themeColor="text1"/>
              </w:rPr>
              <w:lastRenderedPageBreak/>
              <w:t>The condition must not have been treated previously with PBS-subsidised therapy</w:t>
            </w:r>
          </w:p>
        </w:tc>
      </w:tr>
      <w:tr w:rsidR="00016609" w:rsidRPr="00456281" w14:paraId="2F1E1F8A" w14:textId="77777777" w:rsidTr="00956744">
        <w:trPr>
          <w:cantSplit/>
          <w:trHeight w:val="20"/>
        </w:trPr>
        <w:tc>
          <w:tcPr>
            <w:tcW w:w="5000" w:type="pct"/>
            <w:vAlign w:val="center"/>
          </w:tcPr>
          <w:p w14:paraId="1BBCA54C" w14:textId="77777777" w:rsidR="00016609" w:rsidRPr="00456281" w:rsidRDefault="00016609" w:rsidP="00076C6A">
            <w:pPr>
              <w:pStyle w:val="TableText0"/>
              <w:keepNext w:val="0"/>
              <w:rPr>
                <w:b/>
              </w:rPr>
            </w:pPr>
            <w:r w:rsidRPr="00456281">
              <w:rPr>
                <w:b/>
              </w:rPr>
              <w:t>AND</w:t>
            </w:r>
          </w:p>
        </w:tc>
      </w:tr>
      <w:tr w:rsidR="00016609" w:rsidRPr="00456281" w14:paraId="4AE29BED" w14:textId="77777777" w:rsidTr="00956744">
        <w:trPr>
          <w:cantSplit/>
          <w:trHeight w:val="20"/>
        </w:trPr>
        <w:tc>
          <w:tcPr>
            <w:tcW w:w="5000" w:type="pct"/>
            <w:vAlign w:val="center"/>
          </w:tcPr>
          <w:p w14:paraId="3B1AEE86" w14:textId="77777777" w:rsidR="00016609" w:rsidRPr="00456281" w:rsidRDefault="00016609" w:rsidP="00076C6A">
            <w:pPr>
              <w:pStyle w:val="TableText0"/>
              <w:keepNext w:val="0"/>
              <w:rPr>
                <w:bCs w:val="0"/>
                <w:strike/>
              </w:rPr>
            </w:pPr>
            <w:r w:rsidRPr="00456281">
              <w:rPr>
                <w:bCs w:val="0"/>
                <w:strike/>
              </w:rPr>
              <w:t>Patient must have an Eastern Cooperative Oncology Group (ECOG) performance status score of two or less</w:t>
            </w:r>
          </w:p>
          <w:p w14:paraId="31ACBD30" w14:textId="0E87E802" w:rsidR="0090090D" w:rsidRPr="00456281" w:rsidRDefault="0090090D" w:rsidP="00076C6A">
            <w:pPr>
              <w:pStyle w:val="TableText0"/>
              <w:keepNext w:val="0"/>
              <w:rPr>
                <w:bCs w:val="0"/>
                <w:i/>
                <w:iCs/>
              </w:rPr>
            </w:pPr>
            <w:r w:rsidRPr="00456281">
              <w:rPr>
                <w:bCs w:val="0"/>
                <w:i/>
                <w:iCs/>
              </w:rPr>
              <w:t>Patient must have an Eastern Cooperative Oncology Group (ECOG) performance status score of 2 or less</w:t>
            </w:r>
          </w:p>
        </w:tc>
      </w:tr>
      <w:tr w:rsidR="00016609" w:rsidRPr="00456281" w14:paraId="65811527" w14:textId="77777777" w:rsidTr="00956744">
        <w:trPr>
          <w:cantSplit/>
          <w:trHeight w:val="20"/>
        </w:trPr>
        <w:tc>
          <w:tcPr>
            <w:tcW w:w="5000" w:type="pct"/>
            <w:vAlign w:val="center"/>
            <w:hideMark/>
          </w:tcPr>
          <w:p w14:paraId="7284A37E" w14:textId="77777777" w:rsidR="00016609" w:rsidRPr="00456281" w:rsidRDefault="00016609" w:rsidP="00076C6A">
            <w:pPr>
              <w:pStyle w:val="TableText0"/>
              <w:keepNext w:val="0"/>
            </w:pPr>
            <w:r w:rsidRPr="00456281">
              <w:rPr>
                <w:b/>
              </w:rPr>
              <w:t xml:space="preserve">Prescribing Instructions: </w:t>
            </w:r>
            <w:r w:rsidRPr="00456281">
              <w:rPr>
                <w:bCs w:val="0"/>
              </w:rPr>
              <w:t>A patient who has progressive disease when treated with this drug is no longer eligible for PBS-subsidised treatment with this drug</w:t>
            </w:r>
          </w:p>
        </w:tc>
      </w:tr>
      <w:tr w:rsidR="0090090D" w:rsidRPr="00456281" w14:paraId="2E7848BF" w14:textId="77777777" w:rsidTr="00956744">
        <w:trPr>
          <w:cantSplit/>
          <w:trHeight w:val="20"/>
        </w:trPr>
        <w:tc>
          <w:tcPr>
            <w:tcW w:w="5000" w:type="pct"/>
            <w:vAlign w:val="center"/>
          </w:tcPr>
          <w:p w14:paraId="051C6C6D" w14:textId="73B504B1" w:rsidR="0090090D" w:rsidRPr="00456281" w:rsidRDefault="0090090D" w:rsidP="00076C6A">
            <w:pPr>
              <w:pStyle w:val="TableText0"/>
              <w:keepNext w:val="0"/>
              <w:rPr>
                <w:bCs w:val="0"/>
                <w:i/>
                <w:iCs/>
              </w:rPr>
            </w:pPr>
            <w:r w:rsidRPr="00456281">
              <w:rPr>
                <w:bCs w:val="0"/>
                <w:i/>
                <w:iCs/>
              </w:rPr>
              <w:t xml:space="preserve">Caution: </w:t>
            </w:r>
            <w:r w:rsidR="00941440">
              <w:rPr>
                <w:bCs w:val="0"/>
                <w:i/>
                <w:iCs/>
              </w:rPr>
              <w:t xml:space="preserve">nanoliposomal </w:t>
            </w:r>
            <w:r w:rsidRPr="00456281">
              <w:rPr>
                <w:bCs w:val="0"/>
                <w:i/>
                <w:iCs/>
              </w:rPr>
              <w:t>irinotecan is not equivalent to non-liposomal irinotecan formulations and should not be interchanged.</w:t>
            </w:r>
          </w:p>
        </w:tc>
      </w:tr>
      <w:tr w:rsidR="00016609" w:rsidRPr="00456281" w14:paraId="6420A2BD" w14:textId="77777777" w:rsidTr="00956744">
        <w:trPr>
          <w:cantSplit/>
          <w:trHeight w:val="20"/>
        </w:trPr>
        <w:tc>
          <w:tcPr>
            <w:tcW w:w="5000" w:type="pct"/>
            <w:vAlign w:val="center"/>
            <w:hideMark/>
          </w:tcPr>
          <w:p w14:paraId="24156717" w14:textId="77777777" w:rsidR="00016609" w:rsidRPr="00456281" w:rsidRDefault="00016609" w:rsidP="00076C6A">
            <w:pPr>
              <w:pStyle w:val="TableText0"/>
              <w:keepNext w:val="0"/>
            </w:pPr>
            <w:r w:rsidRPr="00456281">
              <w:rPr>
                <w:b/>
              </w:rPr>
              <w:t xml:space="preserve">Administrative Advice: </w:t>
            </w:r>
            <w:r w:rsidRPr="00456281">
              <w:rPr>
                <w:bCs w:val="0"/>
              </w:rPr>
              <w:t>Not</w:t>
            </w:r>
            <w:r w:rsidRPr="00456281">
              <w:rPr>
                <w:b/>
              </w:rPr>
              <w:t xml:space="preserve"> </w:t>
            </w:r>
            <w:r w:rsidRPr="00456281">
              <w:rPr>
                <w:bCs w:val="0"/>
              </w:rPr>
              <w:t>for use as neoadjuvant or</w:t>
            </w:r>
            <w:r w:rsidRPr="00456281">
              <w:rPr>
                <w:b/>
              </w:rPr>
              <w:t xml:space="preserve"> </w:t>
            </w:r>
            <w:r w:rsidRPr="00456281">
              <w:rPr>
                <w:bCs w:val="0"/>
              </w:rPr>
              <w:t>adjuvant therapy</w:t>
            </w:r>
          </w:p>
        </w:tc>
      </w:tr>
      <w:tr w:rsidR="00016609" w:rsidRPr="00456281" w14:paraId="29FB60FB" w14:textId="77777777" w:rsidTr="00956744">
        <w:trPr>
          <w:cantSplit/>
          <w:trHeight w:val="20"/>
        </w:trPr>
        <w:tc>
          <w:tcPr>
            <w:tcW w:w="5000" w:type="pct"/>
            <w:vAlign w:val="center"/>
          </w:tcPr>
          <w:p w14:paraId="53100E24" w14:textId="77777777" w:rsidR="00016609" w:rsidRPr="00456281" w:rsidRDefault="00016609" w:rsidP="00076C6A">
            <w:pPr>
              <w:pStyle w:val="TableText0"/>
              <w:keepNext w:val="0"/>
              <w:rPr>
                <w:bCs w:val="0"/>
              </w:rPr>
            </w:pPr>
            <w:r w:rsidRPr="00456281">
              <w:rPr>
                <w:b/>
              </w:rPr>
              <w:t xml:space="preserve">Administrative Advice: </w:t>
            </w:r>
            <w:r w:rsidRPr="00456281">
              <w:rPr>
                <w:bCs w:val="0"/>
              </w:rPr>
              <w:t>Special Pricing Arrangements apply</w:t>
            </w:r>
          </w:p>
        </w:tc>
      </w:tr>
    </w:tbl>
    <w:p w14:paraId="2BC45839" w14:textId="77777777" w:rsidR="00016609" w:rsidRPr="00456281" w:rsidRDefault="00016609" w:rsidP="00076C6A">
      <w:pPr>
        <w:pStyle w:val="FooterTableFigure"/>
      </w:pPr>
      <w:r w:rsidRPr="00456281">
        <w:t>Source: Table 15, p38 of the submission.</w:t>
      </w:r>
    </w:p>
    <w:p w14:paraId="267950C9" w14:textId="77777777" w:rsidR="00016609" w:rsidRPr="00456281" w:rsidRDefault="00016609" w:rsidP="00076C6A">
      <w:pPr>
        <w:pStyle w:val="FooterTableFigure"/>
      </w:pPr>
      <w:r w:rsidRPr="00456281">
        <w:t>Abbreviations: ECOG, Eastern Cooperative Oncology Group; PBS, Pharmaceutical Benefits Scheme.</w:t>
      </w:r>
    </w:p>
    <w:p w14:paraId="4BB6A1F6" w14:textId="45A5E2EF" w:rsidR="00016609" w:rsidRPr="00456281" w:rsidRDefault="00016609">
      <w:pPr>
        <w:pStyle w:val="3-BodyText"/>
        <w:rPr>
          <w:i/>
          <w:iCs/>
        </w:rPr>
      </w:pPr>
      <w:bookmarkStart w:id="26" w:name="_Ref155773574"/>
      <w:bookmarkStart w:id="27" w:name="_Hlk155789432"/>
      <w:r w:rsidRPr="00456281">
        <w:t xml:space="preserve">The proposed PBS restriction for nal-IRI </w:t>
      </w:r>
      <w:r w:rsidR="00A169F2" w:rsidRPr="00456281">
        <w:t>was</w:t>
      </w:r>
      <w:r w:rsidRPr="00456281">
        <w:t xml:space="preserve"> modelled on the PBS restriction for NabP, which states that ‘the condition must not have been treated previously with PBS-subsidised therapy</w:t>
      </w:r>
      <w:r w:rsidR="009C3CBE" w:rsidRPr="00456281">
        <w:t>.’</w:t>
      </w:r>
      <w:r w:rsidRPr="00456281">
        <w:t xml:space="preserve"> </w:t>
      </w:r>
      <w:r w:rsidR="00D075E2" w:rsidRPr="00456281">
        <w:t xml:space="preserve">If recommended, </w:t>
      </w:r>
      <w:r w:rsidR="00007FBB" w:rsidRPr="00456281">
        <w:t>t</w:t>
      </w:r>
      <w:r w:rsidR="002D0EAA" w:rsidRPr="00456281">
        <w:t>his</w:t>
      </w:r>
      <w:r w:rsidRPr="00456281">
        <w:t xml:space="preserve"> would </w:t>
      </w:r>
      <w:r w:rsidR="00D075E2" w:rsidRPr="00456281">
        <w:t xml:space="preserve">mean that </w:t>
      </w:r>
      <w:r w:rsidRPr="00456281">
        <w:t xml:space="preserve">patients </w:t>
      </w:r>
      <w:r w:rsidR="00D075E2" w:rsidRPr="00456281">
        <w:t xml:space="preserve">would be unable to receive the alternative </w:t>
      </w:r>
      <w:r w:rsidRPr="00456281">
        <w:t xml:space="preserve">treatment </w:t>
      </w:r>
      <w:r w:rsidR="002D646F" w:rsidRPr="00456281">
        <w:t xml:space="preserve">(either nal-IRI or NabP) </w:t>
      </w:r>
      <w:r w:rsidRPr="00456281">
        <w:t>as second-line therapy in the case of disease progression</w:t>
      </w:r>
      <w:r w:rsidR="00F83E62" w:rsidRPr="00456281">
        <w:t xml:space="preserve"> or in the event of toxicity</w:t>
      </w:r>
      <w:r w:rsidRPr="00456281">
        <w:t>.</w:t>
      </w:r>
      <w:r w:rsidR="00D075E2" w:rsidRPr="00456281">
        <w:t xml:space="preserve"> The submission proposed that given there are few treatment options for mPAC, the PBAC may wish to consider allow</w:t>
      </w:r>
      <w:r w:rsidR="009462D9" w:rsidRPr="00456281">
        <w:t>ing</w:t>
      </w:r>
      <w:r w:rsidR="00D075E2" w:rsidRPr="00456281">
        <w:t xml:space="preserve"> sequential use by removing the criterion that limits use o</w:t>
      </w:r>
      <w:r w:rsidR="009462D9" w:rsidRPr="00456281">
        <w:t>f</w:t>
      </w:r>
      <w:r w:rsidR="002D646F" w:rsidRPr="00456281">
        <w:t xml:space="preserve"> these treatments (</w:t>
      </w:r>
      <w:r w:rsidR="00D075E2" w:rsidRPr="00456281">
        <w:t>nal-IRI and NabP</w:t>
      </w:r>
      <w:r w:rsidR="002D646F" w:rsidRPr="00456281">
        <w:t>)</w:t>
      </w:r>
      <w:r w:rsidR="00D075E2" w:rsidRPr="00456281">
        <w:t xml:space="preserve"> to the first line setting.</w:t>
      </w:r>
      <w:r w:rsidR="009462D9" w:rsidRPr="00456281">
        <w:t xml:space="preserve"> Previously, the PBAC did not recommend nal-IRI for the treatment of patients with mPAC who have failed gemcitabine-based therapy (see paragraph</w:t>
      </w:r>
      <w:r w:rsidR="00786120" w:rsidRPr="00456281">
        <w:t xml:space="preserve"> </w:t>
      </w:r>
      <w:r w:rsidR="00786120" w:rsidRPr="00456281">
        <w:fldChar w:fldCharType="begin"/>
      </w:r>
      <w:r w:rsidR="00786120" w:rsidRPr="00456281">
        <w:instrText xml:space="preserve"> REF _Ref155715017 \r \h </w:instrText>
      </w:r>
      <w:r w:rsidR="008712E0" w:rsidRPr="00456281">
        <w:instrText xml:space="preserve"> \* MERGEFORMAT </w:instrText>
      </w:r>
      <w:r w:rsidR="00786120" w:rsidRPr="00456281">
        <w:fldChar w:fldCharType="separate"/>
      </w:r>
      <w:r w:rsidR="00EE5AD4">
        <w:t>2.4</w:t>
      </w:r>
      <w:r w:rsidR="00786120" w:rsidRPr="00456281">
        <w:fldChar w:fldCharType="end"/>
      </w:r>
      <w:r w:rsidR="009462D9" w:rsidRPr="00456281">
        <w:t>).</w:t>
      </w:r>
      <w:bookmarkEnd w:id="26"/>
      <w:r w:rsidR="00E805BF" w:rsidRPr="00456281">
        <w:rPr>
          <w:i/>
          <w:iCs/>
        </w:rPr>
        <w:t xml:space="preserve"> </w:t>
      </w:r>
    </w:p>
    <w:p w14:paraId="7CD8E411" w14:textId="25643D28" w:rsidR="004026F1" w:rsidRPr="00456281" w:rsidRDefault="00BF3ACC" w:rsidP="0093425F">
      <w:pPr>
        <w:pStyle w:val="ExecSumBodyText"/>
        <w:numPr>
          <w:ilvl w:val="1"/>
          <w:numId w:val="1"/>
        </w:numPr>
      </w:pPr>
      <w:bookmarkStart w:id="28" w:name="_Ref159279991"/>
      <w:bookmarkStart w:id="29" w:name="_Ref162513796"/>
      <w:bookmarkEnd w:id="27"/>
      <w:r w:rsidRPr="00456281">
        <w:rPr>
          <w:rStyle w:val="normaltextrun"/>
          <w:rFonts w:ascii="Calibri" w:hAnsi="Calibri" w:cs="Calibri"/>
          <w:color w:val="000000" w:themeColor="text1"/>
        </w:rPr>
        <w:t xml:space="preserve">The submission proposed that </w:t>
      </w:r>
      <w:r w:rsidR="00A01777" w:rsidRPr="00456281">
        <w:rPr>
          <w:rStyle w:val="normaltextrun"/>
          <w:rFonts w:ascii="Calibri" w:hAnsi="Calibri" w:cs="Calibri"/>
          <w:color w:val="000000" w:themeColor="text1"/>
        </w:rPr>
        <w:t xml:space="preserve">a </w:t>
      </w:r>
      <w:r w:rsidRPr="00456281">
        <w:rPr>
          <w:rStyle w:val="normaltextrun"/>
          <w:rFonts w:ascii="Calibri" w:hAnsi="Calibri" w:cs="Calibri"/>
          <w:color w:val="000000" w:themeColor="text1"/>
        </w:rPr>
        <w:t xml:space="preserve">patient must have an </w:t>
      </w:r>
      <w:r w:rsidR="00BD7F0B" w:rsidRPr="00456281">
        <w:rPr>
          <w:rStyle w:val="normaltextrun"/>
          <w:rFonts w:ascii="Calibri" w:hAnsi="Calibri" w:cs="Calibri"/>
          <w:color w:val="000000" w:themeColor="text1"/>
        </w:rPr>
        <w:t>Eastern Cooperative Oncology Group (</w:t>
      </w:r>
      <w:r w:rsidRPr="00456281">
        <w:rPr>
          <w:rStyle w:val="normaltextrun"/>
          <w:rFonts w:ascii="Calibri" w:hAnsi="Calibri" w:cs="Calibri"/>
          <w:color w:val="000000" w:themeColor="text1"/>
        </w:rPr>
        <w:t>ECOG</w:t>
      </w:r>
      <w:r w:rsidR="00BD7F0B" w:rsidRPr="00456281">
        <w:rPr>
          <w:rStyle w:val="normaltextrun"/>
          <w:rFonts w:ascii="Calibri" w:hAnsi="Calibri" w:cs="Calibri"/>
          <w:color w:val="000000" w:themeColor="text1"/>
        </w:rPr>
        <w:t>) performance score (</w:t>
      </w:r>
      <w:r w:rsidR="001E69AE" w:rsidRPr="00456281">
        <w:rPr>
          <w:rStyle w:val="normaltextrun"/>
          <w:rFonts w:ascii="Calibri" w:hAnsi="Calibri" w:cs="Calibri"/>
          <w:color w:val="000000" w:themeColor="text1"/>
        </w:rPr>
        <w:t>PS</w:t>
      </w:r>
      <w:r w:rsidR="00BD7F0B" w:rsidRPr="00456281">
        <w:rPr>
          <w:rStyle w:val="normaltextrun"/>
          <w:rFonts w:ascii="Calibri" w:hAnsi="Calibri" w:cs="Calibri"/>
          <w:color w:val="000000" w:themeColor="text1"/>
        </w:rPr>
        <w:t>)</w:t>
      </w:r>
      <w:r w:rsidRPr="00456281">
        <w:rPr>
          <w:rStyle w:val="normaltextrun"/>
          <w:rFonts w:ascii="Calibri" w:hAnsi="Calibri" w:cs="Calibri"/>
          <w:color w:val="000000" w:themeColor="text1"/>
        </w:rPr>
        <w:t xml:space="preserve"> score of </w:t>
      </w:r>
      <w:r w:rsidR="00BD7F0B" w:rsidRPr="00456281">
        <w:rPr>
          <w:rStyle w:val="normaltextrun"/>
          <w:rFonts w:ascii="Calibri" w:hAnsi="Calibri" w:cs="Calibri"/>
          <w:color w:val="000000" w:themeColor="text1"/>
        </w:rPr>
        <w:t xml:space="preserve">≤2 </w:t>
      </w:r>
      <w:r w:rsidRPr="00456281">
        <w:rPr>
          <w:rStyle w:val="normaltextrun"/>
          <w:rFonts w:ascii="Calibri" w:hAnsi="Calibri" w:cs="Calibri"/>
          <w:color w:val="000000" w:themeColor="text1"/>
        </w:rPr>
        <w:t>to be eligible for nal-IRI, which aligned with the PBS restriction for NabP</w:t>
      </w:r>
      <w:r w:rsidR="00D776E8" w:rsidRPr="00456281">
        <w:rPr>
          <w:rStyle w:val="normaltextrun"/>
          <w:rFonts w:ascii="Calibri" w:hAnsi="Calibri" w:cs="Calibri"/>
          <w:color w:val="000000" w:themeColor="text1"/>
        </w:rPr>
        <w:t xml:space="preserve">. </w:t>
      </w:r>
      <w:r w:rsidRPr="00456281">
        <w:rPr>
          <w:rStyle w:val="normaltextrun"/>
          <w:rFonts w:ascii="Calibri" w:hAnsi="Calibri" w:cs="Calibri"/>
          <w:color w:val="000000" w:themeColor="text1"/>
        </w:rPr>
        <w:t>This was not aligned with the trial evidence, in that a</w:t>
      </w:r>
      <w:r w:rsidR="00A1585F" w:rsidRPr="00456281">
        <w:rPr>
          <w:rStyle w:val="normaltextrun"/>
          <w:rFonts w:ascii="Calibri" w:hAnsi="Calibri" w:cs="Calibri"/>
          <w:color w:val="000000" w:themeColor="text1"/>
        </w:rPr>
        <w:t xml:space="preserve">lmost all </w:t>
      </w:r>
      <w:r w:rsidR="00016609" w:rsidRPr="00456281">
        <w:rPr>
          <w:rStyle w:val="normaltextrun"/>
          <w:rFonts w:ascii="Calibri" w:hAnsi="Calibri" w:cs="Calibri"/>
          <w:color w:val="000000"/>
          <w:bdr w:val="none" w:sz="0" w:space="0" w:color="auto" w:frame="1"/>
        </w:rPr>
        <w:t xml:space="preserve">participants in the NAPOLI-3 trial had </w:t>
      </w:r>
      <w:r w:rsidR="007019CA" w:rsidRPr="00456281">
        <w:rPr>
          <w:rStyle w:val="normaltextrun"/>
          <w:rFonts w:ascii="Calibri" w:hAnsi="Calibri" w:cs="Calibri"/>
          <w:color w:val="000000" w:themeColor="text1"/>
        </w:rPr>
        <w:t xml:space="preserve">an </w:t>
      </w:r>
      <w:r w:rsidR="00016609" w:rsidRPr="00456281">
        <w:rPr>
          <w:rStyle w:val="normaltextrun"/>
          <w:rFonts w:ascii="Calibri" w:hAnsi="Calibri" w:cs="Calibri"/>
          <w:color w:val="000000"/>
          <w:bdr w:val="none" w:sz="0" w:space="0" w:color="auto" w:frame="1"/>
        </w:rPr>
        <w:t xml:space="preserve">ECOG performance status of 0 </w:t>
      </w:r>
      <w:r w:rsidR="00A1585F" w:rsidRPr="00456281">
        <w:rPr>
          <w:rStyle w:val="normaltextrun"/>
          <w:rFonts w:ascii="Calibri" w:hAnsi="Calibri" w:cs="Calibri"/>
          <w:color w:val="000000" w:themeColor="text1"/>
        </w:rPr>
        <w:t xml:space="preserve">or </w:t>
      </w:r>
      <w:r w:rsidR="00016609" w:rsidRPr="00456281">
        <w:rPr>
          <w:rStyle w:val="normaltextrun"/>
          <w:rFonts w:ascii="Calibri" w:hAnsi="Calibri" w:cs="Calibri"/>
          <w:color w:val="000000"/>
          <w:bdr w:val="none" w:sz="0" w:space="0" w:color="auto" w:frame="1"/>
        </w:rPr>
        <w:t>1</w:t>
      </w:r>
      <w:r w:rsidR="00A1585F" w:rsidRPr="00456281">
        <w:rPr>
          <w:rStyle w:val="normaltextrun"/>
          <w:rFonts w:ascii="Calibri" w:hAnsi="Calibri" w:cs="Calibri"/>
          <w:color w:val="000000" w:themeColor="text1"/>
        </w:rPr>
        <w:t xml:space="preserve">. </w:t>
      </w:r>
      <w:r w:rsidR="00A1585F" w:rsidRPr="00456281">
        <w:rPr>
          <w:color w:val="000000" w:themeColor="text1"/>
        </w:rPr>
        <w:t>Only one patient with ECOG 2 was included in the NAL</w:t>
      </w:r>
      <w:r w:rsidR="00B82AF1" w:rsidRPr="00456281">
        <w:rPr>
          <w:color w:val="000000" w:themeColor="text1"/>
        </w:rPr>
        <w:t>I</w:t>
      </w:r>
      <w:r w:rsidR="00A1585F" w:rsidRPr="00456281">
        <w:rPr>
          <w:color w:val="000000" w:themeColor="text1"/>
        </w:rPr>
        <w:t>RIFOX arm and none in the Gem+NabP arm</w:t>
      </w:r>
      <w:r w:rsidR="00D776E8" w:rsidRPr="00456281">
        <w:rPr>
          <w:color w:val="000000" w:themeColor="text1"/>
        </w:rPr>
        <w:t xml:space="preserve">. </w:t>
      </w:r>
      <w:r w:rsidR="00D71F43" w:rsidRPr="00456281">
        <w:rPr>
          <w:color w:val="000000" w:themeColor="text1"/>
        </w:rPr>
        <w:t xml:space="preserve">The ESC considered it would be appropriate to limit the PBS population to </w:t>
      </w:r>
      <w:r w:rsidR="00D71F43" w:rsidRPr="00456281">
        <w:rPr>
          <w:rStyle w:val="normaltextrun"/>
          <w:rFonts w:ascii="Calibri" w:hAnsi="Calibri" w:cs="Calibri"/>
          <w:color w:val="000000"/>
          <w:bdr w:val="none" w:sz="0" w:space="0" w:color="auto" w:frame="1"/>
        </w:rPr>
        <w:t xml:space="preserve">ECOG </w:t>
      </w:r>
      <w:r w:rsidR="00BD7F0B" w:rsidRPr="00456281">
        <w:rPr>
          <w:rStyle w:val="normaltextrun"/>
          <w:rFonts w:ascii="Calibri" w:hAnsi="Calibri" w:cs="Calibri"/>
          <w:color w:val="000000"/>
          <w:bdr w:val="none" w:sz="0" w:space="0" w:color="auto" w:frame="1"/>
        </w:rPr>
        <w:t>PS</w:t>
      </w:r>
      <w:r w:rsidR="00D71F43" w:rsidRPr="00456281">
        <w:rPr>
          <w:rStyle w:val="normaltextrun"/>
          <w:rFonts w:ascii="Calibri" w:hAnsi="Calibri" w:cs="Calibri"/>
          <w:color w:val="000000"/>
          <w:bdr w:val="none" w:sz="0" w:space="0" w:color="auto" w:frame="1"/>
        </w:rPr>
        <w:t xml:space="preserve"> of 0 </w:t>
      </w:r>
      <w:r w:rsidR="00D71F43" w:rsidRPr="00456281">
        <w:rPr>
          <w:rStyle w:val="normaltextrun"/>
          <w:rFonts w:ascii="Calibri" w:hAnsi="Calibri" w:cs="Calibri"/>
          <w:color w:val="000000" w:themeColor="text1"/>
        </w:rPr>
        <w:t xml:space="preserve">or </w:t>
      </w:r>
      <w:r w:rsidR="00D71F43" w:rsidRPr="00456281">
        <w:rPr>
          <w:rStyle w:val="normaltextrun"/>
          <w:rFonts w:ascii="Calibri" w:hAnsi="Calibri" w:cs="Calibri"/>
          <w:color w:val="000000"/>
          <w:bdr w:val="none" w:sz="0" w:space="0" w:color="auto" w:frame="1"/>
        </w:rPr>
        <w:t xml:space="preserve">1, consistent with the NAPOLI-3 trial. </w:t>
      </w:r>
      <w:r w:rsidR="008D3D8D" w:rsidRPr="00456281">
        <w:rPr>
          <w:color w:val="000000" w:themeColor="text1"/>
        </w:rPr>
        <w:t>The ESC note</w:t>
      </w:r>
      <w:r w:rsidR="005F2B88" w:rsidRPr="00456281">
        <w:rPr>
          <w:color w:val="000000" w:themeColor="text1"/>
        </w:rPr>
        <w:t>d</w:t>
      </w:r>
      <w:r w:rsidR="008D3D8D" w:rsidRPr="00456281">
        <w:rPr>
          <w:color w:val="000000" w:themeColor="text1"/>
        </w:rPr>
        <w:t xml:space="preserve"> that the NCCN Guidelines do no</w:t>
      </w:r>
      <w:r w:rsidR="009B50FC" w:rsidRPr="00456281">
        <w:rPr>
          <w:color w:val="000000" w:themeColor="text1"/>
        </w:rPr>
        <w:t>t</w:t>
      </w:r>
      <w:r w:rsidR="008D3D8D" w:rsidRPr="00456281">
        <w:rPr>
          <w:color w:val="000000" w:themeColor="text1"/>
        </w:rPr>
        <w:t xml:space="preserve"> </w:t>
      </w:r>
      <w:r w:rsidR="0076184F" w:rsidRPr="00456281">
        <w:rPr>
          <w:color w:val="000000" w:themeColor="text1"/>
        </w:rPr>
        <w:t xml:space="preserve">routinely </w:t>
      </w:r>
      <w:r w:rsidR="008D3D8D" w:rsidRPr="00456281">
        <w:rPr>
          <w:color w:val="000000" w:themeColor="text1"/>
        </w:rPr>
        <w:t>recommend treatment with NALIRIFOX for patients with an ECOG performance score of 2</w:t>
      </w:r>
      <w:r w:rsidR="00D45329" w:rsidRPr="00456281">
        <w:rPr>
          <w:color w:val="000000" w:themeColor="text1"/>
        </w:rPr>
        <w:t xml:space="preserve"> (see paragraph</w:t>
      </w:r>
      <w:r w:rsidR="00542D1C" w:rsidRPr="00456281">
        <w:rPr>
          <w:color w:val="000000" w:themeColor="text1"/>
        </w:rPr>
        <w:t xml:space="preserve"> </w:t>
      </w:r>
      <w:r w:rsidR="00542D1C" w:rsidRPr="00456281">
        <w:rPr>
          <w:color w:val="000000" w:themeColor="text1"/>
        </w:rPr>
        <w:fldChar w:fldCharType="begin"/>
      </w:r>
      <w:r w:rsidR="00542D1C" w:rsidRPr="00456281">
        <w:rPr>
          <w:color w:val="000000" w:themeColor="text1"/>
        </w:rPr>
        <w:instrText xml:space="preserve"> REF _Ref164084878 \r \h  \* MERGEFORMAT </w:instrText>
      </w:r>
      <w:r w:rsidR="00542D1C" w:rsidRPr="00456281">
        <w:rPr>
          <w:color w:val="000000" w:themeColor="text1"/>
        </w:rPr>
      </w:r>
      <w:r w:rsidR="00542D1C" w:rsidRPr="00456281">
        <w:rPr>
          <w:color w:val="000000" w:themeColor="text1"/>
        </w:rPr>
        <w:fldChar w:fldCharType="separate"/>
      </w:r>
      <w:r w:rsidR="00EE5AD4">
        <w:rPr>
          <w:color w:val="000000" w:themeColor="text1"/>
        </w:rPr>
        <w:t>5.5</w:t>
      </w:r>
      <w:r w:rsidR="00542D1C" w:rsidRPr="00456281">
        <w:rPr>
          <w:color w:val="000000" w:themeColor="text1"/>
        </w:rPr>
        <w:fldChar w:fldCharType="end"/>
      </w:r>
      <w:r w:rsidR="005B176F" w:rsidRPr="00456281">
        <w:rPr>
          <w:color w:val="000000" w:themeColor="text1"/>
        </w:rPr>
        <w:t>).</w:t>
      </w:r>
      <w:bookmarkEnd w:id="28"/>
      <w:r w:rsidR="008D3D8D" w:rsidRPr="00456281">
        <w:rPr>
          <w:color w:val="000000" w:themeColor="text1"/>
        </w:rPr>
        <w:t xml:space="preserve"> </w:t>
      </w:r>
      <w:r w:rsidR="00BD7F0B" w:rsidRPr="00456281">
        <w:rPr>
          <w:color w:val="000000" w:themeColor="text1"/>
        </w:rPr>
        <w:t>Th</w:t>
      </w:r>
      <w:r w:rsidR="00C7466B" w:rsidRPr="00456281">
        <w:rPr>
          <w:color w:val="000000" w:themeColor="text1"/>
        </w:rPr>
        <w:t>e</w:t>
      </w:r>
      <w:r w:rsidR="00BD7F0B" w:rsidRPr="00456281">
        <w:rPr>
          <w:color w:val="000000" w:themeColor="text1"/>
        </w:rPr>
        <w:t xml:space="preserve"> Pre-PBAC response</w:t>
      </w:r>
      <w:r w:rsidR="004026F1" w:rsidRPr="00456281">
        <w:rPr>
          <w:color w:val="000000" w:themeColor="text1"/>
        </w:rPr>
        <w:t xml:space="preserve"> stated that clinical trials supporting the use of </w:t>
      </w:r>
      <w:r w:rsidR="004026F1" w:rsidRPr="00456281">
        <w:rPr>
          <w:rFonts w:eastAsia="Calibri" w:cs="Calibri"/>
          <w:bCs/>
          <w:iCs/>
        </w:rPr>
        <w:t xml:space="preserve">Gem+NabP, FOLFIRINOX and NALIRIFOX in 1L mPAC were conducted </w:t>
      </w:r>
      <w:r w:rsidR="004026F1" w:rsidRPr="00456281">
        <w:t xml:space="preserve">in patients with performance status of 0 or 1 (or Karnofsky performance score equivalent), and </w:t>
      </w:r>
      <w:r w:rsidR="00A67115" w:rsidRPr="00456281">
        <w:rPr>
          <w:color w:val="000000" w:themeColor="text1"/>
        </w:rPr>
        <w:t>maintained</w:t>
      </w:r>
      <w:r w:rsidR="00BD7F0B" w:rsidRPr="00456281">
        <w:rPr>
          <w:color w:val="000000" w:themeColor="text1"/>
        </w:rPr>
        <w:t xml:space="preserve"> that allowing nal-IRI to be used in patients with ECOG PS 2 would make it consistent with Gem+NabP and </w:t>
      </w:r>
      <w:r w:rsidR="00A67115" w:rsidRPr="00456281">
        <w:rPr>
          <w:color w:val="000000" w:themeColor="text1"/>
        </w:rPr>
        <w:t xml:space="preserve">allow </w:t>
      </w:r>
      <w:r w:rsidR="00BD7F0B" w:rsidRPr="00456281">
        <w:rPr>
          <w:color w:val="000000" w:themeColor="text1"/>
        </w:rPr>
        <w:t xml:space="preserve">more </w:t>
      </w:r>
      <w:r w:rsidR="00A67115" w:rsidRPr="00456281">
        <w:rPr>
          <w:color w:val="000000" w:themeColor="text1"/>
        </w:rPr>
        <w:t xml:space="preserve">treatment </w:t>
      </w:r>
      <w:r w:rsidR="00BD7F0B" w:rsidRPr="00456281">
        <w:rPr>
          <w:color w:val="000000" w:themeColor="text1"/>
        </w:rPr>
        <w:t xml:space="preserve">options for clinicians. </w:t>
      </w:r>
      <w:r w:rsidR="0093425F" w:rsidRPr="00456281">
        <w:rPr>
          <w:color w:val="000000" w:themeColor="text1"/>
        </w:rPr>
        <w:t>T</w:t>
      </w:r>
      <w:r w:rsidR="00BD7F0B" w:rsidRPr="00456281">
        <w:rPr>
          <w:color w:val="000000" w:themeColor="text1"/>
        </w:rPr>
        <w:t xml:space="preserve">he PBAC </w:t>
      </w:r>
      <w:r w:rsidR="0093425F" w:rsidRPr="00456281">
        <w:rPr>
          <w:color w:val="000000" w:themeColor="text1"/>
        </w:rPr>
        <w:t xml:space="preserve">considered that </w:t>
      </w:r>
      <w:r w:rsidR="00896ECA" w:rsidRPr="00456281">
        <w:rPr>
          <w:color w:val="000000" w:themeColor="text1"/>
        </w:rPr>
        <w:t xml:space="preserve">the </w:t>
      </w:r>
      <w:r w:rsidR="0093425F" w:rsidRPr="00456281">
        <w:rPr>
          <w:color w:val="000000" w:themeColor="text1"/>
        </w:rPr>
        <w:t>proposed listing</w:t>
      </w:r>
      <w:r w:rsidR="00BD7F0B" w:rsidRPr="00456281">
        <w:rPr>
          <w:color w:val="000000" w:themeColor="text1"/>
        </w:rPr>
        <w:t xml:space="preserve"> should be limited to patients with ECOG PS 0</w:t>
      </w:r>
      <w:r w:rsidR="0093425F" w:rsidRPr="00456281">
        <w:rPr>
          <w:color w:val="000000" w:themeColor="text1"/>
        </w:rPr>
        <w:t xml:space="preserve"> or </w:t>
      </w:r>
      <w:r w:rsidR="00BD7F0B" w:rsidRPr="00456281">
        <w:rPr>
          <w:color w:val="000000" w:themeColor="text1"/>
        </w:rPr>
        <w:t>1</w:t>
      </w:r>
      <w:r w:rsidR="0093425F" w:rsidRPr="00456281">
        <w:rPr>
          <w:color w:val="000000" w:themeColor="text1"/>
        </w:rPr>
        <w:t xml:space="preserve"> (see paragraph </w:t>
      </w:r>
      <w:r w:rsidR="003F7C18" w:rsidRPr="00456281">
        <w:rPr>
          <w:color w:val="000000" w:themeColor="text1"/>
        </w:rPr>
        <w:fldChar w:fldCharType="begin"/>
      </w:r>
      <w:r w:rsidR="003F7C18" w:rsidRPr="00456281">
        <w:rPr>
          <w:color w:val="000000" w:themeColor="text1"/>
        </w:rPr>
        <w:instrText xml:space="preserve"> REF _Ref164153238 \r \h </w:instrText>
      </w:r>
      <w:r w:rsidR="003F7C18" w:rsidRPr="00456281">
        <w:rPr>
          <w:color w:val="000000" w:themeColor="text1"/>
        </w:rPr>
      </w:r>
      <w:r w:rsidR="003F7C18" w:rsidRPr="00456281">
        <w:rPr>
          <w:color w:val="000000" w:themeColor="text1"/>
        </w:rPr>
        <w:fldChar w:fldCharType="separate"/>
      </w:r>
      <w:r w:rsidR="00EE5AD4">
        <w:rPr>
          <w:color w:val="000000" w:themeColor="text1"/>
        </w:rPr>
        <w:t>7.4</w:t>
      </w:r>
      <w:r w:rsidR="003F7C18" w:rsidRPr="00456281">
        <w:rPr>
          <w:color w:val="000000" w:themeColor="text1"/>
        </w:rPr>
        <w:fldChar w:fldCharType="end"/>
      </w:r>
      <w:r w:rsidR="0093425F" w:rsidRPr="00456281">
        <w:rPr>
          <w:color w:val="000000" w:themeColor="text1"/>
        </w:rPr>
        <w:t>).</w:t>
      </w:r>
      <w:bookmarkEnd w:id="29"/>
    </w:p>
    <w:p w14:paraId="59A3BC3D" w14:textId="6D0BE83A" w:rsidR="00A1585F" w:rsidRPr="00456281" w:rsidRDefault="00A1585F" w:rsidP="00CE40CE">
      <w:pPr>
        <w:pStyle w:val="ExecSumBodyText"/>
        <w:numPr>
          <w:ilvl w:val="1"/>
          <w:numId w:val="1"/>
        </w:numPr>
      </w:pPr>
      <w:r w:rsidRPr="00456281">
        <w:t>The proposed maximum amount for nal-IRI</w:t>
      </w:r>
      <w:r w:rsidR="00DC2D23" w:rsidRPr="00456281">
        <w:t xml:space="preserve"> is 110 mg</w:t>
      </w:r>
      <w:r w:rsidRPr="00456281">
        <w:t>, based on the recommended dose of 50 mg/m</w:t>
      </w:r>
      <w:r w:rsidRPr="00456281">
        <w:rPr>
          <w:vertAlign w:val="superscript"/>
        </w:rPr>
        <w:t>2</w:t>
      </w:r>
      <w:r w:rsidRPr="00456281">
        <w:t xml:space="preserve"> and a maximum body surface area of 2.2 m</w:t>
      </w:r>
      <w:r w:rsidRPr="00456281">
        <w:rPr>
          <w:vertAlign w:val="superscript"/>
        </w:rPr>
        <w:t>2</w:t>
      </w:r>
      <w:r w:rsidRPr="00456281">
        <w:t xml:space="preserve">. </w:t>
      </w:r>
    </w:p>
    <w:p w14:paraId="44811C10" w14:textId="1A4380EB" w:rsidR="00016609" w:rsidRPr="00456281" w:rsidRDefault="00016609" w:rsidP="00016609">
      <w:pPr>
        <w:pStyle w:val="ExecSumBodyText"/>
        <w:numPr>
          <w:ilvl w:val="1"/>
          <w:numId w:val="1"/>
        </w:numPr>
      </w:pPr>
      <w:r w:rsidRPr="00456281">
        <w:t xml:space="preserve">The proposed number of repeats (nine) would provide patients with a total of five cycles of treatment, which </w:t>
      </w:r>
      <w:r w:rsidR="004026F1" w:rsidRPr="00456281">
        <w:t xml:space="preserve">is consistent with </w:t>
      </w:r>
      <w:r w:rsidRPr="00456281">
        <w:t xml:space="preserve">the median number of cycles of nal-IRI (five) in the NAPOLI-3 trial. </w:t>
      </w:r>
    </w:p>
    <w:p w14:paraId="50E98A2D" w14:textId="04B572CB" w:rsidR="002E0A4C" w:rsidRPr="00456281" w:rsidRDefault="004F56F3" w:rsidP="00F46C56">
      <w:pPr>
        <w:pStyle w:val="3-BodyText"/>
      </w:pPr>
      <w:r w:rsidRPr="00456281">
        <w:lastRenderedPageBreak/>
        <w:t>The proposed effective ex-manufacturer price for nal-IRI was $</w:t>
      </w:r>
      <w:r w:rsidR="00F16C78" w:rsidRPr="00501A79">
        <w:rPr>
          <w:color w:val="000000"/>
          <w:w w:val="63"/>
          <w:shd w:val="solid" w:color="000000" w:fill="000000"/>
          <w:fitText w:val="631" w:id="-961860862"/>
          <w14:textFill>
            <w14:solidFill>
              <w14:srgbClr w14:val="000000">
                <w14:alpha w14:val="100000"/>
              </w14:srgbClr>
            </w14:solidFill>
          </w14:textFill>
        </w:rPr>
        <w:t>||||  |||</w:t>
      </w:r>
      <w:r w:rsidR="00F16C78" w:rsidRPr="00501A79">
        <w:rPr>
          <w:color w:val="000000"/>
          <w:spacing w:val="5"/>
          <w:w w:val="63"/>
          <w:shd w:val="solid" w:color="000000" w:fill="000000"/>
          <w:fitText w:val="631" w:id="-961860862"/>
          <w14:textFill>
            <w14:solidFill>
              <w14:srgbClr w14:val="000000">
                <w14:alpha w14:val="100000"/>
              </w14:srgbClr>
            </w14:solidFill>
          </w14:textFill>
        </w:rPr>
        <w:t>|</w:t>
      </w:r>
      <w:r w:rsidRPr="00456281">
        <w:t xml:space="preserve"> per 43 mg vial, with corresponding effective DPMAs of $</w:t>
      </w:r>
      <w:r w:rsidR="00F16C78" w:rsidRPr="00EE5AD4">
        <w:rPr>
          <w:color w:val="000000"/>
          <w:w w:val="15"/>
          <w:shd w:val="solid" w:color="000000" w:fill="000000"/>
          <w:fitText w:val="-20" w:id="-961860861"/>
          <w14:textFill>
            <w14:solidFill>
              <w14:srgbClr w14:val="000000">
                <w14:alpha w14:val="100000"/>
              </w14:srgbClr>
            </w14:solidFill>
          </w14:textFill>
        </w:rPr>
        <w:t xml:space="preserve">|  </w:t>
      </w:r>
      <w:r w:rsidR="00F16C78" w:rsidRPr="00EE5AD4">
        <w:rPr>
          <w:color w:val="000000"/>
          <w:spacing w:val="-69"/>
          <w:w w:val="15"/>
          <w:shd w:val="solid" w:color="000000" w:fill="000000"/>
          <w:fitText w:val="-20" w:id="-961860861"/>
          <w14:textFill>
            <w14:solidFill>
              <w14:srgbClr w14:val="000000">
                <w14:alpha w14:val="100000"/>
              </w14:srgbClr>
            </w14:solidFill>
          </w14:textFill>
        </w:rPr>
        <w:t>|</w:t>
      </w:r>
      <w:r w:rsidRPr="00456281">
        <w:t xml:space="preserve"> and $</w:t>
      </w:r>
      <w:r w:rsidR="00F16C78" w:rsidRPr="00EE5AD4">
        <w:rPr>
          <w:color w:val="000000"/>
          <w:w w:val="15"/>
          <w:shd w:val="solid" w:color="000000" w:fill="000000"/>
          <w:fitText w:val="-20" w:id="-961860860"/>
          <w14:textFill>
            <w14:solidFill>
              <w14:srgbClr w14:val="000000">
                <w14:alpha w14:val="100000"/>
              </w14:srgbClr>
            </w14:solidFill>
          </w14:textFill>
        </w:rPr>
        <w:t xml:space="preserve">|  </w:t>
      </w:r>
      <w:r w:rsidR="00F16C78" w:rsidRPr="00EE5AD4">
        <w:rPr>
          <w:color w:val="000000"/>
          <w:spacing w:val="-69"/>
          <w:w w:val="15"/>
          <w:shd w:val="solid" w:color="000000" w:fill="000000"/>
          <w:fitText w:val="-20" w:id="-961860860"/>
          <w14:textFill>
            <w14:solidFill>
              <w14:srgbClr w14:val="000000">
                <w14:alpha w14:val="100000"/>
              </w14:srgbClr>
            </w14:solidFill>
          </w14:textFill>
        </w:rPr>
        <w:t>|</w:t>
      </w:r>
      <w:r w:rsidRPr="00456281">
        <w:t xml:space="preserve"> for public and private hospitals, respectively</w:t>
      </w:r>
      <w:r w:rsidR="00576681" w:rsidRPr="00456281">
        <w:t xml:space="preserve"> (corresponding to </w:t>
      </w:r>
      <w:r w:rsidR="00A01777" w:rsidRPr="00456281">
        <w:t xml:space="preserve">a </w:t>
      </w:r>
      <w:r w:rsidR="00576681" w:rsidRPr="00456281">
        <w:t>maximum amount of 110 mg)</w:t>
      </w:r>
      <w:r w:rsidRPr="00456281">
        <w:t xml:space="preserve">. The current </w:t>
      </w:r>
      <w:r w:rsidR="00576681" w:rsidRPr="00456281">
        <w:t>DPMA</w:t>
      </w:r>
      <w:r w:rsidRPr="00456281">
        <w:t xml:space="preserve"> for non-liposomal irinotecan </w:t>
      </w:r>
      <w:r w:rsidR="00576681" w:rsidRPr="00456281">
        <w:t xml:space="preserve">on the PBS is $158.62 to $202.91 (corresponding to </w:t>
      </w:r>
      <w:r w:rsidR="00A01777" w:rsidRPr="00456281">
        <w:t xml:space="preserve">a </w:t>
      </w:r>
      <w:r w:rsidR="00576681" w:rsidRPr="00456281">
        <w:t>maximum amount of 800 mg).</w:t>
      </w:r>
      <w:r w:rsidR="001322EC" w:rsidRPr="00456281">
        <w:t xml:space="preserve">  </w:t>
      </w:r>
    </w:p>
    <w:p w14:paraId="624F000C" w14:textId="77777777" w:rsidR="00690769" w:rsidRPr="00456281" w:rsidRDefault="00690769" w:rsidP="00690769">
      <w:pPr>
        <w:pStyle w:val="3-BodyText"/>
        <w:numPr>
          <w:ilvl w:val="0"/>
          <w:numId w:val="0"/>
        </w:numPr>
        <w:ind w:left="720"/>
        <w:rPr>
          <w:i/>
          <w:iCs/>
        </w:rPr>
      </w:pPr>
      <w:r w:rsidRPr="00456281">
        <w:rPr>
          <w:i/>
          <w:iCs/>
        </w:rPr>
        <w:t>For more detail on PBAC’s view, see section 7 PBAC outcome.</w:t>
      </w:r>
    </w:p>
    <w:p w14:paraId="281E6A4E" w14:textId="77777777" w:rsidR="00016609" w:rsidRPr="00456281" w:rsidDel="00195452" w:rsidRDefault="00016609" w:rsidP="0033388C">
      <w:pPr>
        <w:pStyle w:val="2-SectionHeading"/>
      </w:pPr>
      <w:bookmarkStart w:id="30" w:name="_Toc107927623"/>
      <w:bookmarkStart w:id="31" w:name="_Toc157002546"/>
      <w:r w:rsidRPr="00456281" w:rsidDel="00195452">
        <w:t>Population and disease</w:t>
      </w:r>
      <w:bookmarkEnd w:id="30"/>
      <w:bookmarkEnd w:id="31"/>
    </w:p>
    <w:p w14:paraId="31E0F9AB" w14:textId="77777777" w:rsidR="00016609" w:rsidRPr="00456281" w:rsidRDefault="00016609" w:rsidP="00600CB0">
      <w:pPr>
        <w:pStyle w:val="3-BodyText"/>
      </w:pPr>
      <w:r w:rsidRPr="00456281">
        <w:t xml:space="preserve">Pancreatic adenocarcinoma (PAC) is a cancer of the exocrine pancreas. It is the most common form, accounting for 85-95% of pancreatic cancers. Pancreatic cancer is a disease with high morbidity and mortality, and is the eighth most commonly diagnosed cancer in Australia. Increasing age is the major determinant of risk for PAC. </w:t>
      </w:r>
    </w:p>
    <w:p w14:paraId="1ED6EBF7" w14:textId="77777777" w:rsidR="00016609" w:rsidRPr="00456281" w:rsidRDefault="00016609" w:rsidP="00016609">
      <w:pPr>
        <w:pStyle w:val="3-BodyText"/>
      </w:pPr>
      <w:r w:rsidRPr="00456281">
        <w:t>Pancreatic cancer is difficult to detect in its early stages, and patients may remain asymptomatic until the advanced stages of disease. Approximately 20% of patients diagnosed with PAC present with disease that is limited to the pancreas and potentially resectable (Stage I-II), while approximately 50% present with metastatic disease (Stage IV). The remaining 30% present with disease that interfaces with major vascular structures, making it either borderline resectable or locally advanced/unresectable (stage III). Due to the typically late diagnosis, pancreatic cancer is overrepresented in mortality and is estimated to be the fourth leading cause of cancer related death in Australia.</w:t>
      </w:r>
      <w:r w:rsidRPr="00456281">
        <w:rPr>
          <w:vertAlign w:val="superscript"/>
        </w:rPr>
        <w:t xml:space="preserve"> </w:t>
      </w:r>
      <w:r w:rsidRPr="00456281">
        <w:t>The three-year survival for patients with metastatic pancreatic cancer at diagnosis is 4%, and overall PAC three-year survival is 11%.</w:t>
      </w:r>
    </w:p>
    <w:p w14:paraId="178B3E66" w14:textId="75E84DBA" w:rsidR="00016609" w:rsidRPr="00456281" w:rsidRDefault="00016609" w:rsidP="00022D35">
      <w:pPr>
        <w:pStyle w:val="3-BodyText"/>
      </w:pPr>
      <w:r w:rsidRPr="00456281">
        <w:t>Surgery and chemotherapy (sometimes combined with radiotherapy) are the mainstays of treatment for PAC. The treatment approach is dependent on the stage of the cancer and the treatment goals of the patient and their family. Surgical resection remains the only possibility of cure. However, most patients (80% or more) are not suitable for surgery at the time of diagnosis.</w:t>
      </w:r>
      <w:r w:rsidR="00293D9A" w:rsidRPr="00456281">
        <w:t xml:space="preserve"> </w:t>
      </w:r>
      <w:r w:rsidRPr="00456281">
        <w:t>The treatment of mPAC is with chemotherapy or best supportive care. Chemotherapy in this context is not intended to be curative, but aims to control cancer growth, relieve symptoms, maintain or improve quality of life, and prolong survival.</w:t>
      </w:r>
    </w:p>
    <w:p w14:paraId="4D027D66" w14:textId="5549AB36" w:rsidR="00F5573C" w:rsidRPr="00456281" w:rsidRDefault="00293D9A" w:rsidP="00293D9A">
      <w:pPr>
        <w:pStyle w:val="3-BodyText"/>
        <w:rPr>
          <w:snapToGrid/>
        </w:rPr>
      </w:pPr>
      <w:bookmarkStart w:id="32" w:name="_Ref162436255"/>
      <w:r w:rsidRPr="00456281">
        <w:t xml:space="preserve">There are multiple chemotherapy regimens that are used in clinical practice for the first-line treatment of mPAC. Australian registry data suggest that the most frequently used regimens for first line mPAC are Gem+NabP </w:t>
      </w:r>
      <w:r w:rsidRPr="009A3AE9">
        <w:t>(</w:t>
      </w:r>
      <w:r w:rsidR="00C56BA8" w:rsidRPr="00F41B81">
        <w:t>66.5</w:t>
      </w:r>
      <w:r w:rsidR="00C56BA8" w:rsidRPr="009A3AE9">
        <w:t>%</w:t>
      </w:r>
      <w:r w:rsidRPr="009A3AE9">
        <w:t xml:space="preserve"> of patients), FOLFIRINOX (</w:t>
      </w:r>
      <w:r w:rsidR="00C56BA8" w:rsidRPr="00F41B81">
        <w:t>10.9</w:t>
      </w:r>
      <w:r w:rsidR="00C56BA8" w:rsidRPr="009A3AE9">
        <w:t>%</w:t>
      </w:r>
      <w:r w:rsidRPr="009A3AE9">
        <w:t>) and gemcitabine monotherapy (</w:t>
      </w:r>
      <w:r w:rsidR="00C56BA8" w:rsidRPr="00F41B81">
        <w:t>10.3</w:t>
      </w:r>
      <w:r w:rsidR="00C56BA8" w:rsidRPr="009A3AE9">
        <w:t>%</w:t>
      </w:r>
      <w:r w:rsidRPr="009A3AE9">
        <w:t xml:space="preserve">). </w:t>
      </w:r>
    </w:p>
    <w:p w14:paraId="19BFBB73" w14:textId="2E80CE4B" w:rsidR="00F5573C" w:rsidRPr="00456281" w:rsidRDefault="00F5573C" w:rsidP="00F5573C">
      <w:pPr>
        <w:pStyle w:val="3-BodyText"/>
        <w:rPr>
          <w:color w:val="000000" w:themeColor="text1"/>
        </w:rPr>
      </w:pPr>
      <w:r w:rsidRPr="00456281">
        <w:rPr>
          <w:color w:val="000000" w:themeColor="text1"/>
        </w:rPr>
        <w:t xml:space="preserve">Nal-IRI injection is a liposomal formulation that encapsulates irinotecan, a topoisomerase I inhibitor, inside a lipid bilayer vesicle. The encapsulation allows irinotecan to remain in circulation for longer than unencapsulated (free) irinotecan before conversion to its active metabolite, SN-38. </w:t>
      </w:r>
      <w:r w:rsidRPr="00456281">
        <w:t xml:space="preserve">The nanoliposomal formulation of </w:t>
      </w:r>
      <w:r w:rsidRPr="00456281">
        <w:lastRenderedPageBreak/>
        <w:t>irinotecan demonstrates higher intra-tumoural concentrations,</w:t>
      </w:r>
      <w:r w:rsidRPr="00456281">
        <w:rPr>
          <w:rStyle w:val="FootnoteReference"/>
        </w:rPr>
        <w:footnoteReference w:id="2"/>
      </w:r>
      <w:r w:rsidRPr="00456281">
        <w:rPr>
          <w:vertAlign w:val="superscript"/>
        </w:rPr>
        <w:t>,</w:t>
      </w:r>
      <w:r w:rsidRPr="00456281">
        <w:rPr>
          <w:rStyle w:val="FootnoteReference"/>
        </w:rPr>
        <w:footnoteReference w:id="3"/>
      </w:r>
      <w:r w:rsidRPr="00456281">
        <w:t xml:space="preserve"> thus in theory minimising systemic toxicity as compared with standard formulation irinotecan.</w:t>
      </w:r>
      <w:r w:rsidR="008659C2" w:rsidRPr="00456281">
        <w:t xml:space="preserve"> The TGA Delegate’s Overview stated there was no direct clinical evidence demonstrating that liposomal encapsulation changes the clinical efficacy or safety of irinotecan for the general population of patients with pancreatic cancer.</w:t>
      </w:r>
    </w:p>
    <w:p w14:paraId="6FF0C390" w14:textId="3EEB19F5" w:rsidR="00607527" w:rsidRPr="00456281" w:rsidRDefault="00F5573C" w:rsidP="00BC089F">
      <w:pPr>
        <w:pStyle w:val="3-BodyText"/>
        <w:rPr>
          <w:snapToGrid/>
        </w:rPr>
      </w:pPr>
      <w:r w:rsidRPr="00456281">
        <w:rPr>
          <w:color w:val="000000" w:themeColor="text1"/>
        </w:rPr>
        <w:t xml:space="preserve">Nal-IRI (as part of NALIRIFOX regimen) </w:t>
      </w:r>
      <w:r w:rsidRPr="00456281">
        <w:t xml:space="preserve">is proposed as a first-line chemotherapy for the treatment of mPAC. </w:t>
      </w:r>
      <w:r w:rsidRPr="00456281">
        <w:rPr>
          <w:snapToGrid/>
        </w:rPr>
        <w:t xml:space="preserve">The submission stated that </w:t>
      </w:r>
      <w:r w:rsidRPr="00456281">
        <w:t xml:space="preserve">NALIRIFOX has a safety profile which, while different, is sufficiently similar to Gem+NabP to allow for its use in a first-line setting in most patients, whereas FOLFIRINOX has, historically, been reserved for fitter and younger patients due to its unfavourable safety profile. </w:t>
      </w:r>
      <w:r w:rsidR="00293D9A" w:rsidRPr="00456281">
        <w:t>The ESC did not agree with the submission’s description of the place in therapy for NALIRIFOX</w:t>
      </w:r>
      <w:r w:rsidR="009C3CBE" w:rsidRPr="00456281">
        <w:t xml:space="preserve">. </w:t>
      </w:r>
      <w:r w:rsidR="00293D9A" w:rsidRPr="00456281">
        <w:t xml:space="preserve">The ESC considered that the patient populations for Gem+NabP and NALIRIFOX would differ in clinical practice in that the NALIRIFOX patients would be relatively younger/fitter compared with Gem+NabP patients. As discussed in paragraph </w:t>
      </w:r>
      <w:r w:rsidR="00293D9A" w:rsidRPr="00456281">
        <w:fldChar w:fldCharType="begin"/>
      </w:r>
      <w:r w:rsidR="00293D9A" w:rsidRPr="00456281">
        <w:instrText xml:space="preserve"> REF _Ref159279991 \r \h  \* MERGEFORMAT </w:instrText>
      </w:r>
      <w:r w:rsidR="00293D9A" w:rsidRPr="00456281">
        <w:fldChar w:fldCharType="separate"/>
      </w:r>
      <w:r w:rsidR="00EE5AD4">
        <w:t>3.3</w:t>
      </w:r>
      <w:r w:rsidR="00293D9A" w:rsidRPr="00456281">
        <w:fldChar w:fldCharType="end"/>
      </w:r>
      <w:r w:rsidR="00293D9A" w:rsidRPr="00456281">
        <w:t>, t</w:t>
      </w:r>
      <w:r w:rsidR="00293D9A" w:rsidRPr="00456281">
        <w:rPr>
          <w:color w:val="000000" w:themeColor="text1"/>
        </w:rPr>
        <w:t xml:space="preserve">he ESC considered it would be appropriate to limit the PBS population to </w:t>
      </w:r>
      <w:r w:rsidR="00293D9A" w:rsidRPr="00456281">
        <w:rPr>
          <w:rStyle w:val="normaltextrun"/>
          <w:rFonts w:ascii="Calibri" w:hAnsi="Calibri" w:cs="Calibri"/>
          <w:color w:val="000000"/>
          <w:bdr w:val="none" w:sz="0" w:space="0" w:color="auto" w:frame="1"/>
        </w:rPr>
        <w:t xml:space="preserve">ECOG performance status of 0 </w:t>
      </w:r>
      <w:r w:rsidR="00293D9A" w:rsidRPr="00456281">
        <w:rPr>
          <w:rStyle w:val="normaltextrun"/>
          <w:rFonts w:ascii="Calibri" w:hAnsi="Calibri" w:cs="Calibri"/>
          <w:color w:val="000000" w:themeColor="text1"/>
        </w:rPr>
        <w:t xml:space="preserve">or </w:t>
      </w:r>
      <w:r w:rsidR="00293D9A" w:rsidRPr="00456281">
        <w:rPr>
          <w:rStyle w:val="normaltextrun"/>
          <w:rFonts w:ascii="Calibri" w:hAnsi="Calibri" w:cs="Calibri"/>
          <w:color w:val="000000"/>
          <w:bdr w:val="none" w:sz="0" w:space="0" w:color="auto" w:frame="1"/>
        </w:rPr>
        <w:t xml:space="preserve">1 for NALIRIFOX, whereas Gem+NabP could be used in a broader group of patients, </w:t>
      </w:r>
      <w:r w:rsidR="00B82AF1" w:rsidRPr="00456281">
        <w:rPr>
          <w:rStyle w:val="normaltextrun"/>
          <w:rFonts w:ascii="Calibri" w:hAnsi="Calibri" w:cs="Calibri"/>
          <w:color w:val="000000"/>
          <w:bdr w:val="none" w:sz="0" w:space="0" w:color="auto" w:frame="1"/>
        </w:rPr>
        <w:t>i.e.</w:t>
      </w:r>
      <w:r w:rsidR="00293D9A" w:rsidRPr="00456281">
        <w:rPr>
          <w:rStyle w:val="normaltextrun"/>
          <w:rFonts w:ascii="Calibri" w:hAnsi="Calibri" w:cs="Calibri"/>
          <w:color w:val="000000"/>
          <w:bdr w:val="none" w:sz="0" w:space="0" w:color="auto" w:frame="1"/>
        </w:rPr>
        <w:t xml:space="preserve"> with ECOG PS of 2 or less.</w:t>
      </w:r>
      <w:bookmarkEnd w:id="32"/>
      <w:r w:rsidR="00293D9A" w:rsidRPr="00456281">
        <w:rPr>
          <w:rStyle w:val="normaltextrun"/>
          <w:rFonts w:ascii="Calibri" w:hAnsi="Calibri" w:cs="Calibri"/>
          <w:color w:val="000000"/>
          <w:bdr w:val="none" w:sz="0" w:space="0" w:color="auto" w:frame="1"/>
        </w:rPr>
        <w:t xml:space="preserve"> </w:t>
      </w:r>
      <w:r w:rsidR="00607527" w:rsidRPr="00456281">
        <w:rPr>
          <w:rStyle w:val="normaltextrun"/>
          <w:rFonts w:ascii="Calibri" w:hAnsi="Calibri" w:cs="Calibri"/>
          <w:color w:val="000000"/>
          <w:bdr w:val="none" w:sz="0" w:space="0" w:color="auto" w:frame="1"/>
        </w:rPr>
        <w:t xml:space="preserve">The PBAC considered that clinicians would be unlikely to offer NALIRIFOX to patients with ECOG status of 2, due to its toxicity profile, however the proposed restriction should be </w:t>
      </w:r>
      <w:r w:rsidR="00607527" w:rsidRPr="00456281">
        <w:rPr>
          <w:color w:val="000000" w:themeColor="text1"/>
        </w:rPr>
        <w:t xml:space="preserve">limited to patients with ECOG PS 0 or 1 (see paragraph </w:t>
      </w:r>
      <w:r w:rsidR="00607527" w:rsidRPr="00456281">
        <w:rPr>
          <w:color w:val="000000" w:themeColor="text1"/>
        </w:rPr>
        <w:fldChar w:fldCharType="begin"/>
      </w:r>
      <w:r w:rsidR="00607527" w:rsidRPr="00456281">
        <w:rPr>
          <w:color w:val="000000" w:themeColor="text1"/>
        </w:rPr>
        <w:instrText xml:space="preserve"> REF _Ref162513796 \r \h </w:instrText>
      </w:r>
      <w:r w:rsidR="00607527" w:rsidRPr="00456281">
        <w:rPr>
          <w:color w:val="000000" w:themeColor="text1"/>
        </w:rPr>
      </w:r>
      <w:r w:rsidR="00607527" w:rsidRPr="00456281">
        <w:rPr>
          <w:color w:val="000000" w:themeColor="text1"/>
        </w:rPr>
        <w:fldChar w:fldCharType="separate"/>
      </w:r>
      <w:r w:rsidR="00EE5AD4">
        <w:rPr>
          <w:color w:val="000000" w:themeColor="text1"/>
        </w:rPr>
        <w:t>3.3</w:t>
      </w:r>
      <w:r w:rsidR="00607527" w:rsidRPr="00456281">
        <w:rPr>
          <w:color w:val="000000" w:themeColor="text1"/>
        </w:rPr>
        <w:fldChar w:fldCharType="end"/>
      </w:r>
      <w:r w:rsidR="00607527" w:rsidRPr="00456281">
        <w:rPr>
          <w:color w:val="000000" w:themeColor="text1"/>
        </w:rPr>
        <w:t>).</w:t>
      </w:r>
    </w:p>
    <w:p w14:paraId="4F5C56C6" w14:textId="4FAD60E9" w:rsidR="00690769" w:rsidRPr="00456281" w:rsidDel="00195452" w:rsidRDefault="00690769" w:rsidP="00690769">
      <w:pPr>
        <w:pStyle w:val="3-BodyText"/>
        <w:numPr>
          <w:ilvl w:val="0"/>
          <w:numId w:val="0"/>
        </w:numPr>
        <w:ind w:left="720"/>
        <w:rPr>
          <w:color w:val="000000" w:themeColor="text1"/>
        </w:rPr>
      </w:pPr>
      <w:r w:rsidRPr="00456281">
        <w:rPr>
          <w:i/>
          <w:iCs/>
        </w:rPr>
        <w:t>For more detail on PBAC’s view, see section 7 PBAC outcome.</w:t>
      </w:r>
    </w:p>
    <w:p w14:paraId="530D627D" w14:textId="77777777" w:rsidR="00016609" w:rsidRPr="00456281" w:rsidRDefault="00016609" w:rsidP="00016609">
      <w:pPr>
        <w:pStyle w:val="2-SectionHeading"/>
      </w:pPr>
      <w:bookmarkStart w:id="33" w:name="_Toc107927624"/>
      <w:bookmarkStart w:id="34" w:name="_Toc157002547"/>
      <w:r w:rsidRPr="00456281">
        <w:t>Comparator</w:t>
      </w:r>
      <w:bookmarkEnd w:id="33"/>
      <w:bookmarkEnd w:id="34"/>
    </w:p>
    <w:p w14:paraId="3196D864" w14:textId="79E1D49F" w:rsidR="00213F46" w:rsidRPr="00456281" w:rsidRDefault="00213F46" w:rsidP="00213F46">
      <w:pPr>
        <w:pStyle w:val="3-BodyText"/>
        <w:rPr>
          <w:i/>
          <w:iCs/>
        </w:rPr>
      </w:pPr>
      <w:bookmarkStart w:id="35" w:name="_Ref158822726"/>
      <w:r w:rsidRPr="00456281">
        <w:t xml:space="preserve">The submission nominated Gem+NabP as the main comparator. The </w:t>
      </w:r>
      <w:r w:rsidR="000344D4" w:rsidRPr="00456281">
        <w:t>submission stated</w:t>
      </w:r>
      <w:r w:rsidRPr="00456281">
        <w:t xml:space="preserve"> that Gem+NabP </w:t>
      </w:r>
      <w:r w:rsidR="000344D4" w:rsidRPr="00456281">
        <w:t xml:space="preserve">was </w:t>
      </w:r>
      <w:r w:rsidRPr="00456281">
        <w:t>the most widely used first-line therapy for the treatment of patients with mPAC (</w:t>
      </w:r>
      <w:r w:rsidR="000344D4" w:rsidRPr="00456281">
        <w:t>based on</w:t>
      </w:r>
      <w:r w:rsidRPr="00456281">
        <w:t xml:space="preserve"> Australasian registry data) and would most </w:t>
      </w:r>
      <w:r w:rsidR="000344D4" w:rsidRPr="00456281">
        <w:t xml:space="preserve">be the regimen most </w:t>
      </w:r>
      <w:r w:rsidRPr="00456281">
        <w:t xml:space="preserve">replaced by </w:t>
      </w:r>
      <w:r w:rsidR="000344D4" w:rsidRPr="00456281">
        <w:t>NALIRIFOX</w:t>
      </w:r>
      <w:r w:rsidRPr="00456281">
        <w:t>. The ESC considered that a high proportion of the Gem+NabP population would not be suitable for treatment with NALIRIFOX due to its toxicity profile</w:t>
      </w:r>
      <w:r w:rsidR="009C296E" w:rsidRPr="00456281">
        <w:t>.</w:t>
      </w:r>
    </w:p>
    <w:p w14:paraId="7CDFC5A2" w14:textId="68A3DC4E" w:rsidR="00213F46" w:rsidRPr="00456281" w:rsidRDefault="003F36FF" w:rsidP="00213F46">
      <w:pPr>
        <w:pStyle w:val="3-BodyText"/>
        <w:rPr>
          <w:snapToGrid/>
        </w:rPr>
      </w:pPr>
      <w:bookmarkStart w:id="36" w:name="_Ref164242484"/>
      <w:bookmarkEnd w:id="35"/>
      <w:r w:rsidRPr="00456281">
        <w:rPr>
          <w:snapToGrid/>
        </w:rPr>
        <w:t xml:space="preserve">FOLFIRINOX and NALIRIFOX are both </w:t>
      </w:r>
      <w:r w:rsidRPr="00456281">
        <w:t xml:space="preserve">fluoropyrimidine-based </w:t>
      </w:r>
      <w:r w:rsidRPr="00456281">
        <w:rPr>
          <w:snapToGrid/>
        </w:rPr>
        <w:t xml:space="preserve">regimens and likely to be used for treatment of similar types of patients (younger, better ECOG performance status, less comorbid). </w:t>
      </w:r>
      <w:r w:rsidRPr="00456281">
        <w:t>While NALIRIFOX contains the same set of active components as FOLFIRINOX, they are at different doses, and in a different dose presentation in the case of the irinotecan component. Specifically: in addition to the replacement of non-liposomal irinotecan at 180 mg/m</w:t>
      </w:r>
      <w:r w:rsidRPr="00456281">
        <w:rPr>
          <w:vertAlign w:val="superscript"/>
        </w:rPr>
        <w:t>2</w:t>
      </w:r>
      <w:r w:rsidRPr="00456281">
        <w:t xml:space="preserve"> </w:t>
      </w:r>
      <w:r w:rsidR="00BA5275" w:rsidRPr="00456281">
        <w:t xml:space="preserve">in the FOLFIRINOX regimen </w:t>
      </w:r>
      <w:r w:rsidR="00B9772E">
        <w:t>by</w:t>
      </w:r>
      <w:r w:rsidR="00B9772E" w:rsidRPr="00456281">
        <w:t xml:space="preserve"> </w:t>
      </w:r>
      <w:r w:rsidRPr="00456281">
        <w:t>nal-IRI at 50</w:t>
      </w:r>
      <w:r w:rsidR="00076C6A">
        <w:t> </w:t>
      </w:r>
      <w:r w:rsidRPr="00456281">
        <w:t>mg/m</w:t>
      </w:r>
      <w:r w:rsidRPr="00456281">
        <w:rPr>
          <w:vertAlign w:val="superscript"/>
        </w:rPr>
        <w:t>2</w:t>
      </w:r>
      <w:r w:rsidRPr="00456281">
        <w:t>, the NALIRIFOX regimen also omits the 5-FU bolus and (unlike most other modified FOLFIRINOX regimens) uses a substantially reduced dose of oxaliplatin (</w:t>
      </w:r>
      <w:r w:rsidR="00BA5275" w:rsidRPr="00456281">
        <w:t>60</w:t>
      </w:r>
      <w:r w:rsidR="00076C6A">
        <w:t> </w:t>
      </w:r>
      <w:r w:rsidR="00BA5275" w:rsidRPr="00456281">
        <w:t>mg/m</w:t>
      </w:r>
      <w:r w:rsidR="00BA5275" w:rsidRPr="00456281">
        <w:rPr>
          <w:vertAlign w:val="superscript"/>
        </w:rPr>
        <w:t>2</w:t>
      </w:r>
      <w:r w:rsidR="00BA5275" w:rsidRPr="00456281">
        <w:t xml:space="preserve"> </w:t>
      </w:r>
      <w:r w:rsidR="00BA5275" w:rsidRPr="00456281">
        <w:lastRenderedPageBreak/>
        <w:t>versus 85 mg/m</w:t>
      </w:r>
      <w:r w:rsidR="00BA5275" w:rsidRPr="00456281">
        <w:rPr>
          <w:vertAlign w:val="superscript"/>
        </w:rPr>
        <w:t>2</w:t>
      </w:r>
      <w:r w:rsidRPr="00456281">
        <w:t>).</w:t>
      </w:r>
      <w:r w:rsidR="009C296E" w:rsidRPr="00456281">
        <w:t xml:space="preserve"> The PBAC noted that the reduced dose of oxaliplatin may reduce efficacy of the combination regimen.</w:t>
      </w:r>
      <w:bookmarkEnd w:id="36"/>
    </w:p>
    <w:p w14:paraId="7C96495D" w14:textId="509257C5" w:rsidR="00793787" w:rsidRPr="00456281" w:rsidRDefault="00793787" w:rsidP="006C7789">
      <w:pPr>
        <w:pStyle w:val="3-BodyText"/>
        <w:rPr>
          <w:i/>
          <w:iCs/>
          <w:snapToGrid/>
        </w:rPr>
      </w:pPr>
      <w:r w:rsidRPr="00456281">
        <w:t xml:space="preserve">The submission acknowledged that FOLFIRINOX is an alternative treatment option recommended in international guidelines as first-line treatment of mPAC. However, it stated that the use of Gem+NabP is more than six times greater than the use of FOLFIRINOX in Australia, and as such, the therapy prescribers would most replace in clinical practice is Gem+NabP. The submission presented FOLFIRINOX as a minor comparator in an appendix to the submission. </w:t>
      </w:r>
      <w:r w:rsidR="00F80D42" w:rsidRPr="00456281">
        <w:rPr>
          <w:snapToGrid/>
        </w:rPr>
        <w:t xml:space="preserve">The </w:t>
      </w:r>
      <w:r w:rsidR="009843C2">
        <w:rPr>
          <w:snapToGrid/>
        </w:rPr>
        <w:t>P</w:t>
      </w:r>
      <w:r w:rsidR="00883AD6" w:rsidRPr="00883AD6">
        <w:rPr>
          <w:snapToGrid/>
        </w:rPr>
        <w:t>re-</w:t>
      </w:r>
      <w:r w:rsidR="009843C2">
        <w:rPr>
          <w:snapToGrid/>
        </w:rPr>
        <w:t>S</w:t>
      </w:r>
      <w:r w:rsidR="00883AD6" w:rsidRPr="00883AD6">
        <w:rPr>
          <w:snapToGrid/>
        </w:rPr>
        <w:t>ub</w:t>
      </w:r>
      <w:r w:rsidR="009843C2">
        <w:rPr>
          <w:snapToGrid/>
        </w:rPr>
        <w:t>-C</w:t>
      </w:r>
      <w:r w:rsidR="00883AD6" w:rsidRPr="00883AD6">
        <w:rPr>
          <w:snapToGrid/>
        </w:rPr>
        <w:t xml:space="preserve">ommittee </w:t>
      </w:r>
      <w:r w:rsidR="009843C2">
        <w:rPr>
          <w:snapToGrid/>
        </w:rPr>
        <w:t>R</w:t>
      </w:r>
      <w:r w:rsidR="00883AD6" w:rsidRPr="00883AD6">
        <w:rPr>
          <w:snapToGrid/>
        </w:rPr>
        <w:t xml:space="preserve">esponse </w:t>
      </w:r>
      <w:r w:rsidR="00883AD6">
        <w:rPr>
          <w:snapToGrid/>
        </w:rPr>
        <w:t>(</w:t>
      </w:r>
      <w:r w:rsidR="00F80D42" w:rsidRPr="00456281">
        <w:rPr>
          <w:snapToGrid/>
        </w:rPr>
        <w:t>PSCR</w:t>
      </w:r>
      <w:r w:rsidR="00883AD6">
        <w:rPr>
          <w:snapToGrid/>
        </w:rPr>
        <w:t>)</w:t>
      </w:r>
      <w:r w:rsidR="00F80D42" w:rsidRPr="00456281">
        <w:rPr>
          <w:snapToGrid/>
        </w:rPr>
        <w:t xml:space="preserve"> stated there are important differences in the dose intensity of the individual drugs in FOLFIRINOX compared with NALIRIFOX, and that t</w:t>
      </w:r>
      <w:r w:rsidR="00F80D42" w:rsidRPr="00456281">
        <w:t xml:space="preserve">he potential for haematological toxicity with FOLFIRINOX is the key reason it is usually </w:t>
      </w:r>
      <w:r w:rsidR="00A931D1" w:rsidRPr="00456281">
        <w:t xml:space="preserve">reserved for </w:t>
      </w:r>
      <w:r w:rsidR="00F80D42" w:rsidRPr="00456281">
        <w:t xml:space="preserve">use in younger patients </w:t>
      </w:r>
      <w:r w:rsidR="00064AFE" w:rsidRPr="00456281">
        <w:t>(</w:t>
      </w:r>
      <w:r w:rsidR="00F80D42" w:rsidRPr="00456281">
        <w:t>compared with Gem+NabP</w:t>
      </w:r>
      <w:r w:rsidR="00064AFE" w:rsidRPr="00456281">
        <w:t>)</w:t>
      </w:r>
      <w:r w:rsidR="00F80D42" w:rsidRPr="00456281">
        <w:t>.</w:t>
      </w:r>
      <w:r w:rsidR="009C3CBE">
        <w:t xml:space="preserve"> </w:t>
      </w:r>
      <w:r w:rsidR="00AF7D3C" w:rsidRPr="00456281">
        <w:t xml:space="preserve">The PSCR considered that the </w:t>
      </w:r>
      <w:r w:rsidR="00F80D42" w:rsidRPr="00456281">
        <w:t>NAPOLI-3 trial</w:t>
      </w:r>
      <w:r w:rsidR="00AF7D3C" w:rsidRPr="00456281">
        <w:t xml:space="preserve"> results supported the use of NALIRIFOX in a broader patient population than the population currently treated with FOLFIRINOX</w:t>
      </w:r>
      <w:r w:rsidR="00493897" w:rsidRPr="00456281">
        <w:t>,</w:t>
      </w:r>
      <w:r w:rsidR="00AF7D3C" w:rsidRPr="00456281">
        <w:t xml:space="preserve"> which is usually used in younger patients. The ESC considered that NALIRIFOX may be used in a proportion of patients currently treated with Gem+NabP but that </w:t>
      </w:r>
      <w:r w:rsidRPr="00456281">
        <w:rPr>
          <w:snapToGrid/>
        </w:rPr>
        <w:t>FOLFIRINOX should be regarded as an additional main comparator.</w:t>
      </w:r>
    </w:p>
    <w:p w14:paraId="2625C249" w14:textId="770A3C18" w:rsidR="00FA5106" w:rsidRPr="00456281" w:rsidRDefault="00FA5106" w:rsidP="008E0B84">
      <w:pPr>
        <w:pStyle w:val="3-BodyText"/>
        <w:rPr>
          <w:snapToGrid/>
        </w:rPr>
      </w:pPr>
      <w:r w:rsidRPr="00456281">
        <w:rPr>
          <w:rStyle w:val="normaltextrun"/>
          <w:rFonts w:ascii="Calibri" w:hAnsi="Calibri" w:cs="Calibri"/>
          <w:color w:val="000000"/>
          <w:shd w:val="clear" w:color="auto" w:fill="FFFFFF"/>
        </w:rPr>
        <w:t>The ESC considered that a mixed comparator approach including both Gem+NabP and FOLFIRINOX would be appropriate.</w:t>
      </w:r>
      <w:r w:rsidRPr="00456281">
        <w:rPr>
          <w:snapToGrid/>
        </w:rPr>
        <w:t xml:space="preserve"> The </w:t>
      </w:r>
      <w:r w:rsidR="00F21431" w:rsidRPr="00456281">
        <w:rPr>
          <w:snapToGrid/>
        </w:rPr>
        <w:t xml:space="preserve">PBAC </w:t>
      </w:r>
      <w:r w:rsidRPr="00456281">
        <w:rPr>
          <w:snapToGrid/>
        </w:rPr>
        <w:t xml:space="preserve">noted that Gem+NabP is currently the most frequently used treatment in </w:t>
      </w:r>
      <w:r w:rsidR="00064AFE" w:rsidRPr="00456281">
        <w:rPr>
          <w:snapToGrid/>
        </w:rPr>
        <w:t>the first-line setting</w:t>
      </w:r>
      <w:r w:rsidR="00F21431" w:rsidRPr="00456281">
        <w:rPr>
          <w:snapToGrid/>
        </w:rPr>
        <w:t xml:space="preserve">, however considered that the main comparator for NALIRIFOX should be FOLFIRINOX, and not </w:t>
      </w:r>
      <w:r w:rsidR="00F21431" w:rsidRPr="00456281">
        <w:t xml:space="preserve">Gem+NabP as proposed by the submission (see paragraph </w:t>
      </w:r>
      <w:r w:rsidR="006F301F" w:rsidRPr="00456281">
        <w:fldChar w:fldCharType="begin"/>
      </w:r>
      <w:r w:rsidR="006F301F" w:rsidRPr="00456281">
        <w:instrText xml:space="preserve"> REF _Ref164153154 \r \h </w:instrText>
      </w:r>
      <w:r w:rsidR="006F301F" w:rsidRPr="00456281">
        <w:fldChar w:fldCharType="separate"/>
      </w:r>
      <w:r w:rsidR="00EE5AD4">
        <w:t>7.1</w:t>
      </w:r>
      <w:r w:rsidR="006F301F" w:rsidRPr="00456281">
        <w:fldChar w:fldCharType="end"/>
      </w:r>
      <w:r w:rsidR="00F21431" w:rsidRPr="00456281">
        <w:t>).</w:t>
      </w:r>
      <w:r w:rsidR="00E674D7" w:rsidRPr="00456281" w:rsidDel="00E674D7">
        <w:rPr>
          <w:snapToGrid/>
        </w:rPr>
        <w:t xml:space="preserve"> </w:t>
      </w:r>
    </w:p>
    <w:p w14:paraId="648C4036" w14:textId="6A8503D6" w:rsidR="00BF3ACC" w:rsidRPr="00456281" w:rsidRDefault="00236923" w:rsidP="003A55C7">
      <w:pPr>
        <w:pStyle w:val="3-BodyText"/>
        <w:rPr>
          <w:snapToGrid/>
        </w:rPr>
      </w:pPr>
      <w:bookmarkStart w:id="37" w:name="_Ref159487078"/>
      <w:bookmarkStart w:id="38" w:name="_Ref164084878"/>
      <w:r w:rsidRPr="00456281">
        <w:rPr>
          <w:rStyle w:val="normaltextrun"/>
          <w:snapToGrid/>
        </w:rPr>
        <w:t xml:space="preserve">The NCCN Guidelines </w:t>
      </w:r>
      <w:r w:rsidR="00E81499" w:rsidRPr="00456281">
        <w:rPr>
          <w:rStyle w:val="normaltextrun"/>
          <w:snapToGrid/>
        </w:rPr>
        <w:t>state that “While NCCN recognizes that there is high-level evidence supporting the use of NALIRIFOX over gemcitabine and albumin-bound paclitaxel, it should be recognized that this regimen does not appear to have an advantage over FOLFIRINOX and adds considerably more expense compared to FOLFIRINOX.” (</w:t>
      </w:r>
      <w:r w:rsidR="00A8121B" w:rsidRPr="00456281">
        <w:rPr>
          <w:rStyle w:val="normaltextrun"/>
          <w:snapToGrid/>
        </w:rPr>
        <w:t xml:space="preserve">Pancreatic Adenocarcinoma, </w:t>
      </w:r>
      <w:r w:rsidR="00A8121B" w:rsidRPr="00456281">
        <w:rPr>
          <w:rStyle w:val="normaltextrun"/>
          <w:i/>
          <w:iCs/>
          <w:snapToGrid/>
        </w:rPr>
        <w:t>Version 1.2024</w:t>
      </w:r>
      <w:r w:rsidR="00A8121B" w:rsidRPr="00456281">
        <w:rPr>
          <w:rStyle w:val="normaltextrun"/>
          <w:snapToGrid/>
        </w:rPr>
        <w:t xml:space="preserve"> </w:t>
      </w:r>
      <w:r w:rsidR="00E81499" w:rsidRPr="00456281">
        <w:rPr>
          <w:rStyle w:val="normaltextrun"/>
          <w:snapToGrid/>
        </w:rPr>
        <w:t>PANC-F, 5 of 12)</w:t>
      </w:r>
      <w:r w:rsidRPr="00456281">
        <w:rPr>
          <w:rStyle w:val="normaltextrun"/>
          <w:snapToGrid/>
        </w:rPr>
        <w:t>.</w:t>
      </w:r>
      <w:bookmarkEnd w:id="37"/>
      <w:bookmarkEnd w:id="38"/>
    </w:p>
    <w:p w14:paraId="4443DBAE" w14:textId="04AD647F" w:rsidR="00690769" w:rsidRPr="00456281" w:rsidRDefault="00690769" w:rsidP="00690769">
      <w:pPr>
        <w:pStyle w:val="3-BodyText"/>
        <w:numPr>
          <w:ilvl w:val="0"/>
          <w:numId w:val="0"/>
        </w:numPr>
        <w:ind w:left="720"/>
        <w:rPr>
          <w:snapToGrid/>
        </w:rPr>
      </w:pPr>
      <w:r w:rsidRPr="00456281">
        <w:rPr>
          <w:i/>
          <w:iCs/>
        </w:rPr>
        <w:t>For more detail on PBAC’s view, see section 7 PBAC outcome.</w:t>
      </w:r>
    </w:p>
    <w:p w14:paraId="03AD1FC8" w14:textId="77777777" w:rsidR="00016609" w:rsidRPr="00456281" w:rsidRDefault="00016609" w:rsidP="00016609">
      <w:pPr>
        <w:pStyle w:val="2-SectionHeading"/>
      </w:pPr>
      <w:bookmarkStart w:id="39" w:name="_Toc107927625"/>
      <w:bookmarkStart w:id="40" w:name="_Toc157002548"/>
      <w:bookmarkStart w:id="41" w:name="_Toc22897640"/>
      <w:r w:rsidRPr="00456281">
        <w:t>Consideration of the evidence</w:t>
      </w:r>
      <w:bookmarkEnd w:id="39"/>
      <w:bookmarkEnd w:id="40"/>
    </w:p>
    <w:p w14:paraId="0F9BD83D" w14:textId="77777777" w:rsidR="00690769" w:rsidRPr="00456281" w:rsidRDefault="00690769" w:rsidP="00690769">
      <w:pPr>
        <w:pStyle w:val="4-SubsectionHeading"/>
      </w:pPr>
      <w:bookmarkStart w:id="42" w:name="_Hlk76375935"/>
      <w:bookmarkStart w:id="43" w:name="_Toc157002549"/>
      <w:bookmarkStart w:id="44" w:name="_Toc107927626"/>
      <w:r w:rsidRPr="00456281">
        <w:t>Sponsor hearing</w:t>
      </w:r>
    </w:p>
    <w:p w14:paraId="28FDE470" w14:textId="1BFDCB87" w:rsidR="00690769" w:rsidRPr="00456281" w:rsidRDefault="00690769" w:rsidP="00690769">
      <w:pPr>
        <w:widowControl w:val="0"/>
        <w:numPr>
          <w:ilvl w:val="1"/>
          <w:numId w:val="1"/>
        </w:numPr>
        <w:spacing w:after="120"/>
        <w:rPr>
          <w:rFonts w:cs="Calibri"/>
          <w:bCs/>
          <w:snapToGrid w:val="0"/>
        </w:rPr>
      </w:pPr>
      <w:r w:rsidRPr="00456281">
        <w:rPr>
          <w:rFonts w:cs="Calibri"/>
          <w:bCs/>
          <w:snapToGrid w:val="0"/>
        </w:rPr>
        <w:t>There was no hearing for this item.</w:t>
      </w:r>
    </w:p>
    <w:p w14:paraId="168EB6E0" w14:textId="77777777" w:rsidR="00690769" w:rsidRPr="00456281" w:rsidRDefault="00690769" w:rsidP="00690769">
      <w:pPr>
        <w:pStyle w:val="4-SubsectionHeading"/>
      </w:pPr>
      <w:r w:rsidRPr="00456281">
        <w:t>Consumer comments</w:t>
      </w:r>
    </w:p>
    <w:p w14:paraId="746A168C" w14:textId="0A503521" w:rsidR="00D166C9" w:rsidRPr="00456281" w:rsidRDefault="00690769" w:rsidP="009C296E">
      <w:pPr>
        <w:pStyle w:val="3-BodyText"/>
      </w:pPr>
      <w:bookmarkStart w:id="45" w:name="_Hlk76382618"/>
      <w:r w:rsidRPr="00456281">
        <w:t>The PBAC noted and welcomed the input from individuals (</w:t>
      </w:r>
      <w:r w:rsidR="004A5E1D" w:rsidRPr="00456281">
        <w:t>3</w:t>
      </w:r>
      <w:r w:rsidRPr="00456281">
        <w:t>), health care professionals (</w:t>
      </w:r>
      <w:r w:rsidR="004A5E1D" w:rsidRPr="00456281">
        <w:t>2</w:t>
      </w:r>
      <w:r w:rsidRPr="00456281">
        <w:t>) and organisations (</w:t>
      </w:r>
      <w:r w:rsidR="004A5E1D" w:rsidRPr="00456281">
        <w:t>3</w:t>
      </w:r>
      <w:r w:rsidRPr="00456281">
        <w:t xml:space="preserve">) via the Consumer Comments facility on the PBS website. </w:t>
      </w:r>
      <w:r w:rsidR="00977128" w:rsidRPr="00456281">
        <w:t xml:space="preserve">The input described pancreatic cancer as a devastating diagnosis for patients and their families, with poor survival and limited treatment options. </w:t>
      </w:r>
      <w:r w:rsidR="00576F61" w:rsidRPr="00456281">
        <w:t xml:space="preserve">The input from organisations, including </w:t>
      </w:r>
      <w:r w:rsidR="00576F61" w:rsidRPr="00456281">
        <w:rPr>
          <w:snapToGrid/>
        </w:rPr>
        <w:t>Pankind (the Australian Pancreatic Cancer Foundation), Pancare and Rare Cancers Australia</w:t>
      </w:r>
      <w:r w:rsidR="00972944" w:rsidRPr="00456281">
        <w:rPr>
          <w:snapToGrid/>
        </w:rPr>
        <w:t>,</w:t>
      </w:r>
      <w:r w:rsidR="00576F61" w:rsidRPr="00456281">
        <w:rPr>
          <w:snapToGrid/>
        </w:rPr>
        <w:t xml:space="preserve"> described the experiences of Australian patients </w:t>
      </w:r>
      <w:r w:rsidR="00576F61" w:rsidRPr="00456281">
        <w:rPr>
          <w:snapToGrid/>
        </w:rPr>
        <w:lastRenderedPageBreak/>
        <w:t xml:space="preserve">and </w:t>
      </w:r>
      <w:r w:rsidR="00972944" w:rsidRPr="00456281">
        <w:rPr>
          <w:snapToGrid/>
        </w:rPr>
        <w:t xml:space="preserve">emphasised </w:t>
      </w:r>
      <w:r w:rsidR="00576F61" w:rsidRPr="00456281">
        <w:rPr>
          <w:snapToGrid/>
        </w:rPr>
        <w:t>an urgent need for new effective therapies</w:t>
      </w:r>
      <w:r w:rsidR="009C3CBE" w:rsidRPr="00456281">
        <w:rPr>
          <w:snapToGrid/>
        </w:rPr>
        <w:t xml:space="preserve">. </w:t>
      </w:r>
      <w:r w:rsidR="00972944" w:rsidRPr="00456281">
        <w:rPr>
          <w:snapToGrid/>
        </w:rPr>
        <w:t>A number of comments supported the proposed PBS listing, as it would provide an alternative treatment option. It was noted that access to the therapy would be limited without PBS listing, due to cost.</w:t>
      </w:r>
      <w:r w:rsidR="00B676F6" w:rsidRPr="00456281">
        <w:t xml:space="preserve"> One health professional noted that the use of nal-IRI as part of the NALIRIFOX regimen does not appear to have any effectiveness advantage over FOLFIRINOX, while having a comparable toxicity profile and additional cost. One individual who received treatment with nal-IRI noted that the side effects </w:t>
      </w:r>
      <w:r w:rsidR="00AA7207" w:rsidRPr="00456281">
        <w:t>associated with nal-IRI resulted in a decision to cease treatment.</w:t>
      </w:r>
      <w:r w:rsidR="00B676F6" w:rsidRPr="00456281">
        <w:t xml:space="preserve"> </w:t>
      </w:r>
      <w:bookmarkStart w:id="46" w:name="_Ref164117792"/>
    </w:p>
    <w:bookmarkEnd w:id="42"/>
    <w:bookmarkEnd w:id="45"/>
    <w:bookmarkEnd w:id="46"/>
    <w:p w14:paraId="23A8E77E" w14:textId="4857FFA5" w:rsidR="00016609" w:rsidRPr="00456281" w:rsidRDefault="00016609" w:rsidP="00016609">
      <w:pPr>
        <w:pStyle w:val="4-SubsectionHeading"/>
      </w:pPr>
      <w:r w:rsidRPr="00456281">
        <w:t>Clinical trials</w:t>
      </w:r>
      <w:bookmarkEnd w:id="43"/>
    </w:p>
    <w:p w14:paraId="21C58A38" w14:textId="3B1A2AEF" w:rsidR="00016609" w:rsidRPr="00456281" w:rsidRDefault="00016609" w:rsidP="00016609">
      <w:pPr>
        <w:pStyle w:val="3-BodyText"/>
      </w:pPr>
      <w:r w:rsidRPr="00456281">
        <w:t xml:space="preserve">The submission </w:t>
      </w:r>
      <w:r w:rsidR="00780058" w:rsidRPr="00456281">
        <w:t>presented</w:t>
      </w:r>
      <w:r w:rsidRPr="00456281">
        <w:t xml:space="preserve"> a direct comparison </w:t>
      </w:r>
      <w:r w:rsidR="00780058" w:rsidRPr="00456281">
        <w:t xml:space="preserve">of </w:t>
      </w:r>
      <w:r w:rsidRPr="00456281">
        <w:t xml:space="preserve">NALIRIFOX </w:t>
      </w:r>
      <w:r w:rsidR="00780058" w:rsidRPr="00456281">
        <w:t xml:space="preserve">and </w:t>
      </w:r>
      <w:r w:rsidRPr="00456281">
        <w:t>Gem+NabP</w:t>
      </w:r>
      <w:r w:rsidR="00D166C9" w:rsidRPr="00456281">
        <w:t xml:space="preserve"> based on one randomised controlled trial (RCT)</w:t>
      </w:r>
      <w:r w:rsidRPr="00456281">
        <w:t>:</w:t>
      </w:r>
    </w:p>
    <w:p w14:paraId="325437B9" w14:textId="193E0D24" w:rsidR="00016609" w:rsidRPr="00456281" w:rsidRDefault="00016609" w:rsidP="00690769">
      <w:pPr>
        <w:pStyle w:val="ListParagraph"/>
        <w:numPr>
          <w:ilvl w:val="0"/>
          <w:numId w:val="18"/>
        </w:numPr>
      </w:pPr>
      <w:r w:rsidRPr="00456281">
        <w:t xml:space="preserve">NAPOLI-3 (N=770): </w:t>
      </w:r>
      <w:r w:rsidR="0006674E" w:rsidRPr="00456281">
        <w:t>An ongoing</w:t>
      </w:r>
      <w:r w:rsidR="005C1203" w:rsidRPr="00456281">
        <w:rPr>
          <w:rStyle w:val="FootnoteReference"/>
        </w:rPr>
        <w:footnoteReference w:id="4"/>
      </w:r>
      <w:r w:rsidR="005C1203" w:rsidRPr="00456281">
        <w:t xml:space="preserve"> Phase III</w:t>
      </w:r>
      <w:r w:rsidRPr="00456281">
        <w:t>, open-label, multinational, head-to-head</w:t>
      </w:r>
      <w:r w:rsidR="005C1203" w:rsidRPr="00456281">
        <w:t xml:space="preserve"> RCT</w:t>
      </w:r>
      <w:r w:rsidRPr="00456281">
        <w:t xml:space="preserve"> , </w:t>
      </w:r>
      <w:r w:rsidR="005C1203" w:rsidRPr="00456281">
        <w:t>comparing</w:t>
      </w:r>
      <w:r w:rsidR="0006674E" w:rsidRPr="00456281">
        <w:t xml:space="preserve"> </w:t>
      </w:r>
      <w:r w:rsidRPr="00456281">
        <w:t xml:space="preserve">NALIRIFOX with Gem+NabP in patients with mPAC who had not previously received chemotherapy for their disease in the metastatic treatment setting. </w:t>
      </w:r>
      <w:r w:rsidR="00250AC8" w:rsidRPr="00456281">
        <w:t xml:space="preserve">Blinding was not feasible due to the difference in treatment regimens (four components in the NALIRIFOX arm versus two in the Gem+NabP arm, and dosing on different days). </w:t>
      </w:r>
      <w:r w:rsidRPr="00456281">
        <w:t>The results of the data cut in July 2022 were presented.</w:t>
      </w:r>
      <w:r w:rsidR="0037433D" w:rsidRPr="00456281">
        <w:t xml:space="preserve"> The median follow-up was 16 months for NALIRIFOX and 16.3 months for Gem+NabP.</w:t>
      </w:r>
    </w:p>
    <w:p w14:paraId="63EA8295" w14:textId="6838163E" w:rsidR="00016609" w:rsidRPr="00456281" w:rsidRDefault="00016609">
      <w:pPr>
        <w:pStyle w:val="3-BodyText"/>
      </w:pPr>
      <w:r w:rsidRPr="00456281">
        <w:t xml:space="preserve">The submission </w:t>
      </w:r>
      <w:r w:rsidR="008F73E1" w:rsidRPr="00456281">
        <w:t xml:space="preserve">also </w:t>
      </w:r>
      <w:r w:rsidR="00E805BF" w:rsidRPr="00456281">
        <w:t>presented</w:t>
      </w:r>
      <w:r w:rsidRPr="00456281">
        <w:t xml:space="preserve"> </w:t>
      </w:r>
      <w:r w:rsidR="00D86C20" w:rsidRPr="00456281">
        <w:t>a ‘side by side’</w:t>
      </w:r>
      <w:r w:rsidR="007F6312" w:rsidRPr="00456281">
        <w:t xml:space="preserve"> </w:t>
      </w:r>
      <w:r w:rsidR="00D86C20" w:rsidRPr="00456281">
        <w:t>comparison</w:t>
      </w:r>
      <w:r w:rsidR="007F6312" w:rsidRPr="00456281">
        <w:t xml:space="preserve"> </w:t>
      </w:r>
      <w:r w:rsidR="00780058" w:rsidRPr="00456281">
        <w:t xml:space="preserve">of </w:t>
      </w:r>
      <w:r w:rsidR="00740BC8" w:rsidRPr="00456281">
        <w:t xml:space="preserve">NALIRIFOX and FOLFIRINOX </w:t>
      </w:r>
      <w:r w:rsidR="00112212" w:rsidRPr="00456281">
        <w:t xml:space="preserve">using </w:t>
      </w:r>
      <w:r w:rsidRPr="00456281" w:rsidDel="00740BC8">
        <w:t>three RCTs</w:t>
      </w:r>
      <w:r w:rsidR="00740BC8" w:rsidRPr="00456281">
        <w:t xml:space="preserve">. The submission stated that due to poor exchangeability of the trials, neither a naïve comparison of single arms, nor a multistep </w:t>
      </w:r>
      <w:r w:rsidR="008245B0" w:rsidRPr="00456281">
        <w:t>indirect treatment comparison (</w:t>
      </w:r>
      <w:r w:rsidR="00740BC8" w:rsidRPr="00456281">
        <w:t>ITC</w:t>
      </w:r>
      <w:r w:rsidR="008245B0" w:rsidRPr="00456281">
        <w:t>)</w:t>
      </w:r>
      <w:r w:rsidR="00740BC8" w:rsidRPr="00456281">
        <w:t xml:space="preserve">, </w:t>
      </w:r>
      <w:r w:rsidR="007A4106" w:rsidRPr="00456281">
        <w:t xml:space="preserve">was </w:t>
      </w:r>
      <w:r w:rsidR="00740BC8" w:rsidRPr="00456281">
        <w:t xml:space="preserve">considered appropriate. </w:t>
      </w:r>
    </w:p>
    <w:p w14:paraId="36A067D2" w14:textId="635F5428" w:rsidR="00016609" w:rsidRPr="00456281" w:rsidRDefault="00016609" w:rsidP="00690769">
      <w:pPr>
        <w:pStyle w:val="ListParagraph"/>
        <w:numPr>
          <w:ilvl w:val="0"/>
          <w:numId w:val="18"/>
        </w:numPr>
      </w:pPr>
      <w:r w:rsidRPr="00456281">
        <w:t xml:space="preserve">NAPOLI-3 (N=770): </w:t>
      </w:r>
      <w:r w:rsidR="0006674E" w:rsidRPr="00456281">
        <w:t xml:space="preserve">Compared </w:t>
      </w:r>
      <w:r w:rsidRPr="00456281">
        <w:t xml:space="preserve">NALIRIFOX with Gem+NabP as </w:t>
      </w:r>
      <w:r w:rsidR="007A4106" w:rsidRPr="00456281">
        <w:t xml:space="preserve">described </w:t>
      </w:r>
      <w:r w:rsidRPr="00456281">
        <w:t>above.</w:t>
      </w:r>
    </w:p>
    <w:p w14:paraId="42BBA706" w14:textId="3A844E7D" w:rsidR="00016609" w:rsidRPr="00456281" w:rsidRDefault="00016609" w:rsidP="00690769">
      <w:pPr>
        <w:pStyle w:val="ListParagraph"/>
        <w:numPr>
          <w:ilvl w:val="0"/>
          <w:numId w:val="18"/>
        </w:numPr>
      </w:pPr>
      <w:r w:rsidRPr="00456281">
        <w:t xml:space="preserve">ACCORD11/PRODIGE4 (N=342): </w:t>
      </w:r>
      <w:r w:rsidR="0006674E" w:rsidRPr="00456281">
        <w:t xml:space="preserve">A </w:t>
      </w:r>
      <w:r w:rsidR="00923221" w:rsidRPr="00456281">
        <w:t xml:space="preserve">French </w:t>
      </w:r>
      <w:r w:rsidR="0006674E" w:rsidRPr="00456281">
        <w:t>multi</w:t>
      </w:r>
      <w:r w:rsidRPr="00456281">
        <w:t>centre (</w:t>
      </w:r>
      <w:r w:rsidR="00923221" w:rsidRPr="00456281">
        <w:t>48 sites</w:t>
      </w:r>
      <w:r w:rsidRPr="00456281">
        <w:t xml:space="preserve">), open label, phase II/III RCT </w:t>
      </w:r>
      <w:r w:rsidR="0006674E" w:rsidRPr="00456281">
        <w:t xml:space="preserve">that directly compared </w:t>
      </w:r>
      <w:r w:rsidRPr="00456281">
        <w:t xml:space="preserve">FOLFIRINOX and </w:t>
      </w:r>
      <w:r w:rsidR="00E86630" w:rsidRPr="00456281">
        <w:t>g</w:t>
      </w:r>
      <w:r w:rsidRPr="00456281">
        <w:t xml:space="preserve">emcitabine in patients with mPAC who had not previously been treated with chemotherapy. The data cut off for final analysis was in April 2010. </w:t>
      </w:r>
    </w:p>
    <w:p w14:paraId="340372D0" w14:textId="32056696" w:rsidR="00016609" w:rsidRPr="00456281" w:rsidRDefault="00016609" w:rsidP="00690769">
      <w:pPr>
        <w:pStyle w:val="ListParagraph"/>
        <w:numPr>
          <w:ilvl w:val="0"/>
          <w:numId w:val="18"/>
        </w:numPr>
      </w:pPr>
      <w:r w:rsidRPr="00456281">
        <w:t xml:space="preserve">MPACT (N=861): </w:t>
      </w:r>
      <w:r w:rsidR="0006674E" w:rsidRPr="00456281">
        <w:t>A multi</w:t>
      </w:r>
      <w:r w:rsidRPr="00456281">
        <w:t xml:space="preserve">national, open label, phase III RCT </w:t>
      </w:r>
      <w:r w:rsidR="0006674E" w:rsidRPr="00456281">
        <w:t xml:space="preserve">that directly compared </w:t>
      </w:r>
      <w:r w:rsidR="002D2C15" w:rsidRPr="00456281">
        <w:t>Gem+NabP</w:t>
      </w:r>
      <w:r w:rsidRPr="00456281">
        <w:t xml:space="preserve"> and </w:t>
      </w:r>
      <w:r w:rsidR="00E86630" w:rsidRPr="00456281">
        <w:t>g</w:t>
      </w:r>
      <w:r w:rsidRPr="00456281">
        <w:t>emcitabine in patients with mPAC who had not previously received chemotherapy for metastatic disease. The data cut off for final analysis was in September 2012.</w:t>
      </w:r>
      <w:r w:rsidR="00E0006C" w:rsidRPr="00456281">
        <w:t xml:space="preserve"> This study </w:t>
      </w:r>
      <w:r w:rsidR="00780058" w:rsidRPr="00456281">
        <w:t>was</w:t>
      </w:r>
      <w:r w:rsidR="00E0006C" w:rsidRPr="00456281">
        <w:t xml:space="preserve"> previously considered by the PBAC for NabP </w:t>
      </w:r>
      <w:r w:rsidR="007A4106" w:rsidRPr="00456281">
        <w:t xml:space="preserve">at </w:t>
      </w:r>
      <w:r w:rsidR="00E0006C" w:rsidRPr="00456281">
        <w:t>the March 2014 meeting.</w:t>
      </w:r>
    </w:p>
    <w:p w14:paraId="0358630B" w14:textId="33709EE9" w:rsidR="00016609" w:rsidRPr="00456281" w:rsidRDefault="00016609" w:rsidP="00016609">
      <w:pPr>
        <w:pStyle w:val="3-BodyText"/>
      </w:pPr>
      <w:r w:rsidRPr="00456281">
        <w:t xml:space="preserve">Details of the trials presented in the submission are provided in </w:t>
      </w:r>
      <w:r w:rsidRPr="00456281">
        <w:fldChar w:fldCharType="begin"/>
      </w:r>
      <w:r w:rsidRPr="00456281">
        <w:instrText xml:space="preserve"> REF _Ref153565248 \h </w:instrText>
      </w:r>
      <w:r w:rsidRPr="00456281">
        <w:fldChar w:fldCharType="separate"/>
      </w:r>
      <w:r w:rsidR="00EE5AD4" w:rsidRPr="00456281">
        <w:t xml:space="preserve">Table </w:t>
      </w:r>
      <w:r w:rsidR="00EE5AD4">
        <w:rPr>
          <w:noProof/>
        </w:rPr>
        <w:t>2</w:t>
      </w:r>
      <w:r w:rsidRPr="00456281">
        <w:fldChar w:fldCharType="end"/>
      </w:r>
      <w:r w:rsidRPr="00456281">
        <w:t xml:space="preserve">. </w:t>
      </w:r>
    </w:p>
    <w:p w14:paraId="4DF9CFC9" w14:textId="69474F53" w:rsidR="00016609" w:rsidRPr="00456281" w:rsidRDefault="00016609" w:rsidP="004D10D6">
      <w:pPr>
        <w:pStyle w:val="TableFigureHeading"/>
        <w:keepLines/>
        <w:rPr>
          <w:rStyle w:val="CommentReference"/>
          <w:b/>
          <w:szCs w:val="24"/>
        </w:rPr>
      </w:pPr>
      <w:bookmarkStart w:id="47" w:name="_Ref153565248"/>
      <w:bookmarkEnd w:id="41"/>
      <w:bookmarkEnd w:id="44"/>
      <w:r w:rsidRPr="00456281">
        <w:lastRenderedPageBreak/>
        <w:t xml:space="preserve">Table </w:t>
      </w:r>
      <w:r w:rsidR="00B75F7B">
        <w:fldChar w:fldCharType="begin"/>
      </w:r>
      <w:r w:rsidR="00B75F7B">
        <w:instrText xml:space="preserve"> SEQ Table \* ARABIC </w:instrText>
      </w:r>
      <w:r w:rsidR="00B75F7B">
        <w:fldChar w:fldCharType="separate"/>
      </w:r>
      <w:r w:rsidR="00EE5AD4">
        <w:rPr>
          <w:noProof/>
        </w:rPr>
        <w:t>2</w:t>
      </w:r>
      <w:r w:rsidR="00B75F7B">
        <w:fldChar w:fldCharType="end"/>
      </w:r>
      <w:bookmarkEnd w:id="47"/>
      <w:r w:rsidRPr="00456281">
        <w:t>:</w:t>
      </w:r>
      <w:r w:rsidRPr="00456281">
        <w:rPr>
          <w:rStyle w:val="CommentReference"/>
          <w:b/>
          <w:szCs w:val="24"/>
        </w:rPr>
        <w:t xml:space="preserve"> Trials and associated reports presented in the submission</w:t>
      </w:r>
    </w:p>
    <w:tbl>
      <w:tblPr>
        <w:tblStyle w:val="TableGrid"/>
        <w:tblW w:w="5000" w:type="pct"/>
        <w:tblLayout w:type="fixed"/>
        <w:tblLook w:val="04A0" w:firstRow="1" w:lastRow="0" w:firstColumn="1" w:lastColumn="0" w:noHBand="0" w:noVBand="1"/>
        <w:tblCaption w:val="Table 2: Trials and associated reports presented in the submission"/>
      </w:tblPr>
      <w:tblGrid>
        <w:gridCol w:w="2123"/>
        <w:gridCol w:w="4676"/>
        <w:gridCol w:w="2218"/>
      </w:tblGrid>
      <w:tr w:rsidR="00016609" w:rsidRPr="00456281" w14:paraId="7A1CBFE4" w14:textId="77777777" w:rsidTr="00076C6A">
        <w:trPr>
          <w:tblHeader/>
        </w:trPr>
        <w:tc>
          <w:tcPr>
            <w:tcW w:w="1177" w:type="pct"/>
            <w:shd w:val="clear" w:color="auto" w:fill="auto"/>
          </w:tcPr>
          <w:p w14:paraId="03A52F29" w14:textId="77777777" w:rsidR="00016609" w:rsidRPr="00456281" w:rsidRDefault="00016609" w:rsidP="004D10D6">
            <w:pPr>
              <w:pStyle w:val="In-tableHeading"/>
              <w:keepLines/>
              <w:widowControl w:val="0"/>
              <w:suppressLineNumbers/>
              <w:rPr>
                <w:lang w:val="en-AU"/>
              </w:rPr>
            </w:pPr>
            <w:bookmarkStart w:id="48" w:name="_Hlk156821978"/>
            <w:r w:rsidRPr="00456281">
              <w:rPr>
                <w:lang w:val="en-AU"/>
              </w:rPr>
              <w:t>Trial ID</w:t>
            </w:r>
          </w:p>
        </w:tc>
        <w:tc>
          <w:tcPr>
            <w:tcW w:w="2593" w:type="pct"/>
            <w:tcBorders>
              <w:bottom w:val="single" w:sz="4" w:space="0" w:color="auto"/>
            </w:tcBorders>
            <w:shd w:val="clear" w:color="auto" w:fill="auto"/>
          </w:tcPr>
          <w:p w14:paraId="730EE2E7" w14:textId="77777777" w:rsidR="00016609" w:rsidRPr="00456281" w:rsidRDefault="00016609" w:rsidP="004D10D6">
            <w:pPr>
              <w:pStyle w:val="In-tableHeading"/>
              <w:keepLines/>
              <w:widowControl w:val="0"/>
              <w:suppressLineNumbers/>
              <w:rPr>
                <w:lang w:val="en-AU"/>
              </w:rPr>
            </w:pPr>
            <w:r w:rsidRPr="00456281">
              <w:rPr>
                <w:lang w:val="en-AU"/>
              </w:rPr>
              <w:t>Report</w:t>
            </w:r>
          </w:p>
        </w:tc>
        <w:tc>
          <w:tcPr>
            <w:tcW w:w="1230" w:type="pct"/>
            <w:tcBorders>
              <w:bottom w:val="single" w:sz="4" w:space="0" w:color="auto"/>
            </w:tcBorders>
            <w:shd w:val="clear" w:color="auto" w:fill="auto"/>
            <w:vAlign w:val="center"/>
          </w:tcPr>
          <w:p w14:paraId="1D239BCD" w14:textId="77777777" w:rsidR="00016609" w:rsidRPr="00456281" w:rsidRDefault="00016609" w:rsidP="004D10D6">
            <w:pPr>
              <w:pStyle w:val="In-tableHeading"/>
              <w:keepLines/>
              <w:widowControl w:val="0"/>
              <w:suppressLineNumbers/>
              <w:rPr>
                <w:lang w:val="en-AU"/>
              </w:rPr>
            </w:pPr>
            <w:r w:rsidRPr="00456281">
              <w:rPr>
                <w:lang w:val="en-AU"/>
              </w:rPr>
              <w:t>Publication citation</w:t>
            </w:r>
          </w:p>
        </w:tc>
      </w:tr>
      <w:tr w:rsidR="00690769" w:rsidRPr="00456281" w14:paraId="3CDEE6A1" w14:textId="77777777" w:rsidTr="00690769">
        <w:tc>
          <w:tcPr>
            <w:tcW w:w="5000" w:type="pct"/>
            <w:gridSpan w:val="3"/>
            <w:tcBorders>
              <w:right w:val="single" w:sz="4" w:space="0" w:color="auto"/>
            </w:tcBorders>
          </w:tcPr>
          <w:p w14:paraId="0AB78110" w14:textId="224110E2" w:rsidR="00690769" w:rsidRPr="00456281" w:rsidRDefault="00690769" w:rsidP="004D10D6">
            <w:pPr>
              <w:pStyle w:val="PBACTabletext"/>
              <w:widowControl w:val="0"/>
              <w:rPr>
                <w:b/>
                <w:bCs/>
              </w:rPr>
            </w:pPr>
            <w:r w:rsidRPr="00456281">
              <w:rPr>
                <w:b/>
                <w:bCs/>
              </w:rPr>
              <w:t>Indirect randomised trials</w:t>
            </w:r>
          </w:p>
        </w:tc>
      </w:tr>
      <w:tr w:rsidR="00690769" w:rsidRPr="00456281" w14:paraId="71C6BBDE" w14:textId="77777777" w:rsidTr="00076C6A">
        <w:tc>
          <w:tcPr>
            <w:tcW w:w="1177" w:type="pct"/>
            <w:vMerge w:val="restart"/>
            <w:tcBorders>
              <w:right w:val="single" w:sz="4" w:space="0" w:color="auto"/>
            </w:tcBorders>
          </w:tcPr>
          <w:p w14:paraId="3BFA856A" w14:textId="77777777" w:rsidR="00690769" w:rsidRPr="00456281" w:rsidRDefault="00690769" w:rsidP="004D10D6">
            <w:pPr>
              <w:pStyle w:val="PBACTabletext"/>
              <w:widowControl w:val="0"/>
            </w:pPr>
            <w:r w:rsidRPr="00456281">
              <w:t>NAPOLI-3</w:t>
            </w:r>
          </w:p>
          <w:p w14:paraId="14DD0974" w14:textId="77777777" w:rsidR="00690769" w:rsidRPr="00456281" w:rsidRDefault="00690769" w:rsidP="004D10D6">
            <w:pPr>
              <w:pStyle w:val="PBACTabletext"/>
              <w:widowControl w:val="0"/>
            </w:pPr>
            <w:r w:rsidRPr="00456281">
              <w:t>NCT04083235</w:t>
            </w:r>
          </w:p>
        </w:tc>
        <w:tc>
          <w:tcPr>
            <w:tcW w:w="2593" w:type="pct"/>
            <w:vMerge w:val="restart"/>
            <w:tcBorders>
              <w:top w:val="single" w:sz="4" w:space="0" w:color="auto"/>
              <w:left w:val="single" w:sz="4" w:space="0" w:color="auto"/>
              <w:right w:val="single" w:sz="4" w:space="0" w:color="auto"/>
            </w:tcBorders>
          </w:tcPr>
          <w:p w14:paraId="7EC067BA" w14:textId="77777777" w:rsidR="00690769" w:rsidRPr="00456281" w:rsidRDefault="00690769" w:rsidP="004D10D6">
            <w:pPr>
              <w:pStyle w:val="PBACTabletext"/>
              <w:widowControl w:val="0"/>
            </w:pPr>
            <w:r w:rsidRPr="00456281">
              <w:t>An open-label, randomised, multicentre, phase III study of irinotecan liposome injection, oxaliplatin, 5-fluorouracil/leucovorin versus nab-paclitaxel plus gemcitabine in subjects who have not previously received chemotherapy for metastatic adenocarcinoma of the pancreas.</w:t>
            </w:r>
          </w:p>
        </w:tc>
        <w:tc>
          <w:tcPr>
            <w:tcW w:w="1230" w:type="pct"/>
            <w:tcBorders>
              <w:top w:val="single" w:sz="4" w:space="0" w:color="auto"/>
              <w:left w:val="single" w:sz="4" w:space="0" w:color="auto"/>
              <w:bottom w:val="nil"/>
              <w:right w:val="single" w:sz="4" w:space="0" w:color="auto"/>
            </w:tcBorders>
          </w:tcPr>
          <w:p w14:paraId="36583A70" w14:textId="77777777" w:rsidR="00690769" w:rsidRPr="00456281" w:rsidRDefault="00690769" w:rsidP="004D10D6">
            <w:pPr>
              <w:pStyle w:val="PBACTabletext"/>
              <w:widowControl w:val="0"/>
            </w:pPr>
            <w:r w:rsidRPr="00456281">
              <w:t>CSR March 2023</w:t>
            </w:r>
          </w:p>
        </w:tc>
      </w:tr>
      <w:tr w:rsidR="00690769" w:rsidRPr="00456281" w14:paraId="7C2553F1" w14:textId="77777777" w:rsidTr="00076C6A">
        <w:tc>
          <w:tcPr>
            <w:tcW w:w="1177" w:type="pct"/>
            <w:vMerge/>
            <w:tcBorders>
              <w:right w:val="single" w:sz="4" w:space="0" w:color="auto"/>
            </w:tcBorders>
          </w:tcPr>
          <w:p w14:paraId="7022240A" w14:textId="77777777" w:rsidR="00690769" w:rsidRPr="00456281" w:rsidRDefault="00690769" w:rsidP="004D10D6">
            <w:pPr>
              <w:pStyle w:val="PBACTabletext"/>
              <w:widowControl w:val="0"/>
            </w:pPr>
          </w:p>
        </w:tc>
        <w:tc>
          <w:tcPr>
            <w:tcW w:w="2593" w:type="pct"/>
            <w:vMerge/>
            <w:tcBorders>
              <w:left w:val="single" w:sz="4" w:space="0" w:color="auto"/>
              <w:bottom w:val="nil"/>
              <w:right w:val="single" w:sz="4" w:space="0" w:color="auto"/>
            </w:tcBorders>
          </w:tcPr>
          <w:p w14:paraId="68CD7F27" w14:textId="144148F5" w:rsidR="00690769" w:rsidRPr="00456281" w:rsidRDefault="00690769" w:rsidP="004D10D6">
            <w:pPr>
              <w:pStyle w:val="PBACTabletext"/>
              <w:widowControl w:val="0"/>
            </w:pPr>
          </w:p>
        </w:tc>
        <w:tc>
          <w:tcPr>
            <w:tcW w:w="1230" w:type="pct"/>
            <w:tcBorders>
              <w:top w:val="nil"/>
              <w:left w:val="single" w:sz="4" w:space="0" w:color="auto"/>
              <w:bottom w:val="nil"/>
              <w:right w:val="single" w:sz="4" w:space="0" w:color="auto"/>
            </w:tcBorders>
          </w:tcPr>
          <w:p w14:paraId="2E93EE2F" w14:textId="15B99129" w:rsidR="00690769" w:rsidRPr="00456281" w:rsidRDefault="00690769" w:rsidP="004D10D6">
            <w:pPr>
              <w:pStyle w:val="PBACTabletext"/>
              <w:widowControl w:val="0"/>
            </w:pPr>
          </w:p>
        </w:tc>
      </w:tr>
      <w:tr w:rsidR="00690769" w:rsidRPr="00456281" w14:paraId="338E0194" w14:textId="77777777" w:rsidTr="00076C6A">
        <w:tc>
          <w:tcPr>
            <w:tcW w:w="1177" w:type="pct"/>
            <w:vMerge/>
            <w:tcBorders>
              <w:bottom w:val="single" w:sz="4" w:space="0" w:color="auto"/>
              <w:right w:val="single" w:sz="4" w:space="0" w:color="auto"/>
            </w:tcBorders>
          </w:tcPr>
          <w:p w14:paraId="2F308AF0" w14:textId="77777777" w:rsidR="00690769" w:rsidRPr="00456281" w:rsidRDefault="00690769" w:rsidP="004D10D6">
            <w:pPr>
              <w:pStyle w:val="PBACTabletext"/>
              <w:widowControl w:val="0"/>
            </w:pPr>
          </w:p>
        </w:tc>
        <w:tc>
          <w:tcPr>
            <w:tcW w:w="2593" w:type="pct"/>
            <w:tcBorders>
              <w:top w:val="single" w:sz="4" w:space="0" w:color="auto"/>
              <w:left w:val="single" w:sz="4" w:space="0" w:color="auto"/>
              <w:bottom w:val="single" w:sz="4" w:space="0" w:color="auto"/>
              <w:right w:val="single" w:sz="4" w:space="0" w:color="auto"/>
            </w:tcBorders>
          </w:tcPr>
          <w:p w14:paraId="744EE756" w14:textId="2798A690" w:rsidR="00690769" w:rsidRPr="00456281" w:rsidRDefault="00690769" w:rsidP="004D10D6">
            <w:pPr>
              <w:pStyle w:val="PBACTabletext"/>
              <w:widowControl w:val="0"/>
            </w:pPr>
            <w:r w:rsidRPr="00456281">
              <w:t>Wainberg et al. NALIRIFOX versus nab-paclitaxel and gemcitabine in treatment-naive patients with metastatic pancreatic ductal adenocarcinoma (NAPOLI 3): a randomised, open-label, phase 3 trial.</w:t>
            </w:r>
          </w:p>
        </w:tc>
        <w:tc>
          <w:tcPr>
            <w:tcW w:w="1230" w:type="pct"/>
            <w:tcBorders>
              <w:top w:val="single" w:sz="4" w:space="0" w:color="auto"/>
              <w:left w:val="single" w:sz="4" w:space="0" w:color="auto"/>
              <w:bottom w:val="single" w:sz="4" w:space="0" w:color="auto"/>
              <w:right w:val="single" w:sz="4" w:space="0" w:color="auto"/>
            </w:tcBorders>
          </w:tcPr>
          <w:p w14:paraId="120DB965" w14:textId="0B028260" w:rsidR="00690769" w:rsidRPr="00456281" w:rsidRDefault="00690769" w:rsidP="004D10D6">
            <w:pPr>
              <w:pStyle w:val="PBACTabletext"/>
              <w:widowControl w:val="0"/>
            </w:pPr>
            <w:r w:rsidRPr="00456281">
              <w:t>Lancet. 2023 Oct 7; 402(10409):1272-1281.</w:t>
            </w:r>
          </w:p>
        </w:tc>
      </w:tr>
      <w:tr w:rsidR="00016609" w:rsidRPr="00456281" w14:paraId="5710BD6A" w14:textId="77777777" w:rsidTr="00076C6A">
        <w:tc>
          <w:tcPr>
            <w:tcW w:w="1177" w:type="pct"/>
            <w:tcBorders>
              <w:top w:val="single" w:sz="4" w:space="0" w:color="auto"/>
              <w:bottom w:val="single" w:sz="4" w:space="0" w:color="auto"/>
              <w:right w:val="single" w:sz="4" w:space="0" w:color="auto"/>
            </w:tcBorders>
          </w:tcPr>
          <w:p w14:paraId="5771C133" w14:textId="77777777" w:rsidR="00016609" w:rsidRPr="00456281" w:rsidRDefault="00016609" w:rsidP="004D10D6">
            <w:pPr>
              <w:pStyle w:val="PBACTabletext"/>
              <w:widowControl w:val="0"/>
            </w:pPr>
            <w:r w:rsidRPr="00456281">
              <w:t>MPACT</w:t>
            </w:r>
          </w:p>
          <w:p w14:paraId="420DB06C" w14:textId="77777777" w:rsidR="00016609" w:rsidRPr="00456281" w:rsidRDefault="00016609" w:rsidP="004D10D6">
            <w:pPr>
              <w:pStyle w:val="PBACTabletext"/>
              <w:widowControl w:val="0"/>
            </w:pPr>
            <w:r w:rsidRPr="00456281">
              <w:t>NCT00844649</w:t>
            </w:r>
          </w:p>
        </w:tc>
        <w:tc>
          <w:tcPr>
            <w:tcW w:w="2593" w:type="pct"/>
            <w:tcBorders>
              <w:top w:val="single" w:sz="4" w:space="0" w:color="auto"/>
              <w:left w:val="single" w:sz="4" w:space="0" w:color="auto"/>
              <w:bottom w:val="single" w:sz="4" w:space="0" w:color="auto"/>
              <w:right w:val="single" w:sz="4" w:space="0" w:color="auto"/>
            </w:tcBorders>
          </w:tcPr>
          <w:p w14:paraId="2235F27B" w14:textId="77777777" w:rsidR="00016609" w:rsidRPr="00456281" w:rsidRDefault="00016609" w:rsidP="004D10D6">
            <w:pPr>
              <w:pStyle w:val="PBACTabletext"/>
              <w:widowControl w:val="0"/>
            </w:pPr>
            <w:r w:rsidRPr="00456281">
              <w:t>Von Hoff et al. Increased survival in pancreatic cancer with nab-paclitaxel plus gemcitabine.</w:t>
            </w:r>
          </w:p>
        </w:tc>
        <w:tc>
          <w:tcPr>
            <w:tcW w:w="1230" w:type="pct"/>
            <w:tcBorders>
              <w:top w:val="single" w:sz="4" w:space="0" w:color="auto"/>
              <w:left w:val="single" w:sz="4" w:space="0" w:color="auto"/>
              <w:bottom w:val="single" w:sz="4" w:space="0" w:color="auto"/>
              <w:right w:val="single" w:sz="4" w:space="0" w:color="auto"/>
            </w:tcBorders>
          </w:tcPr>
          <w:p w14:paraId="0AA42AF5" w14:textId="77777777" w:rsidR="00016609" w:rsidRPr="00456281" w:rsidRDefault="00016609" w:rsidP="004D10D6">
            <w:pPr>
              <w:pStyle w:val="PBACTabletext"/>
              <w:widowControl w:val="0"/>
            </w:pPr>
            <w:r w:rsidRPr="00456281">
              <w:t>N Engl J Med. 2013 Oct 31;369(18):1691-703.</w:t>
            </w:r>
          </w:p>
        </w:tc>
      </w:tr>
      <w:tr w:rsidR="00016609" w:rsidRPr="00456281" w14:paraId="175CC77A" w14:textId="77777777" w:rsidTr="00076C6A">
        <w:tc>
          <w:tcPr>
            <w:tcW w:w="1177" w:type="pct"/>
            <w:tcBorders>
              <w:top w:val="single" w:sz="4" w:space="0" w:color="auto"/>
              <w:bottom w:val="single" w:sz="4" w:space="0" w:color="auto"/>
              <w:right w:val="single" w:sz="4" w:space="0" w:color="auto"/>
            </w:tcBorders>
          </w:tcPr>
          <w:p w14:paraId="383F5F21" w14:textId="77777777" w:rsidR="00016609" w:rsidRPr="00456281" w:rsidRDefault="00016609" w:rsidP="004D10D6">
            <w:pPr>
              <w:pStyle w:val="PBACTabletext"/>
              <w:widowControl w:val="0"/>
            </w:pPr>
            <w:r w:rsidRPr="00456281">
              <w:t>ACCORD11/PRODIGE4</w:t>
            </w:r>
          </w:p>
          <w:p w14:paraId="723143BC" w14:textId="77777777" w:rsidR="00016609" w:rsidRPr="00456281" w:rsidRDefault="00016609" w:rsidP="004D10D6">
            <w:pPr>
              <w:pStyle w:val="PBACTabletext"/>
              <w:widowControl w:val="0"/>
            </w:pPr>
            <w:r w:rsidRPr="00456281">
              <w:t>NCT00112658</w:t>
            </w:r>
          </w:p>
        </w:tc>
        <w:tc>
          <w:tcPr>
            <w:tcW w:w="2593" w:type="pct"/>
            <w:tcBorders>
              <w:top w:val="single" w:sz="4" w:space="0" w:color="auto"/>
              <w:left w:val="single" w:sz="4" w:space="0" w:color="auto"/>
              <w:bottom w:val="single" w:sz="4" w:space="0" w:color="auto"/>
              <w:right w:val="single" w:sz="4" w:space="0" w:color="auto"/>
            </w:tcBorders>
          </w:tcPr>
          <w:p w14:paraId="67007FD3" w14:textId="77777777" w:rsidR="00016609" w:rsidRPr="00456281" w:rsidRDefault="00016609" w:rsidP="004D10D6">
            <w:pPr>
              <w:pStyle w:val="PBACTabletext"/>
              <w:widowControl w:val="0"/>
            </w:pPr>
            <w:r w:rsidRPr="00456281">
              <w:t>Conroy et al. FOLFIRINOX versus gemcitabine for metastatic pancreatic cancer.</w:t>
            </w:r>
          </w:p>
        </w:tc>
        <w:tc>
          <w:tcPr>
            <w:tcW w:w="1230" w:type="pct"/>
            <w:tcBorders>
              <w:top w:val="single" w:sz="4" w:space="0" w:color="auto"/>
              <w:left w:val="single" w:sz="4" w:space="0" w:color="auto"/>
              <w:bottom w:val="single" w:sz="4" w:space="0" w:color="auto"/>
              <w:right w:val="single" w:sz="4" w:space="0" w:color="auto"/>
            </w:tcBorders>
          </w:tcPr>
          <w:p w14:paraId="1934BDA9" w14:textId="77777777" w:rsidR="00016609" w:rsidRPr="00456281" w:rsidRDefault="00016609" w:rsidP="004D10D6">
            <w:pPr>
              <w:pStyle w:val="PBACTabletext"/>
              <w:widowControl w:val="0"/>
            </w:pPr>
            <w:r w:rsidRPr="00456281">
              <w:t>Engl J Med. 2011 May 12;364(19):1817-25.</w:t>
            </w:r>
          </w:p>
        </w:tc>
      </w:tr>
      <w:tr w:rsidR="00BE50B3" w:rsidRPr="00456281" w14:paraId="10034FB6" w14:textId="77777777" w:rsidTr="00076C6A">
        <w:tc>
          <w:tcPr>
            <w:tcW w:w="1177" w:type="pct"/>
            <w:tcBorders>
              <w:top w:val="single" w:sz="4" w:space="0" w:color="auto"/>
              <w:right w:val="single" w:sz="4" w:space="0" w:color="auto"/>
            </w:tcBorders>
          </w:tcPr>
          <w:p w14:paraId="39B8F5F6" w14:textId="023E85E0" w:rsidR="00EC552E" w:rsidRPr="00456281" w:rsidRDefault="00EC552E" w:rsidP="004D10D6">
            <w:pPr>
              <w:pStyle w:val="PBACTabletext"/>
              <w:widowControl w:val="0"/>
            </w:pPr>
            <w:r w:rsidRPr="00456281">
              <w:t>JCOG1611- GENERATE</w:t>
            </w:r>
          </w:p>
          <w:p w14:paraId="3CF3CD2F" w14:textId="576724A4" w:rsidR="00E15078" w:rsidRPr="00456281" w:rsidRDefault="00E15078" w:rsidP="004D10D6">
            <w:pPr>
              <w:pStyle w:val="PBACTabletext"/>
              <w:widowControl w:val="0"/>
            </w:pPr>
            <w:r w:rsidRPr="00456281">
              <w:t>RCTs031190009</w:t>
            </w:r>
          </w:p>
        </w:tc>
        <w:tc>
          <w:tcPr>
            <w:tcW w:w="2593" w:type="pct"/>
            <w:tcBorders>
              <w:top w:val="single" w:sz="4" w:space="0" w:color="auto"/>
              <w:left w:val="single" w:sz="4" w:space="0" w:color="auto"/>
              <w:bottom w:val="single" w:sz="4" w:space="0" w:color="auto"/>
              <w:right w:val="single" w:sz="4" w:space="0" w:color="auto"/>
            </w:tcBorders>
          </w:tcPr>
          <w:p w14:paraId="70135A64" w14:textId="7BCF503A" w:rsidR="00EC552E" w:rsidRPr="00456281" w:rsidRDefault="000478D9" w:rsidP="004D10D6">
            <w:pPr>
              <w:pStyle w:val="PBACTabletext"/>
              <w:widowControl w:val="0"/>
            </w:pPr>
            <w:r w:rsidRPr="00456281">
              <w:t>Obha et al</w:t>
            </w:r>
            <w:r w:rsidR="00287400" w:rsidRPr="00456281">
              <w:t xml:space="preserve">. </w:t>
            </w:r>
            <w:r w:rsidR="00A6592E" w:rsidRPr="00456281">
              <w:t>Nab-paclitaxel plus gemcitabine versus modified FOLFIRINOX or S-IROX in metastatic or recurrent pancreatic cancer (JCOG1611, GENERATE): a multicenter, randomized, open-label, three-arm, phase 2/3 trial.</w:t>
            </w:r>
          </w:p>
        </w:tc>
        <w:tc>
          <w:tcPr>
            <w:tcW w:w="1230" w:type="pct"/>
            <w:tcBorders>
              <w:top w:val="single" w:sz="4" w:space="0" w:color="auto"/>
              <w:left w:val="single" w:sz="4" w:space="0" w:color="auto"/>
              <w:bottom w:val="single" w:sz="4" w:space="0" w:color="auto"/>
              <w:right w:val="single" w:sz="4" w:space="0" w:color="auto"/>
            </w:tcBorders>
          </w:tcPr>
          <w:p w14:paraId="317F91C2" w14:textId="31866A4F" w:rsidR="00EC552E" w:rsidRPr="00456281" w:rsidRDefault="00B12C96" w:rsidP="004D10D6">
            <w:pPr>
              <w:pStyle w:val="PBACTabletext"/>
              <w:widowControl w:val="0"/>
            </w:pPr>
            <w:r w:rsidRPr="00456281">
              <w:t>ESMO Congress 2023</w:t>
            </w:r>
            <w:r w:rsidR="00E32914" w:rsidRPr="00456281">
              <w:t>. Abstract 16160</w:t>
            </w:r>
          </w:p>
        </w:tc>
      </w:tr>
    </w:tbl>
    <w:p w14:paraId="5D5D46F2" w14:textId="77777777" w:rsidR="00016609" w:rsidRPr="00456281" w:rsidRDefault="00016609" w:rsidP="004D10D6">
      <w:pPr>
        <w:pStyle w:val="FooterTableFigure"/>
        <w:keepNext/>
        <w:keepLines/>
      </w:pPr>
      <w:r w:rsidRPr="00456281">
        <w:t>Source: Table 20, p48-49 of the submission and p4 of Appendix A of submission.</w:t>
      </w:r>
    </w:p>
    <w:p w14:paraId="5E779185" w14:textId="3600E864" w:rsidR="00016609" w:rsidRPr="00456281" w:rsidRDefault="00016609" w:rsidP="004D10D6">
      <w:pPr>
        <w:pStyle w:val="FooterTableFigure"/>
        <w:keepNext/>
        <w:keepLines/>
      </w:pPr>
      <w:r w:rsidRPr="00456281">
        <w:t>Abbreviations:</w:t>
      </w:r>
      <w:r w:rsidR="00F136E2" w:rsidRPr="00456281">
        <w:t xml:space="preserve"> </w:t>
      </w:r>
      <w:r w:rsidRPr="00456281">
        <w:t xml:space="preserve">FOLFIRINOX, 5-fluorouracil, Leucovorin/folinic acid, standard irinotecan, and oxaliplatin; Gem, gemcitabine; mPDAC, metastatic pancreatic ductal adenocarcinoma; NabP, nanoparticle </w:t>
      </w:r>
      <w:r w:rsidR="00D83C9B" w:rsidRPr="00456281">
        <w:t>albumin-bound</w:t>
      </w:r>
      <w:r w:rsidRPr="00456281">
        <w:t xml:space="preserve"> paclitaxel; NALIRIFOX, 5-fluorouracil, Leucovorin/folinic acid, nanoliposomal irinotecan (nal-IRI), and oxaliplatin.</w:t>
      </w:r>
    </w:p>
    <w:p w14:paraId="333262E8" w14:textId="65DA844C" w:rsidR="00265B9E" w:rsidRPr="00456281" w:rsidRDefault="00265B9E" w:rsidP="00016609">
      <w:pPr>
        <w:pStyle w:val="FooterTableFigure"/>
      </w:pPr>
      <w:r w:rsidRPr="00456281">
        <w:t xml:space="preserve">Note: Only </w:t>
      </w:r>
      <w:r w:rsidR="00B20E67" w:rsidRPr="00456281">
        <w:t>full publications ar</w:t>
      </w:r>
      <w:bookmarkEnd w:id="48"/>
      <w:r w:rsidR="00B20E67" w:rsidRPr="00456281">
        <w:t xml:space="preserve">e </w:t>
      </w:r>
      <w:r w:rsidR="00BD6F2B" w:rsidRPr="00456281">
        <w:t>presented</w:t>
      </w:r>
      <w:r w:rsidR="001343CA" w:rsidRPr="00456281">
        <w:t xml:space="preserve"> for NAPOLI-3, ACCORD11/PRODIGE4 and MPACT trials.</w:t>
      </w:r>
      <w:r w:rsidR="00D64E69" w:rsidRPr="00456281">
        <w:t xml:space="preserve"> </w:t>
      </w:r>
    </w:p>
    <w:p w14:paraId="104DE8AD" w14:textId="6A70B147" w:rsidR="008820EB" w:rsidRPr="00456281" w:rsidRDefault="00B23984" w:rsidP="00852CEF">
      <w:pPr>
        <w:pStyle w:val="3-BodyText"/>
        <w:rPr>
          <w:rFonts w:eastAsiaTheme="majorEastAsia"/>
        </w:rPr>
      </w:pPr>
      <w:bookmarkStart w:id="49" w:name="_Ref159274296"/>
      <w:bookmarkStart w:id="50" w:name="_Ref164148625"/>
      <w:bookmarkStart w:id="51" w:name="_Ref156313589"/>
      <w:bookmarkStart w:id="52" w:name="_Ref158812735"/>
      <w:r w:rsidRPr="00456281">
        <w:rPr>
          <w:rFonts w:eastAsiaTheme="majorEastAsia"/>
        </w:rPr>
        <w:t xml:space="preserve">The submission </w:t>
      </w:r>
      <w:r w:rsidR="000A1728" w:rsidRPr="00456281">
        <w:rPr>
          <w:rFonts w:eastAsiaTheme="majorEastAsia"/>
        </w:rPr>
        <w:t>described another</w:t>
      </w:r>
      <w:r w:rsidRPr="00456281">
        <w:rPr>
          <w:rFonts w:eastAsiaTheme="majorEastAsia"/>
        </w:rPr>
        <w:t xml:space="preserve"> RCT, JCOG1611-GENERATE</w:t>
      </w:r>
      <w:r w:rsidR="002E654A" w:rsidRPr="00456281">
        <w:rPr>
          <w:rFonts w:eastAsiaTheme="majorEastAsia"/>
        </w:rPr>
        <w:t xml:space="preserve"> (herein referred to as GENERATE)</w:t>
      </w:r>
      <w:r w:rsidRPr="00456281">
        <w:rPr>
          <w:rFonts w:eastAsiaTheme="majorEastAsia"/>
        </w:rPr>
        <w:t xml:space="preserve">, which was presented at the ESMO Congress on 20-24 October 2023. </w:t>
      </w:r>
      <w:r w:rsidR="00761435" w:rsidRPr="00456281">
        <w:t xml:space="preserve">GENERATE (N=476) </w:t>
      </w:r>
      <w:r w:rsidR="000A1728" w:rsidRPr="00456281">
        <w:t>wa</w:t>
      </w:r>
      <w:r w:rsidR="00761435" w:rsidRPr="00456281">
        <w:t xml:space="preserve">s a </w:t>
      </w:r>
      <w:r w:rsidR="009B156B" w:rsidRPr="00456281">
        <w:t xml:space="preserve">Japanese </w:t>
      </w:r>
      <w:r w:rsidR="00761435" w:rsidRPr="00456281">
        <w:t xml:space="preserve">multicentre (45 sites), open label, Phase II/III three-armed (1:1:1) </w:t>
      </w:r>
      <w:r w:rsidR="009B156B" w:rsidRPr="00456281">
        <w:t>RCT</w:t>
      </w:r>
      <w:r w:rsidR="00761435" w:rsidRPr="00456281">
        <w:t xml:space="preserve"> that </w:t>
      </w:r>
      <w:r w:rsidR="002E654A" w:rsidRPr="00456281">
        <w:t xml:space="preserve">compared </w:t>
      </w:r>
      <w:r w:rsidR="00761435" w:rsidRPr="00456281">
        <w:t>a modified regimen of FOLFIRINOX (mFOLFIRINOX;</w:t>
      </w:r>
      <w:r w:rsidR="00F136E2" w:rsidRPr="00456281">
        <w:t xml:space="preserve"> </w:t>
      </w:r>
      <w:r w:rsidR="00761435" w:rsidRPr="00456281">
        <w:t>n=175)</w:t>
      </w:r>
      <w:r w:rsidR="00A15354" w:rsidRPr="00456281">
        <w:rPr>
          <w:rStyle w:val="FootnoteReference"/>
        </w:rPr>
        <w:footnoteReference w:id="5"/>
      </w:r>
      <w:r w:rsidR="00761435" w:rsidRPr="00456281">
        <w:t xml:space="preserve"> and a regimen </w:t>
      </w:r>
      <w:r w:rsidR="005F2DCE" w:rsidRPr="00456281">
        <w:t xml:space="preserve">containing </w:t>
      </w:r>
      <w:r w:rsidR="00761435" w:rsidRPr="00456281">
        <w:t>S-1</w:t>
      </w:r>
      <w:r w:rsidR="005F2DCE" w:rsidRPr="00456281">
        <w:t xml:space="preserve"> (a prodrug of fluorouracil), </w:t>
      </w:r>
      <w:r w:rsidR="00761435" w:rsidRPr="00456281">
        <w:t>irinotecan and oxaliplatin (S-IROX; n=176) to Gem+NabP (n=176</w:t>
      </w:r>
      <w:r w:rsidR="03F91F16" w:rsidRPr="00456281">
        <w:t>)</w:t>
      </w:r>
      <w:r w:rsidR="1BE4B536" w:rsidRPr="00456281">
        <w:t>,</w:t>
      </w:r>
      <w:r w:rsidR="00761435" w:rsidRPr="00456281">
        <w:t xml:space="preserve"> as first-line chemotherapy for patients with pathologically confirmed metastatic or recurrent pancreatic cancer.</w:t>
      </w:r>
      <w:r w:rsidR="00761435" w:rsidRPr="00456281">
        <w:rPr>
          <w:i/>
          <w:iCs/>
        </w:rPr>
        <w:t xml:space="preserve"> </w:t>
      </w:r>
      <w:r w:rsidR="002E654A" w:rsidRPr="00456281">
        <w:rPr>
          <w:rFonts w:eastAsiaTheme="majorEastAsia"/>
        </w:rPr>
        <w:t xml:space="preserve">Given </w:t>
      </w:r>
      <w:r w:rsidRPr="00456281">
        <w:rPr>
          <w:rFonts w:eastAsiaTheme="majorEastAsia"/>
        </w:rPr>
        <w:t xml:space="preserve">this study was presented as an abstract, and a full peer review publication </w:t>
      </w:r>
      <w:r w:rsidR="000A1728" w:rsidRPr="00456281">
        <w:rPr>
          <w:rFonts w:eastAsiaTheme="majorEastAsia"/>
        </w:rPr>
        <w:t>was not</w:t>
      </w:r>
      <w:r w:rsidRPr="00456281">
        <w:rPr>
          <w:rFonts w:eastAsiaTheme="majorEastAsia"/>
        </w:rPr>
        <w:t xml:space="preserve"> available</w:t>
      </w:r>
      <w:r w:rsidR="002E654A" w:rsidRPr="00456281">
        <w:rPr>
          <w:rFonts w:eastAsiaTheme="majorEastAsia"/>
        </w:rPr>
        <w:t>, the submission did not include this trial in the indirect comparison</w:t>
      </w:r>
      <w:r w:rsidRPr="00456281">
        <w:rPr>
          <w:rFonts w:eastAsiaTheme="majorEastAsia"/>
        </w:rPr>
        <w:t>.</w:t>
      </w:r>
      <w:r w:rsidR="0055536E" w:rsidRPr="00456281">
        <w:rPr>
          <w:rFonts w:eastAsiaTheme="majorEastAsia"/>
        </w:rPr>
        <w:t xml:space="preserve"> </w:t>
      </w:r>
      <w:r w:rsidR="009B156B" w:rsidRPr="00456281">
        <w:rPr>
          <w:rFonts w:eastAsiaTheme="majorEastAsia"/>
        </w:rPr>
        <w:t>T</w:t>
      </w:r>
      <w:r w:rsidR="00717456" w:rsidRPr="00456281">
        <w:rPr>
          <w:rFonts w:eastAsiaTheme="majorEastAsia"/>
        </w:rPr>
        <w:t xml:space="preserve">he </w:t>
      </w:r>
      <w:r w:rsidR="0055536E" w:rsidRPr="00456281">
        <w:rPr>
          <w:rFonts w:eastAsiaTheme="majorEastAsia"/>
        </w:rPr>
        <w:t xml:space="preserve">interim results </w:t>
      </w:r>
      <w:r w:rsidR="005766D4" w:rsidRPr="00456281">
        <w:rPr>
          <w:rFonts w:eastAsiaTheme="majorEastAsia"/>
        </w:rPr>
        <w:t xml:space="preserve">(March 2023) </w:t>
      </w:r>
      <w:r w:rsidR="0055536E" w:rsidRPr="00456281">
        <w:rPr>
          <w:rFonts w:eastAsiaTheme="majorEastAsia"/>
        </w:rPr>
        <w:t>indicate</w:t>
      </w:r>
      <w:r w:rsidR="00717456" w:rsidRPr="00456281">
        <w:rPr>
          <w:rFonts w:eastAsiaTheme="majorEastAsia"/>
        </w:rPr>
        <w:t>d</w:t>
      </w:r>
      <w:r w:rsidR="0055536E" w:rsidRPr="00456281">
        <w:rPr>
          <w:rFonts w:eastAsiaTheme="majorEastAsia"/>
        </w:rPr>
        <w:t xml:space="preserve"> </w:t>
      </w:r>
      <w:r w:rsidR="006D6FEF" w:rsidRPr="00456281">
        <w:rPr>
          <w:rFonts w:eastAsiaTheme="majorEastAsia"/>
        </w:rPr>
        <w:t xml:space="preserve">a higher median </w:t>
      </w:r>
      <w:r w:rsidR="005E4498" w:rsidRPr="00456281">
        <w:rPr>
          <w:rFonts w:eastAsiaTheme="majorEastAsia"/>
        </w:rPr>
        <w:t>overall survival (</w:t>
      </w:r>
      <w:r w:rsidR="006D6FEF" w:rsidRPr="00456281">
        <w:rPr>
          <w:rFonts w:eastAsiaTheme="majorEastAsia"/>
        </w:rPr>
        <w:t>OS</w:t>
      </w:r>
      <w:r w:rsidR="005E4498" w:rsidRPr="00456281">
        <w:rPr>
          <w:rFonts w:eastAsiaTheme="majorEastAsia"/>
        </w:rPr>
        <w:t>)</w:t>
      </w:r>
      <w:r w:rsidR="006D6FEF" w:rsidRPr="00456281">
        <w:rPr>
          <w:rFonts w:eastAsiaTheme="majorEastAsia"/>
        </w:rPr>
        <w:t xml:space="preserve"> for Gem+NabP (17.1 months; 95%CI</w:t>
      </w:r>
      <w:r w:rsidR="004E35E3" w:rsidRPr="00456281">
        <w:rPr>
          <w:rFonts w:eastAsiaTheme="majorEastAsia"/>
        </w:rPr>
        <w:t>:</w:t>
      </w:r>
      <w:r w:rsidR="006D6FEF" w:rsidRPr="00456281">
        <w:rPr>
          <w:rFonts w:eastAsiaTheme="majorEastAsia"/>
        </w:rPr>
        <w:t xml:space="preserve"> 14.5, 18.9) compared to mFOLFIRINOX (14 months; 95%CI</w:t>
      </w:r>
      <w:r w:rsidR="004E35E3" w:rsidRPr="00456281">
        <w:rPr>
          <w:rFonts w:eastAsiaTheme="majorEastAsia"/>
        </w:rPr>
        <w:t>:</w:t>
      </w:r>
      <w:r w:rsidR="006D6FEF" w:rsidRPr="00456281">
        <w:rPr>
          <w:rFonts w:eastAsiaTheme="majorEastAsia"/>
        </w:rPr>
        <w:t xml:space="preserve"> 11.4, 16.3</w:t>
      </w:r>
      <w:r w:rsidR="00E81679" w:rsidRPr="00456281">
        <w:rPr>
          <w:rFonts w:eastAsiaTheme="majorEastAsia"/>
        </w:rPr>
        <w:t>)</w:t>
      </w:r>
      <w:r w:rsidR="0070568F" w:rsidRPr="00456281">
        <w:rPr>
          <w:rFonts w:eastAsiaTheme="majorEastAsia"/>
        </w:rPr>
        <w:t>.</w:t>
      </w:r>
      <w:bookmarkEnd w:id="49"/>
      <w:r w:rsidR="005766D4" w:rsidRPr="00456281">
        <w:rPr>
          <w:rFonts w:eastAsiaTheme="majorEastAsia"/>
        </w:rPr>
        <w:t xml:space="preserve"> The updated OS results (May 2023) provided with the pre-PBAC response were similar to the interim results: Gem+NabP (17.0 months; 95%CI: 14.5, 18.9) compared to mFOLFIRINOX (14.0 months; 95%CI: </w:t>
      </w:r>
      <w:r w:rsidR="005766D4" w:rsidRPr="00456281">
        <w:rPr>
          <w:rFonts w:eastAsiaTheme="majorEastAsia"/>
        </w:rPr>
        <w:lastRenderedPageBreak/>
        <w:t>11.4, 16.3</w:t>
      </w:r>
      <w:r w:rsidR="008820EB" w:rsidRPr="00456281">
        <w:rPr>
          <w:rFonts w:eastAsiaTheme="majorEastAsia"/>
        </w:rPr>
        <w:t>)</w:t>
      </w:r>
      <w:r w:rsidR="009C3CBE" w:rsidRPr="00456281">
        <w:rPr>
          <w:rFonts w:eastAsiaTheme="majorEastAsia"/>
        </w:rPr>
        <w:t xml:space="preserve">. </w:t>
      </w:r>
      <w:r w:rsidR="008820EB" w:rsidRPr="00456281">
        <w:rPr>
          <w:rFonts w:eastAsiaTheme="majorEastAsia"/>
        </w:rPr>
        <w:t>The PFS results were: Gem+NabP (6.7 months; 95%CI: 5.7, 7.4) compared to mFOLFIRINOX (5.8 months; 95%CI: 5.1, 6.9)</w:t>
      </w:r>
      <w:r w:rsidR="001F13A6" w:rsidRPr="00456281">
        <w:rPr>
          <w:rStyle w:val="FootnoteReference"/>
          <w:rFonts w:eastAsiaTheme="majorEastAsia"/>
        </w:rPr>
        <w:footnoteReference w:id="6"/>
      </w:r>
      <w:r w:rsidR="008820EB" w:rsidRPr="00456281">
        <w:rPr>
          <w:rFonts w:eastAsiaTheme="majorEastAsia"/>
        </w:rPr>
        <w:t>.</w:t>
      </w:r>
      <w:bookmarkEnd w:id="50"/>
      <w:r w:rsidR="008820EB" w:rsidRPr="00456281">
        <w:rPr>
          <w:rFonts w:eastAsiaTheme="majorEastAsia"/>
        </w:rPr>
        <w:t xml:space="preserve"> </w:t>
      </w:r>
    </w:p>
    <w:p w14:paraId="228002C3" w14:textId="6F87C994" w:rsidR="005F3605" w:rsidRPr="00456281" w:rsidRDefault="002E654A" w:rsidP="003E6B33">
      <w:pPr>
        <w:pStyle w:val="3-BodyText"/>
        <w:rPr>
          <w:rFonts w:eastAsiaTheme="majorEastAsia"/>
        </w:rPr>
      </w:pPr>
      <w:bookmarkStart w:id="53" w:name="_Ref159268519"/>
      <w:r w:rsidRPr="00456281">
        <w:rPr>
          <w:rFonts w:eastAsiaTheme="majorEastAsia"/>
        </w:rPr>
        <w:t xml:space="preserve">The submission noted that a </w:t>
      </w:r>
      <w:r w:rsidR="00B23984" w:rsidRPr="00456281">
        <w:rPr>
          <w:rFonts w:eastAsiaTheme="majorEastAsia"/>
        </w:rPr>
        <w:t>full peer review</w:t>
      </w:r>
      <w:r w:rsidR="00FF46E9" w:rsidRPr="00456281">
        <w:rPr>
          <w:rFonts w:eastAsiaTheme="majorEastAsia"/>
        </w:rPr>
        <w:t>ed</w:t>
      </w:r>
      <w:r w:rsidR="00B23984" w:rsidRPr="00456281">
        <w:rPr>
          <w:rFonts w:eastAsiaTheme="majorEastAsia"/>
        </w:rPr>
        <w:t xml:space="preserve"> publication</w:t>
      </w:r>
      <w:r w:rsidR="00FF46E9" w:rsidRPr="00456281">
        <w:rPr>
          <w:rFonts w:eastAsiaTheme="majorEastAsia"/>
        </w:rPr>
        <w:t xml:space="preserve"> </w:t>
      </w:r>
      <w:r w:rsidRPr="00456281">
        <w:rPr>
          <w:rFonts w:eastAsiaTheme="majorEastAsia"/>
        </w:rPr>
        <w:t xml:space="preserve">would be </w:t>
      </w:r>
      <w:r w:rsidR="00FF46E9" w:rsidRPr="00456281">
        <w:rPr>
          <w:rFonts w:eastAsiaTheme="majorEastAsia"/>
        </w:rPr>
        <w:t>required in order to make a full assessment</w:t>
      </w:r>
      <w:r w:rsidRPr="00456281">
        <w:rPr>
          <w:rFonts w:eastAsiaTheme="majorEastAsia"/>
        </w:rPr>
        <w:t>,</w:t>
      </w:r>
      <w:r w:rsidR="00DB2AB8" w:rsidRPr="00456281">
        <w:rPr>
          <w:rFonts w:eastAsiaTheme="majorEastAsia"/>
        </w:rPr>
        <w:t xml:space="preserve"> </w:t>
      </w:r>
      <w:r w:rsidR="00A414FC" w:rsidRPr="00456281">
        <w:rPr>
          <w:rFonts w:eastAsiaTheme="majorEastAsia"/>
        </w:rPr>
        <w:t>including</w:t>
      </w:r>
      <w:r w:rsidR="00DB2AB8" w:rsidRPr="00456281">
        <w:rPr>
          <w:rFonts w:eastAsiaTheme="majorEastAsia"/>
        </w:rPr>
        <w:t xml:space="preserve"> consideration of details such as </w:t>
      </w:r>
      <w:r w:rsidR="00B23984" w:rsidRPr="00456281">
        <w:rPr>
          <w:rFonts w:eastAsiaTheme="majorEastAsia"/>
        </w:rPr>
        <w:t>baseline characteristics</w:t>
      </w:r>
      <w:r w:rsidR="000A1728" w:rsidRPr="00456281">
        <w:rPr>
          <w:rFonts w:eastAsiaTheme="majorEastAsia"/>
        </w:rPr>
        <w:t>, analysis methods</w:t>
      </w:r>
      <w:r w:rsidR="00B23984" w:rsidRPr="00456281">
        <w:rPr>
          <w:rFonts w:eastAsiaTheme="majorEastAsia"/>
        </w:rPr>
        <w:t xml:space="preserve"> and patient disposition.</w:t>
      </w:r>
      <w:bookmarkEnd w:id="51"/>
      <w:r w:rsidR="007A62EA" w:rsidRPr="00456281">
        <w:rPr>
          <w:rFonts w:eastAsiaTheme="majorEastAsia"/>
        </w:rPr>
        <w:t xml:space="preserve"> </w:t>
      </w:r>
      <w:r w:rsidR="007327D5" w:rsidRPr="00456281">
        <w:rPr>
          <w:rFonts w:eastAsiaTheme="majorEastAsia"/>
        </w:rPr>
        <w:t>T</w:t>
      </w:r>
      <w:r w:rsidR="007A62EA" w:rsidRPr="00456281">
        <w:rPr>
          <w:rFonts w:eastAsiaTheme="majorEastAsia"/>
        </w:rPr>
        <w:t xml:space="preserve">he ESC </w:t>
      </w:r>
      <w:r w:rsidR="000E6890" w:rsidRPr="00456281">
        <w:rPr>
          <w:rFonts w:eastAsiaTheme="majorEastAsia"/>
        </w:rPr>
        <w:t xml:space="preserve">noted that a set of slides </w:t>
      </w:r>
      <w:r w:rsidR="00690DB7" w:rsidRPr="00456281">
        <w:rPr>
          <w:rFonts w:eastAsiaTheme="majorEastAsia"/>
        </w:rPr>
        <w:t>was provided with the PSCR (which had</w:t>
      </w:r>
      <w:r w:rsidR="000E6890" w:rsidRPr="00456281">
        <w:rPr>
          <w:rFonts w:eastAsiaTheme="majorEastAsia"/>
        </w:rPr>
        <w:t xml:space="preserve"> </w:t>
      </w:r>
      <w:r w:rsidR="00690DB7" w:rsidRPr="00456281">
        <w:rPr>
          <w:rFonts w:eastAsiaTheme="majorEastAsia"/>
        </w:rPr>
        <w:t xml:space="preserve">been </w:t>
      </w:r>
      <w:r w:rsidR="000E6890" w:rsidRPr="00456281">
        <w:rPr>
          <w:rFonts w:eastAsiaTheme="majorEastAsia"/>
        </w:rPr>
        <w:t xml:space="preserve">presented at the ESMO Congress </w:t>
      </w:r>
      <w:r w:rsidR="00690DB7" w:rsidRPr="00456281">
        <w:rPr>
          <w:rFonts w:eastAsiaTheme="majorEastAsia"/>
        </w:rPr>
        <w:t xml:space="preserve">on </w:t>
      </w:r>
      <w:r w:rsidR="000E6890" w:rsidRPr="00456281">
        <w:rPr>
          <w:rFonts w:eastAsiaTheme="majorEastAsia"/>
        </w:rPr>
        <w:t xml:space="preserve">22 October 2023), however the </w:t>
      </w:r>
      <w:r w:rsidR="00690DB7" w:rsidRPr="00456281">
        <w:rPr>
          <w:rFonts w:eastAsiaTheme="majorEastAsia"/>
        </w:rPr>
        <w:t>information</w:t>
      </w:r>
      <w:r w:rsidR="000E6890" w:rsidRPr="00456281">
        <w:rPr>
          <w:rFonts w:eastAsiaTheme="majorEastAsia"/>
        </w:rPr>
        <w:t xml:space="preserve"> had not been peer </w:t>
      </w:r>
      <w:r w:rsidR="00B81A46" w:rsidRPr="00456281">
        <w:rPr>
          <w:rFonts w:eastAsiaTheme="majorEastAsia"/>
        </w:rPr>
        <w:t>reviewed,</w:t>
      </w:r>
      <w:r w:rsidR="000E6890" w:rsidRPr="00456281">
        <w:rPr>
          <w:rFonts w:eastAsiaTheme="majorEastAsia"/>
        </w:rPr>
        <w:t xml:space="preserve"> and concerns </w:t>
      </w:r>
      <w:r w:rsidR="00690DB7" w:rsidRPr="00456281">
        <w:rPr>
          <w:rFonts w:eastAsiaTheme="majorEastAsia"/>
        </w:rPr>
        <w:t xml:space="preserve">remained </w:t>
      </w:r>
      <w:r w:rsidR="000E6890" w:rsidRPr="00456281">
        <w:rPr>
          <w:rFonts w:eastAsiaTheme="majorEastAsia"/>
        </w:rPr>
        <w:t>regarding insufficient information about baseline characteristics, analysis methods and patient disposition.</w:t>
      </w:r>
      <w:bookmarkEnd w:id="53"/>
      <w:r w:rsidR="009D0DD4" w:rsidRPr="00456281">
        <w:rPr>
          <w:rFonts w:eastAsiaTheme="majorEastAsia"/>
        </w:rPr>
        <w:t xml:space="preserve"> </w:t>
      </w:r>
      <w:r w:rsidR="006101EB" w:rsidRPr="00456281">
        <w:rPr>
          <w:rFonts w:eastAsiaTheme="majorEastAsia"/>
        </w:rPr>
        <w:t>The ESC noted that the trial was terminated early and hence there was a risk of bias due to incomplete outcome data</w:t>
      </w:r>
      <w:r w:rsidR="009C3CBE" w:rsidRPr="00456281">
        <w:rPr>
          <w:rFonts w:eastAsiaTheme="majorEastAsia"/>
        </w:rPr>
        <w:t xml:space="preserve">. </w:t>
      </w:r>
      <w:r w:rsidR="004603BA" w:rsidRPr="00456281">
        <w:rPr>
          <w:rFonts w:eastAsiaTheme="majorEastAsia"/>
        </w:rPr>
        <w:t>The pre-PBAC response disagreed with the ESC’s concerns regarding the GENERATE trial</w:t>
      </w:r>
      <w:r w:rsidR="00B75FEE" w:rsidRPr="00456281">
        <w:rPr>
          <w:rFonts w:eastAsiaTheme="majorEastAsia"/>
        </w:rPr>
        <w:t>, and maintained that it was appropriate to use GENERATE trial data within an indirect comparison of NALIRIFOX and FOLFIRINOX.</w:t>
      </w:r>
      <w:r w:rsidR="009C3CBE">
        <w:rPr>
          <w:rFonts w:eastAsiaTheme="majorEastAsia"/>
        </w:rPr>
        <w:t xml:space="preserve"> </w:t>
      </w:r>
      <w:r w:rsidR="00B75FEE" w:rsidRPr="00456281">
        <w:rPr>
          <w:rFonts w:eastAsiaTheme="majorEastAsia"/>
        </w:rPr>
        <w:t xml:space="preserve">The pre-PBAC response noted that evidence from unpublished randomised trials is relevant for PBAC consideration, and inclusion of </w:t>
      </w:r>
      <w:r w:rsidR="00212DD3" w:rsidRPr="00456281">
        <w:rPr>
          <w:rFonts w:eastAsiaTheme="majorEastAsia"/>
        </w:rPr>
        <w:t xml:space="preserve">the </w:t>
      </w:r>
      <w:r w:rsidR="00B75FEE" w:rsidRPr="00456281">
        <w:rPr>
          <w:rFonts w:eastAsiaTheme="majorEastAsia"/>
        </w:rPr>
        <w:t>GENERATE results would allow a simpler indirect comparison, with fewer steps, which is typically preferred by the PBAC</w:t>
      </w:r>
      <w:r w:rsidR="009C3CBE">
        <w:rPr>
          <w:rFonts w:eastAsiaTheme="majorEastAsia"/>
        </w:rPr>
        <w:t xml:space="preserve">. </w:t>
      </w:r>
      <w:r w:rsidR="00B75FEE" w:rsidRPr="00456281">
        <w:rPr>
          <w:rFonts w:eastAsiaTheme="majorEastAsia"/>
        </w:rPr>
        <w:t>The PBAC noted that these factors did not override the concerns raised by the ESC</w:t>
      </w:r>
      <w:r w:rsidR="000C1931" w:rsidRPr="00456281">
        <w:rPr>
          <w:rFonts w:eastAsiaTheme="majorEastAsia"/>
        </w:rPr>
        <w:t xml:space="preserve"> in regard to the GENERATE trial specifically as described above</w:t>
      </w:r>
      <w:r w:rsidR="005F3605" w:rsidRPr="00456281">
        <w:rPr>
          <w:rFonts w:eastAsiaTheme="majorEastAsia"/>
        </w:rPr>
        <w:t>, and discussed further in paragraph</w:t>
      </w:r>
      <w:r w:rsidR="006F301F" w:rsidRPr="00456281">
        <w:rPr>
          <w:rFonts w:eastAsiaTheme="majorEastAsia"/>
        </w:rPr>
        <w:t xml:space="preserve"> </w:t>
      </w:r>
      <w:r w:rsidR="006F301F" w:rsidRPr="00456281">
        <w:rPr>
          <w:rFonts w:eastAsiaTheme="majorEastAsia"/>
        </w:rPr>
        <w:fldChar w:fldCharType="begin"/>
      </w:r>
      <w:r w:rsidR="006F301F" w:rsidRPr="00456281">
        <w:rPr>
          <w:rFonts w:eastAsiaTheme="majorEastAsia"/>
        </w:rPr>
        <w:instrText xml:space="preserve"> REF _Ref164153013 \r \h </w:instrText>
      </w:r>
      <w:r w:rsidR="00540893" w:rsidRPr="00456281">
        <w:rPr>
          <w:rFonts w:eastAsiaTheme="majorEastAsia"/>
        </w:rPr>
        <w:instrText xml:space="preserve"> \* MERGEFORMAT </w:instrText>
      </w:r>
      <w:r w:rsidR="006F301F" w:rsidRPr="00456281">
        <w:rPr>
          <w:rFonts w:eastAsiaTheme="majorEastAsia"/>
        </w:rPr>
      </w:r>
      <w:r w:rsidR="006F301F" w:rsidRPr="00456281">
        <w:rPr>
          <w:rFonts w:eastAsiaTheme="majorEastAsia"/>
        </w:rPr>
        <w:fldChar w:fldCharType="separate"/>
      </w:r>
      <w:r w:rsidR="00EE5AD4">
        <w:rPr>
          <w:rFonts w:eastAsiaTheme="majorEastAsia"/>
        </w:rPr>
        <w:t>7.12</w:t>
      </w:r>
      <w:r w:rsidR="006F301F" w:rsidRPr="00456281">
        <w:rPr>
          <w:rFonts w:eastAsiaTheme="majorEastAsia"/>
        </w:rPr>
        <w:fldChar w:fldCharType="end"/>
      </w:r>
      <w:r w:rsidR="000C1931" w:rsidRPr="00456281">
        <w:rPr>
          <w:rFonts w:eastAsiaTheme="majorEastAsia"/>
        </w:rPr>
        <w:t>.</w:t>
      </w:r>
      <w:r w:rsidR="005F3605" w:rsidRPr="00456281">
        <w:rPr>
          <w:rFonts w:eastAsiaTheme="majorEastAsia"/>
        </w:rPr>
        <w:t xml:space="preserve"> </w:t>
      </w:r>
    </w:p>
    <w:bookmarkEnd w:id="52"/>
    <w:p w14:paraId="2C1692D4" w14:textId="0449B845" w:rsidR="00016609" w:rsidRPr="00456281" w:rsidRDefault="00016609" w:rsidP="00016609">
      <w:pPr>
        <w:pStyle w:val="3-BodyText"/>
        <w:rPr>
          <w:rStyle w:val="CommentReference"/>
          <w:rFonts w:eastAsiaTheme="majorEastAsia" w:cstheme="majorBidi"/>
          <w:bCs/>
        </w:rPr>
      </w:pPr>
      <w:r w:rsidRPr="00456281">
        <w:t xml:space="preserve">The key features of the trials are summarised in </w:t>
      </w:r>
      <w:r w:rsidRPr="00456281">
        <w:fldChar w:fldCharType="begin"/>
      </w:r>
      <w:r w:rsidRPr="00456281">
        <w:instrText xml:space="preserve"> REF _Ref153723338 \h  \* MERGEFORMAT </w:instrText>
      </w:r>
      <w:r w:rsidRPr="00456281">
        <w:fldChar w:fldCharType="separate"/>
      </w:r>
      <w:r w:rsidR="00EE5AD4" w:rsidRPr="00EE5AD4">
        <w:rPr>
          <w:rFonts w:eastAsiaTheme="majorEastAsia"/>
        </w:rPr>
        <w:t>Table 3</w:t>
      </w:r>
      <w:r w:rsidRPr="00456281">
        <w:fldChar w:fldCharType="end"/>
      </w:r>
      <w:r w:rsidRPr="00456281">
        <w:t xml:space="preserve">. </w:t>
      </w:r>
      <w:bookmarkStart w:id="54" w:name="_Ref153565835"/>
    </w:p>
    <w:p w14:paraId="790B9DFD" w14:textId="1F19B73D" w:rsidR="00016609" w:rsidRPr="00456281" w:rsidRDefault="00016609" w:rsidP="00076C6A">
      <w:pPr>
        <w:pStyle w:val="TableFigureHeading"/>
        <w:keepLines/>
        <w:rPr>
          <w:rStyle w:val="CommentReference"/>
          <w:b/>
          <w:szCs w:val="24"/>
        </w:rPr>
      </w:pPr>
      <w:bookmarkStart w:id="55" w:name="_Ref153723338"/>
      <w:r w:rsidRPr="00456281">
        <w:rPr>
          <w:rStyle w:val="CommentReference"/>
          <w:b/>
          <w:szCs w:val="24"/>
        </w:rPr>
        <w:lastRenderedPageBreak/>
        <w:t xml:space="preserve">Table </w:t>
      </w:r>
      <w:r w:rsidRPr="00456281">
        <w:rPr>
          <w:rStyle w:val="CommentReference"/>
          <w:b/>
          <w:szCs w:val="24"/>
        </w:rPr>
        <w:fldChar w:fldCharType="begin"/>
      </w:r>
      <w:r w:rsidRPr="00456281">
        <w:rPr>
          <w:rStyle w:val="CommentReference"/>
          <w:b/>
          <w:szCs w:val="24"/>
        </w:rPr>
        <w:instrText xml:space="preserve"> SEQ Table \* ARABIC </w:instrText>
      </w:r>
      <w:r w:rsidRPr="00456281">
        <w:rPr>
          <w:rStyle w:val="CommentReference"/>
          <w:b/>
          <w:szCs w:val="24"/>
        </w:rPr>
        <w:fldChar w:fldCharType="separate"/>
      </w:r>
      <w:r w:rsidR="00EE5AD4">
        <w:rPr>
          <w:rStyle w:val="CommentReference"/>
          <w:b/>
          <w:noProof/>
          <w:szCs w:val="24"/>
        </w:rPr>
        <w:t>3</w:t>
      </w:r>
      <w:r w:rsidRPr="00456281">
        <w:rPr>
          <w:rStyle w:val="CommentReference"/>
          <w:b/>
          <w:szCs w:val="24"/>
        </w:rPr>
        <w:fldChar w:fldCharType="end"/>
      </w:r>
      <w:bookmarkEnd w:id="54"/>
      <w:bookmarkEnd w:id="55"/>
      <w:r w:rsidRPr="00456281">
        <w:rPr>
          <w:rStyle w:val="CommentReference"/>
          <w:b/>
          <w:szCs w:val="24"/>
        </w:rPr>
        <w:t xml:space="preserve">: Key </w:t>
      </w:r>
      <w:r w:rsidR="00D776E8" w:rsidRPr="00456281">
        <w:rPr>
          <w:rStyle w:val="CommentReference"/>
          <w:b/>
          <w:szCs w:val="24"/>
        </w:rPr>
        <w:t>features of</w:t>
      </w:r>
      <w:r w:rsidRPr="00456281">
        <w:rPr>
          <w:rStyle w:val="CommentReference"/>
          <w:b/>
          <w:szCs w:val="24"/>
        </w:rPr>
        <w:t xml:space="preserve"> the included evidence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
      </w:tblPr>
      <w:tblGrid>
        <w:gridCol w:w="1838"/>
        <w:gridCol w:w="566"/>
        <w:gridCol w:w="1906"/>
        <w:gridCol w:w="822"/>
        <w:gridCol w:w="1897"/>
        <w:gridCol w:w="1115"/>
        <w:gridCol w:w="873"/>
      </w:tblGrid>
      <w:tr w:rsidR="00016609" w:rsidRPr="00456281" w14:paraId="4C7255A0" w14:textId="77777777" w:rsidTr="00076C6A">
        <w:trPr>
          <w:cantSplit/>
          <w:tblHeader/>
        </w:trPr>
        <w:tc>
          <w:tcPr>
            <w:tcW w:w="1019" w:type="pct"/>
            <w:shd w:val="clear" w:color="auto" w:fill="auto"/>
            <w:vAlign w:val="center"/>
          </w:tcPr>
          <w:p w14:paraId="4DB8DDFB" w14:textId="77777777" w:rsidR="00016609" w:rsidRPr="00456281" w:rsidRDefault="00016609" w:rsidP="00076C6A">
            <w:pPr>
              <w:pStyle w:val="In-tableHeading"/>
              <w:keepLines/>
              <w:rPr>
                <w:lang w:val="en-AU"/>
              </w:rPr>
            </w:pPr>
            <w:r w:rsidRPr="00456281">
              <w:rPr>
                <w:lang w:val="en-AU"/>
              </w:rPr>
              <w:t>Trial</w:t>
            </w:r>
          </w:p>
        </w:tc>
        <w:tc>
          <w:tcPr>
            <w:tcW w:w="314" w:type="pct"/>
            <w:shd w:val="clear" w:color="auto" w:fill="auto"/>
            <w:vAlign w:val="center"/>
          </w:tcPr>
          <w:p w14:paraId="4828D5C0" w14:textId="77777777" w:rsidR="00016609" w:rsidRPr="00456281" w:rsidRDefault="00016609" w:rsidP="00076C6A">
            <w:pPr>
              <w:pStyle w:val="In-tableHeading"/>
              <w:keepLines/>
              <w:jc w:val="center"/>
              <w:rPr>
                <w:lang w:val="en-AU"/>
              </w:rPr>
            </w:pPr>
            <w:r w:rsidRPr="00456281">
              <w:rPr>
                <w:lang w:val="en-AU"/>
              </w:rPr>
              <w:t>N</w:t>
            </w:r>
          </w:p>
        </w:tc>
        <w:tc>
          <w:tcPr>
            <w:tcW w:w="1057" w:type="pct"/>
            <w:shd w:val="clear" w:color="auto" w:fill="auto"/>
            <w:vAlign w:val="center"/>
          </w:tcPr>
          <w:p w14:paraId="619D1258" w14:textId="77777777" w:rsidR="00016609" w:rsidRPr="00456281" w:rsidRDefault="00016609" w:rsidP="00076C6A">
            <w:pPr>
              <w:pStyle w:val="In-tableHeading"/>
              <w:keepLines/>
              <w:jc w:val="center"/>
              <w:rPr>
                <w:lang w:val="en-AU"/>
              </w:rPr>
            </w:pPr>
            <w:r w:rsidRPr="00456281">
              <w:rPr>
                <w:lang w:val="en-AU"/>
              </w:rPr>
              <w:t>Design/ Median duration of follow up</w:t>
            </w:r>
          </w:p>
        </w:tc>
        <w:tc>
          <w:tcPr>
            <w:tcW w:w="456" w:type="pct"/>
            <w:shd w:val="clear" w:color="auto" w:fill="auto"/>
            <w:vAlign w:val="center"/>
          </w:tcPr>
          <w:p w14:paraId="3AD3868C" w14:textId="77777777" w:rsidR="00E43A2C" w:rsidRPr="00456281" w:rsidRDefault="00016609" w:rsidP="00076C6A">
            <w:pPr>
              <w:pStyle w:val="In-tableHeading"/>
              <w:keepLines/>
              <w:jc w:val="center"/>
              <w:rPr>
                <w:lang w:val="en-AU"/>
              </w:rPr>
            </w:pPr>
            <w:r w:rsidRPr="00456281">
              <w:rPr>
                <w:lang w:val="en-AU"/>
              </w:rPr>
              <w:t xml:space="preserve">Risk of </w:t>
            </w:r>
          </w:p>
          <w:p w14:paraId="61D5B3E0" w14:textId="177D3E81" w:rsidR="00016609" w:rsidRPr="00456281" w:rsidRDefault="00016609" w:rsidP="00076C6A">
            <w:pPr>
              <w:pStyle w:val="In-tableHeading"/>
              <w:keepLines/>
              <w:jc w:val="center"/>
              <w:rPr>
                <w:lang w:val="en-AU"/>
              </w:rPr>
            </w:pPr>
            <w:r w:rsidRPr="00456281">
              <w:rPr>
                <w:lang w:val="en-AU"/>
              </w:rPr>
              <w:t>bia</w:t>
            </w:r>
            <w:r w:rsidR="00F136E2" w:rsidRPr="00456281">
              <w:rPr>
                <w:lang w:val="en-AU"/>
              </w:rPr>
              <w:t xml:space="preserve">s </w:t>
            </w:r>
            <w:r w:rsidR="001A5D1F" w:rsidRPr="00456281">
              <w:rPr>
                <w:vertAlign w:val="superscript"/>
                <w:lang w:val="en-AU"/>
              </w:rPr>
              <w:t>a</w:t>
            </w:r>
          </w:p>
        </w:tc>
        <w:tc>
          <w:tcPr>
            <w:tcW w:w="1052" w:type="pct"/>
            <w:shd w:val="clear" w:color="auto" w:fill="auto"/>
            <w:vAlign w:val="center"/>
          </w:tcPr>
          <w:p w14:paraId="5E628685" w14:textId="77777777" w:rsidR="00016609" w:rsidRPr="00456281" w:rsidRDefault="00016609" w:rsidP="00076C6A">
            <w:pPr>
              <w:pStyle w:val="In-tableHeading"/>
              <w:keepLines/>
              <w:jc w:val="center"/>
              <w:rPr>
                <w:lang w:val="en-AU"/>
              </w:rPr>
            </w:pPr>
            <w:r w:rsidRPr="00456281">
              <w:rPr>
                <w:lang w:val="en-AU"/>
              </w:rPr>
              <w:t>Patient population</w:t>
            </w:r>
          </w:p>
        </w:tc>
        <w:tc>
          <w:tcPr>
            <w:tcW w:w="618" w:type="pct"/>
            <w:shd w:val="clear" w:color="auto" w:fill="auto"/>
            <w:vAlign w:val="center"/>
          </w:tcPr>
          <w:p w14:paraId="04CF769C" w14:textId="77777777" w:rsidR="00016609" w:rsidRPr="00456281" w:rsidRDefault="00016609" w:rsidP="00076C6A">
            <w:pPr>
              <w:pStyle w:val="In-tableHeading"/>
              <w:keepLines/>
              <w:jc w:val="center"/>
              <w:rPr>
                <w:lang w:val="en-AU"/>
              </w:rPr>
            </w:pPr>
            <w:r w:rsidRPr="00456281">
              <w:rPr>
                <w:lang w:val="en-AU"/>
              </w:rPr>
              <w:t>Outcomes</w:t>
            </w:r>
          </w:p>
        </w:tc>
        <w:tc>
          <w:tcPr>
            <w:tcW w:w="484" w:type="pct"/>
            <w:shd w:val="clear" w:color="auto" w:fill="auto"/>
            <w:vAlign w:val="center"/>
          </w:tcPr>
          <w:p w14:paraId="2605ED6E" w14:textId="77777777" w:rsidR="00016609" w:rsidRPr="00456281" w:rsidRDefault="00016609" w:rsidP="00076C6A">
            <w:pPr>
              <w:pStyle w:val="In-tableHeading"/>
              <w:keepLines/>
              <w:jc w:val="center"/>
              <w:rPr>
                <w:lang w:val="en-AU"/>
              </w:rPr>
            </w:pPr>
            <w:r w:rsidRPr="00456281">
              <w:rPr>
                <w:lang w:val="en-AU"/>
              </w:rPr>
              <w:t>Use in modelled evaluation</w:t>
            </w:r>
          </w:p>
        </w:tc>
      </w:tr>
      <w:tr w:rsidR="00016609" w:rsidRPr="00456281" w14:paraId="4702E991" w14:textId="77777777" w:rsidTr="00956744">
        <w:trPr>
          <w:cantSplit/>
        </w:trPr>
        <w:tc>
          <w:tcPr>
            <w:tcW w:w="5000" w:type="pct"/>
            <w:gridSpan w:val="7"/>
            <w:shd w:val="clear" w:color="auto" w:fill="auto"/>
            <w:vAlign w:val="center"/>
          </w:tcPr>
          <w:p w14:paraId="594BAB99" w14:textId="77777777" w:rsidR="00016609" w:rsidRPr="00456281" w:rsidRDefault="00016609" w:rsidP="00076C6A">
            <w:pPr>
              <w:pStyle w:val="In-tableHeading"/>
              <w:keepLines/>
              <w:rPr>
                <w:lang w:val="en-AU"/>
              </w:rPr>
            </w:pPr>
            <w:r w:rsidRPr="00456281">
              <w:rPr>
                <w:lang w:val="en-AU"/>
              </w:rPr>
              <w:t>NALIRIFOX</w:t>
            </w:r>
            <w:r w:rsidRPr="00456281">
              <w:rPr>
                <w:bCs/>
                <w:lang w:val="en-AU"/>
              </w:rPr>
              <w:t xml:space="preserve"> vs Gem+NabP</w:t>
            </w:r>
          </w:p>
        </w:tc>
      </w:tr>
      <w:tr w:rsidR="00016609" w:rsidRPr="00456281" w14:paraId="0628DCD4" w14:textId="77777777" w:rsidTr="00076C6A">
        <w:trPr>
          <w:cantSplit/>
        </w:trPr>
        <w:tc>
          <w:tcPr>
            <w:tcW w:w="1019" w:type="pct"/>
            <w:shd w:val="clear" w:color="auto" w:fill="auto"/>
            <w:vAlign w:val="center"/>
          </w:tcPr>
          <w:p w14:paraId="55C74979" w14:textId="77777777" w:rsidR="00016609" w:rsidRPr="00456281" w:rsidRDefault="00016609" w:rsidP="00076C6A">
            <w:pPr>
              <w:pStyle w:val="PBACTabletext"/>
              <w:widowControl w:val="0"/>
            </w:pPr>
            <w:r w:rsidRPr="00456281">
              <w:t>NAPOLI-3</w:t>
            </w:r>
          </w:p>
        </w:tc>
        <w:tc>
          <w:tcPr>
            <w:tcW w:w="314" w:type="pct"/>
            <w:shd w:val="clear" w:color="auto" w:fill="auto"/>
            <w:vAlign w:val="center"/>
          </w:tcPr>
          <w:p w14:paraId="595A9314" w14:textId="77777777" w:rsidR="00016609" w:rsidRPr="00456281" w:rsidRDefault="00016609" w:rsidP="00076C6A">
            <w:pPr>
              <w:pStyle w:val="TableText0"/>
              <w:keepLines/>
              <w:jc w:val="center"/>
            </w:pPr>
            <w:r w:rsidRPr="00456281">
              <w:t>770</w:t>
            </w:r>
          </w:p>
        </w:tc>
        <w:tc>
          <w:tcPr>
            <w:tcW w:w="1057" w:type="pct"/>
            <w:shd w:val="clear" w:color="auto" w:fill="auto"/>
            <w:vAlign w:val="center"/>
          </w:tcPr>
          <w:p w14:paraId="02C9443B" w14:textId="77777777" w:rsidR="00016609" w:rsidRPr="00456281" w:rsidRDefault="00016609" w:rsidP="00076C6A">
            <w:pPr>
              <w:pStyle w:val="TableText0"/>
              <w:keepLines/>
              <w:jc w:val="center"/>
            </w:pPr>
            <w:r w:rsidRPr="00456281">
              <w:t>R, OL, MC, MN, Phase III</w:t>
            </w:r>
          </w:p>
          <w:p w14:paraId="7E4B365D" w14:textId="77777777" w:rsidR="00016609" w:rsidRPr="00456281" w:rsidRDefault="00016609" w:rsidP="00076C6A">
            <w:pPr>
              <w:pStyle w:val="TableText0"/>
              <w:keepLines/>
              <w:jc w:val="center"/>
            </w:pPr>
            <w:r w:rsidRPr="00456281">
              <w:t>NALIRIFOX: 16 months</w:t>
            </w:r>
          </w:p>
          <w:p w14:paraId="26719110" w14:textId="77777777" w:rsidR="00016609" w:rsidRPr="00456281" w:rsidRDefault="00016609" w:rsidP="00076C6A">
            <w:pPr>
              <w:pStyle w:val="TableText0"/>
              <w:keepLines/>
              <w:jc w:val="center"/>
            </w:pPr>
            <w:r w:rsidRPr="00456281">
              <w:t>Gem+NabP: 16.3 months</w:t>
            </w:r>
          </w:p>
        </w:tc>
        <w:tc>
          <w:tcPr>
            <w:tcW w:w="456" w:type="pct"/>
            <w:shd w:val="clear" w:color="auto" w:fill="auto"/>
            <w:vAlign w:val="center"/>
          </w:tcPr>
          <w:p w14:paraId="6DD6E65B" w14:textId="6DD72FE4" w:rsidR="00016609" w:rsidRPr="00456281" w:rsidRDefault="00016609" w:rsidP="00076C6A">
            <w:pPr>
              <w:pStyle w:val="TableText0"/>
              <w:keepLines/>
              <w:jc w:val="center"/>
              <w:rPr>
                <w:iCs/>
              </w:rPr>
            </w:pPr>
            <w:r w:rsidRPr="00456281">
              <w:rPr>
                <w:iCs/>
              </w:rPr>
              <w:t>Some concerns</w:t>
            </w:r>
          </w:p>
        </w:tc>
        <w:tc>
          <w:tcPr>
            <w:tcW w:w="1052" w:type="pct"/>
            <w:shd w:val="clear" w:color="auto" w:fill="auto"/>
            <w:vAlign w:val="center"/>
          </w:tcPr>
          <w:p w14:paraId="68501F33" w14:textId="77777777" w:rsidR="00016609" w:rsidRPr="00456281" w:rsidRDefault="00016609" w:rsidP="00076C6A">
            <w:pPr>
              <w:pStyle w:val="TableText0"/>
              <w:keepLines/>
              <w:jc w:val="center"/>
            </w:pPr>
            <w:r w:rsidRPr="00456281">
              <w:t>mPAC not previously treated with chemotherapy for metastatic disease</w:t>
            </w:r>
          </w:p>
        </w:tc>
        <w:tc>
          <w:tcPr>
            <w:tcW w:w="618" w:type="pct"/>
            <w:shd w:val="clear" w:color="auto" w:fill="auto"/>
            <w:vAlign w:val="center"/>
          </w:tcPr>
          <w:p w14:paraId="64C9E854" w14:textId="77777777" w:rsidR="00016609" w:rsidRPr="00456281" w:rsidRDefault="00016609" w:rsidP="00076C6A">
            <w:pPr>
              <w:pStyle w:val="TableText0"/>
              <w:keepLines/>
              <w:jc w:val="center"/>
            </w:pPr>
            <w:r w:rsidRPr="00456281">
              <w:t>OS, PFS, ORR, HRQoL, Safety</w:t>
            </w:r>
          </w:p>
        </w:tc>
        <w:tc>
          <w:tcPr>
            <w:tcW w:w="484" w:type="pct"/>
            <w:shd w:val="clear" w:color="auto" w:fill="auto"/>
            <w:vAlign w:val="center"/>
          </w:tcPr>
          <w:p w14:paraId="30E2C192" w14:textId="77777777" w:rsidR="00016609" w:rsidRPr="00456281" w:rsidRDefault="00016609" w:rsidP="00076C6A">
            <w:pPr>
              <w:pStyle w:val="TableText0"/>
              <w:keepLines/>
              <w:jc w:val="center"/>
            </w:pPr>
            <w:r w:rsidRPr="00456281">
              <w:t>OS, PFS, HRQoL</w:t>
            </w:r>
          </w:p>
        </w:tc>
      </w:tr>
      <w:tr w:rsidR="00016609" w:rsidRPr="00456281" w14:paraId="374D7652" w14:textId="77777777" w:rsidTr="00956744">
        <w:trPr>
          <w:cantSplit/>
        </w:trPr>
        <w:tc>
          <w:tcPr>
            <w:tcW w:w="5000" w:type="pct"/>
            <w:gridSpan w:val="7"/>
            <w:shd w:val="clear" w:color="auto" w:fill="auto"/>
            <w:vAlign w:val="center"/>
          </w:tcPr>
          <w:p w14:paraId="68AC5BDF" w14:textId="5B42D92E" w:rsidR="00016609" w:rsidRPr="00456281" w:rsidRDefault="00016609" w:rsidP="00076C6A">
            <w:pPr>
              <w:pStyle w:val="TableText0"/>
              <w:keepLines/>
            </w:pPr>
            <w:r w:rsidRPr="00456281">
              <w:rPr>
                <w:b/>
              </w:rPr>
              <w:t>FOLF</w:t>
            </w:r>
            <w:r w:rsidR="00E95A8F" w:rsidRPr="00456281">
              <w:rPr>
                <w:b/>
              </w:rPr>
              <w:t>I</w:t>
            </w:r>
            <w:r w:rsidRPr="00456281">
              <w:rPr>
                <w:b/>
              </w:rPr>
              <w:t>RINOX vs Gemcitabine</w:t>
            </w:r>
          </w:p>
        </w:tc>
      </w:tr>
      <w:tr w:rsidR="00016609" w:rsidRPr="00456281" w14:paraId="01A96BF3" w14:textId="77777777" w:rsidTr="00076C6A">
        <w:trPr>
          <w:cantSplit/>
        </w:trPr>
        <w:tc>
          <w:tcPr>
            <w:tcW w:w="1019" w:type="pct"/>
            <w:shd w:val="clear" w:color="auto" w:fill="auto"/>
            <w:vAlign w:val="center"/>
          </w:tcPr>
          <w:p w14:paraId="31C0E861" w14:textId="77777777" w:rsidR="00016609" w:rsidRPr="00456281" w:rsidRDefault="00016609" w:rsidP="00076C6A">
            <w:pPr>
              <w:pStyle w:val="TableText0"/>
              <w:keepLines/>
            </w:pPr>
            <w:r w:rsidRPr="00456281">
              <w:t>ACCORD11/</w:t>
            </w:r>
          </w:p>
          <w:p w14:paraId="509F9ABE" w14:textId="77777777" w:rsidR="00016609" w:rsidRPr="00456281" w:rsidRDefault="00016609" w:rsidP="00076C6A">
            <w:pPr>
              <w:pStyle w:val="TableText0"/>
              <w:keepLines/>
            </w:pPr>
            <w:r w:rsidRPr="00456281">
              <w:t>PRODIGE4</w:t>
            </w:r>
          </w:p>
        </w:tc>
        <w:tc>
          <w:tcPr>
            <w:tcW w:w="314" w:type="pct"/>
            <w:shd w:val="clear" w:color="auto" w:fill="auto"/>
            <w:vAlign w:val="center"/>
          </w:tcPr>
          <w:p w14:paraId="16004C22" w14:textId="77777777" w:rsidR="00016609" w:rsidRPr="00456281" w:rsidRDefault="00016609" w:rsidP="00076C6A">
            <w:pPr>
              <w:pStyle w:val="TableText0"/>
              <w:keepLines/>
              <w:jc w:val="center"/>
            </w:pPr>
            <w:r w:rsidRPr="00456281">
              <w:t>342</w:t>
            </w:r>
          </w:p>
        </w:tc>
        <w:tc>
          <w:tcPr>
            <w:tcW w:w="1057" w:type="pct"/>
            <w:shd w:val="clear" w:color="auto" w:fill="auto"/>
            <w:vAlign w:val="center"/>
          </w:tcPr>
          <w:p w14:paraId="2475776A" w14:textId="77777777" w:rsidR="00016609" w:rsidRPr="00456281" w:rsidRDefault="00016609" w:rsidP="00076C6A">
            <w:pPr>
              <w:pStyle w:val="TableText0"/>
              <w:keepLines/>
              <w:jc w:val="center"/>
            </w:pPr>
            <w:r w:rsidRPr="00456281">
              <w:t>R, OL, MC (France), Phase II/ III</w:t>
            </w:r>
          </w:p>
          <w:p w14:paraId="4972E6CA" w14:textId="77777777" w:rsidR="00016609" w:rsidRPr="00456281" w:rsidRDefault="00016609" w:rsidP="00076C6A">
            <w:pPr>
              <w:pStyle w:val="TableText0"/>
              <w:keepLines/>
              <w:jc w:val="center"/>
            </w:pPr>
            <w:r w:rsidRPr="00456281">
              <w:t>26.6 months</w:t>
            </w:r>
          </w:p>
        </w:tc>
        <w:tc>
          <w:tcPr>
            <w:tcW w:w="456" w:type="pct"/>
            <w:shd w:val="clear" w:color="auto" w:fill="auto"/>
            <w:vAlign w:val="center"/>
          </w:tcPr>
          <w:p w14:paraId="580C9F95" w14:textId="37708C33" w:rsidR="00016609" w:rsidRPr="00456281" w:rsidRDefault="00016609" w:rsidP="00076C6A">
            <w:pPr>
              <w:pStyle w:val="TableText0"/>
              <w:keepLines/>
              <w:jc w:val="center"/>
              <w:rPr>
                <w:iCs/>
              </w:rPr>
            </w:pPr>
            <w:r w:rsidRPr="00456281">
              <w:rPr>
                <w:iCs/>
              </w:rPr>
              <w:t>Some concerns</w:t>
            </w:r>
          </w:p>
        </w:tc>
        <w:tc>
          <w:tcPr>
            <w:tcW w:w="1052" w:type="pct"/>
            <w:shd w:val="clear" w:color="auto" w:fill="auto"/>
            <w:vAlign w:val="center"/>
          </w:tcPr>
          <w:p w14:paraId="77530CEA" w14:textId="77777777" w:rsidR="00016609" w:rsidRPr="00456281" w:rsidRDefault="00016609" w:rsidP="00076C6A">
            <w:pPr>
              <w:pStyle w:val="TableText0"/>
              <w:keepLines/>
              <w:jc w:val="center"/>
            </w:pPr>
            <w:r w:rsidRPr="00456281">
              <w:t>mPAC not previously treated with chemotherapy for metastatic disease</w:t>
            </w:r>
          </w:p>
        </w:tc>
        <w:tc>
          <w:tcPr>
            <w:tcW w:w="618" w:type="pct"/>
            <w:shd w:val="clear" w:color="auto" w:fill="auto"/>
            <w:vAlign w:val="center"/>
          </w:tcPr>
          <w:p w14:paraId="48235B87" w14:textId="77777777" w:rsidR="00016609" w:rsidRPr="00456281" w:rsidRDefault="00016609" w:rsidP="00076C6A">
            <w:pPr>
              <w:pStyle w:val="TableText0"/>
              <w:keepLines/>
              <w:jc w:val="center"/>
            </w:pPr>
            <w:r w:rsidRPr="00456281">
              <w:t>OS, PFS, ORR, Safety</w:t>
            </w:r>
          </w:p>
        </w:tc>
        <w:tc>
          <w:tcPr>
            <w:tcW w:w="484" w:type="pct"/>
            <w:shd w:val="clear" w:color="auto" w:fill="auto"/>
            <w:vAlign w:val="center"/>
          </w:tcPr>
          <w:p w14:paraId="0F7B20E3" w14:textId="266F3AE7" w:rsidR="00016609" w:rsidRPr="00456281" w:rsidRDefault="00832CF2" w:rsidP="00076C6A">
            <w:pPr>
              <w:pStyle w:val="TableText0"/>
              <w:keepLines/>
              <w:jc w:val="center"/>
              <w:rPr>
                <w:vertAlign w:val="superscript"/>
              </w:rPr>
            </w:pPr>
            <w:r w:rsidRPr="00456281">
              <w:t>OS, PFS</w:t>
            </w:r>
          </w:p>
        </w:tc>
      </w:tr>
      <w:tr w:rsidR="00016609" w:rsidRPr="00456281" w14:paraId="7EF6F6E7" w14:textId="77777777" w:rsidTr="00956744">
        <w:trPr>
          <w:cantSplit/>
        </w:trPr>
        <w:tc>
          <w:tcPr>
            <w:tcW w:w="5000" w:type="pct"/>
            <w:gridSpan w:val="7"/>
            <w:shd w:val="clear" w:color="auto" w:fill="auto"/>
            <w:vAlign w:val="center"/>
          </w:tcPr>
          <w:p w14:paraId="5B9F07B1" w14:textId="77777777" w:rsidR="00016609" w:rsidRPr="00456281" w:rsidRDefault="00016609" w:rsidP="00076C6A">
            <w:pPr>
              <w:pStyle w:val="TableText0"/>
              <w:keepLines/>
            </w:pPr>
            <w:r w:rsidRPr="00456281">
              <w:rPr>
                <w:b/>
              </w:rPr>
              <w:t>Gem+NabP vs Gemcitabine</w:t>
            </w:r>
          </w:p>
        </w:tc>
      </w:tr>
      <w:tr w:rsidR="00016609" w:rsidRPr="00456281" w14:paraId="175260A9" w14:textId="77777777" w:rsidTr="00076C6A">
        <w:trPr>
          <w:cantSplit/>
        </w:trPr>
        <w:tc>
          <w:tcPr>
            <w:tcW w:w="1019" w:type="pct"/>
            <w:shd w:val="clear" w:color="auto" w:fill="auto"/>
            <w:vAlign w:val="center"/>
          </w:tcPr>
          <w:p w14:paraId="636AECE8" w14:textId="77777777" w:rsidR="00016609" w:rsidRPr="00456281" w:rsidRDefault="00016609" w:rsidP="00076C6A">
            <w:pPr>
              <w:pStyle w:val="PBACTabletext"/>
              <w:widowControl w:val="0"/>
            </w:pPr>
            <w:r w:rsidRPr="00456281">
              <w:t>MPACT</w:t>
            </w:r>
          </w:p>
        </w:tc>
        <w:tc>
          <w:tcPr>
            <w:tcW w:w="314" w:type="pct"/>
            <w:shd w:val="clear" w:color="auto" w:fill="auto"/>
            <w:vAlign w:val="center"/>
          </w:tcPr>
          <w:p w14:paraId="180F7D31" w14:textId="77777777" w:rsidR="00016609" w:rsidRPr="00456281" w:rsidRDefault="00016609" w:rsidP="00076C6A">
            <w:pPr>
              <w:pStyle w:val="TableText0"/>
              <w:keepLines/>
              <w:jc w:val="center"/>
            </w:pPr>
            <w:r w:rsidRPr="00456281">
              <w:t>861</w:t>
            </w:r>
          </w:p>
        </w:tc>
        <w:tc>
          <w:tcPr>
            <w:tcW w:w="1057" w:type="pct"/>
            <w:shd w:val="clear" w:color="auto" w:fill="auto"/>
            <w:vAlign w:val="center"/>
          </w:tcPr>
          <w:p w14:paraId="25426C69" w14:textId="77777777" w:rsidR="00016609" w:rsidRPr="00456281" w:rsidRDefault="00016609" w:rsidP="00076C6A">
            <w:pPr>
              <w:pStyle w:val="TableText0"/>
              <w:keepLines/>
              <w:jc w:val="center"/>
            </w:pPr>
            <w:r w:rsidRPr="00456281">
              <w:t>R, OL, MC, MN, Phase III</w:t>
            </w:r>
          </w:p>
          <w:p w14:paraId="0045C70C" w14:textId="77777777" w:rsidR="00016609" w:rsidRPr="00456281" w:rsidRDefault="00016609" w:rsidP="00076C6A">
            <w:pPr>
              <w:pStyle w:val="TableText0"/>
              <w:keepLines/>
              <w:jc w:val="center"/>
            </w:pPr>
            <w:r w:rsidRPr="00456281">
              <w:t>Gem+NabP: 9.1 months</w:t>
            </w:r>
          </w:p>
          <w:p w14:paraId="0FF1D51B" w14:textId="77777777" w:rsidR="00016609" w:rsidRPr="00456281" w:rsidRDefault="00016609" w:rsidP="00076C6A">
            <w:pPr>
              <w:pStyle w:val="TableText0"/>
              <w:keepLines/>
              <w:jc w:val="center"/>
            </w:pPr>
            <w:r w:rsidRPr="00456281">
              <w:t>Gem: 7.4 months</w:t>
            </w:r>
          </w:p>
        </w:tc>
        <w:tc>
          <w:tcPr>
            <w:tcW w:w="456" w:type="pct"/>
            <w:shd w:val="clear" w:color="auto" w:fill="auto"/>
            <w:vAlign w:val="center"/>
          </w:tcPr>
          <w:p w14:paraId="4B8913B3" w14:textId="52062A6E" w:rsidR="00016609" w:rsidRPr="00456281" w:rsidRDefault="00016609" w:rsidP="00076C6A">
            <w:pPr>
              <w:pStyle w:val="TableText0"/>
              <w:keepLines/>
              <w:jc w:val="center"/>
              <w:rPr>
                <w:iCs/>
              </w:rPr>
            </w:pPr>
            <w:r w:rsidRPr="00456281">
              <w:rPr>
                <w:iCs/>
              </w:rPr>
              <w:t>Some concerns</w:t>
            </w:r>
          </w:p>
        </w:tc>
        <w:tc>
          <w:tcPr>
            <w:tcW w:w="1052" w:type="pct"/>
            <w:shd w:val="clear" w:color="auto" w:fill="auto"/>
            <w:vAlign w:val="center"/>
          </w:tcPr>
          <w:p w14:paraId="64C58649" w14:textId="77777777" w:rsidR="00016609" w:rsidRPr="00456281" w:rsidRDefault="00016609" w:rsidP="00076C6A">
            <w:pPr>
              <w:pStyle w:val="TableText0"/>
              <w:keepLines/>
              <w:jc w:val="center"/>
            </w:pPr>
            <w:r w:rsidRPr="00456281">
              <w:t>mPAC not previously treated with chemotherapy for metastatic disease</w:t>
            </w:r>
          </w:p>
        </w:tc>
        <w:tc>
          <w:tcPr>
            <w:tcW w:w="618" w:type="pct"/>
            <w:shd w:val="clear" w:color="auto" w:fill="auto"/>
            <w:vAlign w:val="center"/>
          </w:tcPr>
          <w:p w14:paraId="08BD7CC8" w14:textId="77777777" w:rsidR="00016609" w:rsidRPr="00456281" w:rsidRDefault="00016609" w:rsidP="00076C6A">
            <w:pPr>
              <w:pStyle w:val="TableText0"/>
              <w:keepLines/>
              <w:jc w:val="center"/>
            </w:pPr>
            <w:r w:rsidRPr="00456281">
              <w:t>OS, PFS, ORR, Safety</w:t>
            </w:r>
          </w:p>
        </w:tc>
        <w:tc>
          <w:tcPr>
            <w:tcW w:w="484" w:type="pct"/>
            <w:shd w:val="clear" w:color="auto" w:fill="auto"/>
            <w:vAlign w:val="center"/>
          </w:tcPr>
          <w:p w14:paraId="6868CB76" w14:textId="7A7279C3" w:rsidR="00016609" w:rsidRPr="00456281" w:rsidRDefault="00832CF2" w:rsidP="00076C6A">
            <w:pPr>
              <w:pStyle w:val="TableText0"/>
              <w:keepLines/>
              <w:jc w:val="center"/>
            </w:pPr>
            <w:r w:rsidRPr="00456281">
              <w:t>NA</w:t>
            </w:r>
          </w:p>
        </w:tc>
      </w:tr>
      <w:tr w:rsidR="00945DB8" w:rsidRPr="00AD1919" w14:paraId="5A1AC643" w14:textId="77777777" w:rsidTr="007072A3">
        <w:trPr>
          <w:cantSplit/>
        </w:trPr>
        <w:tc>
          <w:tcPr>
            <w:tcW w:w="5000" w:type="pct"/>
            <w:gridSpan w:val="7"/>
            <w:shd w:val="clear" w:color="auto" w:fill="auto"/>
            <w:vAlign w:val="center"/>
          </w:tcPr>
          <w:p w14:paraId="56CFB877" w14:textId="370DB71D" w:rsidR="007072A3" w:rsidRPr="009C3CBE" w:rsidRDefault="007072A3" w:rsidP="00076C6A">
            <w:pPr>
              <w:pStyle w:val="TableText0"/>
              <w:keepLines/>
              <w:rPr>
                <w:b/>
                <w:bCs w:val="0"/>
                <w:lang w:val="pt-PT"/>
              </w:rPr>
            </w:pPr>
            <w:r w:rsidRPr="009C3CBE">
              <w:rPr>
                <w:b/>
                <w:bCs w:val="0"/>
                <w:lang w:val="pt-PT"/>
              </w:rPr>
              <w:t>Gem+NabP vs FOLFIRINOX (vs S-IROX)</w:t>
            </w:r>
          </w:p>
        </w:tc>
      </w:tr>
      <w:tr w:rsidR="00F449CD" w:rsidRPr="00456281" w14:paraId="0454FA9F" w14:textId="77777777" w:rsidTr="00076C6A">
        <w:trPr>
          <w:cantSplit/>
        </w:trPr>
        <w:tc>
          <w:tcPr>
            <w:tcW w:w="1019" w:type="pct"/>
            <w:shd w:val="clear" w:color="auto" w:fill="auto"/>
            <w:vAlign w:val="center"/>
          </w:tcPr>
          <w:p w14:paraId="04C36456" w14:textId="07C25B05" w:rsidR="00081C85" w:rsidRPr="00456281" w:rsidRDefault="007072A3" w:rsidP="00076C6A">
            <w:pPr>
              <w:pStyle w:val="PBACTabletext"/>
              <w:widowControl w:val="0"/>
            </w:pPr>
            <w:r w:rsidRPr="00456281">
              <w:t>GENERATE</w:t>
            </w:r>
          </w:p>
        </w:tc>
        <w:tc>
          <w:tcPr>
            <w:tcW w:w="314" w:type="pct"/>
            <w:shd w:val="clear" w:color="auto" w:fill="auto"/>
            <w:vAlign w:val="center"/>
          </w:tcPr>
          <w:p w14:paraId="56ECE087" w14:textId="2C0A5F78" w:rsidR="00081C85" w:rsidRPr="00456281" w:rsidRDefault="007072A3" w:rsidP="00076C6A">
            <w:pPr>
              <w:pStyle w:val="TableText0"/>
              <w:keepLines/>
              <w:jc w:val="center"/>
            </w:pPr>
            <w:r w:rsidRPr="00456281">
              <w:t>527</w:t>
            </w:r>
          </w:p>
        </w:tc>
        <w:tc>
          <w:tcPr>
            <w:tcW w:w="1057" w:type="pct"/>
            <w:shd w:val="clear" w:color="auto" w:fill="auto"/>
            <w:vAlign w:val="center"/>
          </w:tcPr>
          <w:p w14:paraId="6298110E" w14:textId="1592D316" w:rsidR="00081C85" w:rsidRPr="009C3CBE" w:rsidRDefault="007072A3" w:rsidP="00076C6A">
            <w:pPr>
              <w:pStyle w:val="TableText0"/>
              <w:keepLines/>
              <w:jc w:val="center"/>
              <w:rPr>
                <w:lang w:val="pt-PT"/>
              </w:rPr>
            </w:pPr>
            <w:r w:rsidRPr="009C3CBE">
              <w:rPr>
                <w:lang w:val="pt-PT"/>
              </w:rPr>
              <w:t xml:space="preserve">R, OL, </w:t>
            </w:r>
            <w:r w:rsidR="00E81679" w:rsidRPr="009C3CBE">
              <w:rPr>
                <w:lang w:val="pt-PT"/>
              </w:rPr>
              <w:t>M</w:t>
            </w:r>
            <w:r w:rsidRPr="009C3CBE">
              <w:rPr>
                <w:lang w:val="pt-PT"/>
              </w:rPr>
              <w:t>C (Japan), Phase II/III</w:t>
            </w:r>
          </w:p>
          <w:p w14:paraId="404BC39D" w14:textId="4A1DD9DC" w:rsidR="007072A3" w:rsidRPr="009C3CBE" w:rsidRDefault="007072A3" w:rsidP="00076C6A">
            <w:pPr>
              <w:pStyle w:val="TableText0"/>
              <w:keepLines/>
              <w:jc w:val="center"/>
              <w:rPr>
                <w:lang w:val="pt-PT"/>
              </w:rPr>
            </w:pPr>
            <w:r w:rsidRPr="009C3CBE">
              <w:rPr>
                <w:lang w:val="pt-PT"/>
              </w:rPr>
              <w:t>Gem+NabP: NR</w:t>
            </w:r>
          </w:p>
          <w:p w14:paraId="586E781A" w14:textId="05F9D8BF" w:rsidR="007072A3" w:rsidRPr="00456281" w:rsidRDefault="007072A3" w:rsidP="00076C6A">
            <w:pPr>
              <w:pStyle w:val="TableText0"/>
              <w:keepLines/>
              <w:jc w:val="center"/>
            </w:pPr>
            <w:r w:rsidRPr="00456281">
              <w:t>FOLFIRINOX: NR</w:t>
            </w:r>
          </w:p>
        </w:tc>
        <w:tc>
          <w:tcPr>
            <w:tcW w:w="456" w:type="pct"/>
            <w:shd w:val="clear" w:color="auto" w:fill="auto"/>
            <w:vAlign w:val="center"/>
          </w:tcPr>
          <w:p w14:paraId="21026E37" w14:textId="35E06A42" w:rsidR="00081C85" w:rsidRPr="00456281" w:rsidRDefault="007072A3" w:rsidP="00076C6A">
            <w:pPr>
              <w:pStyle w:val="TableText0"/>
              <w:keepLines/>
              <w:jc w:val="center"/>
            </w:pPr>
            <w:r w:rsidRPr="00456281">
              <w:t>Unknown</w:t>
            </w:r>
          </w:p>
        </w:tc>
        <w:tc>
          <w:tcPr>
            <w:tcW w:w="1052" w:type="pct"/>
            <w:shd w:val="clear" w:color="auto" w:fill="auto"/>
            <w:vAlign w:val="center"/>
          </w:tcPr>
          <w:p w14:paraId="754AF59D" w14:textId="1C59704B" w:rsidR="00081C85" w:rsidRPr="00456281" w:rsidRDefault="007072A3" w:rsidP="00076C6A">
            <w:pPr>
              <w:pStyle w:val="TableText0"/>
              <w:keepLines/>
              <w:jc w:val="center"/>
            </w:pPr>
            <w:r w:rsidRPr="00456281">
              <w:t>Metastatic or recurrent PAC not previously treated</w:t>
            </w:r>
          </w:p>
        </w:tc>
        <w:tc>
          <w:tcPr>
            <w:tcW w:w="618" w:type="pct"/>
            <w:shd w:val="clear" w:color="auto" w:fill="auto"/>
            <w:vAlign w:val="center"/>
          </w:tcPr>
          <w:p w14:paraId="57BD8CBB" w14:textId="453B1799" w:rsidR="00081C85" w:rsidRPr="00456281" w:rsidRDefault="007072A3" w:rsidP="00076C6A">
            <w:pPr>
              <w:pStyle w:val="TableText0"/>
              <w:keepLines/>
              <w:jc w:val="center"/>
            </w:pPr>
            <w:r w:rsidRPr="00456281">
              <w:t>OS, PFS, ORR, Safety</w:t>
            </w:r>
          </w:p>
        </w:tc>
        <w:tc>
          <w:tcPr>
            <w:tcW w:w="484" w:type="pct"/>
            <w:shd w:val="clear" w:color="auto" w:fill="auto"/>
            <w:vAlign w:val="center"/>
          </w:tcPr>
          <w:p w14:paraId="1DCCD626" w14:textId="54BA017C" w:rsidR="00081C85" w:rsidRPr="00456281" w:rsidRDefault="007072A3" w:rsidP="00076C6A">
            <w:pPr>
              <w:pStyle w:val="TableText0"/>
              <w:keepLines/>
              <w:jc w:val="center"/>
            </w:pPr>
            <w:r w:rsidRPr="00456281">
              <w:t>NA</w:t>
            </w:r>
          </w:p>
        </w:tc>
      </w:tr>
    </w:tbl>
    <w:p w14:paraId="4E52F15C" w14:textId="77777777" w:rsidR="00016609" w:rsidRPr="00456281" w:rsidRDefault="00016609" w:rsidP="00076C6A">
      <w:pPr>
        <w:pStyle w:val="FooterTableFigure"/>
        <w:keepNext/>
        <w:keepLines/>
      </w:pPr>
      <w:r w:rsidRPr="00456281">
        <w:t>Source: Compiled during the evaluation from Section 2 of the submission and Appendix A. Risk of bias amended during the evaluation.</w:t>
      </w:r>
    </w:p>
    <w:p w14:paraId="5F023894" w14:textId="018D2575" w:rsidR="00016609" w:rsidRPr="00456281" w:rsidRDefault="00016609" w:rsidP="00076C6A">
      <w:pPr>
        <w:pStyle w:val="FooterTableFigure"/>
        <w:keepNext/>
        <w:keepLines/>
      </w:pPr>
      <w:r w:rsidRPr="00456281">
        <w:t xml:space="preserve">Abbreviations: HRQoL, health-related quality of life; MC, multi-centre; MN, multi-national; mPAC, metastatic pancreatic adenocarcinoma; </w:t>
      </w:r>
      <w:r w:rsidR="00832CF2" w:rsidRPr="00456281">
        <w:t xml:space="preserve">NA, not applicable; </w:t>
      </w:r>
      <w:r w:rsidRPr="00456281">
        <w:t xml:space="preserve">NALIRIFOX, 5-fluorouracil, Leucovorin/folinic acid, nanoliposomal irinotecan (nal-IRI), and oxaliplatin; </w:t>
      </w:r>
      <w:r w:rsidR="007072A3" w:rsidRPr="00456281">
        <w:t xml:space="preserve">NR, not reported; </w:t>
      </w:r>
      <w:r w:rsidRPr="00456281">
        <w:t>OL, open label; ORR, objective response rate; OS, overall survival; PFS, progression-free survival; R, randomised</w:t>
      </w:r>
      <w:r w:rsidR="007072A3" w:rsidRPr="00456281">
        <w:t>; S-IROX, S-1, irinotecan, and oxaliplatin</w:t>
      </w:r>
      <w:r w:rsidRPr="00456281">
        <w:t>.</w:t>
      </w:r>
    </w:p>
    <w:p w14:paraId="6C258E37" w14:textId="4AADEBFD" w:rsidR="00651B59" w:rsidRPr="00456281" w:rsidRDefault="00651B59" w:rsidP="00076C6A">
      <w:pPr>
        <w:pStyle w:val="FooterTableFigure"/>
        <w:rPr>
          <w:iCs/>
        </w:rPr>
      </w:pPr>
      <w:r w:rsidRPr="00456281">
        <w:rPr>
          <w:iCs/>
          <w:vertAlign w:val="superscript"/>
        </w:rPr>
        <w:t>a</w:t>
      </w:r>
      <w:r w:rsidRPr="00456281">
        <w:rPr>
          <w:iCs/>
        </w:rPr>
        <w:t xml:space="preserve"> The submission </w:t>
      </w:r>
      <w:r w:rsidR="003B53A9" w:rsidRPr="00456281">
        <w:rPr>
          <w:iCs/>
        </w:rPr>
        <w:t xml:space="preserve">stated that the </w:t>
      </w:r>
      <w:r w:rsidR="00561ACF" w:rsidRPr="00456281">
        <w:rPr>
          <w:iCs/>
        </w:rPr>
        <w:t xml:space="preserve">overall </w:t>
      </w:r>
      <w:r w:rsidR="003B53A9" w:rsidRPr="00456281">
        <w:rPr>
          <w:iCs/>
        </w:rPr>
        <w:t>risk of bias was low for all three trials. The evaluation considers</w:t>
      </w:r>
      <w:r w:rsidR="000874B3" w:rsidRPr="00456281">
        <w:rPr>
          <w:iCs/>
        </w:rPr>
        <w:t xml:space="preserve"> the </w:t>
      </w:r>
      <w:r w:rsidR="00F94A82" w:rsidRPr="00456281">
        <w:rPr>
          <w:iCs/>
        </w:rPr>
        <w:t xml:space="preserve">overall </w:t>
      </w:r>
      <w:r w:rsidR="000874B3" w:rsidRPr="00456281">
        <w:rPr>
          <w:iCs/>
        </w:rPr>
        <w:t>ris</w:t>
      </w:r>
      <w:r w:rsidR="00177675" w:rsidRPr="00456281">
        <w:rPr>
          <w:iCs/>
        </w:rPr>
        <w:t>k of bias</w:t>
      </w:r>
      <w:r w:rsidR="008A640C" w:rsidRPr="00456281">
        <w:rPr>
          <w:iCs/>
        </w:rPr>
        <w:t xml:space="preserve"> </w:t>
      </w:r>
      <w:r w:rsidR="001F0A91" w:rsidRPr="00456281">
        <w:rPr>
          <w:iCs/>
        </w:rPr>
        <w:t xml:space="preserve">as </w:t>
      </w:r>
      <w:r w:rsidR="4420ADBB" w:rsidRPr="00456281">
        <w:rPr>
          <w:iCs/>
        </w:rPr>
        <w:t>‘</w:t>
      </w:r>
      <w:r w:rsidR="001F0A91" w:rsidRPr="00456281">
        <w:rPr>
          <w:iCs/>
        </w:rPr>
        <w:t>with</w:t>
      </w:r>
      <w:r w:rsidR="008A640C" w:rsidRPr="00456281">
        <w:rPr>
          <w:iCs/>
        </w:rPr>
        <w:t xml:space="preserve"> some </w:t>
      </w:r>
      <w:r w:rsidR="30D8367F" w:rsidRPr="00456281">
        <w:rPr>
          <w:iCs/>
        </w:rPr>
        <w:t>concerns</w:t>
      </w:r>
      <w:r w:rsidR="2A3B7B2B" w:rsidRPr="00456281">
        <w:rPr>
          <w:iCs/>
        </w:rPr>
        <w:t>’</w:t>
      </w:r>
      <w:r w:rsidR="4872DD85" w:rsidRPr="00456281">
        <w:rPr>
          <w:iCs/>
        </w:rPr>
        <w:t>.</w:t>
      </w:r>
      <w:r w:rsidR="001B1838" w:rsidRPr="00456281">
        <w:rPr>
          <w:iCs/>
        </w:rPr>
        <w:t xml:space="preserve"> </w:t>
      </w:r>
    </w:p>
    <w:p w14:paraId="1D96E489" w14:textId="4D344064" w:rsidR="0035697F" w:rsidRPr="00456281" w:rsidRDefault="0035697F" w:rsidP="0035697F">
      <w:pPr>
        <w:pStyle w:val="3-BodyText"/>
      </w:pPr>
      <w:r w:rsidRPr="00456281">
        <w:t>A</w:t>
      </w:r>
      <w:r w:rsidR="00687070" w:rsidRPr="00456281">
        <w:t xml:space="preserve">cross </w:t>
      </w:r>
      <w:r w:rsidR="007072A3" w:rsidRPr="00456281">
        <w:t xml:space="preserve">the </w:t>
      </w:r>
      <w:r w:rsidRPr="00456281">
        <w:t xml:space="preserve">three </w:t>
      </w:r>
      <w:r w:rsidR="007072A3" w:rsidRPr="00456281">
        <w:t xml:space="preserve">main </w:t>
      </w:r>
      <w:r w:rsidRPr="00456281">
        <w:t>trials</w:t>
      </w:r>
      <w:r w:rsidR="00F25D05" w:rsidRPr="00456281">
        <w:t xml:space="preserve"> (NAPOLI-3, ACCORD11/PRODIGE4 and MPACT)</w:t>
      </w:r>
      <w:r w:rsidR="00687070" w:rsidRPr="00456281">
        <w:t>, the overall risk of bias</w:t>
      </w:r>
      <w:r w:rsidR="004859B8" w:rsidRPr="00456281">
        <w:t xml:space="preserve"> was rated as ‘some concerns’</w:t>
      </w:r>
      <w:r w:rsidR="00F9303D" w:rsidRPr="00456281">
        <w:t xml:space="preserve"> because</w:t>
      </w:r>
      <w:r w:rsidRPr="00456281">
        <w:t>:</w:t>
      </w:r>
    </w:p>
    <w:p w14:paraId="40CA2460" w14:textId="6E6DD952" w:rsidR="0035697F" w:rsidRPr="00456281" w:rsidRDefault="0035697F" w:rsidP="00690769">
      <w:pPr>
        <w:pStyle w:val="ListParagraph"/>
        <w:numPr>
          <w:ilvl w:val="0"/>
          <w:numId w:val="19"/>
        </w:numPr>
      </w:pPr>
      <w:r w:rsidRPr="00456281">
        <w:rPr>
          <w:rStyle w:val="normaltextrun"/>
          <w:rFonts w:cs="Calibri"/>
        </w:rPr>
        <w:t>The submission noted the open label nature of the studies</w:t>
      </w:r>
      <w:r w:rsidR="00F25D05" w:rsidRPr="00456281">
        <w:rPr>
          <w:rStyle w:val="normaltextrun"/>
          <w:rFonts w:cs="Calibri"/>
        </w:rPr>
        <w:t>,</w:t>
      </w:r>
      <w:r w:rsidRPr="00456281">
        <w:rPr>
          <w:rStyle w:val="normaltextrun"/>
          <w:rFonts w:cs="Calibri"/>
        </w:rPr>
        <w:t xml:space="preserve"> </w:t>
      </w:r>
      <w:r w:rsidR="00F25D05" w:rsidRPr="00456281">
        <w:rPr>
          <w:rStyle w:val="normaltextrun"/>
          <w:rFonts w:cs="Calibri"/>
        </w:rPr>
        <w:t xml:space="preserve">but </w:t>
      </w:r>
      <w:r w:rsidRPr="00456281">
        <w:rPr>
          <w:rStyle w:val="normaltextrun"/>
          <w:rFonts w:cs="Calibri"/>
        </w:rPr>
        <w:t xml:space="preserve">considered it unlikely that the primary and secondary efficacy outcomes </w:t>
      </w:r>
      <w:r w:rsidR="00F25D05" w:rsidRPr="00456281">
        <w:rPr>
          <w:rStyle w:val="normaltextrun"/>
          <w:rFonts w:cs="Calibri"/>
        </w:rPr>
        <w:t xml:space="preserve">would </w:t>
      </w:r>
      <w:r w:rsidRPr="00456281">
        <w:rPr>
          <w:rStyle w:val="normaltextrun"/>
          <w:rFonts w:cs="Calibri"/>
        </w:rPr>
        <w:t>be affected by knowledge of treatment allocation</w:t>
      </w:r>
      <w:r w:rsidR="00F25D05" w:rsidRPr="00456281">
        <w:rPr>
          <w:rStyle w:val="normaltextrun"/>
          <w:rFonts w:cs="Calibri"/>
        </w:rPr>
        <w:t xml:space="preserve"> (because </w:t>
      </w:r>
      <w:r w:rsidRPr="00456281">
        <w:rPr>
          <w:rStyle w:val="normaltextrun"/>
          <w:rFonts w:cs="Calibri"/>
        </w:rPr>
        <w:t xml:space="preserve">determination of death and progression includes well defined </w:t>
      </w:r>
      <w:r w:rsidR="00690DB7" w:rsidRPr="00456281">
        <w:rPr>
          <w:rStyle w:val="normaltextrun"/>
          <w:rFonts w:cs="Calibri"/>
        </w:rPr>
        <w:t xml:space="preserve">and </w:t>
      </w:r>
      <w:r w:rsidRPr="00456281">
        <w:rPr>
          <w:rStyle w:val="normaltextrun"/>
          <w:rFonts w:cs="Calibri"/>
        </w:rPr>
        <w:t xml:space="preserve">objective </w:t>
      </w:r>
      <w:r w:rsidR="00690DB7" w:rsidRPr="00456281">
        <w:rPr>
          <w:rStyle w:val="normaltextrun"/>
          <w:rFonts w:cs="Calibri"/>
        </w:rPr>
        <w:t>criteria</w:t>
      </w:r>
      <w:r w:rsidR="00F25D05" w:rsidRPr="00456281">
        <w:rPr>
          <w:rStyle w:val="normaltextrun"/>
          <w:rFonts w:cs="Calibri"/>
        </w:rPr>
        <w:t>)</w:t>
      </w:r>
      <w:r w:rsidRPr="00456281">
        <w:rPr>
          <w:rStyle w:val="normaltextrun"/>
          <w:rFonts w:cs="Calibri"/>
        </w:rPr>
        <w:t>.</w:t>
      </w:r>
      <w:r w:rsidR="00076C6A">
        <w:rPr>
          <w:rStyle w:val="normaltextrun"/>
          <w:rFonts w:cs="Calibri"/>
        </w:rPr>
        <w:t xml:space="preserve"> </w:t>
      </w:r>
      <w:r w:rsidR="00F25D05" w:rsidRPr="00456281">
        <w:rPr>
          <w:rStyle w:val="normaltextrun"/>
          <w:rFonts w:cs="Calibri"/>
        </w:rPr>
        <w:t xml:space="preserve">However, the </w:t>
      </w:r>
      <w:r w:rsidRPr="00456281">
        <w:rPr>
          <w:rStyle w:val="normaltextrun"/>
          <w:rFonts w:cs="Calibri"/>
        </w:rPr>
        <w:t xml:space="preserve">use of investigator rather than independent assessment </w:t>
      </w:r>
      <w:r w:rsidR="00F25D05" w:rsidRPr="00456281">
        <w:rPr>
          <w:rStyle w:val="normaltextrun"/>
          <w:rFonts w:cs="Calibri"/>
        </w:rPr>
        <w:t xml:space="preserve">could lead </w:t>
      </w:r>
      <w:r w:rsidRPr="00456281">
        <w:rPr>
          <w:rStyle w:val="normaltextrun"/>
          <w:rFonts w:cs="Calibri"/>
        </w:rPr>
        <w:t xml:space="preserve">to </w:t>
      </w:r>
      <w:r w:rsidR="00F25D05" w:rsidRPr="00456281">
        <w:rPr>
          <w:rStyle w:val="normaltextrun"/>
          <w:rFonts w:cs="Calibri"/>
        </w:rPr>
        <w:t xml:space="preserve">a </w:t>
      </w:r>
      <w:r w:rsidRPr="00456281">
        <w:rPr>
          <w:rStyle w:val="normaltextrun"/>
          <w:rFonts w:cs="Calibri"/>
        </w:rPr>
        <w:t xml:space="preserve">potential for detection bias. </w:t>
      </w:r>
      <w:r w:rsidRPr="00456281">
        <w:t xml:space="preserve">The lack of blinding of participants and investigators may have introduced a risk of bias, particularly for the </w:t>
      </w:r>
      <w:r w:rsidR="00890221" w:rsidRPr="00456281">
        <w:t>patient-reported outcomes (</w:t>
      </w:r>
      <w:r w:rsidRPr="00456281">
        <w:t>PROs</w:t>
      </w:r>
      <w:r w:rsidR="00890221" w:rsidRPr="00456281">
        <w:t>) in the NAPOLI-3 trial,</w:t>
      </w:r>
      <w:r w:rsidRPr="00456281">
        <w:t xml:space="preserve"> and safety outcomes</w:t>
      </w:r>
      <w:r w:rsidR="00890221" w:rsidRPr="00456281">
        <w:t xml:space="preserve"> in all trials</w:t>
      </w:r>
      <w:r w:rsidRPr="00456281">
        <w:t xml:space="preserve">. The submission noted that the knowledge of the treatment allocation by investigators may have influenced the classification of adverse events in terms of their relatedness to the study intervention received. </w:t>
      </w:r>
    </w:p>
    <w:p w14:paraId="301E4A0A" w14:textId="6EB6172F" w:rsidR="00540893" w:rsidRPr="00456281" w:rsidRDefault="0035697F" w:rsidP="00690769">
      <w:pPr>
        <w:pStyle w:val="ListParagraph"/>
        <w:numPr>
          <w:ilvl w:val="0"/>
          <w:numId w:val="19"/>
        </w:numPr>
      </w:pPr>
      <w:bookmarkStart w:id="56" w:name="_Hlk162424223"/>
      <w:r w:rsidRPr="00456281">
        <w:t>In the NAPOLI-3 trial, 134 participants (35%) in the NALIRIFOX arm and 128</w:t>
      </w:r>
      <w:r w:rsidR="00076C6A">
        <w:t> </w:t>
      </w:r>
      <w:r w:rsidRPr="00456281">
        <w:t xml:space="preserve">participants (33.1%) in the Gem+NabP arm were censored from the </w:t>
      </w:r>
      <w:r w:rsidR="005E4498" w:rsidRPr="00456281">
        <w:t>progression free survival (</w:t>
      </w:r>
      <w:r w:rsidRPr="00456281">
        <w:t>PFS</w:t>
      </w:r>
      <w:r w:rsidR="005E4498" w:rsidRPr="00456281">
        <w:t>)</w:t>
      </w:r>
      <w:r w:rsidRPr="00456281">
        <w:t xml:space="preserve"> analysis (Table 14 of </w:t>
      </w:r>
      <w:r w:rsidR="00C05C1D" w:rsidRPr="00456281">
        <w:t xml:space="preserve">the </w:t>
      </w:r>
      <w:r w:rsidRPr="00456281">
        <w:t xml:space="preserve">NAPOLI-3 CSR). The main reason </w:t>
      </w:r>
      <w:r w:rsidR="00C05C1D" w:rsidRPr="00456281">
        <w:t xml:space="preserve">for </w:t>
      </w:r>
      <w:r w:rsidRPr="00456281">
        <w:t xml:space="preserve">censoring was </w:t>
      </w:r>
      <w:r w:rsidR="00690DB7" w:rsidRPr="00456281">
        <w:t xml:space="preserve">use of </w:t>
      </w:r>
      <w:r w:rsidRPr="00456281">
        <w:t xml:space="preserve">subsequent anticancer treatment </w:t>
      </w:r>
      <w:r w:rsidR="00EC1F35" w:rsidRPr="00456281">
        <w:t xml:space="preserve">without disease </w:t>
      </w:r>
      <w:r w:rsidR="00EC1F35" w:rsidRPr="00456281">
        <w:lastRenderedPageBreak/>
        <w:t xml:space="preserve">progression </w:t>
      </w:r>
      <w:r w:rsidRPr="00456281">
        <w:t xml:space="preserve">(14.6% </w:t>
      </w:r>
      <w:r w:rsidR="003337FE" w:rsidRPr="00456281">
        <w:t xml:space="preserve">for </w:t>
      </w:r>
      <w:r w:rsidRPr="00456281">
        <w:t xml:space="preserve">NALIRIFOX and 22.5% </w:t>
      </w:r>
      <w:r w:rsidR="003337FE" w:rsidRPr="00456281">
        <w:t xml:space="preserve">for </w:t>
      </w:r>
      <w:r w:rsidRPr="00456281">
        <w:t>Gem+</w:t>
      </w:r>
      <w:r w:rsidRPr="009A3AE9">
        <w:t xml:space="preserve">NabP). </w:t>
      </w:r>
      <w:r w:rsidRPr="00F41B81">
        <w:t xml:space="preserve">Patients in both arms were also censored </w:t>
      </w:r>
      <w:r w:rsidR="00C05C1D" w:rsidRPr="009C3CBE">
        <w:t>for</w:t>
      </w:r>
      <w:r w:rsidRPr="009C3CBE">
        <w:t xml:space="preserve"> the following reasons: Censored on Day 1 (7.6% vs 4.9%); over 2 consecutive missing tumour assessments (1.3% vs 0.5%); withdrawal of study consent and lost to follow up (0% vs 2.1%); and censored on last tumour assessments (11.5% vs 3.1%). </w:t>
      </w:r>
      <w:r w:rsidRPr="009A3AE9">
        <w:t>The submission did not provide</w:t>
      </w:r>
      <w:r w:rsidRPr="00456281">
        <w:t xml:space="preserve"> characteristics of those who were censored</w:t>
      </w:r>
      <w:r w:rsidR="00C05C1D" w:rsidRPr="00456281">
        <w:t>, which</w:t>
      </w:r>
      <w:r w:rsidRPr="00456281">
        <w:t xml:space="preserve"> raises some concerns about the risk of attrition bias. </w:t>
      </w:r>
      <w:r w:rsidR="00EC1F35" w:rsidRPr="00456281">
        <w:t xml:space="preserve">The censoring rule for subsequent anticancer treatment was not applied in the OS analysis (see paragraph </w:t>
      </w:r>
      <w:r w:rsidR="00EC1F35" w:rsidRPr="00456281">
        <w:fldChar w:fldCharType="begin"/>
      </w:r>
      <w:r w:rsidR="00EC1F35" w:rsidRPr="00456281">
        <w:instrText xml:space="preserve"> REF _Ref164099125 \r \h </w:instrText>
      </w:r>
      <w:r w:rsidR="00EC1F35" w:rsidRPr="00456281">
        <w:fldChar w:fldCharType="separate"/>
      </w:r>
      <w:r w:rsidR="00EE5AD4">
        <w:t>6.25</w:t>
      </w:r>
      <w:r w:rsidR="00EC1F35" w:rsidRPr="00456281">
        <w:fldChar w:fldCharType="end"/>
      </w:r>
      <w:r w:rsidR="00EC1F35" w:rsidRPr="00456281">
        <w:t>).</w:t>
      </w:r>
    </w:p>
    <w:p w14:paraId="764DAD81" w14:textId="305AD3C8" w:rsidR="0035697F" w:rsidRPr="00456281" w:rsidRDefault="0035697F" w:rsidP="00690769">
      <w:pPr>
        <w:pStyle w:val="ListParagraph"/>
        <w:numPr>
          <w:ilvl w:val="0"/>
          <w:numId w:val="19"/>
        </w:numPr>
      </w:pPr>
      <w:r w:rsidRPr="00456281">
        <w:t xml:space="preserve">Similarly, there was a high proportion of patients censored </w:t>
      </w:r>
      <w:r w:rsidR="003337FE" w:rsidRPr="00456281">
        <w:t xml:space="preserve">from the </w:t>
      </w:r>
      <w:r w:rsidRPr="00456281">
        <w:t xml:space="preserve">OS </w:t>
      </w:r>
      <w:r w:rsidR="003337FE" w:rsidRPr="00456281">
        <w:t xml:space="preserve">analysis </w:t>
      </w:r>
      <w:r w:rsidRPr="00456281">
        <w:t xml:space="preserve">(23% </w:t>
      </w:r>
      <w:r w:rsidR="0056096D" w:rsidRPr="00456281">
        <w:t xml:space="preserve">for </w:t>
      </w:r>
      <w:r w:rsidRPr="00456281">
        <w:t xml:space="preserve">Gem+NabP and 17% </w:t>
      </w:r>
      <w:r w:rsidR="0056096D" w:rsidRPr="00456281">
        <w:t xml:space="preserve">for </w:t>
      </w:r>
      <w:r w:rsidRPr="00456281">
        <w:t xml:space="preserve">gemcitabine) and </w:t>
      </w:r>
      <w:r w:rsidR="0056096D" w:rsidRPr="00456281">
        <w:t xml:space="preserve">from the </w:t>
      </w:r>
      <w:r w:rsidRPr="00456281">
        <w:t xml:space="preserve">PFS </w:t>
      </w:r>
      <w:r w:rsidR="0056096D" w:rsidRPr="00456281">
        <w:t xml:space="preserve">analysis </w:t>
      </w:r>
      <w:r w:rsidRPr="00456281">
        <w:t>(36% in Gem+NabP and 38% in gemcitabine) in the MPACT trial</w:t>
      </w:r>
      <w:r w:rsidR="0056096D" w:rsidRPr="00456281">
        <w:t xml:space="preserve"> (Von Hoff et al. 2013),</w:t>
      </w:r>
      <w:r w:rsidRPr="00456281">
        <w:t xml:space="preserve"> and a high proportion of discontinuations (76.6% </w:t>
      </w:r>
      <w:r w:rsidR="0056096D" w:rsidRPr="00456281">
        <w:t xml:space="preserve">for </w:t>
      </w:r>
      <w:r w:rsidRPr="00456281">
        <w:t xml:space="preserve">FOLFIRINOX and 93% </w:t>
      </w:r>
      <w:r w:rsidR="0056096D" w:rsidRPr="00456281">
        <w:t xml:space="preserve">for </w:t>
      </w:r>
      <w:r w:rsidRPr="00456281">
        <w:t xml:space="preserve">gemcitabine) in the ACCORD11/PRODIGE4 trial (Conroy et al. 2011). The characteristics of </w:t>
      </w:r>
      <w:r w:rsidR="0056096D" w:rsidRPr="00456281">
        <w:t xml:space="preserve">the patients who were censored/discontinued </w:t>
      </w:r>
      <w:r w:rsidRPr="00456281">
        <w:t>were not provided</w:t>
      </w:r>
      <w:r w:rsidR="0056096D" w:rsidRPr="00456281">
        <w:t xml:space="preserve"> in the publications</w:t>
      </w:r>
      <w:r w:rsidRPr="00456281">
        <w:t>, and this raises some concerns about the risk of attrition bias in these trials</w:t>
      </w:r>
      <w:r w:rsidR="0056096D" w:rsidRPr="00456281">
        <w:t xml:space="preserve"> also</w:t>
      </w:r>
      <w:r w:rsidRPr="00456281">
        <w:t>.</w:t>
      </w:r>
    </w:p>
    <w:bookmarkEnd w:id="56"/>
    <w:p w14:paraId="3416E651" w14:textId="70957C4B" w:rsidR="00F3604E" w:rsidRPr="00456281" w:rsidRDefault="00EE0EAB" w:rsidP="005942F8">
      <w:pPr>
        <w:pStyle w:val="3-BodyText"/>
        <w:rPr>
          <w:rFonts w:eastAsiaTheme="majorEastAsia"/>
        </w:rPr>
      </w:pPr>
      <w:r w:rsidRPr="00456281">
        <w:rPr>
          <w:rFonts w:eastAsiaTheme="majorEastAsia"/>
        </w:rPr>
        <w:t>Due to the lack of a peer-reviewed publication, it was not possible to determine the risk of bias in the GENERATE trial</w:t>
      </w:r>
      <w:r w:rsidR="00F3604E" w:rsidRPr="00456281">
        <w:rPr>
          <w:rFonts w:eastAsiaTheme="majorEastAsia"/>
        </w:rPr>
        <w:t xml:space="preserve"> (see paragraph </w:t>
      </w:r>
      <w:r w:rsidR="00F3604E" w:rsidRPr="00456281">
        <w:rPr>
          <w:rFonts w:eastAsiaTheme="majorEastAsia"/>
        </w:rPr>
        <w:fldChar w:fldCharType="begin"/>
      </w:r>
      <w:r w:rsidR="00F3604E" w:rsidRPr="00456281">
        <w:rPr>
          <w:rFonts w:eastAsiaTheme="majorEastAsia"/>
        </w:rPr>
        <w:instrText xml:space="preserve"> REF _Ref159268519 \r \h </w:instrText>
      </w:r>
      <w:r w:rsidR="008D1D33" w:rsidRPr="00456281">
        <w:rPr>
          <w:rFonts w:eastAsiaTheme="majorEastAsia"/>
        </w:rPr>
        <w:instrText xml:space="preserve"> \* MERGEFORMAT </w:instrText>
      </w:r>
      <w:r w:rsidR="00F3604E" w:rsidRPr="00456281">
        <w:rPr>
          <w:rFonts w:eastAsiaTheme="majorEastAsia"/>
        </w:rPr>
      </w:r>
      <w:r w:rsidR="00F3604E" w:rsidRPr="00456281">
        <w:rPr>
          <w:rFonts w:eastAsiaTheme="majorEastAsia"/>
        </w:rPr>
        <w:fldChar w:fldCharType="separate"/>
      </w:r>
      <w:r w:rsidR="00EE5AD4">
        <w:rPr>
          <w:rFonts w:eastAsiaTheme="majorEastAsia"/>
        </w:rPr>
        <w:t>6.7</w:t>
      </w:r>
      <w:r w:rsidR="00F3604E" w:rsidRPr="00456281">
        <w:rPr>
          <w:rFonts w:eastAsiaTheme="majorEastAsia"/>
        </w:rPr>
        <w:fldChar w:fldCharType="end"/>
      </w:r>
      <w:r w:rsidR="00F3604E" w:rsidRPr="00456281">
        <w:rPr>
          <w:rFonts w:eastAsiaTheme="majorEastAsia"/>
        </w:rPr>
        <w:t>)</w:t>
      </w:r>
      <w:r w:rsidRPr="00456281">
        <w:rPr>
          <w:rFonts w:eastAsiaTheme="majorEastAsia"/>
        </w:rPr>
        <w:t>.</w:t>
      </w:r>
    </w:p>
    <w:p w14:paraId="6C87E6D1" w14:textId="506E8F55" w:rsidR="00873C83" w:rsidRPr="00456281" w:rsidRDefault="004B0E75" w:rsidP="0039051B">
      <w:pPr>
        <w:pStyle w:val="3-BodyText"/>
        <w:rPr>
          <w:rFonts w:eastAsiaTheme="majorEastAsia"/>
        </w:rPr>
      </w:pPr>
      <w:r w:rsidRPr="00456281">
        <w:rPr>
          <w:rFonts w:eastAsiaTheme="majorEastAsia"/>
        </w:rPr>
        <w:t xml:space="preserve">The </w:t>
      </w:r>
      <w:r w:rsidR="00F26D35" w:rsidRPr="00456281">
        <w:rPr>
          <w:rFonts w:eastAsiaTheme="majorEastAsia"/>
        </w:rPr>
        <w:t xml:space="preserve">ESC noted the recent publication of a </w:t>
      </w:r>
      <w:r w:rsidR="00873C83" w:rsidRPr="00456281">
        <w:rPr>
          <w:rFonts w:eastAsiaTheme="majorEastAsia"/>
        </w:rPr>
        <w:t>systematic review/</w:t>
      </w:r>
      <w:r w:rsidR="00F26D35" w:rsidRPr="00456281">
        <w:rPr>
          <w:rFonts w:eastAsiaTheme="majorEastAsia"/>
        </w:rPr>
        <w:t>meta-analysis comparing NALIRIFOX, FOLF</w:t>
      </w:r>
      <w:r w:rsidR="0045664F" w:rsidRPr="00456281">
        <w:rPr>
          <w:rFonts w:eastAsiaTheme="majorEastAsia"/>
        </w:rPr>
        <w:t>I</w:t>
      </w:r>
      <w:r w:rsidR="00F26D35" w:rsidRPr="00456281">
        <w:rPr>
          <w:rFonts w:eastAsiaTheme="majorEastAsia"/>
        </w:rPr>
        <w:t>RINOX and Gem+NabP as first-line chemotherapy for mPAC (Nichetti et al. 2024).</w:t>
      </w:r>
      <w:r w:rsidR="00EE09EC" w:rsidRPr="00456281">
        <w:rPr>
          <w:rFonts w:eastAsiaTheme="majorEastAsia"/>
          <w:vertAlign w:val="superscript"/>
        </w:rPr>
        <w:footnoteReference w:id="7"/>
      </w:r>
      <w:r w:rsidR="00F26D35" w:rsidRPr="00456281">
        <w:rPr>
          <w:rFonts w:eastAsiaTheme="majorEastAsia"/>
        </w:rPr>
        <w:t xml:space="preserve"> This meta-analysis included data from relevant arms of the NAPOLI-3, ACCORD11</w:t>
      </w:r>
      <w:r w:rsidR="001E236C" w:rsidRPr="00456281">
        <w:rPr>
          <w:rFonts w:eastAsiaTheme="majorEastAsia"/>
        </w:rPr>
        <w:t>/PRODIGE4</w:t>
      </w:r>
      <w:r w:rsidR="00F26D35" w:rsidRPr="00456281">
        <w:rPr>
          <w:rFonts w:eastAsiaTheme="majorEastAsia"/>
        </w:rPr>
        <w:t xml:space="preserve"> and MPACT trials, as well as the following trials</w:t>
      </w:r>
      <w:r w:rsidR="00E32268" w:rsidRPr="00456281">
        <w:rPr>
          <w:rFonts w:eastAsiaTheme="majorEastAsia"/>
        </w:rPr>
        <w:t xml:space="preserve"> that were not included in the submission</w:t>
      </w:r>
      <w:r w:rsidR="00F26D35" w:rsidRPr="00456281">
        <w:rPr>
          <w:rFonts w:eastAsiaTheme="majorEastAsia"/>
        </w:rPr>
        <w:t>: HALO (Gem</w:t>
      </w:r>
      <w:r w:rsidR="001E236C" w:rsidRPr="00456281">
        <w:rPr>
          <w:rFonts w:eastAsiaTheme="majorEastAsia"/>
        </w:rPr>
        <w:t>+</w:t>
      </w:r>
      <w:r w:rsidR="00F26D35" w:rsidRPr="00456281">
        <w:rPr>
          <w:rFonts w:eastAsiaTheme="majorEastAsia"/>
        </w:rPr>
        <w:t>NabP), RESOLVE (Ge</w:t>
      </w:r>
      <w:r w:rsidR="001E236C" w:rsidRPr="00456281">
        <w:rPr>
          <w:rFonts w:eastAsiaTheme="majorEastAsia"/>
        </w:rPr>
        <w:t>m+</w:t>
      </w:r>
      <w:r w:rsidR="00F26D35" w:rsidRPr="00456281">
        <w:rPr>
          <w:rFonts w:eastAsiaTheme="majorEastAsia"/>
        </w:rPr>
        <w:t>NabP), AVENGER500 (FOLF</w:t>
      </w:r>
      <w:r w:rsidR="00B82AF1" w:rsidRPr="00456281">
        <w:rPr>
          <w:rFonts w:eastAsiaTheme="majorEastAsia"/>
        </w:rPr>
        <w:t>I</w:t>
      </w:r>
      <w:r w:rsidR="00F26D35" w:rsidRPr="00456281">
        <w:rPr>
          <w:rFonts w:eastAsiaTheme="majorEastAsia"/>
        </w:rPr>
        <w:t xml:space="preserve">RINOX) and CanStem111P (Gem+NabP). </w:t>
      </w:r>
      <w:r w:rsidR="00873C83" w:rsidRPr="00456281">
        <w:rPr>
          <w:rFonts w:eastAsiaTheme="majorEastAsia"/>
        </w:rPr>
        <w:t xml:space="preserve">The meta-analysis of OS and PFS was based on pooled individual patient data extracted from Kaplan-Meier </w:t>
      </w:r>
      <w:r w:rsidR="00405CD2" w:rsidRPr="00456281">
        <w:rPr>
          <w:rFonts w:eastAsiaTheme="majorEastAsia"/>
        </w:rPr>
        <w:t xml:space="preserve">(KM) </w:t>
      </w:r>
      <w:r w:rsidR="00873C83" w:rsidRPr="00456281">
        <w:rPr>
          <w:rFonts w:eastAsiaTheme="majorEastAsia"/>
        </w:rPr>
        <w:t xml:space="preserve">plots of original trials via a graphic reconstructive algorithm, while the meta-analysis of </w:t>
      </w:r>
      <w:r w:rsidR="0076267D" w:rsidRPr="00456281">
        <w:rPr>
          <w:rFonts w:eastAsiaTheme="majorEastAsia"/>
        </w:rPr>
        <w:t>objective</w:t>
      </w:r>
      <w:r w:rsidR="005E4498" w:rsidRPr="00456281">
        <w:rPr>
          <w:rFonts w:eastAsiaTheme="majorEastAsia"/>
        </w:rPr>
        <w:t xml:space="preserve"> response rate (</w:t>
      </w:r>
      <w:r w:rsidR="00873C83" w:rsidRPr="00456281">
        <w:rPr>
          <w:rFonts w:eastAsiaTheme="majorEastAsia"/>
        </w:rPr>
        <w:t>ORR</w:t>
      </w:r>
      <w:r w:rsidR="005E4498" w:rsidRPr="00456281">
        <w:rPr>
          <w:rFonts w:eastAsiaTheme="majorEastAsia"/>
        </w:rPr>
        <w:t>)</w:t>
      </w:r>
      <w:r w:rsidR="00873C83" w:rsidRPr="00456281">
        <w:rPr>
          <w:rFonts w:eastAsiaTheme="majorEastAsia"/>
        </w:rPr>
        <w:t xml:space="preserve"> and Grade ≥3 adverse events was based on pooled data from each treatment arm/trial. </w:t>
      </w:r>
    </w:p>
    <w:p w14:paraId="78A8348A" w14:textId="4042CB10" w:rsidR="009E2E11" w:rsidRPr="009C3CBE" w:rsidRDefault="009E2E11" w:rsidP="00CE0150">
      <w:pPr>
        <w:pStyle w:val="5-SubsectionSubheading"/>
        <w:rPr>
          <w:lang w:val="pt-PT"/>
        </w:rPr>
      </w:pPr>
      <w:r w:rsidRPr="009C3CBE">
        <w:rPr>
          <w:lang w:val="pt-PT"/>
        </w:rPr>
        <w:t xml:space="preserve">NALIRIFOX </w:t>
      </w:r>
      <w:r w:rsidR="00873C83" w:rsidRPr="009C3CBE">
        <w:rPr>
          <w:lang w:val="pt-PT"/>
        </w:rPr>
        <w:t xml:space="preserve">versus </w:t>
      </w:r>
      <w:r w:rsidRPr="009C3CBE">
        <w:rPr>
          <w:lang w:val="pt-PT"/>
        </w:rPr>
        <w:t>Gem+NabP (</w:t>
      </w:r>
      <w:r w:rsidR="00F140CF" w:rsidRPr="009C3CBE">
        <w:rPr>
          <w:lang w:val="pt-PT"/>
        </w:rPr>
        <w:t>NAPOLI-3</w:t>
      </w:r>
      <w:r w:rsidRPr="009C3CBE">
        <w:rPr>
          <w:lang w:val="pt-PT"/>
        </w:rPr>
        <w:t>)</w:t>
      </w:r>
    </w:p>
    <w:p w14:paraId="57D9377E" w14:textId="39D0A4A0" w:rsidR="00916F05" w:rsidRPr="00456281" w:rsidRDefault="00916F05" w:rsidP="00916F05">
      <w:pPr>
        <w:pStyle w:val="3-BodyText"/>
      </w:pPr>
      <w:r w:rsidRPr="00456281">
        <w:t>A claim of superior effectiveness and non-inferior safety of NALIRIFOX to Gem+NabP was made on the outcomes of</w:t>
      </w:r>
      <w:r w:rsidR="00F4611F" w:rsidRPr="00456281">
        <w:t xml:space="preserve"> </w:t>
      </w:r>
      <w:r w:rsidRPr="00456281">
        <w:t>OS,</w:t>
      </w:r>
      <w:r w:rsidR="00F4611F" w:rsidRPr="00456281">
        <w:t xml:space="preserve"> </w:t>
      </w:r>
      <w:r w:rsidRPr="00456281">
        <w:t>PFS, ORR</w:t>
      </w:r>
      <w:r w:rsidR="00244293" w:rsidRPr="00456281">
        <w:t xml:space="preserve"> </w:t>
      </w:r>
      <w:r w:rsidRPr="00456281">
        <w:t xml:space="preserve">and adverse events (AEs). </w:t>
      </w:r>
    </w:p>
    <w:p w14:paraId="74644712" w14:textId="3504250B" w:rsidR="00016609" w:rsidRPr="00456281" w:rsidRDefault="00016609" w:rsidP="00A823DD">
      <w:pPr>
        <w:pStyle w:val="3-BodyText"/>
        <w:rPr>
          <w:i/>
          <w:iCs/>
        </w:rPr>
      </w:pPr>
      <w:r w:rsidRPr="00456281">
        <w:t xml:space="preserve">The duration of treatment and number of cycles varied </w:t>
      </w:r>
      <w:r w:rsidR="001E236C" w:rsidRPr="00456281">
        <w:t>between treatment arms</w:t>
      </w:r>
      <w:r w:rsidRPr="00456281">
        <w:t xml:space="preserve"> in the NAPOLI-3 trial. There was a higher median treatment duration in the NALIRIFOX arm compared to the Gem+NabP arm (24.29 weeks vs 17.57 weeks, respectively). Patients in the NALIRIFOX arm on average received </w:t>
      </w:r>
      <w:r w:rsidRPr="009A3AE9">
        <w:t xml:space="preserve">approximately </w:t>
      </w:r>
      <w:r w:rsidRPr="00F41B81">
        <w:t>one</w:t>
      </w:r>
      <w:r w:rsidRPr="009A3AE9">
        <w:t xml:space="preserve"> more cycle of treatment compared to patients in the Gem+NabP arm </w:t>
      </w:r>
      <w:r w:rsidRPr="00F41B81">
        <w:t>(mean number of cycles 6.5 vs 5.1, respectively)</w:t>
      </w:r>
      <w:r w:rsidRPr="009A3AE9">
        <w:t>. While discontinuation due to disease progression</w:t>
      </w:r>
      <w:r w:rsidRPr="00456281">
        <w:t xml:space="preserve"> was similar across </w:t>
      </w:r>
      <w:r w:rsidRPr="00607210">
        <w:lastRenderedPageBreak/>
        <w:t xml:space="preserve">both arms (48% in NALIRIFOX and 45.7% in Gem+NabP), discontinuation due to adverse events was higher in the Gem+NabP arm </w:t>
      </w:r>
      <w:r w:rsidR="002515D8" w:rsidRPr="00607210">
        <w:t>(23.8%)</w:t>
      </w:r>
      <w:r w:rsidRPr="00607210">
        <w:t xml:space="preserve"> compared to</w:t>
      </w:r>
      <w:r w:rsidR="001E236C" w:rsidRPr="00607210">
        <w:t xml:space="preserve"> the</w:t>
      </w:r>
      <w:r w:rsidRPr="00607210">
        <w:t xml:space="preserve"> NALIRIFOX </w:t>
      </w:r>
      <w:r w:rsidR="001E236C" w:rsidRPr="00607210">
        <w:t xml:space="preserve">arm </w:t>
      </w:r>
      <w:r w:rsidRPr="00607210">
        <w:t>(14.1%).</w:t>
      </w:r>
      <w:r w:rsidR="004E35E3" w:rsidRPr="00607210">
        <w:t xml:space="preserve"> </w:t>
      </w:r>
      <w:r w:rsidR="00500D52" w:rsidRPr="00607210">
        <w:t>In</w:t>
      </w:r>
      <w:r w:rsidR="00500D52" w:rsidRPr="00456281">
        <w:t xml:space="preserve"> the NALIRIFOX arm, patients who were unable to tolerate oxaliplatin (and discontinued this medication) could still continue to receive the rest of the NALIRIFOX components at the discretion of the investigator and continue in the study. This may </w:t>
      </w:r>
      <w:r w:rsidR="00910D18" w:rsidRPr="00456281">
        <w:t xml:space="preserve">contribute to </w:t>
      </w:r>
      <w:r w:rsidR="00500D52" w:rsidRPr="00456281">
        <w:t>the lower discontinuation rate due to adverse events observed in the NALIRIFOX arm</w:t>
      </w:r>
      <w:r w:rsidR="00910D18" w:rsidRPr="00456281">
        <w:t xml:space="preserve"> compared with the Gem+NabP arm</w:t>
      </w:r>
      <w:r w:rsidR="00500D52" w:rsidRPr="00456281">
        <w:t>.</w:t>
      </w:r>
    </w:p>
    <w:p w14:paraId="4607781F" w14:textId="6BBBEA0B" w:rsidR="00016609" w:rsidRPr="00456281" w:rsidRDefault="00016609" w:rsidP="00016609">
      <w:pPr>
        <w:pStyle w:val="3-BodyText"/>
      </w:pPr>
      <w:r w:rsidRPr="00456281">
        <w:t xml:space="preserve">Subsequent anticancer therapies were permitted in the NAPOLI-3 trial. Over half of participants in both arms (50.5% in NALIRIFOX and 54.4% in Gem+NabP) received subsequent anticancer therapy. Subsequent fluoropyrimidine-based therapy (5-FU with or without irinotecan) was more frequent in the Gem+NabP arm, and gemcitabine-based therapy </w:t>
      </w:r>
      <w:r w:rsidR="00CD653F" w:rsidRPr="00456281">
        <w:t>and Nab-P were</w:t>
      </w:r>
      <w:r w:rsidRPr="00456281">
        <w:t xml:space="preserve"> more frequent in the NALIRIFOX arm. Around </w:t>
      </w:r>
      <w:r w:rsidRPr="009C3CBE">
        <w:t>20% of patients in the Gem+NabP arm and 4% of</w:t>
      </w:r>
      <w:r w:rsidRPr="00456281">
        <w:t xml:space="preserve"> patients in the NALIRIFOX arm of the trial received nal-IRI or nal-IRI + 5-FU as a second line therapy</w:t>
      </w:r>
      <w:r w:rsidR="003B4401" w:rsidRPr="00456281">
        <w:t>,</w:t>
      </w:r>
      <w:r w:rsidRPr="00456281">
        <w:t xml:space="preserve"> which would not be permitted under the proposed PBS restriction.</w:t>
      </w:r>
    </w:p>
    <w:p w14:paraId="3A0F35DF" w14:textId="23FD80CF" w:rsidR="00844329" w:rsidRPr="00456281" w:rsidRDefault="00AC6790" w:rsidP="00844329">
      <w:pPr>
        <w:pStyle w:val="3-BodyText"/>
        <w:rPr>
          <w:rStyle w:val="normaltextrun"/>
        </w:rPr>
      </w:pPr>
      <w:bookmarkStart w:id="57" w:name="_Ref156312180"/>
      <w:r w:rsidRPr="00456281">
        <w:rPr>
          <w:rStyle w:val="normaltextrun"/>
        </w:rPr>
        <w:t>There were k</w:t>
      </w:r>
      <w:r w:rsidR="00844329" w:rsidRPr="00456281">
        <w:rPr>
          <w:rStyle w:val="normaltextrun"/>
        </w:rPr>
        <w:t xml:space="preserve">ey differences in </w:t>
      </w:r>
      <w:r w:rsidR="00CD3A90" w:rsidRPr="00456281">
        <w:rPr>
          <w:rStyle w:val="normaltextrun"/>
        </w:rPr>
        <w:t xml:space="preserve">patient and disease </w:t>
      </w:r>
      <w:r w:rsidR="00844329" w:rsidRPr="00456281">
        <w:rPr>
          <w:rStyle w:val="normaltextrun"/>
        </w:rPr>
        <w:t xml:space="preserve">characteristics identified between the </w:t>
      </w:r>
      <w:r w:rsidR="004C1214" w:rsidRPr="00456281">
        <w:rPr>
          <w:rStyle w:val="normaltextrun"/>
        </w:rPr>
        <w:t xml:space="preserve">NAPOLI-3 </w:t>
      </w:r>
      <w:r w:rsidR="00844329" w:rsidRPr="00456281">
        <w:rPr>
          <w:rStyle w:val="normaltextrun"/>
        </w:rPr>
        <w:t xml:space="preserve">trial and </w:t>
      </w:r>
      <w:r w:rsidR="00096F4D" w:rsidRPr="00456281">
        <w:rPr>
          <w:rStyle w:val="normaltextrun"/>
        </w:rPr>
        <w:t xml:space="preserve">the </w:t>
      </w:r>
      <w:r w:rsidR="00844329" w:rsidRPr="00456281">
        <w:rPr>
          <w:rStyle w:val="normaltextrun"/>
        </w:rPr>
        <w:t>Australian setting</w:t>
      </w:r>
      <w:r w:rsidR="003B6587" w:rsidRPr="00456281">
        <w:rPr>
          <w:rStyle w:val="normaltextrun"/>
        </w:rPr>
        <w:t xml:space="preserve"> (based on data from the PURPLE registry)</w:t>
      </w:r>
      <w:r w:rsidRPr="00456281">
        <w:rPr>
          <w:rStyle w:val="normaltextrun"/>
        </w:rPr>
        <w:t>:</w:t>
      </w:r>
      <w:bookmarkEnd w:id="57"/>
    </w:p>
    <w:p w14:paraId="74928F70" w14:textId="28F32D2C" w:rsidR="00844329" w:rsidRPr="00456281" w:rsidRDefault="00844329" w:rsidP="00690769">
      <w:pPr>
        <w:pStyle w:val="3-BodyText"/>
        <w:numPr>
          <w:ilvl w:val="1"/>
          <w:numId w:val="22"/>
        </w:numPr>
        <w:ind w:left="1134"/>
        <w:rPr>
          <w:rStyle w:val="normaltextrun"/>
        </w:rPr>
      </w:pPr>
      <w:r w:rsidRPr="00456281">
        <w:rPr>
          <w:rStyle w:val="normaltextrun"/>
        </w:rPr>
        <w:t>The median age of those receiving 5FU-based regimens appears to be lower in the Australian setting (59 year</w:t>
      </w:r>
      <w:r w:rsidR="00DB17DE" w:rsidRPr="00456281">
        <w:rPr>
          <w:rStyle w:val="normaltextrun"/>
        </w:rPr>
        <w:t xml:space="preserve">s among those receiving </w:t>
      </w:r>
      <w:r w:rsidRPr="00456281">
        <w:rPr>
          <w:rStyle w:val="normaltextrun"/>
        </w:rPr>
        <w:t xml:space="preserve">FOLFIRINOX) compared to the trial setting (65 years). </w:t>
      </w:r>
    </w:p>
    <w:p w14:paraId="3595BD50" w14:textId="1435D02A" w:rsidR="00844329" w:rsidRPr="00456281" w:rsidRDefault="00CD3A90" w:rsidP="00690769">
      <w:pPr>
        <w:pStyle w:val="3-BodyText"/>
        <w:numPr>
          <w:ilvl w:val="1"/>
          <w:numId w:val="22"/>
        </w:numPr>
        <w:ind w:left="1134"/>
        <w:rPr>
          <w:rStyle w:val="normaltextrun"/>
        </w:rPr>
      </w:pPr>
      <w:r w:rsidRPr="00456281">
        <w:rPr>
          <w:rStyle w:val="normaltextrun"/>
        </w:rPr>
        <w:t xml:space="preserve">There is a </w:t>
      </w:r>
      <w:r w:rsidR="00844329" w:rsidRPr="00456281">
        <w:rPr>
          <w:rStyle w:val="normaltextrun"/>
        </w:rPr>
        <w:t xml:space="preserve">higher proportion of patients with liver metastasis and with two or more metastatic sites in the trial </w:t>
      </w:r>
      <w:r w:rsidRPr="00456281">
        <w:rPr>
          <w:rStyle w:val="normaltextrun"/>
        </w:rPr>
        <w:t xml:space="preserve">setting </w:t>
      </w:r>
      <w:r w:rsidR="00844329" w:rsidRPr="00456281">
        <w:rPr>
          <w:rStyle w:val="normaltextrun"/>
        </w:rPr>
        <w:t>compared to the Australian setting.</w:t>
      </w:r>
    </w:p>
    <w:p w14:paraId="4C8C8931" w14:textId="3D0AA1E9" w:rsidR="00844329" w:rsidRPr="00456281" w:rsidRDefault="00CD3A90" w:rsidP="00690769">
      <w:pPr>
        <w:pStyle w:val="3-BodyText"/>
        <w:numPr>
          <w:ilvl w:val="1"/>
          <w:numId w:val="22"/>
        </w:numPr>
        <w:ind w:left="1134"/>
        <w:rPr>
          <w:rStyle w:val="normaltextrun"/>
        </w:rPr>
      </w:pPr>
      <w:r w:rsidRPr="00456281">
        <w:rPr>
          <w:rStyle w:val="normaltextrun"/>
        </w:rPr>
        <w:t xml:space="preserve">There is a </w:t>
      </w:r>
      <w:r w:rsidR="00844329" w:rsidRPr="00456281">
        <w:rPr>
          <w:rStyle w:val="normaltextrun"/>
        </w:rPr>
        <w:t xml:space="preserve">lower proportion of patients with head of pancreas as primary tumour location in the trial </w:t>
      </w:r>
      <w:r w:rsidRPr="00456281">
        <w:rPr>
          <w:rStyle w:val="normaltextrun"/>
        </w:rPr>
        <w:t xml:space="preserve">setting </w:t>
      </w:r>
      <w:r w:rsidR="00844329" w:rsidRPr="00456281">
        <w:rPr>
          <w:rStyle w:val="normaltextrun"/>
        </w:rPr>
        <w:t>compared to the Australian setting.</w:t>
      </w:r>
    </w:p>
    <w:p w14:paraId="4678028E" w14:textId="52C7A862" w:rsidR="00844329" w:rsidRPr="00456281" w:rsidRDefault="00CD3A90" w:rsidP="00690769">
      <w:pPr>
        <w:pStyle w:val="3-BodyText"/>
        <w:numPr>
          <w:ilvl w:val="1"/>
          <w:numId w:val="22"/>
        </w:numPr>
        <w:ind w:left="1134"/>
        <w:rPr>
          <w:rStyle w:val="normaltextrun"/>
        </w:rPr>
      </w:pPr>
      <w:r w:rsidRPr="00456281">
        <w:rPr>
          <w:rStyle w:val="normaltextrun"/>
        </w:rPr>
        <w:t xml:space="preserve">There is a </w:t>
      </w:r>
      <w:r w:rsidR="00844329" w:rsidRPr="00456281">
        <w:rPr>
          <w:rStyle w:val="normaltextrun"/>
        </w:rPr>
        <w:t xml:space="preserve">higher proportion </w:t>
      </w:r>
      <w:r w:rsidRPr="00456281">
        <w:rPr>
          <w:rStyle w:val="normaltextrun"/>
        </w:rPr>
        <w:t xml:space="preserve">of patients </w:t>
      </w:r>
      <w:r w:rsidR="00844329" w:rsidRPr="00456281">
        <w:rPr>
          <w:rStyle w:val="normaltextrun"/>
        </w:rPr>
        <w:t xml:space="preserve">with </w:t>
      </w:r>
      <w:r w:rsidR="00E95A8F" w:rsidRPr="00456281">
        <w:rPr>
          <w:rStyle w:val="normaltextrun"/>
        </w:rPr>
        <w:t>ECOG</w:t>
      </w:r>
      <w:r w:rsidR="00844329" w:rsidRPr="00456281">
        <w:rPr>
          <w:rStyle w:val="normaltextrun"/>
        </w:rPr>
        <w:t xml:space="preserve"> PS 2 in the Australian setting compared to the trial</w:t>
      </w:r>
      <w:r w:rsidRPr="00456281">
        <w:rPr>
          <w:rStyle w:val="normaltextrun"/>
        </w:rPr>
        <w:t xml:space="preserve"> setting</w:t>
      </w:r>
      <w:r w:rsidR="00844329" w:rsidRPr="00456281">
        <w:rPr>
          <w:rStyle w:val="normaltextrun"/>
        </w:rPr>
        <w:t>. The proposed PBS restriction include</w:t>
      </w:r>
      <w:r w:rsidR="00C411C8" w:rsidRPr="00456281">
        <w:rPr>
          <w:rStyle w:val="normaltextrun"/>
        </w:rPr>
        <w:t>s</w:t>
      </w:r>
      <w:r w:rsidR="00844329" w:rsidRPr="00456281">
        <w:rPr>
          <w:rStyle w:val="normaltextrun"/>
        </w:rPr>
        <w:t xml:space="preserve"> </w:t>
      </w:r>
      <w:r w:rsidR="00E95A8F" w:rsidRPr="00456281">
        <w:rPr>
          <w:rStyle w:val="normaltextrun"/>
        </w:rPr>
        <w:t>ECOG</w:t>
      </w:r>
      <w:r w:rsidR="00844329" w:rsidRPr="00456281">
        <w:rPr>
          <w:rStyle w:val="normaltextrun"/>
        </w:rPr>
        <w:t xml:space="preserve"> PS 2 or less</w:t>
      </w:r>
      <w:r w:rsidR="005F27E7" w:rsidRPr="00456281">
        <w:rPr>
          <w:rStyle w:val="normaltextrun"/>
        </w:rPr>
        <w:t xml:space="preserve"> (</w:t>
      </w:r>
      <w:r w:rsidR="001C469F" w:rsidRPr="00456281">
        <w:rPr>
          <w:rStyle w:val="normaltextrun"/>
        </w:rPr>
        <w:t xml:space="preserve">although this was not supported by the PBAC, </w:t>
      </w:r>
      <w:r w:rsidR="005F27E7" w:rsidRPr="00456281">
        <w:rPr>
          <w:rStyle w:val="normaltextrun"/>
        </w:rPr>
        <w:t xml:space="preserve">see paragraph </w:t>
      </w:r>
      <w:r w:rsidR="008931E9" w:rsidRPr="00456281">
        <w:rPr>
          <w:rStyle w:val="normaltextrun"/>
          <w:highlight w:val="yellow"/>
        </w:rPr>
        <w:fldChar w:fldCharType="begin"/>
      </w:r>
      <w:r w:rsidR="008931E9" w:rsidRPr="00456281">
        <w:rPr>
          <w:rStyle w:val="normaltextrun"/>
        </w:rPr>
        <w:instrText xml:space="preserve"> REF _Ref162513796 \r \h </w:instrText>
      </w:r>
      <w:r w:rsidR="008931E9" w:rsidRPr="00456281">
        <w:rPr>
          <w:rStyle w:val="normaltextrun"/>
          <w:highlight w:val="yellow"/>
        </w:rPr>
      </w:r>
      <w:r w:rsidR="008931E9" w:rsidRPr="00456281">
        <w:rPr>
          <w:rStyle w:val="normaltextrun"/>
          <w:highlight w:val="yellow"/>
        </w:rPr>
        <w:fldChar w:fldCharType="separate"/>
      </w:r>
      <w:r w:rsidR="00EE5AD4">
        <w:rPr>
          <w:rStyle w:val="normaltextrun"/>
        </w:rPr>
        <w:t>3.3</w:t>
      </w:r>
      <w:r w:rsidR="008931E9" w:rsidRPr="00456281">
        <w:rPr>
          <w:rStyle w:val="normaltextrun"/>
          <w:highlight w:val="yellow"/>
        </w:rPr>
        <w:fldChar w:fldCharType="end"/>
      </w:r>
      <w:r w:rsidR="005F27E7" w:rsidRPr="00456281">
        <w:rPr>
          <w:rStyle w:val="normaltextrun"/>
        </w:rPr>
        <w:t>)</w:t>
      </w:r>
      <w:r w:rsidR="00844329" w:rsidRPr="00456281">
        <w:rPr>
          <w:rStyle w:val="normaltextrun"/>
        </w:rPr>
        <w:t>. ECOG PS ≥</w:t>
      </w:r>
      <w:r w:rsidR="00076C6A">
        <w:rPr>
          <w:rStyle w:val="normaltextrun"/>
        </w:rPr>
        <w:t> </w:t>
      </w:r>
      <w:r w:rsidR="00844329" w:rsidRPr="00456281">
        <w:rPr>
          <w:rStyle w:val="normaltextrun"/>
        </w:rPr>
        <w:t xml:space="preserve">2 </w:t>
      </w:r>
      <w:r w:rsidR="005F27E7" w:rsidRPr="00456281">
        <w:rPr>
          <w:rStyle w:val="normaltextrun"/>
        </w:rPr>
        <w:t>is</w:t>
      </w:r>
      <w:r w:rsidR="00844329" w:rsidRPr="00456281">
        <w:rPr>
          <w:rStyle w:val="normaltextrun"/>
        </w:rPr>
        <w:t xml:space="preserve"> associated with </w:t>
      </w:r>
      <w:r w:rsidR="005F27E7" w:rsidRPr="00456281">
        <w:rPr>
          <w:rStyle w:val="normaltextrun"/>
        </w:rPr>
        <w:t xml:space="preserve">a </w:t>
      </w:r>
      <w:r w:rsidR="00844329" w:rsidRPr="00456281">
        <w:rPr>
          <w:rStyle w:val="normaltextrun"/>
        </w:rPr>
        <w:t>higher mortality risk in advanced cancer (HR 4.06; 95% CI 2.36, 6.98).</w:t>
      </w:r>
      <w:r w:rsidR="0097400C" w:rsidRPr="00456281">
        <w:rPr>
          <w:rStyle w:val="FootnoteReference"/>
        </w:rPr>
        <w:footnoteReference w:id="8"/>
      </w:r>
      <w:r w:rsidR="00844329" w:rsidRPr="00456281">
        <w:rPr>
          <w:rStyle w:val="normaltextrun"/>
        </w:rPr>
        <w:t xml:space="preserve"> </w:t>
      </w:r>
    </w:p>
    <w:p w14:paraId="68C6F7D4" w14:textId="41A661D0" w:rsidR="008E28DE" w:rsidRPr="00456281" w:rsidRDefault="006F6422">
      <w:pPr>
        <w:pStyle w:val="3-BodyText"/>
        <w:rPr>
          <w:rStyle w:val="normaltextrun"/>
        </w:rPr>
      </w:pPr>
      <w:bookmarkStart w:id="58" w:name="_Ref156312255"/>
      <w:r w:rsidRPr="00456281">
        <w:rPr>
          <w:rStyle w:val="normaltextrun"/>
        </w:rPr>
        <w:t xml:space="preserve">A higher proportion of subsequent anticancer therapies </w:t>
      </w:r>
      <w:r w:rsidR="00C51EFA" w:rsidRPr="00456281">
        <w:rPr>
          <w:rStyle w:val="normaltextrun"/>
        </w:rPr>
        <w:t xml:space="preserve">was </w:t>
      </w:r>
      <w:r w:rsidRPr="00456281">
        <w:rPr>
          <w:rStyle w:val="normaltextrun"/>
        </w:rPr>
        <w:t>observed in the</w:t>
      </w:r>
      <w:r w:rsidR="00407FE9" w:rsidRPr="00456281">
        <w:rPr>
          <w:rStyle w:val="normaltextrun"/>
        </w:rPr>
        <w:t xml:space="preserve"> NAPOLI-3</w:t>
      </w:r>
      <w:r w:rsidRPr="00456281">
        <w:rPr>
          <w:rStyle w:val="normaltextrun"/>
        </w:rPr>
        <w:t xml:space="preserve"> trial and these therapies appear to differ between the Australian </w:t>
      </w:r>
      <w:r w:rsidR="005F27E7" w:rsidRPr="00456281">
        <w:rPr>
          <w:rStyle w:val="normaltextrun"/>
        </w:rPr>
        <w:t xml:space="preserve">and trial </w:t>
      </w:r>
      <w:r w:rsidRPr="00456281">
        <w:rPr>
          <w:rStyle w:val="normaltextrun"/>
        </w:rPr>
        <w:t>setting</w:t>
      </w:r>
      <w:r w:rsidR="005F27E7" w:rsidRPr="00456281">
        <w:rPr>
          <w:rStyle w:val="normaltextrun"/>
        </w:rPr>
        <w:t>s:</w:t>
      </w:r>
      <w:bookmarkEnd w:id="58"/>
    </w:p>
    <w:p w14:paraId="5F3F03E0" w14:textId="3C7D9568" w:rsidR="006F6422" w:rsidRPr="009A3AE9" w:rsidRDefault="006F6422" w:rsidP="00690769">
      <w:pPr>
        <w:pStyle w:val="3-BodyText"/>
        <w:numPr>
          <w:ilvl w:val="1"/>
          <w:numId w:val="23"/>
        </w:numPr>
        <w:ind w:left="1134"/>
        <w:rPr>
          <w:rStyle w:val="normaltextrun"/>
          <w:i/>
          <w:iCs/>
        </w:rPr>
      </w:pPr>
      <w:r w:rsidRPr="00594578">
        <w:rPr>
          <w:rStyle w:val="normaltextrun"/>
        </w:rPr>
        <w:t xml:space="preserve">In the </w:t>
      </w:r>
      <w:r w:rsidRPr="009A3AE9">
        <w:rPr>
          <w:rStyle w:val="normaltextrun"/>
        </w:rPr>
        <w:t xml:space="preserve">PURPLE </w:t>
      </w:r>
      <w:r w:rsidR="00787CE9" w:rsidRPr="009A3AE9">
        <w:rPr>
          <w:rStyle w:val="normaltextrun"/>
        </w:rPr>
        <w:t>r</w:t>
      </w:r>
      <w:r w:rsidRPr="009A3AE9">
        <w:rPr>
          <w:rStyle w:val="normaltextrun"/>
        </w:rPr>
        <w:t xml:space="preserve">egistry, the most frequently received second line regimens </w:t>
      </w:r>
      <w:r w:rsidR="005F27E7" w:rsidRPr="009A3AE9">
        <w:rPr>
          <w:rStyle w:val="normaltextrun"/>
        </w:rPr>
        <w:t>following treatment with</w:t>
      </w:r>
      <w:r w:rsidRPr="009A3AE9">
        <w:rPr>
          <w:rStyle w:val="normaltextrun"/>
        </w:rPr>
        <w:t xml:space="preserve"> FOLFIRINOX were </w:t>
      </w:r>
      <w:r w:rsidRPr="00F41B81">
        <w:rPr>
          <w:rStyle w:val="normaltextrun"/>
        </w:rPr>
        <w:t>Gem+NabP (25%)</w:t>
      </w:r>
      <w:r w:rsidRPr="009A3AE9">
        <w:rPr>
          <w:rStyle w:val="normaltextrun"/>
        </w:rPr>
        <w:t xml:space="preserve"> and </w:t>
      </w:r>
      <w:r w:rsidRPr="00F41B81">
        <w:rPr>
          <w:rStyle w:val="normaltextrun"/>
        </w:rPr>
        <w:t>gemcitabine monotherapy (7%)</w:t>
      </w:r>
      <w:r w:rsidRPr="009A3AE9">
        <w:rPr>
          <w:rStyle w:val="normaltextrun"/>
        </w:rPr>
        <w:t xml:space="preserve">. Of those who received Gem+NabP as first-line therapy, </w:t>
      </w:r>
      <w:r w:rsidRPr="00F41B81">
        <w:rPr>
          <w:rStyle w:val="normaltextrun"/>
        </w:rPr>
        <w:t>5</w:t>
      </w:r>
      <w:r w:rsidR="00096F4D" w:rsidRPr="009C3CBE">
        <w:rPr>
          <w:rStyle w:val="normaltextrun"/>
        </w:rPr>
        <w:noBreakHyphen/>
      </w:r>
      <w:r w:rsidRPr="009C3CBE">
        <w:rPr>
          <w:rStyle w:val="normaltextrun"/>
        </w:rPr>
        <w:t>FU+LV+IRI (FOLFIRI)</w:t>
      </w:r>
      <w:r w:rsidRPr="009A3AE9">
        <w:rPr>
          <w:rStyle w:val="normaltextrun"/>
        </w:rPr>
        <w:t xml:space="preserve"> and 5</w:t>
      </w:r>
      <w:r w:rsidR="00241BF8" w:rsidRPr="009A3AE9">
        <w:rPr>
          <w:rStyle w:val="normaltextrun"/>
        </w:rPr>
        <w:noBreakHyphen/>
      </w:r>
      <w:r w:rsidRPr="009A3AE9">
        <w:rPr>
          <w:rStyle w:val="normaltextrun"/>
        </w:rPr>
        <w:t xml:space="preserve">FU+LV+OX (FOLFOX) were the most widely used second line regimens (13% and 9%, respectively). Only 3% of patients received FOLFIRINOX as second line treatment </w:t>
      </w:r>
      <w:r w:rsidR="005F27E7" w:rsidRPr="009A3AE9">
        <w:rPr>
          <w:rStyle w:val="normaltextrun"/>
        </w:rPr>
        <w:t xml:space="preserve">following </w:t>
      </w:r>
      <w:r w:rsidRPr="009A3AE9">
        <w:rPr>
          <w:rStyle w:val="normaltextrun"/>
        </w:rPr>
        <w:t>Gem+NabP.</w:t>
      </w:r>
      <w:r w:rsidRPr="009A3AE9">
        <w:rPr>
          <w:rStyle w:val="normaltextrun"/>
          <w:i/>
          <w:iCs/>
        </w:rPr>
        <w:t xml:space="preserve"> </w:t>
      </w:r>
      <w:r w:rsidRPr="009A3AE9">
        <w:rPr>
          <w:rStyle w:val="normaltextrun"/>
        </w:rPr>
        <w:t xml:space="preserve">Patients in the </w:t>
      </w:r>
      <w:r w:rsidRPr="009A3AE9">
        <w:rPr>
          <w:rStyle w:val="normaltextrun"/>
        </w:rPr>
        <w:lastRenderedPageBreak/>
        <w:t xml:space="preserve">Australian setting used Gem+NabP as </w:t>
      </w:r>
      <w:r w:rsidR="005F27E7" w:rsidRPr="009A3AE9">
        <w:rPr>
          <w:rStyle w:val="normaltextrun"/>
        </w:rPr>
        <w:t xml:space="preserve">a </w:t>
      </w:r>
      <w:r w:rsidRPr="009A3AE9">
        <w:rPr>
          <w:rStyle w:val="normaltextrun"/>
        </w:rPr>
        <w:t>second line treatment even though the current PBS restriction for NabP restricts use to first-line treatment only.</w:t>
      </w:r>
    </w:p>
    <w:p w14:paraId="0F8483A4" w14:textId="686F6338" w:rsidR="006F6422" w:rsidRPr="00456281" w:rsidRDefault="006F6422" w:rsidP="00690769">
      <w:pPr>
        <w:pStyle w:val="3-BodyText"/>
        <w:numPr>
          <w:ilvl w:val="1"/>
          <w:numId w:val="23"/>
        </w:numPr>
        <w:ind w:left="1134"/>
        <w:rPr>
          <w:rStyle w:val="normaltextrun"/>
        </w:rPr>
      </w:pPr>
      <w:r w:rsidRPr="009A3AE9">
        <w:rPr>
          <w:rStyle w:val="normaltextrun"/>
        </w:rPr>
        <w:t xml:space="preserve">In the NAPOLI-3 trial, the most frequently used second line therapies </w:t>
      </w:r>
      <w:r w:rsidR="005F27E7" w:rsidRPr="009A3AE9">
        <w:rPr>
          <w:rStyle w:val="normaltextrun"/>
        </w:rPr>
        <w:t xml:space="preserve">following NALIRIFOX </w:t>
      </w:r>
      <w:r w:rsidRPr="009A3AE9">
        <w:rPr>
          <w:rStyle w:val="normaltextrun"/>
        </w:rPr>
        <w:t xml:space="preserve">were gemcitabine monotherapy (24.3%), NabP </w:t>
      </w:r>
      <w:r w:rsidR="005F27E7" w:rsidRPr="009A3AE9">
        <w:rPr>
          <w:rStyle w:val="normaltextrun"/>
        </w:rPr>
        <w:t xml:space="preserve">monotherapy </w:t>
      </w:r>
      <w:r w:rsidRPr="009A3AE9">
        <w:rPr>
          <w:rStyle w:val="normaltextrun"/>
        </w:rPr>
        <w:t>(17.6%) and Gem+NabP (15.4%). Among those patients who received Gem+NabP as first line therapy, gemcitabine monotherapy, FOLFIRINOX and FOLFOX were the most frequently used subsequent therapies (15.6</w:t>
      </w:r>
      <w:r w:rsidR="005F27E7" w:rsidRPr="009A3AE9">
        <w:rPr>
          <w:rStyle w:val="normaltextrun"/>
        </w:rPr>
        <w:t xml:space="preserve">%, </w:t>
      </w:r>
      <w:r w:rsidRPr="009A3AE9">
        <w:rPr>
          <w:rStyle w:val="normaltextrun"/>
        </w:rPr>
        <w:t>11.1% and 9.2%, respectively</w:t>
      </w:r>
      <w:r w:rsidRPr="00456281">
        <w:rPr>
          <w:rStyle w:val="normaltextrun"/>
        </w:rPr>
        <w:t xml:space="preserve">). </w:t>
      </w:r>
    </w:p>
    <w:p w14:paraId="51F14A94" w14:textId="477916A5" w:rsidR="008B7229" w:rsidRPr="00456281" w:rsidRDefault="006F6422" w:rsidP="00EE5F51">
      <w:pPr>
        <w:pStyle w:val="3-BodyText"/>
        <w:rPr>
          <w:rStyle w:val="normaltextrun"/>
        </w:rPr>
      </w:pPr>
      <w:r w:rsidRPr="00456281">
        <w:rPr>
          <w:rStyle w:val="normaltextrun"/>
        </w:rPr>
        <w:t>It is unclear how the differences in subsequent anticancer therapy between the trial and Australian setting</w:t>
      </w:r>
      <w:r w:rsidR="005F27E7" w:rsidRPr="00456281">
        <w:rPr>
          <w:rStyle w:val="normaltextrun"/>
        </w:rPr>
        <w:t>s</w:t>
      </w:r>
      <w:r w:rsidRPr="00456281">
        <w:rPr>
          <w:rStyle w:val="normaltextrun"/>
        </w:rPr>
        <w:t xml:space="preserve"> may impact the applicability of treatment effects. The effect of subsequent anticancer therapies </w:t>
      </w:r>
      <w:r w:rsidR="001C469F" w:rsidRPr="00456281">
        <w:rPr>
          <w:rStyle w:val="normaltextrun"/>
        </w:rPr>
        <w:t xml:space="preserve">was </w:t>
      </w:r>
      <w:r w:rsidRPr="00456281">
        <w:rPr>
          <w:rStyle w:val="normaltextrun"/>
        </w:rPr>
        <w:t xml:space="preserve">captured in the OS results </w:t>
      </w:r>
      <w:r w:rsidR="00FE4715" w:rsidRPr="00456281">
        <w:rPr>
          <w:rStyle w:val="normaltextrun"/>
        </w:rPr>
        <w:t>(para</w:t>
      </w:r>
      <w:r w:rsidR="00555EC9" w:rsidRPr="00456281">
        <w:rPr>
          <w:rStyle w:val="normaltextrun"/>
        </w:rPr>
        <w:t>graph</w:t>
      </w:r>
      <w:r w:rsidR="00D34FCD" w:rsidRPr="00456281">
        <w:rPr>
          <w:rStyle w:val="normaltextrun"/>
        </w:rPr>
        <w:t xml:space="preserve"> </w:t>
      </w:r>
      <w:r w:rsidR="009863E3" w:rsidRPr="00456281">
        <w:rPr>
          <w:rStyle w:val="normaltextrun"/>
        </w:rPr>
        <w:fldChar w:fldCharType="begin"/>
      </w:r>
      <w:r w:rsidR="009863E3" w:rsidRPr="00456281">
        <w:rPr>
          <w:rStyle w:val="normaltextrun"/>
        </w:rPr>
        <w:instrText xml:space="preserve"> REF _Ref156312000 \n \h </w:instrText>
      </w:r>
      <w:r w:rsidR="008712E0" w:rsidRPr="00456281">
        <w:rPr>
          <w:rStyle w:val="normaltextrun"/>
        </w:rPr>
        <w:instrText xml:space="preserve"> \* MERGEFORMAT </w:instrText>
      </w:r>
      <w:r w:rsidR="009863E3" w:rsidRPr="00456281">
        <w:rPr>
          <w:rStyle w:val="normaltextrun"/>
        </w:rPr>
      </w:r>
      <w:r w:rsidR="009863E3" w:rsidRPr="00456281">
        <w:rPr>
          <w:rStyle w:val="normaltextrun"/>
        </w:rPr>
        <w:fldChar w:fldCharType="separate"/>
      </w:r>
      <w:r w:rsidR="00EE5AD4">
        <w:rPr>
          <w:rStyle w:val="normaltextrun"/>
        </w:rPr>
        <w:t>6.25</w:t>
      </w:r>
      <w:r w:rsidR="009863E3" w:rsidRPr="00456281">
        <w:rPr>
          <w:rStyle w:val="normaltextrun"/>
        </w:rPr>
        <w:fldChar w:fldCharType="end"/>
      </w:r>
      <w:r w:rsidR="00FE4715" w:rsidRPr="00456281">
        <w:rPr>
          <w:rStyle w:val="normaltextrun"/>
        </w:rPr>
        <w:t>)</w:t>
      </w:r>
      <w:r w:rsidR="007A6943" w:rsidRPr="00456281">
        <w:rPr>
          <w:rStyle w:val="normaltextrun"/>
        </w:rPr>
        <w:t>.</w:t>
      </w:r>
    </w:p>
    <w:p w14:paraId="24EDA477" w14:textId="27EFB20A" w:rsidR="009E2E11" w:rsidRPr="00456281" w:rsidRDefault="009E2E11" w:rsidP="009E2E11">
      <w:pPr>
        <w:pStyle w:val="3-BodyText"/>
      </w:pPr>
      <w:r w:rsidRPr="00456281">
        <w:t>The submission indicated that no statistical tests were reported on the safety endpoints for NAPOLI-3 trial, and that statistical comparisons, based on the odds ratios</w:t>
      </w:r>
      <w:r w:rsidR="00976AAE" w:rsidRPr="00456281">
        <w:t xml:space="preserve"> (OR)</w:t>
      </w:r>
      <w:r w:rsidRPr="00456281">
        <w:t xml:space="preserve">, risk ratios </w:t>
      </w:r>
      <w:r w:rsidR="00976AAE" w:rsidRPr="00456281">
        <w:t>(RR)</w:t>
      </w:r>
      <w:r w:rsidRPr="00456281">
        <w:t xml:space="preserve"> and risk differences </w:t>
      </w:r>
      <w:r w:rsidR="00392134" w:rsidRPr="00456281">
        <w:t>(RD)</w:t>
      </w:r>
      <w:r w:rsidRPr="00456281">
        <w:t xml:space="preserve"> for selected </w:t>
      </w:r>
      <w:r w:rsidR="00392134" w:rsidRPr="00456281">
        <w:t>AEs</w:t>
      </w:r>
      <w:r w:rsidRPr="00456281">
        <w:t xml:space="preserve">, were performed post hoc. </w:t>
      </w:r>
    </w:p>
    <w:p w14:paraId="75B45803" w14:textId="464C6220" w:rsidR="004D7174" w:rsidRPr="00456281" w:rsidRDefault="004D7174" w:rsidP="00CE0150">
      <w:pPr>
        <w:pStyle w:val="5-SubsectionSubheading"/>
      </w:pPr>
      <w:r w:rsidRPr="00456281">
        <w:t xml:space="preserve">NALIRIFOX </w:t>
      </w:r>
      <w:r w:rsidR="00873C83" w:rsidRPr="00456281">
        <w:t xml:space="preserve">versus </w:t>
      </w:r>
      <w:r w:rsidRPr="00456281">
        <w:t>FOLFIRINOX (</w:t>
      </w:r>
      <w:r w:rsidR="008648E4" w:rsidRPr="00456281">
        <w:t>NAPOLI-3, ACCORD11/PRODIGE4, MPACT trials</w:t>
      </w:r>
      <w:r w:rsidRPr="00456281">
        <w:t>)</w:t>
      </w:r>
    </w:p>
    <w:p w14:paraId="72D2F78C" w14:textId="6F229414" w:rsidR="009E2E11" w:rsidRPr="00456281" w:rsidRDefault="009E2E11" w:rsidP="009E2E11">
      <w:pPr>
        <w:pStyle w:val="3-BodyText"/>
      </w:pPr>
      <w:r w:rsidRPr="00456281">
        <w:t>The submission claimed that NALIRIFOX is superior in effectiveness and safety over FOLFIRINOX because NALIRIFOX has a proven survival benefit over Gem+NabP</w:t>
      </w:r>
      <w:r w:rsidR="009D3940" w:rsidRPr="00456281">
        <w:t>,</w:t>
      </w:r>
      <w:r w:rsidRPr="00456281">
        <w:t xml:space="preserve"> whereas FOLFIRINOX does not. The submission also stated that NALIRIFOX has proven to have similar levels of toxicity to Gem+NabP</w:t>
      </w:r>
      <w:r w:rsidR="009D3940" w:rsidRPr="00456281">
        <w:t>,</w:t>
      </w:r>
      <w:r w:rsidRPr="00456281">
        <w:t xml:space="preserve"> whereas FOLFIRINOX has historically been reserved for fitter and younger patients due to its unfavourable safety profile. </w:t>
      </w:r>
      <w:r w:rsidR="00A65D50" w:rsidRPr="00456281">
        <w:t xml:space="preserve">The therapeutic claim between NALIRIFOX and FOLFIRINOX </w:t>
      </w:r>
      <w:r w:rsidR="00ED5084" w:rsidRPr="00456281">
        <w:t xml:space="preserve">made by the submission </w:t>
      </w:r>
      <w:r w:rsidR="00A65D50" w:rsidRPr="00456281">
        <w:t xml:space="preserve">was based on inferences drawn from the results of the individual clinical trials (NAPOLI-3, </w:t>
      </w:r>
      <w:r w:rsidR="00A65D50" w:rsidRPr="00456281">
        <w:rPr>
          <w:rStyle w:val="normaltextrun"/>
        </w:rPr>
        <w:t>ACCORD11/PRODIGE4, MPACT)</w:t>
      </w:r>
      <w:r w:rsidR="00ED5084" w:rsidRPr="00456281">
        <w:rPr>
          <w:rStyle w:val="normaltextrun"/>
        </w:rPr>
        <w:t xml:space="preserve"> relative to Gem+NabP</w:t>
      </w:r>
      <w:r w:rsidR="00A65D50" w:rsidRPr="00456281">
        <w:t>.</w:t>
      </w:r>
      <w:r w:rsidR="00CB47F1" w:rsidRPr="00456281">
        <w:t xml:space="preserve"> This is inappropriate</w:t>
      </w:r>
      <w:r w:rsidR="00E423C1" w:rsidRPr="00456281">
        <w:t xml:space="preserve"> </w:t>
      </w:r>
      <w:r w:rsidR="008245B0" w:rsidRPr="00456281">
        <w:t>as</w:t>
      </w:r>
      <w:r w:rsidR="00E423C1" w:rsidRPr="00456281">
        <w:t xml:space="preserve"> </w:t>
      </w:r>
      <w:r w:rsidR="008245B0" w:rsidRPr="00456281">
        <w:t>more robust methodologies should be applied to support the claims</w:t>
      </w:r>
      <w:r w:rsidR="00AE3232" w:rsidRPr="00456281">
        <w:t>.</w:t>
      </w:r>
    </w:p>
    <w:p w14:paraId="226FA1D5" w14:textId="411FF885" w:rsidR="009E2E11" w:rsidRPr="00456281" w:rsidRDefault="009D3940" w:rsidP="009E2E11">
      <w:pPr>
        <w:pStyle w:val="3-BodyText"/>
      </w:pPr>
      <w:bookmarkStart w:id="59" w:name="_Ref156383412"/>
      <w:r w:rsidRPr="00456281">
        <w:t xml:space="preserve">The following differences </w:t>
      </w:r>
      <w:r w:rsidR="009E2E11" w:rsidRPr="00456281">
        <w:t>in the inclusion criteria, baseline characteristics, study design, setting and duration of follow-up between these trials were identified</w:t>
      </w:r>
      <w:r w:rsidR="00B83FAD" w:rsidRPr="00456281">
        <w:t xml:space="preserve">, which </w:t>
      </w:r>
      <w:r w:rsidR="009E2E11" w:rsidRPr="00456281">
        <w:t xml:space="preserve">raises concerns regarding the validity of </w:t>
      </w:r>
      <w:r w:rsidR="00B83FAD" w:rsidRPr="00456281">
        <w:t xml:space="preserve">the </w:t>
      </w:r>
      <w:r w:rsidR="009E2E11" w:rsidRPr="00456281">
        <w:t xml:space="preserve">indirect comparison </w:t>
      </w:r>
      <w:r w:rsidRPr="00456281">
        <w:t>performed</w:t>
      </w:r>
      <w:r w:rsidR="009E2E11" w:rsidRPr="00456281">
        <w:t>.</w:t>
      </w:r>
      <w:bookmarkEnd w:id="59"/>
      <w:r w:rsidR="009E2E11" w:rsidRPr="00456281">
        <w:t xml:space="preserve"> </w:t>
      </w:r>
    </w:p>
    <w:p w14:paraId="2FA0387B" w14:textId="77777777" w:rsidR="009E2E11" w:rsidRPr="00456281" w:rsidRDefault="009E2E11" w:rsidP="00690769">
      <w:pPr>
        <w:pStyle w:val="3-BodyText"/>
        <w:numPr>
          <w:ilvl w:val="0"/>
          <w:numId w:val="20"/>
        </w:numPr>
        <w:rPr>
          <w:rStyle w:val="normaltextrun"/>
        </w:rPr>
      </w:pPr>
      <w:r w:rsidRPr="00456281">
        <w:rPr>
          <w:rStyle w:val="normaltextrun"/>
        </w:rPr>
        <w:t>Patients in the ACCORD11/PRODIGE4 trial tended to be younger (around 71% under 65 years) than those in the other two trials (around 50% in NAPOLI-3 trial and 58% in MPACT were under 65 years).</w:t>
      </w:r>
    </w:p>
    <w:p w14:paraId="30A380D4" w14:textId="77777777" w:rsidR="009E2E11" w:rsidRPr="00456281" w:rsidRDefault="009E2E11" w:rsidP="00690769">
      <w:pPr>
        <w:pStyle w:val="ListParagraph"/>
        <w:numPr>
          <w:ilvl w:val="0"/>
          <w:numId w:val="20"/>
        </w:numPr>
        <w:rPr>
          <w:rStyle w:val="normaltextrun"/>
        </w:rPr>
      </w:pPr>
      <w:r w:rsidRPr="00456281">
        <w:rPr>
          <w:rStyle w:val="normaltextrun"/>
        </w:rPr>
        <w:t>Patients in the MPACT trial had a better performance status (equivalent to ECOG PS 0 and KPS 90-100) than patients in the other two trials (60% vs 42% vs 38% in the MPACT, NAPOLI-3 and ACCORD11/PRODIGE4 trials, respectively).</w:t>
      </w:r>
    </w:p>
    <w:p w14:paraId="0B921D0F" w14:textId="70F79B2D" w:rsidR="009E2E11" w:rsidRPr="00456281" w:rsidRDefault="009E2E11" w:rsidP="00690769">
      <w:pPr>
        <w:pStyle w:val="ListParagraph"/>
        <w:numPr>
          <w:ilvl w:val="0"/>
          <w:numId w:val="20"/>
        </w:numPr>
        <w:rPr>
          <w:rStyle w:val="normaltextrun"/>
        </w:rPr>
      </w:pPr>
      <w:r w:rsidRPr="00456281">
        <w:rPr>
          <w:rStyle w:val="normaltextrun"/>
        </w:rPr>
        <w:t>T</w:t>
      </w:r>
      <w:r w:rsidR="009D3940" w:rsidRPr="00456281">
        <w:rPr>
          <w:rStyle w:val="normaltextrun"/>
        </w:rPr>
        <w:t>he t</w:t>
      </w:r>
      <w:r w:rsidRPr="00456281">
        <w:rPr>
          <w:rStyle w:val="normaltextrun"/>
        </w:rPr>
        <w:t xml:space="preserve">rials differed in terms of metastatic disease burden. The proportion of patients who had </w:t>
      </w:r>
      <w:r w:rsidR="009D3940" w:rsidRPr="00456281">
        <w:rPr>
          <w:rStyle w:val="normaltextrun"/>
          <w:rFonts w:cstheme="minorHAnsi"/>
        </w:rPr>
        <w:t>≥</w:t>
      </w:r>
      <w:r w:rsidRPr="00456281">
        <w:rPr>
          <w:rStyle w:val="normaltextrun"/>
        </w:rPr>
        <w:t xml:space="preserve">2 metastatic sites at baseline was higher in </w:t>
      </w:r>
      <w:r w:rsidR="009D3940" w:rsidRPr="00456281">
        <w:rPr>
          <w:rStyle w:val="normaltextrun"/>
        </w:rPr>
        <w:t xml:space="preserve">the </w:t>
      </w:r>
      <w:r w:rsidRPr="00456281">
        <w:rPr>
          <w:rStyle w:val="normaltextrun"/>
        </w:rPr>
        <w:t xml:space="preserve">MPACT trial (around 93%) compared to </w:t>
      </w:r>
      <w:r w:rsidR="009D3940" w:rsidRPr="00456281">
        <w:rPr>
          <w:rStyle w:val="normaltextrun"/>
        </w:rPr>
        <w:t xml:space="preserve">the </w:t>
      </w:r>
      <w:r w:rsidRPr="00456281">
        <w:rPr>
          <w:rStyle w:val="normaltextrun"/>
        </w:rPr>
        <w:t>NAPOLI-3 (around 67%)</w:t>
      </w:r>
      <w:r w:rsidR="009D3940" w:rsidRPr="00456281">
        <w:rPr>
          <w:rStyle w:val="normaltextrun"/>
        </w:rPr>
        <w:t xml:space="preserve"> and</w:t>
      </w:r>
      <w:r w:rsidRPr="00456281">
        <w:rPr>
          <w:rStyle w:val="normaltextrun"/>
        </w:rPr>
        <w:t xml:space="preserve"> ACCORD11/PRODIGE4 </w:t>
      </w:r>
      <w:r w:rsidR="009D3940" w:rsidRPr="00456281">
        <w:rPr>
          <w:rStyle w:val="normaltextrun"/>
        </w:rPr>
        <w:t xml:space="preserve">(50%) </w:t>
      </w:r>
      <w:r w:rsidRPr="00456281">
        <w:rPr>
          <w:rStyle w:val="normaltextrun"/>
        </w:rPr>
        <w:t>trial</w:t>
      </w:r>
      <w:r w:rsidR="009D3940" w:rsidRPr="00456281">
        <w:rPr>
          <w:rStyle w:val="normaltextrun"/>
        </w:rPr>
        <w:t>s</w:t>
      </w:r>
      <w:r w:rsidRPr="00456281">
        <w:rPr>
          <w:rStyle w:val="normaltextrun"/>
        </w:rPr>
        <w:t>.</w:t>
      </w:r>
    </w:p>
    <w:p w14:paraId="7F718C55" w14:textId="767A01A9" w:rsidR="009E2E11" w:rsidRPr="00456281" w:rsidRDefault="009E2E11" w:rsidP="00690769">
      <w:pPr>
        <w:pStyle w:val="ListParagraph"/>
        <w:numPr>
          <w:ilvl w:val="0"/>
          <w:numId w:val="20"/>
        </w:numPr>
        <w:rPr>
          <w:rStyle w:val="normaltextrun"/>
        </w:rPr>
      </w:pPr>
      <w:r w:rsidRPr="00456281">
        <w:rPr>
          <w:rStyle w:val="normaltextrun"/>
        </w:rPr>
        <w:lastRenderedPageBreak/>
        <w:t xml:space="preserve">The proportion of patients </w:t>
      </w:r>
      <w:r w:rsidR="009D3940" w:rsidRPr="00456281">
        <w:rPr>
          <w:rStyle w:val="normaltextrun"/>
        </w:rPr>
        <w:t>with</w:t>
      </w:r>
      <w:r w:rsidRPr="00456281">
        <w:rPr>
          <w:rStyle w:val="normaltextrun"/>
        </w:rPr>
        <w:t xml:space="preserve"> liver metastases was </w:t>
      </w:r>
      <w:r w:rsidR="009D3940" w:rsidRPr="00456281">
        <w:rPr>
          <w:rStyle w:val="normaltextrun"/>
        </w:rPr>
        <w:t xml:space="preserve">slightly </w:t>
      </w:r>
      <w:r w:rsidRPr="00456281">
        <w:rPr>
          <w:rStyle w:val="normaltextrun"/>
        </w:rPr>
        <w:t xml:space="preserve">higher in ACCORD11/PRODIGE4 (88%) compared with </w:t>
      </w:r>
      <w:r w:rsidR="009D3940" w:rsidRPr="00456281">
        <w:rPr>
          <w:rStyle w:val="normaltextrun"/>
        </w:rPr>
        <w:t xml:space="preserve">the </w:t>
      </w:r>
      <w:r w:rsidRPr="00456281">
        <w:rPr>
          <w:rStyle w:val="normaltextrun"/>
        </w:rPr>
        <w:t>NAPOLI-3 and MPACT trials (80</w:t>
      </w:r>
      <w:r w:rsidR="009D3940" w:rsidRPr="00456281">
        <w:rPr>
          <w:rStyle w:val="normaltextrun"/>
        </w:rPr>
        <w:t>%</w:t>
      </w:r>
      <w:r w:rsidRPr="00456281">
        <w:rPr>
          <w:rStyle w:val="normaltextrun"/>
        </w:rPr>
        <w:t xml:space="preserve"> and 84%, respectively).</w:t>
      </w:r>
    </w:p>
    <w:p w14:paraId="42218873" w14:textId="77777777" w:rsidR="009E2E11" w:rsidRPr="00456281" w:rsidRDefault="009E2E11" w:rsidP="00076C6A">
      <w:pPr>
        <w:pStyle w:val="ListBullet"/>
        <w:tabs>
          <w:tab w:val="clear" w:pos="360"/>
          <w:tab w:val="num" w:pos="1080"/>
        </w:tabs>
        <w:spacing w:after="120"/>
        <w:ind w:left="1080"/>
      </w:pPr>
      <w:r w:rsidRPr="00456281">
        <w:t>The median duration of follow up was longer in the ACCORD11/PRODIGE4 trial (26.6 months) compared to the NAPOLI-3 (16-16.3 months) and MPACT trials (7.4-9.1 months).</w:t>
      </w:r>
    </w:p>
    <w:p w14:paraId="1B7C6917" w14:textId="243B6BA2" w:rsidR="009E2E11" w:rsidRPr="00456281" w:rsidRDefault="009E2E11" w:rsidP="009E2E11">
      <w:pPr>
        <w:pStyle w:val="3-BodyText"/>
        <w:rPr>
          <w:rStyle w:val="Heading8Char"/>
          <w:rFonts w:asciiTheme="minorHAnsi" w:hAnsiTheme="minorHAnsi"/>
          <w:b w:val="0"/>
        </w:rPr>
      </w:pPr>
      <w:bookmarkStart w:id="60" w:name="_Ref156570705"/>
      <w:r w:rsidRPr="00456281">
        <w:t xml:space="preserve">The submission noted that age </w:t>
      </w:r>
      <w:r w:rsidR="009D3940" w:rsidRPr="00456281">
        <w:t>&gt;</w:t>
      </w:r>
      <w:r w:rsidRPr="00456281">
        <w:t xml:space="preserve">65 years, high performance status and the presence of liver metastases </w:t>
      </w:r>
      <w:r w:rsidR="009D3940" w:rsidRPr="00456281">
        <w:t xml:space="preserve">have been </w:t>
      </w:r>
      <w:r w:rsidRPr="00456281">
        <w:t>shown to be independent prognostic factors of poor outcomes in mPAC (Uson Junior 2020; Decoster 2016; Conroy 2011; Yu 2021; Tereao 2021; Oweira 2017; Zhang 2023</w:t>
      </w:r>
      <w:r w:rsidRPr="00456281">
        <w:rPr>
          <w:rStyle w:val="normaltextrun"/>
        </w:rPr>
        <w:t>)</w:t>
      </w:r>
      <w:r w:rsidR="009D3940" w:rsidRPr="00456281">
        <w:rPr>
          <w:rStyle w:val="normaltextrun"/>
        </w:rPr>
        <w:t>; however,</w:t>
      </w:r>
      <w:r w:rsidR="009D3940" w:rsidRPr="00456281" w:rsidDel="009D3940">
        <w:rPr>
          <w:rStyle w:val="normaltextrun"/>
          <w:i/>
          <w:iCs/>
        </w:rPr>
        <w:t xml:space="preserve"> </w:t>
      </w:r>
      <w:r w:rsidRPr="00456281">
        <w:rPr>
          <w:rStyle w:val="Heading8Char"/>
          <w:b w:val="0"/>
          <w:bCs/>
        </w:rPr>
        <w:t>the direction and magnitude of impact of the identified factors on observed outcomes</w:t>
      </w:r>
      <w:r w:rsidR="009D3940" w:rsidRPr="00456281">
        <w:rPr>
          <w:rStyle w:val="Heading8Char"/>
          <w:b w:val="0"/>
          <w:bCs/>
        </w:rPr>
        <w:t xml:space="preserve"> is uncertain</w:t>
      </w:r>
      <w:r w:rsidRPr="00456281">
        <w:rPr>
          <w:rStyle w:val="Heading8Char"/>
          <w:b w:val="0"/>
          <w:bCs/>
        </w:rPr>
        <w:t>.</w:t>
      </w:r>
      <w:bookmarkEnd w:id="60"/>
    </w:p>
    <w:p w14:paraId="31E7D221" w14:textId="5F846467" w:rsidR="00016609" w:rsidRPr="00456281" w:rsidRDefault="00016609" w:rsidP="00D36AB7">
      <w:pPr>
        <w:pStyle w:val="3-BodyText"/>
        <w:rPr>
          <w:rStyle w:val="normaltextrun"/>
          <w:rFonts w:ascii="Calibri" w:hAnsi="Calibri"/>
          <w:snapToGrid/>
        </w:rPr>
      </w:pPr>
      <w:r w:rsidRPr="00456281">
        <w:t xml:space="preserve">Overall, the definitions of the outcomes included in the three trials were broadly aligned. However, the NAPOLI-3 trial used a different version (1.1) of the Response Evaluation Criteria in Solid Tumours (RECIST) to measure disease, compared to </w:t>
      </w:r>
      <w:r w:rsidR="005E4498" w:rsidRPr="00456281">
        <w:t xml:space="preserve">the </w:t>
      </w:r>
      <w:r w:rsidRPr="00456281">
        <w:t>MPACT and ACCORD11/PRODIGE4 trials (version 1.0). A study comparing the use of RECIST 1.1 and RECIST 1.0 in patients treated with targeted agents for metastatic cancer showed a decrease in the number of target lesions when RECIST 1.1 was used.</w:t>
      </w:r>
      <w:r w:rsidRPr="00456281">
        <w:rPr>
          <w:rStyle w:val="FootnoteReference"/>
        </w:rPr>
        <w:footnoteReference w:id="9"/>
      </w:r>
      <w:r w:rsidRPr="00456281">
        <w:t xml:space="preserve"> </w:t>
      </w:r>
      <w:r w:rsidRPr="00456281">
        <w:rPr>
          <w:color w:val="000000" w:themeColor="text1"/>
        </w:rPr>
        <w:t xml:space="preserve"> </w:t>
      </w:r>
    </w:p>
    <w:p w14:paraId="79F65F6D" w14:textId="77777777" w:rsidR="00016609" w:rsidRPr="00456281" w:rsidRDefault="00016609" w:rsidP="0034384D">
      <w:pPr>
        <w:pStyle w:val="4-SubsectionHeading"/>
      </w:pPr>
      <w:bookmarkStart w:id="61" w:name="_Toc157002550"/>
      <w:r w:rsidRPr="00456281">
        <w:t>Comparative effectiveness</w:t>
      </w:r>
      <w:bookmarkEnd w:id="61"/>
    </w:p>
    <w:p w14:paraId="7BB7D19B" w14:textId="6261E45B" w:rsidR="00016609" w:rsidRPr="00456281" w:rsidRDefault="00016609" w:rsidP="00CE0150">
      <w:pPr>
        <w:pStyle w:val="5-SubsectionSubheading"/>
      </w:pPr>
      <w:r w:rsidRPr="00456281">
        <w:t xml:space="preserve">NALIRIFOX </w:t>
      </w:r>
      <w:r w:rsidR="00873C83" w:rsidRPr="00456281">
        <w:t xml:space="preserve">versus </w:t>
      </w:r>
      <w:r w:rsidRPr="00456281">
        <w:t xml:space="preserve">Gem+NabP </w:t>
      </w:r>
    </w:p>
    <w:p w14:paraId="55F10EA2" w14:textId="7EB5E584" w:rsidR="00016609" w:rsidRPr="00456281" w:rsidRDefault="00016609" w:rsidP="00016609">
      <w:pPr>
        <w:pStyle w:val="3-BodyText"/>
      </w:pPr>
      <w:r w:rsidRPr="00456281">
        <w:t xml:space="preserve">A summary of the efficacy results for OS, PFS and ORR from the ITT population in NAPOLI-3 trial is presented in </w:t>
      </w:r>
      <w:r w:rsidRPr="00456281">
        <w:fldChar w:fldCharType="begin"/>
      </w:r>
      <w:r w:rsidRPr="00456281">
        <w:instrText xml:space="preserve"> REF _Ref153568670 \h </w:instrText>
      </w:r>
      <w:r w:rsidR="00030F50" w:rsidRPr="00456281">
        <w:instrText xml:space="preserve"> \* MERGEFORMAT </w:instrText>
      </w:r>
      <w:r w:rsidRPr="00456281">
        <w:fldChar w:fldCharType="separate"/>
      </w:r>
      <w:r w:rsidR="00EE5AD4" w:rsidRPr="00456281">
        <w:t xml:space="preserve">Table </w:t>
      </w:r>
      <w:r w:rsidR="00EE5AD4" w:rsidRPr="00EE5AD4">
        <w:t>4</w:t>
      </w:r>
      <w:r w:rsidRPr="00456281">
        <w:fldChar w:fldCharType="end"/>
      </w:r>
      <w:r w:rsidR="00752023" w:rsidRPr="00456281">
        <w:t>,</w:t>
      </w:r>
      <w:r w:rsidRPr="00456281">
        <w:t xml:space="preserve"> with the corresponding KM curves of OS and PFS presented in </w:t>
      </w:r>
      <w:r w:rsidRPr="00456281">
        <w:fldChar w:fldCharType="begin"/>
      </w:r>
      <w:r w:rsidRPr="00456281">
        <w:instrText xml:space="preserve"> REF _Ref153568774 \h </w:instrText>
      </w:r>
      <w:r w:rsidRPr="00456281">
        <w:fldChar w:fldCharType="separate"/>
      </w:r>
      <w:r w:rsidR="00EE5AD4" w:rsidRPr="00456281">
        <w:t xml:space="preserve">Figure </w:t>
      </w:r>
      <w:r w:rsidR="00EE5AD4">
        <w:rPr>
          <w:noProof/>
        </w:rPr>
        <w:t>1</w:t>
      </w:r>
      <w:r w:rsidRPr="00456281">
        <w:fldChar w:fldCharType="end"/>
      </w:r>
      <w:r w:rsidRPr="00456281">
        <w:t xml:space="preserve"> and </w:t>
      </w:r>
      <w:r w:rsidRPr="00456281">
        <w:fldChar w:fldCharType="begin"/>
      </w:r>
      <w:r w:rsidRPr="00456281">
        <w:instrText xml:space="preserve"> REF _Ref153568793 \h </w:instrText>
      </w:r>
      <w:r w:rsidRPr="00456281">
        <w:fldChar w:fldCharType="separate"/>
      </w:r>
      <w:r w:rsidR="00EE5AD4" w:rsidRPr="00456281">
        <w:t xml:space="preserve">Figure </w:t>
      </w:r>
      <w:r w:rsidR="00EE5AD4">
        <w:rPr>
          <w:noProof/>
        </w:rPr>
        <w:t>2</w:t>
      </w:r>
      <w:r w:rsidRPr="00456281">
        <w:fldChar w:fldCharType="end"/>
      </w:r>
      <w:r w:rsidRPr="00456281">
        <w:t>.</w:t>
      </w:r>
    </w:p>
    <w:p w14:paraId="1BCB4946" w14:textId="5D068E39" w:rsidR="00016609" w:rsidRPr="00456281" w:rsidRDefault="00016609" w:rsidP="004D10D6">
      <w:pPr>
        <w:pStyle w:val="Caption"/>
      </w:pPr>
      <w:bookmarkStart w:id="62" w:name="_Ref153568670"/>
      <w:r w:rsidRPr="00456281">
        <w:lastRenderedPageBreak/>
        <w:t xml:space="preserve">Table </w:t>
      </w:r>
      <w:r w:rsidRPr="00456281">
        <w:rPr>
          <w:b w:val="0"/>
          <w:bCs w:val="0"/>
        </w:rPr>
        <w:fldChar w:fldCharType="begin"/>
      </w:r>
      <w:r w:rsidRPr="00456281">
        <w:rPr>
          <w:rStyle w:val="CommentReference"/>
          <w:b/>
          <w:bCs w:val="0"/>
          <w:szCs w:val="24"/>
        </w:rPr>
        <w:instrText xml:space="preserve"> SEQ Table \* ARABIC </w:instrText>
      </w:r>
      <w:r w:rsidRPr="00456281">
        <w:rPr>
          <w:b w:val="0"/>
          <w:bCs w:val="0"/>
        </w:rPr>
        <w:fldChar w:fldCharType="separate"/>
      </w:r>
      <w:r w:rsidR="00EE5AD4">
        <w:rPr>
          <w:rStyle w:val="CommentReference"/>
          <w:b/>
          <w:bCs w:val="0"/>
          <w:noProof/>
          <w:szCs w:val="24"/>
        </w:rPr>
        <w:t>4</w:t>
      </w:r>
      <w:r w:rsidRPr="00456281">
        <w:rPr>
          <w:b w:val="0"/>
          <w:bCs w:val="0"/>
        </w:rPr>
        <w:fldChar w:fldCharType="end"/>
      </w:r>
      <w:bookmarkEnd w:id="62"/>
      <w:r w:rsidRPr="00456281">
        <w:t>: Results of OS, PFS and ORR in the ITT population in NAPOLI-3 trial.</w:t>
      </w:r>
    </w:p>
    <w:tbl>
      <w:tblPr>
        <w:tblStyle w:val="TableGrid"/>
        <w:tblW w:w="5000" w:type="pct"/>
        <w:tblLook w:val="04A0" w:firstRow="1" w:lastRow="0" w:firstColumn="1" w:lastColumn="0" w:noHBand="0" w:noVBand="1"/>
        <w:tblCaption w:val="Table 4: Results of OS, PFS and ORR in the ITT population in NAPOLI-3 trial."/>
      </w:tblPr>
      <w:tblGrid>
        <w:gridCol w:w="3005"/>
        <w:gridCol w:w="3004"/>
        <w:gridCol w:w="3008"/>
      </w:tblGrid>
      <w:tr w:rsidR="00016609" w:rsidRPr="00456281" w14:paraId="312A55D6" w14:textId="77777777" w:rsidTr="00956744">
        <w:tc>
          <w:tcPr>
            <w:tcW w:w="1666" w:type="pct"/>
            <w:shd w:val="clear" w:color="auto" w:fill="auto"/>
          </w:tcPr>
          <w:p w14:paraId="60C6D5E6" w14:textId="77777777" w:rsidR="00016609" w:rsidRPr="00456281" w:rsidRDefault="00016609" w:rsidP="004D10D6">
            <w:pPr>
              <w:pStyle w:val="In-tableHeading"/>
              <w:keepLines/>
              <w:rPr>
                <w:lang w:val="en-AU"/>
              </w:rPr>
            </w:pPr>
          </w:p>
        </w:tc>
        <w:tc>
          <w:tcPr>
            <w:tcW w:w="1666" w:type="pct"/>
            <w:shd w:val="clear" w:color="auto" w:fill="auto"/>
          </w:tcPr>
          <w:p w14:paraId="4708BFBB" w14:textId="77777777" w:rsidR="00016609" w:rsidRPr="00456281" w:rsidRDefault="00016609" w:rsidP="004D10D6">
            <w:pPr>
              <w:pStyle w:val="In-tableHeading"/>
              <w:keepLines/>
              <w:jc w:val="center"/>
              <w:rPr>
                <w:lang w:val="en-AU"/>
              </w:rPr>
            </w:pPr>
            <w:r w:rsidRPr="00456281">
              <w:rPr>
                <w:lang w:val="en-AU"/>
              </w:rPr>
              <w:t>NALIRIFOX</w:t>
            </w:r>
          </w:p>
          <w:p w14:paraId="35B04758" w14:textId="77777777" w:rsidR="00016609" w:rsidRPr="00456281" w:rsidRDefault="00016609" w:rsidP="004D10D6">
            <w:pPr>
              <w:pStyle w:val="In-tableHeading"/>
              <w:keepLines/>
              <w:jc w:val="center"/>
              <w:rPr>
                <w:lang w:val="en-AU"/>
              </w:rPr>
            </w:pPr>
            <w:r w:rsidRPr="00456281">
              <w:rPr>
                <w:lang w:val="en-AU"/>
              </w:rPr>
              <w:t>N=383</w:t>
            </w:r>
          </w:p>
        </w:tc>
        <w:tc>
          <w:tcPr>
            <w:tcW w:w="1668" w:type="pct"/>
            <w:shd w:val="clear" w:color="auto" w:fill="auto"/>
          </w:tcPr>
          <w:p w14:paraId="46ADCFB6" w14:textId="77777777" w:rsidR="00016609" w:rsidRPr="00456281" w:rsidRDefault="00016609" w:rsidP="004D10D6">
            <w:pPr>
              <w:pStyle w:val="In-tableHeading"/>
              <w:keepLines/>
              <w:jc w:val="center"/>
              <w:rPr>
                <w:lang w:val="en-AU"/>
              </w:rPr>
            </w:pPr>
            <w:r w:rsidRPr="00456281">
              <w:rPr>
                <w:lang w:val="en-AU"/>
              </w:rPr>
              <w:t>Gem+NabP</w:t>
            </w:r>
          </w:p>
          <w:p w14:paraId="150663AB" w14:textId="77777777" w:rsidR="00016609" w:rsidRPr="00456281" w:rsidRDefault="00016609" w:rsidP="004D10D6">
            <w:pPr>
              <w:pStyle w:val="In-tableHeading"/>
              <w:keepLines/>
              <w:jc w:val="center"/>
              <w:rPr>
                <w:lang w:val="en-AU"/>
              </w:rPr>
            </w:pPr>
            <w:r w:rsidRPr="00456281">
              <w:rPr>
                <w:lang w:val="en-AU"/>
              </w:rPr>
              <w:t>N=387</w:t>
            </w:r>
          </w:p>
        </w:tc>
      </w:tr>
      <w:tr w:rsidR="00016609" w:rsidRPr="00456281" w14:paraId="21BCF61C" w14:textId="77777777" w:rsidTr="00956744">
        <w:tc>
          <w:tcPr>
            <w:tcW w:w="1666" w:type="pct"/>
            <w:shd w:val="clear" w:color="auto" w:fill="auto"/>
          </w:tcPr>
          <w:p w14:paraId="402BCDDB" w14:textId="77777777" w:rsidR="00016609" w:rsidRPr="00456281" w:rsidRDefault="00016609" w:rsidP="004D10D6">
            <w:pPr>
              <w:pStyle w:val="TableText0"/>
              <w:keepLines/>
            </w:pPr>
            <w:r w:rsidRPr="00456281">
              <w:t>Median (95% CI) follow-up, months</w:t>
            </w:r>
          </w:p>
        </w:tc>
        <w:tc>
          <w:tcPr>
            <w:tcW w:w="1666" w:type="pct"/>
            <w:shd w:val="clear" w:color="auto" w:fill="auto"/>
          </w:tcPr>
          <w:p w14:paraId="6B851F9A" w14:textId="77777777" w:rsidR="00016609" w:rsidRPr="00456281" w:rsidRDefault="00016609" w:rsidP="004D10D6">
            <w:pPr>
              <w:pStyle w:val="TableText0"/>
              <w:keepLines/>
              <w:jc w:val="center"/>
            </w:pPr>
            <w:r w:rsidRPr="00456281">
              <w:t>16.0 (15.0, 16.8)</w:t>
            </w:r>
          </w:p>
        </w:tc>
        <w:tc>
          <w:tcPr>
            <w:tcW w:w="1668" w:type="pct"/>
            <w:shd w:val="clear" w:color="auto" w:fill="auto"/>
          </w:tcPr>
          <w:p w14:paraId="6D1A3700" w14:textId="77777777" w:rsidR="00016609" w:rsidRPr="00456281" w:rsidRDefault="00016609" w:rsidP="004D10D6">
            <w:pPr>
              <w:pStyle w:val="TableText0"/>
              <w:keepLines/>
              <w:jc w:val="center"/>
            </w:pPr>
            <w:r w:rsidRPr="00456281">
              <w:t>16.3 (15.0, 17.5)</w:t>
            </w:r>
          </w:p>
        </w:tc>
      </w:tr>
      <w:tr w:rsidR="00016609" w:rsidRPr="00456281" w14:paraId="7DC5EC01" w14:textId="77777777" w:rsidTr="00956744">
        <w:tc>
          <w:tcPr>
            <w:tcW w:w="5000" w:type="pct"/>
            <w:gridSpan w:val="3"/>
          </w:tcPr>
          <w:p w14:paraId="693A546E" w14:textId="77777777" w:rsidR="00016609" w:rsidRPr="00456281" w:rsidRDefault="00016609" w:rsidP="004D10D6">
            <w:pPr>
              <w:pStyle w:val="In-tableHeading"/>
              <w:keepLines/>
              <w:rPr>
                <w:lang w:val="en-AU"/>
              </w:rPr>
            </w:pPr>
            <w:r w:rsidRPr="00456281">
              <w:rPr>
                <w:lang w:val="en-AU"/>
              </w:rPr>
              <w:t>OS</w:t>
            </w:r>
          </w:p>
        </w:tc>
      </w:tr>
      <w:tr w:rsidR="00016609" w:rsidRPr="00456281" w14:paraId="7A8F729D" w14:textId="77777777" w:rsidTr="00956744">
        <w:tc>
          <w:tcPr>
            <w:tcW w:w="1666" w:type="pct"/>
          </w:tcPr>
          <w:p w14:paraId="2CFBDFB8" w14:textId="77777777" w:rsidR="00016609" w:rsidRPr="00456281" w:rsidRDefault="00016609" w:rsidP="004D10D6">
            <w:pPr>
              <w:pStyle w:val="TableText0"/>
              <w:keepLines/>
            </w:pPr>
            <w:r w:rsidRPr="00456281">
              <w:t>Death, n (%)</w:t>
            </w:r>
          </w:p>
        </w:tc>
        <w:tc>
          <w:tcPr>
            <w:tcW w:w="1666" w:type="pct"/>
          </w:tcPr>
          <w:p w14:paraId="55C26B56" w14:textId="77777777" w:rsidR="00016609" w:rsidRPr="00456281" w:rsidRDefault="00016609" w:rsidP="004D10D6">
            <w:pPr>
              <w:pStyle w:val="TableText0"/>
              <w:keepLines/>
              <w:jc w:val="center"/>
            </w:pPr>
            <w:r w:rsidRPr="00456281">
              <w:t>259 (67.6)</w:t>
            </w:r>
          </w:p>
        </w:tc>
        <w:tc>
          <w:tcPr>
            <w:tcW w:w="1668" w:type="pct"/>
          </w:tcPr>
          <w:p w14:paraId="1E9CA5C0" w14:textId="77777777" w:rsidR="00016609" w:rsidRPr="00456281" w:rsidRDefault="00016609" w:rsidP="004D10D6">
            <w:pPr>
              <w:pStyle w:val="TableText0"/>
              <w:keepLines/>
              <w:jc w:val="center"/>
            </w:pPr>
            <w:r w:rsidRPr="00456281">
              <w:t>285 (73.6)</w:t>
            </w:r>
          </w:p>
        </w:tc>
      </w:tr>
      <w:tr w:rsidR="00016609" w:rsidRPr="00456281" w14:paraId="7A554B07" w14:textId="77777777" w:rsidTr="00956744">
        <w:tc>
          <w:tcPr>
            <w:tcW w:w="1666" w:type="pct"/>
          </w:tcPr>
          <w:p w14:paraId="6C2CF641" w14:textId="77777777" w:rsidR="00016609" w:rsidRPr="00456281" w:rsidRDefault="00016609" w:rsidP="004D10D6">
            <w:pPr>
              <w:pStyle w:val="TableText0"/>
              <w:keepLines/>
            </w:pPr>
            <w:r w:rsidRPr="00456281">
              <w:t>Censored, n (%)</w:t>
            </w:r>
          </w:p>
        </w:tc>
        <w:tc>
          <w:tcPr>
            <w:tcW w:w="1666" w:type="pct"/>
          </w:tcPr>
          <w:p w14:paraId="13F01A52" w14:textId="77777777" w:rsidR="00016609" w:rsidRPr="00456281" w:rsidRDefault="00016609" w:rsidP="004D10D6">
            <w:pPr>
              <w:pStyle w:val="TableText0"/>
              <w:keepLines/>
              <w:jc w:val="center"/>
            </w:pPr>
            <w:r w:rsidRPr="00456281">
              <w:t>124 (32.4)</w:t>
            </w:r>
          </w:p>
        </w:tc>
        <w:tc>
          <w:tcPr>
            <w:tcW w:w="1668" w:type="pct"/>
          </w:tcPr>
          <w:p w14:paraId="7D2E7541" w14:textId="77777777" w:rsidR="00016609" w:rsidRPr="00456281" w:rsidRDefault="00016609" w:rsidP="004D10D6">
            <w:pPr>
              <w:pStyle w:val="TableText0"/>
              <w:keepLines/>
              <w:jc w:val="center"/>
            </w:pPr>
            <w:r w:rsidRPr="00456281">
              <w:t>102 (26.4)</w:t>
            </w:r>
          </w:p>
        </w:tc>
      </w:tr>
      <w:tr w:rsidR="00016609" w:rsidRPr="00456281" w14:paraId="541AD9EB" w14:textId="77777777" w:rsidTr="00956744">
        <w:tc>
          <w:tcPr>
            <w:tcW w:w="1666" w:type="pct"/>
          </w:tcPr>
          <w:p w14:paraId="352C34AB" w14:textId="77777777" w:rsidR="00016609" w:rsidRPr="00456281" w:rsidRDefault="00016609" w:rsidP="004D10D6">
            <w:pPr>
              <w:pStyle w:val="TableText0"/>
              <w:keepLines/>
            </w:pPr>
            <w:r w:rsidRPr="00456281">
              <w:t>Event free probability, n, % (95% CI)</w:t>
            </w:r>
          </w:p>
        </w:tc>
        <w:tc>
          <w:tcPr>
            <w:tcW w:w="1666" w:type="pct"/>
          </w:tcPr>
          <w:p w14:paraId="7BED57F6" w14:textId="77777777" w:rsidR="00016609" w:rsidRPr="00456281" w:rsidRDefault="00016609" w:rsidP="004D10D6">
            <w:pPr>
              <w:pStyle w:val="TableText0"/>
              <w:keepLines/>
              <w:jc w:val="center"/>
            </w:pPr>
          </w:p>
        </w:tc>
        <w:tc>
          <w:tcPr>
            <w:tcW w:w="1668" w:type="pct"/>
          </w:tcPr>
          <w:p w14:paraId="5B548262" w14:textId="77777777" w:rsidR="00016609" w:rsidRPr="00456281" w:rsidRDefault="00016609" w:rsidP="004D10D6">
            <w:pPr>
              <w:pStyle w:val="TableText0"/>
              <w:keepLines/>
              <w:jc w:val="center"/>
            </w:pPr>
          </w:p>
        </w:tc>
      </w:tr>
      <w:tr w:rsidR="00016609" w:rsidRPr="00456281" w14:paraId="11ECB7A7" w14:textId="77777777" w:rsidTr="00956744">
        <w:tc>
          <w:tcPr>
            <w:tcW w:w="1666" w:type="pct"/>
          </w:tcPr>
          <w:p w14:paraId="2526F0ED" w14:textId="77777777" w:rsidR="00016609" w:rsidRPr="00456281" w:rsidRDefault="00016609" w:rsidP="004D10D6">
            <w:pPr>
              <w:pStyle w:val="TableText0"/>
              <w:keepLines/>
            </w:pPr>
            <w:r w:rsidRPr="00456281">
              <w:tab/>
              <w:t>3 months</w:t>
            </w:r>
          </w:p>
        </w:tc>
        <w:tc>
          <w:tcPr>
            <w:tcW w:w="1666" w:type="pct"/>
          </w:tcPr>
          <w:p w14:paraId="61F584CB" w14:textId="77777777" w:rsidR="00016609" w:rsidRPr="00D64F71" w:rsidRDefault="00016609" w:rsidP="004D10D6">
            <w:pPr>
              <w:pStyle w:val="TableText0"/>
              <w:keepLines/>
              <w:jc w:val="center"/>
              <w:rPr>
                <w:highlight w:val="yellow"/>
              </w:rPr>
            </w:pPr>
            <w:r w:rsidRPr="009A3AE9">
              <w:t>319, 84.2 (80.2, 87.5)</w:t>
            </w:r>
          </w:p>
        </w:tc>
        <w:tc>
          <w:tcPr>
            <w:tcW w:w="1668" w:type="pct"/>
          </w:tcPr>
          <w:p w14:paraId="22F451A4" w14:textId="77777777" w:rsidR="00016609" w:rsidRPr="00D64F71" w:rsidRDefault="00016609" w:rsidP="004D10D6">
            <w:pPr>
              <w:pStyle w:val="TableText0"/>
              <w:keepLines/>
              <w:jc w:val="center"/>
              <w:rPr>
                <w:highlight w:val="yellow"/>
              </w:rPr>
            </w:pPr>
            <w:r w:rsidRPr="009A3AE9">
              <w:t>315, 82.5 (78.3, 86.0)</w:t>
            </w:r>
          </w:p>
        </w:tc>
      </w:tr>
      <w:tr w:rsidR="00016609" w:rsidRPr="00456281" w14:paraId="15ED51D8" w14:textId="77777777" w:rsidTr="00956744">
        <w:tc>
          <w:tcPr>
            <w:tcW w:w="1666" w:type="pct"/>
          </w:tcPr>
          <w:p w14:paraId="414E488D" w14:textId="77777777" w:rsidR="00016609" w:rsidRPr="00456281" w:rsidRDefault="00016609" w:rsidP="004D10D6">
            <w:pPr>
              <w:pStyle w:val="TableText0"/>
              <w:keepLines/>
            </w:pPr>
            <w:r w:rsidRPr="00456281">
              <w:tab/>
              <w:t>6 months</w:t>
            </w:r>
          </w:p>
        </w:tc>
        <w:tc>
          <w:tcPr>
            <w:tcW w:w="1666" w:type="pct"/>
          </w:tcPr>
          <w:p w14:paraId="73421C9D" w14:textId="77777777" w:rsidR="00016609" w:rsidRPr="00594578" w:rsidRDefault="00016609" w:rsidP="004D10D6">
            <w:pPr>
              <w:pStyle w:val="TableText0"/>
              <w:keepLines/>
              <w:jc w:val="center"/>
            </w:pPr>
            <w:r w:rsidRPr="00594578">
              <w:t>274, 72.4 (67.6, 76.6)</w:t>
            </w:r>
          </w:p>
        </w:tc>
        <w:tc>
          <w:tcPr>
            <w:tcW w:w="1668" w:type="pct"/>
          </w:tcPr>
          <w:p w14:paraId="4A50B99B" w14:textId="77777777" w:rsidR="00016609" w:rsidRPr="00594578" w:rsidRDefault="00016609" w:rsidP="004D10D6">
            <w:pPr>
              <w:pStyle w:val="TableText0"/>
              <w:keepLines/>
              <w:jc w:val="center"/>
            </w:pPr>
            <w:r w:rsidRPr="00594578">
              <w:t>261, 68.4 (63.5, 72.8)</w:t>
            </w:r>
          </w:p>
        </w:tc>
      </w:tr>
      <w:tr w:rsidR="00016609" w:rsidRPr="00456281" w14:paraId="481CE786" w14:textId="77777777" w:rsidTr="00956744">
        <w:tc>
          <w:tcPr>
            <w:tcW w:w="1666" w:type="pct"/>
          </w:tcPr>
          <w:p w14:paraId="4C697979" w14:textId="77777777" w:rsidR="00016609" w:rsidRPr="00456281" w:rsidRDefault="00016609" w:rsidP="004D10D6">
            <w:pPr>
              <w:pStyle w:val="TableText0"/>
              <w:keepLines/>
            </w:pPr>
            <w:r w:rsidRPr="00456281">
              <w:tab/>
              <w:t>9 months</w:t>
            </w:r>
          </w:p>
        </w:tc>
        <w:tc>
          <w:tcPr>
            <w:tcW w:w="1666" w:type="pct"/>
          </w:tcPr>
          <w:p w14:paraId="05660508" w14:textId="77777777" w:rsidR="00016609" w:rsidRPr="00D64F71" w:rsidRDefault="00016609" w:rsidP="004D10D6">
            <w:pPr>
              <w:pStyle w:val="TableText0"/>
              <w:keepLines/>
              <w:jc w:val="center"/>
              <w:rPr>
                <w:highlight w:val="yellow"/>
              </w:rPr>
            </w:pPr>
            <w:r w:rsidRPr="009A3AE9">
              <w:t>220, 58.1 (53.0, 62.9)</w:t>
            </w:r>
          </w:p>
        </w:tc>
        <w:tc>
          <w:tcPr>
            <w:tcW w:w="1668" w:type="pct"/>
          </w:tcPr>
          <w:p w14:paraId="35DBB0DD" w14:textId="77777777" w:rsidR="00016609" w:rsidRPr="00D64F71" w:rsidRDefault="00016609" w:rsidP="004D10D6">
            <w:pPr>
              <w:pStyle w:val="TableText0"/>
              <w:keepLines/>
              <w:jc w:val="center"/>
              <w:rPr>
                <w:highlight w:val="yellow"/>
              </w:rPr>
            </w:pPr>
            <w:r w:rsidRPr="009A3AE9">
              <w:t>196, 51.8 (46.7, 56.7)</w:t>
            </w:r>
          </w:p>
        </w:tc>
      </w:tr>
      <w:tr w:rsidR="00016609" w:rsidRPr="00456281" w14:paraId="004BF5E0" w14:textId="77777777" w:rsidTr="00956744">
        <w:tc>
          <w:tcPr>
            <w:tcW w:w="1666" w:type="pct"/>
          </w:tcPr>
          <w:p w14:paraId="17EAE656" w14:textId="77777777" w:rsidR="00016609" w:rsidRPr="00456281" w:rsidRDefault="00016609" w:rsidP="004D10D6">
            <w:pPr>
              <w:pStyle w:val="TableText0"/>
              <w:keepLines/>
            </w:pPr>
            <w:r w:rsidRPr="00456281">
              <w:tab/>
              <w:t>12 months</w:t>
            </w:r>
          </w:p>
        </w:tc>
        <w:tc>
          <w:tcPr>
            <w:tcW w:w="1666" w:type="pct"/>
          </w:tcPr>
          <w:p w14:paraId="29931EE0" w14:textId="77777777" w:rsidR="00016609" w:rsidRPr="00594578" w:rsidRDefault="00016609" w:rsidP="004D10D6">
            <w:pPr>
              <w:pStyle w:val="TableText0"/>
              <w:keepLines/>
              <w:jc w:val="center"/>
            </w:pPr>
            <w:r w:rsidRPr="00594578">
              <w:t>162, 45.6 (40.5, 50.5)</w:t>
            </w:r>
          </w:p>
        </w:tc>
        <w:tc>
          <w:tcPr>
            <w:tcW w:w="1668" w:type="pct"/>
          </w:tcPr>
          <w:p w14:paraId="0C14429B" w14:textId="77777777" w:rsidR="00016609" w:rsidRPr="00594578" w:rsidRDefault="00016609" w:rsidP="004D10D6">
            <w:pPr>
              <w:pStyle w:val="TableText0"/>
              <w:keepLines/>
              <w:jc w:val="center"/>
            </w:pPr>
            <w:r w:rsidRPr="00594578">
              <w:t>140, 39.5 (34.6, 44.4)</w:t>
            </w:r>
          </w:p>
        </w:tc>
      </w:tr>
      <w:tr w:rsidR="00016609" w:rsidRPr="00456281" w14:paraId="7E775947" w14:textId="77777777" w:rsidTr="00956744">
        <w:tc>
          <w:tcPr>
            <w:tcW w:w="1666" w:type="pct"/>
          </w:tcPr>
          <w:p w14:paraId="7D244360" w14:textId="77777777" w:rsidR="00016609" w:rsidRPr="00456281" w:rsidRDefault="00016609" w:rsidP="004D10D6">
            <w:pPr>
              <w:pStyle w:val="TableText0"/>
              <w:keepLines/>
            </w:pPr>
            <w:r w:rsidRPr="00456281">
              <w:tab/>
              <w:t>18 months</w:t>
            </w:r>
          </w:p>
        </w:tc>
        <w:tc>
          <w:tcPr>
            <w:tcW w:w="1666" w:type="pct"/>
          </w:tcPr>
          <w:p w14:paraId="7339B222" w14:textId="77777777" w:rsidR="00016609" w:rsidRPr="00594578" w:rsidRDefault="00016609" w:rsidP="004D10D6">
            <w:pPr>
              <w:pStyle w:val="TableText0"/>
              <w:keepLines/>
              <w:jc w:val="center"/>
            </w:pPr>
            <w:r w:rsidRPr="00594578">
              <w:t>32, 26.2 (20.9, 31.7)</w:t>
            </w:r>
          </w:p>
        </w:tc>
        <w:tc>
          <w:tcPr>
            <w:tcW w:w="1668" w:type="pct"/>
          </w:tcPr>
          <w:p w14:paraId="0773BF1C" w14:textId="77777777" w:rsidR="00016609" w:rsidRPr="00594578" w:rsidRDefault="00016609" w:rsidP="004D10D6">
            <w:pPr>
              <w:pStyle w:val="TableText0"/>
              <w:keepLines/>
              <w:jc w:val="center"/>
            </w:pPr>
            <w:r w:rsidRPr="00594578">
              <w:t>28, 19.3 (14.8, 24.2)</w:t>
            </w:r>
          </w:p>
        </w:tc>
      </w:tr>
      <w:tr w:rsidR="00016609" w:rsidRPr="00456281" w14:paraId="152C2C24" w14:textId="77777777" w:rsidTr="00956744">
        <w:tc>
          <w:tcPr>
            <w:tcW w:w="1666" w:type="pct"/>
          </w:tcPr>
          <w:p w14:paraId="43A8FD44" w14:textId="77777777" w:rsidR="00016609" w:rsidRPr="00456281" w:rsidRDefault="00016609" w:rsidP="004D10D6">
            <w:pPr>
              <w:pStyle w:val="TableText0"/>
              <w:keepLines/>
            </w:pPr>
            <w:r w:rsidRPr="00456281">
              <w:t>Median (95% CI), months</w:t>
            </w:r>
          </w:p>
        </w:tc>
        <w:tc>
          <w:tcPr>
            <w:tcW w:w="1666" w:type="pct"/>
          </w:tcPr>
          <w:p w14:paraId="4508F8F0" w14:textId="77777777" w:rsidR="00016609" w:rsidRPr="00594578" w:rsidRDefault="00016609" w:rsidP="004D10D6">
            <w:pPr>
              <w:pStyle w:val="TableText0"/>
              <w:keepLines/>
              <w:jc w:val="center"/>
            </w:pPr>
            <w:r w:rsidRPr="00594578">
              <w:t>11.1 (10.0, 12.1)</w:t>
            </w:r>
          </w:p>
        </w:tc>
        <w:tc>
          <w:tcPr>
            <w:tcW w:w="1668" w:type="pct"/>
          </w:tcPr>
          <w:p w14:paraId="0442E3DC" w14:textId="77777777" w:rsidR="00016609" w:rsidRPr="00594578" w:rsidRDefault="00016609" w:rsidP="004D10D6">
            <w:pPr>
              <w:pStyle w:val="TableText0"/>
              <w:keepLines/>
              <w:jc w:val="center"/>
            </w:pPr>
            <w:r w:rsidRPr="00594578">
              <w:t>9.2 (8.3, 10.6)</w:t>
            </w:r>
          </w:p>
        </w:tc>
      </w:tr>
      <w:tr w:rsidR="00016609" w:rsidRPr="00456281" w14:paraId="09BC51F5" w14:textId="77777777" w:rsidTr="00956744">
        <w:tc>
          <w:tcPr>
            <w:tcW w:w="1666" w:type="pct"/>
          </w:tcPr>
          <w:p w14:paraId="5AA623EA" w14:textId="77777777" w:rsidR="00016609" w:rsidRPr="00456281" w:rsidRDefault="00016609" w:rsidP="004D10D6">
            <w:pPr>
              <w:pStyle w:val="TableText0"/>
              <w:keepLines/>
            </w:pPr>
            <w:r w:rsidRPr="00456281">
              <w:t>Stratified HR (95% CI; p-value)</w:t>
            </w:r>
          </w:p>
        </w:tc>
        <w:tc>
          <w:tcPr>
            <w:tcW w:w="3334" w:type="pct"/>
            <w:gridSpan w:val="2"/>
          </w:tcPr>
          <w:p w14:paraId="32BCA2BF" w14:textId="77777777" w:rsidR="00016609" w:rsidRPr="00594578" w:rsidRDefault="00016609" w:rsidP="004D10D6">
            <w:pPr>
              <w:pStyle w:val="TableText0"/>
              <w:keepLines/>
              <w:jc w:val="center"/>
              <w:rPr>
                <w:b/>
                <w:bCs w:val="0"/>
              </w:rPr>
            </w:pPr>
            <w:r w:rsidRPr="00594578">
              <w:rPr>
                <w:b/>
                <w:bCs w:val="0"/>
              </w:rPr>
              <w:t>0.83 (0.70, 0.99; p=0.04)</w:t>
            </w:r>
          </w:p>
        </w:tc>
      </w:tr>
      <w:tr w:rsidR="00016609" w:rsidRPr="00456281" w14:paraId="409CD849" w14:textId="77777777" w:rsidTr="00956744">
        <w:tc>
          <w:tcPr>
            <w:tcW w:w="1666" w:type="pct"/>
          </w:tcPr>
          <w:p w14:paraId="18A0CBF2" w14:textId="77777777" w:rsidR="00016609" w:rsidRPr="00456281" w:rsidRDefault="00016609" w:rsidP="004D10D6">
            <w:pPr>
              <w:pStyle w:val="TableText0"/>
              <w:keepLines/>
            </w:pPr>
            <w:r w:rsidRPr="00456281">
              <w:t>Unstratified HR (95% CI; p-value)</w:t>
            </w:r>
          </w:p>
        </w:tc>
        <w:tc>
          <w:tcPr>
            <w:tcW w:w="3334" w:type="pct"/>
            <w:gridSpan w:val="2"/>
          </w:tcPr>
          <w:p w14:paraId="6BBCAF45" w14:textId="77777777" w:rsidR="00016609" w:rsidRPr="00594578" w:rsidRDefault="00016609" w:rsidP="004D10D6">
            <w:pPr>
              <w:pStyle w:val="TableText0"/>
              <w:keepLines/>
              <w:jc w:val="center"/>
              <w:rPr>
                <w:b/>
                <w:bCs w:val="0"/>
              </w:rPr>
            </w:pPr>
            <w:r w:rsidRPr="009A3AE9">
              <w:rPr>
                <w:b/>
                <w:bCs w:val="0"/>
              </w:rPr>
              <w:t>0.84 (0.71, 0.99; p=0.04)</w:t>
            </w:r>
          </w:p>
        </w:tc>
      </w:tr>
      <w:tr w:rsidR="00016609" w:rsidRPr="00456281" w14:paraId="2A78082A" w14:textId="77777777" w:rsidTr="00956744">
        <w:tc>
          <w:tcPr>
            <w:tcW w:w="5000" w:type="pct"/>
            <w:gridSpan w:val="3"/>
            <w:shd w:val="clear" w:color="auto" w:fill="auto"/>
          </w:tcPr>
          <w:p w14:paraId="5C2249DA" w14:textId="77777777" w:rsidR="00016609" w:rsidRPr="00594578" w:rsidRDefault="00016609" w:rsidP="004D10D6">
            <w:pPr>
              <w:pStyle w:val="In-tableHeading"/>
              <w:keepLines/>
              <w:rPr>
                <w:lang w:val="en-AU"/>
              </w:rPr>
            </w:pPr>
            <w:r w:rsidRPr="00594578">
              <w:rPr>
                <w:lang w:val="en-AU"/>
              </w:rPr>
              <w:t>PFS</w:t>
            </w:r>
          </w:p>
        </w:tc>
      </w:tr>
      <w:tr w:rsidR="00016609" w:rsidRPr="00456281" w14:paraId="104916D3" w14:textId="77777777" w:rsidTr="00956744">
        <w:tc>
          <w:tcPr>
            <w:tcW w:w="1666" w:type="pct"/>
          </w:tcPr>
          <w:p w14:paraId="59DDF02C" w14:textId="77777777" w:rsidR="00016609" w:rsidRPr="00456281" w:rsidRDefault="00016609" w:rsidP="004D10D6">
            <w:pPr>
              <w:pStyle w:val="TableText0"/>
              <w:keepLines/>
            </w:pPr>
            <w:r w:rsidRPr="00456281">
              <w:t>Patients with PFS Event, n (%)</w:t>
            </w:r>
          </w:p>
        </w:tc>
        <w:tc>
          <w:tcPr>
            <w:tcW w:w="1666" w:type="pct"/>
          </w:tcPr>
          <w:p w14:paraId="3253BBAD" w14:textId="77777777" w:rsidR="00016609" w:rsidRPr="00594578" w:rsidRDefault="00016609" w:rsidP="004D10D6">
            <w:pPr>
              <w:pStyle w:val="TableText0"/>
              <w:keepLines/>
              <w:jc w:val="center"/>
            </w:pPr>
            <w:r w:rsidRPr="00594578">
              <w:t>249 (65.0)</w:t>
            </w:r>
          </w:p>
        </w:tc>
        <w:tc>
          <w:tcPr>
            <w:tcW w:w="1668" w:type="pct"/>
          </w:tcPr>
          <w:p w14:paraId="5153A0B5" w14:textId="77777777" w:rsidR="00016609" w:rsidRPr="00594578" w:rsidRDefault="00016609" w:rsidP="004D10D6">
            <w:pPr>
              <w:pStyle w:val="TableText0"/>
              <w:keepLines/>
              <w:jc w:val="center"/>
            </w:pPr>
            <w:r w:rsidRPr="00594578">
              <w:t>259 (66.9)</w:t>
            </w:r>
          </w:p>
        </w:tc>
      </w:tr>
      <w:tr w:rsidR="00016609" w:rsidRPr="00456281" w14:paraId="1F0F3B24" w14:textId="77777777" w:rsidTr="00956744">
        <w:tc>
          <w:tcPr>
            <w:tcW w:w="1666" w:type="pct"/>
          </w:tcPr>
          <w:p w14:paraId="5EFD52AD" w14:textId="77777777" w:rsidR="00016609" w:rsidRPr="00456281" w:rsidRDefault="00016609" w:rsidP="004D10D6">
            <w:pPr>
              <w:pStyle w:val="TableText0"/>
              <w:keepLines/>
            </w:pPr>
            <w:r w:rsidRPr="00456281">
              <w:tab/>
              <w:t>PD</w:t>
            </w:r>
          </w:p>
        </w:tc>
        <w:tc>
          <w:tcPr>
            <w:tcW w:w="1666" w:type="pct"/>
          </w:tcPr>
          <w:p w14:paraId="37598F44" w14:textId="77777777" w:rsidR="00016609" w:rsidRPr="00594578" w:rsidRDefault="00016609" w:rsidP="004D10D6">
            <w:pPr>
              <w:pStyle w:val="TableText0"/>
              <w:keepLines/>
              <w:jc w:val="center"/>
            </w:pPr>
            <w:r w:rsidRPr="00594578">
              <w:t>183 (47.8)</w:t>
            </w:r>
          </w:p>
        </w:tc>
        <w:tc>
          <w:tcPr>
            <w:tcW w:w="1668" w:type="pct"/>
          </w:tcPr>
          <w:p w14:paraId="01D9E412" w14:textId="77777777" w:rsidR="00016609" w:rsidRPr="00594578" w:rsidRDefault="00016609" w:rsidP="004D10D6">
            <w:pPr>
              <w:pStyle w:val="TableText0"/>
              <w:keepLines/>
              <w:jc w:val="center"/>
            </w:pPr>
            <w:r w:rsidRPr="00594578">
              <w:t>176 (45.5)</w:t>
            </w:r>
          </w:p>
        </w:tc>
      </w:tr>
      <w:tr w:rsidR="00016609" w:rsidRPr="00456281" w14:paraId="6077E2EE" w14:textId="77777777" w:rsidTr="00956744">
        <w:tc>
          <w:tcPr>
            <w:tcW w:w="1666" w:type="pct"/>
          </w:tcPr>
          <w:p w14:paraId="265C9B30" w14:textId="77777777" w:rsidR="00016609" w:rsidRPr="00456281" w:rsidRDefault="00016609" w:rsidP="004D10D6">
            <w:pPr>
              <w:pStyle w:val="TableText0"/>
              <w:keepLines/>
            </w:pPr>
            <w:r w:rsidRPr="00456281">
              <w:tab/>
              <w:t>Death</w:t>
            </w:r>
          </w:p>
        </w:tc>
        <w:tc>
          <w:tcPr>
            <w:tcW w:w="1666" w:type="pct"/>
          </w:tcPr>
          <w:p w14:paraId="49BA5961" w14:textId="77777777" w:rsidR="00016609" w:rsidRPr="00594578" w:rsidRDefault="00016609" w:rsidP="004D10D6">
            <w:pPr>
              <w:pStyle w:val="TableText0"/>
              <w:keepLines/>
              <w:jc w:val="center"/>
            </w:pPr>
            <w:r w:rsidRPr="00594578">
              <w:t>66 (17.2)</w:t>
            </w:r>
          </w:p>
        </w:tc>
        <w:tc>
          <w:tcPr>
            <w:tcW w:w="1668" w:type="pct"/>
          </w:tcPr>
          <w:p w14:paraId="0D03A905" w14:textId="77777777" w:rsidR="00016609" w:rsidRPr="00594578" w:rsidRDefault="00016609" w:rsidP="004D10D6">
            <w:pPr>
              <w:pStyle w:val="TableText0"/>
              <w:keepLines/>
              <w:jc w:val="center"/>
            </w:pPr>
            <w:r w:rsidRPr="00594578">
              <w:t>83 (21.4)</w:t>
            </w:r>
          </w:p>
        </w:tc>
      </w:tr>
      <w:tr w:rsidR="00016609" w:rsidRPr="00456281" w14:paraId="7E4C6731" w14:textId="77777777" w:rsidTr="00956744">
        <w:tc>
          <w:tcPr>
            <w:tcW w:w="1666" w:type="pct"/>
          </w:tcPr>
          <w:p w14:paraId="7249B48D" w14:textId="77777777" w:rsidR="00016609" w:rsidRPr="00456281" w:rsidRDefault="00016609" w:rsidP="004D10D6">
            <w:pPr>
              <w:pStyle w:val="TableText0"/>
              <w:keepLines/>
            </w:pPr>
            <w:r w:rsidRPr="00456281">
              <w:t>Censored, n (%)</w:t>
            </w:r>
          </w:p>
        </w:tc>
        <w:tc>
          <w:tcPr>
            <w:tcW w:w="1666" w:type="pct"/>
          </w:tcPr>
          <w:p w14:paraId="10A07B3D" w14:textId="77777777" w:rsidR="00016609" w:rsidRPr="00594578" w:rsidRDefault="00016609" w:rsidP="004D10D6">
            <w:pPr>
              <w:pStyle w:val="TableText0"/>
              <w:keepLines/>
              <w:jc w:val="center"/>
            </w:pPr>
            <w:r w:rsidRPr="00594578">
              <w:t>134 (35.0)</w:t>
            </w:r>
          </w:p>
        </w:tc>
        <w:tc>
          <w:tcPr>
            <w:tcW w:w="1668" w:type="pct"/>
          </w:tcPr>
          <w:p w14:paraId="77A489EE" w14:textId="77777777" w:rsidR="00016609" w:rsidRPr="00594578" w:rsidRDefault="00016609" w:rsidP="004D10D6">
            <w:pPr>
              <w:pStyle w:val="TableText0"/>
              <w:keepLines/>
              <w:jc w:val="center"/>
            </w:pPr>
            <w:r w:rsidRPr="00594578">
              <w:t>128 (33.1)</w:t>
            </w:r>
          </w:p>
        </w:tc>
      </w:tr>
      <w:tr w:rsidR="00016609" w:rsidRPr="00456281" w14:paraId="3FC8D816" w14:textId="77777777" w:rsidTr="00956744">
        <w:tc>
          <w:tcPr>
            <w:tcW w:w="1666" w:type="pct"/>
          </w:tcPr>
          <w:p w14:paraId="541FCD31" w14:textId="77777777" w:rsidR="00016609" w:rsidRPr="00456281" w:rsidRDefault="00016609" w:rsidP="004D10D6">
            <w:pPr>
              <w:pStyle w:val="TableText0"/>
              <w:keepLines/>
            </w:pPr>
            <w:r w:rsidRPr="00456281">
              <w:t>Event free probability, n, % (95% CI)</w:t>
            </w:r>
          </w:p>
        </w:tc>
        <w:tc>
          <w:tcPr>
            <w:tcW w:w="1666" w:type="pct"/>
          </w:tcPr>
          <w:p w14:paraId="630FBD85" w14:textId="77777777" w:rsidR="00016609" w:rsidRPr="00594578" w:rsidRDefault="00016609" w:rsidP="004D10D6">
            <w:pPr>
              <w:pStyle w:val="TableText0"/>
              <w:keepLines/>
              <w:jc w:val="center"/>
            </w:pPr>
          </w:p>
        </w:tc>
        <w:tc>
          <w:tcPr>
            <w:tcW w:w="1668" w:type="pct"/>
          </w:tcPr>
          <w:p w14:paraId="6DE686A8" w14:textId="77777777" w:rsidR="00016609" w:rsidRPr="00594578" w:rsidRDefault="00016609" w:rsidP="004D10D6">
            <w:pPr>
              <w:pStyle w:val="TableText0"/>
              <w:keepLines/>
              <w:jc w:val="center"/>
            </w:pPr>
          </w:p>
        </w:tc>
      </w:tr>
      <w:tr w:rsidR="00016609" w:rsidRPr="00456281" w14:paraId="15ED6964" w14:textId="77777777" w:rsidTr="00956744">
        <w:tc>
          <w:tcPr>
            <w:tcW w:w="1666" w:type="pct"/>
          </w:tcPr>
          <w:p w14:paraId="1716A3FA" w14:textId="77777777" w:rsidR="00016609" w:rsidRPr="00456281" w:rsidRDefault="00016609" w:rsidP="004D10D6">
            <w:pPr>
              <w:pStyle w:val="TableText0"/>
              <w:keepLines/>
            </w:pPr>
            <w:r w:rsidRPr="00456281">
              <w:tab/>
              <w:t>3 months</w:t>
            </w:r>
          </w:p>
        </w:tc>
        <w:tc>
          <w:tcPr>
            <w:tcW w:w="1666" w:type="pct"/>
          </w:tcPr>
          <w:p w14:paraId="5A9D7B72" w14:textId="77777777" w:rsidR="00016609" w:rsidRPr="00D64F71" w:rsidRDefault="00016609" w:rsidP="004D10D6">
            <w:pPr>
              <w:pStyle w:val="TableText0"/>
              <w:keepLines/>
              <w:jc w:val="center"/>
              <w:rPr>
                <w:highlight w:val="yellow"/>
              </w:rPr>
            </w:pPr>
            <w:r w:rsidRPr="009A3AE9">
              <w:t>248, 76.9 (72.1, 81.1)</w:t>
            </w:r>
          </w:p>
        </w:tc>
        <w:tc>
          <w:tcPr>
            <w:tcW w:w="1668" w:type="pct"/>
          </w:tcPr>
          <w:p w14:paraId="6695A525" w14:textId="77777777" w:rsidR="00016609" w:rsidRPr="00D64F71" w:rsidRDefault="00016609" w:rsidP="004D10D6">
            <w:pPr>
              <w:pStyle w:val="TableText0"/>
              <w:keepLines/>
              <w:jc w:val="center"/>
              <w:rPr>
                <w:highlight w:val="yellow"/>
              </w:rPr>
            </w:pPr>
            <w:r w:rsidRPr="009A3AE9">
              <w:t>240, 71.5 (66.5, 75.9)</w:t>
            </w:r>
          </w:p>
        </w:tc>
      </w:tr>
      <w:tr w:rsidR="00016609" w:rsidRPr="00456281" w14:paraId="4C053E93" w14:textId="77777777" w:rsidTr="00956744">
        <w:tc>
          <w:tcPr>
            <w:tcW w:w="1666" w:type="pct"/>
          </w:tcPr>
          <w:p w14:paraId="4FF0D8D9" w14:textId="77777777" w:rsidR="00016609" w:rsidRPr="00456281" w:rsidRDefault="00016609" w:rsidP="004D10D6">
            <w:pPr>
              <w:pStyle w:val="TableText0"/>
              <w:keepLines/>
            </w:pPr>
            <w:r w:rsidRPr="00456281">
              <w:tab/>
              <w:t>6 months</w:t>
            </w:r>
          </w:p>
        </w:tc>
        <w:tc>
          <w:tcPr>
            <w:tcW w:w="1666" w:type="pct"/>
          </w:tcPr>
          <w:p w14:paraId="65BBED86" w14:textId="77777777" w:rsidR="00016609" w:rsidRPr="00594578" w:rsidRDefault="00016609" w:rsidP="004D10D6">
            <w:pPr>
              <w:pStyle w:val="TableText0"/>
              <w:keepLines/>
              <w:jc w:val="center"/>
            </w:pPr>
            <w:r w:rsidRPr="00594578">
              <w:t>164, 56.4 (50.7, 61.6)</w:t>
            </w:r>
          </w:p>
        </w:tc>
        <w:tc>
          <w:tcPr>
            <w:tcW w:w="1668" w:type="pct"/>
          </w:tcPr>
          <w:p w14:paraId="75940EB5" w14:textId="77777777" w:rsidR="00016609" w:rsidRPr="00594578" w:rsidRDefault="00016609" w:rsidP="004D10D6">
            <w:pPr>
              <w:pStyle w:val="TableText0"/>
              <w:keepLines/>
              <w:jc w:val="center"/>
            </w:pPr>
            <w:r w:rsidRPr="00594578">
              <w:t>112, 43.2 (37.6, 48.6)</w:t>
            </w:r>
          </w:p>
        </w:tc>
      </w:tr>
      <w:tr w:rsidR="00016609" w:rsidRPr="00456281" w14:paraId="7B445D04" w14:textId="77777777" w:rsidTr="00956744">
        <w:tc>
          <w:tcPr>
            <w:tcW w:w="1666" w:type="pct"/>
          </w:tcPr>
          <w:p w14:paraId="003E5AF5" w14:textId="77777777" w:rsidR="00016609" w:rsidRPr="00456281" w:rsidRDefault="00016609" w:rsidP="004D10D6">
            <w:pPr>
              <w:pStyle w:val="TableText0"/>
              <w:keepLines/>
            </w:pPr>
            <w:r w:rsidRPr="00456281">
              <w:tab/>
              <w:t>9 months</w:t>
            </w:r>
          </w:p>
        </w:tc>
        <w:tc>
          <w:tcPr>
            <w:tcW w:w="1666" w:type="pct"/>
          </w:tcPr>
          <w:p w14:paraId="73341C67" w14:textId="77777777" w:rsidR="00016609" w:rsidRPr="00D64F71" w:rsidRDefault="00016609" w:rsidP="004D10D6">
            <w:pPr>
              <w:pStyle w:val="TableText0"/>
              <w:keepLines/>
              <w:jc w:val="center"/>
              <w:rPr>
                <w:highlight w:val="yellow"/>
              </w:rPr>
            </w:pPr>
            <w:r w:rsidRPr="009A3AE9">
              <w:t>113, 40.9 (35.3, 46.4)</w:t>
            </w:r>
          </w:p>
        </w:tc>
        <w:tc>
          <w:tcPr>
            <w:tcW w:w="1668" w:type="pct"/>
          </w:tcPr>
          <w:p w14:paraId="31328C7D" w14:textId="77777777" w:rsidR="00016609" w:rsidRPr="00D64F71" w:rsidRDefault="00016609" w:rsidP="004D10D6">
            <w:pPr>
              <w:pStyle w:val="TableText0"/>
              <w:keepLines/>
              <w:jc w:val="center"/>
              <w:rPr>
                <w:highlight w:val="yellow"/>
              </w:rPr>
            </w:pPr>
            <w:r w:rsidRPr="009A3AE9">
              <w:t>55, 24.9 (19.8, 30.2)</w:t>
            </w:r>
          </w:p>
        </w:tc>
      </w:tr>
      <w:tr w:rsidR="00016609" w:rsidRPr="00456281" w14:paraId="17225E52" w14:textId="77777777" w:rsidTr="00956744">
        <w:tc>
          <w:tcPr>
            <w:tcW w:w="1666" w:type="pct"/>
          </w:tcPr>
          <w:p w14:paraId="08B158D8" w14:textId="77777777" w:rsidR="00016609" w:rsidRPr="00456281" w:rsidRDefault="00016609" w:rsidP="004D10D6">
            <w:pPr>
              <w:pStyle w:val="TableText0"/>
              <w:keepLines/>
            </w:pPr>
            <w:r w:rsidRPr="00456281">
              <w:tab/>
              <w:t>12 months</w:t>
            </w:r>
          </w:p>
        </w:tc>
        <w:tc>
          <w:tcPr>
            <w:tcW w:w="1666" w:type="pct"/>
          </w:tcPr>
          <w:p w14:paraId="16AA09A6" w14:textId="77777777" w:rsidR="00016609" w:rsidRPr="00594578" w:rsidRDefault="00016609" w:rsidP="004D10D6">
            <w:pPr>
              <w:pStyle w:val="TableText0"/>
              <w:keepLines/>
              <w:jc w:val="center"/>
            </w:pPr>
            <w:r w:rsidRPr="00594578">
              <w:t>61, 27.4 (22.3, 32.7)</w:t>
            </w:r>
          </w:p>
        </w:tc>
        <w:tc>
          <w:tcPr>
            <w:tcW w:w="1668" w:type="pct"/>
          </w:tcPr>
          <w:p w14:paraId="1440DB1B" w14:textId="77777777" w:rsidR="00016609" w:rsidRPr="00594578" w:rsidRDefault="00016609" w:rsidP="004D10D6">
            <w:pPr>
              <w:pStyle w:val="TableText0"/>
              <w:keepLines/>
              <w:jc w:val="center"/>
            </w:pPr>
            <w:r w:rsidRPr="00594578">
              <w:t>19, 13.9 (9.7, 18.9)</w:t>
            </w:r>
          </w:p>
        </w:tc>
      </w:tr>
      <w:tr w:rsidR="00016609" w:rsidRPr="00456281" w14:paraId="20E9A043" w14:textId="77777777" w:rsidTr="00956744">
        <w:tc>
          <w:tcPr>
            <w:tcW w:w="1666" w:type="pct"/>
          </w:tcPr>
          <w:p w14:paraId="1C893C85" w14:textId="77777777" w:rsidR="00016609" w:rsidRPr="00456281" w:rsidRDefault="00016609" w:rsidP="004D10D6">
            <w:pPr>
              <w:pStyle w:val="TableText0"/>
              <w:keepLines/>
            </w:pPr>
            <w:r w:rsidRPr="00456281">
              <w:tab/>
              <w:t>18 months</w:t>
            </w:r>
          </w:p>
        </w:tc>
        <w:tc>
          <w:tcPr>
            <w:tcW w:w="1666" w:type="pct"/>
          </w:tcPr>
          <w:p w14:paraId="57E36DCA" w14:textId="77777777" w:rsidR="00016609" w:rsidRPr="00594578" w:rsidRDefault="00016609" w:rsidP="004D10D6">
            <w:pPr>
              <w:pStyle w:val="TableText0"/>
              <w:keepLines/>
              <w:jc w:val="center"/>
            </w:pPr>
            <w:r w:rsidRPr="00594578">
              <w:t>9, 11.4 (7.1, 16.9)</w:t>
            </w:r>
          </w:p>
        </w:tc>
        <w:tc>
          <w:tcPr>
            <w:tcW w:w="1668" w:type="pct"/>
          </w:tcPr>
          <w:p w14:paraId="4AF7D66B" w14:textId="77777777" w:rsidR="00016609" w:rsidRPr="00594578" w:rsidRDefault="00016609" w:rsidP="004D10D6">
            <w:pPr>
              <w:pStyle w:val="TableText0"/>
              <w:keepLines/>
              <w:jc w:val="center"/>
            </w:pPr>
            <w:r w:rsidRPr="00594578">
              <w:t>1, 3.6 (0.5, 12.3)</w:t>
            </w:r>
          </w:p>
        </w:tc>
      </w:tr>
      <w:tr w:rsidR="00016609" w:rsidRPr="00456281" w14:paraId="58B4B112" w14:textId="77777777" w:rsidTr="00956744">
        <w:tc>
          <w:tcPr>
            <w:tcW w:w="1666" w:type="pct"/>
          </w:tcPr>
          <w:p w14:paraId="3DB5F891" w14:textId="77777777" w:rsidR="00016609" w:rsidRPr="00456281" w:rsidRDefault="00016609" w:rsidP="004D10D6">
            <w:pPr>
              <w:pStyle w:val="TableText0"/>
              <w:keepLines/>
            </w:pPr>
            <w:r w:rsidRPr="00456281">
              <w:t>Median (95% CI), months</w:t>
            </w:r>
          </w:p>
        </w:tc>
        <w:tc>
          <w:tcPr>
            <w:tcW w:w="1666" w:type="pct"/>
          </w:tcPr>
          <w:p w14:paraId="090D9E6F" w14:textId="77777777" w:rsidR="00016609" w:rsidRPr="00594578" w:rsidRDefault="00016609" w:rsidP="004D10D6">
            <w:pPr>
              <w:pStyle w:val="TableText0"/>
              <w:keepLines/>
              <w:jc w:val="center"/>
            </w:pPr>
            <w:r w:rsidRPr="00594578">
              <w:t>7.4 (6.0, 7.7)</w:t>
            </w:r>
          </w:p>
        </w:tc>
        <w:tc>
          <w:tcPr>
            <w:tcW w:w="1668" w:type="pct"/>
          </w:tcPr>
          <w:p w14:paraId="6A83ADF0" w14:textId="77777777" w:rsidR="00016609" w:rsidRPr="00594578" w:rsidRDefault="00016609" w:rsidP="004D10D6">
            <w:pPr>
              <w:pStyle w:val="TableText0"/>
              <w:keepLines/>
              <w:jc w:val="center"/>
            </w:pPr>
            <w:r w:rsidRPr="00594578">
              <w:t>5.6 (5.3, 5.8)</w:t>
            </w:r>
          </w:p>
        </w:tc>
      </w:tr>
      <w:tr w:rsidR="00016609" w:rsidRPr="00456281" w14:paraId="645478CC" w14:textId="77777777" w:rsidTr="00956744">
        <w:tc>
          <w:tcPr>
            <w:tcW w:w="1666" w:type="pct"/>
          </w:tcPr>
          <w:p w14:paraId="26F9D40F" w14:textId="77777777" w:rsidR="00016609" w:rsidRPr="00456281" w:rsidRDefault="00016609" w:rsidP="004D10D6">
            <w:pPr>
              <w:pStyle w:val="TableText0"/>
              <w:keepLines/>
            </w:pPr>
            <w:r w:rsidRPr="00456281">
              <w:t>Stratified HR (95% CI; p-value)</w:t>
            </w:r>
          </w:p>
        </w:tc>
        <w:tc>
          <w:tcPr>
            <w:tcW w:w="3334" w:type="pct"/>
            <w:gridSpan w:val="2"/>
          </w:tcPr>
          <w:p w14:paraId="59491917" w14:textId="77777777" w:rsidR="00016609" w:rsidRPr="00594578" w:rsidRDefault="00016609" w:rsidP="004D10D6">
            <w:pPr>
              <w:pStyle w:val="TableText0"/>
              <w:keepLines/>
              <w:jc w:val="center"/>
              <w:rPr>
                <w:b/>
                <w:bCs w:val="0"/>
              </w:rPr>
            </w:pPr>
            <w:r w:rsidRPr="00594578">
              <w:rPr>
                <w:b/>
                <w:bCs w:val="0"/>
              </w:rPr>
              <w:t>0.69 (0.58, 0.83; p&lt;0.0001)</w:t>
            </w:r>
          </w:p>
        </w:tc>
      </w:tr>
      <w:tr w:rsidR="00016609" w:rsidRPr="00456281" w14:paraId="3ADEE173" w14:textId="77777777" w:rsidTr="00956744">
        <w:tc>
          <w:tcPr>
            <w:tcW w:w="1666" w:type="pct"/>
          </w:tcPr>
          <w:p w14:paraId="17AB041A" w14:textId="77777777" w:rsidR="00016609" w:rsidRPr="00456281" w:rsidRDefault="00016609" w:rsidP="004D10D6">
            <w:pPr>
              <w:pStyle w:val="TableText0"/>
              <w:keepLines/>
            </w:pPr>
            <w:r w:rsidRPr="00456281">
              <w:t>Unstratified HR (95% CI; p-value)</w:t>
            </w:r>
          </w:p>
        </w:tc>
        <w:tc>
          <w:tcPr>
            <w:tcW w:w="3334" w:type="pct"/>
            <w:gridSpan w:val="2"/>
          </w:tcPr>
          <w:p w14:paraId="16C912B2" w14:textId="77777777" w:rsidR="00016609" w:rsidRPr="00594578" w:rsidRDefault="00016609" w:rsidP="004D10D6">
            <w:pPr>
              <w:pStyle w:val="TableText0"/>
              <w:keepLines/>
              <w:jc w:val="center"/>
              <w:rPr>
                <w:b/>
                <w:bCs w:val="0"/>
              </w:rPr>
            </w:pPr>
            <w:r w:rsidRPr="009A3AE9">
              <w:rPr>
                <w:b/>
                <w:bCs w:val="0"/>
              </w:rPr>
              <w:t>0.69 (0.58, 0.83; p&lt;0.0001)</w:t>
            </w:r>
          </w:p>
        </w:tc>
      </w:tr>
      <w:tr w:rsidR="00016609" w:rsidRPr="00456281" w14:paraId="0EAAFBD3" w14:textId="77777777" w:rsidTr="00956744">
        <w:tc>
          <w:tcPr>
            <w:tcW w:w="5000" w:type="pct"/>
            <w:gridSpan w:val="3"/>
            <w:shd w:val="clear" w:color="auto" w:fill="auto"/>
          </w:tcPr>
          <w:p w14:paraId="137BC7C1" w14:textId="77777777" w:rsidR="00016609" w:rsidRPr="00456281" w:rsidRDefault="00016609" w:rsidP="004D10D6">
            <w:pPr>
              <w:pStyle w:val="In-tableHeading"/>
              <w:keepLines/>
              <w:rPr>
                <w:lang w:val="en-AU"/>
              </w:rPr>
            </w:pPr>
            <w:r w:rsidRPr="00456281">
              <w:rPr>
                <w:lang w:val="en-AU"/>
              </w:rPr>
              <w:t>ORR</w:t>
            </w:r>
          </w:p>
        </w:tc>
      </w:tr>
      <w:tr w:rsidR="00016609" w:rsidRPr="00456281" w14:paraId="192213D9" w14:textId="77777777" w:rsidTr="00956744">
        <w:tc>
          <w:tcPr>
            <w:tcW w:w="1666" w:type="pct"/>
          </w:tcPr>
          <w:p w14:paraId="508B96C8" w14:textId="77777777" w:rsidR="00016609" w:rsidRPr="00456281" w:rsidRDefault="00016609" w:rsidP="004D10D6">
            <w:pPr>
              <w:pStyle w:val="TableText0"/>
              <w:keepLines/>
            </w:pPr>
            <w:r w:rsidRPr="00456281">
              <w:t>BOR, n (%)</w:t>
            </w:r>
          </w:p>
        </w:tc>
        <w:tc>
          <w:tcPr>
            <w:tcW w:w="1666" w:type="pct"/>
          </w:tcPr>
          <w:p w14:paraId="16245B4A" w14:textId="77777777" w:rsidR="00016609" w:rsidRPr="00456281" w:rsidRDefault="00016609" w:rsidP="004D10D6">
            <w:pPr>
              <w:pStyle w:val="TableText0"/>
              <w:keepLines/>
              <w:jc w:val="center"/>
            </w:pPr>
          </w:p>
        </w:tc>
        <w:tc>
          <w:tcPr>
            <w:tcW w:w="1668" w:type="pct"/>
          </w:tcPr>
          <w:p w14:paraId="0BCED730" w14:textId="77777777" w:rsidR="00016609" w:rsidRPr="00456281" w:rsidRDefault="00016609" w:rsidP="004D10D6">
            <w:pPr>
              <w:pStyle w:val="TableText0"/>
              <w:keepLines/>
              <w:jc w:val="center"/>
            </w:pPr>
          </w:p>
        </w:tc>
      </w:tr>
      <w:tr w:rsidR="00016609" w:rsidRPr="00456281" w14:paraId="186D2AE4" w14:textId="77777777" w:rsidTr="00956744">
        <w:tc>
          <w:tcPr>
            <w:tcW w:w="1666" w:type="pct"/>
          </w:tcPr>
          <w:p w14:paraId="4B602347" w14:textId="77777777" w:rsidR="00016609" w:rsidRPr="00456281" w:rsidRDefault="00016609" w:rsidP="004D10D6">
            <w:pPr>
              <w:pStyle w:val="TableText0"/>
              <w:keepLines/>
            </w:pPr>
            <w:r w:rsidRPr="00456281">
              <w:tab/>
              <w:t>CR</w:t>
            </w:r>
          </w:p>
        </w:tc>
        <w:tc>
          <w:tcPr>
            <w:tcW w:w="1666" w:type="pct"/>
          </w:tcPr>
          <w:p w14:paraId="42364484" w14:textId="77777777" w:rsidR="00016609" w:rsidRPr="00456281" w:rsidRDefault="00016609" w:rsidP="004D10D6">
            <w:pPr>
              <w:pStyle w:val="TableText0"/>
              <w:keepLines/>
              <w:jc w:val="center"/>
            </w:pPr>
            <w:r w:rsidRPr="00456281">
              <w:t>1 (0.3)</w:t>
            </w:r>
          </w:p>
        </w:tc>
        <w:tc>
          <w:tcPr>
            <w:tcW w:w="1668" w:type="pct"/>
          </w:tcPr>
          <w:p w14:paraId="36EF611B" w14:textId="77777777" w:rsidR="00016609" w:rsidRPr="00456281" w:rsidRDefault="00016609" w:rsidP="004D10D6">
            <w:pPr>
              <w:pStyle w:val="TableText0"/>
              <w:keepLines/>
              <w:jc w:val="center"/>
            </w:pPr>
            <w:r w:rsidRPr="00456281">
              <w:t>1 (0.3)</w:t>
            </w:r>
          </w:p>
        </w:tc>
      </w:tr>
      <w:tr w:rsidR="00016609" w:rsidRPr="00456281" w14:paraId="0B3AECD0" w14:textId="77777777" w:rsidTr="00956744">
        <w:tc>
          <w:tcPr>
            <w:tcW w:w="1666" w:type="pct"/>
          </w:tcPr>
          <w:p w14:paraId="2F133DC1" w14:textId="77777777" w:rsidR="00016609" w:rsidRPr="00456281" w:rsidRDefault="00016609" w:rsidP="004D10D6">
            <w:pPr>
              <w:pStyle w:val="TableText0"/>
              <w:keepLines/>
            </w:pPr>
            <w:r w:rsidRPr="00456281">
              <w:tab/>
              <w:t>PR</w:t>
            </w:r>
          </w:p>
        </w:tc>
        <w:tc>
          <w:tcPr>
            <w:tcW w:w="1666" w:type="pct"/>
          </w:tcPr>
          <w:p w14:paraId="1034CF30" w14:textId="77777777" w:rsidR="00016609" w:rsidRPr="00456281" w:rsidRDefault="00016609" w:rsidP="004D10D6">
            <w:pPr>
              <w:pStyle w:val="TableText0"/>
              <w:keepLines/>
              <w:jc w:val="center"/>
            </w:pPr>
            <w:r w:rsidRPr="00456281">
              <w:t>159 (41.5)</w:t>
            </w:r>
          </w:p>
        </w:tc>
        <w:tc>
          <w:tcPr>
            <w:tcW w:w="1668" w:type="pct"/>
          </w:tcPr>
          <w:p w14:paraId="54FD0F25" w14:textId="77777777" w:rsidR="00016609" w:rsidRPr="00456281" w:rsidRDefault="00016609" w:rsidP="004D10D6">
            <w:pPr>
              <w:pStyle w:val="TableText0"/>
              <w:keepLines/>
              <w:jc w:val="center"/>
            </w:pPr>
            <w:r w:rsidRPr="00456281">
              <w:t>139 (35.9)</w:t>
            </w:r>
          </w:p>
        </w:tc>
      </w:tr>
      <w:tr w:rsidR="00016609" w:rsidRPr="00456281" w14:paraId="7D8D3C73" w14:textId="77777777" w:rsidTr="00956744">
        <w:tc>
          <w:tcPr>
            <w:tcW w:w="1666" w:type="pct"/>
          </w:tcPr>
          <w:p w14:paraId="6E9BB064" w14:textId="77777777" w:rsidR="00016609" w:rsidRPr="00456281" w:rsidRDefault="00016609" w:rsidP="004D10D6">
            <w:pPr>
              <w:pStyle w:val="TableText0"/>
              <w:keepLines/>
            </w:pPr>
            <w:r w:rsidRPr="00456281">
              <w:tab/>
              <w:t>SD</w:t>
            </w:r>
          </w:p>
        </w:tc>
        <w:tc>
          <w:tcPr>
            <w:tcW w:w="1666" w:type="pct"/>
          </w:tcPr>
          <w:p w14:paraId="65CADB72" w14:textId="77777777" w:rsidR="00016609" w:rsidRPr="00456281" w:rsidRDefault="00016609" w:rsidP="004D10D6">
            <w:pPr>
              <w:pStyle w:val="TableText0"/>
              <w:keepLines/>
              <w:jc w:val="center"/>
            </w:pPr>
            <w:r w:rsidRPr="00456281">
              <w:t>99 (25.8)</w:t>
            </w:r>
          </w:p>
        </w:tc>
        <w:tc>
          <w:tcPr>
            <w:tcW w:w="1668" w:type="pct"/>
          </w:tcPr>
          <w:p w14:paraId="32518CA4" w14:textId="77777777" w:rsidR="00016609" w:rsidRPr="00456281" w:rsidRDefault="00016609" w:rsidP="004D10D6">
            <w:pPr>
              <w:pStyle w:val="TableText0"/>
              <w:keepLines/>
              <w:jc w:val="center"/>
            </w:pPr>
            <w:r w:rsidRPr="00456281">
              <w:t>101 (26.1)</w:t>
            </w:r>
          </w:p>
        </w:tc>
      </w:tr>
      <w:tr w:rsidR="00016609" w:rsidRPr="00456281" w14:paraId="57AC2B1B" w14:textId="77777777" w:rsidTr="00956744">
        <w:tc>
          <w:tcPr>
            <w:tcW w:w="1666" w:type="pct"/>
          </w:tcPr>
          <w:p w14:paraId="2E5515EB" w14:textId="77777777" w:rsidR="00016609" w:rsidRPr="00456281" w:rsidRDefault="00016609" w:rsidP="004D10D6">
            <w:pPr>
              <w:pStyle w:val="TableText0"/>
              <w:keepLines/>
            </w:pPr>
            <w:r w:rsidRPr="00456281">
              <w:tab/>
              <w:t>PD</w:t>
            </w:r>
          </w:p>
        </w:tc>
        <w:tc>
          <w:tcPr>
            <w:tcW w:w="1666" w:type="pct"/>
          </w:tcPr>
          <w:p w14:paraId="1136A1E1" w14:textId="77777777" w:rsidR="00016609" w:rsidRPr="00456281" w:rsidRDefault="00016609" w:rsidP="004D10D6">
            <w:pPr>
              <w:pStyle w:val="TableText0"/>
              <w:keepLines/>
              <w:jc w:val="center"/>
            </w:pPr>
            <w:r w:rsidRPr="00456281">
              <w:t>38 (9.9)</w:t>
            </w:r>
          </w:p>
        </w:tc>
        <w:tc>
          <w:tcPr>
            <w:tcW w:w="1668" w:type="pct"/>
          </w:tcPr>
          <w:p w14:paraId="77ECEF7B" w14:textId="77777777" w:rsidR="00016609" w:rsidRPr="00456281" w:rsidRDefault="00016609" w:rsidP="004D10D6">
            <w:pPr>
              <w:pStyle w:val="TableText0"/>
              <w:keepLines/>
              <w:jc w:val="center"/>
            </w:pPr>
            <w:r w:rsidRPr="00456281">
              <w:t>56 (14.5)</w:t>
            </w:r>
          </w:p>
        </w:tc>
      </w:tr>
      <w:tr w:rsidR="00016609" w:rsidRPr="00456281" w14:paraId="1CA5150E" w14:textId="77777777" w:rsidTr="00956744">
        <w:tc>
          <w:tcPr>
            <w:tcW w:w="1666" w:type="pct"/>
          </w:tcPr>
          <w:p w14:paraId="02FE9A88" w14:textId="77777777" w:rsidR="00016609" w:rsidRPr="00456281" w:rsidRDefault="00016609" w:rsidP="004D10D6">
            <w:pPr>
              <w:pStyle w:val="TableText0"/>
              <w:keepLines/>
            </w:pPr>
            <w:r w:rsidRPr="00456281">
              <w:tab/>
              <w:t>NE</w:t>
            </w:r>
          </w:p>
        </w:tc>
        <w:tc>
          <w:tcPr>
            <w:tcW w:w="1666" w:type="pct"/>
          </w:tcPr>
          <w:p w14:paraId="7C7B0036" w14:textId="77777777" w:rsidR="00016609" w:rsidRPr="00456281" w:rsidRDefault="00016609" w:rsidP="004D10D6">
            <w:pPr>
              <w:pStyle w:val="TableText0"/>
              <w:keepLines/>
              <w:jc w:val="center"/>
            </w:pPr>
            <w:r w:rsidRPr="00456281">
              <w:t>86 (22.5)</w:t>
            </w:r>
          </w:p>
        </w:tc>
        <w:tc>
          <w:tcPr>
            <w:tcW w:w="1668" w:type="pct"/>
          </w:tcPr>
          <w:p w14:paraId="15C4094A" w14:textId="77777777" w:rsidR="00016609" w:rsidRPr="00456281" w:rsidRDefault="00016609" w:rsidP="004D10D6">
            <w:pPr>
              <w:pStyle w:val="TableText0"/>
              <w:keepLines/>
              <w:jc w:val="center"/>
            </w:pPr>
            <w:r w:rsidRPr="00456281">
              <w:t>90 (23.3)</w:t>
            </w:r>
          </w:p>
        </w:tc>
      </w:tr>
      <w:tr w:rsidR="00016609" w:rsidRPr="00456281" w14:paraId="1D83CCDA" w14:textId="77777777" w:rsidTr="00956744">
        <w:tc>
          <w:tcPr>
            <w:tcW w:w="1666" w:type="pct"/>
          </w:tcPr>
          <w:p w14:paraId="04258445" w14:textId="77777777" w:rsidR="00016609" w:rsidRPr="009C3CBE" w:rsidRDefault="00016609" w:rsidP="004D10D6">
            <w:pPr>
              <w:pStyle w:val="TableText0"/>
              <w:keepLines/>
              <w:rPr>
                <w:lang w:val="pt-PT"/>
              </w:rPr>
            </w:pPr>
            <w:r w:rsidRPr="009C3CBE">
              <w:rPr>
                <w:lang w:val="pt-PT"/>
              </w:rPr>
              <w:t>ORR (CR or PR), n (%)</w:t>
            </w:r>
          </w:p>
        </w:tc>
        <w:tc>
          <w:tcPr>
            <w:tcW w:w="1666" w:type="pct"/>
          </w:tcPr>
          <w:p w14:paraId="2E4FF7CD" w14:textId="77777777" w:rsidR="00016609" w:rsidRPr="00456281" w:rsidRDefault="00016609" w:rsidP="004D10D6">
            <w:pPr>
              <w:pStyle w:val="TableText0"/>
              <w:keepLines/>
              <w:jc w:val="center"/>
            </w:pPr>
            <w:r w:rsidRPr="00456281">
              <w:t>160 (41.8)</w:t>
            </w:r>
          </w:p>
        </w:tc>
        <w:tc>
          <w:tcPr>
            <w:tcW w:w="1668" w:type="pct"/>
          </w:tcPr>
          <w:p w14:paraId="4CE237CF" w14:textId="77777777" w:rsidR="00016609" w:rsidRPr="00456281" w:rsidRDefault="00016609" w:rsidP="004D10D6">
            <w:pPr>
              <w:pStyle w:val="TableText0"/>
              <w:keepLines/>
              <w:jc w:val="center"/>
            </w:pPr>
            <w:r w:rsidRPr="00456281">
              <w:t>140 (36.2)</w:t>
            </w:r>
          </w:p>
        </w:tc>
      </w:tr>
      <w:tr w:rsidR="00016609" w:rsidRPr="00456281" w14:paraId="6D5F45EB" w14:textId="77777777" w:rsidTr="00956744">
        <w:tc>
          <w:tcPr>
            <w:tcW w:w="1666" w:type="pct"/>
          </w:tcPr>
          <w:p w14:paraId="64569A10" w14:textId="77777777" w:rsidR="00016609" w:rsidRPr="00456281" w:rsidRDefault="00016609" w:rsidP="004D10D6">
            <w:pPr>
              <w:pStyle w:val="TableText0"/>
              <w:keepLines/>
            </w:pPr>
            <w:r w:rsidRPr="00456281">
              <w:tab/>
              <w:t xml:space="preserve">95% CI </w:t>
            </w:r>
          </w:p>
        </w:tc>
        <w:tc>
          <w:tcPr>
            <w:tcW w:w="1666" w:type="pct"/>
          </w:tcPr>
          <w:p w14:paraId="696153F7" w14:textId="77777777" w:rsidR="00016609" w:rsidRPr="00456281" w:rsidRDefault="00016609" w:rsidP="004D10D6">
            <w:pPr>
              <w:pStyle w:val="TableText0"/>
              <w:keepLines/>
              <w:jc w:val="center"/>
            </w:pPr>
            <w:r w:rsidRPr="00456281">
              <w:t>(36.8, 46.9)</w:t>
            </w:r>
          </w:p>
        </w:tc>
        <w:tc>
          <w:tcPr>
            <w:tcW w:w="1668" w:type="pct"/>
          </w:tcPr>
          <w:p w14:paraId="55DF2A1C" w14:textId="77777777" w:rsidR="00016609" w:rsidRPr="00456281" w:rsidRDefault="00016609" w:rsidP="004D10D6">
            <w:pPr>
              <w:pStyle w:val="TableText0"/>
              <w:keepLines/>
              <w:jc w:val="center"/>
            </w:pPr>
            <w:r w:rsidRPr="00456281">
              <w:t>(31.4, 41.2)</w:t>
            </w:r>
          </w:p>
        </w:tc>
      </w:tr>
      <w:tr w:rsidR="00016609" w:rsidRPr="00456281" w14:paraId="7A490393" w14:textId="77777777" w:rsidTr="00956744">
        <w:tc>
          <w:tcPr>
            <w:tcW w:w="1666" w:type="pct"/>
          </w:tcPr>
          <w:p w14:paraId="7B0A28BA" w14:textId="77777777" w:rsidR="00016609" w:rsidRPr="00456281" w:rsidRDefault="00016609" w:rsidP="004D10D6">
            <w:pPr>
              <w:pStyle w:val="TableText0"/>
              <w:keepLines/>
            </w:pPr>
            <w:r w:rsidRPr="00456281">
              <w:t>OR (95% CI; p-value)</w:t>
            </w:r>
          </w:p>
        </w:tc>
        <w:tc>
          <w:tcPr>
            <w:tcW w:w="3334" w:type="pct"/>
            <w:gridSpan w:val="2"/>
          </w:tcPr>
          <w:p w14:paraId="4FC95830" w14:textId="77777777" w:rsidR="00016609" w:rsidRPr="00456281" w:rsidRDefault="00016609" w:rsidP="004D10D6">
            <w:pPr>
              <w:pStyle w:val="TableText0"/>
              <w:keepLines/>
              <w:jc w:val="center"/>
            </w:pPr>
            <w:r w:rsidRPr="00456281">
              <w:t>1.26 (0.95, 1.69; p = 0.11)</w:t>
            </w:r>
          </w:p>
        </w:tc>
      </w:tr>
    </w:tbl>
    <w:p w14:paraId="5E1B0BF2" w14:textId="77777777" w:rsidR="00016609" w:rsidRPr="00456281" w:rsidRDefault="00016609" w:rsidP="004D10D6">
      <w:pPr>
        <w:pStyle w:val="FooterTableFigure"/>
        <w:keepNext/>
        <w:keepLines/>
      </w:pPr>
      <w:r w:rsidRPr="00456281">
        <w:t>Source: Table 30, Table 31 and Table 32, p66-69 of submission.</w:t>
      </w:r>
    </w:p>
    <w:p w14:paraId="4EA63255" w14:textId="3D3BD436" w:rsidR="00016609" w:rsidRPr="00456281" w:rsidRDefault="00016609" w:rsidP="00016609">
      <w:pPr>
        <w:pStyle w:val="FooterTableFigure"/>
      </w:pPr>
      <w:r w:rsidRPr="00456281">
        <w:t xml:space="preserve">Abbreviations: BOR, best overall response; CI, confidence interval; CR, complete response; HR, hazard ratio; ITT, intention to treat; NabP, nanoparticle </w:t>
      </w:r>
      <w:r w:rsidR="00D83C9B" w:rsidRPr="00456281">
        <w:t>albumin-bound</w:t>
      </w:r>
      <w:r w:rsidRPr="00456281">
        <w:t xml:space="preserve"> paclitaxel; NALIRIFOX, 5-fluorouracil, leucovorin/folinic acid, nanoliposomal irinotecan (nal-IRI), and oxaliplatin; NE, not evaluable; OR, odds ratio; ORR, </w:t>
      </w:r>
      <w:r w:rsidR="0076267D" w:rsidRPr="00456281">
        <w:t xml:space="preserve">objective </w:t>
      </w:r>
      <w:r w:rsidRPr="00456281">
        <w:t>response rate; OS, overall survival; PD, progressive disease; PFS, Progression free survival; PR, partial response; SD, stable disease.</w:t>
      </w:r>
    </w:p>
    <w:p w14:paraId="37098872" w14:textId="37A9B6DB" w:rsidR="00F260BA" w:rsidRPr="00456281" w:rsidRDefault="00F260BA" w:rsidP="00016609">
      <w:pPr>
        <w:pStyle w:val="FooterTableFigure"/>
      </w:pPr>
      <w:r w:rsidRPr="00456281">
        <w:t xml:space="preserve">Note: </w:t>
      </w:r>
      <w:r w:rsidR="003667B3" w:rsidRPr="00456281">
        <w:t xml:space="preserve">Results in </w:t>
      </w:r>
      <w:r w:rsidR="00E60C02" w:rsidRPr="00456281">
        <w:rPr>
          <w:b/>
          <w:bCs/>
        </w:rPr>
        <w:t>b</w:t>
      </w:r>
      <w:r w:rsidRPr="00456281">
        <w:rPr>
          <w:b/>
          <w:bCs/>
        </w:rPr>
        <w:t xml:space="preserve">old </w:t>
      </w:r>
      <w:r w:rsidR="003667B3" w:rsidRPr="00456281">
        <w:t xml:space="preserve">indicate </w:t>
      </w:r>
      <w:r w:rsidR="00E60C02" w:rsidRPr="00456281">
        <w:t>statistically significant difference (p &lt; 0.05).</w:t>
      </w:r>
    </w:p>
    <w:p w14:paraId="04D8B59F" w14:textId="77777777" w:rsidR="00833B60" w:rsidRPr="00456281" w:rsidRDefault="00833B60" w:rsidP="00016609">
      <w:pPr>
        <w:pStyle w:val="FooterTableFigure"/>
      </w:pPr>
    </w:p>
    <w:p w14:paraId="58E5C48A" w14:textId="10D406EE" w:rsidR="00016609" w:rsidRPr="00456281" w:rsidRDefault="00016609" w:rsidP="004D10D6">
      <w:pPr>
        <w:pStyle w:val="Caption"/>
        <w:jc w:val="left"/>
      </w:pPr>
      <w:bookmarkStart w:id="63" w:name="_Ref153568774"/>
      <w:r w:rsidRPr="00456281">
        <w:lastRenderedPageBreak/>
        <w:t xml:space="preserve">Figure </w:t>
      </w:r>
      <w:r w:rsidR="00B75F7B">
        <w:fldChar w:fldCharType="begin"/>
      </w:r>
      <w:r w:rsidR="00B75F7B">
        <w:instrText xml:space="preserve"> SEQ Figure \* ARABIC </w:instrText>
      </w:r>
      <w:r w:rsidR="00B75F7B">
        <w:fldChar w:fldCharType="separate"/>
      </w:r>
      <w:r w:rsidR="00EE5AD4">
        <w:rPr>
          <w:noProof/>
        </w:rPr>
        <w:t>1</w:t>
      </w:r>
      <w:r w:rsidR="00B75F7B">
        <w:fldChar w:fldCharType="end"/>
      </w:r>
      <w:bookmarkEnd w:id="63"/>
      <w:r w:rsidRPr="00456281">
        <w:t>:</w:t>
      </w:r>
      <w:r w:rsidR="00E95A8F" w:rsidRPr="00456281">
        <w:t xml:space="preserve"> </w:t>
      </w:r>
      <w:r w:rsidRPr="00456281">
        <w:t>Kaplan-Meier Curves of Overall Survival (ITT) in NAPOLI-3 trial.</w:t>
      </w:r>
    </w:p>
    <w:p w14:paraId="01B1BDED" w14:textId="77777777" w:rsidR="00016609" w:rsidRPr="00456281" w:rsidRDefault="00016609" w:rsidP="004D10D6">
      <w:pPr>
        <w:pStyle w:val="In-tableHeading"/>
        <w:keepLines/>
        <w:rPr>
          <w:lang w:val="en-AU"/>
        </w:rPr>
      </w:pPr>
      <w:r w:rsidRPr="00456281">
        <w:rPr>
          <w:noProof/>
          <w:lang w:val="en-AU"/>
        </w:rPr>
        <w:drawing>
          <wp:inline distT="0" distB="0" distL="0" distR="0" wp14:anchorId="4152076A" wp14:editId="2877AB4D">
            <wp:extent cx="5731510" cy="2943860"/>
            <wp:effectExtent l="0" t="0" r="2540" b="8890"/>
            <wp:docPr id="514415052" name="Picture 514415052" descr="Figure 1: Kaplan-Meier Curves of Overall Survival (ITT) in NAPOLI-3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415052" name="Picture 514415052" descr="Figure 1: Kaplan-Meier Curves of Overall Survival (ITT) in NAPOLI-3 trial."/>
                    <pic:cNvPicPr/>
                  </pic:nvPicPr>
                  <pic:blipFill>
                    <a:blip r:embed="rId8"/>
                    <a:stretch>
                      <a:fillRect/>
                    </a:stretch>
                  </pic:blipFill>
                  <pic:spPr>
                    <a:xfrm>
                      <a:off x="0" y="0"/>
                      <a:ext cx="5731510" cy="2943860"/>
                    </a:xfrm>
                    <a:prstGeom prst="rect">
                      <a:avLst/>
                    </a:prstGeom>
                  </pic:spPr>
                </pic:pic>
              </a:graphicData>
            </a:graphic>
          </wp:inline>
        </w:drawing>
      </w:r>
    </w:p>
    <w:p w14:paraId="1ACFCDC5" w14:textId="77777777" w:rsidR="00016609" w:rsidRPr="00456281" w:rsidRDefault="00016609" w:rsidP="004D10D6">
      <w:pPr>
        <w:pStyle w:val="FooterTableFigure"/>
        <w:keepNext/>
        <w:keepLines/>
      </w:pPr>
      <w:r w:rsidRPr="00456281">
        <w:t>Source: Figure 11, p67 of submission.</w:t>
      </w:r>
    </w:p>
    <w:p w14:paraId="3115B98A" w14:textId="1FB4DA58" w:rsidR="00016609" w:rsidRPr="00456281" w:rsidRDefault="00016609" w:rsidP="00016609">
      <w:pPr>
        <w:pStyle w:val="FooterTableFigure"/>
      </w:pPr>
      <w:r w:rsidRPr="00456281">
        <w:t xml:space="preserve">Abbreviations: CI, confidence interval; Gem+NabP, gemcitabine plus nanoparticle </w:t>
      </w:r>
      <w:r w:rsidR="00D83C9B" w:rsidRPr="00456281">
        <w:t>albumin-bound</w:t>
      </w:r>
      <w:r w:rsidRPr="00456281">
        <w:t xml:space="preserve"> paclitaxel; HR, hazard ratio; ITT, intention to treat; NALIRIFOX, 5-fluorouracil, Leucovorin/folinic acid, nanoliposomal irinotecan (nal-IRI), and oxaliplatin.</w:t>
      </w:r>
    </w:p>
    <w:p w14:paraId="08784BE1" w14:textId="290AF415" w:rsidR="00016609" w:rsidRPr="00456281" w:rsidRDefault="00016609" w:rsidP="004D10D6">
      <w:pPr>
        <w:pStyle w:val="Caption"/>
        <w:jc w:val="left"/>
      </w:pPr>
      <w:bookmarkStart w:id="64" w:name="_Ref153568793"/>
      <w:r w:rsidRPr="00456281">
        <w:t xml:space="preserve">Figure </w:t>
      </w:r>
      <w:r w:rsidR="00B75F7B">
        <w:fldChar w:fldCharType="begin"/>
      </w:r>
      <w:r w:rsidR="00B75F7B">
        <w:instrText xml:space="preserve"> SEQ Figure \* ARABIC </w:instrText>
      </w:r>
      <w:r w:rsidR="00B75F7B">
        <w:fldChar w:fldCharType="separate"/>
      </w:r>
      <w:r w:rsidR="00EE5AD4">
        <w:rPr>
          <w:noProof/>
        </w:rPr>
        <w:t>2</w:t>
      </w:r>
      <w:r w:rsidR="00B75F7B">
        <w:fldChar w:fldCharType="end"/>
      </w:r>
      <w:bookmarkEnd w:id="64"/>
      <w:r w:rsidRPr="00456281">
        <w:t>: Kaplan-Meier Curves of Progression-Free Survival (ITT) in NAPOLI-3 trial.</w:t>
      </w:r>
    </w:p>
    <w:p w14:paraId="0A039E87" w14:textId="77777777" w:rsidR="00016609" w:rsidRPr="00456281" w:rsidRDefault="00016609" w:rsidP="004D10D6">
      <w:pPr>
        <w:keepNext/>
        <w:keepLines/>
      </w:pPr>
      <w:r w:rsidRPr="00456281">
        <w:rPr>
          <w:noProof/>
        </w:rPr>
        <w:drawing>
          <wp:inline distT="0" distB="0" distL="0" distR="0" wp14:anchorId="4A528F83" wp14:editId="70E428DD">
            <wp:extent cx="5643728" cy="2818765"/>
            <wp:effectExtent l="0" t="0" r="0" b="635"/>
            <wp:docPr id="2054364195" name="Picture 2054364195" descr="Figure 2: Kaplan-Meier Curves of Progression-Free Survival (ITT) in NAPOLI-3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364195" name="Picture 2054364195" descr="Figure 2: Kaplan-Meier Curves of Progression-Free Survival (ITT) in NAPOLI-3 trial."/>
                    <pic:cNvPicPr/>
                  </pic:nvPicPr>
                  <pic:blipFill rotWithShape="1">
                    <a:blip r:embed="rId9"/>
                    <a:srcRect l="1532"/>
                    <a:stretch/>
                  </pic:blipFill>
                  <pic:spPr bwMode="auto">
                    <a:xfrm>
                      <a:off x="0" y="0"/>
                      <a:ext cx="5643728" cy="2818765"/>
                    </a:xfrm>
                    <a:prstGeom prst="rect">
                      <a:avLst/>
                    </a:prstGeom>
                    <a:ln>
                      <a:noFill/>
                    </a:ln>
                    <a:extLst>
                      <a:ext uri="{53640926-AAD7-44D8-BBD7-CCE9431645EC}">
                        <a14:shadowObscured xmlns:a14="http://schemas.microsoft.com/office/drawing/2010/main"/>
                      </a:ext>
                    </a:extLst>
                  </pic:spPr>
                </pic:pic>
              </a:graphicData>
            </a:graphic>
          </wp:inline>
        </w:drawing>
      </w:r>
    </w:p>
    <w:p w14:paraId="47E565D4" w14:textId="77777777" w:rsidR="00016609" w:rsidRPr="00456281" w:rsidRDefault="00016609" w:rsidP="004D10D6">
      <w:pPr>
        <w:pStyle w:val="FooterTableFigure"/>
        <w:keepNext/>
        <w:keepLines/>
      </w:pPr>
      <w:r w:rsidRPr="00456281">
        <w:t>Source: Figure 12, p68 of submission.</w:t>
      </w:r>
    </w:p>
    <w:p w14:paraId="4680461D" w14:textId="4607ABFA" w:rsidR="00016609" w:rsidRPr="00456281" w:rsidRDefault="00016609" w:rsidP="00016609">
      <w:pPr>
        <w:pStyle w:val="FooterTableFigure"/>
      </w:pPr>
      <w:r w:rsidRPr="00456281">
        <w:t xml:space="preserve">Abbreviations: CI, confidence interval; Gem+NabP, gemcitabine plus nanoparticle </w:t>
      </w:r>
      <w:r w:rsidR="00D83C9B" w:rsidRPr="00456281">
        <w:t>albumin-bound</w:t>
      </w:r>
      <w:r w:rsidRPr="00456281">
        <w:t xml:space="preserve"> paclitaxel; HR, hazard ratio; ITT, intention to treat; NALIRIFOX, 5-fluorouracil, Leucovorin/folinic acid, nanoliposomal irinotecan (nal-IRI), and oxaliplatin.</w:t>
      </w:r>
    </w:p>
    <w:p w14:paraId="420EA70B" w14:textId="7FF24FF0" w:rsidR="00016609" w:rsidRPr="00456281" w:rsidRDefault="00016609" w:rsidP="00016609">
      <w:pPr>
        <w:pStyle w:val="3-BodyText"/>
        <w:rPr>
          <w:i/>
          <w:iCs/>
        </w:rPr>
      </w:pPr>
      <w:r w:rsidRPr="00456281">
        <w:t>NALIRIFOX showed a statistically significant improvement in OS compared with Gem+NabP (HR 0.83; 95% CI: 0.70, 0.99; p-value = 0.04). The median OS was 11.1</w:t>
      </w:r>
      <w:r w:rsidR="00076C6A">
        <w:t> </w:t>
      </w:r>
      <w:r w:rsidRPr="00456281">
        <w:t xml:space="preserve">months (95% CI: 10.0, 12.1) for the NALIRIFOX arm and 9.2 months (95% CI: 8.3, 10.6) for the Gem+NabP arm, with a magnitude of 1.9 months improvement in median OS. Although the trial results indicate </w:t>
      </w:r>
      <w:r w:rsidR="00134744" w:rsidRPr="00456281">
        <w:t>a statistically significantly</w:t>
      </w:r>
      <w:r w:rsidRPr="00456281">
        <w:t xml:space="preserve"> improved survival with </w:t>
      </w:r>
      <w:r w:rsidRPr="00456281">
        <w:lastRenderedPageBreak/>
        <w:t xml:space="preserve">NALIRIFOX compared to Gem+NabP, the 95% CI had an upper limit that </w:t>
      </w:r>
      <w:r w:rsidR="004C24A1" w:rsidRPr="00456281">
        <w:t xml:space="preserve">was </w:t>
      </w:r>
      <w:r w:rsidRPr="00456281">
        <w:t>very close to 1.</w:t>
      </w:r>
      <w:r w:rsidRPr="00456281">
        <w:rPr>
          <w:i/>
          <w:iCs/>
        </w:rPr>
        <w:t xml:space="preserve"> </w:t>
      </w:r>
    </w:p>
    <w:p w14:paraId="472B2909" w14:textId="3BE98A3B" w:rsidR="00016609" w:rsidRPr="00456281" w:rsidRDefault="00016609" w:rsidP="00016609">
      <w:pPr>
        <w:pStyle w:val="3-BodyText"/>
      </w:pPr>
      <w:bookmarkStart w:id="65" w:name="_Ref156312000"/>
      <w:bookmarkStart w:id="66" w:name="_Ref164099125"/>
      <w:bookmarkStart w:id="67" w:name="_Hlk162424260"/>
      <w:r w:rsidRPr="00456281">
        <w:t>Patients who started subsequent anticancer therapies without disease progression or death were censored for PFS outcomes</w:t>
      </w:r>
      <w:r w:rsidR="00244B16" w:rsidRPr="00456281">
        <w:t xml:space="preserve">; </w:t>
      </w:r>
      <w:r w:rsidRPr="00456281">
        <w:t>however, these censoring rules were not applied to OS. Thus, the OS outcome would likely also capture the treatment effect of subsequent anticancer therapies that over half of the patients in the NAPOLI</w:t>
      </w:r>
      <w:r w:rsidR="00D10A0A" w:rsidRPr="00456281">
        <w:noBreakHyphen/>
      </w:r>
      <w:r w:rsidRPr="00456281">
        <w:t xml:space="preserve">3 trial received. </w:t>
      </w:r>
      <w:r w:rsidR="00244B16" w:rsidRPr="00456281">
        <w:t>S</w:t>
      </w:r>
      <w:r w:rsidRPr="00456281">
        <w:t>ensitivity analysis for OS in the ITT population</w:t>
      </w:r>
      <w:r w:rsidR="00134744" w:rsidRPr="00456281">
        <w:t>,</w:t>
      </w:r>
      <w:r w:rsidRPr="00456281">
        <w:t xml:space="preserve"> censored at the date of initiation of any </w:t>
      </w:r>
      <w:r w:rsidR="00134744" w:rsidRPr="00456281">
        <w:t>subsequent</w:t>
      </w:r>
      <w:r w:rsidRPr="00456281">
        <w:t xml:space="preserve"> anticancer therapy</w:t>
      </w:r>
      <w:r w:rsidR="002A1107" w:rsidRPr="00456281">
        <w:t xml:space="preserve"> </w:t>
      </w:r>
      <w:r w:rsidRPr="00456281">
        <w:t>showed that there was a significantly longer survival for NALIRIFOX compared with Gem+</w:t>
      </w:r>
      <w:r w:rsidRPr="009A3AE9">
        <w:t>NabP (median survival, 15.1</w:t>
      </w:r>
      <w:r w:rsidR="00360CB1">
        <w:t> </w:t>
      </w:r>
      <w:r w:rsidRPr="009A3AE9">
        <w:t>months vs. 9.2</w:t>
      </w:r>
      <w:r w:rsidR="00244B16" w:rsidRPr="009A3AE9">
        <w:t xml:space="preserve"> </w:t>
      </w:r>
      <w:r w:rsidRPr="009A3AE9">
        <w:t>months; HR 0.71; 95% CI: 0.56, 0.90; p&lt;0.01).</w:t>
      </w:r>
      <w:bookmarkEnd w:id="65"/>
      <w:bookmarkEnd w:id="66"/>
    </w:p>
    <w:bookmarkEnd w:id="67"/>
    <w:p w14:paraId="682465FB" w14:textId="17106400" w:rsidR="00594578" w:rsidRDefault="00016609" w:rsidP="00594578">
      <w:pPr>
        <w:pStyle w:val="3-BodyText"/>
      </w:pPr>
      <w:r w:rsidRPr="00456281">
        <w:t>NALIRIFOX showed a statistically significant improvement in PFS compared with Gem+NabP (HR 0.</w:t>
      </w:r>
      <w:r w:rsidR="00A32959" w:rsidRPr="00456281">
        <w:t>69</w:t>
      </w:r>
      <w:r w:rsidRPr="00456281">
        <w:t>; 95% CI: 0.</w:t>
      </w:r>
      <w:r w:rsidR="00A32959" w:rsidRPr="00456281">
        <w:t>58</w:t>
      </w:r>
      <w:r w:rsidRPr="00456281">
        <w:t>, 0.</w:t>
      </w:r>
      <w:r w:rsidR="00A32959" w:rsidRPr="00456281">
        <w:t>83</w:t>
      </w:r>
      <w:r w:rsidRPr="00456281">
        <w:t xml:space="preserve">; p-value </w:t>
      </w:r>
      <w:r w:rsidR="00A32959" w:rsidRPr="00456281">
        <w:t>&lt;</w:t>
      </w:r>
      <w:r w:rsidRPr="00456281">
        <w:t xml:space="preserve"> 0.</w:t>
      </w:r>
      <w:r w:rsidR="00DE60D0" w:rsidRPr="00456281">
        <w:t>0001</w:t>
      </w:r>
      <w:r w:rsidRPr="00456281">
        <w:t>). The median PFS was 7.4</w:t>
      </w:r>
      <w:r w:rsidR="00360CB1">
        <w:t> </w:t>
      </w:r>
      <w:r w:rsidRPr="00456281">
        <w:t xml:space="preserve">months (95% CI: 6.0, 7.7) for the NALIRIFOX arm and 5.6 months (95% CI: 5.3, 5.8) for the Gem+NabP arm, with a magnitude of 1.8 months improvement in median PFS. </w:t>
      </w:r>
      <w:bookmarkStart w:id="68" w:name="_Ref156571664"/>
    </w:p>
    <w:p w14:paraId="62693F85" w14:textId="3BBF704B" w:rsidR="00016609" w:rsidRPr="00594578" w:rsidRDefault="00016609" w:rsidP="00594578">
      <w:pPr>
        <w:pStyle w:val="3-BodyText"/>
      </w:pPr>
      <w:r w:rsidRPr="00456281">
        <w:t>In reviewing the KM curves for PFS</w:t>
      </w:r>
      <w:r w:rsidR="004C24A1" w:rsidRPr="00456281">
        <w:t xml:space="preserve"> (</w:t>
      </w:r>
      <w:r w:rsidR="004C24A1" w:rsidRPr="00456281">
        <w:fldChar w:fldCharType="begin"/>
      </w:r>
      <w:r w:rsidR="004C24A1" w:rsidRPr="00456281">
        <w:instrText xml:space="preserve"> REF _Ref153568793 \h </w:instrText>
      </w:r>
      <w:r w:rsidR="004C24A1" w:rsidRPr="00456281">
        <w:fldChar w:fldCharType="separate"/>
      </w:r>
      <w:r w:rsidR="00EE5AD4" w:rsidRPr="00456281">
        <w:t xml:space="preserve">Figure </w:t>
      </w:r>
      <w:r w:rsidR="00EE5AD4">
        <w:rPr>
          <w:noProof/>
        </w:rPr>
        <w:t>2</w:t>
      </w:r>
      <w:r w:rsidR="004C24A1" w:rsidRPr="00456281">
        <w:fldChar w:fldCharType="end"/>
      </w:r>
      <w:r w:rsidR="004C24A1" w:rsidRPr="00456281">
        <w:t>)</w:t>
      </w:r>
      <w:r w:rsidRPr="00456281">
        <w:t xml:space="preserve">, a high level of censoring (and/or discontinuation) prior </w:t>
      </w:r>
      <w:r w:rsidR="009A264A" w:rsidRPr="00456281">
        <w:t xml:space="preserve">to </w:t>
      </w:r>
      <w:r w:rsidR="00134744" w:rsidRPr="00456281">
        <w:t xml:space="preserve">Month </w:t>
      </w:r>
      <w:r w:rsidRPr="00456281">
        <w:t xml:space="preserve">6 of treatment is observed, with 182 patients (47%) remaining in the Gem+NabP </w:t>
      </w:r>
      <w:r w:rsidR="009A264A" w:rsidRPr="00456281">
        <w:t xml:space="preserve">arm </w:t>
      </w:r>
      <w:r w:rsidRPr="00456281">
        <w:t xml:space="preserve">and 210 patients (54.8%) remaining in the NALIRIFOX arm by </w:t>
      </w:r>
      <w:r w:rsidR="00134744" w:rsidRPr="00456281">
        <w:t xml:space="preserve">Month </w:t>
      </w:r>
      <w:r w:rsidRPr="00456281">
        <w:t xml:space="preserve">4. It is also observed that by </w:t>
      </w:r>
      <w:r w:rsidR="00134744" w:rsidRPr="00456281">
        <w:t xml:space="preserve">Month </w:t>
      </w:r>
      <w:r w:rsidRPr="00456281">
        <w:t xml:space="preserve">8, many patients in the Gem+NabP </w:t>
      </w:r>
      <w:r w:rsidR="00134744" w:rsidRPr="00456281">
        <w:t xml:space="preserve">arm </w:t>
      </w:r>
      <w:r w:rsidR="00F34D49" w:rsidRPr="00456281">
        <w:t>were censored</w:t>
      </w:r>
      <w:r w:rsidR="009A264A" w:rsidRPr="00456281">
        <w:t>,</w:t>
      </w:r>
      <w:r w:rsidRPr="00456281">
        <w:t xml:space="preserve"> with only 60 patients (15.5%) continuing </w:t>
      </w:r>
      <w:r w:rsidRPr="009A3AE9">
        <w:t xml:space="preserve">the study. While the proportions of censoring were similar across arms </w:t>
      </w:r>
      <w:r w:rsidR="00134744" w:rsidRPr="009A3AE9">
        <w:t xml:space="preserve">at the time of </w:t>
      </w:r>
      <w:r w:rsidRPr="009A3AE9">
        <w:t xml:space="preserve">the data cut (35% in NALIRIFOX and 33.1% in Gem+NabP), a higher proportion of patients in the Gem+NabP </w:t>
      </w:r>
      <w:r w:rsidR="00134744" w:rsidRPr="009A3AE9">
        <w:t xml:space="preserve">arm compared to the NALIRIFOX arm </w:t>
      </w:r>
      <w:r w:rsidRPr="009A3AE9">
        <w:t>were censored due to starting subsequent anticancer therapy without disease progression (22.5%</w:t>
      </w:r>
      <w:r w:rsidR="00134744" w:rsidRPr="009A3AE9">
        <w:t xml:space="preserve"> vs 14.6%, respectively; </w:t>
      </w:r>
      <w:r w:rsidRPr="009A3AE9">
        <w:t>Table 14, p</w:t>
      </w:r>
      <w:r w:rsidR="008675D2" w:rsidRPr="009A3AE9">
        <w:t>77</w:t>
      </w:r>
      <w:r w:rsidRPr="009A3AE9">
        <w:t xml:space="preserve"> of </w:t>
      </w:r>
      <w:r w:rsidR="00134744" w:rsidRPr="009A3AE9">
        <w:t xml:space="preserve">the </w:t>
      </w:r>
      <w:r w:rsidRPr="009A3AE9">
        <w:t xml:space="preserve">NAPOLI-3 CSR). This </w:t>
      </w:r>
      <w:r w:rsidR="00134744" w:rsidRPr="009A3AE9">
        <w:t xml:space="preserve">may bias the results </w:t>
      </w:r>
      <w:r w:rsidRPr="009A3AE9">
        <w:t>in favour of NALIRIFOX.</w:t>
      </w:r>
      <w:r w:rsidR="00935385" w:rsidRPr="009A3AE9">
        <w:t xml:space="preserve"> </w:t>
      </w:r>
      <w:r w:rsidR="00CC5FC8" w:rsidRPr="009A3AE9">
        <w:t>Patien</w:t>
      </w:r>
      <w:r w:rsidR="00977E01" w:rsidRPr="009A3AE9">
        <w:t>t</w:t>
      </w:r>
      <w:r w:rsidR="00CC5FC8" w:rsidRPr="009A3AE9">
        <w:t>s</w:t>
      </w:r>
      <w:r w:rsidR="0054053C" w:rsidRPr="009A3AE9">
        <w:t xml:space="preserve"> in the NALIRIFOX and Gem+NabP</w:t>
      </w:r>
      <w:r w:rsidR="0086509D" w:rsidRPr="009A3AE9">
        <w:t xml:space="preserve"> arms</w:t>
      </w:r>
      <w:r w:rsidR="00CC5FC8" w:rsidRPr="009A3AE9">
        <w:t xml:space="preserve"> w</w:t>
      </w:r>
      <w:r w:rsidR="00BB1A01" w:rsidRPr="009A3AE9">
        <w:t xml:space="preserve">ere also censored </w:t>
      </w:r>
      <w:r w:rsidR="00134744" w:rsidRPr="009A3AE9">
        <w:t>for</w:t>
      </w:r>
      <w:r w:rsidR="00BB1A01" w:rsidRPr="009A3AE9">
        <w:t xml:space="preserve"> </w:t>
      </w:r>
      <w:r w:rsidR="0000614B" w:rsidRPr="009A3AE9">
        <w:t>the following reasons: Censored on Day 1 (</w:t>
      </w:r>
      <w:r w:rsidR="0086509D" w:rsidRPr="009A3AE9">
        <w:t>7.6% vs 4.9%</w:t>
      </w:r>
      <w:r w:rsidR="00134744" w:rsidRPr="009A3AE9">
        <w:t>, respectively</w:t>
      </w:r>
      <w:r w:rsidR="00383354" w:rsidRPr="009A3AE9">
        <w:t>)</w:t>
      </w:r>
      <w:r w:rsidR="00C94DC7" w:rsidRPr="009A3AE9">
        <w:t>;</w:t>
      </w:r>
      <w:r w:rsidR="00383354" w:rsidRPr="009A3AE9">
        <w:t xml:space="preserve"> </w:t>
      </w:r>
      <w:r w:rsidR="00466F2A" w:rsidRPr="009A3AE9">
        <w:t>o</w:t>
      </w:r>
      <w:r w:rsidR="00383354" w:rsidRPr="009A3AE9">
        <w:t>ver 2</w:t>
      </w:r>
      <w:r w:rsidR="00360CB1">
        <w:t> </w:t>
      </w:r>
      <w:r w:rsidR="00383354" w:rsidRPr="009A3AE9">
        <w:t>consecutive missing tumour assessments (</w:t>
      </w:r>
      <w:r w:rsidR="00C94DC7" w:rsidRPr="009A3AE9">
        <w:t>1.3% vs 0.5%</w:t>
      </w:r>
      <w:r w:rsidR="00134744" w:rsidRPr="009A3AE9">
        <w:t>, respectively</w:t>
      </w:r>
      <w:r w:rsidR="00C94DC7" w:rsidRPr="009A3AE9">
        <w:t xml:space="preserve">); </w:t>
      </w:r>
      <w:r w:rsidR="00466F2A" w:rsidRPr="009A3AE9">
        <w:t>withdrawal</w:t>
      </w:r>
      <w:r w:rsidR="0082316F" w:rsidRPr="009A3AE9">
        <w:t xml:space="preserve"> of study consent and lost to follow up (0% vs 2.1%</w:t>
      </w:r>
      <w:r w:rsidR="00134744" w:rsidRPr="009A3AE9">
        <w:t>, respectively</w:t>
      </w:r>
      <w:r w:rsidR="00466F2A" w:rsidRPr="009A3AE9">
        <w:t>); and censored on last tumour assessments (11.5% vs 3.1%</w:t>
      </w:r>
      <w:r w:rsidR="00134744" w:rsidRPr="009A3AE9">
        <w:t>, respectively</w:t>
      </w:r>
      <w:r w:rsidR="00466F2A" w:rsidRPr="009A3AE9">
        <w:t>)</w:t>
      </w:r>
      <w:r w:rsidR="00A630FD" w:rsidRPr="009A3AE9">
        <w:t>.</w:t>
      </w:r>
      <w:bookmarkEnd w:id="68"/>
      <w:r w:rsidR="00466F2A" w:rsidRPr="009A3AE9">
        <w:t xml:space="preserve"> </w:t>
      </w:r>
    </w:p>
    <w:p w14:paraId="7AB6BCE9" w14:textId="3E74E06A" w:rsidR="00016609" w:rsidRPr="00456281" w:rsidRDefault="00016609" w:rsidP="00016609">
      <w:pPr>
        <w:pStyle w:val="3-BodyText"/>
        <w:rPr>
          <w:iCs/>
        </w:rPr>
      </w:pPr>
      <w:bookmarkStart w:id="69" w:name="_Ref156310180"/>
      <w:r w:rsidRPr="00456281">
        <w:t>The submission stated that the improvement</w:t>
      </w:r>
      <w:r w:rsidR="00134744" w:rsidRPr="00456281">
        <w:t>s</w:t>
      </w:r>
      <w:r w:rsidRPr="00456281">
        <w:t xml:space="preserve"> in median OS </w:t>
      </w:r>
      <w:r w:rsidR="00134744" w:rsidRPr="00456281">
        <w:t xml:space="preserve">(1.9 months) </w:t>
      </w:r>
      <w:r w:rsidRPr="00456281">
        <w:t xml:space="preserve">and median PFS </w:t>
      </w:r>
      <w:r w:rsidR="00405CD2" w:rsidRPr="00456281">
        <w:t xml:space="preserve">(1.8 months) </w:t>
      </w:r>
      <w:r w:rsidRPr="00456281">
        <w:t>were clinically meaningful</w:t>
      </w:r>
      <w:r w:rsidR="000050B3" w:rsidRPr="00456281">
        <w:t xml:space="preserve"> </w:t>
      </w:r>
      <w:r w:rsidR="000050B3" w:rsidRPr="00456281">
        <w:rPr>
          <w:iCs/>
        </w:rPr>
        <w:t xml:space="preserve">for </w:t>
      </w:r>
      <w:r w:rsidR="00134744" w:rsidRPr="00456281">
        <w:rPr>
          <w:iCs/>
        </w:rPr>
        <w:t>mPAC</w:t>
      </w:r>
      <w:r w:rsidR="00405CD2" w:rsidRPr="00456281">
        <w:rPr>
          <w:iCs/>
        </w:rPr>
        <w:t>. The median OS gain accepted for Gem+NabP in the PBAC’s consideration of NabP in March 2014 was similar to the OS gain presented in this submission (1.9 months).</w:t>
      </w:r>
      <w:r w:rsidR="000050B3" w:rsidRPr="00456281">
        <w:rPr>
          <w:iCs/>
        </w:rPr>
        <w:t xml:space="preserve"> </w:t>
      </w:r>
      <w:r w:rsidR="005B7BA8" w:rsidRPr="00456281">
        <w:rPr>
          <w:iCs/>
        </w:rPr>
        <w:t>However,</w:t>
      </w:r>
      <w:r w:rsidR="00534DFE" w:rsidRPr="00456281">
        <w:rPr>
          <w:iCs/>
        </w:rPr>
        <w:t xml:space="preserve"> </w:t>
      </w:r>
      <w:r w:rsidR="000050B3" w:rsidRPr="00456281">
        <w:rPr>
          <w:iCs/>
        </w:rPr>
        <w:t>the PBAC considered that the most reliable estimate of the OS gain was the uncensored increment of 2.1</w:t>
      </w:r>
      <w:r w:rsidR="00360CB1">
        <w:rPr>
          <w:iCs/>
        </w:rPr>
        <w:t> </w:t>
      </w:r>
      <w:r w:rsidR="000050B3" w:rsidRPr="00456281">
        <w:rPr>
          <w:iCs/>
        </w:rPr>
        <w:t>months,</w:t>
      </w:r>
      <w:r w:rsidR="00360CB1">
        <w:rPr>
          <w:iCs/>
        </w:rPr>
        <w:t xml:space="preserve"> </w:t>
      </w:r>
      <w:r w:rsidR="000050B3" w:rsidRPr="00456281">
        <w:rPr>
          <w:iCs/>
        </w:rPr>
        <w:t>observed in more than 50% of the participants in the trial (Paclitaxel-nanoparticle albumin bound, PSD, March 2014 PBAC meeting)</w:t>
      </w:r>
      <w:r w:rsidRPr="00456281">
        <w:rPr>
          <w:iCs/>
        </w:rPr>
        <w:t>.</w:t>
      </w:r>
      <w:r w:rsidR="000F22AB" w:rsidRPr="00456281">
        <w:rPr>
          <w:iCs/>
        </w:rPr>
        <w:t xml:space="preserve"> </w:t>
      </w:r>
      <w:r w:rsidRPr="00456281">
        <w:rPr>
          <w:iCs/>
        </w:rPr>
        <w:t>A consensus of clinical experts of the American Society of Clinical Oncology (ASCO) have proposed a meaningful benefit in terms of OS and PFS to patients with metastatic pancreatic cancer receiving first line systemic treatment. The ASCO group identified an HR range of 0.6 to 0.75 corresponding to an improvement in median OS within a range of 3 to 5</w:t>
      </w:r>
      <w:r w:rsidR="00360CB1">
        <w:rPr>
          <w:iCs/>
        </w:rPr>
        <w:t> </w:t>
      </w:r>
      <w:r w:rsidRPr="00456281">
        <w:rPr>
          <w:iCs/>
        </w:rPr>
        <w:t xml:space="preserve">months as the </w:t>
      </w:r>
      <w:r w:rsidR="00405CD2" w:rsidRPr="00456281">
        <w:rPr>
          <w:iCs/>
        </w:rPr>
        <w:t>minimal clinically important difference (</w:t>
      </w:r>
      <w:r w:rsidR="00727782" w:rsidRPr="00456281">
        <w:rPr>
          <w:iCs/>
        </w:rPr>
        <w:t>MCID</w:t>
      </w:r>
      <w:r w:rsidR="00405CD2" w:rsidRPr="00456281">
        <w:rPr>
          <w:iCs/>
        </w:rPr>
        <w:t>)</w:t>
      </w:r>
      <w:r w:rsidRPr="00456281">
        <w:rPr>
          <w:iCs/>
        </w:rPr>
        <w:t xml:space="preserve"> in OS over standard therapy. In terms of PFS, an incremental gain ranging from 3 to 5 months was </w:t>
      </w:r>
      <w:r w:rsidRPr="00456281">
        <w:rPr>
          <w:iCs/>
        </w:rPr>
        <w:lastRenderedPageBreak/>
        <w:t xml:space="preserve">proposed to be clinically meaningful. Neither the OS nor PFS </w:t>
      </w:r>
      <w:r w:rsidR="00727782" w:rsidRPr="00456281">
        <w:rPr>
          <w:iCs/>
        </w:rPr>
        <w:t xml:space="preserve">outcome results </w:t>
      </w:r>
      <w:r w:rsidRPr="00456281">
        <w:rPr>
          <w:iCs/>
        </w:rPr>
        <w:t>from the NAPOLI-3 trial met these criteria.</w:t>
      </w:r>
      <w:bookmarkEnd w:id="69"/>
      <w:r w:rsidR="00CD653F" w:rsidRPr="00456281">
        <w:rPr>
          <w:iCs/>
        </w:rPr>
        <w:t xml:space="preserve"> </w:t>
      </w:r>
      <w:r w:rsidR="004C24A1" w:rsidRPr="00456281">
        <w:rPr>
          <w:iCs/>
        </w:rPr>
        <w:t xml:space="preserve">The </w:t>
      </w:r>
      <w:r w:rsidR="00CD653F" w:rsidRPr="00456281">
        <w:rPr>
          <w:iCs/>
        </w:rPr>
        <w:t xml:space="preserve">ESC noted the </w:t>
      </w:r>
      <w:r w:rsidR="00A94A36" w:rsidRPr="00456281">
        <w:rPr>
          <w:iCs/>
        </w:rPr>
        <w:t xml:space="preserve">modest </w:t>
      </w:r>
      <w:r w:rsidR="00CD653F" w:rsidRPr="00456281">
        <w:rPr>
          <w:iCs/>
        </w:rPr>
        <w:t>magnitude of improvement seen in the trial</w:t>
      </w:r>
      <w:r w:rsidR="00A94A36" w:rsidRPr="00456281">
        <w:rPr>
          <w:iCs/>
        </w:rPr>
        <w:t xml:space="preserve">, </w:t>
      </w:r>
      <w:r w:rsidR="00367A3C" w:rsidRPr="00456281">
        <w:rPr>
          <w:iCs/>
        </w:rPr>
        <w:t xml:space="preserve">and agreed with the commentary that </w:t>
      </w:r>
      <w:r w:rsidR="00A94A36" w:rsidRPr="00456281">
        <w:rPr>
          <w:iCs/>
        </w:rPr>
        <w:t xml:space="preserve">consideration should be given to whether it is clinically meaningful. </w:t>
      </w:r>
      <w:r w:rsidR="00274545" w:rsidRPr="00456281">
        <w:rPr>
          <w:iCs/>
        </w:rPr>
        <w:t>The pre-PBAC response stated that any statistically significant improvement in mPAC survival is meaningful.</w:t>
      </w:r>
    </w:p>
    <w:p w14:paraId="4F7A308D" w14:textId="06960C69" w:rsidR="00016609" w:rsidRPr="00456281" w:rsidRDefault="00016609" w:rsidP="00016609">
      <w:pPr>
        <w:pStyle w:val="3-BodyText"/>
      </w:pPr>
      <w:r w:rsidRPr="00456281">
        <w:t>No statistically significant difference was observed between the treatments in terms of ORR, although the OR numerically favoured NALIRIFOX (OR 1.26; 95% CI: 0.95, 1.69</w:t>
      </w:r>
      <w:r w:rsidR="00C143D7" w:rsidRPr="00456281">
        <w:t>; p</w:t>
      </w:r>
      <w:r w:rsidR="00EF2552" w:rsidRPr="00456281">
        <w:t>=0.11</w:t>
      </w:r>
      <w:r w:rsidRPr="00456281">
        <w:t>).</w:t>
      </w:r>
    </w:p>
    <w:p w14:paraId="1DA57F72" w14:textId="13D83292" w:rsidR="00016609" w:rsidRPr="009A3AE9" w:rsidRDefault="00016609" w:rsidP="00BF500B">
      <w:pPr>
        <w:pStyle w:val="3-BodyText"/>
      </w:pPr>
      <w:r w:rsidRPr="009A3AE9">
        <w:t xml:space="preserve">The KM curves for the time to deterioration (TTD) based on </w:t>
      </w:r>
      <w:r w:rsidR="00DE1A2F" w:rsidRPr="009A3AE9">
        <w:t>the European Organisation for Research and Treatment of Cancer Core Quality of Life questionnaire (</w:t>
      </w:r>
      <w:r w:rsidRPr="009A3AE9">
        <w:t>EORTC-QLQ-C30</w:t>
      </w:r>
      <w:r w:rsidR="00DE1A2F" w:rsidRPr="009A3AE9">
        <w:t>)</w:t>
      </w:r>
      <w:r w:rsidRPr="009A3AE9">
        <w:t xml:space="preserve"> Global Health Status/</w:t>
      </w:r>
      <w:r w:rsidR="00DE1A2F" w:rsidRPr="009A3AE9">
        <w:t>Quality of Life (</w:t>
      </w:r>
      <w:r w:rsidRPr="009A3AE9">
        <w:t>QoL</w:t>
      </w:r>
      <w:r w:rsidR="00DE1A2F" w:rsidRPr="009A3AE9">
        <w:t>)</w:t>
      </w:r>
      <w:r w:rsidRPr="009A3AE9">
        <w:t xml:space="preserve"> in the ITT population are presented in </w:t>
      </w:r>
      <w:r w:rsidRPr="009A3AE9">
        <w:fldChar w:fldCharType="begin"/>
      </w:r>
      <w:r w:rsidRPr="009A3AE9">
        <w:instrText xml:space="preserve"> REF _Ref153723999 \h </w:instrText>
      </w:r>
      <w:r w:rsidR="009A3AE9">
        <w:instrText xml:space="preserve"> \* MERGEFORMAT </w:instrText>
      </w:r>
      <w:r w:rsidRPr="009A3AE9">
        <w:fldChar w:fldCharType="separate"/>
      </w:r>
      <w:r w:rsidR="00EE5AD4" w:rsidRPr="00456281">
        <w:t xml:space="preserve">Figure </w:t>
      </w:r>
      <w:r w:rsidR="00EE5AD4">
        <w:t>3</w:t>
      </w:r>
      <w:r w:rsidRPr="009A3AE9">
        <w:fldChar w:fldCharType="end"/>
      </w:r>
      <w:r w:rsidRPr="009A3AE9">
        <w:t>.</w:t>
      </w:r>
      <w:r w:rsidR="00274545" w:rsidRPr="009A3AE9">
        <w:t xml:space="preserve"> The TTD results of the EORTC QLQ-C30 numerically favoured NALIRIFOX compared to Gem+NabP (HR 0.74; 95% CI: 0.53, 1.04; p=0.085), although this was not statistically significant. The median TTD was 15.7 months in the NALIRIFOX arm and 12.2 months in the Gem+NabP arm.</w:t>
      </w:r>
    </w:p>
    <w:p w14:paraId="7116F34E" w14:textId="0A75DFF9" w:rsidR="00016609" w:rsidRPr="00456281" w:rsidRDefault="00016609" w:rsidP="004D10D6">
      <w:pPr>
        <w:pStyle w:val="Caption"/>
        <w:jc w:val="left"/>
      </w:pPr>
      <w:bookmarkStart w:id="70" w:name="_Ref153723999"/>
      <w:bookmarkStart w:id="71" w:name="_Ref153723995"/>
      <w:r w:rsidRPr="00456281">
        <w:t xml:space="preserve">Figure </w:t>
      </w:r>
      <w:r w:rsidR="00B75F7B">
        <w:fldChar w:fldCharType="begin"/>
      </w:r>
      <w:r w:rsidR="00B75F7B">
        <w:instrText xml:space="preserve"> SEQ Figure \* ARABIC </w:instrText>
      </w:r>
      <w:r w:rsidR="00B75F7B">
        <w:fldChar w:fldCharType="separate"/>
      </w:r>
      <w:r w:rsidR="00EE5AD4">
        <w:rPr>
          <w:noProof/>
        </w:rPr>
        <w:t>3</w:t>
      </w:r>
      <w:r w:rsidR="00B75F7B">
        <w:fldChar w:fldCharType="end"/>
      </w:r>
      <w:bookmarkEnd w:id="70"/>
      <w:r w:rsidRPr="00456281">
        <w:t>: Kaplan-Meier curve for time to deterioration based on EORTC-QLQ-C30 (ITT) in NAPOLI-3 trial.</w:t>
      </w:r>
      <w:bookmarkEnd w:id="71"/>
    </w:p>
    <w:p w14:paraId="1880EEB3" w14:textId="77777777" w:rsidR="00016609" w:rsidRPr="00456281" w:rsidRDefault="00016609" w:rsidP="00360CB1">
      <w:pPr>
        <w:pStyle w:val="3-BodyText"/>
        <w:keepNext/>
        <w:keepLines/>
        <w:numPr>
          <w:ilvl w:val="0"/>
          <w:numId w:val="0"/>
        </w:numPr>
        <w:spacing w:after="0"/>
        <w:ind w:left="720" w:hanging="720"/>
      </w:pPr>
      <w:r w:rsidRPr="00456281">
        <w:rPr>
          <w:noProof/>
        </w:rPr>
        <w:drawing>
          <wp:inline distT="0" distB="0" distL="0" distR="0" wp14:anchorId="4812B4D1" wp14:editId="5CF91FB7">
            <wp:extent cx="5731510" cy="3263900"/>
            <wp:effectExtent l="0" t="0" r="2540" b="0"/>
            <wp:docPr id="1352432632" name="Picture 1352432632" descr="Figure 3: Kaplan-Meier curve for time to deterioration based on EORTC-QLQ-C30 (ITT) in NAPOLI-3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432632" name="Picture 1352432632" descr="Figure 3: Kaplan-Meier curve for time to deterioration based on EORTC-QLQ-C30 (ITT) in NAPOLI-3 trial."/>
                    <pic:cNvPicPr/>
                  </pic:nvPicPr>
                  <pic:blipFill>
                    <a:blip r:embed="rId10"/>
                    <a:stretch>
                      <a:fillRect/>
                    </a:stretch>
                  </pic:blipFill>
                  <pic:spPr>
                    <a:xfrm>
                      <a:off x="0" y="0"/>
                      <a:ext cx="5731510" cy="3263900"/>
                    </a:xfrm>
                    <a:prstGeom prst="rect">
                      <a:avLst/>
                    </a:prstGeom>
                  </pic:spPr>
                </pic:pic>
              </a:graphicData>
            </a:graphic>
          </wp:inline>
        </w:drawing>
      </w:r>
    </w:p>
    <w:p w14:paraId="25520A24" w14:textId="77777777" w:rsidR="00016609" w:rsidRPr="009A3AE9" w:rsidRDefault="00016609" w:rsidP="004D10D6">
      <w:pPr>
        <w:pStyle w:val="FooterTableFigure"/>
        <w:keepNext/>
        <w:keepLines/>
      </w:pPr>
      <w:r w:rsidRPr="009A3AE9">
        <w:t>Source: Figure 15, p71 of submission.</w:t>
      </w:r>
    </w:p>
    <w:p w14:paraId="575BDAFF" w14:textId="5FDD7EBA" w:rsidR="00016609" w:rsidRPr="00456281" w:rsidRDefault="00016609" w:rsidP="00016609">
      <w:pPr>
        <w:pStyle w:val="FooterTableFigure"/>
      </w:pPr>
      <w:r w:rsidRPr="009A3AE9">
        <w:t>Abbreviations:</w:t>
      </w:r>
      <w:r w:rsidR="00E43A2C" w:rsidRPr="009A3AE9">
        <w:t xml:space="preserve"> </w:t>
      </w:r>
      <w:r w:rsidRPr="009A3AE9">
        <w:t xml:space="preserve">CI, confidence interval; EORTC-QLQ-C30, European Organisation for Research and Treatment of Cancer quality of life core questionnaire; Gem+NabP, gemcitabine plus nanoparticle </w:t>
      </w:r>
      <w:r w:rsidR="00D83C9B" w:rsidRPr="009A3AE9">
        <w:t>albumin-bound</w:t>
      </w:r>
      <w:r w:rsidRPr="009A3AE9">
        <w:t xml:space="preserve"> paclitaxel; HR, hazard ratio; NabP, nanoparticle </w:t>
      </w:r>
      <w:r w:rsidR="00D83C9B" w:rsidRPr="009A3AE9">
        <w:t>albumin-bound</w:t>
      </w:r>
      <w:r w:rsidRPr="009A3AE9">
        <w:t xml:space="preserve"> paclitaxel; NALIRIFOX, 5-fluorouracil, Leucovorin/folinic acid, nanoliposomal irinotecan (nal-IRI), and oxaliplatin; QoL, quality of life.</w:t>
      </w:r>
    </w:p>
    <w:p w14:paraId="33D47853" w14:textId="43BB41C9" w:rsidR="00016609" w:rsidRPr="00456281" w:rsidRDefault="00016609" w:rsidP="00E01320">
      <w:pPr>
        <w:pStyle w:val="5-SubsectionSubheading"/>
      </w:pPr>
      <w:r w:rsidRPr="00456281">
        <w:t xml:space="preserve">NALIRIFOX </w:t>
      </w:r>
      <w:r w:rsidR="00873C83" w:rsidRPr="00456281">
        <w:t xml:space="preserve">versus </w:t>
      </w:r>
      <w:r w:rsidRPr="00456281">
        <w:t xml:space="preserve">FOLFIRINOX </w:t>
      </w:r>
    </w:p>
    <w:p w14:paraId="2F9D825C" w14:textId="5FC5AB3C" w:rsidR="00F36D17" w:rsidRPr="00456281" w:rsidRDefault="00E90C0C" w:rsidP="00CE0150">
      <w:pPr>
        <w:pStyle w:val="3-BodyText"/>
        <w:rPr>
          <w:i/>
        </w:rPr>
      </w:pPr>
      <w:r w:rsidRPr="00456281">
        <w:t xml:space="preserve">The submission presented a ‘side by side’ comparison of the key efficacy and safety outcomes of the </w:t>
      </w:r>
      <w:r w:rsidR="00DE1A2F" w:rsidRPr="00456281">
        <w:t xml:space="preserve">NAPOLI-3, </w:t>
      </w:r>
      <w:r w:rsidRPr="00456281">
        <w:t>ACCORD11/PRODIGE4</w:t>
      </w:r>
      <w:r w:rsidR="00DE1A2F" w:rsidRPr="00456281">
        <w:t xml:space="preserve"> and </w:t>
      </w:r>
      <w:r w:rsidRPr="00456281">
        <w:t xml:space="preserve">MPACT trials. </w:t>
      </w:r>
      <w:r w:rsidR="00110F02" w:rsidRPr="00456281">
        <w:t xml:space="preserve">The submission stated that due to poor exchangeability of the trials, neither a naïve comparison of single arms, nor a multistep ITC, </w:t>
      </w:r>
      <w:r w:rsidR="00DA3193" w:rsidRPr="00456281">
        <w:t xml:space="preserve">was </w:t>
      </w:r>
      <w:r w:rsidR="00110F02" w:rsidRPr="00456281">
        <w:t xml:space="preserve">considered </w:t>
      </w:r>
      <w:r w:rsidR="5CCCE6E0" w:rsidRPr="00456281">
        <w:t>appropriate</w:t>
      </w:r>
      <w:r w:rsidR="00016609" w:rsidRPr="00456281">
        <w:t xml:space="preserve">. </w:t>
      </w:r>
    </w:p>
    <w:p w14:paraId="24789091" w14:textId="1943E797" w:rsidR="00971B28" w:rsidRPr="00456281" w:rsidRDefault="00382EE2" w:rsidP="00A147F1">
      <w:pPr>
        <w:pStyle w:val="3-BodyText"/>
      </w:pPr>
      <w:r w:rsidRPr="00456281">
        <w:lastRenderedPageBreak/>
        <w:t>A multistep ITC comparing the ITT population of NAPOLI-3, MPACT and ACCORD11/PRODIGE4 trials was conducted during the evaluation</w:t>
      </w:r>
      <w:r w:rsidR="00A73C75" w:rsidRPr="00456281">
        <w:t xml:space="preserve"> </w:t>
      </w:r>
      <w:r w:rsidR="00EC6E30" w:rsidRPr="00456281">
        <w:t xml:space="preserve">to compare </w:t>
      </w:r>
      <w:r w:rsidR="00A07F63" w:rsidRPr="00456281">
        <w:t xml:space="preserve">NALIRIFOX vs FOLFIRINOX using </w:t>
      </w:r>
      <w:r w:rsidR="00DE1A2F" w:rsidRPr="00456281">
        <w:t xml:space="preserve">two </w:t>
      </w:r>
      <w:r w:rsidR="00A07F63" w:rsidRPr="00456281">
        <w:t>common reference groups</w:t>
      </w:r>
      <w:r w:rsidR="00DE1A2F" w:rsidRPr="00456281">
        <w:t>:</w:t>
      </w:r>
      <w:r w:rsidR="00A07F63" w:rsidRPr="00456281">
        <w:t xml:space="preserve"> gemcitabine and Gem+NabP</w:t>
      </w:r>
      <w:r w:rsidR="006A4D98" w:rsidRPr="00456281">
        <w:t xml:space="preserve">. </w:t>
      </w:r>
      <w:r w:rsidRPr="00456281">
        <w:t>Results should be interpreted with caution</w:t>
      </w:r>
      <w:r w:rsidR="006A4D98" w:rsidRPr="00456281">
        <w:t xml:space="preserve"> noting the </w:t>
      </w:r>
      <w:r w:rsidR="000D48F4" w:rsidRPr="00456281">
        <w:t>potential transitivity issues</w:t>
      </w:r>
      <w:r w:rsidR="0083495B" w:rsidRPr="00456281">
        <w:t xml:space="preserve"> across these trials</w:t>
      </w:r>
      <w:r w:rsidR="00971B28" w:rsidRPr="00456281">
        <w:t xml:space="preserve"> (see paragraphs </w:t>
      </w:r>
      <w:r w:rsidR="00971B28" w:rsidRPr="00456281">
        <w:fldChar w:fldCharType="begin"/>
      </w:r>
      <w:r w:rsidR="00971B28" w:rsidRPr="00456281">
        <w:instrText xml:space="preserve"> REF _Ref156383412 \r \h </w:instrText>
      </w:r>
      <w:r w:rsidR="008712E0" w:rsidRPr="00456281">
        <w:instrText xml:space="preserve"> \* MERGEFORMAT </w:instrText>
      </w:r>
      <w:r w:rsidR="00971B28" w:rsidRPr="00456281">
        <w:fldChar w:fldCharType="separate"/>
      </w:r>
      <w:r w:rsidR="00EE5AD4">
        <w:t>6.20</w:t>
      </w:r>
      <w:r w:rsidR="00971B28" w:rsidRPr="00456281">
        <w:fldChar w:fldCharType="end"/>
      </w:r>
      <w:r w:rsidR="00971B28" w:rsidRPr="00456281">
        <w:t xml:space="preserve"> to </w:t>
      </w:r>
      <w:r w:rsidR="00971B28" w:rsidRPr="00456281">
        <w:fldChar w:fldCharType="begin"/>
      </w:r>
      <w:r w:rsidR="00971B28" w:rsidRPr="00456281">
        <w:instrText xml:space="preserve"> REF _Ref156570705 \r \h </w:instrText>
      </w:r>
      <w:r w:rsidR="008712E0" w:rsidRPr="00456281">
        <w:instrText xml:space="preserve"> \* MERGEFORMAT </w:instrText>
      </w:r>
      <w:r w:rsidR="00971B28" w:rsidRPr="00456281">
        <w:fldChar w:fldCharType="separate"/>
      </w:r>
      <w:r w:rsidR="00EE5AD4">
        <w:t>6.21</w:t>
      </w:r>
      <w:r w:rsidR="00971B28" w:rsidRPr="00456281">
        <w:fldChar w:fldCharType="end"/>
      </w:r>
      <w:r w:rsidR="00971B28" w:rsidRPr="00456281">
        <w:t xml:space="preserve">). </w:t>
      </w:r>
    </w:p>
    <w:p w14:paraId="03D3437A" w14:textId="0042394D" w:rsidR="00016609" w:rsidRPr="00456281" w:rsidRDefault="00016609" w:rsidP="00A147F1">
      <w:pPr>
        <w:pStyle w:val="3-BodyText"/>
      </w:pPr>
      <w:r w:rsidRPr="00456281">
        <w:fldChar w:fldCharType="begin"/>
      </w:r>
      <w:r w:rsidRPr="00456281">
        <w:instrText xml:space="preserve"> REF _Ref153723390 \h </w:instrText>
      </w:r>
      <w:r w:rsidRPr="00456281">
        <w:fldChar w:fldCharType="separate"/>
      </w:r>
      <w:r w:rsidR="00EE5AD4" w:rsidRPr="00456281">
        <w:t xml:space="preserve">Table </w:t>
      </w:r>
      <w:r w:rsidR="00EE5AD4">
        <w:rPr>
          <w:noProof/>
        </w:rPr>
        <w:t>5</w:t>
      </w:r>
      <w:r w:rsidRPr="00456281">
        <w:fldChar w:fldCharType="end"/>
      </w:r>
      <w:r w:rsidRPr="00456281">
        <w:t xml:space="preserve"> presents the results of OS, PFS and ORR reported across all trials.</w:t>
      </w:r>
      <w:r w:rsidR="00382EE2" w:rsidRPr="00456281">
        <w:t xml:space="preserve"> </w:t>
      </w:r>
    </w:p>
    <w:p w14:paraId="5AD0575E" w14:textId="15204C14" w:rsidR="00016609" w:rsidRPr="00456281" w:rsidRDefault="00016609" w:rsidP="002B3A12">
      <w:pPr>
        <w:pStyle w:val="TableFigureHeading"/>
        <w:rPr>
          <w:rStyle w:val="CommentReference"/>
          <w:b/>
          <w:szCs w:val="24"/>
        </w:rPr>
      </w:pPr>
      <w:bookmarkStart w:id="72" w:name="_Ref153723390"/>
      <w:bookmarkStart w:id="73" w:name="_Hlk158884019"/>
      <w:r w:rsidRPr="00456281">
        <w:lastRenderedPageBreak/>
        <w:t xml:space="preserve">Table </w:t>
      </w:r>
      <w:r w:rsidR="00B75F7B">
        <w:fldChar w:fldCharType="begin"/>
      </w:r>
      <w:r w:rsidR="00B75F7B">
        <w:instrText xml:space="preserve"> SEQ Table \* ARABIC </w:instrText>
      </w:r>
      <w:r w:rsidR="00B75F7B">
        <w:fldChar w:fldCharType="separate"/>
      </w:r>
      <w:r w:rsidR="00EE5AD4">
        <w:rPr>
          <w:noProof/>
        </w:rPr>
        <w:t>5</w:t>
      </w:r>
      <w:r w:rsidR="00B75F7B">
        <w:fldChar w:fldCharType="end"/>
      </w:r>
      <w:bookmarkEnd w:id="72"/>
      <w:r w:rsidRPr="00456281">
        <w:t>:</w:t>
      </w:r>
      <w:r w:rsidRPr="00456281">
        <w:rPr>
          <w:rStyle w:val="CommentReference"/>
          <w:b/>
          <w:szCs w:val="24"/>
        </w:rPr>
        <w:t xml:space="preserve"> Results of OS, PFS and ORR across the trials </w:t>
      </w:r>
    </w:p>
    <w:tbl>
      <w:tblPr>
        <w:tblStyle w:val="TableGrid"/>
        <w:tblW w:w="9098" w:type="dxa"/>
        <w:tblLayout w:type="fixed"/>
        <w:tblLook w:val="04A0" w:firstRow="1" w:lastRow="0" w:firstColumn="1" w:lastColumn="0" w:noHBand="0" w:noVBand="1"/>
        <w:tblCaption w:val="Table 5: Results of OS, PFS and ORR across the trials "/>
      </w:tblPr>
      <w:tblGrid>
        <w:gridCol w:w="1696"/>
        <w:gridCol w:w="1276"/>
        <w:gridCol w:w="1134"/>
        <w:gridCol w:w="1276"/>
        <w:gridCol w:w="1276"/>
        <w:gridCol w:w="1182"/>
        <w:gridCol w:w="1258"/>
      </w:tblGrid>
      <w:tr w:rsidR="00016609" w:rsidRPr="00456281" w14:paraId="25E6DFF6" w14:textId="7F87E993" w:rsidTr="00956744">
        <w:trPr>
          <w:trHeight w:val="304"/>
        </w:trPr>
        <w:tc>
          <w:tcPr>
            <w:tcW w:w="1696" w:type="dxa"/>
            <w:shd w:val="clear" w:color="auto" w:fill="auto"/>
          </w:tcPr>
          <w:p w14:paraId="05B485E5" w14:textId="0DBB8DF8" w:rsidR="00016609" w:rsidRPr="00456281" w:rsidRDefault="00016609" w:rsidP="00360CB1">
            <w:pPr>
              <w:pStyle w:val="In-tableHeading"/>
              <w:rPr>
                <w:lang w:val="en-AU"/>
              </w:rPr>
            </w:pPr>
          </w:p>
        </w:tc>
        <w:tc>
          <w:tcPr>
            <w:tcW w:w="2410" w:type="dxa"/>
            <w:gridSpan w:val="2"/>
            <w:shd w:val="clear" w:color="auto" w:fill="auto"/>
          </w:tcPr>
          <w:p w14:paraId="7981665F" w14:textId="542F5ECE" w:rsidR="00016609" w:rsidRPr="00456281" w:rsidRDefault="00016609" w:rsidP="00360CB1">
            <w:pPr>
              <w:pStyle w:val="In-tableHeading"/>
              <w:jc w:val="center"/>
              <w:rPr>
                <w:lang w:val="en-AU"/>
              </w:rPr>
            </w:pPr>
            <w:r w:rsidRPr="00456281">
              <w:rPr>
                <w:lang w:val="en-AU"/>
              </w:rPr>
              <w:t>ACCORD11/PRODIGE4</w:t>
            </w:r>
          </w:p>
          <w:p w14:paraId="744155F3" w14:textId="2EF47639" w:rsidR="00016609" w:rsidRPr="00456281" w:rsidRDefault="00016609" w:rsidP="00360CB1">
            <w:pPr>
              <w:pStyle w:val="In-tableHeading"/>
              <w:jc w:val="center"/>
              <w:rPr>
                <w:lang w:val="en-AU"/>
              </w:rPr>
            </w:pPr>
            <w:r w:rsidRPr="00456281">
              <w:rPr>
                <w:lang w:val="en-AU"/>
              </w:rPr>
              <w:t>N=342</w:t>
            </w:r>
          </w:p>
        </w:tc>
        <w:tc>
          <w:tcPr>
            <w:tcW w:w="2552" w:type="dxa"/>
            <w:gridSpan w:val="2"/>
            <w:shd w:val="clear" w:color="auto" w:fill="auto"/>
          </w:tcPr>
          <w:p w14:paraId="098B4CD5" w14:textId="7F1BE591" w:rsidR="00016609" w:rsidRPr="00456281" w:rsidRDefault="00016609" w:rsidP="00360CB1">
            <w:pPr>
              <w:pStyle w:val="In-tableHeading"/>
              <w:jc w:val="center"/>
              <w:rPr>
                <w:lang w:val="en-AU"/>
              </w:rPr>
            </w:pPr>
            <w:r w:rsidRPr="00456281">
              <w:rPr>
                <w:lang w:val="en-AU"/>
              </w:rPr>
              <w:t>MPACT</w:t>
            </w:r>
          </w:p>
          <w:p w14:paraId="400F3D1A" w14:textId="5D12777C" w:rsidR="00016609" w:rsidRPr="00456281" w:rsidRDefault="00016609" w:rsidP="00360CB1">
            <w:pPr>
              <w:pStyle w:val="In-tableHeading"/>
              <w:jc w:val="center"/>
              <w:rPr>
                <w:lang w:val="en-AU"/>
              </w:rPr>
            </w:pPr>
            <w:r w:rsidRPr="00456281">
              <w:rPr>
                <w:lang w:val="en-AU"/>
              </w:rPr>
              <w:t>N=861</w:t>
            </w:r>
          </w:p>
        </w:tc>
        <w:tc>
          <w:tcPr>
            <w:tcW w:w="2440" w:type="dxa"/>
            <w:gridSpan w:val="2"/>
            <w:shd w:val="clear" w:color="auto" w:fill="auto"/>
          </w:tcPr>
          <w:p w14:paraId="23A7F15A" w14:textId="21EB913D" w:rsidR="00016609" w:rsidRPr="00456281" w:rsidRDefault="00016609" w:rsidP="00360CB1">
            <w:pPr>
              <w:pStyle w:val="In-tableHeading"/>
              <w:jc w:val="center"/>
              <w:rPr>
                <w:lang w:val="en-AU"/>
              </w:rPr>
            </w:pPr>
            <w:r w:rsidRPr="00456281">
              <w:rPr>
                <w:lang w:val="en-AU"/>
              </w:rPr>
              <w:t>NAPOLI-3</w:t>
            </w:r>
          </w:p>
          <w:p w14:paraId="7CE2DA8A" w14:textId="6C0E66BA" w:rsidR="00016609" w:rsidRPr="00456281" w:rsidRDefault="00016609" w:rsidP="00360CB1">
            <w:pPr>
              <w:pStyle w:val="In-tableHeading"/>
              <w:jc w:val="center"/>
              <w:rPr>
                <w:lang w:val="en-AU"/>
              </w:rPr>
            </w:pPr>
            <w:r w:rsidRPr="00456281">
              <w:rPr>
                <w:lang w:val="en-AU"/>
              </w:rPr>
              <w:t>N=770</w:t>
            </w:r>
          </w:p>
        </w:tc>
      </w:tr>
      <w:tr w:rsidR="00016609" w:rsidRPr="00456281" w14:paraId="1C5EFE9C" w14:textId="2E48C08D" w:rsidTr="00956744">
        <w:trPr>
          <w:trHeight w:val="64"/>
        </w:trPr>
        <w:tc>
          <w:tcPr>
            <w:tcW w:w="1696" w:type="dxa"/>
            <w:shd w:val="clear" w:color="auto" w:fill="auto"/>
          </w:tcPr>
          <w:p w14:paraId="252AB5B6" w14:textId="776F2166" w:rsidR="00016609" w:rsidRPr="00456281" w:rsidRDefault="00016609" w:rsidP="00360CB1">
            <w:pPr>
              <w:pStyle w:val="In-tableHeading"/>
              <w:rPr>
                <w:lang w:val="en-AU"/>
              </w:rPr>
            </w:pPr>
            <w:r w:rsidRPr="00456281">
              <w:rPr>
                <w:lang w:val="en-AU"/>
              </w:rPr>
              <w:t>Treatment arm</w:t>
            </w:r>
          </w:p>
        </w:tc>
        <w:tc>
          <w:tcPr>
            <w:tcW w:w="1276" w:type="dxa"/>
            <w:shd w:val="clear" w:color="auto" w:fill="auto"/>
          </w:tcPr>
          <w:p w14:paraId="7289DCAF" w14:textId="191BB4EE" w:rsidR="00016609" w:rsidRPr="00456281" w:rsidRDefault="00016609" w:rsidP="00360CB1">
            <w:pPr>
              <w:pStyle w:val="In-tableHeading"/>
              <w:jc w:val="center"/>
              <w:rPr>
                <w:lang w:val="en-AU"/>
              </w:rPr>
            </w:pPr>
            <w:r w:rsidRPr="00456281">
              <w:rPr>
                <w:lang w:val="en-AU"/>
              </w:rPr>
              <w:t>FOLFIRINOX</w:t>
            </w:r>
          </w:p>
        </w:tc>
        <w:tc>
          <w:tcPr>
            <w:tcW w:w="1134" w:type="dxa"/>
            <w:shd w:val="clear" w:color="auto" w:fill="auto"/>
          </w:tcPr>
          <w:p w14:paraId="2DE4100C" w14:textId="2034E5DD" w:rsidR="00016609" w:rsidRPr="00456281" w:rsidRDefault="00016609" w:rsidP="00360CB1">
            <w:pPr>
              <w:pStyle w:val="In-tableHeading"/>
              <w:jc w:val="center"/>
              <w:rPr>
                <w:lang w:val="en-AU"/>
              </w:rPr>
            </w:pPr>
            <w:r w:rsidRPr="00456281">
              <w:rPr>
                <w:lang w:val="en-AU"/>
              </w:rPr>
              <w:t>Gem</w:t>
            </w:r>
          </w:p>
        </w:tc>
        <w:tc>
          <w:tcPr>
            <w:tcW w:w="1276" w:type="dxa"/>
            <w:shd w:val="clear" w:color="auto" w:fill="auto"/>
          </w:tcPr>
          <w:p w14:paraId="21487A8C" w14:textId="795C8549" w:rsidR="00016609" w:rsidRPr="00456281" w:rsidRDefault="00016609" w:rsidP="00360CB1">
            <w:pPr>
              <w:pStyle w:val="In-tableHeading"/>
              <w:jc w:val="center"/>
              <w:rPr>
                <w:lang w:val="en-AU"/>
              </w:rPr>
            </w:pPr>
            <w:r w:rsidRPr="00456281">
              <w:rPr>
                <w:lang w:val="en-AU"/>
              </w:rPr>
              <w:t>Gem+NabP</w:t>
            </w:r>
          </w:p>
        </w:tc>
        <w:tc>
          <w:tcPr>
            <w:tcW w:w="1276" w:type="dxa"/>
            <w:shd w:val="clear" w:color="auto" w:fill="auto"/>
          </w:tcPr>
          <w:p w14:paraId="74920CB2" w14:textId="5133C044" w:rsidR="00016609" w:rsidRPr="00456281" w:rsidRDefault="00016609" w:rsidP="00360CB1">
            <w:pPr>
              <w:pStyle w:val="In-tableHeading"/>
              <w:jc w:val="center"/>
              <w:rPr>
                <w:lang w:val="en-AU"/>
              </w:rPr>
            </w:pPr>
            <w:r w:rsidRPr="00456281">
              <w:rPr>
                <w:lang w:val="en-AU"/>
              </w:rPr>
              <w:t>Gem</w:t>
            </w:r>
          </w:p>
        </w:tc>
        <w:tc>
          <w:tcPr>
            <w:tcW w:w="1182" w:type="dxa"/>
            <w:shd w:val="clear" w:color="auto" w:fill="auto"/>
          </w:tcPr>
          <w:p w14:paraId="21FDFF94" w14:textId="167A6FDC" w:rsidR="00016609" w:rsidRPr="00456281" w:rsidRDefault="00016609" w:rsidP="00360CB1">
            <w:pPr>
              <w:pStyle w:val="In-tableHeading"/>
              <w:jc w:val="center"/>
              <w:rPr>
                <w:lang w:val="en-AU"/>
              </w:rPr>
            </w:pPr>
            <w:r w:rsidRPr="00456281">
              <w:rPr>
                <w:lang w:val="en-AU"/>
              </w:rPr>
              <w:t>NALIRIFOX</w:t>
            </w:r>
          </w:p>
        </w:tc>
        <w:tc>
          <w:tcPr>
            <w:tcW w:w="1258" w:type="dxa"/>
            <w:shd w:val="clear" w:color="auto" w:fill="auto"/>
          </w:tcPr>
          <w:p w14:paraId="28428E6F" w14:textId="1BF8AE70" w:rsidR="00016609" w:rsidRPr="00456281" w:rsidRDefault="00016609" w:rsidP="00360CB1">
            <w:pPr>
              <w:pStyle w:val="In-tableHeading"/>
              <w:jc w:val="center"/>
              <w:rPr>
                <w:lang w:val="en-AU"/>
              </w:rPr>
            </w:pPr>
            <w:r w:rsidRPr="00456281">
              <w:rPr>
                <w:lang w:val="en-AU"/>
              </w:rPr>
              <w:t>Gem+NabP</w:t>
            </w:r>
          </w:p>
        </w:tc>
      </w:tr>
      <w:tr w:rsidR="00016609" w:rsidRPr="00456281" w14:paraId="0D0C579C" w14:textId="4419E29C" w:rsidTr="00956744">
        <w:trPr>
          <w:trHeight w:val="64"/>
        </w:trPr>
        <w:tc>
          <w:tcPr>
            <w:tcW w:w="1696" w:type="dxa"/>
            <w:shd w:val="clear" w:color="auto" w:fill="auto"/>
          </w:tcPr>
          <w:p w14:paraId="035A68B0" w14:textId="4C96DCDB" w:rsidR="00016609" w:rsidRPr="00456281" w:rsidRDefault="00016609" w:rsidP="00360CB1">
            <w:pPr>
              <w:pStyle w:val="In-tableHeading"/>
              <w:rPr>
                <w:lang w:val="en-AU"/>
              </w:rPr>
            </w:pPr>
            <w:r w:rsidRPr="00456281">
              <w:rPr>
                <w:lang w:val="en-AU"/>
              </w:rPr>
              <w:t>n</w:t>
            </w:r>
          </w:p>
        </w:tc>
        <w:tc>
          <w:tcPr>
            <w:tcW w:w="1276" w:type="dxa"/>
            <w:shd w:val="clear" w:color="auto" w:fill="auto"/>
          </w:tcPr>
          <w:p w14:paraId="3E6EDC63" w14:textId="6C3E2FD5" w:rsidR="00016609" w:rsidRPr="00456281" w:rsidRDefault="00016609" w:rsidP="00360CB1">
            <w:pPr>
              <w:pStyle w:val="In-tableHeading"/>
              <w:jc w:val="center"/>
              <w:rPr>
                <w:lang w:val="en-AU"/>
              </w:rPr>
            </w:pPr>
            <w:r w:rsidRPr="00456281">
              <w:rPr>
                <w:lang w:val="en-AU"/>
              </w:rPr>
              <w:t>171</w:t>
            </w:r>
          </w:p>
        </w:tc>
        <w:tc>
          <w:tcPr>
            <w:tcW w:w="1134" w:type="dxa"/>
            <w:shd w:val="clear" w:color="auto" w:fill="auto"/>
          </w:tcPr>
          <w:p w14:paraId="3E09A180" w14:textId="1910AC28" w:rsidR="00016609" w:rsidRPr="00456281" w:rsidRDefault="00016609" w:rsidP="00360CB1">
            <w:pPr>
              <w:pStyle w:val="In-tableHeading"/>
              <w:jc w:val="center"/>
              <w:rPr>
                <w:lang w:val="en-AU"/>
              </w:rPr>
            </w:pPr>
            <w:r w:rsidRPr="00456281">
              <w:rPr>
                <w:lang w:val="en-AU"/>
              </w:rPr>
              <w:t>171</w:t>
            </w:r>
          </w:p>
        </w:tc>
        <w:tc>
          <w:tcPr>
            <w:tcW w:w="1276" w:type="dxa"/>
            <w:shd w:val="clear" w:color="auto" w:fill="auto"/>
          </w:tcPr>
          <w:p w14:paraId="128575AF" w14:textId="08E96DCE" w:rsidR="00016609" w:rsidRPr="00456281" w:rsidRDefault="00016609" w:rsidP="00360CB1">
            <w:pPr>
              <w:pStyle w:val="In-tableHeading"/>
              <w:jc w:val="center"/>
              <w:rPr>
                <w:lang w:val="en-AU"/>
              </w:rPr>
            </w:pPr>
            <w:r w:rsidRPr="00456281">
              <w:rPr>
                <w:lang w:val="en-AU"/>
              </w:rPr>
              <w:t>431</w:t>
            </w:r>
          </w:p>
        </w:tc>
        <w:tc>
          <w:tcPr>
            <w:tcW w:w="1276" w:type="dxa"/>
            <w:shd w:val="clear" w:color="auto" w:fill="auto"/>
          </w:tcPr>
          <w:p w14:paraId="2500674F" w14:textId="1C46ABFC" w:rsidR="00016609" w:rsidRPr="00456281" w:rsidRDefault="00016609" w:rsidP="00360CB1">
            <w:pPr>
              <w:pStyle w:val="In-tableHeading"/>
              <w:jc w:val="center"/>
              <w:rPr>
                <w:lang w:val="en-AU"/>
              </w:rPr>
            </w:pPr>
            <w:r w:rsidRPr="00456281">
              <w:rPr>
                <w:lang w:val="en-AU"/>
              </w:rPr>
              <w:t>430</w:t>
            </w:r>
          </w:p>
        </w:tc>
        <w:tc>
          <w:tcPr>
            <w:tcW w:w="1182" w:type="dxa"/>
            <w:shd w:val="clear" w:color="auto" w:fill="auto"/>
          </w:tcPr>
          <w:p w14:paraId="1B880609" w14:textId="6E8338F4" w:rsidR="00016609" w:rsidRPr="00456281" w:rsidRDefault="00016609" w:rsidP="00360CB1">
            <w:pPr>
              <w:pStyle w:val="In-tableHeading"/>
              <w:jc w:val="center"/>
              <w:rPr>
                <w:lang w:val="en-AU"/>
              </w:rPr>
            </w:pPr>
            <w:r w:rsidRPr="00456281">
              <w:rPr>
                <w:lang w:val="en-AU"/>
              </w:rPr>
              <w:t>383</w:t>
            </w:r>
          </w:p>
        </w:tc>
        <w:tc>
          <w:tcPr>
            <w:tcW w:w="1258" w:type="dxa"/>
            <w:shd w:val="clear" w:color="auto" w:fill="auto"/>
          </w:tcPr>
          <w:p w14:paraId="4C5C53EC" w14:textId="426F54ED" w:rsidR="00016609" w:rsidRPr="00456281" w:rsidRDefault="00016609" w:rsidP="00360CB1">
            <w:pPr>
              <w:pStyle w:val="In-tableHeading"/>
              <w:jc w:val="center"/>
              <w:rPr>
                <w:lang w:val="en-AU"/>
              </w:rPr>
            </w:pPr>
            <w:r w:rsidRPr="00456281">
              <w:rPr>
                <w:lang w:val="en-AU"/>
              </w:rPr>
              <w:t>387</w:t>
            </w:r>
          </w:p>
        </w:tc>
      </w:tr>
      <w:tr w:rsidR="00016609" w:rsidRPr="00456281" w14:paraId="4CF17A9E" w14:textId="35B4CAA0" w:rsidTr="00956744">
        <w:trPr>
          <w:trHeight w:val="304"/>
        </w:trPr>
        <w:tc>
          <w:tcPr>
            <w:tcW w:w="1696" w:type="dxa"/>
            <w:shd w:val="clear" w:color="auto" w:fill="auto"/>
          </w:tcPr>
          <w:p w14:paraId="2D89AB1A" w14:textId="0C7EDB55" w:rsidR="00016609" w:rsidRPr="00456281" w:rsidRDefault="00016609" w:rsidP="00360CB1">
            <w:pPr>
              <w:pStyle w:val="TableText0"/>
            </w:pPr>
            <w:r w:rsidRPr="00456281">
              <w:t>Median follow up, months (95% CI)</w:t>
            </w:r>
          </w:p>
        </w:tc>
        <w:tc>
          <w:tcPr>
            <w:tcW w:w="2410" w:type="dxa"/>
            <w:gridSpan w:val="2"/>
            <w:shd w:val="clear" w:color="auto" w:fill="auto"/>
          </w:tcPr>
          <w:p w14:paraId="61116418" w14:textId="1504E5F6" w:rsidR="00FF2FBA" w:rsidRPr="00456281" w:rsidRDefault="00016609" w:rsidP="00360CB1">
            <w:pPr>
              <w:pStyle w:val="TableText0"/>
              <w:jc w:val="center"/>
            </w:pPr>
            <w:r w:rsidRPr="00456281">
              <w:t xml:space="preserve">26.6 </w:t>
            </w:r>
          </w:p>
          <w:p w14:paraId="1575DD77" w14:textId="4F57DA13" w:rsidR="00016609" w:rsidRPr="00456281" w:rsidRDefault="00016609" w:rsidP="00360CB1">
            <w:pPr>
              <w:pStyle w:val="TableText0"/>
              <w:jc w:val="center"/>
            </w:pPr>
            <w:r w:rsidRPr="00456281">
              <w:t>(20.5, 44.9)</w:t>
            </w:r>
          </w:p>
        </w:tc>
        <w:tc>
          <w:tcPr>
            <w:tcW w:w="1276" w:type="dxa"/>
            <w:shd w:val="clear" w:color="auto" w:fill="auto"/>
          </w:tcPr>
          <w:p w14:paraId="0EF29A8A" w14:textId="10AE3049" w:rsidR="00FF2FBA" w:rsidRPr="00456281" w:rsidRDefault="00016609" w:rsidP="00360CB1">
            <w:pPr>
              <w:pStyle w:val="TableText0"/>
              <w:jc w:val="center"/>
            </w:pPr>
            <w:r w:rsidRPr="00456281">
              <w:t xml:space="preserve">9.1 </w:t>
            </w:r>
          </w:p>
          <w:p w14:paraId="65BDC99D" w14:textId="7AA44779" w:rsidR="00016609" w:rsidRPr="00456281" w:rsidRDefault="00016609" w:rsidP="00360CB1">
            <w:pPr>
              <w:pStyle w:val="TableText0"/>
              <w:jc w:val="center"/>
            </w:pPr>
            <w:r w:rsidRPr="00456281">
              <w:t>(0.1, 36.9)</w:t>
            </w:r>
          </w:p>
        </w:tc>
        <w:tc>
          <w:tcPr>
            <w:tcW w:w="1276" w:type="dxa"/>
            <w:shd w:val="clear" w:color="auto" w:fill="auto"/>
          </w:tcPr>
          <w:p w14:paraId="2C0D745C" w14:textId="2045561C" w:rsidR="00FF2FBA" w:rsidRPr="00456281" w:rsidRDefault="00016609" w:rsidP="00360CB1">
            <w:pPr>
              <w:pStyle w:val="TableText0"/>
              <w:jc w:val="center"/>
            </w:pPr>
            <w:r w:rsidRPr="00456281">
              <w:t xml:space="preserve">7.4 </w:t>
            </w:r>
          </w:p>
          <w:p w14:paraId="3CEC6C65" w14:textId="2651A528" w:rsidR="00016609" w:rsidRPr="00456281" w:rsidRDefault="00016609" w:rsidP="00360CB1">
            <w:pPr>
              <w:pStyle w:val="TableText0"/>
              <w:jc w:val="center"/>
            </w:pPr>
            <w:r w:rsidRPr="00456281">
              <w:t>(0.0, 31.3)</w:t>
            </w:r>
          </w:p>
        </w:tc>
        <w:tc>
          <w:tcPr>
            <w:tcW w:w="1182" w:type="dxa"/>
            <w:shd w:val="clear" w:color="auto" w:fill="auto"/>
          </w:tcPr>
          <w:p w14:paraId="74F157A3" w14:textId="30856603" w:rsidR="00FF2FBA" w:rsidRPr="00456281" w:rsidRDefault="00016609" w:rsidP="00360CB1">
            <w:pPr>
              <w:pStyle w:val="TableText0"/>
              <w:jc w:val="center"/>
            </w:pPr>
            <w:r w:rsidRPr="00456281">
              <w:t xml:space="preserve">16.0 </w:t>
            </w:r>
          </w:p>
          <w:p w14:paraId="550728CB" w14:textId="12C642C6" w:rsidR="00016609" w:rsidRPr="00456281" w:rsidRDefault="00016609" w:rsidP="00360CB1">
            <w:pPr>
              <w:pStyle w:val="TableText0"/>
              <w:jc w:val="center"/>
            </w:pPr>
            <w:r w:rsidRPr="00456281">
              <w:t>(15.0, 16.8)</w:t>
            </w:r>
          </w:p>
        </w:tc>
        <w:tc>
          <w:tcPr>
            <w:tcW w:w="1258" w:type="dxa"/>
            <w:shd w:val="clear" w:color="auto" w:fill="auto"/>
          </w:tcPr>
          <w:p w14:paraId="6A09ABBE" w14:textId="1C526FBA" w:rsidR="00FF2FBA" w:rsidRPr="00456281" w:rsidRDefault="00016609" w:rsidP="00360CB1">
            <w:pPr>
              <w:pStyle w:val="TableText0"/>
              <w:jc w:val="center"/>
            </w:pPr>
            <w:r w:rsidRPr="00456281">
              <w:t xml:space="preserve">16.3 </w:t>
            </w:r>
          </w:p>
          <w:p w14:paraId="0EB4E63D" w14:textId="68418C6B" w:rsidR="00016609" w:rsidRPr="00456281" w:rsidRDefault="00016609" w:rsidP="00360CB1">
            <w:pPr>
              <w:pStyle w:val="TableText0"/>
              <w:jc w:val="center"/>
            </w:pPr>
            <w:r w:rsidRPr="00456281">
              <w:t>(15.0, 17.5)</w:t>
            </w:r>
          </w:p>
        </w:tc>
      </w:tr>
      <w:tr w:rsidR="00016609" w:rsidRPr="00456281" w14:paraId="1807823E" w14:textId="5C1AF565" w:rsidTr="00956744">
        <w:trPr>
          <w:trHeight w:val="64"/>
        </w:trPr>
        <w:tc>
          <w:tcPr>
            <w:tcW w:w="9098" w:type="dxa"/>
            <w:gridSpan w:val="7"/>
            <w:shd w:val="clear" w:color="auto" w:fill="auto"/>
          </w:tcPr>
          <w:p w14:paraId="66F9CBAC" w14:textId="47106C63" w:rsidR="00016609" w:rsidRPr="00456281" w:rsidRDefault="00016609" w:rsidP="00360CB1">
            <w:pPr>
              <w:pStyle w:val="In-tableHeading"/>
              <w:rPr>
                <w:lang w:val="en-AU"/>
              </w:rPr>
            </w:pPr>
            <w:r w:rsidRPr="00456281">
              <w:rPr>
                <w:lang w:val="en-AU"/>
              </w:rPr>
              <w:t>Overall Survival</w:t>
            </w:r>
          </w:p>
        </w:tc>
      </w:tr>
      <w:tr w:rsidR="00016609" w:rsidRPr="00456281" w14:paraId="369F39C0" w14:textId="5E5B5E3E" w:rsidTr="00956744">
        <w:trPr>
          <w:trHeight w:val="64"/>
        </w:trPr>
        <w:tc>
          <w:tcPr>
            <w:tcW w:w="1696" w:type="dxa"/>
            <w:shd w:val="clear" w:color="auto" w:fill="auto"/>
          </w:tcPr>
          <w:p w14:paraId="731C488E" w14:textId="1EF5B9A0" w:rsidR="00016609" w:rsidRPr="00456281" w:rsidRDefault="00016609" w:rsidP="00360CB1">
            <w:pPr>
              <w:pStyle w:val="TableText0"/>
            </w:pPr>
            <w:r w:rsidRPr="00456281">
              <w:t>Death, n (%)</w:t>
            </w:r>
          </w:p>
        </w:tc>
        <w:tc>
          <w:tcPr>
            <w:tcW w:w="2410" w:type="dxa"/>
            <w:gridSpan w:val="2"/>
            <w:shd w:val="clear" w:color="auto" w:fill="auto"/>
          </w:tcPr>
          <w:p w14:paraId="1F186D18" w14:textId="285A631C" w:rsidR="00016609" w:rsidRPr="00456281" w:rsidRDefault="00016609" w:rsidP="00360CB1">
            <w:pPr>
              <w:pStyle w:val="TableText0"/>
              <w:jc w:val="center"/>
            </w:pPr>
            <w:r w:rsidRPr="00456281">
              <w:t>273 (79.8)</w:t>
            </w:r>
          </w:p>
        </w:tc>
        <w:tc>
          <w:tcPr>
            <w:tcW w:w="1276" w:type="dxa"/>
            <w:shd w:val="clear" w:color="auto" w:fill="auto"/>
          </w:tcPr>
          <w:p w14:paraId="071DEECA" w14:textId="23C08D77" w:rsidR="00016609" w:rsidRPr="00456281" w:rsidRDefault="00016609" w:rsidP="00360CB1">
            <w:pPr>
              <w:pStyle w:val="TableText0"/>
              <w:jc w:val="center"/>
            </w:pPr>
            <w:r w:rsidRPr="00456281">
              <w:t>333 (77.3)</w:t>
            </w:r>
          </w:p>
        </w:tc>
        <w:tc>
          <w:tcPr>
            <w:tcW w:w="1276" w:type="dxa"/>
            <w:shd w:val="clear" w:color="auto" w:fill="auto"/>
          </w:tcPr>
          <w:p w14:paraId="225E7049" w14:textId="6B86051D" w:rsidR="00016609" w:rsidRPr="00456281" w:rsidRDefault="00016609" w:rsidP="00360CB1">
            <w:pPr>
              <w:pStyle w:val="TableText0"/>
              <w:jc w:val="center"/>
            </w:pPr>
            <w:r w:rsidRPr="00456281">
              <w:t>359 (83.5)</w:t>
            </w:r>
          </w:p>
        </w:tc>
        <w:tc>
          <w:tcPr>
            <w:tcW w:w="1182" w:type="dxa"/>
            <w:shd w:val="clear" w:color="auto" w:fill="auto"/>
          </w:tcPr>
          <w:p w14:paraId="1C065D24" w14:textId="1826FAD0" w:rsidR="00016609" w:rsidRPr="00456281" w:rsidRDefault="00016609" w:rsidP="00360CB1">
            <w:pPr>
              <w:pStyle w:val="TableText0"/>
              <w:jc w:val="center"/>
            </w:pPr>
            <w:r w:rsidRPr="00456281">
              <w:t>259 (67.6)</w:t>
            </w:r>
          </w:p>
        </w:tc>
        <w:tc>
          <w:tcPr>
            <w:tcW w:w="1258" w:type="dxa"/>
            <w:shd w:val="clear" w:color="auto" w:fill="auto"/>
          </w:tcPr>
          <w:p w14:paraId="3B2FDF88" w14:textId="417270BA" w:rsidR="00016609" w:rsidRPr="00456281" w:rsidRDefault="00016609" w:rsidP="00360CB1">
            <w:pPr>
              <w:pStyle w:val="TableText0"/>
              <w:jc w:val="center"/>
            </w:pPr>
            <w:r w:rsidRPr="00456281">
              <w:t>285 (73.6)</w:t>
            </w:r>
          </w:p>
        </w:tc>
      </w:tr>
      <w:tr w:rsidR="00016609" w:rsidRPr="00456281" w14:paraId="1D511DE7" w14:textId="7A70A46F" w:rsidTr="00956744">
        <w:trPr>
          <w:trHeight w:val="185"/>
        </w:trPr>
        <w:tc>
          <w:tcPr>
            <w:tcW w:w="9098" w:type="dxa"/>
            <w:gridSpan w:val="7"/>
            <w:shd w:val="clear" w:color="auto" w:fill="auto"/>
          </w:tcPr>
          <w:p w14:paraId="15775052" w14:textId="6BC8339B" w:rsidR="00016609" w:rsidRPr="00456281" w:rsidRDefault="00016609" w:rsidP="00360CB1">
            <w:pPr>
              <w:pStyle w:val="TableText0"/>
            </w:pPr>
            <w:r w:rsidRPr="00456281">
              <w:t>Event free probability, % (95% CI)</w:t>
            </w:r>
          </w:p>
        </w:tc>
      </w:tr>
      <w:tr w:rsidR="00016609" w:rsidRPr="00456281" w14:paraId="3A68C34F" w14:textId="6F1D6EF9" w:rsidTr="00956744">
        <w:trPr>
          <w:trHeight w:val="304"/>
        </w:trPr>
        <w:tc>
          <w:tcPr>
            <w:tcW w:w="1696" w:type="dxa"/>
            <w:shd w:val="clear" w:color="auto" w:fill="auto"/>
          </w:tcPr>
          <w:p w14:paraId="4BF4DEAA" w14:textId="0441961A" w:rsidR="00016609" w:rsidRPr="00456281" w:rsidRDefault="00016609" w:rsidP="00360CB1">
            <w:pPr>
              <w:pStyle w:val="TableText0"/>
            </w:pPr>
            <w:r w:rsidRPr="00456281">
              <w:t>6 months</w:t>
            </w:r>
          </w:p>
        </w:tc>
        <w:tc>
          <w:tcPr>
            <w:tcW w:w="1276" w:type="dxa"/>
            <w:shd w:val="clear" w:color="auto" w:fill="auto"/>
          </w:tcPr>
          <w:p w14:paraId="6FACF896" w14:textId="13EA4E93" w:rsidR="00FF2FBA" w:rsidRPr="00456281" w:rsidRDefault="00016609" w:rsidP="00360CB1">
            <w:pPr>
              <w:pStyle w:val="TableText0"/>
              <w:jc w:val="center"/>
            </w:pPr>
            <w:r w:rsidRPr="00456281">
              <w:t xml:space="preserve">75.9 </w:t>
            </w:r>
          </w:p>
          <w:p w14:paraId="0C0EFEFF" w14:textId="6EB33C62" w:rsidR="00016609" w:rsidRPr="00456281" w:rsidRDefault="00016609" w:rsidP="00360CB1">
            <w:pPr>
              <w:pStyle w:val="TableText0"/>
              <w:jc w:val="center"/>
            </w:pPr>
            <w:r w:rsidRPr="00456281">
              <w:t>(NR)</w:t>
            </w:r>
          </w:p>
        </w:tc>
        <w:tc>
          <w:tcPr>
            <w:tcW w:w="1134" w:type="dxa"/>
            <w:shd w:val="clear" w:color="auto" w:fill="auto"/>
          </w:tcPr>
          <w:p w14:paraId="3B911D45" w14:textId="0F1E237C" w:rsidR="00FF2FBA" w:rsidRPr="00456281" w:rsidRDefault="00016609" w:rsidP="00360CB1">
            <w:pPr>
              <w:pStyle w:val="TableText0"/>
              <w:jc w:val="center"/>
            </w:pPr>
            <w:r w:rsidRPr="00456281">
              <w:t xml:space="preserve">57.6 </w:t>
            </w:r>
          </w:p>
          <w:p w14:paraId="36592AF1" w14:textId="564F821C" w:rsidR="00016609" w:rsidRPr="00456281" w:rsidRDefault="00016609" w:rsidP="00360CB1">
            <w:pPr>
              <w:pStyle w:val="TableText0"/>
              <w:jc w:val="center"/>
            </w:pPr>
            <w:r w:rsidRPr="00456281">
              <w:t>(NR)</w:t>
            </w:r>
          </w:p>
        </w:tc>
        <w:tc>
          <w:tcPr>
            <w:tcW w:w="1276" w:type="dxa"/>
            <w:shd w:val="clear" w:color="auto" w:fill="auto"/>
          </w:tcPr>
          <w:p w14:paraId="63FE79E9" w14:textId="6D457492" w:rsidR="00FF2FBA" w:rsidRPr="00456281" w:rsidRDefault="00016609" w:rsidP="00360CB1">
            <w:pPr>
              <w:pStyle w:val="TableText0"/>
              <w:jc w:val="center"/>
            </w:pPr>
            <w:r w:rsidRPr="00456281">
              <w:t xml:space="preserve">67 </w:t>
            </w:r>
          </w:p>
          <w:p w14:paraId="15D14322" w14:textId="3F688EE5" w:rsidR="00016609" w:rsidRPr="00456281" w:rsidRDefault="00016609" w:rsidP="00360CB1">
            <w:pPr>
              <w:pStyle w:val="TableText0"/>
              <w:jc w:val="center"/>
            </w:pPr>
            <w:r w:rsidRPr="00456281">
              <w:t>(62, 71)</w:t>
            </w:r>
          </w:p>
        </w:tc>
        <w:tc>
          <w:tcPr>
            <w:tcW w:w="1276" w:type="dxa"/>
            <w:shd w:val="clear" w:color="auto" w:fill="auto"/>
          </w:tcPr>
          <w:p w14:paraId="09DB5A4E" w14:textId="6812BAFB" w:rsidR="00FF2FBA" w:rsidRPr="00456281" w:rsidRDefault="00016609" w:rsidP="00360CB1">
            <w:pPr>
              <w:pStyle w:val="TableText0"/>
              <w:jc w:val="center"/>
            </w:pPr>
            <w:r w:rsidRPr="00456281">
              <w:t xml:space="preserve">55 </w:t>
            </w:r>
          </w:p>
          <w:p w14:paraId="18093231" w14:textId="4D013B19" w:rsidR="00016609" w:rsidRPr="00456281" w:rsidRDefault="00016609" w:rsidP="00360CB1">
            <w:pPr>
              <w:pStyle w:val="TableText0"/>
              <w:jc w:val="center"/>
            </w:pPr>
            <w:r w:rsidRPr="00456281">
              <w:t>(50, 60)</w:t>
            </w:r>
          </w:p>
        </w:tc>
        <w:tc>
          <w:tcPr>
            <w:tcW w:w="1182" w:type="dxa"/>
            <w:shd w:val="clear" w:color="auto" w:fill="auto"/>
          </w:tcPr>
          <w:p w14:paraId="1718C71B" w14:textId="4A05DDA4" w:rsidR="00FF2FBA" w:rsidRPr="00456281" w:rsidRDefault="00016609" w:rsidP="00360CB1">
            <w:pPr>
              <w:pStyle w:val="TableText0"/>
              <w:jc w:val="center"/>
            </w:pPr>
            <w:r w:rsidRPr="00456281">
              <w:t xml:space="preserve">72.4 </w:t>
            </w:r>
          </w:p>
          <w:p w14:paraId="33D7362D" w14:textId="59C6EE24" w:rsidR="00016609" w:rsidRPr="00456281" w:rsidRDefault="00016609" w:rsidP="00360CB1">
            <w:pPr>
              <w:pStyle w:val="TableText0"/>
              <w:jc w:val="center"/>
            </w:pPr>
            <w:r w:rsidRPr="00456281">
              <w:t>(67.6, 76.6)</w:t>
            </w:r>
          </w:p>
        </w:tc>
        <w:tc>
          <w:tcPr>
            <w:tcW w:w="1258" w:type="dxa"/>
            <w:shd w:val="clear" w:color="auto" w:fill="auto"/>
          </w:tcPr>
          <w:p w14:paraId="51F20F2F" w14:textId="128111D5" w:rsidR="00FF2FBA" w:rsidRPr="00456281" w:rsidRDefault="00016609" w:rsidP="00360CB1">
            <w:pPr>
              <w:pStyle w:val="TableText0"/>
              <w:jc w:val="center"/>
            </w:pPr>
            <w:r w:rsidRPr="00456281">
              <w:t xml:space="preserve">68.4 </w:t>
            </w:r>
          </w:p>
          <w:p w14:paraId="624634E9" w14:textId="1983C4B1" w:rsidR="00016609" w:rsidRPr="00456281" w:rsidRDefault="00016609" w:rsidP="00360CB1">
            <w:pPr>
              <w:pStyle w:val="TableText0"/>
              <w:jc w:val="center"/>
            </w:pPr>
            <w:r w:rsidRPr="00456281">
              <w:t>(63.5, 72.8)</w:t>
            </w:r>
          </w:p>
        </w:tc>
      </w:tr>
      <w:tr w:rsidR="00016609" w:rsidRPr="00456281" w14:paraId="210AB609" w14:textId="5520691D" w:rsidTr="00956744">
        <w:trPr>
          <w:trHeight w:val="176"/>
        </w:trPr>
        <w:tc>
          <w:tcPr>
            <w:tcW w:w="1696" w:type="dxa"/>
            <w:shd w:val="clear" w:color="auto" w:fill="auto"/>
          </w:tcPr>
          <w:p w14:paraId="6019806B" w14:textId="7CDB4784" w:rsidR="00016609" w:rsidRPr="00456281" w:rsidRDefault="00016609" w:rsidP="00360CB1">
            <w:pPr>
              <w:pStyle w:val="TableText0"/>
            </w:pPr>
            <w:r w:rsidRPr="00456281">
              <w:t>12 months</w:t>
            </w:r>
          </w:p>
        </w:tc>
        <w:tc>
          <w:tcPr>
            <w:tcW w:w="1276" w:type="dxa"/>
            <w:shd w:val="clear" w:color="auto" w:fill="auto"/>
          </w:tcPr>
          <w:p w14:paraId="23869A00" w14:textId="39804900" w:rsidR="00FF2FBA" w:rsidRPr="00456281" w:rsidRDefault="00016609" w:rsidP="00360CB1">
            <w:pPr>
              <w:pStyle w:val="TableText0"/>
              <w:jc w:val="center"/>
            </w:pPr>
            <w:r w:rsidRPr="00456281">
              <w:t xml:space="preserve">48.4 </w:t>
            </w:r>
          </w:p>
          <w:p w14:paraId="4D607717" w14:textId="26620CAD" w:rsidR="00016609" w:rsidRPr="00456281" w:rsidRDefault="00016609" w:rsidP="00360CB1">
            <w:pPr>
              <w:pStyle w:val="TableText0"/>
              <w:jc w:val="center"/>
            </w:pPr>
            <w:r w:rsidRPr="00456281">
              <w:t>(NR)</w:t>
            </w:r>
          </w:p>
        </w:tc>
        <w:tc>
          <w:tcPr>
            <w:tcW w:w="1134" w:type="dxa"/>
            <w:shd w:val="clear" w:color="auto" w:fill="auto"/>
          </w:tcPr>
          <w:p w14:paraId="66F33E11" w14:textId="2F063ED3" w:rsidR="00FF2FBA" w:rsidRPr="00456281" w:rsidRDefault="00016609" w:rsidP="00360CB1">
            <w:pPr>
              <w:pStyle w:val="TableText0"/>
              <w:jc w:val="center"/>
            </w:pPr>
            <w:r w:rsidRPr="00456281">
              <w:t xml:space="preserve">20.6 </w:t>
            </w:r>
          </w:p>
          <w:p w14:paraId="08C58E9E" w14:textId="5B0C58BE" w:rsidR="00016609" w:rsidRPr="00456281" w:rsidRDefault="00016609" w:rsidP="00360CB1">
            <w:pPr>
              <w:pStyle w:val="TableText0"/>
              <w:jc w:val="center"/>
            </w:pPr>
            <w:r w:rsidRPr="00456281">
              <w:t>(NR)</w:t>
            </w:r>
          </w:p>
        </w:tc>
        <w:tc>
          <w:tcPr>
            <w:tcW w:w="1276" w:type="dxa"/>
            <w:shd w:val="clear" w:color="auto" w:fill="auto"/>
          </w:tcPr>
          <w:p w14:paraId="654BBE75" w14:textId="5CEED2FD" w:rsidR="00FF2FBA" w:rsidRPr="00456281" w:rsidRDefault="00016609" w:rsidP="00360CB1">
            <w:pPr>
              <w:pStyle w:val="TableText0"/>
              <w:jc w:val="center"/>
            </w:pPr>
            <w:r w:rsidRPr="00456281">
              <w:t xml:space="preserve">35 </w:t>
            </w:r>
          </w:p>
          <w:p w14:paraId="1DFCEE09" w14:textId="00F8D84C" w:rsidR="00016609" w:rsidRPr="00456281" w:rsidRDefault="00016609" w:rsidP="00360CB1">
            <w:pPr>
              <w:pStyle w:val="TableText0"/>
              <w:jc w:val="center"/>
            </w:pPr>
            <w:r w:rsidRPr="00456281">
              <w:t>(30, 39)</w:t>
            </w:r>
          </w:p>
        </w:tc>
        <w:tc>
          <w:tcPr>
            <w:tcW w:w="1276" w:type="dxa"/>
            <w:shd w:val="clear" w:color="auto" w:fill="auto"/>
          </w:tcPr>
          <w:p w14:paraId="442301CD" w14:textId="2B30785B" w:rsidR="00FF2FBA" w:rsidRPr="00456281" w:rsidRDefault="00016609" w:rsidP="00360CB1">
            <w:pPr>
              <w:pStyle w:val="TableText0"/>
              <w:jc w:val="center"/>
            </w:pPr>
            <w:r w:rsidRPr="00456281">
              <w:t xml:space="preserve">22 </w:t>
            </w:r>
          </w:p>
          <w:p w14:paraId="0B449050" w14:textId="16A3E95E" w:rsidR="00016609" w:rsidRPr="00456281" w:rsidRDefault="00016609" w:rsidP="00360CB1">
            <w:pPr>
              <w:pStyle w:val="TableText0"/>
              <w:jc w:val="center"/>
            </w:pPr>
            <w:r w:rsidRPr="00456281">
              <w:t>(18, 27)</w:t>
            </w:r>
          </w:p>
        </w:tc>
        <w:tc>
          <w:tcPr>
            <w:tcW w:w="1182" w:type="dxa"/>
            <w:shd w:val="clear" w:color="auto" w:fill="auto"/>
          </w:tcPr>
          <w:p w14:paraId="011BDF8B" w14:textId="0E1685AE" w:rsidR="00FF2FBA" w:rsidRPr="00456281" w:rsidRDefault="00016609" w:rsidP="00360CB1">
            <w:pPr>
              <w:pStyle w:val="TableText0"/>
              <w:jc w:val="center"/>
            </w:pPr>
            <w:r w:rsidRPr="00456281">
              <w:t xml:space="preserve">45.6 </w:t>
            </w:r>
          </w:p>
          <w:p w14:paraId="6060F3A6" w14:textId="25B6FEA5" w:rsidR="00016609" w:rsidRPr="00456281" w:rsidRDefault="00016609" w:rsidP="00360CB1">
            <w:pPr>
              <w:pStyle w:val="TableText0"/>
              <w:jc w:val="center"/>
            </w:pPr>
            <w:r w:rsidRPr="00456281">
              <w:t>(40.5, 50.5)</w:t>
            </w:r>
          </w:p>
        </w:tc>
        <w:tc>
          <w:tcPr>
            <w:tcW w:w="1258" w:type="dxa"/>
            <w:shd w:val="clear" w:color="auto" w:fill="auto"/>
          </w:tcPr>
          <w:p w14:paraId="2311D5CB" w14:textId="405007F0" w:rsidR="00FF2FBA" w:rsidRPr="00456281" w:rsidRDefault="00016609" w:rsidP="00360CB1">
            <w:pPr>
              <w:pStyle w:val="TableText0"/>
              <w:jc w:val="center"/>
            </w:pPr>
            <w:r w:rsidRPr="00456281">
              <w:t xml:space="preserve">39.5 </w:t>
            </w:r>
          </w:p>
          <w:p w14:paraId="0270160E" w14:textId="06325CD7" w:rsidR="00016609" w:rsidRPr="00456281" w:rsidRDefault="00016609" w:rsidP="00360CB1">
            <w:pPr>
              <w:pStyle w:val="TableText0"/>
              <w:jc w:val="center"/>
            </w:pPr>
            <w:r w:rsidRPr="00456281">
              <w:t>(34.6, 44.4)</w:t>
            </w:r>
          </w:p>
        </w:tc>
      </w:tr>
      <w:tr w:rsidR="00016609" w:rsidRPr="00456281" w14:paraId="334223CD" w14:textId="1E5BCDC8" w:rsidTr="00956744">
        <w:trPr>
          <w:trHeight w:val="266"/>
        </w:trPr>
        <w:tc>
          <w:tcPr>
            <w:tcW w:w="1696" w:type="dxa"/>
            <w:shd w:val="clear" w:color="auto" w:fill="auto"/>
          </w:tcPr>
          <w:p w14:paraId="32F62B6C" w14:textId="1A6A1C48" w:rsidR="00016609" w:rsidRPr="00456281" w:rsidRDefault="00016609" w:rsidP="00360CB1">
            <w:pPr>
              <w:pStyle w:val="TableText0"/>
            </w:pPr>
            <w:r w:rsidRPr="00456281">
              <w:t>18 months</w:t>
            </w:r>
          </w:p>
        </w:tc>
        <w:tc>
          <w:tcPr>
            <w:tcW w:w="1276" w:type="dxa"/>
            <w:shd w:val="clear" w:color="auto" w:fill="auto"/>
          </w:tcPr>
          <w:p w14:paraId="0029F765" w14:textId="671D9EAF" w:rsidR="00FF2FBA" w:rsidRPr="00456281" w:rsidRDefault="00016609" w:rsidP="00360CB1">
            <w:pPr>
              <w:pStyle w:val="TableText0"/>
              <w:jc w:val="center"/>
            </w:pPr>
            <w:r w:rsidRPr="00456281">
              <w:t xml:space="preserve">18.6 </w:t>
            </w:r>
          </w:p>
          <w:p w14:paraId="28ECA8E6" w14:textId="008829D0" w:rsidR="00016609" w:rsidRPr="00456281" w:rsidRDefault="00016609" w:rsidP="00360CB1">
            <w:pPr>
              <w:pStyle w:val="TableText0"/>
              <w:jc w:val="center"/>
            </w:pPr>
            <w:r w:rsidRPr="00456281">
              <w:t>(NR)</w:t>
            </w:r>
          </w:p>
        </w:tc>
        <w:tc>
          <w:tcPr>
            <w:tcW w:w="1134" w:type="dxa"/>
            <w:shd w:val="clear" w:color="auto" w:fill="auto"/>
          </w:tcPr>
          <w:p w14:paraId="7BFFA7C1" w14:textId="074AEE08" w:rsidR="00FF2FBA" w:rsidRPr="00456281" w:rsidRDefault="00016609" w:rsidP="00360CB1">
            <w:pPr>
              <w:pStyle w:val="TableText0"/>
              <w:jc w:val="center"/>
            </w:pPr>
            <w:r w:rsidRPr="00456281">
              <w:t xml:space="preserve">6.0 </w:t>
            </w:r>
          </w:p>
          <w:p w14:paraId="1A185127" w14:textId="1C906973" w:rsidR="00016609" w:rsidRPr="00456281" w:rsidRDefault="00016609" w:rsidP="00360CB1">
            <w:pPr>
              <w:pStyle w:val="TableText0"/>
              <w:jc w:val="center"/>
            </w:pPr>
            <w:r w:rsidRPr="00456281">
              <w:t>(NR)</w:t>
            </w:r>
          </w:p>
        </w:tc>
        <w:tc>
          <w:tcPr>
            <w:tcW w:w="1276" w:type="dxa"/>
            <w:shd w:val="clear" w:color="auto" w:fill="auto"/>
          </w:tcPr>
          <w:p w14:paraId="31F9F544" w14:textId="4CAD615D" w:rsidR="00FF2FBA" w:rsidRPr="00456281" w:rsidRDefault="00016609" w:rsidP="00360CB1">
            <w:pPr>
              <w:pStyle w:val="TableText0"/>
              <w:jc w:val="center"/>
            </w:pPr>
            <w:r w:rsidRPr="00456281">
              <w:t xml:space="preserve">16 </w:t>
            </w:r>
          </w:p>
          <w:p w14:paraId="31EE1797" w14:textId="04765724" w:rsidR="00016609" w:rsidRPr="00456281" w:rsidRDefault="00016609" w:rsidP="00360CB1">
            <w:pPr>
              <w:pStyle w:val="TableText0"/>
              <w:jc w:val="center"/>
            </w:pPr>
            <w:r w:rsidRPr="00456281">
              <w:t>(12, 20)</w:t>
            </w:r>
          </w:p>
        </w:tc>
        <w:tc>
          <w:tcPr>
            <w:tcW w:w="1276" w:type="dxa"/>
            <w:shd w:val="clear" w:color="auto" w:fill="auto"/>
          </w:tcPr>
          <w:p w14:paraId="6D24E770" w14:textId="698F5310" w:rsidR="00FF2FBA" w:rsidRPr="00456281" w:rsidRDefault="00016609" w:rsidP="00360CB1">
            <w:pPr>
              <w:pStyle w:val="TableText0"/>
              <w:jc w:val="center"/>
            </w:pPr>
            <w:r w:rsidRPr="00456281">
              <w:t xml:space="preserve">9 </w:t>
            </w:r>
          </w:p>
          <w:p w14:paraId="160BCE34" w14:textId="57C6A20E" w:rsidR="00016609" w:rsidRPr="00456281" w:rsidRDefault="00016609" w:rsidP="00360CB1">
            <w:pPr>
              <w:pStyle w:val="TableText0"/>
              <w:jc w:val="center"/>
            </w:pPr>
            <w:r w:rsidRPr="00456281">
              <w:t>(6, 12)</w:t>
            </w:r>
          </w:p>
        </w:tc>
        <w:tc>
          <w:tcPr>
            <w:tcW w:w="1182" w:type="dxa"/>
            <w:shd w:val="clear" w:color="auto" w:fill="auto"/>
          </w:tcPr>
          <w:p w14:paraId="27130795" w14:textId="17A61FED" w:rsidR="00FF2FBA" w:rsidRPr="00456281" w:rsidRDefault="00016609" w:rsidP="00360CB1">
            <w:pPr>
              <w:pStyle w:val="TableText0"/>
              <w:jc w:val="center"/>
            </w:pPr>
            <w:r w:rsidRPr="00456281">
              <w:t xml:space="preserve">26.2 </w:t>
            </w:r>
          </w:p>
          <w:p w14:paraId="5DF26C44" w14:textId="7C13A035" w:rsidR="00016609" w:rsidRPr="00456281" w:rsidRDefault="00016609" w:rsidP="00360CB1">
            <w:pPr>
              <w:pStyle w:val="TableText0"/>
              <w:jc w:val="center"/>
            </w:pPr>
            <w:r w:rsidRPr="00456281">
              <w:t>(20.9, 31.7)</w:t>
            </w:r>
          </w:p>
        </w:tc>
        <w:tc>
          <w:tcPr>
            <w:tcW w:w="1258" w:type="dxa"/>
            <w:shd w:val="clear" w:color="auto" w:fill="auto"/>
          </w:tcPr>
          <w:p w14:paraId="2286767C" w14:textId="55D4C994" w:rsidR="00FF2FBA" w:rsidRPr="00456281" w:rsidRDefault="00016609" w:rsidP="00360CB1">
            <w:pPr>
              <w:pStyle w:val="TableText0"/>
              <w:jc w:val="center"/>
            </w:pPr>
            <w:r w:rsidRPr="00456281">
              <w:t xml:space="preserve">19.3 </w:t>
            </w:r>
          </w:p>
          <w:p w14:paraId="38306291" w14:textId="1DF6C121" w:rsidR="00016609" w:rsidRPr="00456281" w:rsidRDefault="00016609" w:rsidP="00360CB1">
            <w:pPr>
              <w:pStyle w:val="TableText0"/>
              <w:jc w:val="center"/>
            </w:pPr>
            <w:r w:rsidRPr="00456281">
              <w:t>(14.8, 24.2)</w:t>
            </w:r>
          </w:p>
        </w:tc>
      </w:tr>
      <w:tr w:rsidR="00016609" w:rsidRPr="00456281" w14:paraId="0DE9085B" w14:textId="6ED657AC" w:rsidTr="00956744">
        <w:trPr>
          <w:trHeight w:val="64"/>
        </w:trPr>
        <w:tc>
          <w:tcPr>
            <w:tcW w:w="1696" w:type="dxa"/>
            <w:shd w:val="clear" w:color="auto" w:fill="auto"/>
          </w:tcPr>
          <w:p w14:paraId="0B64421F" w14:textId="5FC38CCC" w:rsidR="00016609" w:rsidRPr="00456281" w:rsidRDefault="00016609" w:rsidP="00360CB1">
            <w:pPr>
              <w:pStyle w:val="TableText0"/>
            </w:pPr>
            <w:r w:rsidRPr="00456281">
              <w:t>Median (95% CI), months</w:t>
            </w:r>
          </w:p>
        </w:tc>
        <w:tc>
          <w:tcPr>
            <w:tcW w:w="1276" w:type="dxa"/>
            <w:shd w:val="clear" w:color="auto" w:fill="auto"/>
          </w:tcPr>
          <w:p w14:paraId="20496027" w14:textId="6FBAFB91" w:rsidR="00016609" w:rsidRPr="00456281" w:rsidRDefault="00016609" w:rsidP="00360CB1">
            <w:pPr>
              <w:pStyle w:val="TableText0"/>
              <w:jc w:val="center"/>
            </w:pPr>
            <w:r w:rsidRPr="00456281">
              <w:t>11.1 (9.0, 13.1)</w:t>
            </w:r>
          </w:p>
        </w:tc>
        <w:tc>
          <w:tcPr>
            <w:tcW w:w="1134" w:type="dxa"/>
            <w:shd w:val="clear" w:color="auto" w:fill="auto"/>
          </w:tcPr>
          <w:p w14:paraId="29B5B9C8" w14:textId="25DFCD02" w:rsidR="00FF2FBA" w:rsidRPr="00456281" w:rsidRDefault="00016609" w:rsidP="00360CB1">
            <w:pPr>
              <w:pStyle w:val="TableText0"/>
              <w:jc w:val="center"/>
            </w:pPr>
            <w:r w:rsidRPr="00456281">
              <w:t xml:space="preserve">6.8 </w:t>
            </w:r>
          </w:p>
          <w:p w14:paraId="39FA772F" w14:textId="49E0EEE7" w:rsidR="00016609" w:rsidRPr="00456281" w:rsidRDefault="00016609" w:rsidP="00360CB1">
            <w:pPr>
              <w:pStyle w:val="TableText0"/>
              <w:jc w:val="center"/>
            </w:pPr>
            <w:r w:rsidRPr="00456281">
              <w:t>(5.5, 7.6)</w:t>
            </w:r>
          </w:p>
        </w:tc>
        <w:tc>
          <w:tcPr>
            <w:tcW w:w="1276" w:type="dxa"/>
            <w:shd w:val="clear" w:color="auto" w:fill="auto"/>
          </w:tcPr>
          <w:p w14:paraId="4E1C9815" w14:textId="2B882FF5" w:rsidR="00FF2FBA" w:rsidRPr="00456281" w:rsidRDefault="00016609" w:rsidP="00360CB1">
            <w:pPr>
              <w:pStyle w:val="TableText0"/>
              <w:jc w:val="center"/>
            </w:pPr>
            <w:r w:rsidRPr="00456281">
              <w:t xml:space="preserve">8.5 </w:t>
            </w:r>
          </w:p>
          <w:p w14:paraId="58BB16B2" w14:textId="215C6513" w:rsidR="00016609" w:rsidRPr="00456281" w:rsidRDefault="00016609" w:rsidP="00360CB1">
            <w:pPr>
              <w:pStyle w:val="TableText0"/>
              <w:jc w:val="center"/>
            </w:pPr>
            <w:r w:rsidRPr="00456281">
              <w:t>(7.9, 9.5)</w:t>
            </w:r>
          </w:p>
        </w:tc>
        <w:tc>
          <w:tcPr>
            <w:tcW w:w="1276" w:type="dxa"/>
            <w:shd w:val="clear" w:color="auto" w:fill="auto"/>
          </w:tcPr>
          <w:p w14:paraId="0A98B25F" w14:textId="03323211" w:rsidR="00FF2FBA" w:rsidRPr="00456281" w:rsidRDefault="00016609" w:rsidP="00360CB1">
            <w:pPr>
              <w:pStyle w:val="TableText0"/>
              <w:jc w:val="center"/>
            </w:pPr>
            <w:r w:rsidRPr="00456281">
              <w:t xml:space="preserve">6.7 </w:t>
            </w:r>
          </w:p>
          <w:p w14:paraId="1C629597" w14:textId="134E727B" w:rsidR="00016609" w:rsidRPr="00456281" w:rsidRDefault="00016609" w:rsidP="00360CB1">
            <w:pPr>
              <w:pStyle w:val="TableText0"/>
              <w:jc w:val="center"/>
            </w:pPr>
            <w:r w:rsidRPr="00456281">
              <w:t>(6.0, 7.2)</w:t>
            </w:r>
          </w:p>
        </w:tc>
        <w:tc>
          <w:tcPr>
            <w:tcW w:w="1182" w:type="dxa"/>
            <w:shd w:val="clear" w:color="auto" w:fill="auto"/>
          </w:tcPr>
          <w:p w14:paraId="0267D591" w14:textId="386E8D31" w:rsidR="00FF2FBA" w:rsidRPr="00456281" w:rsidRDefault="00016609" w:rsidP="00360CB1">
            <w:pPr>
              <w:pStyle w:val="TableText0"/>
              <w:jc w:val="center"/>
            </w:pPr>
            <w:r w:rsidRPr="00456281">
              <w:t xml:space="preserve">11.1 </w:t>
            </w:r>
          </w:p>
          <w:p w14:paraId="0D117D0D" w14:textId="10538B01" w:rsidR="00016609" w:rsidRPr="00456281" w:rsidRDefault="00016609" w:rsidP="00360CB1">
            <w:pPr>
              <w:pStyle w:val="TableText0"/>
              <w:jc w:val="center"/>
            </w:pPr>
            <w:r w:rsidRPr="00456281">
              <w:t>(10.0, 12.1)</w:t>
            </w:r>
          </w:p>
        </w:tc>
        <w:tc>
          <w:tcPr>
            <w:tcW w:w="1258" w:type="dxa"/>
            <w:shd w:val="clear" w:color="auto" w:fill="auto"/>
          </w:tcPr>
          <w:p w14:paraId="06460431" w14:textId="0BDD5AED" w:rsidR="00FF2FBA" w:rsidRPr="00456281" w:rsidRDefault="00016609" w:rsidP="00360CB1">
            <w:pPr>
              <w:pStyle w:val="TableText0"/>
              <w:jc w:val="center"/>
            </w:pPr>
            <w:r w:rsidRPr="00456281">
              <w:t xml:space="preserve">9.2 </w:t>
            </w:r>
          </w:p>
          <w:p w14:paraId="72F7223A" w14:textId="07C36A6C" w:rsidR="00016609" w:rsidRPr="00456281" w:rsidRDefault="00016609" w:rsidP="00360CB1">
            <w:pPr>
              <w:pStyle w:val="TableText0"/>
              <w:jc w:val="center"/>
            </w:pPr>
            <w:r w:rsidRPr="00456281">
              <w:t>(8.3, 10.6)</w:t>
            </w:r>
          </w:p>
        </w:tc>
      </w:tr>
      <w:tr w:rsidR="00016609" w:rsidRPr="00456281" w14:paraId="4A629B75" w14:textId="1B8696D3" w:rsidTr="00956744">
        <w:trPr>
          <w:trHeight w:val="304"/>
        </w:trPr>
        <w:tc>
          <w:tcPr>
            <w:tcW w:w="1696" w:type="dxa"/>
            <w:shd w:val="clear" w:color="auto" w:fill="auto"/>
          </w:tcPr>
          <w:p w14:paraId="3FF23325" w14:textId="627204CC" w:rsidR="00016609" w:rsidRPr="00456281" w:rsidRDefault="00016609" w:rsidP="00360CB1">
            <w:pPr>
              <w:pStyle w:val="TableText0"/>
            </w:pPr>
            <w:r w:rsidRPr="00456281">
              <w:t>Stratified HR (95% CI; p-value)</w:t>
            </w:r>
          </w:p>
        </w:tc>
        <w:tc>
          <w:tcPr>
            <w:tcW w:w="2410" w:type="dxa"/>
            <w:gridSpan w:val="2"/>
            <w:shd w:val="clear" w:color="auto" w:fill="auto"/>
          </w:tcPr>
          <w:p w14:paraId="49A0F319" w14:textId="604F5F14" w:rsidR="00016609" w:rsidRPr="00456281" w:rsidRDefault="00016609" w:rsidP="00360CB1">
            <w:pPr>
              <w:pStyle w:val="TableText0"/>
              <w:jc w:val="center"/>
              <w:rPr>
                <w:b/>
              </w:rPr>
            </w:pPr>
            <w:r w:rsidRPr="00456281">
              <w:rPr>
                <w:b/>
              </w:rPr>
              <w:t>0.57 (0.45, 0.73); p &lt; 0.001</w:t>
            </w:r>
          </w:p>
        </w:tc>
        <w:tc>
          <w:tcPr>
            <w:tcW w:w="2552" w:type="dxa"/>
            <w:gridSpan w:val="2"/>
            <w:shd w:val="clear" w:color="auto" w:fill="auto"/>
          </w:tcPr>
          <w:p w14:paraId="3E9AEC0F" w14:textId="630A2324" w:rsidR="00016609" w:rsidRPr="00456281" w:rsidRDefault="00016609" w:rsidP="00360CB1">
            <w:pPr>
              <w:pStyle w:val="TableText0"/>
              <w:jc w:val="center"/>
              <w:rPr>
                <w:b/>
              </w:rPr>
            </w:pPr>
            <w:r w:rsidRPr="00456281">
              <w:rPr>
                <w:b/>
              </w:rPr>
              <w:t>0.72 (0.62, 0.83); p &lt; 0.001</w:t>
            </w:r>
          </w:p>
        </w:tc>
        <w:tc>
          <w:tcPr>
            <w:tcW w:w="2440" w:type="dxa"/>
            <w:gridSpan w:val="2"/>
            <w:shd w:val="clear" w:color="auto" w:fill="auto"/>
          </w:tcPr>
          <w:p w14:paraId="585EDD74" w14:textId="05FB7A11" w:rsidR="00016609" w:rsidRPr="00456281" w:rsidRDefault="00016609" w:rsidP="00360CB1">
            <w:pPr>
              <w:pStyle w:val="TableText0"/>
              <w:jc w:val="center"/>
              <w:rPr>
                <w:b/>
              </w:rPr>
            </w:pPr>
            <w:r w:rsidRPr="00456281">
              <w:rPr>
                <w:b/>
              </w:rPr>
              <w:t>0.83 (0.70, 0.99); p = 0.04</w:t>
            </w:r>
          </w:p>
        </w:tc>
      </w:tr>
      <w:tr w:rsidR="00016609" w:rsidRPr="00456281" w14:paraId="52255C25" w14:textId="45CF29DA" w:rsidTr="00956744">
        <w:trPr>
          <w:trHeight w:val="64"/>
        </w:trPr>
        <w:tc>
          <w:tcPr>
            <w:tcW w:w="9098" w:type="dxa"/>
            <w:gridSpan w:val="7"/>
            <w:shd w:val="clear" w:color="auto" w:fill="auto"/>
          </w:tcPr>
          <w:p w14:paraId="43F2BC0F" w14:textId="7398BE73" w:rsidR="00016609" w:rsidRPr="00456281" w:rsidRDefault="00016609" w:rsidP="00360CB1">
            <w:pPr>
              <w:pStyle w:val="In-tableHeading"/>
              <w:rPr>
                <w:lang w:val="en-AU"/>
              </w:rPr>
            </w:pPr>
            <w:r w:rsidRPr="00456281">
              <w:rPr>
                <w:lang w:val="en-AU"/>
              </w:rPr>
              <w:t>Progression-Free Survival</w:t>
            </w:r>
          </w:p>
        </w:tc>
      </w:tr>
      <w:tr w:rsidR="00016609" w:rsidRPr="00456281" w14:paraId="616BC13A" w14:textId="51D29B36" w:rsidTr="00956744">
        <w:trPr>
          <w:trHeight w:val="64"/>
        </w:trPr>
        <w:tc>
          <w:tcPr>
            <w:tcW w:w="1696" w:type="dxa"/>
            <w:shd w:val="clear" w:color="auto" w:fill="auto"/>
          </w:tcPr>
          <w:p w14:paraId="7E4CE954" w14:textId="15FC5907" w:rsidR="00016609" w:rsidRPr="00456281" w:rsidRDefault="00016609" w:rsidP="00360CB1">
            <w:pPr>
              <w:pStyle w:val="TableText0"/>
            </w:pPr>
            <w:r w:rsidRPr="00456281">
              <w:t>PFS Event, n (%)</w:t>
            </w:r>
          </w:p>
        </w:tc>
        <w:tc>
          <w:tcPr>
            <w:tcW w:w="2410" w:type="dxa"/>
            <w:gridSpan w:val="2"/>
            <w:shd w:val="clear" w:color="auto" w:fill="auto"/>
          </w:tcPr>
          <w:p w14:paraId="67A03F50" w14:textId="73F29500" w:rsidR="00016609" w:rsidRPr="00456281" w:rsidRDefault="00016609" w:rsidP="00360CB1">
            <w:pPr>
              <w:pStyle w:val="TableText0"/>
              <w:jc w:val="center"/>
            </w:pPr>
            <w:r w:rsidRPr="00456281">
              <w:t>317 (92.7)</w:t>
            </w:r>
          </w:p>
        </w:tc>
        <w:tc>
          <w:tcPr>
            <w:tcW w:w="1276" w:type="dxa"/>
            <w:shd w:val="clear" w:color="auto" w:fill="auto"/>
          </w:tcPr>
          <w:p w14:paraId="09A9CD63" w14:textId="265FFB01" w:rsidR="00016609" w:rsidRPr="00456281" w:rsidRDefault="00016609" w:rsidP="00360CB1">
            <w:pPr>
              <w:pStyle w:val="TableText0"/>
              <w:jc w:val="center"/>
            </w:pPr>
            <w:r w:rsidRPr="00456281">
              <w:t>276 (64.0)</w:t>
            </w:r>
          </w:p>
        </w:tc>
        <w:tc>
          <w:tcPr>
            <w:tcW w:w="1276" w:type="dxa"/>
            <w:shd w:val="clear" w:color="auto" w:fill="auto"/>
          </w:tcPr>
          <w:p w14:paraId="523902F7" w14:textId="1ECF1732" w:rsidR="00016609" w:rsidRPr="00456281" w:rsidRDefault="00016609" w:rsidP="00360CB1">
            <w:pPr>
              <w:pStyle w:val="TableText0"/>
              <w:jc w:val="center"/>
            </w:pPr>
            <w:r w:rsidRPr="00456281">
              <w:t>266 (61.8)</w:t>
            </w:r>
          </w:p>
        </w:tc>
        <w:tc>
          <w:tcPr>
            <w:tcW w:w="1182" w:type="dxa"/>
            <w:shd w:val="clear" w:color="auto" w:fill="auto"/>
          </w:tcPr>
          <w:p w14:paraId="703399D1" w14:textId="30354BA7" w:rsidR="00016609" w:rsidRPr="00456281" w:rsidRDefault="00016609" w:rsidP="00360CB1">
            <w:pPr>
              <w:pStyle w:val="TableText0"/>
              <w:jc w:val="center"/>
            </w:pPr>
            <w:r w:rsidRPr="00456281">
              <w:t xml:space="preserve">249 (65.0) </w:t>
            </w:r>
          </w:p>
        </w:tc>
        <w:tc>
          <w:tcPr>
            <w:tcW w:w="1258" w:type="dxa"/>
            <w:shd w:val="clear" w:color="auto" w:fill="auto"/>
          </w:tcPr>
          <w:p w14:paraId="06A0C9D6" w14:textId="3EA16CAA" w:rsidR="00016609" w:rsidRPr="00456281" w:rsidRDefault="00016609" w:rsidP="00360CB1">
            <w:pPr>
              <w:pStyle w:val="TableText0"/>
              <w:jc w:val="center"/>
            </w:pPr>
            <w:r w:rsidRPr="00456281">
              <w:t>259 (66.9)</w:t>
            </w:r>
          </w:p>
        </w:tc>
      </w:tr>
      <w:tr w:rsidR="00016609" w:rsidRPr="00456281" w14:paraId="2E8807F7" w14:textId="40047FE1" w:rsidTr="00956744">
        <w:trPr>
          <w:trHeight w:val="185"/>
        </w:trPr>
        <w:tc>
          <w:tcPr>
            <w:tcW w:w="9098" w:type="dxa"/>
            <w:gridSpan w:val="7"/>
            <w:shd w:val="clear" w:color="auto" w:fill="auto"/>
          </w:tcPr>
          <w:p w14:paraId="7DE0A788" w14:textId="75C92104" w:rsidR="00016609" w:rsidRPr="00456281" w:rsidRDefault="00016609" w:rsidP="00360CB1">
            <w:pPr>
              <w:pStyle w:val="TableText0"/>
            </w:pPr>
            <w:r w:rsidRPr="00456281">
              <w:t>Event free probability, % (95% CI)</w:t>
            </w:r>
          </w:p>
        </w:tc>
      </w:tr>
      <w:tr w:rsidR="00016609" w:rsidRPr="00456281" w14:paraId="270A57FE" w14:textId="76990626" w:rsidTr="00956744">
        <w:trPr>
          <w:trHeight w:val="304"/>
        </w:trPr>
        <w:tc>
          <w:tcPr>
            <w:tcW w:w="1696" w:type="dxa"/>
            <w:shd w:val="clear" w:color="auto" w:fill="auto"/>
          </w:tcPr>
          <w:p w14:paraId="33A65670" w14:textId="3865FFE4" w:rsidR="00016609" w:rsidRPr="00456281" w:rsidRDefault="00016609" w:rsidP="00360CB1">
            <w:pPr>
              <w:pStyle w:val="TableText0"/>
            </w:pPr>
            <w:r w:rsidRPr="00456281">
              <w:t>6 months</w:t>
            </w:r>
          </w:p>
        </w:tc>
        <w:tc>
          <w:tcPr>
            <w:tcW w:w="1276" w:type="dxa"/>
            <w:shd w:val="clear" w:color="auto" w:fill="auto"/>
          </w:tcPr>
          <w:p w14:paraId="0F4EDA03" w14:textId="49FD75E2" w:rsidR="00016609" w:rsidRPr="00456281" w:rsidRDefault="00016609" w:rsidP="00360CB1">
            <w:pPr>
              <w:pStyle w:val="TableText0"/>
              <w:jc w:val="center"/>
            </w:pPr>
            <w:r w:rsidRPr="00456281">
              <w:t>52.8</w:t>
            </w:r>
          </w:p>
        </w:tc>
        <w:tc>
          <w:tcPr>
            <w:tcW w:w="1134" w:type="dxa"/>
            <w:shd w:val="clear" w:color="auto" w:fill="auto"/>
          </w:tcPr>
          <w:p w14:paraId="5F0E57F7" w14:textId="6BB8529A" w:rsidR="00016609" w:rsidRPr="00456281" w:rsidRDefault="00016609" w:rsidP="00360CB1">
            <w:pPr>
              <w:pStyle w:val="TableText0"/>
              <w:jc w:val="center"/>
            </w:pPr>
            <w:r w:rsidRPr="00456281">
              <w:t>17.2</w:t>
            </w:r>
          </w:p>
        </w:tc>
        <w:tc>
          <w:tcPr>
            <w:tcW w:w="1276" w:type="dxa"/>
            <w:shd w:val="clear" w:color="auto" w:fill="auto"/>
          </w:tcPr>
          <w:p w14:paraId="44DE27A7" w14:textId="25320E8A" w:rsidR="00FF2FBA" w:rsidRPr="00456281" w:rsidRDefault="00016609" w:rsidP="00360CB1">
            <w:pPr>
              <w:pStyle w:val="TableText0"/>
              <w:jc w:val="center"/>
            </w:pPr>
            <w:r w:rsidRPr="00456281">
              <w:t xml:space="preserve">44 </w:t>
            </w:r>
          </w:p>
          <w:p w14:paraId="44518562" w14:textId="0A6F123F" w:rsidR="00016609" w:rsidRPr="00456281" w:rsidRDefault="00016609" w:rsidP="00360CB1">
            <w:pPr>
              <w:pStyle w:val="TableText0"/>
              <w:jc w:val="center"/>
            </w:pPr>
            <w:r w:rsidRPr="00456281">
              <w:t>(39, 50)</w:t>
            </w:r>
          </w:p>
        </w:tc>
        <w:tc>
          <w:tcPr>
            <w:tcW w:w="1276" w:type="dxa"/>
            <w:shd w:val="clear" w:color="auto" w:fill="auto"/>
          </w:tcPr>
          <w:p w14:paraId="475FB49F" w14:textId="5A649E4F" w:rsidR="00FF2FBA" w:rsidRPr="00456281" w:rsidRDefault="00016609" w:rsidP="00360CB1">
            <w:pPr>
              <w:pStyle w:val="TableText0"/>
              <w:jc w:val="center"/>
            </w:pPr>
            <w:r w:rsidRPr="00456281">
              <w:t xml:space="preserve">25 </w:t>
            </w:r>
          </w:p>
          <w:p w14:paraId="0676D49A" w14:textId="44CAB0AC" w:rsidR="00016609" w:rsidRPr="00456281" w:rsidRDefault="00016609" w:rsidP="00360CB1">
            <w:pPr>
              <w:pStyle w:val="TableText0"/>
              <w:jc w:val="center"/>
            </w:pPr>
            <w:r w:rsidRPr="00456281">
              <w:t>(20, 30)</w:t>
            </w:r>
          </w:p>
        </w:tc>
        <w:tc>
          <w:tcPr>
            <w:tcW w:w="1182" w:type="dxa"/>
            <w:shd w:val="clear" w:color="auto" w:fill="auto"/>
          </w:tcPr>
          <w:p w14:paraId="652D69A3" w14:textId="2812D310" w:rsidR="00FF2FBA" w:rsidRPr="00456281" w:rsidRDefault="00016609" w:rsidP="00360CB1">
            <w:pPr>
              <w:pStyle w:val="TableText0"/>
              <w:jc w:val="center"/>
            </w:pPr>
            <w:r w:rsidRPr="00456281">
              <w:t xml:space="preserve">56.4 </w:t>
            </w:r>
          </w:p>
          <w:p w14:paraId="17C6BCD0" w14:textId="7A45611B" w:rsidR="00016609" w:rsidRPr="00456281" w:rsidRDefault="00016609" w:rsidP="00360CB1">
            <w:pPr>
              <w:pStyle w:val="TableText0"/>
              <w:jc w:val="center"/>
            </w:pPr>
            <w:r w:rsidRPr="00456281">
              <w:t xml:space="preserve">(50.7, 61.6) </w:t>
            </w:r>
          </w:p>
        </w:tc>
        <w:tc>
          <w:tcPr>
            <w:tcW w:w="1258" w:type="dxa"/>
            <w:shd w:val="clear" w:color="auto" w:fill="auto"/>
          </w:tcPr>
          <w:p w14:paraId="4EF11F84" w14:textId="116A3AD7" w:rsidR="00FF2FBA" w:rsidRPr="00456281" w:rsidRDefault="00016609" w:rsidP="00360CB1">
            <w:pPr>
              <w:pStyle w:val="TableText0"/>
              <w:jc w:val="center"/>
            </w:pPr>
            <w:r w:rsidRPr="00456281">
              <w:t xml:space="preserve">43.2 </w:t>
            </w:r>
          </w:p>
          <w:p w14:paraId="3E463920" w14:textId="02E3C213" w:rsidR="00016609" w:rsidRPr="00456281" w:rsidRDefault="00016609" w:rsidP="00360CB1">
            <w:pPr>
              <w:pStyle w:val="TableText0"/>
              <w:jc w:val="center"/>
            </w:pPr>
            <w:r w:rsidRPr="00456281">
              <w:t>(37.6, 48.6)</w:t>
            </w:r>
          </w:p>
        </w:tc>
      </w:tr>
      <w:tr w:rsidR="00016609" w:rsidRPr="00456281" w14:paraId="73BCCA1A" w14:textId="388EF447" w:rsidTr="00956744">
        <w:trPr>
          <w:trHeight w:val="176"/>
        </w:trPr>
        <w:tc>
          <w:tcPr>
            <w:tcW w:w="1696" w:type="dxa"/>
            <w:shd w:val="clear" w:color="auto" w:fill="auto"/>
          </w:tcPr>
          <w:p w14:paraId="52DE7D2B" w14:textId="4A3C055D" w:rsidR="00016609" w:rsidRPr="00456281" w:rsidRDefault="00016609" w:rsidP="00360CB1">
            <w:pPr>
              <w:pStyle w:val="TableText0"/>
            </w:pPr>
            <w:r w:rsidRPr="00456281">
              <w:t>12 months</w:t>
            </w:r>
          </w:p>
        </w:tc>
        <w:tc>
          <w:tcPr>
            <w:tcW w:w="1276" w:type="dxa"/>
            <w:shd w:val="clear" w:color="auto" w:fill="auto"/>
          </w:tcPr>
          <w:p w14:paraId="3C74C8EB" w14:textId="44020137" w:rsidR="00016609" w:rsidRPr="00456281" w:rsidRDefault="00016609" w:rsidP="00360CB1">
            <w:pPr>
              <w:pStyle w:val="TableText0"/>
              <w:jc w:val="center"/>
            </w:pPr>
            <w:r w:rsidRPr="00456281">
              <w:t>12.1</w:t>
            </w:r>
          </w:p>
        </w:tc>
        <w:tc>
          <w:tcPr>
            <w:tcW w:w="1134" w:type="dxa"/>
            <w:shd w:val="clear" w:color="auto" w:fill="auto"/>
          </w:tcPr>
          <w:p w14:paraId="674CA13B" w14:textId="33FF5D69" w:rsidR="00016609" w:rsidRPr="00456281" w:rsidRDefault="00016609" w:rsidP="00360CB1">
            <w:pPr>
              <w:pStyle w:val="TableText0"/>
              <w:jc w:val="center"/>
            </w:pPr>
            <w:r w:rsidRPr="00456281">
              <w:t>3.5</w:t>
            </w:r>
          </w:p>
        </w:tc>
        <w:tc>
          <w:tcPr>
            <w:tcW w:w="1276" w:type="dxa"/>
            <w:shd w:val="clear" w:color="auto" w:fill="auto"/>
          </w:tcPr>
          <w:p w14:paraId="589FD960" w14:textId="6C7AADA7" w:rsidR="00FF2FBA" w:rsidRPr="00456281" w:rsidRDefault="00016609" w:rsidP="00360CB1">
            <w:pPr>
              <w:pStyle w:val="TableText0"/>
              <w:jc w:val="center"/>
            </w:pPr>
            <w:r w:rsidRPr="00456281">
              <w:t xml:space="preserve">16 </w:t>
            </w:r>
          </w:p>
          <w:p w14:paraId="01D247AD" w14:textId="6D40C784" w:rsidR="00016609" w:rsidRPr="00456281" w:rsidRDefault="00016609" w:rsidP="00360CB1">
            <w:pPr>
              <w:pStyle w:val="TableText0"/>
              <w:jc w:val="center"/>
            </w:pPr>
            <w:r w:rsidRPr="00456281">
              <w:t>(12, 21)</w:t>
            </w:r>
          </w:p>
        </w:tc>
        <w:tc>
          <w:tcPr>
            <w:tcW w:w="1276" w:type="dxa"/>
            <w:shd w:val="clear" w:color="auto" w:fill="auto"/>
          </w:tcPr>
          <w:p w14:paraId="26C79A24" w14:textId="653C70D4" w:rsidR="00FF2FBA" w:rsidRPr="00456281" w:rsidRDefault="00016609" w:rsidP="00360CB1">
            <w:pPr>
              <w:pStyle w:val="TableText0"/>
              <w:jc w:val="center"/>
            </w:pPr>
            <w:r w:rsidRPr="00456281">
              <w:t xml:space="preserve">9 </w:t>
            </w:r>
          </w:p>
          <w:p w14:paraId="7B147942" w14:textId="47EEF738" w:rsidR="00016609" w:rsidRPr="00456281" w:rsidRDefault="00016609" w:rsidP="00360CB1">
            <w:pPr>
              <w:pStyle w:val="TableText0"/>
              <w:jc w:val="center"/>
            </w:pPr>
            <w:r w:rsidRPr="00456281">
              <w:t>(5, 14)</w:t>
            </w:r>
          </w:p>
        </w:tc>
        <w:tc>
          <w:tcPr>
            <w:tcW w:w="1182" w:type="dxa"/>
            <w:shd w:val="clear" w:color="auto" w:fill="auto"/>
          </w:tcPr>
          <w:p w14:paraId="62AEE8CD" w14:textId="47764334" w:rsidR="00FF2FBA" w:rsidRPr="00456281" w:rsidRDefault="00016609" w:rsidP="00360CB1">
            <w:pPr>
              <w:pStyle w:val="TableText0"/>
              <w:jc w:val="center"/>
            </w:pPr>
            <w:r w:rsidRPr="00456281">
              <w:t xml:space="preserve">27.4 </w:t>
            </w:r>
          </w:p>
          <w:p w14:paraId="5B7CC8C5" w14:textId="6D238624" w:rsidR="00016609" w:rsidRPr="00456281" w:rsidRDefault="00016609" w:rsidP="00360CB1">
            <w:pPr>
              <w:pStyle w:val="TableText0"/>
              <w:jc w:val="center"/>
            </w:pPr>
            <w:r w:rsidRPr="00456281">
              <w:t xml:space="preserve">(22.3, 32.7) </w:t>
            </w:r>
          </w:p>
        </w:tc>
        <w:tc>
          <w:tcPr>
            <w:tcW w:w="1258" w:type="dxa"/>
            <w:shd w:val="clear" w:color="auto" w:fill="auto"/>
          </w:tcPr>
          <w:p w14:paraId="6DF7D33A" w14:textId="10BBE126" w:rsidR="00FF2FBA" w:rsidRPr="00456281" w:rsidRDefault="00016609" w:rsidP="00360CB1">
            <w:pPr>
              <w:pStyle w:val="TableText0"/>
              <w:jc w:val="center"/>
            </w:pPr>
            <w:r w:rsidRPr="00456281">
              <w:t xml:space="preserve">13.9 </w:t>
            </w:r>
          </w:p>
          <w:p w14:paraId="5D2F1EC8" w14:textId="66CBEEA4" w:rsidR="00016609" w:rsidRPr="00456281" w:rsidRDefault="00016609" w:rsidP="00360CB1">
            <w:pPr>
              <w:pStyle w:val="TableText0"/>
              <w:jc w:val="center"/>
            </w:pPr>
            <w:r w:rsidRPr="00456281">
              <w:t>(9.7, 18.9)</w:t>
            </w:r>
          </w:p>
        </w:tc>
      </w:tr>
      <w:tr w:rsidR="00016609" w:rsidRPr="00456281" w14:paraId="50E8A6F0" w14:textId="7D109045" w:rsidTr="00956744">
        <w:trPr>
          <w:trHeight w:val="266"/>
        </w:trPr>
        <w:tc>
          <w:tcPr>
            <w:tcW w:w="1696" w:type="dxa"/>
            <w:shd w:val="clear" w:color="auto" w:fill="auto"/>
          </w:tcPr>
          <w:p w14:paraId="2CA2336B" w14:textId="6BA32C48" w:rsidR="00016609" w:rsidRPr="00456281" w:rsidRDefault="00016609" w:rsidP="00360CB1">
            <w:pPr>
              <w:pStyle w:val="TableText0"/>
            </w:pPr>
            <w:r w:rsidRPr="00456281">
              <w:t>18 months</w:t>
            </w:r>
          </w:p>
        </w:tc>
        <w:tc>
          <w:tcPr>
            <w:tcW w:w="1276" w:type="dxa"/>
            <w:shd w:val="clear" w:color="auto" w:fill="auto"/>
          </w:tcPr>
          <w:p w14:paraId="659B5FF8" w14:textId="48B95027" w:rsidR="00016609" w:rsidRPr="00456281" w:rsidRDefault="00016609" w:rsidP="00360CB1">
            <w:pPr>
              <w:pStyle w:val="TableText0"/>
              <w:jc w:val="center"/>
            </w:pPr>
            <w:r w:rsidRPr="00456281">
              <w:t>3.3</w:t>
            </w:r>
          </w:p>
        </w:tc>
        <w:tc>
          <w:tcPr>
            <w:tcW w:w="1134" w:type="dxa"/>
            <w:shd w:val="clear" w:color="auto" w:fill="auto"/>
          </w:tcPr>
          <w:p w14:paraId="14BD8D9B" w14:textId="50AB5A35" w:rsidR="00016609" w:rsidRPr="00456281" w:rsidRDefault="00016609" w:rsidP="00360CB1">
            <w:pPr>
              <w:pStyle w:val="TableText0"/>
              <w:jc w:val="center"/>
            </w:pPr>
            <w:r w:rsidRPr="00456281">
              <w:t>0</w:t>
            </w:r>
          </w:p>
        </w:tc>
        <w:tc>
          <w:tcPr>
            <w:tcW w:w="1276" w:type="dxa"/>
            <w:shd w:val="clear" w:color="auto" w:fill="auto"/>
          </w:tcPr>
          <w:p w14:paraId="46EE24FC" w14:textId="089032CE" w:rsidR="00016609" w:rsidRPr="00456281" w:rsidRDefault="00016609" w:rsidP="00360CB1">
            <w:pPr>
              <w:pStyle w:val="TableText0"/>
              <w:jc w:val="center"/>
            </w:pPr>
            <w:r w:rsidRPr="00456281">
              <w:t>NR</w:t>
            </w:r>
          </w:p>
        </w:tc>
        <w:tc>
          <w:tcPr>
            <w:tcW w:w="1276" w:type="dxa"/>
            <w:shd w:val="clear" w:color="auto" w:fill="auto"/>
          </w:tcPr>
          <w:p w14:paraId="390DC1CC" w14:textId="6D41602A" w:rsidR="00016609" w:rsidRPr="00456281" w:rsidRDefault="00016609" w:rsidP="00360CB1">
            <w:pPr>
              <w:pStyle w:val="TableText0"/>
              <w:jc w:val="center"/>
            </w:pPr>
            <w:r w:rsidRPr="00456281">
              <w:t>NR</w:t>
            </w:r>
          </w:p>
        </w:tc>
        <w:tc>
          <w:tcPr>
            <w:tcW w:w="1182" w:type="dxa"/>
            <w:shd w:val="clear" w:color="auto" w:fill="auto"/>
          </w:tcPr>
          <w:p w14:paraId="7DC5757F" w14:textId="779740B8" w:rsidR="00FF2FBA" w:rsidRPr="00456281" w:rsidRDefault="00016609" w:rsidP="00360CB1">
            <w:pPr>
              <w:pStyle w:val="TableText0"/>
              <w:jc w:val="center"/>
            </w:pPr>
            <w:r w:rsidRPr="00456281">
              <w:t xml:space="preserve">11.4 </w:t>
            </w:r>
          </w:p>
          <w:p w14:paraId="5FD07850" w14:textId="4CB988AC" w:rsidR="00016609" w:rsidRPr="00456281" w:rsidRDefault="00016609" w:rsidP="00360CB1">
            <w:pPr>
              <w:pStyle w:val="TableText0"/>
              <w:jc w:val="center"/>
            </w:pPr>
            <w:r w:rsidRPr="00456281">
              <w:t xml:space="preserve">(7.1, 16.9) </w:t>
            </w:r>
          </w:p>
        </w:tc>
        <w:tc>
          <w:tcPr>
            <w:tcW w:w="1258" w:type="dxa"/>
            <w:shd w:val="clear" w:color="auto" w:fill="auto"/>
          </w:tcPr>
          <w:p w14:paraId="06EF7C08" w14:textId="6633EFE9" w:rsidR="00FF2FBA" w:rsidRPr="00456281" w:rsidRDefault="00016609" w:rsidP="00360CB1">
            <w:pPr>
              <w:pStyle w:val="TableText0"/>
              <w:jc w:val="center"/>
            </w:pPr>
            <w:r w:rsidRPr="00456281">
              <w:t xml:space="preserve">3.6 </w:t>
            </w:r>
          </w:p>
          <w:p w14:paraId="5BA480A8" w14:textId="7E041117" w:rsidR="00016609" w:rsidRPr="00456281" w:rsidRDefault="00016609" w:rsidP="00360CB1">
            <w:pPr>
              <w:pStyle w:val="TableText0"/>
              <w:jc w:val="center"/>
            </w:pPr>
            <w:r w:rsidRPr="00456281">
              <w:t>(0.5, 12.3)</w:t>
            </w:r>
          </w:p>
        </w:tc>
      </w:tr>
      <w:tr w:rsidR="00016609" w:rsidRPr="00456281" w14:paraId="21EAF025" w14:textId="6067A58E" w:rsidTr="00956744">
        <w:trPr>
          <w:trHeight w:val="64"/>
        </w:trPr>
        <w:tc>
          <w:tcPr>
            <w:tcW w:w="1696" w:type="dxa"/>
            <w:shd w:val="clear" w:color="auto" w:fill="auto"/>
          </w:tcPr>
          <w:p w14:paraId="08593356" w14:textId="487E71DD" w:rsidR="00016609" w:rsidRPr="00456281" w:rsidRDefault="00016609" w:rsidP="00360CB1">
            <w:pPr>
              <w:pStyle w:val="TableText0"/>
            </w:pPr>
            <w:r w:rsidRPr="00456281">
              <w:t>Median (95% CI), months</w:t>
            </w:r>
          </w:p>
        </w:tc>
        <w:tc>
          <w:tcPr>
            <w:tcW w:w="1276" w:type="dxa"/>
            <w:shd w:val="clear" w:color="auto" w:fill="auto"/>
          </w:tcPr>
          <w:p w14:paraId="43C2E7F0" w14:textId="63D4F0F0" w:rsidR="00FF2FBA" w:rsidRPr="00456281" w:rsidRDefault="00016609" w:rsidP="00360CB1">
            <w:pPr>
              <w:pStyle w:val="TableText0"/>
              <w:jc w:val="center"/>
            </w:pPr>
            <w:r w:rsidRPr="00456281">
              <w:t xml:space="preserve">6.4 </w:t>
            </w:r>
          </w:p>
          <w:p w14:paraId="61131E2A" w14:textId="65A87340" w:rsidR="00016609" w:rsidRPr="00456281" w:rsidRDefault="00016609" w:rsidP="00360CB1">
            <w:pPr>
              <w:pStyle w:val="TableText0"/>
              <w:jc w:val="center"/>
            </w:pPr>
            <w:r w:rsidRPr="00456281">
              <w:t>(5.5, 7.2)</w:t>
            </w:r>
          </w:p>
        </w:tc>
        <w:tc>
          <w:tcPr>
            <w:tcW w:w="1134" w:type="dxa"/>
            <w:shd w:val="clear" w:color="auto" w:fill="auto"/>
          </w:tcPr>
          <w:p w14:paraId="44C940CC" w14:textId="46BB6743" w:rsidR="00FF2FBA" w:rsidRPr="00456281" w:rsidRDefault="00016609" w:rsidP="00360CB1">
            <w:pPr>
              <w:pStyle w:val="TableText0"/>
              <w:jc w:val="center"/>
            </w:pPr>
            <w:r w:rsidRPr="00456281">
              <w:t xml:space="preserve">3.3 </w:t>
            </w:r>
          </w:p>
          <w:p w14:paraId="35792CBE" w14:textId="16571EC8" w:rsidR="00016609" w:rsidRPr="00456281" w:rsidRDefault="00016609" w:rsidP="00360CB1">
            <w:pPr>
              <w:pStyle w:val="TableText0"/>
              <w:jc w:val="center"/>
            </w:pPr>
            <w:r w:rsidRPr="00456281">
              <w:t>(2.2, 3.6)</w:t>
            </w:r>
          </w:p>
        </w:tc>
        <w:tc>
          <w:tcPr>
            <w:tcW w:w="1276" w:type="dxa"/>
            <w:shd w:val="clear" w:color="auto" w:fill="auto"/>
          </w:tcPr>
          <w:p w14:paraId="2D875D06" w14:textId="0DAF6821" w:rsidR="00FF2FBA" w:rsidRPr="00456281" w:rsidRDefault="00016609" w:rsidP="00360CB1">
            <w:pPr>
              <w:pStyle w:val="TableText0"/>
              <w:jc w:val="center"/>
            </w:pPr>
            <w:r w:rsidRPr="00456281">
              <w:t xml:space="preserve">5.5 </w:t>
            </w:r>
          </w:p>
          <w:p w14:paraId="04B635B1" w14:textId="662178EB" w:rsidR="00016609" w:rsidRPr="00456281" w:rsidRDefault="00016609" w:rsidP="00360CB1">
            <w:pPr>
              <w:pStyle w:val="TableText0"/>
              <w:jc w:val="center"/>
            </w:pPr>
            <w:r w:rsidRPr="00456281">
              <w:t>(4.5, 5.9)</w:t>
            </w:r>
          </w:p>
        </w:tc>
        <w:tc>
          <w:tcPr>
            <w:tcW w:w="1276" w:type="dxa"/>
            <w:shd w:val="clear" w:color="auto" w:fill="auto"/>
          </w:tcPr>
          <w:p w14:paraId="0BAB546C" w14:textId="0D0441E1" w:rsidR="00FF2FBA" w:rsidRPr="00456281" w:rsidRDefault="00016609" w:rsidP="00360CB1">
            <w:pPr>
              <w:pStyle w:val="TableText0"/>
              <w:jc w:val="center"/>
            </w:pPr>
            <w:r w:rsidRPr="00456281">
              <w:t xml:space="preserve">3.7 </w:t>
            </w:r>
          </w:p>
          <w:p w14:paraId="5D367169" w14:textId="384ACD1F" w:rsidR="00016609" w:rsidRPr="00456281" w:rsidRDefault="00016609" w:rsidP="00360CB1">
            <w:pPr>
              <w:pStyle w:val="TableText0"/>
              <w:jc w:val="center"/>
            </w:pPr>
            <w:r w:rsidRPr="00456281">
              <w:t>(3.6, 4.0)</w:t>
            </w:r>
          </w:p>
        </w:tc>
        <w:tc>
          <w:tcPr>
            <w:tcW w:w="1182" w:type="dxa"/>
            <w:shd w:val="clear" w:color="auto" w:fill="auto"/>
          </w:tcPr>
          <w:p w14:paraId="1247D3F2" w14:textId="67515B03" w:rsidR="00FF2FBA" w:rsidRPr="00456281" w:rsidRDefault="00016609" w:rsidP="00360CB1">
            <w:pPr>
              <w:pStyle w:val="TableText0"/>
              <w:jc w:val="center"/>
            </w:pPr>
            <w:r w:rsidRPr="00456281">
              <w:t xml:space="preserve">7.4 </w:t>
            </w:r>
          </w:p>
          <w:p w14:paraId="0CA9A622" w14:textId="015E9175" w:rsidR="00016609" w:rsidRPr="00456281" w:rsidRDefault="00016609" w:rsidP="00360CB1">
            <w:pPr>
              <w:pStyle w:val="TableText0"/>
              <w:jc w:val="center"/>
            </w:pPr>
            <w:r w:rsidRPr="00456281">
              <w:t>(6.0, 7.7)</w:t>
            </w:r>
          </w:p>
        </w:tc>
        <w:tc>
          <w:tcPr>
            <w:tcW w:w="1258" w:type="dxa"/>
            <w:shd w:val="clear" w:color="auto" w:fill="auto"/>
          </w:tcPr>
          <w:p w14:paraId="0FACA924" w14:textId="05AFB1B0" w:rsidR="00FF2FBA" w:rsidRPr="00456281" w:rsidRDefault="00016609" w:rsidP="00360CB1">
            <w:pPr>
              <w:pStyle w:val="TableText0"/>
              <w:jc w:val="center"/>
            </w:pPr>
            <w:r w:rsidRPr="00456281">
              <w:t xml:space="preserve">5.6 </w:t>
            </w:r>
          </w:p>
          <w:p w14:paraId="635729C9" w14:textId="00B2A4C4" w:rsidR="00016609" w:rsidRPr="00456281" w:rsidRDefault="00016609" w:rsidP="00360CB1">
            <w:pPr>
              <w:pStyle w:val="TableText0"/>
              <w:jc w:val="center"/>
            </w:pPr>
            <w:r w:rsidRPr="00456281">
              <w:t>(5.3, 5.8)</w:t>
            </w:r>
          </w:p>
        </w:tc>
      </w:tr>
      <w:tr w:rsidR="00016609" w:rsidRPr="00456281" w14:paraId="67B8AED9" w14:textId="275875CD" w:rsidTr="00956744">
        <w:trPr>
          <w:trHeight w:val="304"/>
        </w:trPr>
        <w:tc>
          <w:tcPr>
            <w:tcW w:w="1696" w:type="dxa"/>
            <w:shd w:val="clear" w:color="auto" w:fill="auto"/>
          </w:tcPr>
          <w:p w14:paraId="4D0B730A" w14:textId="58F6B898" w:rsidR="00016609" w:rsidRPr="00456281" w:rsidRDefault="00016609" w:rsidP="00360CB1">
            <w:pPr>
              <w:pStyle w:val="TableText0"/>
            </w:pPr>
            <w:r w:rsidRPr="00456281">
              <w:t>Stratified HR (95% CI; p-value)</w:t>
            </w:r>
          </w:p>
        </w:tc>
        <w:tc>
          <w:tcPr>
            <w:tcW w:w="2410" w:type="dxa"/>
            <w:gridSpan w:val="2"/>
            <w:shd w:val="clear" w:color="auto" w:fill="auto"/>
          </w:tcPr>
          <w:p w14:paraId="4B4917EE" w14:textId="0A6C267F" w:rsidR="00016609" w:rsidRPr="00456281" w:rsidRDefault="00016609" w:rsidP="00360CB1">
            <w:pPr>
              <w:pStyle w:val="TableText0"/>
              <w:jc w:val="center"/>
              <w:rPr>
                <w:b/>
              </w:rPr>
            </w:pPr>
            <w:r w:rsidRPr="00456281">
              <w:rPr>
                <w:b/>
              </w:rPr>
              <w:t>0.47 (0.37, 0.59); p &lt; 0.001</w:t>
            </w:r>
          </w:p>
        </w:tc>
        <w:tc>
          <w:tcPr>
            <w:tcW w:w="2552" w:type="dxa"/>
            <w:gridSpan w:val="2"/>
            <w:shd w:val="clear" w:color="auto" w:fill="auto"/>
          </w:tcPr>
          <w:p w14:paraId="4E27E25F" w14:textId="0C2020D0" w:rsidR="00016609" w:rsidRPr="00456281" w:rsidRDefault="00016609" w:rsidP="00360CB1">
            <w:pPr>
              <w:pStyle w:val="TableText0"/>
              <w:jc w:val="center"/>
              <w:rPr>
                <w:b/>
              </w:rPr>
            </w:pPr>
            <w:r w:rsidRPr="00456281">
              <w:rPr>
                <w:b/>
              </w:rPr>
              <w:t>0.69 (0.58, 0.82); p &lt; 0.0001</w:t>
            </w:r>
          </w:p>
        </w:tc>
        <w:tc>
          <w:tcPr>
            <w:tcW w:w="2440" w:type="dxa"/>
            <w:gridSpan w:val="2"/>
            <w:shd w:val="clear" w:color="auto" w:fill="auto"/>
          </w:tcPr>
          <w:p w14:paraId="6B243957" w14:textId="1D38CE8B" w:rsidR="00016609" w:rsidRPr="00456281" w:rsidRDefault="00016609" w:rsidP="00360CB1">
            <w:pPr>
              <w:pStyle w:val="TableText0"/>
              <w:jc w:val="center"/>
              <w:rPr>
                <w:b/>
              </w:rPr>
            </w:pPr>
            <w:r w:rsidRPr="00456281">
              <w:rPr>
                <w:b/>
              </w:rPr>
              <w:t>0.69 (0.58, 0.83); p &lt; 0.0001</w:t>
            </w:r>
          </w:p>
        </w:tc>
      </w:tr>
      <w:tr w:rsidR="00016609" w:rsidRPr="00456281" w14:paraId="51A1D56E" w14:textId="5D5839F1" w:rsidTr="00956744">
        <w:trPr>
          <w:trHeight w:val="185"/>
        </w:trPr>
        <w:tc>
          <w:tcPr>
            <w:tcW w:w="9098" w:type="dxa"/>
            <w:gridSpan w:val="7"/>
            <w:shd w:val="clear" w:color="auto" w:fill="auto"/>
          </w:tcPr>
          <w:p w14:paraId="33189892" w14:textId="1941A110" w:rsidR="00016609" w:rsidRPr="00456281" w:rsidRDefault="00016609" w:rsidP="00360CB1">
            <w:pPr>
              <w:pStyle w:val="In-tableHeading"/>
              <w:rPr>
                <w:lang w:val="en-AU"/>
              </w:rPr>
            </w:pPr>
            <w:bookmarkStart w:id="74" w:name="_Hlk153364602"/>
            <w:r w:rsidRPr="00456281">
              <w:rPr>
                <w:lang w:val="en-AU"/>
              </w:rPr>
              <w:t>Objective Response rate</w:t>
            </w:r>
          </w:p>
        </w:tc>
      </w:tr>
      <w:tr w:rsidR="00016609" w:rsidRPr="00456281" w14:paraId="4F12CD81" w14:textId="4E7F0A76" w:rsidTr="00956744">
        <w:trPr>
          <w:trHeight w:val="185"/>
        </w:trPr>
        <w:tc>
          <w:tcPr>
            <w:tcW w:w="9098" w:type="dxa"/>
            <w:gridSpan w:val="7"/>
            <w:shd w:val="clear" w:color="auto" w:fill="auto"/>
          </w:tcPr>
          <w:p w14:paraId="4885C63C" w14:textId="3678AC84" w:rsidR="00016609" w:rsidRPr="00456281" w:rsidRDefault="00016609" w:rsidP="00360CB1">
            <w:pPr>
              <w:pStyle w:val="TableText0"/>
            </w:pPr>
            <w:r w:rsidRPr="00456281">
              <w:t>BOR, n (%)</w:t>
            </w:r>
          </w:p>
        </w:tc>
      </w:tr>
      <w:tr w:rsidR="00016609" w:rsidRPr="00456281" w14:paraId="705FD8B5" w14:textId="5792266A" w:rsidTr="00956744">
        <w:trPr>
          <w:trHeight w:val="304"/>
        </w:trPr>
        <w:tc>
          <w:tcPr>
            <w:tcW w:w="1696" w:type="dxa"/>
            <w:shd w:val="clear" w:color="auto" w:fill="auto"/>
          </w:tcPr>
          <w:p w14:paraId="1F62A24F" w14:textId="5F201878" w:rsidR="00016609" w:rsidRPr="00456281" w:rsidRDefault="00016609" w:rsidP="00360CB1">
            <w:pPr>
              <w:pStyle w:val="TableText0"/>
            </w:pPr>
            <w:r w:rsidRPr="00456281">
              <w:t>CR</w:t>
            </w:r>
          </w:p>
        </w:tc>
        <w:tc>
          <w:tcPr>
            <w:tcW w:w="1276" w:type="dxa"/>
            <w:shd w:val="clear" w:color="auto" w:fill="auto"/>
          </w:tcPr>
          <w:p w14:paraId="25F97F60" w14:textId="53E22119" w:rsidR="00016609" w:rsidRPr="00456281" w:rsidRDefault="00016609" w:rsidP="00360CB1">
            <w:pPr>
              <w:pStyle w:val="TableText0"/>
              <w:jc w:val="center"/>
            </w:pPr>
            <w:r w:rsidRPr="00456281">
              <w:t>1 (0.6)</w:t>
            </w:r>
          </w:p>
        </w:tc>
        <w:tc>
          <w:tcPr>
            <w:tcW w:w="1134" w:type="dxa"/>
            <w:shd w:val="clear" w:color="auto" w:fill="auto"/>
          </w:tcPr>
          <w:p w14:paraId="6F985512" w14:textId="5551492A" w:rsidR="00016609" w:rsidRPr="00456281" w:rsidRDefault="00016609" w:rsidP="00360CB1">
            <w:pPr>
              <w:pStyle w:val="TableText0"/>
              <w:jc w:val="center"/>
            </w:pPr>
            <w:r w:rsidRPr="00456281">
              <w:t>0 (0.0)</w:t>
            </w:r>
          </w:p>
        </w:tc>
        <w:tc>
          <w:tcPr>
            <w:tcW w:w="1276" w:type="dxa"/>
            <w:shd w:val="clear" w:color="auto" w:fill="auto"/>
          </w:tcPr>
          <w:p w14:paraId="42049384" w14:textId="5FB2B340" w:rsidR="00016609" w:rsidRPr="00456281" w:rsidRDefault="00E77BE9" w:rsidP="00360CB1">
            <w:pPr>
              <w:pStyle w:val="TableText0"/>
              <w:jc w:val="center"/>
            </w:pPr>
            <w:r w:rsidRPr="00456281">
              <w:t>1</w:t>
            </w:r>
            <w:r w:rsidR="00291CBB" w:rsidRPr="00456281">
              <w:t xml:space="preserve"> </w:t>
            </w:r>
            <w:r w:rsidRPr="00456281">
              <w:t>(0.002)</w:t>
            </w:r>
          </w:p>
        </w:tc>
        <w:tc>
          <w:tcPr>
            <w:tcW w:w="1276" w:type="dxa"/>
            <w:shd w:val="clear" w:color="auto" w:fill="auto"/>
          </w:tcPr>
          <w:p w14:paraId="449C1215" w14:textId="0C506389" w:rsidR="00016609" w:rsidRPr="00456281" w:rsidRDefault="00E77BE9" w:rsidP="00360CB1">
            <w:pPr>
              <w:pStyle w:val="TableText0"/>
              <w:jc w:val="center"/>
            </w:pPr>
            <w:r w:rsidRPr="00456281">
              <w:t>0</w:t>
            </w:r>
            <w:r w:rsidR="00291CBB" w:rsidRPr="00456281">
              <w:t xml:space="preserve"> </w:t>
            </w:r>
            <w:r w:rsidRPr="00456281">
              <w:t>(0.0)</w:t>
            </w:r>
          </w:p>
        </w:tc>
        <w:tc>
          <w:tcPr>
            <w:tcW w:w="1182" w:type="dxa"/>
            <w:shd w:val="clear" w:color="auto" w:fill="auto"/>
          </w:tcPr>
          <w:p w14:paraId="326E9562" w14:textId="48F3CBF8" w:rsidR="00016609" w:rsidRPr="00456281" w:rsidRDefault="00016609" w:rsidP="00360CB1">
            <w:pPr>
              <w:pStyle w:val="TableText0"/>
              <w:jc w:val="center"/>
            </w:pPr>
            <w:r w:rsidRPr="00456281">
              <w:t>1 (0.3)</w:t>
            </w:r>
          </w:p>
        </w:tc>
        <w:tc>
          <w:tcPr>
            <w:tcW w:w="1258" w:type="dxa"/>
            <w:shd w:val="clear" w:color="auto" w:fill="auto"/>
          </w:tcPr>
          <w:p w14:paraId="57659DB4" w14:textId="219E78EF" w:rsidR="00016609" w:rsidRPr="00456281" w:rsidRDefault="00016609" w:rsidP="00360CB1">
            <w:pPr>
              <w:pStyle w:val="TableText0"/>
              <w:jc w:val="center"/>
            </w:pPr>
            <w:r w:rsidRPr="00456281">
              <w:t>1 (0.3)</w:t>
            </w:r>
          </w:p>
        </w:tc>
      </w:tr>
      <w:tr w:rsidR="00016609" w:rsidRPr="00456281" w14:paraId="33AF9D30" w14:textId="5651CF45" w:rsidTr="00956744">
        <w:trPr>
          <w:trHeight w:val="304"/>
        </w:trPr>
        <w:tc>
          <w:tcPr>
            <w:tcW w:w="1696" w:type="dxa"/>
            <w:shd w:val="clear" w:color="auto" w:fill="auto"/>
          </w:tcPr>
          <w:p w14:paraId="28097B2F" w14:textId="3C067592" w:rsidR="00016609" w:rsidRPr="00456281" w:rsidRDefault="00016609" w:rsidP="00360CB1">
            <w:pPr>
              <w:pStyle w:val="TableText0"/>
            </w:pPr>
            <w:r w:rsidRPr="00456281">
              <w:t>PR</w:t>
            </w:r>
          </w:p>
        </w:tc>
        <w:tc>
          <w:tcPr>
            <w:tcW w:w="1276" w:type="dxa"/>
            <w:shd w:val="clear" w:color="auto" w:fill="auto"/>
          </w:tcPr>
          <w:p w14:paraId="0EC7956A" w14:textId="4EF1F760" w:rsidR="00016609" w:rsidRPr="00456281" w:rsidRDefault="00016609" w:rsidP="00360CB1">
            <w:pPr>
              <w:pStyle w:val="TableText0"/>
              <w:jc w:val="center"/>
            </w:pPr>
            <w:r w:rsidRPr="00456281">
              <w:t>53 (31.0)</w:t>
            </w:r>
          </w:p>
        </w:tc>
        <w:tc>
          <w:tcPr>
            <w:tcW w:w="1134" w:type="dxa"/>
            <w:shd w:val="clear" w:color="auto" w:fill="auto"/>
          </w:tcPr>
          <w:p w14:paraId="19BBC719" w14:textId="6808B09D" w:rsidR="00016609" w:rsidRPr="00456281" w:rsidRDefault="00016609" w:rsidP="00360CB1">
            <w:pPr>
              <w:pStyle w:val="TableText0"/>
              <w:jc w:val="center"/>
            </w:pPr>
            <w:r w:rsidRPr="00456281">
              <w:t>16 (9.4)</w:t>
            </w:r>
          </w:p>
        </w:tc>
        <w:tc>
          <w:tcPr>
            <w:tcW w:w="1276" w:type="dxa"/>
            <w:shd w:val="clear" w:color="auto" w:fill="auto"/>
          </w:tcPr>
          <w:p w14:paraId="53D1B76A" w14:textId="7D39ED3F" w:rsidR="00016609" w:rsidRPr="00456281" w:rsidRDefault="00E77BE9" w:rsidP="00360CB1">
            <w:pPr>
              <w:pStyle w:val="TableText0"/>
              <w:jc w:val="center"/>
            </w:pPr>
            <w:r w:rsidRPr="00456281">
              <w:t>98</w:t>
            </w:r>
            <w:r w:rsidR="00291CBB" w:rsidRPr="00456281">
              <w:t xml:space="preserve"> </w:t>
            </w:r>
            <w:r w:rsidRPr="00456281">
              <w:t>(22.7)</w:t>
            </w:r>
          </w:p>
        </w:tc>
        <w:tc>
          <w:tcPr>
            <w:tcW w:w="1276" w:type="dxa"/>
            <w:shd w:val="clear" w:color="auto" w:fill="auto"/>
          </w:tcPr>
          <w:p w14:paraId="2F76333A" w14:textId="5E39124C" w:rsidR="00016609" w:rsidRPr="00456281" w:rsidRDefault="00E77BE9" w:rsidP="00360CB1">
            <w:pPr>
              <w:pStyle w:val="TableText0"/>
              <w:jc w:val="center"/>
            </w:pPr>
            <w:r w:rsidRPr="00456281">
              <w:t>31</w:t>
            </w:r>
            <w:r w:rsidR="00291CBB" w:rsidRPr="00456281">
              <w:t xml:space="preserve"> </w:t>
            </w:r>
            <w:r w:rsidRPr="00456281">
              <w:t>(7.2)</w:t>
            </w:r>
          </w:p>
        </w:tc>
        <w:tc>
          <w:tcPr>
            <w:tcW w:w="1182" w:type="dxa"/>
            <w:shd w:val="clear" w:color="auto" w:fill="auto"/>
          </w:tcPr>
          <w:p w14:paraId="64980A1D" w14:textId="1A3B141C" w:rsidR="00016609" w:rsidRPr="00456281" w:rsidRDefault="00016609" w:rsidP="00360CB1">
            <w:pPr>
              <w:pStyle w:val="TableText0"/>
              <w:jc w:val="center"/>
            </w:pPr>
            <w:r w:rsidRPr="00456281">
              <w:t>159 (41.5)</w:t>
            </w:r>
          </w:p>
        </w:tc>
        <w:tc>
          <w:tcPr>
            <w:tcW w:w="1258" w:type="dxa"/>
            <w:shd w:val="clear" w:color="auto" w:fill="auto"/>
          </w:tcPr>
          <w:p w14:paraId="37C8F6C4" w14:textId="190B01D4" w:rsidR="00016609" w:rsidRPr="00456281" w:rsidRDefault="00016609" w:rsidP="00360CB1">
            <w:pPr>
              <w:pStyle w:val="TableText0"/>
              <w:jc w:val="center"/>
            </w:pPr>
            <w:r w:rsidRPr="00456281">
              <w:t>139 (35.9)</w:t>
            </w:r>
          </w:p>
        </w:tc>
      </w:tr>
      <w:tr w:rsidR="00016609" w:rsidRPr="00456281" w14:paraId="04E4E8AD" w14:textId="52A51417" w:rsidTr="00956744">
        <w:trPr>
          <w:trHeight w:val="304"/>
        </w:trPr>
        <w:tc>
          <w:tcPr>
            <w:tcW w:w="1696" w:type="dxa"/>
            <w:shd w:val="clear" w:color="auto" w:fill="auto"/>
          </w:tcPr>
          <w:p w14:paraId="732E080F" w14:textId="04E0DDE2" w:rsidR="00016609" w:rsidRPr="00456281" w:rsidRDefault="00016609" w:rsidP="00360CB1">
            <w:pPr>
              <w:pStyle w:val="TableText0"/>
            </w:pPr>
            <w:r w:rsidRPr="00456281">
              <w:t>SD</w:t>
            </w:r>
          </w:p>
        </w:tc>
        <w:tc>
          <w:tcPr>
            <w:tcW w:w="1276" w:type="dxa"/>
            <w:shd w:val="clear" w:color="auto" w:fill="auto"/>
          </w:tcPr>
          <w:p w14:paraId="47F82E8B" w14:textId="1EA378F1" w:rsidR="00016609" w:rsidRPr="00456281" w:rsidRDefault="00016609" w:rsidP="00360CB1">
            <w:pPr>
              <w:pStyle w:val="TableText0"/>
              <w:jc w:val="center"/>
            </w:pPr>
            <w:r w:rsidRPr="00456281">
              <w:t>66 (38.6)</w:t>
            </w:r>
          </w:p>
        </w:tc>
        <w:tc>
          <w:tcPr>
            <w:tcW w:w="1134" w:type="dxa"/>
            <w:shd w:val="clear" w:color="auto" w:fill="auto"/>
          </w:tcPr>
          <w:p w14:paraId="171E7785" w14:textId="0202F4BC" w:rsidR="00016609" w:rsidRPr="00456281" w:rsidRDefault="00016609" w:rsidP="00360CB1">
            <w:pPr>
              <w:pStyle w:val="TableText0"/>
              <w:jc w:val="center"/>
            </w:pPr>
            <w:r w:rsidRPr="00456281">
              <w:t>71 (41.5)</w:t>
            </w:r>
          </w:p>
        </w:tc>
        <w:tc>
          <w:tcPr>
            <w:tcW w:w="1276" w:type="dxa"/>
            <w:shd w:val="clear" w:color="auto" w:fill="auto"/>
          </w:tcPr>
          <w:p w14:paraId="06DBE7CF" w14:textId="3497AB88" w:rsidR="00016609" w:rsidRPr="00456281" w:rsidRDefault="00E77BE9" w:rsidP="00360CB1">
            <w:pPr>
              <w:pStyle w:val="TableText0"/>
              <w:jc w:val="center"/>
            </w:pPr>
            <w:r w:rsidRPr="00456281">
              <w:t>118</w:t>
            </w:r>
            <w:r w:rsidR="00291CBB" w:rsidRPr="00456281">
              <w:t xml:space="preserve"> </w:t>
            </w:r>
            <w:r w:rsidRPr="00456281">
              <w:t>(27.4)</w:t>
            </w:r>
          </w:p>
        </w:tc>
        <w:tc>
          <w:tcPr>
            <w:tcW w:w="1276" w:type="dxa"/>
            <w:shd w:val="clear" w:color="auto" w:fill="auto"/>
          </w:tcPr>
          <w:p w14:paraId="3D58B668" w14:textId="1F202A9C" w:rsidR="00016609" w:rsidRPr="00456281" w:rsidRDefault="00E77BE9" w:rsidP="00360CB1">
            <w:pPr>
              <w:pStyle w:val="TableText0"/>
              <w:jc w:val="center"/>
            </w:pPr>
            <w:r w:rsidRPr="00456281">
              <w:t>122</w:t>
            </w:r>
            <w:r w:rsidR="00291CBB" w:rsidRPr="00456281">
              <w:t xml:space="preserve"> </w:t>
            </w:r>
            <w:r w:rsidRPr="00456281">
              <w:t>(28.4)</w:t>
            </w:r>
          </w:p>
        </w:tc>
        <w:tc>
          <w:tcPr>
            <w:tcW w:w="1182" w:type="dxa"/>
            <w:shd w:val="clear" w:color="auto" w:fill="auto"/>
          </w:tcPr>
          <w:p w14:paraId="0F5A9531" w14:textId="5C90261D" w:rsidR="00016609" w:rsidRPr="00456281" w:rsidRDefault="00016609" w:rsidP="00360CB1">
            <w:pPr>
              <w:pStyle w:val="TableText0"/>
              <w:jc w:val="center"/>
            </w:pPr>
            <w:r w:rsidRPr="00456281">
              <w:t>99 (25.8)</w:t>
            </w:r>
          </w:p>
        </w:tc>
        <w:tc>
          <w:tcPr>
            <w:tcW w:w="1258" w:type="dxa"/>
            <w:shd w:val="clear" w:color="auto" w:fill="auto"/>
          </w:tcPr>
          <w:p w14:paraId="211A3160" w14:textId="74ED6769" w:rsidR="00016609" w:rsidRPr="00456281" w:rsidRDefault="00016609" w:rsidP="00360CB1">
            <w:pPr>
              <w:pStyle w:val="TableText0"/>
              <w:jc w:val="center"/>
            </w:pPr>
            <w:r w:rsidRPr="00456281">
              <w:t>101 (26.1)</w:t>
            </w:r>
          </w:p>
        </w:tc>
      </w:tr>
      <w:tr w:rsidR="00016609" w:rsidRPr="00456281" w14:paraId="53DF6BAC" w14:textId="4D92FAF4" w:rsidTr="00956744">
        <w:trPr>
          <w:trHeight w:val="304"/>
        </w:trPr>
        <w:tc>
          <w:tcPr>
            <w:tcW w:w="1696" w:type="dxa"/>
            <w:shd w:val="clear" w:color="auto" w:fill="auto"/>
          </w:tcPr>
          <w:p w14:paraId="5CBEDC2F" w14:textId="0B499899" w:rsidR="00016609" w:rsidRPr="00456281" w:rsidRDefault="00016609" w:rsidP="00360CB1">
            <w:pPr>
              <w:pStyle w:val="TableText0"/>
            </w:pPr>
            <w:r w:rsidRPr="00456281">
              <w:t>PD</w:t>
            </w:r>
          </w:p>
        </w:tc>
        <w:tc>
          <w:tcPr>
            <w:tcW w:w="1276" w:type="dxa"/>
            <w:shd w:val="clear" w:color="auto" w:fill="auto"/>
          </w:tcPr>
          <w:p w14:paraId="2111DEC7" w14:textId="5ABEA7EE" w:rsidR="00016609" w:rsidRPr="00456281" w:rsidRDefault="00016609" w:rsidP="00360CB1">
            <w:pPr>
              <w:pStyle w:val="TableText0"/>
              <w:jc w:val="center"/>
            </w:pPr>
            <w:r w:rsidRPr="00456281">
              <w:t>26 (15.2)</w:t>
            </w:r>
          </w:p>
        </w:tc>
        <w:tc>
          <w:tcPr>
            <w:tcW w:w="1134" w:type="dxa"/>
            <w:shd w:val="clear" w:color="auto" w:fill="auto"/>
          </w:tcPr>
          <w:p w14:paraId="459C3AC1" w14:textId="4C20CE0E" w:rsidR="00016609" w:rsidRPr="00456281" w:rsidRDefault="00016609" w:rsidP="00360CB1">
            <w:pPr>
              <w:pStyle w:val="TableText0"/>
              <w:jc w:val="center"/>
            </w:pPr>
            <w:r w:rsidRPr="00456281">
              <w:t>59 (34.5)</w:t>
            </w:r>
          </w:p>
        </w:tc>
        <w:tc>
          <w:tcPr>
            <w:tcW w:w="1276" w:type="dxa"/>
            <w:shd w:val="clear" w:color="auto" w:fill="auto"/>
          </w:tcPr>
          <w:p w14:paraId="1586DC60" w14:textId="6FBD27B6" w:rsidR="00016609" w:rsidRPr="00456281" w:rsidRDefault="00E77BE9" w:rsidP="00360CB1">
            <w:pPr>
              <w:pStyle w:val="TableText0"/>
              <w:jc w:val="center"/>
            </w:pPr>
            <w:r w:rsidRPr="00456281">
              <w:t>86</w:t>
            </w:r>
            <w:r w:rsidR="00291CBB" w:rsidRPr="00456281">
              <w:t xml:space="preserve"> </w:t>
            </w:r>
            <w:r w:rsidRPr="00456281">
              <w:t>(20.0)</w:t>
            </w:r>
          </w:p>
        </w:tc>
        <w:tc>
          <w:tcPr>
            <w:tcW w:w="1276" w:type="dxa"/>
            <w:shd w:val="clear" w:color="auto" w:fill="auto"/>
          </w:tcPr>
          <w:p w14:paraId="71C115AE" w14:textId="64C6D6F7" w:rsidR="00016609" w:rsidRPr="00456281" w:rsidRDefault="00E77BE9" w:rsidP="00360CB1">
            <w:pPr>
              <w:pStyle w:val="TableText0"/>
              <w:jc w:val="center"/>
            </w:pPr>
            <w:r w:rsidRPr="00456281">
              <w:t>110</w:t>
            </w:r>
            <w:r w:rsidR="00291CBB" w:rsidRPr="00456281">
              <w:t xml:space="preserve"> </w:t>
            </w:r>
            <w:r w:rsidRPr="00456281">
              <w:t>(25.6)</w:t>
            </w:r>
          </w:p>
        </w:tc>
        <w:tc>
          <w:tcPr>
            <w:tcW w:w="1182" w:type="dxa"/>
            <w:shd w:val="clear" w:color="auto" w:fill="auto"/>
          </w:tcPr>
          <w:p w14:paraId="1769A701" w14:textId="7D2673CC" w:rsidR="00016609" w:rsidRPr="00456281" w:rsidRDefault="00016609" w:rsidP="00360CB1">
            <w:pPr>
              <w:pStyle w:val="TableText0"/>
              <w:jc w:val="center"/>
            </w:pPr>
            <w:r w:rsidRPr="00456281">
              <w:t>38 (9.9)</w:t>
            </w:r>
          </w:p>
        </w:tc>
        <w:tc>
          <w:tcPr>
            <w:tcW w:w="1258" w:type="dxa"/>
            <w:shd w:val="clear" w:color="auto" w:fill="auto"/>
          </w:tcPr>
          <w:p w14:paraId="4B388F54" w14:textId="05B6B6E4" w:rsidR="00016609" w:rsidRPr="00456281" w:rsidRDefault="00016609" w:rsidP="00360CB1">
            <w:pPr>
              <w:pStyle w:val="TableText0"/>
              <w:jc w:val="center"/>
            </w:pPr>
            <w:r w:rsidRPr="00456281">
              <w:t>56 (14.5)</w:t>
            </w:r>
          </w:p>
        </w:tc>
      </w:tr>
      <w:tr w:rsidR="00016609" w:rsidRPr="00456281" w14:paraId="378E161B" w14:textId="4C61C679" w:rsidTr="00956744">
        <w:trPr>
          <w:trHeight w:val="304"/>
        </w:trPr>
        <w:tc>
          <w:tcPr>
            <w:tcW w:w="1696" w:type="dxa"/>
            <w:shd w:val="clear" w:color="auto" w:fill="auto"/>
          </w:tcPr>
          <w:p w14:paraId="3D327D60" w14:textId="45C0CA16" w:rsidR="00016609" w:rsidRPr="00456281" w:rsidRDefault="00016609" w:rsidP="00360CB1">
            <w:pPr>
              <w:pStyle w:val="TableText0"/>
            </w:pPr>
            <w:r w:rsidRPr="00456281">
              <w:t>NE</w:t>
            </w:r>
          </w:p>
        </w:tc>
        <w:tc>
          <w:tcPr>
            <w:tcW w:w="1276" w:type="dxa"/>
            <w:shd w:val="clear" w:color="auto" w:fill="auto"/>
          </w:tcPr>
          <w:p w14:paraId="5500A830" w14:textId="224887BD" w:rsidR="00016609" w:rsidRPr="00456281" w:rsidRDefault="00016609" w:rsidP="00360CB1">
            <w:pPr>
              <w:pStyle w:val="TableText0"/>
              <w:jc w:val="center"/>
            </w:pPr>
            <w:r w:rsidRPr="00456281">
              <w:t>25 (14.6)</w:t>
            </w:r>
          </w:p>
        </w:tc>
        <w:tc>
          <w:tcPr>
            <w:tcW w:w="1134" w:type="dxa"/>
            <w:shd w:val="clear" w:color="auto" w:fill="auto"/>
          </w:tcPr>
          <w:p w14:paraId="15410AE3" w14:textId="413D8915" w:rsidR="00016609" w:rsidRPr="00456281" w:rsidRDefault="00016609" w:rsidP="00360CB1">
            <w:pPr>
              <w:pStyle w:val="TableText0"/>
              <w:jc w:val="center"/>
            </w:pPr>
            <w:r w:rsidRPr="00456281">
              <w:t>25 (14.6)</w:t>
            </w:r>
          </w:p>
        </w:tc>
        <w:tc>
          <w:tcPr>
            <w:tcW w:w="1276" w:type="dxa"/>
            <w:shd w:val="clear" w:color="auto" w:fill="auto"/>
          </w:tcPr>
          <w:p w14:paraId="7B4B6AF2" w14:textId="02216E98" w:rsidR="00016609" w:rsidRPr="00456281" w:rsidRDefault="00E77BE9" w:rsidP="00360CB1">
            <w:pPr>
              <w:pStyle w:val="TableText0"/>
              <w:jc w:val="center"/>
            </w:pPr>
            <w:r w:rsidRPr="00456281">
              <w:t>128</w:t>
            </w:r>
            <w:r w:rsidR="00291CBB" w:rsidRPr="00456281">
              <w:t xml:space="preserve"> </w:t>
            </w:r>
            <w:r w:rsidRPr="00456281">
              <w:t>(29.7)</w:t>
            </w:r>
          </w:p>
        </w:tc>
        <w:tc>
          <w:tcPr>
            <w:tcW w:w="1276" w:type="dxa"/>
            <w:shd w:val="clear" w:color="auto" w:fill="auto"/>
          </w:tcPr>
          <w:p w14:paraId="1752C6DE" w14:textId="4F159C9C" w:rsidR="00016609" w:rsidRPr="00456281" w:rsidRDefault="00E77BE9" w:rsidP="00360CB1">
            <w:pPr>
              <w:pStyle w:val="TableText0"/>
              <w:jc w:val="center"/>
            </w:pPr>
            <w:r w:rsidRPr="00456281">
              <w:t>167</w:t>
            </w:r>
            <w:r w:rsidR="00291CBB" w:rsidRPr="00456281">
              <w:t xml:space="preserve"> </w:t>
            </w:r>
            <w:r w:rsidRPr="00456281">
              <w:t>(38.8)</w:t>
            </w:r>
          </w:p>
        </w:tc>
        <w:tc>
          <w:tcPr>
            <w:tcW w:w="1182" w:type="dxa"/>
            <w:shd w:val="clear" w:color="auto" w:fill="auto"/>
          </w:tcPr>
          <w:p w14:paraId="5DA3FD5A" w14:textId="46B8B065" w:rsidR="00016609" w:rsidRPr="00456281" w:rsidRDefault="00016609" w:rsidP="00360CB1">
            <w:pPr>
              <w:pStyle w:val="TableText0"/>
              <w:jc w:val="center"/>
            </w:pPr>
            <w:r w:rsidRPr="00456281">
              <w:t>86 (22.5)</w:t>
            </w:r>
          </w:p>
        </w:tc>
        <w:tc>
          <w:tcPr>
            <w:tcW w:w="1258" w:type="dxa"/>
            <w:shd w:val="clear" w:color="auto" w:fill="auto"/>
          </w:tcPr>
          <w:p w14:paraId="773B4334" w14:textId="4A196C6F" w:rsidR="00016609" w:rsidRPr="00456281" w:rsidRDefault="00016609" w:rsidP="00360CB1">
            <w:pPr>
              <w:pStyle w:val="TableText0"/>
              <w:jc w:val="center"/>
            </w:pPr>
            <w:r w:rsidRPr="00456281">
              <w:t>90 (23.3)</w:t>
            </w:r>
          </w:p>
        </w:tc>
      </w:tr>
      <w:tr w:rsidR="00016609" w:rsidRPr="00456281" w14:paraId="1E8A82CA" w14:textId="65789810" w:rsidTr="00956744">
        <w:trPr>
          <w:trHeight w:val="304"/>
        </w:trPr>
        <w:tc>
          <w:tcPr>
            <w:tcW w:w="1696" w:type="dxa"/>
            <w:shd w:val="clear" w:color="auto" w:fill="auto"/>
          </w:tcPr>
          <w:p w14:paraId="60F2D928" w14:textId="736428F7" w:rsidR="00016609" w:rsidRPr="009C3CBE" w:rsidRDefault="00016609" w:rsidP="00360CB1">
            <w:pPr>
              <w:pStyle w:val="TableText0"/>
              <w:rPr>
                <w:lang w:val="pt-PT"/>
              </w:rPr>
            </w:pPr>
            <w:r w:rsidRPr="009C3CBE">
              <w:rPr>
                <w:lang w:val="pt-PT"/>
              </w:rPr>
              <w:t>ORR (CR or PR), n (%)</w:t>
            </w:r>
          </w:p>
        </w:tc>
        <w:tc>
          <w:tcPr>
            <w:tcW w:w="1276" w:type="dxa"/>
            <w:shd w:val="clear" w:color="auto" w:fill="auto"/>
          </w:tcPr>
          <w:p w14:paraId="5F81BB15" w14:textId="49753E8A" w:rsidR="00016609" w:rsidRPr="00456281" w:rsidRDefault="00016609" w:rsidP="00360CB1">
            <w:pPr>
              <w:pStyle w:val="TableText0"/>
              <w:jc w:val="center"/>
            </w:pPr>
            <w:r w:rsidRPr="00456281">
              <w:t>54 (31.6)</w:t>
            </w:r>
          </w:p>
        </w:tc>
        <w:tc>
          <w:tcPr>
            <w:tcW w:w="1134" w:type="dxa"/>
            <w:shd w:val="clear" w:color="auto" w:fill="auto"/>
          </w:tcPr>
          <w:p w14:paraId="0EF2EF85" w14:textId="6F93EBBD" w:rsidR="00016609" w:rsidRPr="00456281" w:rsidRDefault="00016609" w:rsidP="00360CB1">
            <w:pPr>
              <w:pStyle w:val="TableText0"/>
              <w:jc w:val="center"/>
            </w:pPr>
            <w:r w:rsidRPr="00456281">
              <w:t>16 (9.4)</w:t>
            </w:r>
          </w:p>
        </w:tc>
        <w:tc>
          <w:tcPr>
            <w:tcW w:w="1276" w:type="dxa"/>
            <w:shd w:val="clear" w:color="auto" w:fill="auto"/>
          </w:tcPr>
          <w:p w14:paraId="18DB8175" w14:textId="3B6D5198" w:rsidR="00016609" w:rsidRPr="00456281" w:rsidRDefault="00016609" w:rsidP="00360CB1">
            <w:pPr>
              <w:pStyle w:val="TableText0"/>
              <w:jc w:val="center"/>
            </w:pPr>
            <w:r w:rsidRPr="00456281">
              <w:t>99 (23.0)</w:t>
            </w:r>
          </w:p>
        </w:tc>
        <w:tc>
          <w:tcPr>
            <w:tcW w:w="1276" w:type="dxa"/>
            <w:shd w:val="clear" w:color="auto" w:fill="auto"/>
          </w:tcPr>
          <w:p w14:paraId="38022B90" w14:textId="0BDBDA65" w:rsidR="00016609" w:rsidRPr="00456281" w:rsidRDefault="00016609" w:rsidP="00360CB1">
            <w:pPr>
              <w:pStyle w:val="TableText0"/>
              <w:jc w:val="center"/>
            </w:pPr>
            <w:r w:rsidRPr="00456281">
              <w:t>31 (7.2)</w:t>
            </w:r>
          </w:p>
        </w:tc>
        <w:tc>
          <w:tcPr>
            <w:tcW w:w="1182" w:type="dxa"/>
            <w:shd w:val="clear" w:color="auto" w:fill="auto"/>
          </w:tcPr>
          <w:p w14:paraId="464E06C8" w14:textId="5B7E6B8D" w:rsidR="00016609" w:rsidRPr="00456281" w:rsidRDefault="00016609" w:rsidP="00360CB1">
            <w:pPr>
              <w:pStyle w:val="TableText0"/>
              <w:jc w:val="center"/>
            </w:pPr>
            <w:r w:rsidRPr="00456281">
              <w:t>160 (41.8)</w:t>
            </w:r>
          </w:p>
        </w:tc>
        <w:tc>
          <w:tcPr>
            <w:tcW w:w="1258" w:type="dxa"/>
            <w:shd w:val="clear" w:color="auto" w:fill="auto"/>
          </w:tcPr>
          <w:p w14:paraId="3A670DD5" w14:textId="03155C0A" w:rsidR="00016609" w:rsidRPr="00456281" w:rsidRDefault="00016609" w:rsidP="00360CB1">
            <w:pPr>
              <w:pStyle w:val="TableText0"/>
              <w:jc w:val="center"/>
            </w:pPr>
            <w:r w:rsidRPr="00456281">
              <w:t>140 (36.2)</w:t>
            </w:r>
          </w:p>
        </w:tc>
      </w:tr>
      <w:tr w:rsidR="00016609" w:rsidRPr="00456281" w14:paraId="63849133" w14:textId="22692E15" w:rsidTr="00956744">
        <w:trPr>
          <w:trHeight w:val="176"/>
        </w:trPr>
        <w:tc>
          <w:tcPr>
            <w:tcW w:w="1696" w:type="dxa"/>
            <w:shd w:val="clear" w:color="auto" w:fill="auto"/>
          </w:tcPr>
          <w:p w14:paraId="42C85420" w14:textId="530A5B23" w:rsidR="00016609" w:rsidRPr="00456281" w:rsidRDefault="00016609" w:rsidP="00360CB1">
            <w:pPr>
              <w:pStyle w:val="TableText0"/>
            </w:pPr>
            <w:r w:rsidRPr="00456281">
              <w:t xml:space="preserve">95% CI </w:t>
            </w:r>
          </w:p>
        </w:tc>
        <w:tc>
          <w:tcPr>
            <w:tcW w:w="1276" w:type="dxa"/>
            <w:shd w:val="clear" w:color="auto" w:fill="auto"/>
          </w:tcPr>
          <w:p w14:paraId="1A503A2D" w14:textId="60B4604E" w:rsidR="00016609" w:rsidRPr="00456281" w:rsidRDefault="00016609" w:rsidP="00360CB1">
            <w:pPr>
              <w:pStyle w:val="TableText0"/>
              <w:jc w:val="center"/>
            </w:pPr>
            <w:r w:rsidRPr="00456281">
              <w:t>(24.7, 39.1)</w:t>
            </w:r>
          </w:p>
        </w:tc>
        <w:tc>
          <w:tcPr>
            <w:tcW w:w="1134" w:type="dxa"/>
            <w:shd w:val="clear" w:color="auto" w:fill="auto"/>
          </w:tcPr>
          <w:p w14:paraId="12D48F11" w14:textId="50B109BE" w:rsidR="00016609" w:rsidRPr="00456281" w:rsidRDefault="00016609" w:rsidP="00360CB1">
            <w:pPr>
              <w:pStyle w:val="TableText0"/>
              <w:jc w:val="center"/>
            </w:pPr>
            <w:r w:rsidRPr="00456281">
              <w:t>(5.4, 14.7)</w:t>
            </w:r>
          </w:p>
        </w:tc>
        <w:tc>
          <w:tcPr>
            <w:tcW w:w="1276" w:type="dxa"/>
            <w:shd w:val="clear" w:color="auto" w:fill="auto"/>
          </w:tcPr>
          <w:p w14:paraId="7F8133EC" w14:textId="61A89A75" w:rsidR="00016609" w:rsidRPr="00456281" w:rsidRDefault="00016609" w:rsidP="00360CB1">
            <w:pPr>
              <w:pStyle w:val="TableText0"/>
              <w:jc w:val="center"/>
            </w:pPr>
            <w:r w:rsidRPr="00456281">
              <w:t>(19, 27)</w:t>
            </w:r>
          </w:p>
        </w:tc>
        <w:tc>
          <w:tcPr>
            <w:tcW w:w="1276" w:type="dxa"/>
            <w:shd w:val="clear" w:color="auto" w:fill="auto"/>
          </w:tcPr>
          <w:p w14:paraId="1AB1E025" w14:textId="07C2031D" w:rsidR="00016609" w:rsidRPr="00456281" w:rsidRDefault="00016609" w:rsidP="00360CB1">
            <w:pPr>
              <w:pStyle w:val="TableText0"/>
              <w:jc w:val="center"/>
            </w:pPr>
            <w:r w:rsidRPr="00456281">
              <w:t>(5, 10)</w:t>
            </w:r>
          </w:p>
        </w:tc>
        <w:tc>
          <w:tcPr>
            <w:tcW w:w="1182" w:type="dxa"/>
            <w:shd w:val="clear" w:color="auto" w:fill="auto"/>
          </w:tcPr>
          <w:p w14:paraId="34F0A536" w14:textId="0A554776" w:rsidR="00016609" w:rsidRPr="00456281" w:rsidRDefault="00016609" w:rsidP="00360CB1">
            <w:pPr>
              <w:pStyle w:val="TableText0"/>
              <w:jc w:val="center"/>
            </w:pPr>
            <w:r w:rsidRPr="00456281">
              <w:t>(36.8, 46.9)</w:t>
            </w:r>
          </w:p>
        </w:tc>
        <w:tc>
          <w:tcPr>
            <w:tcW w:w="1258" w:type="dxa"/>
            <w:shd w:val="clear" w:color="auto" w:fill="auto"/>
          </w:tcPr>
          <w:p w14:paraId="0EFEE42F" w14:textId="03C4727F" w:rsidR="00016609" w:rsidRPr="00456281" w:rsidRDefault="00016609" w:rsidP="00360CB1">
            <w:pPr>
              <w:pStyle w:val="TableText0"/>
              <w:jc w:val="center"/>
            </w:pPr>
            <w:r w:rsidRPr="00456281">
              <w:t>(31.4, 41.2)</w:t>
            </w:r>
          </w:p>
        </w:tc>
      </w:tr>
      <w:bookmarkEnd w:id="74"/>
      <w:tr w:rsidR="00016609" w:rsidRPr="00456281" w14:paraId="77F501B8" w14:textId="5EB5D454" w:rsidTr="00956744">
        <w:trPr>
          <w:trHeight w:val="64"/>
        </w:trPr>
        <w:tc>
          <w:tcPr>
            <w:tcW w:w="1696" w:type="dxa"/>
          </w:tcPr>
          <w:p w14:paraId="6FC33F38" w14:textId="532C9BC7" w:rsidR="00016609" w:rsidRPr="00456281" w:rsidRDefault="00016609" w:rsidP="00360CB1">
            <w:pPr>
              <w:pStyle w:val="TableText0"/>
            </w:pPr>
            <w:r w:rsidRPr="00456281">
              <w:t>RR/OR (95% CI; p-value)</w:t>
            </w:r>
          </w:p>
        </w:tc>
        <w:tc>
          <w:tcPr>
            <w:tcW w:w="2410" w:type="dxa"/>
            <w:gridSpan w:val="2"/>
          </w:tcPr>
          <w:p w14:paraId="305D448D" w14:textId="34970A99" w:rsidR="00016609" w:rsidRPr="00456281" w:rsidRDefault="00016609" w:rsidP="00360CB1">
            <w:pPr>
              <w:pStyle w:val="TableText0"/>
              <w:jc w:val="center"/>
            </w:pPr>
            <w:r w:rsidRPr="00456281">
              <w:t>NR;</w:t>
            </w:r>
          </w:p>
          <w:p w14:paraId="051B9CC8" w14:textId="06520BEF" w:rsidR="00016609" w:rsidRPr="00456281" w:rsidRDefault="00016609" w:rsidP="00360CB1">
            <w:pPr>
              <w:pStyle w:val="TableText0"/>
              <w:jc w:val="center"/>
            </w:pPr>
            <w:r w:rsidRPr="00456281">
              <w:t>p &lt; 0.001</w:t>
            </w:r>
          </w:p>
        </w:tc>
        <w:tc>
          <w:tcPr>
            <w:tcW w:w="2552" w:type="dxa"/>
            <w:gridSpan w:val="2"/>
          </w:tcPr>
          <w:p w14:paraId="0F5A6A0B" w14:textId="6A618F18" w:rsidR="00016609" w:rsidRPr="00456281" w:rsidRDefault="00016609" w:rsidP="00360CB1">
            <w:pPr>
              <w:pStyle w:val="TableText0"/>
              <w:jc w:val="center"/>
              <w:rPr>
                <w:b/>
              </w:rPr>
            </w:pPr>
            <w:r w:rsidRPr="00456281">
              <w:rPr>
                <w:b/>
              </w:rPr>
              <w:t>RR = 3.19 (2.18, 4.66);</w:t>
            </w:r>
          </w:p>
          <w:p w14:paraId="1AA2E31E" w14:textId="22C6077F" w:rsidR="00016609" w:rsidRPr="00456281" w:rsidRDefault="00016609" w:rsidP="00360CB1">
            <w:pPr>
              <w:pStyle w:val="TableText0"/>
              <w:jc w:val="center"/>
            </w:pPr>
            <w:r w:rsidRPr="00456281">
              <w:rPr>
                <w:b/>
              </w:rPr>
              <w:t>p &lt; 0.001</w:t>
            </w:r>
          </w:p>
        </w:tc>
        <w:tc>
          <w:tcPr>
            <w:tcW w:w="2440" w:type="dxa"/>
            <w:gridSpan w:val="2"/>
          </w:tcPr>
          <w:p w14:paraId="75EFB56F" w14:textId="69D68FDF" w:rsidR="00016609" w:rsidRPr="00456281" w:rsidRDefault="00016609" w:rsidP="00360CB1">
            <w:pPr>
              <w:pStyle w:val="TableText0"/>
              <w:jc w:val="center"/>
            </w:pPr>
            <w:r w:rsidRPr="00456281">
              <w:t>OR = 1.26 (0.95, 1.69);</w:t>
            </w:r>
          </w:p>
          <w:p w14:paraId="081064BB" w14:textId="0DA71AA5" w:rsidR="00016609" w:rsidRPr="00456281" w:rsidRDefault="00016609" w:rsidP="00360CB1">
            <w:pPr>
              <w:pStyle w:val="TableText0"/>
              <w:jc w:val="center"/>
            </w:pPr>
            <w:r w:rsidRPr="00456281">
              <w:t>p = 0.11</w:t>
            </w:r>
          </w:p>
        </w:tc>
      </w:tr>
    </w:tbl>
    <w:p w14:paraId="0D4FDAFF" w14:textId="7FB2BF10" w:rsidR="00016609" w:rsidRPr="00456281" w:rsidRDefault="00016609" w:rsidP="00016609">
      <w:pPr>
        <w:pStyle w:val="FooterTableFigure"/>
      </w:pPr>
      <w:r w:rsidRPr="00456281">
        <w:t>Source: Table 4, Table 5 and Table 6, p15-17 of Appendix A.</w:t>
      </w:r>
    </w:p>
    <w:p w14:paraId="4B911285" w14:textId="3CFF7A60" w:rsidR="00016609" w:rsidRPr="00456281" w:rsidRDefault="00016609" w:rsidP="00016609">
      <w:pPr>
        <w:pStyle w:val="FooterTableFigure"/>
      </w:pPr>
      <w:r w:rsidRPr="00456281">
        <w:t>Abbreviations: BOR, best overall response; CI, confidence interval; CR, complete response; FOLFIRINOX, 5-flu</w:t>
      </w:r>
      <w:r w:rsidR="000E143A" w:rsidRPr="00456281">
        <w:t>o</w:t>
      </w:r>
      <w:r w:rsidRPr="00456281">
        <w:t xml:space="preserve">rouracil, Leucovorin/folinic acid; irinotecan and oxaliplatin; Gem, gemcitabine; HR, hazard ratio; Gem+NabP, gemcitabine plus nanoparticle </w:t>
      </w:r>
      <w:r w:rsidR="00D83C9B" w:rsidRPr="00456281">
        <w:t>albumin-bound</w:t>
      </w:r>
      <w:r w:rsidRPr="00456281">
        <w:t xml:space="preserve"> paclitaxel; NALIRIFOX, 5-fluorouracil, Leucovorin/folinic acid, nanoliposomal irinotecan (nal-IRI), and oxaliplatin; NE, not evaluable; NR, not reported; OR, odds ratio; ORR, objective response rate; OS, overall survival; PD, progressive disease; PFS, progression-free survival; PR, partial response; RR, </w:t>
      </w:r>
      <w:r w:rsidR="007A7255" w:rsidRPr="00456281">
        <w:t>response-</w:t>
      </w:r>
      <w:r w:rsidRPr="00456281">
        <w:t>rate ratio; SD, stable disease.</w:t>
      </w:r>
    </w:p>
    <w:p w14:paraId="22110CDC" w14:textId="373DEDA0" w:rsidR="00D61518" w:rsidRPr="00456281" w:rsidRDefault="00D61518" w:rsidP="00D61518">
      <w:pPr>
        <w:pStyle w:val="FooterTableFigure"/>
      </w:pPr>
      <w:r w:rsidRPr="00456281">
        <w:t>Note: Results in bold</w:t>
      </w:r>
      <w:r w:rsidRPr="00456281">
        <w:rPr>
          <w:b/>
          <w:bCs/>
        </w:rPr>
        <w:t xml:space="preserve"> </w:t>
      </w:r>
      <w:r w:rsidRPr="00456281">
        <w:t>indicate statistically significant difference (p &lt; 0.05).</w:t>
      </w:r>
    </w:p>
    <w:p w14:paraId="50E9F5A8" w14:textId="19E82AAB" w:rsidR="00F36D17" w:rsidRPr="00456281" w:rsidRDefault="006731B4" w:rsidP="00434F3C">
      <w:pPr>
        <w:pStyle w:val="3-BodyText"/>
      </w:pPr>
      <w:bookmarkStart w:id="75" w:name="_Ref156308718"/>
      <w:bookmarkEnd w:id="73"/>
      <w:r w:rsidRPr="00456281">
        <w:lastRenderedPageBreak/>
        <w:t xml:space="preserve">Based on a naïve comparison, the data in </w:t>
      </w:r>
      <w:r w:rsidRPr="00456281">
        <w:fldChar w:fldCharType="begin"/>
      </w:r>
      <w:r w:rsidRPr="00456281">
        <w:instrText xml:space="preserve"> REF _Ref153723390 \h  \* MERGEFORMAT </w:instrText>
      </w:r>
      <w:r w:rsidRPr="00456281">
        <w:fldChar w:fldCharType="separate"/>
      </w:r>
      <w:r w:rsidR="00EE5AD4" w:rsidRPr="00456281">
        <w:t xml:space="preserve">Table </w:t>
      </w:r>
      <w:r w:rsidR="00EE5AD4">
        <w:t>5</w:t>
      </w:r>
      <w:r w:rsidRPr="00456281">
        <w:fldChar w:fldCharType="end"/>
      </w:r>
      <w:r w:rsidRPr="00456281">
        <w:t xml:space="preserve"> suggest </w:t>
      </w:r>
      <w:r w:rsidR="00016609" w:rsidRPr="00456281">
        <w:t xml:space="preserve">a </w:t>
      </w:r>
      <w:r w:rsidR="00D12D23" w:rsidRPr="00456281">
        <w:t xml:space="preserve">slightly </w:t>
      </w:r>
      <w:r w:rsidR="00016609" w:rsidRPr="00456281">
        <w:t xml:space="preserve">longer median PFS </w:t>
      </w:r>
      <w:r w:rsidRPr="00456281">
        <w:t xml:space="preserve">for NALIRIFOX </w:t>
      </w:r>
      <w:r w:rsidR="00DE1A2F" w:rsidRPr="00456281">
        <w:t xml:space="preserve">(7.4 months; 95% CI: 6.0, 7.7) </w:t>
      </w:r>
      <w:r w:rsidR="00016609" w:rsidRPr="00456281">
        <w:t>compared to FOLFIRINOX (6.4 months</w:t>
      </w:r>
      <w:r w:rsidR="00DE1A2F" w:rsidRPr="00456281">
        <w:t xml:space="preserve">; </w:t>
      </w:r>
      <w:r w:rsidR="00016609" w:rsidRPr="00456281">
        <w:t>95% CI: 5.5, 7.2)</w:t>
      </w:r>
      <w:r w:rsidR="006017A6" w:rsidRPr="00456281">
        <w:t xml:space="preserve"> noting there was substantial overlap of the 95% CIs</w:t>
      </w:r>
      <w:r w:rsidR="00016609" w:rsidRPr="00456281">
        <w:t xml:space="preserve">. </w:t>
      </w:r>
      <w:r w:rsidR="006017A6" w:rsidRPr="00456281">
        <w:t>The</w:t>
      </w:r>
      <w:r w:rsidR="00016609" w:rsidRPr="00456281">
        <w:t xml:space="preserve"> median OS </w:t>
      </w:r>
      <w:r w:rsidR="00293181" w:rsidRPr="00456281">
        <w:t>showed</w:t>
      </w:r>
      <w:r w:rsidR="00262787" w:rsidRPr="00456281">
        <w:t xml:space="preserve"> no </w:t>
      </w:r>
      <w:r w:rsidR="00293181" w:rsidRPr="00456281">
        <w:t xml:space="preserve">difference between NALIRIFOX </w:t>
      </w:r>
      <w:r w:rsidR="00DE1A2F" w:rsidRPr="00456281">
        <w:t xml:space="preserve">(11.1 months; 95% CI: 10.0, 12.1) </w:t>
      </w:r>
      <w:r w:rsidR="00293181" w:rsidRPr="00456281">
        <w:t xml:space="preserve">and FOLFIRINOX </w:t>
      </w:r>
      <w:r w:rsidR="00016609" w:rsidRPr="00456281">
        <w:t>(11.1 months</w:t>
      </w:r>
      <w:r w:rsidR="00DE1A2F" w:rsidRPr="00456281">
        <w:t xml:space="preserve">; </w:t>
      </w:r>
      <w:r w:rsidR="00016609" w:rsidRPr="00456281">
        <w:t>95% CI: 9.0, 13.1</w:t>
      </w:r>
      <w:r w:rsidR="00DE1A2F" w:rsidRPr="00456281">
        <w:t>)</w:t>
      </w:r>
      <w:r w:rsidR="00016609" w:rsidRPr="00456281">
        <w:t>.</w:t>
      </w:r>
      <w:r w:rsidR="003D2918" w:rsidRPr="00456281">
        <w:t xml:space="preserve"> </w:t>
      </w:r>
      <w:r w:rsidR="00EE09EC" w:rsidRPr="00456281">
        <w:t>ORR</w:t>
      </w:r>
      <w:r w:rsidR="00634792" w:rsidRPr="00456281">
        <w:t xml:space="preserve"> was also higher for NALIRIFOX (41.8%</w:t>
      </w:r>
      <w:r w:rsidR="00DE1A2F" w:rsidRPr="00456281">
        <w:t xml:space="preserve">; </w:t>
      </w:r>
      <w:r w:rsidR="00634792" w:rsidRPr="00456281">
        <w:t>95% CI: 36.8, 46.9</w:t>
      </w:r>
      <w:r w:rsidR="00DE1A2F" w:rsidRPr="00456281">
        <w:t xml:space="preserve">) </w:t>
      </w:r>
      <w:r w:rsidR="00634792" w:rsidRPr="00456281">
        <w:t>compared with FOLFIRINOX (31.6%</w:t>
      </w:r>
      <w:r w:rsidR="00DE1A2F" w:rsidRPr="00456281">
        <w:t xml:space="preserve">; </w:t>
      </w:r>
      <w:r w:rsidR="00634792" w:rsidRPr="00456281">
        <w:t>95% CI: 24.7, 39.1)</w:t>
      </w:r>
      <w:r w:rsidR="00DE1A2F" w:rsidRPr="00456281">
        <w:t>,</w:t>
      </w:r>
      <w:r w:rsidR="00634792" w:rsidRPr="00456281">
        <w:t xml:space="preserve"> and in this case there was only a slight overlap in the 95% CIs. </w:t>
      </w:r>
    </w:p>
    <w:p w14:paraId="1641CEBF" w14:textId="30BAA817" w:rsidR="005664F4" w:rsidRPr="00456281" w:rsidRDefault="00354E5F" w:rsidP="005664F4">
      <w:pPr>
        <w:pStyle w:val="3-BodyText"/>
      </w:pPr>
      <w:r w:rsidRPr="00456281">
        <w:fldChar w:fldCharType="begin"/>
      </w:r>
      <w:r w:rsidRPr="00456281">
        <w:instrText xml:space="preserve"> REF _Ref158833336 \h </w:instrText>
      </w:r>
      <w:r w:rsidRPr="00456281">
        <w:fldChar w:fldCharType="separate"/>
      </w:r>
      <w:r w:rsidR="00EE5AD4" w:rsidRPr="00456281">
        <w:t xml:space="preserve">Table </w:t>
      </w:r>
      <w:r w:rsidR="00EE5AD4">
        <w:rPr>
          <w:noProof/>
        </w:rPr>
        <w:t>6</w:t>
      </w:r>
      <w:r w:rsidRPr="00456281">
        <w:fldChar w:fldCharType="end"/>
      </w:r>
      <w:r w:rsidRPr="00456281">
        <w:t xml:space="preserve"> </w:t>
      </w:r>
      <w:r w:rsidR="005664F4" w:rsidRPr="00456281">
        <w:t>presents the results of the multistep ITC conducted during the evaluation.</w:t>
      </w:r>
    </w:p>
    <w:p w14:paraId="75A53D04" w14:textId="034F809B" w:rsidR="005664F4" w:rsidRPr="00456281" w:rsidRDefault="005664F4" w:rsidP="005664F4">
      <w:pPr>
        <w:pStyle w:val="Caption"/>
      </w:pPr>
      <w:bookmarkStart w:id="76" w:name="_Ref158833336"/>
      <w:r w:rsidRPr="00456281">
        <w:t xml:space="preserve">Table </w:t>
      </w:r>
      <w:r w:rsidR="00B75F7B">
        <w:fldChar w:fldCharType="begin"/>
      </w:r>
      <w:r w:rsidR="00B75F7B">
        <w:instrText xml:space="preserve"> SEQ Table \* ARABIC </w:instrText>
      </w:r>
      <w:r w:rsidR="00B75F7B">
        <w:fldChar w:fldCharType="separate"/>
      </w:r>
      <w:r w:rsidR="00EE5AD4">
        <w:rPr>
          <w:noProof/>
        </w:rPr>
        <w:t>6</w:t>
      </w:r>
      <w:r w:rsidR="00B75F7B">
        <w:fldChar w:fldCharType="end"/>
      </w:r>
      <w:bookmarkEnd w:id="76"/>
      <w:r w:rsidRPr="00456281">
        <w:t>: Multistep indirect treatment comparison of NALIRIFOX vs FOLFIRINOX using NAPOLI-3, MPACT and ACCORD11/PRODIGE4 trials</w:t>
      </w:r>
    </w:p>
    <w:tbl>
      <w:tblPr>
        <w:tblStyle w:val="TableGrid"/>
        <w:tblW w:w="0" w:type="auto"/>
        <w:tblLook w:val="04A0" w:firstRow="1" w:lastRow="0" w:firstColumn="1" w:lastColumn="0" w:noHBand="0" w:noVBand="1"/>
        <w:tblCaption w:val="Table 6: Multistep indirect treatment comparison of NALIRIFOX vs FOLFIRINOX using NAPOLI-3, MPACT and ACCORD11/PRODIGE4 trials"/>
      </w:tblPr>
      <w:tblGrid>
        <w:gridCol w:w="704"/>
        <w:gridCol w:w="1559"/>
        <w:gridCol w:w="1843"/>
        <w:gridCol w:w="1637"/>
        <w:gridCol w:w="1637"/>
        <w:gridCol w:w="1637"/>
      </w:tblGrid>
      <w:tr w:rsidR="0039051B" w:rsidRPr="00456281" w14:paraId="3A4B3A2D" w14:textId="77777777" w:rsidTr="00CE0150">
        <w:tc>
          <w:tcPr>
            <w:tcW w:w="704" w:type="dxa"/>
          </w:tcPr>
          <w:p w14:paraId="5F22B52B" w14:textId="77777777" w:rsidR="0074251F" w:rsidRPr="00456281" w:rsidRDefault="0074251F" w:rsidP="0074251F">
            <w:pPr>
              <w:pStyle w:val="In-tableHeading"/>
              <w:keepLines/>
              <w:rPr>
                <w:lang w:val="en-AU"/>
              </w:rPr>
            </w:pPr>
            <w:r w:rsidRPr="00456281">
              <w:rPr>
                <w:lang w:val="en-AU" w:eastAsia="en-US"/>
                <w14:ligatures w14:val="standardContextual"/>
              </w:rPr>
              <w:t>Step</w:t>
            </w:r>
          </w:p>
        </w:tc>
        <w:tc>
          <w:tcPr>
            <w:tcW w:w="1559" w:type="dxa"/>
          </w:tcPr>
          <w:p w14:paraId="518D100E" w14:textId="77777777" w:rsidR="0074251F" w:rsidRPr="00456281" w:rsidRDefault="0074251F" w:rsidP="0074251F">
            <w:pPr>
              <w:pStyle w:val="In-tableHeading"/>
              <w:keepLines/>
              <w:rPr>
                <w:lang w:val="en-AU" w:eastAsia="en-US"/>
                <w14:ligatures w14:val="standardContextual"/>
              </w:rPr>
            </w:pPr>
            <w:r w:rsidRPr="00456281">
              <w:rPr>
                <w:lang w:val="en-AU" w:eastAsia="en-US"/>
                <w14:ligatures w14:val="standardContextual"/>
              </w:rPr>
              <w:t>Population</w:t>
            </w:r>
          </w:p>
        </w:tc>
        <w:tc>
          <w:tcPr>
            <w:tcW w:w="1843" w:type="dxa"/>
          </w:tcPr>
          <w:p w14:paraId="2BADD655" w14:textId="77777777" w:rsidR="0074251F" w:rsidRPr="00456281" w:rsidRDefault="0074251F" w:rsidP="0074251F">
            <w:pPr>
              <w:pStyle w:val="In-tableHeading"/>
              <w:keepLines/>
              <w:rPr>
                <w:lang w:val="en-AU"/>
              </w:rPr>
            </w:pPr>
            <w:r w:rsidRPr="00456281">
              <w:rPr>
                <w:lang w:val="en-AU" w:eastAsia="en-US"/>
                <w14:ligatures w14:val="standardContextual"/>
              </w:rPr>
              <w:t>Comparison</w:t>
            </w:r>
          </w:p>
        </w:tc>
        <w:tc>
          <w:tcPr>
            <w:tcW w:w="1637" w:type="dxa"/>
            <w:vAlign w:val="center"/>
          </w:tcPr>
          <w:p w14:paraId="5AA6A55B" w14:textId="528F66D9" w:rsidR="0074251F" w:rsidRPr="009C3CBE" w:rsidRDefault="0074251F" w:rsidP="0074251F">
            <w:pPr>
              <w:pStyle w:val="In-tableHeading"/>
              <w:keepLines/>
              <w:jc w:val="center"/>
              <w:rPr>
                <w:lang w:val="pt-PT" w:eastAsia="en-US"/>
                <w14:ligatures w14:val="standardContextual"/>
              </w:rPr>
            </w:pPr>
            <w:r w:rsidRPr="009C3CBE">
              <w:rPr>
                <w:lang w:val="pt-PT" w:eastAsia="en-US"/>
                <w14:ligatures w14:val="standardContextual"/>
              </w:rPr>
              <w:t>OS-HR (95% CI)</w:t>
            </w:r>
            <w:r w:rsidRPr="009C3CBE">
              <w:rPr>
                <w:lang w:val="pt-PT" w:eastAsia="en-US"/>
                <w14:ligatures w14:val="standardContextual"/>
              </w:rPr>
              <w:br/>
              <w:t>P-value</w:t>
            </w:r>
          </w:p>
        </w:tc>
        <w:tc>
          <w:tcPr>
            <w:tcW w:w="1637" w:type="dxa"/>
            <w:vAlign w:val="center"/>
          </w:tcPr>
          <w:p w14:paraId="47044E46" w14:textId="12517949" w:rsidR="0074251F" w:rsidRPr="00456281" w:rsidRDefault="0074251F" w:rsidP="00CE0150">
            <w:pPr>
              <w:pStyle w:val="In-tableHeading"/>
              <w:keepLines/>
              <w:jc w:val="center"/>
              <w:rPr>
                <w:lang w:val="en-AU"/>
              </w:rPr>
            </w:pPr>
            <w:r w:rsidRPr="00456281">
              <w:rPr>
                <w:lang w:val="en-AU" w:eastAsia="en-US"/>
                <w14:ligatures w14:val="standardContextual"/>
              </w:rPr>
              <w:t>PFS-HR (95% CI)</w:t>
            </w:r>
            <w:r w:rsidRPr="00456281">
              <w:rPr>
                <w:lang w:val="en-AU" w:eastAsia="en-US"/>
                <w14:ligatures w14:val="standardContextual"/>
              </w:rPr>
              <w:br/>
              <w:t>P-value</w:t>
            </w:r>
          </w:p>
        </w:tc>
        <w:tc>
          <w:tcPr>
            <w:tcW w:w="1637" w:type="dxa"/>
            <w:vAlign w:val="center"/>
          </w:tcPr>
          <w:p w14:paraId="0C6756C0" w14:textId="77777777" w:rsidR="0074251F" w:rsidRPr="00456281" w:rsidRDefault="0074251F" w:rsidP="00CE0150">
            <w:pPr>
              <w:pStyle w:val="In-tableHeading"/>
              <w:keepLines/>
              <w:jc w:val="center"/>
              <w:rPr>
                <w:lang w:val="en-AU"/>
              </w:rPr>
            </w:pPr>
            <w:r w:rsidRPr="00456281">
              <w:rPr>
                <w:lang w:val="en-AU" w:eastAsia="en-US"/>
                <w14:ligatures w14:val="standardContextual"/>
              </w:rPr>
              <w:t>ORR-OR (95% CI)</w:t>
            </w:r>
            <w:r w:rsidRPr="00456281">
              <w:rPr>
                <w:lang w:val="en-AU" w:eastAsia="en-US"/>
                <w14:ligatures w14:val="standardContextual"/>
              </w:rPr>
              <w:br/>
              <w:t>P-value</w:t>
            </w:r>
          </w:p>
        </w:tc>
      </w:tr>
      <w:tr w:rsidR="0039051B" w:rsidRPr="00456281" w14:paraId="4F1FE975" w14:textId="77777777" w:rsidTr="00CE0150">
        <w:tc>
          <w:tcPr>
            <w:tcW w:w="704" w:type="dxa"/>
          </w:tcPr>
          <w:p w14:paraId="51EB272F" w14:textId="77777777" w:rsidR="0074251F" w:rsidRPr="00456281" w:rsidRDefault="0074251F" w:rsidP="0074251F">
            <w:pPr>
              <w:pStyle w:val="In-tableHeading"/>
              <w:keepLines/>
              <w:rPr>
                <w:b w:val="0"/>
                <w:bCs/>
                <w:lang w:val="en-AU"/>
              </w:rPr>
            </w:pPr>
            <w:r w:rsidRPr="00456281">
              <w:rPr>
                <w:b w:val="0"/>
                <w:bCs/>
                <w:lang w:val="en-AU"/>
                <w14:ligatures w14:val="standardContextual"/>
              </w:rPr>
              <w:t>1</w:t>
            </w:r>
          </w:p>
        </w:tc>
        <w:tc>
          <w:tcPr>
            <w:tcW w:w="1559" w:type="dxa"/>
            <w:vAlign w:val="center"/>
          </w:tcPr>
          <w:p w14:paraId="454B0978" w14:textId="38CADD38" w:rsidR="0074251F" w:rsidRPr="00456281" w:rsidRDefault="0074251F" w:rsidP="0074251F">
            <w:pPr>
              <w:pStyle w:val="In-tableHeading"/>
              <w:keepLines/>
              <w:rPr>
                <w:b w:val="0"/>
                <w:bCs/>
                <w:lang w:val="en-AU"/>
              </w:rPr>
            </w:pPr>
            <w:r w:rsidRPr="00456281">
              <w:rPr>
                <w:b w:val="0"/>
                <w:bCs/>
                <w:lang w:val="en-AU"/>
                <w14:ligatures w14:val="standardContextual"/>
              </w:rPr>
              <w:t>FOLFIRINOX vs Gem+NabP</w:t>
            </w:r>
            <w:r w:rsidRPr="00456281">
              <w:rPr>
                <w:b w:val="0"/>
                <w:bCs/>
                <w:vertAlign w:val="superscript"/>
                <w:lang w:val="en-AU"/>
                <w14:ligatures w14:val="standardContextual"/>
              </w:rPr>
              <w:t>a</w:t>
            </w:r>
          </w:p>
        </w:tc>
        <w:tc>
          <w:tcPr>
            <w:tcW w:w="1843" w:type="dxa"/>
          </w:tcPr>
          <w:p w14:paraId="6AB720CD" w14:textId="77777777" w:rsidR="0074251F" w:rsidRPr="00456281" w:rsidRDefault="0074251F" w:rsidP="0074251F">
            <w:pPr>
              <w:pStyle w:val="In-tableHeading"/>
              <w:keepLines/>
              <w:rPr>
                <w:b w:val="0"/>
                <w:bCs/>
                <w:lang w:val="en-AU"/>
              </w:rPr>
            </w:pPr>
            <w:r w:rsidRPr="00456281">
              <w:rPr>
                <w:b w:val="0"/>
                <w:bCs/>
                <w:lang w:val="en-AU"/>
                <w14:ligatures w14:val="standardContextual"/>
              </w:rPr>
              <w:t>ITC (via Gem)</w:t>
            </w:r>
          </w:p>
        </w:tc>
        <w:tc>
          <w:tcPr>
            <w:tcW w:w="1637" w:type="dxa"/>
            <w:vAlign w:val="center"/>
          </w:tcPr>
          <w:p w14:paraId="363A300D" w14:textId="62696AA5" w:rsidR="0074251F" w:rsidRPr="00456281" w:rsidRDefault="0074251F" w:rsidP="0074251F">
            <w:pPr>
              <w:pStyle w:val="In-tableHeading"/>
              <w:keepLines/>
              <w:jc w:val="center"/>
              <w:rPr>
                <w:lang w:val="en-AU"/>
                <w14:ligatures w14:val="standardContextual"/>
              </w:rPr>
            </w:pPr>
            <w:r w:rsidRPr="00456281">
              <w:rPr>
                <w:b w:val="0"/>
                <w:bCs/>
                <w:lang w:val="en-AU"/>
                <w14:ligatures w14:val="standardContextual"/>
              </w:rPr>
              <w:t>0.79 (0.60, 1.05) p=0.102</w:t>
            </w:r>
          </w:p>
        </w:tc>
        <w:tc>
          <w:tcPr>
            <w:tcW w:w="1637" w:type="dxa"/>
            <w:vAlign w:val="center"/>
          </w:tcPr>
          <w:p w14:paraId="0E723B02" w14:textId="46228AF8" w:rsidR="0074251F" w:rsidRPr="00456281" w:rsidRDefault="0074251F" w:rsidP="00CE0150">
            <w:pPr>
              <w:pStyle w:val="In-tableHeading"/>
              <w:keepLines/>
              <w:jc w:val="center"/>
              <w:rPr>
                <w:lang w:val="en-AU"/>
              </w:rPr>
            </w:pPr>
            <w:r w:rsidRPr="00456281">
              <w:rPr>
                <w:lang w:val="en-AU"/>
                <w14:ligatures w14:val="standardContextual"/>
              </w:rPr>
              <w:t>0.68 (0.51, 0.92) p=0.011</w:t>
            </w:r>
          </w:p>
        </w:tc>
        <w:tc>
          <w:tcPr>
            <w:tcW w:w="1637" w:type="dxa"/>
            <w:vAlign w:val="center"/>
          </w:tcPr>
          <w:p w14:paraId="0E3B1902" w14:textId="77777777" w:rsidR="0074251F" w:rsidRPr="00456281" w:rsidRDefault="0074251F" w:rsidP="00CE0150">
            <w:pPr>
              <w:pStyle w:val="In-tableHeading"/>
              <w:keepLines/>
              <w:jc w:val="center"/>
              <w:rPr>
                <w:b w:val="0"/>
                <w:bCs/>
                <w:lang w:val="en-AU"/>
              </w:rPr>
            </w:pPr>
            <w:r w:rsidRPr="00456281">
              <w:rPr>
                <w:b w:val="0"/>
                <w:bCs/>
                <w:lang w:val="en-AU"/>
                <w14:ligatures w14:val="standardContextual"/>
              </w:rPr>
              <w:t>1.17 (0.55, 2.45) p=0.687</w:t>
            </w:r>
          </w:p>
        </w:tc>
      </w:tr>
      <w:tr w:rsidR="0039051B" w:rsidRPr="00456281" w14:paraId="39257347" w14:textId="77777777" w:rsidTr="00CE0150">
        <w:tc>
          <w:tcPr>
            <w:tcW w:w="704" w:type="dxa"/>
          </w:tcPr>
          <w:p w14:paraId="50AF28D0" w14:textId="77777777" w:rsidR="0074251F" w:rsidRPr="00456281" w:rsidRDefault="0074251F" w:rsidP="0074251F">
            <w:pPr>
              <w:pStyle w:val="In-tableHeading"/>
              <w:keepLines/>
              <w:rPr>
                <w:b w:val="0"/>
                <w:bCs/>
                <w:lang w:val="en-AU"/>
              </w:rPr>
            </w:pPr>
            <w:r w:rsidRPr="00456281">
              <w:rPr>
                <w:b w:val="0"/>
                <w:bCs/>
                <w:lang w:val="en-AU"/>
                <w14:ligatures w14:val="standardContextual"/>
              </w:rPr>
              <w:t>2</w:t>
            </w:r>
          </w:p>
        </w:tc>
        <w:tc>
          <w:tcPr>
            <w:tcW w:w="1559" w:type="dxa"/>
            <w:vAlign w:val="center"/>
          </w:tcPr>
          <w:p w14:paraId="6ABD9A36" w14:textId="599580BD" w:rsidR="0074251F" w:rsidRPr="00456281" w:rsidRDefault="0074251F" w:rsidP="0074251F">
            <w:pPr>
              <w:pStyle w:val="In-tableHeading"/>
              <w:keepLines/>
              <w:rPr>
                <w:b w:val="0"/>
                <w:bCs/>
                <w:lang w:val="en-AU"/>
              </w:rPr>
            </w:pPr>
            <w:r w:rsidRPr="00456281">
              <w:rPr>
                <w:b w:val="0"/>
                <w:bCs/>
                <w:lang w:val="en-AU"/>
                <w14:ligatures w14:val="standardContextual"/>
              </w:rPr>
              <w:t>NALIRIFOX vs Gem+NabP</w:t>
            </w:r>
            <w:r w:rsidRPr="00456281">
              <w:rPr>
                <w:b w:val="0"/>
                <w:bCs/>
                <w:vertAlign w:val="superscript"/>
                <w:lang w:val="en-AU"/>
                <w14:ligatures w14:val="standardContextual"/>
              </w:rPr>
              <w:t>b</w:t>
            </w:r>
          </w:p>
        </w:tc>
        <w:tc>
          <w:tcPr>
            <w:tcW w:w="1843" w:type="dxa"/>
          </w:tcPr>
          <w:p w14:paraId="06D203FB" w14:textId="77777777" w:rsidR="0074251F" w:rsidRPr="00456281" w:rsidRDefault="0074251F" w:rsidP="0074251F">
            <w:pPr>
              <w:pStyle w:val="In-tableHeading"/>
              <w:keepLines/>
              <w:rPr>
                <w:b w:val="0"/>
                <w:bCs/>
                <w:lang w:val="en-AU"/>
              </w:rPr>
            </w:pPr>
            <w:r w:rsidRPr="00456281">
              <w:rPr>
                <w:b w:val="0"/>
                <w:bCs/>
                <w:lang w:val="en-AU"/>
                <w14:ligatures w14:val="standardContextual"/>
              </w:rPr>
              <w:t>H2H</w:t>
            </w:r>
          </w:p>
        </w:tc>
        <w:tc>
          <w:tcPr>
            <w:tcW w:w="1637" w:type="dxa"/>
            <w:vAlign w:val="center"/>
          </w:tcPr>
          <w:p w14:paraId="76F09FC3" w14:textId="012D37A7" w:rsidR="0074251F" w:rsidRPr="00456281" w:rsidRDefault="0074251F" w:rsidP="0074251F">
            <w:pPr>
              <w:pStyle w:val="In-tableHeading"/>
              <w:keepLines/>
              <w:jc w:val="center"/>
              <w:rPr>
                <w:lang w:val="en-AU"/>
                <w14:ligatures w14:val="standardContextual"/>
              </w:rPr>
            </w:pPr>
            <w:r w:rsidRPr="00456281">
              <w:rPr>
                <w:lang w:val="en-AU"/>
                <w14:ligatures w14:val="standardContextual"/>
              </w:rPr>
              <w:t>0.83 (0.70, 0.98) p=0.032</w:t>
            </w:r>
          </w:p>
        </w:tc>
        <w:tc>
          <w:tcPr>
            <w:tcW w:w="1637" w:type="dxa"/>
            <w:vAlign w:val="center"/>
          </w:tcPr>
          <w:p w14:paraId="41EF590C" w14:textId="71522209" w:rsidR="0074251F" w:rsidRPr="00456281" w:rsidRDefault="0074251F" w:rsidP="00CE0150">
            <w:pPr>
              <w:pStyle w:val="In-tableHeading"/>
              <w:keepLines/>
              <w:jc w:val="center"/>
              <w:rPr>
                <w:lang w:val="en-AU"/>
              </w:rPr>
            </w:pPr>
            <w:r w:rsidRPr="00456281">
              <w:rPr>
                <w:lang w:val="en-AU"/>
                <w14:ligatures w14:val="standardContextual"/>
              </w:rPr>
              <w:t>0.69 (0.58, 0.82) p&lt;0.0001</w:t>
            </w:r>
          </w:p>
        </w:tc>
        <w:tc>
          <w:tcPr>
            <w:tcW w:w="1637" w:type="dxa"/>
            <w:vAlign w:val="center"/>
          </w:tcPr>
          <w:p w14:paraId="7EC90CE2" w14:textId="77777777" w:rsidR="0074251F" w:rsidRPr="00456281" w:rsidRDefault="0074251F" w:rsidP="00CE0150">
            <w:pPr>
              <w:pStyle w:val="In-tableHeading"/>
              <w:keepLines/>
              <w:jc w:val="center"/>
              <w:rPr>
                <w:b w:val="0"/>
                <w:bCs/>
                <w:lang w:val="en-AU"/>
              </w:rPr>
            </w:pPr>
            <w:r w:rsidRPr="00456281">
              <w:rPr>
                <w:b w:val="0"/>
                <w:bCs/>
                <w:lang w:val="en-AU"/>
                <w14:ligatures w14:val="standardContextual"/>
              </w:rPr>
              <w:t>1.27 (0.95, 1.69) p=0.111</w:t>
            </w:r>
          </w:p>
        </w:tc>
      </w:tr>
      <w:tr w:rsidR="0039051B" w:rsidRPr="00456281" w14:paraId="04BC779C" w14:textId="77777777" w:rsidTr="00CE0150">
        <w:tc>
          <w:tcPr>
            <w:tcW w:w="704" w:type="dxa"/>
          </w:tcPr>
          <w:p w14:paraId="5C98E1CA" w14:textId="77777777" w:rsidR="0074251F" w:rsidRPr="00456281" w:rsidRDefault="0074251F" w:rsidP="0074251F">
            <w:pPr>
              <w:pStyle w:val="In-tableHeading"/>
              <w:keepLines/>
              <w:rPr>
                <w:b w:val="0"/>
                <w:bCs/>
                <w:lang w:val="en-AU"/>
              </w:rPr>
            </w:pPr>
            <w:r w:rsidRPr="00456281">
              <w:rPr>
                <w:b w:val="0"/>
                <w:bCs/>
                <w:lang w:val="en-AU"/>
                <w14:ligatures w14:val="standardContextual"/>
              </w:rPr>
              <w:t>3</w:t>
            </w:r>
          </w:p>
        </w:tc>
        <w:tc>
          <w:tcPr>
            <w:tcW w:w="1559" w:type="dxa"/>
            <w:vAlign w:val="center"/>
          </w:tcPr>
          <w:p w14:paraId="701AF193" w14:textId="5778B2DE" w:rsidR="0074251F" w:rsidRPr="00456281" w:rsidRDefault="0074251F" w:rsidP="0074251F">
            <w:pPr>
              <w:pStyle w:val="In-tableHeading"/>
              <w:keepLines/>
              <w:rPr>
                <w:b w:val="0"/>
                <w:bCs/>
                <w:lang w:val="en-AU"/>
              </w:rPr>
            </w:pPr>
            <w:r w:rsidRPr="00456281">
              <w:rPr>
                <w:b w:val="0"/>
                <w:bCs/>
                <w:lang w:val="en-AU"/>
                <w14:ligatures w14:val="standardContextual"/>
              </w:rPr>
              <w:t>NALIRIFOX vs FOLFIRINOX</w:t>
            </w:r>
            <w:r w:rsidRPr="00456281">
              <w:rPr>
                <w:b w:val="0"/>
                <w:bCs/>
                <w:vertAlign w:val="superscript"/>
                <w:lang w:val="en-AU"/>
                <w14:ligatures w14:val="standardContextual"/>
              </w:rPr>
              <w:t>c</w:t>
            </w:r>
          </w:p>
        </w:tc>
        <w:tc>
          <w:tcPr>
            <w:tcW w:w="1843" w:type="dxa"/>
          </w:tcPr>
          <w:p w14:paraId="54B29A86" w14:textId="77777777" w:rsidR="0074251F" w:rsidRPr="00456281" w:rsidRDefault="0074251F" w:rsidP="0074251F">
            <w:pPr>
              <w:pStyle w:val="In-tableHeading"/>
              <w:keepLines/>
              <w:rPr>
                <w:b w:val="0"/>
                <w:bCs/>
                <w:lang w:val="en-AU"/>
              </w:rPr>
            </w:pPr>
            <w:r w:rsidRPr="00456281">
              <w:rPr>
                <w:b w:val="0"/>
                <w:bCs/>
                <w:lang w:val="en-AU"/>
                <w14:ligatures w14:val="standardContextual"/>
              </w:rPr>
              <w:t>ITC (via Gem+NabP)</w:t>
            </w:r>
          </w:p>
        </w:tc>
        <w:tc>
          <w:tcPr>
            <w:tcW w:w="1637" w:type="dxa"/>
            <w:vAlign w:val="center"/>
          </w:tcPr>
          <w:p w14:paraId="674202B5" w14:textId="3EBCB0E0" w:rsidR="0074251F" w:rsidRPr="00456281" w:rsidRDefault="0074251F" w:rsidP="0074251F">
            <w:pPr>
              <w:pStyle w:val="In-tableHeading"/>
              <w:keepLines/>
              <w:jc w:val="center"/>
              <w:rPr>
                <w:b w:val="0"/>
                <w:bCs/>
                <w:lang w:val="en-AU"/>
                <w14:ligatures w14:val="standardContextual"/>
              </w:rPr>
            </w:pPr>
            <w:r w:rsidRPr="00456281">
              <w:rPr>
                <w:b w:val="0"/>
                <w:bCs/>
                <w:lang w:val="en-AU"/>
                <w14:ligatures w14:val="standardContextual"/>
              </w:rPr>
              <w:t>1.05 (0.76, 1.46) p=0.777</w:t>
            </w:r>
          </w:p>
        </w:tc>
        <w:tc>
          <w:tcPr>
            <w:tcW w:w="1637" w:type="dxa"/>
            <w:vAlign w:val="center"/>
          </w:tcPr>
          <w:p w14:paraId="62DEE5E9" w14:textId="082DFCA5" w:rsidR="0074251F" w:rsidRPr="00456281" w:rsidRDefault="0074251F" w:rsidP="00CE0150">
            <w:pPr>
              <w:pStyle w:val="In-tableHeading"/>
              <w:keepLines/>
              <w:jc w:val="center"/>
              <w:rPr>
                <w:b w:val="0"/>
                <w:bCs/>
                <w:lang w:val="en-AU"/>
              </w:rPr>
            </w:pPr>
            <w:r w:rsidRPr="00456281">
              <w:rPr>
                <w:b w:val="0"/>
                <w:bCs/>
                <w:lang w:val="en-AU"/>
                <w14:ligatures w14:val="standardContextual"/>
              </w:rPr>
              <w:t>1.01 (0.72, 1.43) p=0.941</w:t>
            </w:r>
          </w:p>
        </w:tc>
        <w:tc>
          <w:tcPr>
            <w:tcW w:w="1637" w:type="dxa"/>
            <w:vAlign w:val="center"/>
          </w:tcPr>
          <w:p w14:paraId="229DCE6E" w14:textId="77777777" w:rsidR="0074251F" w:rsidRPr="00456281" w:rsidRDefault="0074251F" w:rsidP="00CE0150">
            <w:pPr>
              <w:pStyle w:val="In-tableHeading"/>
              <w:keepLines/>
              <w:jc w:val="center"/>
              <w:rPr>
                <w:b w:val="0"/>
                <w:bCs/>
                <w:lang w:val="en-AU"/>
              </w:rPr>
            </w:pPr>
            <w:r w:rsidRPr="00456281">
              <w:rPr>
                <w:b w:val="0"/>
                <w:bCs/>
                <w:lang w:val="en-AU"/>
                <w14:ligatures w14:val="standardContextual"/>
              </w:rPr>
              <w:t>1.09 (0.49, 2.41) p=0.838</w:t>
            </w:r>
          </w:p>
        </w:tc>
      </w:tr>
    </w:tbl>
    <w:p w14:paraId="2CFBB0D9" w14:textId="77777777" w:rsidR="005664F4" w:rsidRPr="00456281" w:rsidRDefault="005664F4" w:rsidP="00CE0150">
      <w:pPr>
        <w:pStyle w:val="FooterTableFigure"/>
        <w:rPr>
          <w:rFonts w:eastAsiaTheme="minorHAnsi"/>
        </w:rPr>
      </w:pPr>
      <w:r w:rsidRPr="00456281">
        <w:t>Source: Produced during the evaluation using Table 4, Table 5 and Table 6, p15-17 of Appendix A</w:t>
      </w:r>
    </w:p>
    <w:p w14:paraId="4EBC4D66" w14:textId="77777777" w:rsidR="005664F4" w:rsidRPr="00456281" w:rsidRDefault="005664F4" w:rsidP="00CE0150">
      <w:pPr>
        <w:pStyle w:val="FooterTableFigure"/>
      </w:pPr>
      <w:r w:rsidRPr="00456281">
        <w:t xml:space="preserve">Abbreviations: FOLFIRINOX, 5-flurouracil, Leucovorin/folinic acid; irinotecan and oxaliplatin; Gem, gemcitabine; Gem+NabP, gemcitabine plus nanoparticle albumin-bound paclitaxel; H2H, head-to-head; HR, hazard ratio; ITC, indirect treatment comparison; NALIRIFOX, 5-fluorouracil, Leucovorin/folinic acid, nanoliposomal irinotecan (nal-IRI), and oxaliplatin; OR, odds ratio; ORR, objective response rate; OS, overall survival; PFS, progression-free survival. </w:t>
      </w:r>
    </w:p>
    <w:p w14:paraId="7F8611C6" w14:textId="59D96284" w:rsidR="0074251F" w:rsidRPr="00456281" w:rsidRDefault="0074251F" w:rsidP="00CE0150">
      <w:pPr>
        <w:pStyle w:val="FooterTableFigure"/>
      </w:pPr>
      <w:r w:rsidRPr="00456281">
        <w:t>Statistically significant differences shown in bold</w:t>
      </w:r>
      <w:r w:rsidR="00BC654D" w:rsidRPr="00456281">
        <w:t xml:space="preserve"> (p&lt;0.05)</w:t>
      </w:r>
      <w:r w:rsidRPr="00456281">
        <w:t xml:space="preserve">. </w:t>
      </w:r>
    </w:p>
    <w:p w14:paraId="28F2105B" w14:textId="77777777" w:rsidR="005664F4" w:rsidRPr="00456281" w:rsidRDefault="005664F4" w:rsidP="00CE0150">
      <w:pPr>
        <w:pStyle w:val="FooterTableFigure"/>
      </w:pPr>
      <w:r w:rsidRPr="00456281">
        <w:rPr>
          <w:vertAlign w:val="superscript"/>
        </w:rPr>
        <w:t>a</w:t>
      </w:r>
      <w:r w:rsidRPr="00456281">
        <w:t xml:space="preserve"> 1 = ACCORD11/PRODIGE4 trial versus MPACT trial </w:t>
      </w:r>
    </w:p>
    <w:p w14:paraId="696A45C7" w14:textId="77777777" w:rsidR="005664F4" w:rsidRPr="00456281" w:rsidRDefault="005664F4" w:rsidP="00CE0150">
      <w:pPr>
        <w:pStyle w:val="FooterTableFigure"/>
      </w:pPr>
      <w:r w:rsidRPr="00456281">
        <w:rPr>
          <w:vertAlign w:val="superscript"/>
        </w:rPr>
        <w:t>b</w:t>
      </w:r>
      <w:r w:rsidRPr="00456281">
        <w:t> 2 = NAPOLI-3 trial</w:t>
      </w:r>
    </w:p>
    <w:p w14:paraId="39A6FCAC" w14:textId="7975450D" w:rsidR="002C7230" w:rsidRPr="00456281" w:rsidRDefault="005664F4" w:rsidP="002C7230">
      <w:pPr>
        <w:pStyle w:val="FooterTableFigure"/>
      </w:pPr>
      <w:r w:rsidRPr="00456281">
        <w:rPr>
          <w:vertAlign w:val="superscript"/>
        </w:rPr>
        <w:t>c</w:t>
      </w:r>
      <w:r w:rsidRPr="00456281">
        <w:t> 3 = 2 versus 1</w:t>
      </w:r>
    </w:p>
    <w:bookmarkEnd w:id="75"/>
    <w:p w14:paraId="0FB85637" w14:textId="2A0A6976" w:rsidR="00016609" w:rsidRPr="00456281" w:rsidRDefault="00B51E70" w:rsidP="007C74A3">
      <w:pPr>
        <w:pStyle w:val="3-BodyText"/>
        <w:rPr>
          <w:i/>
          <w:iCs/>
        </w:rPr>
      </w:pPr>
      <w:r w:rsidRPr="00456281">
        <w:t>As shown in</w:t>
      </w:r>
      <w:r w:rsidR="00DA3193" w:rsidRPr="00456281">
        <w:t xml:space="preserve"> </w:t>
      </w:r>
      <w:r w:rsidR="00DA3193" w:rsidRPr="00456281">
        <w:fldChar w:fldCharType="begin"/>
      </w:r>
      <w:r w:rsidR="00DA3193" w:rsidRPr="00456281">
        <w:instrText xml:space="preserve"> REF _Ref153723390 \h </w:instrText>
      </w:r>
      <w:r w:rsidR="00DA3193" w:rsidRPr="00456281">
        <w:fldChar w:fldCharType="separate"/>
      </w:r>
      <w:r w:rsidR="00EE5AD4" w:rsidRPr="00456281">
        <w:t xml:space="preserve">Table </w:t>
      </w:r>
      <w:r w:rsidR="00EE5AD4">
        <w:rPr>
          <w:noProof/>
        </w:rPr>
        <w:t>5</w:t>
      </w:r>
      <w:r w:rsidR="00DA3193" w:rsidRPr="00456281">
        <w:fldChar w:fldCharType="end"/>
      </w:r>
      <w:r w:rsidRPr="00456281">
        <w:t xml:space="preserve">, </w:t>
      </w:r>
      <w:r w:rsidR="0064535C" w:rsidRPr="00456281">
        <w:t xml:space="preserve">treatment with </w:t>
      </w:r>
      <w:r w:rsidR="00016609" w:rsidRPr="00456281">
        <w:t xml:space="preserve">FOLFIRINOX </w:t>
      </w:r>
      <w:r w:rsidR="0064535C" w:rsidRPr="00456281">
        <w:t xml:space="preserve">resulted in </w:t>
      </w:r>
      <w:r w:rsidR="00016609" w:rsidRPr="00456281">
        <w:t>a statistically significant improvement in OS compared with gemcitabine (HR 0.57; 95% CI: 0.45, 0.73; p</w:t>
      </w:r>
      <w:r w:rsidR="00360CB1">
        <w:t> </w:t>
      </w:r>
      <w:r w:rsidR="00016609" w:rsidRPr="00456281">
        <w:t>&lt;</w:t>
      </w:r>
      <w:r w:rsidR="00360CB1">
        <w:t> </w:t>
      </w:r>
      <w:r w:rsidR="00016609" w:rsidRPr="00456281">
        <w:t>0.001)</w:t>
      </w:r>
      <w:r w:rsidR="005A023C" w:rsidRPr="00456281">
        <w:t>.</w:t>
      </w:r>
      <w:r w:rsidR="00F551BD" w:rsidRPr="00456281">
        <w:t xml:space="preserve"> </w:t>
      </w:r>
      <w:r w:rsidR="00016609" w:rsidRPr="00456281">
        <w:t>Similarly, a significant improvement was observed</w:t>
      </w:r>
      <w:r w:rsidR="00D85472" w:rsidRPr="00456281">
        <w:t xml:space="preserve"> for</w:t>
      </w:r>
      <w:r w:rsidR="00016609" w:rsidRPr="00456281">
        <w:t xml:space="preserve"> Gem+NabP compared to gemcitabine (HR 0.72; 95% CI: 0.62, 0.83; p &lt; 0.001). </w:t>
      </w:r>
      <w:r w:rsidR="006017A6" w:rsidRPr="00456281">
        <w:t xml:space="preserve">These data may suggest a </w:t>
      </w:r>
      <w:r w:rsidR="00016609" w:rsidRPr="00456281">
        <w:t xml:space="preserve">larger effect in OS </w:t>
      </w:r>
      <w:r w:rsidR="006017A6" w:rsidRPr="00456281">
        <w:t xml:space="preserve">for FOLFIRINOX </w:t>
      </w:r>
      <w:r w:rsidR="00016609" w:rsidRPr="00456281">
        <w:t>than Gem+NabP when these are compared against gemcitabine</w:t>
      </w:r>
      <w:r w:rsidR="00BC654D" w:rsidRPr="00456281">
        <w:t xml:space="preserve">; </w:t>
      </w:r>
      <w:r w:rsidR="006017A6" w:rsidRPr="00456281">
        <w:t>however</w:t>
      </w:r>
      <w:r w:rsidR="00BC654D" w:rsidRPr="00456281">
        <w:t>,</w:t>
      </w:r>
      <w:r w:rsidR="006017A6" w:rsidRPr="00456281">
        <w:t xml:space="preserve"> there was substantial overlap of the 95% CIs</w:t>
      </w:r>
      <w:r w:rsidR="00016609" w:rsidRPr="00456281">
        <w:t xml:space="preserve">. </w:t>
      </w:r>
      <w:r w:rsidR="0074251F" w:rsidRPr="00456281">
        <w:t xml:space="preserve">The </w:t>
      </w:r>
      <w:r w:rsidR="00367837" w:rsidRPr="00456281">
        <w:t xml:space="preserve">multistep </w:t>
      </w:r>
      <w:r w:rsidR="00C86FCA" w:rsidRPr="00456281">
        <w:t>ITC</w:t>
      </w:r>
      <w:r w:rsidR="00367837" w:rsidRPr="00456281">
        <w:t xml:space="preserve"> (</w:t>
      </w:r>
      <w:r w:rsidR="002C7230" w:rsidRPr="00456281">
        <w:fldChar w:fldCharType="begin"/>
      </w:r>
      <w:r w:rsidR="002C7230" w:rsidRPr="00456281">
        <w:instrText xml:space="preserve"> REF _Ref158833336 \h </w:instrText>
      </w:r>
      <w:r w:rsidR="002C7230" w:rsidRPr="00456281">
        <w:fldChar w:fldCharType="separate"/>
      </w:r>
      <w:r w:rsidR="00EE5AD4" w:rsidRPr="00456281">
        <w:t xml:space="preserve">Table </w:t>
      </w:r>
      <w:r w:rsidR="00EE5AD4">
        <w:rPr>
          <w:noProof/>
        </w:rPr>
        <w:t>6</w:t>
      </w:r>
      <w:r w:rsidR="002C7230" w:rsidRPr="00456281">
        <w:fldChar w:fldCharType="end"/>
      </w:r>
      <w:r w:rsidR="00367837" w:rsidRPr="00456281">
        <w:t>)</w:t>
      </w:r>
      <w:r w:rsidR="00F551BD" w:rsidRPr="00456281">
        <w:t xml:space="preserve"> </w:t>
      </w:r>
      <w:r w:rsidR="004479B9" w:rsidRPr="00456281">
        <w:t>showed no statistically si</w:t>
      </w:r>
      <w:r w:rsidR="00970C79" w:rsidRPr="00456281">
        <w:t xml:space="preserve">gnificant </w:t>
      </w:r>
      <w:r w:rsidR="009D37A5" w:rsidRPr="00456281">
        <w:t>difference between FOLFIRINOX and</w:t>
      </w:r>
      <w:r w:rsidR="006442D9" w:rsidRPr="00456281">
        <w:t xml:space="preserve"> </w:t>
      </w:r>
      <w:r w:rsidR="00D07F29" w:rsidRPr="00456281">
        <w:t xml:space="preserve">Gem+NabP </w:t>
      </w:r>
      <w:r w:rsidR="00DA3193" w:rsidRPr="00456281">
        <w:t xml:space="preserve">for OS </w:t>
      </w:r>
      <w:r w:rsidR="00D07F29" w:rsidRPr="00456281">
        <w:t>(</w:t>
      </w:r>
      <w:r w:rsidR="00650E04" w:rsidRPr="00456281">
        <w:t>HR 0.79</w:t>
      </w:r>
      <w:r w:rsidR="0064535C" w:rsidRPr="00456281">
        <w:t xml:space="preserve">; </w:t>
      </w:r>
      <w:r w:rsidR="00D706CC" w:rsidRPr="00456281">
        <w:t xml:space="preserve">95% CI: </w:t>
      </w:r>
      <w:r w:rsidR="00326DE5" w:rsidRPr="00456281">
        <w:t>0.60, 1.05</w:t>
      </w:r>
      <w:r w:rsidR="0064535C" w:rsidRPr="00456281">
        <w:t xml:space="preserve">; </w:t>
      </w:r>
      <w:r w:rsidR="00326DE5" w:rsidRPr="00456281">
        <w:t>p=0.102)</w:t>
      </w:r>
      <w:r w:rsidR="00DD4550" w:rsidRPr="00456281">
        <w:t>.</w:t>
      </w:r>
      <w:r w:rsidR="002D1BEC" w:rsidRPr="00456281">
        <w:t xml:space="preserve"> </w:t>
      </w:r>
      <w:r w:rsidR="00016609" w:rsidRPr="00456281">
        <w:t>FOLFIRINOX appears to have a larger effect in PFS than Gem+Nab</w:t>
      </w:r>
      <w:r w:rsidR="005941A3" w:rsidRPr="00456281">
        <w:t>P</w:t>
      </w:r>
      <w:r w:rsidR="00016609" w:rsidRPr="00456281">
        <w:t xml:space="preserve"> when these are compared against gemcitabine (HR 0.47</w:t>
      </w:r>
      <w:r w:rsidR="0064535C" w:rsidRPr="00456281">
        <w:t xml:space="preserve">; </w:t>
      </w:r>
      <w:r w:rsidR="00016609" w:rsidRPr="00456281">
        <w:t>95% CI: 0.37, 0.59 vs HR 0.69</w:t>
      </w:r>
      <w:r w:rsidR="0064535C" w:rsidRPr="00456281">
        <w:t xml:space="preserve">; </w:t>
      </w:r>
      <w:r w:rsidR="00016609" w:rsidRPr="00456281">
        <w:t>95% CI: 0.58, 0.82, respectively)</w:t>
      </w:r>
      <w:r w:rsidR="0074251F" w:rsidRPr="00456281">
        <w:t>, as shown in</w:t>
      </w:r>
      <w:r w:rsidR="00DA3193" w:rsidRPr="00456281">
        <w:t xml:space="preserve"> </w:t>
      </w:r>
      <w:r w:rsidR="00DA3193" w:rsidRPr="00456281">
        <w:fldChar w:fldCharType="begin"/>
      </w:r>
      <w:r w:rsidR="00DA3193" w:rsidRPr="00456281">
        <w:instrText xml:space="preserve"> REF _Ref153723390 \h </w:instrText>
      </w:r>
      <w:r w:rsidR="00DA3193" w:rsidRPr="00456281">
        <w:fldChar w:fldCharType="separate"/>
      </w:r>
      <w:r w:rsidR="00EE5AD4" w:rsidRPr="00456281">
        <w:t xml:space="preserve">Table </w:t>
      </w:r>
      <w:r w:rsidR="00EE5AD4">
        <w:rPr>
          <w:noProof/>
        </w:rPr>
        <w:t>5</w:t>
      </w:r>
      <w:r w:rsidR="00DA3193" w:rsidRPr="00456281">
        <w:fldChar w:fldCharType="end"/>
      </w:r>
      <w:r w:rsidR="00016609" w:rsidRPr="00456281">
        <w:t>.</w:t>
      </w:r>
      <w:r w:rsidR="00E04E31" w:rsidRPr="00456281">
        <w:rPr>
          <w:i/>
          <w:iCs/>
        </w:rPr>
        <w:t xml:space="preserve"> </w:t>
      </w:r>
      <w:r w:rsidR="00B712A8" w:rsidRPr="00456281">
        <w:t xml:space="preserve">The </w:t>
      </w:r>
      <w:r w:rsidR="00B60DE2" w:rsidRPr="00456281">
        <w:t>results of the</w:t>
      </w:r>
      <w:r w:rsidR="00B712A8" w:rsidRPr="00456281">
        <w:t xml:space="preserve"> </w:t>
      </w:r>
      <w:r w:rsidR="0074251F" w:rsidRPr="00456281">
        <w:t xml:space="preserve">multistep </w:t>
      </w:r>
      <w:r w:rsidR="00B712A8" w:rsidRPr="00456281">
        <w:t xml:space="preserve">ITC showed </w:t>
      </w:r>
      <w:r w:rsidR="005C6146" w:rsidRPr="00456281">
        <w:t xml:space="preserve">a </w:t>
      </w:r>
      <w:r w:rsidR="003F3B5E" w:rsidRPr="00456281">
        <w:t>significant improvement in PFS for FOL</w:t>
      </w:r>
      <w:r w:rsidR="00C64876" w:rsidRPr="00456281">
        <w:t>FIRINOX compared to Gem+NabP (</w:t>
      </w:r>
      <w:r w:rsidR="00505C21" w:rsidRPr="00456281">
        <w:t xml:space="preserve">HR </w:t>
      </w:r>
      <w:r w:rsidR="00C64876" w:rsidRPr="00456281">
        <w:t xml:space="preserve">0.68 </w:t>
      </w:r>
      <w:r w:rsidR="0064535C" w:rsidRPr="00456281">
        <w:t xml:space="preserve">; </w:t>
      </w:r>
      <w:r w:rsidR="00D706CC" w:rsidRPr="00456281">
        <w:t xml:space="preserve">95% CI: </w:t>
      </w:r>
      <w:r w:rsidR="00C64876" w:rsidRPr="00456281">
        <w:t>0.51, 0.92</w:t>
      </w:r>
      <w:r w:rsidR="0064535C" w:rsidRPr="00456281">
        <w:t xml:space="preserve">; </w:t>
      </w:r>
      <w:r w:rsidR="00C64876" w:rsidRPr="00456281">
        <w:t>p=0.011</w:t>
      </w:r>
      <w:r w:rsidR="00D706CC" w:rsidRPr="00456281">
        <w:t>).</w:t>
      </w:r>
    </w:p>
    <w:p w14:paraId="2DD03E25" w14:textId="02883399" w:rsidR="00016609" w:rsidRPr="00456281" w:rsidRDefault="0074251F" w:rsidP="00FD6809">
      <w:pPr>
        <w:pStyle w:val="3-BodyText"/>
      </w:pPr>
      <w:r w:rsidRPr="00456281">
        <w:t xml:space="preserve">The results of the multistep ITC of NALIRIFOX vs FOLFIRINOX (via common reference groups) presented in </w:t>
      </w:r>
      <w:r w:rsidR="002C7230" w:rsidRPr="00456281">
        <w:fldChar w:fldCharType="begin"/>
      </w:r>
      <w:r w:rsidR="002C7230" w:rsidRPr="00456281">
        <w:instrText xml:space="preserve"> REF _Ref158833336 \h </w:instrText>
      </w:r>
      <w:r w:rsidR="002C7230" w:rsidRPr="00456281">
        <w:fldChar w:fldCharType="separate"/>
      </w:r>
      <w:r w:rsidR="00EE5AD4" w:rsidRPr="00456281">
        <w:t xml:space="preserve">Table </w:t>
      </w:r>
      <w:r w:rsidR="00EE5AD4">
        <w:rPr>
          <w:noProof/>
        </w:rPr>
        <w:t>6</w:t>
      </w:r>
      <w:r w:rsidR="002C7230" w:rsidRPr="00456281">
        <w:fldChar w:fldCharType="end"/>
      </w:r>
      <w:r w:rsidRPr="00456281">
        <w:t xml:space="preserve"> showed no statistically significant difference for PFS or OS (HR 1.01</w:t>
      </w:r>
      <w:r w:rsidR="00337FD2" w:rsidRPr="00456281">
        <w:t xml:space="preserve">; </w:t>
      </w:r>
      <w:r w:rsidRPr="00456281">
        <w:t>95% CI: 0.72, 1.43</w:t>
      </w:r>
      <w:r w:rsidR="00337FD2" w:rsidRPr="00456281">
        <w:t>;</w:t>
      </w:r>
      <w:r w:rsidRPr="00456281">
        <w:t xml:space="preserve"> p=0.941 and HR 1.05</w:t>
      </w:r>
      <w:r w:rsidR="00337FD2" w:rsidRPr="00456281">
        <w:t xml:space="preserve">; </w:t>
      </w:r>
      <w:r w:rsidRPr="00456281">
        <w:t>95% CI: 0.76, 1.46</w:t>
      </w:r>
      <w:r w:rsidR="00337FD2" w:rsidRPr="00456281">
        <w:t xml:space="preserve">; </w:t>
      </w:r>
      <w:r w:rsidRPr="00456281">
        <w:t>p=0.777, respectively).</w:t>
      </w:r>
      <w:r w:rsidR="002D1BEC" w:rsidRPr="00456281">
        <w:t xml:space="preserve"> </w:t>
      </w:r>
      <w:r w:rsidR="008F7C8D" w:rsidRPr="00456281">
        <w:t xml:space="preserve">The results of the </w:t>
      </w:r>
      <w:r w:rsidR="008E5CCA" w:rsidRPr="00456281">
        <w:t xml:space="preserve">multistep </w:t>
      </w:r>
      <w:r w:rsidR="008F7C8D" w:rsidRPr="00456281">
        <w:t>ITC</w:t>
      </w:r>
      <w:r w:rsidR="006618CC" w:rsidRPr="00456281">
        <w:t xml:space="preserve"> of NALIRIFOX vs FOLFIRINOX</w:t>
      </w:r>
      <w:r w:rsidR="008F7C8D" w:rsidRPr="00456281">
        <w:t xml:space="preserve"> </w:t>
      </w:r>
      <w:r w:rsidR="002D1BEC" w:rsidRPr="00456281">
        <w:t xml:space="preserve">also indicated </w:t>
      </w:r>
      <w:r w:rsidR="00F12575" w:rsidRPr="00456281">
        <w:t xml:space="preserve">no statistically significant difference for ORR </w:t>
      </w:r>
      <w:r w:rsidR="006618CC" w:rsidRPr="00456281">
        <w:t>(OR 1.09</w:t>
      </w:r>
      <w:r w:rsidR="00337FD2" w:rsidRPr="00456281">
        <w:t xml:space="preserve">; </w:t>
      </w:r>
      <w:r w:rsidR="006618CC" w:rsidRPr="00456281">
        <w:t>95% CI: 0.49, 2.41</w:t>
      </w:r>
      <w:r w:rsidR="00337FD2" w:rsidRPr="00456281">
        <w:t xml:space="preserve">; </w:t>
      </w:r>
      <w:r w:rsidR="006618CC" w:rsidRPr="00456281">
        <w:t>p=0.838</w:t>
      </w:r>
      <w:r w:rsidR="00337FD2" w:rsidRPr="00456281">
        <w:t xml:space="preserve">; </w:t>
      </w:r>
      <w:r w:rsidR="002C7230" w:rsidRPr="00456281">
        <w:fldChar w:fldCharType="begin"/>
      </w:r>
      <w:r w:rsidR="002C7230" w:rsidRPr="00456281">
        <w:instrText xml:space="preserve"> REF _Ref158833336 \h </w:instrText>
      </w:r>
      <w:r w:rsidR="002C7230" w:rsidRPr="00456281">
        <w:fldChar w:fldCharType="separate"/>
      </w:r>
      <w:r w:rsidR="00EE5AD4" w:rsidRPr="00456281">
        <w:t xml:space="preserve">Table </w:t>
      </w:r>
      <w:r w:rsidR="00EE5AD4">
        <w:rPr>
          <w:noProof/>
        </w:rPr>
        <w:t>6</w:t>
      </w:r>
      <w:r w:rsidR="002C7230" w:rsidRPr="00456281">
        <w:fldChar w:fldCharType="end"/>
      </w:r>
      <w:r w:rsidRPr="00456281">
        <w:t>)</w:t>
      </w:r>
      <w:r w:rsidR="006618CC" w:rsidRPr="00456281">
        <w:t>.</w:t>
      </w:r>
    </w:p>
    <w:p w14:paraId="0B060547" w14:textId="4BC52EA1" w:rsidR="0074251F" w:rsidRPr="00456281" w:rsidRDefault="0074251F" w:rsidP="0074251F">
      <w:pPr>
        <w:pStyle w:val="3-BodyText"/>
      </w:pPr>
      <w:r w:rsidRPr="00456281">
        <w:lastRenderedPageBreak/>
        <w:t xml:space="preserve">The ESC noted that </w:t>
      </w:r>
      <w:r w:rsidR="00BC654D" w:rsidRPr="00456281">
        <w:t>the</w:t>
      </w:r>
      <w:r w:rsidRPr="00456281">
        <w:t xml:space="preserve"> recently published meta-analysis of seven phase 3 trials including treatment with NALIRIFOX, FOLFIRINOX and </w:t>
      </w:r>
      <w:r w:rsidR="00337FD2" w:rsidRPr="00456281">
        <w:t>Gem+</w:t>
      </w:r>
      <w:r w:rsidRPr="00456281">
        <w:t>Na</w:t>
      </w:r>
      <w:r w:rsidR="009250D5" w:rsidRPr="00456281">
        <w:t>bP</w:t>
      </w:r>
      <w:r w:rsidRPr="00456281">
        <w:t xml:space="preserve"> (Nichetti et al.</w:t>
      </w:r>
      <w:r w:rsidR="00BC654D" w:rsidRPr="00456281">
        <w:t>,</w:t>
      </w:r>
      <w:r w:rsidRPr="00456281">
        <w:t xml:space="preserve"> 2024) found similar results to the naïve and multistep ITCs described above, with no statistically significant difference seen for FOLFIRINOX vs NALIRIFOX in PFS (HR 1.21</w:t>
      </w:r>
      <w:r w:rsidR="00337FD2" w:rsidRPr="00456281">
        <w:t xml:space="preserve">; </w:t>
      </w:r>
      <w:r w:rsidRPr="00456281">
        <w:t>95% CI: 0.86-1.70</w:t>
      </w:r>
      <w:r w:rsidR="00337FD2" w:rsidRPr="00456281">
        <w:t xml:space="preserve">; </w:t>
      </w:r>
      <w:r w:rsidRPr="00456281">
        <w:t>p=0.28) or OS (HR 1.06</w:t>
      </w:r>
      <w:r w:rsidR="00337FD2" w:rsidRPr="00456281">
        <w:t xml:space="preserve">; </w:t>
      </w:r>
      <w:r w:rsidRPr="00456281">
        <w:t>95% CI: 0.81-1.39</w:t>
      </w:r>
      <w:r w:rsidR="00337FD2" w:rsidRPr="00456281">
        <w:t>;</w:t>
      </w:r>
      <w:r w:rsidRPr="00456281">
        <w:t xml:space="preserve"> p=0.65). </w:t>
      </w:r>
    </w:p>
    <w:p w14:paraId="4BE0B0EB" w14:textId="3C42B266" w:rsidR="00B81A46" w:rsidRPr="00456281" w:rsidRDefault="00F41FA6" w:rsidP="00017CF0">
      <w:pPr>
        <w:pStyle w:val="3-BodyText"/>
      </w:pPr>
      <w:r w:rsidRPr="00456281">
        <w:rPr>
          <w:rFonts w:eastAsiaTheme="majorEastAsia"/>
        </w:rPr>
        <w:t>T</w:t>
      </w:r>
      <w:r w:rsidR="00C12893" w:rsidRPr="00456281">
        <w:rPr>
          <w:rFonts w:eastAsiaTheme="majorEastAsia"/>
        </w:rPr>
        <w:t>he PSCR provided additional information relating to the GENERATE trial</w:t>
      </w:r>
      <w:r w:rsidR="00B81A46" w:rsidRPr="00456281">
        <w:rPr>
          <w:rFonts w:eastAsiaTheme="majorEastAsia"/>
        </w:rPr>
        <w:t xml:space="preserve"> (conference presentation slides)</w:t>
      </w:r>
      <w:r w:rsidR="00C12893" w:rsidRPr="00456281">
        <w:rPr>
          <w:rFonts w:eastAsiaTheme="majorEastAsia"/>
        </w:rPr>
        <w:t xml:space="preserve">, </w:t>
      </w:r>
      <w:r w:rsidR="00F55C7C" w:rsidRPr="00456281">
        <w:rPr>
          <w:rFonts w:eastAsiaTheme="majorEastAsia"/>
        </w:rPr>
        <w:t xml:space="preserve">which included </w:t>
      </w:r>
      <w:r w:rsidR="00C12893" w:rsidRPr="00456281">
        <w:rPr>
          <w:rFonts w:eastAsiaTheme="majorEastAsia"/>
        </w:rPr>
        <w:t xml:space="preserve">limited patient demographic and </w:t>
      </w:r>
      <w:r w:rsidR="00612E80" w:rsidRPr="00456281">
        <w:rPr>
          <w:rFonts w:eastAsiaTheme="majorEastAsia"/>
        </w:rPr>
        <w:t xml:space="preserve">baseline </w:t>
      </w:r>
      <w:r w:rsidR="00C12893" w:rsidRPr="00456281">
        <w:rPr>
          <w:rFonts w:eastAsiaTheme="majorEastAsia"/>
        </w:rPr>
        <w:t xml:space="preserve">disease characteristics data. Compared with the population included in the NAPOLI-3 trial, more patients </w:t>
      </w:r>
      <w:r w:rsidR="007A62EA" w:rsidRPr="00456281">
        <w:rPr>
          <w:rFonts w:eastAsiaTheme="majorEastAsia"/>
        </w:rPr>
        <w:t xml:space="preserve">in the GENERATE trial </w:t>
      </w:r>
      <w:r w:rsidR="00C12893" w:rsidRPr="00456281">
        <w:rPr>
          <w:rFonts w:eastAsiaTheme="majorEastAsia"/>
        </w:rPr>
        <w:t>were ECOG PS 0 (67.2% versus 42.6%), fewer patients had metastatic disease (94.6% versus 100%), fewer had two or more metastatic sites (37.6% versus 67.3%), and fewer had liver metastasis (68.7% versus 79.9%).</w:t>
      </w:r>
      <w:r w:rsidR="009D0DD4" w:rsidRPr="00456281">
        <w:rPr>
          <w:rFonts w:eastAsiaTheme="majorEastAsia"/>
        </w:rPr>
        <w:t xml:space="preserve"> </w:t>
      </w:r>
      <w:r w:rsidR="00BE394C" w:rsidRPr="00456281">
        <w:rPr>
          <w:rFonts w:eastAsiaTheme="majorEastAsia"/>
        </w:rPr>
        <w:t xml:space="preserve">As well as these differences, the </w:t>
      </w:r>
      <w:r w:rsidR="009D0DD4" w:rsidRPr="00456281">
        <w:rPr>
          <w:rFonts w:eastAsiaTheme="majorEastAsia"/>
        </w:rPr>
        <w:t>ESC also noted that a modified FOLFIRINOX regimen was used in the GENERATE trial that differed from the regimen</w:t>
      </w:r>
      <w:r w:rsidR="00F55C7C" w:rsidRPr="00456281">
        <w:rPr>
          <w:rFonts w:eastAsiaTheme="majorEastAsia"/>
        </w:rPr>
        <w:t>s</w:t>
      </w:r>
      <w:r w:rsidR="009D0DD4" w:rsidRPr="00456281">
        <w:rPr>
          <w:rFonts w:eastAsiaTheme="majorEastAsia"/>
        </w:rPr>
        <w:t xml:space="preserve"> used in </w:t>
      </w:r>
      <w:r w:rsidR="00F55C7C" w:rsidRPr="00456281">
        <w:rPr>
          <w:rFonts w:eastAsiaTheme="majorEastAsia"/>
        </w:rPr>
        <w:t>(i) the ACCORD11/PRODIGE4 trial</w:t>
      </w:r>
      <w:r w:rsidR="00BE394C" w:rsidRPr="00456281">
        <w:rPr>
          <w:rFonts w:eastAsiaTheme="majorEastAsia"/>
        </w:rPr>
        <w:t xml:space="preserve"> –</w:t>
      </w:r>
      <w:r w:rsidR="00F55C7C" w:rsidRPr="00456281">
        <w:rPr>
          <w:rFonts w:eastAsiaTheme="majorEastAsia"/>
        </w:rPr>
        <w:t xml:space="preserve"> including a lower LV dose (200 mg/m</w:t>
      </w:r>
      <w:r w:rsidR="00F55C7C" w:rsidRPr="00456281">
        <w:rPr>
          <w:rFonts w:eastAsiaTheme="majorEastAsia"/>
          <w:vertAlign w:val="superscript"/>
        </w:rPr>
        <w:t>2</w:t>
      </w:r>
      <w:r w:rsidR="00F55C7C" w:rsidRPr="00456281">
        <w:rPr>
          <w:rFonts w:eastAsiaTheme="majorEastAsia"/>
        </w:rPr>
        <w:t xml:space="preserve"> versus 400</w:t>
      </w:r>
      <w:r w:rsidR="00360CB1">
        <w:rPr>
          <w:rFonts w:eastAsiaTheme="majorEastAsia"/>
        </w:rPr>
        <w:t> </w:t>
      </w:r>
      <w:r w:rsidR="00F55C7C" w:rsidRPr="00456281">
        <w:rPr>
          <w:rFonts w:eastAsiaTheme="majorEastAsia"/>
        </w:rPr>
        <w:t>mg/m</w:t>
      </w:r>
      <w:r w:rsidR="00F55C7C" w:rsidRPr="00456281">
        <w:rPr>
          <w:rFonts w:eastAsiaTheme="majorEastAsia"/>
          <w:vertAlign w:val="superscript"/>
        </w:rPr>
        <w:t>2</w:t>
      </w:r>
      <w:r w:rsidR="00F55C7C" w:rsidRPr="00456281">
        <w:rPr>
          <w:rFonts w:eastAsiaTheme="majorEastAsia"/>
        </w:rPr>
        <w:t>, respectively), and a lower 5-FU dose (no bolus dose versus 400</w:t>
      </w:r>
      <w:r w:rsidR="00360CB1">
        <w:rPr>
          <w:rFonts w:eastAsiaTheme="majorEastAsia"/>
        </w:rPr>
        <w:t> </w:t>
      </w:r>
      <w:r w:rsidR="00F55C7C" w:rsidRPr="00456281">
        <w:rPr>
          <w:rFonts w:eastAsiaTheme="majorEastAsia"/>
        </w:rPr>
        <w:t>mg/m</w:t>
      </w:r>
      <w:r w:rsidR="00F55C7C" w:rsidRPr="00456281">
        <w:rPr>
          <w:rFonts w:eastAsiaTheme="majorEastAsia"/>
          <w:vertAlign w:val="superscript"/>
        </w:rPr>
        <w:t>2</w:t>
      </w:r>
      <w:r w:rsidR="00F55C7C" w:rsidRPr="00456281">
        <w:rPr>
          <w:rFonts w:eastAsiaTheme="majorEastAsia"/>
        </w:rPr>
        <w:t>, respectively), and (ii) the regimen currently used in Australian practice</w:t>
      </w:r>
      <w:r w:rsidR="00BE394C" w:rsidRPr="00456281">
        <w:rPr>
          <w:rFonts w:eastAsiaTheme="majorEastAsia"/>
        </w:rPr>
        <w:t xml:space="preserve"> –</w:t>
      </w:r>
      <w:r w:rsidR="00F55C7C" w:rsidRPr="00456281">
        <w:rPr>
          <w:rFonts w:eastAsiaTheme="majorEastAsia"/>
        </w:rPr>
        <w:t xml:space="preserve"> including a lower 5-FU dose (no bolus dose versus 400 mg/m</w:t>
      </w:r>
      <w:r w:rsidR="00F55C7C" w:rsidRPr="00456281">
        <w:rPr>
          <w:rFonts w:eastAsiaTheme="majorEastAsia"/>
          <w:vertAlign w:val="superscript"/>
        </w:rPr>
        <w:t>2</w:t>
      </w:r>
      <w:r w:rsidR="00F55C7C" w:rsidRPr="00456281">
        <w:rPr>
          <w:rFonts w:eastAsiaTheme="majorEastAsia"/>
        </w:rPr>
        <w:t>, respectively)</w:t>
      </w:r>
      <w:r w:rsidR="009D0DD4" w:rsidRPr="00456281">
        <w:rPr>
          <w:rFonts w:eastAsiaTheme="majorEastAsia"/>
        </w:rPr>
        <w:t xml:space="preserve">. </w:t>
      </w:r>
      <w:r w:rsidR="00F55C7C" w:rsidRPr="00456281">
        <w:rPr>
          <w:rFonts w:eastAsiaTheme="majorEastAsia"/>
        </w:rPr>
        <w:t xml:space="preserve">This difference has the potential to bias </w:t>
      </w:r>
      <w:r w:rsidR="00BE394C" w:rsidRPr="00456281">
        <w:rPr>
          <w:rFonts w:eastAsiaTheme="majorEastAsia"/>
        </w:rPr>
        <w:t xml:space="preserve">the results of the analysis in GENERATE against </w:t>
      </w:r>
      <w:r w:rsidR="006C72AC" w:rsidRPr="00456281">
        <w:rPr>
          <w:rFonts w:eastAsiaTheme="majorEastAsia"/>
        </w:rPr>
        <w:t>FOLFIRINOX</w:t>
      </w:r>
      <w:r w:rsidR="00BE394C" w:rsidRPr="00456281">
        <w:rPr>
          <w:rFonts w:eastAsiaTheme="majorEastAsia"/>
        </w:rPr>
        <w:t xml:space="preserve">. </w:t>
      </w:r>
    </w:p>
    <w:p w14:paraId="1FD3F035" w14:textId="18C1880E" w:rsidR="00F55C7C" w:rsidRPr="00456281" w:rsidRDefault="009D0DD4" w:rsidP="00017CF0">
      <w:pPr>
        <w:pStyle w:val="3-BodyText"/>
      </w:pPr>
      <w:r w:rsidRPr="00456281">
        <w:rPr>
          <w:rFonts w:eastAsiaTheme="majorEastAsia"/>
        </w:rPr>
        <w:t xml:space="preserve">Despite differences between the trials, </w:t>
      </w:r>
      <w:r w:rsidR="00612E80" w:rsidRPr="00456281">
        <w:rPr>
          <w:rFonts w:eastAsiaTheme="majorEastAsia"/>
        </w:rPr>
        <w:t>the</w:t>
      </w:r>
      <w:r w:rsidR="00C12893" w:rsidRPr="00456281">
        <w:rPr>
          <w:rFonts w:eastAsiaTheme="majorEastAsia"/>
        </w:rPr>
        <w:t xml:space="preserve"> </w:t>
      </w:r>
      <w:r w:rsidR="00612E80" w:rsidRPr="00456281">
        <w:rPr>
          <w:rFonts w:eastAsiaTheme="majorEastAsia"/>
        </w:rPr>
        <w:t>PSCR</w:t>
      </w:r>
      <w:r w:rsidR="00C12893" w:rsidRPr="00456281">
        <w:rPr>
          <w:rFonts w:eastAsiaTheme="majorEastAsia"/>
        </w:rPr>
        <w:t xml:space="preserve"> </w:t>
      </w:r>
      <w:r w:rsidR="00E01320" w:rsidRPr="00456281">
        <w:rPr>
          <w:rFonts w:eastAsiaTheme="majorEastAsia"/>
        </w:rPr>
        <w:t>provided the results of a one-step Bucher ITC in the PSCR (</w:t>
      </w:r>
      <w:r w:rsidR="00E01320" w:rsidRPr="00456281">
        <w:rPr>
          <w:rFonts w:eastAsiaTheme="majorEastAsia"/>
        </w:rPr>
        <w:fldChar w:fldCharType="begin"/>
      </w:r>
      <w:r w:rsidR="00E01320" w:rsidRPr="00456281">
        <w:rPr>
          <w:rFonts w:eastAsiaTheme="majorEastAsia"/>
        </w:rPr>
        <w:instrText xml:space="preserve"> REF _Ref158804187 \h </w:instrText>
      </w:r>
      <w:r w:rsidR="00CB31D1" w:rsidRPr="00456281">
        <w:rPr>
          <w:rFonts w:eastAsiaTheme="majorEastAsia"/>
        </w:rPr>
        <w:instrText xml:space="preserve"> \* MERGEFORMAT </w:instrText>
      </w:r>
      <w:r w:rsidR="00E01320" w:rsidRPr="00456281">
        <w:rPr>
          <w:rFonts w:eastAsiaTheme="majorEastAsia"/>
        </w:rPr>
      </w:r>
      <w:r w:rsidR="00E01320" w:rsidRPr="00456281">
        <w:rPr>
          <w:rFonts w:eastAsiaTheme="majorEastAsia"/>
        </w:rPr>
        <w:fldChar w:fldCharType="separate"/>
      </w:r>
      <w:r w:rsidR="00EE5AD4" w:rsidRPr="00456281">
        <w:t xml:space="preserve">Table </w:t>
      </w:r>
      <w:r w:rsidR="00EE5AD4">
        <w:t>7</w:t>
      </w:r>
      <w:r w:rsidR="00E01320" w:rsidRPr="00456281">
        <w:rPr>
          <w:rFonts w:eastAsiaTheme="majorEastAsia"/>
        </w:rPr>
        <w:fldChar w:fldCharType="end"/>
      </w:r>
      <w:r w:rsidR="00E01320" w:rsidRPr="00456281">
        <w:rPr>
          <w:rFonts w:eastAsiaTheme="majorEastAsia"/>
        </w:rPr>
        <w:t xml:space="preserve">). </w:t>
      </w:r>
      <w:r w:rsidR="00612E80" w:rsidRPr="00456281">
        <w:rPr>
          <w:rFonts w:eastAsiaTheme="majorEastAsia"/>
        </w:rPr>
        <w:t xml:space="preserve">The PSCR </w:t>
      </w:r>
      <w:r w:rsidRPr="00456281">
        <w:rPr>
          <w:rFonts w:eastAsiaTheme="majorEastAsia"/>
        </w:rPr>
        <w:t>reported</w:t>
      </w:r>
      <w:r w:rsidR="00612E80" w:rsidRPr="00456281">
        <w:rPr>
          <w:rFonts w:eastAsiaTheme="majorEastAsia"/>
        </w:rPr>
        <w:t xml:space="preserve"> that the one</w:t>
      </w:r>
      <w:r w:rsidRPr="00456281">
        <w:rPr>
          <w:rFonts w:eastAsiaTheme="majorEastAsia"/>
        </w:rPr>
        <w:noBreakHyphen/>
      </w:r>
      <w:r w:rsidR="00612E80" w:rsidRPr="00456281">
        <w:rPr>
          <w:rFonts w:eastAsiaTheme="majorEastAsia"/>
        </w:rPr>
        <w:t xml:space="preserve">step </w:t>
      </w:r>
      <w:r w:rsidR="00612E80" w:rsidRPr="00456281">
        <w:t>ITC of OS</w:t>
      </w:r>
      <w:r w:rsidR="00612E80" w:rsidRPr="00456281">
        <w:rPr>
          <w:rFonts w:eastAsiaTheme="majorEastAsia"/>
        </w:rPr>
        <w:t xml:space="preserve"> supported the submission’s claim of superior efficacy of NALIRIFOX compared with FOLFIRINO</w:t>
      </w:r>
      <w:r w:rsidRPr="00456281">
        <w:rPr>
          <w:rFonts w:eastAsiaTheme="majorEastAsia"/>
        </w:rPr>
        <w:t xml:space="preserve">X (HR </w:t>
      </w:r>
      <w:r w:rsidRPr="00456281">
        <w:t>0.64</w:t>
      </w:r>
      <w:r w:rsidR="00337FD2" w:rsidRPr="00456281">
        <w:t xml:space="preserve">; </w:t>
      </w:r>
      <w:r w:rsidRPr="00456281">
        <w:t>95% CI: 0.46-0.89; p=0.008)</w:t>
      </w:r>
      <w:r w:rsidR="00612E80" w:rsidRPr="00456281">
        <w:rPr>
          <w:rFonts w:eastAsiaTheme="majorEastAsia"/>
        </w:rPr>
        <w:t>.</w:t>
      </w:r>
      <w:r w:rsidRPr="00456281">
        <w:rPr>
          <w:rFonts w:eastAsiaTheme="majorEastAsia"/>
        </w:rPr>
        <w:t xml:space="preserve"> </w:t>
      </w:r>
      <w:r w:rsidR="00CA6DF1" w:rsidRPr="00456281">
        <w:rPr>
          <w:rFonts w:eastAsiaTheme="majorEastAsia"/>
        </w:rPr>
        <w:t xml:space="preserve">The pre-PBAC response maintained that </w:t>
      </w:r>
      <w:r w:rsidR="00CA6DF1" w:rsidRPr="00456281">
        <w:t xml:space="preserve">NALIRIFOX was superior to FOLFIRINOX on the basis of the </w:t>
      </w:r>
      <w:r w:rsidR="004E2817" w:rsidRPr="00456281">
        <w:t xml:space="preserve">one-step </w:t>
      </w:r>
      <w:r w:rsidR="00CA6DF1" w:rsidRPr="00456281">
        <w:t xml:space="preserve">ITC </w:t>
      </w:r>
      <w:r w:rsidR="004E2817" w:rsidRPr="00456281">
        <w:t>(</w:t>
      </w:r>
      <w:r w:rsidR="00CA6DF1" w:rsidRPr="00456281">
        <w:fldChar w:fldCharType="begin"/>
      </w:r>
      <w:r w:rsidR="00CA6DF1" w:rsidRPr="00456281">
        <w:instrText xml:space="preserve"> REF _Ref158804187 \h </w:instrText>
      </w:r>
      <w:r w:rsidR="00CA6DF1" w:rsidRPr="00456281">
        <w:fldChar w:fldCharType="separate"/>
      </w:r>
      <w:r w:rsidR="00EE5AD4" w:rsidRPr="00456281">
        <w:t xml:space="preserve">Table </w:t>
      </w:r>
      <w:r w:rsidR="00EE5AD4">
        <w:rPr>
          <w:noProof/>
        </w:rPr>
        <w:t>7</w:t>
      </w:r>
      <w:r w:rsidR="00CA6DF1" w:rsidRPr="00456281">
        <w:fldChar w:fldCharType="end"/>
      </w:r>
      <w:r w:rsidR="004E2817" w:rsidRPr="00456281">
        <w:t>)</w:t>
      </w:r>
      <w:r w:rsidR="00CA6DF1" w:rsidRPr="00456281">
        <w:t>.</w:t>
      </w:r>
    </w:p>
    <w:p w14:paraId="3DD47755" w14:textId="577FD4C6" w:rsidR="00E01320" w:rsidRPr="00456281" w:rsidRDefault="00E01320" w:rsidP="00E01320">
      <w:pPr>
        <w:pStyle w:val="Caption"/>
      </w:pPr>
      <w:bookmarkStart w:id="77" w:name="_Ref158804187"/>
      <w:r w:rsidRPr="00456281">
        <w:t xml:space="preserve">Table </w:t>
      </w:r>
      <w:r w:rsidR="00B75F7B">
        <w:fldChar w:fldCharType="begin"/>
      </w:r>
      <w:r w:rsidR="00B75F7B">
        <w:instrText xml:space="preserve"> SEQ Table \* ARABIC </w:instrText>
      </w:r>
      <w:r w:rsidR="00B75F7B">
        <w:fldChar w:fldCharType="separate"/>
      </w:r>
      <w:r w:rsidR="00EE5AD4">
        <w:rPr>
          <w:noProof/>
        </w:rPr>
        <w:t>7</w:t>
      </w:r>
      <w:r w:rsidR="00B75F7B">
        <w:fldChar w:fldCharType="end"/>
      </w:r>
      <w:bookmarkEnd w:id="77"/>
      <w:r w:rsidRPr="00456281">
        <w:t>: One-step ITC of NALIRIFOX vs FOLFIRINOX OS using GENERATE and NAPOLI-3 (Gem+NabP as common comparator)</w:t>
      </w:r>
      <w:r w:rsidR="004B0E75" w:rsidRPr="00456281">
        <w:t xml:space="preserve"> – proposed by PSCR based on GENERATE results</w:t>
      </w:r>
    </w:p>
    <w:tbl>
      <w:tblPr>
        <w:tblStyle w:val="TableGrid"/>
        <w:tblW w:w="9104" w:type="dxa"/>
        <w:tblLook w:val="04A0" w:firstRow="1" w:lastRow="0" w:firstColumn="1" w:lastColumn="0" w:noHBand="0" w:noVBand="1"/>
        <w:tblCaption w:val="Table 7: One-step ITC of NALIRIFOX vs FOLFIRINOX OS using GENERATE and NAPOLI-3 (Gem+NabP as common comparator) – proposed by PSCR based on GENERATE results"/>
      </w:tblPr>
      <w:tblGrid>
        <w:gridCol w:w="2830"/>
        <w:gridCol w:w="1568"/>
        <w:gridCol w:w="1569"/>
        <w:gridCol w:w="1568"/>
        <w:gridCol w:w="1569"/>
      </w:tblGrid>
      <w:tr w:rsidR="00E01320" w:rsidRPr="00456281" w14:paraId="6A80A0C5" w14:textId="77777777" w:rsidTr="004007D2">
        <w:tc>
          <w:tcPr>
            <w:tcW w:w="2830" w:type="dxa"/>
            <w:vMerge w:val="restart"/>
          </w:tcPr>
          <w:p w14:paraId="3E489E21" w14:textId="77777777" w:rsidR="00E01320" w:rsidRPr="00456281" w:rsidRDefault="00E01320" w:rsidP="004007D2">
            <w:pPr>
              <w:pStyle w:val="TableText0"/>
              <w:rPr>
                <w:b/>
              </w:rPr>
            </w:pPr>
          </w:p>
        </w:tc>
        <w:tc>
          <w:tcPr>
            <w:tcW w:w="3137" w:type="dxa"/>
            <w:gridSpan w:val="2"/>
          </w:tcPr>
          <w:p w14:paraId="79BA4BD5" w14:textId="36CDFE1A" w:rsidR="00E01320" w:rsidRPr="00456281" w:rsidRDefault="00E01320" w:rsidP="004007D2">
            <w:pPr>
              <w:pStyle w:val="TableText0"/>
              <w:jc w:val="center"/>
              <w:rPr>
                <w:b/>
              </w:rPr>
            </w:pPr>
            <w:r w:rsidRPr="00456281">
              <w:rPr>
                <w:b/>
                <w:bCs w:val="0"/>
              </w:rPr>
              <w:t>GENERATE</w:t>
            </w:r>
          </w:p>
        </w:tc>
        <w:tc>
          <w:tcPr>
            <w:tcW w:w="3137" w:type="dxa"/>
            <w:gridSpan w:val="2"/>
          </w:tcPr>
          <w:p w14:paraId="35932F0C" w14:textId="16EA0878" w:rsidR="00E01320" w:rsidRPr="00456281" w:rsidRDefault="00E01320" w:rsidP="004007D2">
            <w:pPr>
              <w:pStyle w:val="TableText0"/>
              <w:jc w:val="center"/>
              <w:rPr>
                <w:b/>
              </w:rPr>
            </w:pPr>
            <w:r w:rsidRPr="00456281">
              <w:rPr>
                <w:b/>
                <w:bCs w:val="0"/>
              </w:rPr>
              <w:t>NAPOLI-3</w:t>
            </w:r>
          </w:p>
        </w:tc>
      </w:tr>
      <w:tr w:rsidR="00E01320" w:rsidRPr="00456281" w14:paraId="47F0DBDF" w14:textId="77777777" w:rsidTr="004007D2">
        <w:tc>
          <w:tcPr>
            <w:tcW w:w="2830" w:type="dxa"/>
            <w:vMerge/>
          </w:tcPr>
          <w:p w14:paraId="63A4955C" w14:textId="77777777" w:rsidR="00E01320" w:rsidRPr="00456281" w:rsidRDefault="00E01320" w:rsidP="006101EB">
            <w:pPr>
              <w:pStyle w:val="TableText0"/>
              <w:rPr>
                <w:bCs w:val="0"/>
              </w:rPr>
            </w:pPr>
          </w:p>
        </w:tc>
        <w:tc>
          <w:tcPr>
            <w:tcW w:w="1568" w:type="dxa"/>
            <w:vAlign w:val="center"/>
          </w:tcPr>
          <w:p w14:paraId="355B964F" w14:textId="7D20A6E6" w:rsidR="00E01320" w:rsidRPr="00456281" w:rsidRDefault="009D0DD4" w:rsidP="006101EB">
            <w:pPr>
              <w:pStyle w:val="TableText0"/>
              <w:jc w:val="center"/>
              <w:rPr>
                <w:bCs w:val="0"/>
              </w:rPr>
            </w:pPr>
            <w:r w:rsidRPr="00456281">
              <w:t>m</w:t>
            </w:r>
            <w:r w:rsidR="00E01320" w:rsidRPr="00456281">
              <w:t>FOLFIRINOX</w:t>
            </w:r>
          </w:p>
          <w:p w14:paraId="3C02C490" w14:textId="15A22DF1" w:rsidR="00E01320" w:rsidRPr="00456281" w:rsidRDefault="00E01320" w:rsidP="004007D2">
            <w:pPr>
              <w:pStyle w:val="TableText0"/>
              <w:jc w:val="center"/>
            </w:pPr>
            <w:r w:rsidRPr="00456281">
              <w:t>N=175</w:t>
            </w:r>
          </w:p>
        </w:tc>
        <w:tc>
          <w:tcPr>
            <w:tcW w:w="1569" w:type="dxa"/>
            <w:vAlign w:val="center"/>
          </w:tcPr>
          <w:p w14:paraId="09C936D8" w14:textId="77777777" w:rsidR="00E01320" w:rsidRPr="00456281" w:rsidRDefault="00E01320" w:rsidP="004007D2">
            <w:pPr>
              <w:pStyle w:val="TableText0"/>
              <w:jc w:val="center"/>
            </w:pPr>
            <w:r w:rsidRPr="00456281">
              <w:t>Gem+NabP</w:t>
            </w:r>
          </w:p>
          <w:p w14:paraId="513B8F7E" w14:textId="0749AA1B" w:rsidR="00E01320" w:rsidRPr="00456281" w:rsidRDefault="00E01320" w:rsidP="004007D2">
            <w:pPr>
              <w:pStyle w:val="TableText0"/>
              <w:jc w:val="center"/>
            </w:pPr>
            <w:r w:rsidRPr="00456281">
              <w:t>N=176</w:t>
            </w:r>
          </w:p>
        </w:tc>
        <w:tc>
          <w:tcPr>
            <w:tcW w:w="1568" w:type="dxa"/>
            <w:vAlign w:val="center"/>
          </w:tcPr>
          <w:p w14:paraId="5BAF1869" w14:textId="77777777" w:rsidR="00E01320" w:rsidRPr="00456281" w:rsidRDefault="00E01320" w:rsidP="004007D2">
            <w:pPr>
              <w:pStyle w:val="TableText0"/>
              <w:jc w:val="center"/>
            </w:pPr>
            <w:r w:rsidRPr="00456281">
              <w:t>NALIRIFOX</w:t>
            </w:r>
          </w:p>
          <w:p w14:paraId="74FCC40A" w14:textId="67484B82" w:rsidR="00E01320" w:rsidRPr="00456281" w:rsidRDefault="00E01320" w:rsidP="004007D2">
            <w:pPr>
              <w:pStyle w:val="TableText0"/>
              <w:jc w:val="center"/>
            </w:pPr>
            <w:r w:rsidRPr="00456281">
              <w:t>N=383</w:t>
            </w:r>
          </w:p>
        </w:tc>
        <w:tc>
          <w:tcPr>
            <w:tcW w:w="1569" w:type="dxa"/>
            <w:vAlign w:val="center"/>
          </w:tcPr>
          <w:p w14:paraId="5B85B27C" w14:textId="77777777" w:rsidR="00E01320" w:rsidRPr="00456281" w:rsidRDefault="00E01320" w:rsidP="004007D2">
            <w:pPr>
              <w:pStyle w:val="TableText0"/>
              <w:jc w:val="center"/>
            </w:pPr>
            <w:r w:rsidRPr="00456281">
              <w:t>Gem+NabP</w:t>
            </w:r>
          </w:p>
          <w:p w14:paraId="1FF9A9B9" w14:textId="331D2D58" w:rsidR="00E01320" w:rsidRPr="00456281" w:rsidRDefault="00E01320" w:rsidP="004007D2">
            <w:pPr>
              <w:pStyle w:val="TableText0"/>
              <w:jc w:val="center"/>
            </w:pPr>
            <w:r w:rsidRPr="00456281">
              <w:t>N=387</w:t>
            </w:r>
          </w:p>
        </w:tc>
      </w:tr>
      <w:tr w:rsidR="00C5460E" w:rsidRPr="00456281" w14:paraId="210C50AA" w14:textId="77777777" w:rsidTr="00540893">
        <w:tc>
          <w:tcPr>
            <w:tcW w:w="2830" w:type="dxa"/>
            <w:vAlign w:val="center"/>
          </w:tcPr>
          <w:p w14:paraId="22107473" w14:textId="3D5FB2A5" w:rsidR="00C5460E" w:rsidRPr="00456281" w:rsidRDefault="00C5460E" w:rsidP="00C5460E">
            <w:pPr>
              <w:pStyle w:val="TableText0"/>
            </w:pPr>
            <w:r w:rsidRPr="00456281">
              <w:t>Median (95%CI)</w:t>
            </w:r>
          </w:p>
        </w:tc>
        <w:tc>
          <w:tcPr>
            <w:tcW w:w="1568" w:type="dxa"/>
            <w:vAlign w:val="center"/>
          </w:tcPr>
          <w:p w14:paraId="65414E5E" w14:textId="3A366CFA" w:rsidR="00C5460E" w:rsidRPr="00456281" w:rsidRDefault="00C5460E" w:rsidP="00C5460E">
            <w:pPr>
              <w:pStyle w:val="TableText0"/>
              <w:jc w:val="center"/>
            </w:pPr>
            <w:r w:rsidRPr="00456281">
              <w:t>14.0 (11.4-16.3)</w:t>
            </w:r>
          </w:p>
        </w:tc>
        <w:tc>
          <w:tcPr>
            <w:tcW w:w="1569" w:type="dxa"/>
            <w:vAlign w:val="center"/>
          </w:tcPr>
          <w:p w14:paraId="6C5021DD" w14:textId="59F5AE7A" w:rsidR="00C5460E" w:rsidRPr="00456281" w:rsidRDefault="00C5460E" w:rsidP="00C5460E">
            <w:pPr>
              <w:pStyle w:val="TableText0"/>
              <w:jc w:val="center"/>
            </w:pPr>
            <w:r w:rsidRPr="00456281">
              <w:t>17.0 (14.5-18.9)</w:t>
            </w:r>
          </w:p>
        </w:tc>
        <w:tc>
          <w:tcPr>
            <w:tcW w:w="1568" w:type="dxa"/>
          </w:tcPr>
          <w:p w14:paraId="68D9BA14" w14:textId="7F4F6D69" w:rsidR="00C5460E" w:rsidRPr="00456281" w:rsidRDefault="00C5460E" w:rsidP="00C5460E">
            <w:pPr>
              <w:pStyle w:val="TableText0"/>
              <w:jc w:val="center"/>
              <w:rPr>
                <w:b/>
              </w:rPr>
            </w:pPr>
            <w:r w:rsidRPr="00456281">
              <w:t>11.1 (10.0, 12.1)</w:t>
            </w:r>
          </w:p>
        </w:tc>
        <w:tc>
          <w:tcPr>
            <w:tcW w:w="1569" w:type="dxa"/>
          </w:tcPr>
          <w:p w14:paraId="592FFD11" w14:textId="25254A09" w:rsidR="00C5460E" w:rsidRPr="00456281" w:rsidRDefault="00C5460E" w:rsidP="00C5460E">
            <w:pPr>
              <w:pStyle w:val="TableText0"/>
              <w:jc w:val="center"/>
              <w:rPr>
                <w:b/>
              </w:rPr>
            </w:pPr>
            <w:r w:rsidRPr="00456281">
              <w:t>9.2 (8.3, 10.6)</w:t>
            </w:r>
          </w:p>
        </w:tc>
      </w:tr>
      <w:tr w:rsidR="00E01320" w:rsidRPr="00456281" w14:paraId="26F3178C" w14:textId="77777777" w:rsidTr="004007D2">
        <w:tc>
          <w:tcPr>
            <w:tcW w:w="2830" w:type="dxa"/>
            <w:vAlign w:val="center"/>
          </w:tcPr>
          <w:p w14:paraId="7E2FE6A7" w14:textId="77746D32" w:rsidR="00E01320" w:rsidRPr="00456281" w:rsidRDefault="00E01320" w:rsidP="004007D2">
            <w:pPr>
              <w:pStyle w:val="TableText0"/>
            </w:pPr>
            <w:r w:rsidRPr="00456281">
              <w:t>Stratified OS HR (95% CI); p-value</w:t>
            </w:r>
          </w:p>
        </w:tc>
        <w:tc>
          <w:tcPr>
            <w:tcW w:w="3137" w:type="dxa"/>
            <w:gridSpan w:val="2"/>
            <w:vAlign w:val="center"/>
          </w:tcPr>
          <w:p w14:paraId="2979A7AC" w14:textId="488E174B" w:rsidR="00E01320" w:rsidRPr="00456281" w:rsidRDefault="00E01320" w:rsidP="004007D2">
            <w:pPr>
              <w:pStyle w:val="TableText0"/>
              <w:jc w:val="center"/>
            </w:pPr>
            <w:r w:rsidRPr="00456281">
              <w:t>1.29 (0.98, 1.70); NR</w:t>
            </w:r>
          </w:p>
        </w:tc>
        <w:tc>
          <w:tcPr>
            <w:tcW w:w="3137" w:type="dxa"/>
            <w:gridSpan w:val="2"/>
            <w:vAlign w:val="center"/>
          </w:tcPr>
          <w:p w14:paraId="29D68D2F" w14:textId="0E20631A" w:rsidR="00E01320" w:rsidRPr="00456281" w:rsidRDefault="00E01320" w:rsidP="004007D2">
            <w:pPr>
              <w:pStyle w:val="TableText0"/>
              <w:jc w:val="center"/>
            </w:pPr>
            <w:r w:rsidRPr="00456281">
              <w:rPr>
                <w:b/>
              </w:rPr>
              <w:t>0.83 (0.70, 0.99); p=0.04</w:t>
            </w:r>
          </w:p>
        </w:tc>
      </w:tr>
      <w:tr w:rsidR="00E01320" w:rsidRPr="00456281" w14:paraId="268D46F8" w14:textId="77777777" w:rsidTr="004007D2">
        <w:tc>
          <w:tcPr>
            <w:tcW w:w="2830" w:type="dxa"/>
            <w:vAlign w:val="center"/>
          </w:tcPr>
          <w:p w14:paraId="56DB16AC" w14:textId="3CE344BE" w:rsidR="00E01320" w:rsidRPr="00456281" w:rsidRDefault="00E01320" w:rsidP="004007D2">
            <w:pPr>
              <w:pStyle w:val="TableText0"/>
            </w:pPr>
            <w:r w:rsidRPr="00456281">
              <w:t>ITC – NALIRIFOX vs FOLFIRINOX (95% CI) p-value</w:t>
            </w:r>
          </w:p>
        </w:tc>
        <w:tc>
          <w:tcPr>
            <w:tcW w:w="6274" w:type="dxa"/>
            <w:gridSpan w:val="4"/>
            <w:vAlign w:val="center"/>
          </w:tcPr>
          <w:p w14:paraId="2B7E4797" w14:textId="46EFA404" w:rsidR="00E01320" w:rsidRPr="00456281" w:rsidRDefault="00E01320" w:rsidP="004007D2">
            <w:pPr>
              <w:pStyle w:val="TableText0"/>
              <w:jc w:val="center"/>
            </w:pPr>
            <w:r w:rsidRPr="00456281">
              <w:rPr>
                <w:b/>
              </w:rPr>
              <w:t>0.64 (0.46, 0.89); p=0.008</w:t>
            </w:r>
          </w:p>
        </w:tc>
      </w:tr>
    </w:tbl>
    <w:p w14:paraId="12BB5623" w14:textId="0FDE0F52" w:rsidR="00BE394C" w:rsidRPr="00456281" w:rsidRDefault="00E01320" w:rsidP="009C296E">
      <w:pPr>
        <w:pStyle w:val="FooterTableFigure"/>
      </w:pPr>
      <w:r w:rsidRPr="00456281">
        <w:t>Source: PSCR – Table 2, page 5</w:t>
      </w:r>
      <w:r w:rsidR="00C5460E" w:rsidRPr="00456281">
        <w:t xml:space="preserve">, Ohba et al </w:t>
      </w:r>
      <w:r w:rsidR="005B6613" w:rsidRPr="00456281">
        <w:t xml:space="preserve">(2023) </w:t>
      </w:r>
      <w:r w:rsidR="00C5460E" w:rsidRPr="00456281">
        <w:t xml:space="preserve">ESMO </w:t>
      </w:r>
      <w:r w:rsidR="005B6613" w:rsidRPr="00456281">
        <w:t xml:space="preserve">presentation </w:t>
      </w:r>
      <w:r w:rsidR="00C5460E" w:rsidRPr="00456281">
        <w:t>slides, slide 10</w:t>
      </w:r>
      <w:r w:rsidR="008262EF" w:rsidRPr="00456281">
        <w:t xml:space="preserve">, </w:t>
      </w:r>
      <w:r w:rsidR="008262EF" w:rsidRPr="00456281">
        <w:fldChar w:fldCharType="begin"/>
      </w:r>
      <w:r w:rsidR="008262EF" w:rsidRPr="00456281">
        <w:instrText xml:space="preserve"> REF _Ref153568670 \h </w:instrText>
      </w:r>
      <w:r w:rsidR="008262EF" w:rsidRPr="00456281">
        <w:fldChar w:fldCharType="separate"/>
      </w:r>
      <w:r w:rsidR="00EE5AD4" w:rsidRPr="00456281">
        <w:t xml:space="preserve">Table </w:t>
      </w:r>
      <w:r w:rsidR="00EE5AD4">
        <w:rPr>
          <w:rStyle w:val="CommentReference"/>
          <w:b w:val="0"/>
          <w:bCs/>
          <w:noProof/>
          <w:szCs w:val="24"/>
        </w:rPr>
        <w:t>4</w:t>
      </w:r>
      <w:r w:rsidR="008262EF" w:rsidRPr="00456281">
        <w:fldChar w:fldCharType="end"/>
      </w:r>
      <w:r w:rsidR="005B6613" w:rsidRPr="00456281">
        <w:t>.</w:t>
      </w:r>
      <w:r w:rsidR="00130B23">
        <w:t xml:space="preserve"> </w:t>
      </w:r>
      <w:r w:rsidRPr="00456281">
        <w:t>Results in bold indicate statistically significant differences (p &lt; 0.05)</w:t>
      </w:r>
    </w:p>
    <w:p w14:paraId="28ECD3D4" w14:textId="77777777" w:rsidR="00016609" w:rsidRPr="00456281" w:rsidRDefault="00016609" w:rsidP="00016609">
      <w:pPr>
        <w:pStyle w:val="4-SubsectionHeading"/>
      </w:pPr>
      <w:bookmarkStart w:id="78" w:name="_Toc157002551"/>
      <w:r w:rsidRPr="00456281">
        <w:t>Comparative harms</w:t>
      </w:r>
      <w:bookmarkEnd w:id="78"/>
    </w:p>
    <w:p w14:paraId="2087434F" w14:textId="44D8EFC6" w:rsidR="00016609" w:rsidRPr="00456281" w:rsidRDefault="00016609" w:rsidP="004007D2">
      <w:pPr>
        <w:pStyle w:val="5-SubsectionSubheading"/>
      </w:pPr>
      <w:r w:rsidRPr="00456281">
        <w:t xml:space="preserve">NALIRIFOX </w:t>
      </w:r>
      <w:r w:rsidR="00CB31D1" w:rsidRPr="00456281">
        <w:t xml:space="preserve">versus </w:t>
      </w:r>
      <w:r w:rsidRPr="00456281">
        <w:t xml:space="preserve">Gem+NabP </w:t>
      </w:r>
    </w:p>
    <w:p w14:paraId="002DF8A2" w14:textId="3A79A9E7" w:rsidR="00016609" w:rsidRPr="00456281" w:rsidRDefault="00016609" w:rsidP="00016609">
      <w:pPr>
        <w:pStyle w:val="3-BodyText"/>
      </w:pPr>
      <w:r w:rsidRPr="00456281">
        <w:t xml:space="preserve">A summary of the key treatment emergent adverse events (TEAEs) </w:t>
      </w:r>
      <w:r w:rsidR="0016735F" w:rsidRPr="00456281">
        <w:t xml:space="preserve">in the NAPOLI-3 trial </w:t>
      </w:r>
      <w:r w:rsidRPr="00456281">
        <w:t xml:space="preserve">is presented in </w:t>
      </w:r>
      <w:r w:rsidRPr="00456281">
        <w:fldChar w:fldCharType="begin"/>
      </w:r>
      <w:r w:rsidRPr="00456281">
        <w:instrText xml:space="preserve"> REF _Ref153723424 \h </w:instrText>
      </w:r>
      <w:r w:rsidRPr="00456281">
        <w:fldChar w:fldCharType="separate"/>
      </w:r>
      <w:r w:rsidR="00EE5AD4" w:rsidRPr="00456281">
        <w:t xml:space="preserve">Table </w:t>
      </w:r>
      <w:r w:rsidR="00EE5AD4">
        <w:rPr>
          <w:noProof/>
        </w:rPr>
        <w:t>8</w:t>
      </w:r>
      <w:r w:rsidRPr="00456281">
        <w:fldChar w:fldCharType="end"/>
      </w:r>
      <w:r w:rsidRPr="00456281">
        <w:t>.</w:t>
      </w:r>
    </w:p>
    <w:p w14:paraId="7EA80489" w14:textId="0694647D" w:rsidR="00016609" w:rsidRPr="00456281" w:rsidRDefault="00016609" w:rsidP="004D10D6">
      <w:pPr>
        <w:pStyle w:val="Caption"/>
        <w:jc w:val="left"/>
      </w:pPr>
      <w:bookmarkStart w:id="79" w:name="_Ref153723424"/>
      <w:bookmarkStart w:id="80" w:name="_Ref156300537"/>
      <w:bookmarkStart w:id="81" w:name="_Hlk156978120"/>
      <w:r w:rsidRPr="00456281">
        <w:lastRenderedPageBreak/>
        <w:t xml:space="preserve">Table </w:t>
      </w:r>
      <w:r w:rsidR="00B75F7B">
        <w:fldChar w:fldCharType="begin"/>
      </w:r>
      <w:r w:rsidR="00B75F7B">
        <w:instrText xml:space="preserve"> SEQ Table \* ARABIC </w:instrText>
      </w:r>
      <w:r w:rsidR="00B75F7B">
        <w:fldChar w:fldCharType="separate"/>
      </w:r>
      <w:r w:rsidR="00EE5AD4">
        <w:rPr>
          <w:noProof/>
        </w:rPr>
        <w:t>8</w:t>
      </w:r>
      <w:r w:rsidR="00B75F7B">
        <w:fldChar w:fldCharType="end"/>
      </w:r>
      <w:bookmarkEnd w:id="79"/>
      <w:r w:rsidRPr="00456281">
        <w:t>: Summary of key adverse events in the NAPOLI-3 trial.</w:t>
      </w:r>
      <w:bookmarkEnd w:id="80"/>
    </w:p>
    <w:tbl>
      <w:tblPr>
        <w:tblStyle w:val="TableGrid"/>
        <w:tblW w:w="5000" w:type="pct"/>
        <w:tblLook w:val="04A0" w:firstRow="1" w:lastRow="0" w:firstColumn="1" w:lastColumn="0" w:noHBand="0" w:noVBand="1"/>
        <w:tblCaption w:val="Table 8: Summary of key adverse events in the NAPOLI-3 trial."/>
      </w:tblPr>
      <w:tblGrid>
        <w:gridCol w:w="2546"/>
        <w:gridCol w:w="1295"/>
        <w:gridCol w:w="1295"/>
        <w:gridCol w:w="1295"/>
        <w:gridCol w:w="1295"/>
        <w:gridCol w:w="1291"/>
      </w:tblGrid>
      <w:tr w:rsidR="00016609" w:rsidRPr="009A3AE9" w14:paraId="0644914F" w14:textId="77777777" w:rsidTr="00956744">
        <w:trPr>
          <w:trHeight w:val="255"/>
          <w:tblHeader/>
        </w:trPr>
        <w:tc>
          <w:tcPr>
            <w:tcW w:w="1412" w:type="pct"/>
            <w:vMerge w:val="restart"/>
            <w:shd w:val="clear" w:color="auto" w:fill="auto"/>
          </w:tcPr>
          <w:p w14:paraId="0EC309FD" w14:textId="77777777" w:rsidR="00016609" w:rsidRPr="009A3AE9" w:rsidRDefault="00016609" w:rsidP="004D10D6">
            <w:pPr>
              <w:pStyle w:val="In-tableHeading"/>
              <w:keepLines/>
              <w:rPr>
                <w:lang w:val="en-AU"/>
              </w:rPr>
            </w:pPr>
            <w:r w:rsidRPr="009A3AE9">
              <w:rPr>
                <w:lang w:val="en-AU"/>
              </w:rPr>
              <w:t>AEs</w:t>
            </w:r>
          </w:p>
        </w:tc>
        <w:tc>
          <w:tcPr>
            <w:tcW w:w="718" w:type="pct"/>
            <w:shd w:val="clear" w:color="auto" w:fill="auto"/>
          </w:tcPr>
          <w:p w14:paraId="6B62E754" w14:textId="77777777" w:rsidR="00016609" w:rsidRPr="009A3AE9" w:rsidRDefault="00016609" w:rsidP="004D10D6">
            <w:pPr>
              <w:pStyle w:val="In-tableHeading"/>
              <w:keepLines/>
              <w:jc w:val="center"/>
              <w:rPr>
                <w:lang w:val="en-AU"/>
              </w:rPr>
            </w:pPr>
            <w:r w:rsidRPr="009A3AE9">
              <w:rPr>
                <w:lang w:val="en-AU"/>
              </w:rPr>
              <w:t>NALIRIFOX</w:t>
            </w:r>
          </w:p>
          <w:p w14:paraId="4C51791A" w14:textId="77777777" w:rsidR="00016609" w:rsidRPr="009A3AE9" w:rsidRDefault="00016609" w:rsidP="004D10D6">
            <w:pPr>
              <w:pStyle w:val="In-tableHeading"/>
              <w:keepLines/>
              <w:jc w:val="center"/>
              <w:rPr>
                <w:lang w:val="en-AU"/>
              </w:rPr>
            </w:pPr>
            <w:r w:rsidRPr="009A3AE9">
              <w:rPr>
                <w:lang w:val="en-AU"/>
              </w:rPr>
              <w:t>N=370</w:t>
            </w:r>
          </w:p>
        </w:tc>
        <w:tc>
          <w:tcPr>
            <w:tcW w:w="718" w:type="pct"/>
            <w:shd w:val="clear" w:color="auto" w:fill="auto"/>
          </w:tcPr>
          <w:p w14:paraId="6C9FB063" w14:textId="77777777" w:rsidR="00016609" w:rsidRPr="009A3AE9" w:rsidRDefault="00016609" w:rsidP="004D10D6">
            <w:pPr>
              <w:pStyle w:val="In-tableHeading"/>
              <w:keepLines/>
              <w:jc w:val="center"/>
              <w:rPr>
                <w:lang w:val="en-AU"/>
              </w:rPr>
            </w:pPr>
            <w:r w:rsidRPr="009A3AE9">
              <w:rPr>
                <w:lang w:val="en-AU"/>
              </w:rPr>
              <w:t>Gem+NabP</w:t>
            </w:r>
          </w:p>
          <w:p w14:paraId="453EACEB" w14:textId="77777777" w:rsidR="00016609" w:rsidRPr="009A3AE9" w:rsidRDefault="00016609" w:rsidP="004D10D6">
            <w:pPr>
              <w:pStyle w:val="In-tableHeading"/>
              <w:keepLines/>
              <w:jc w:val="center"/>
              <w:rPr>
                <w:lang w:val="en-AU"/>
              </w:rPr>
            </w:pPr>
            <w:r w:rsidRPr="009A3AE9">
              <w:rPr>
                <w:lang w:val="en-AU"/>
              </w:rPr>
              <w:t>N=379</w:t>
            </w:r>
          </w:p>
        </w:tc>
        <w:tc>
          <w:tcPr>
            <w:tcW w:w="718" w:type="pct"/>
            <w:shd w:val="clear" w:color="auto" w:fill="auto"/>
          </w:tcPr>
          <w:p w14:paraId="107C7D07" w14:textId="77777777" w:rsidR="00016609" w:rsidRPr="009A3AE9" w:rsidRDefault="00016609" w:rsidP="004D10D6">
            <w:pPr>
              <w:pStyle w:val="In-tableHeading"/>
              <w:keepLines/>
              <w:jc w:val="center"/>
              <w:rPr>
                <w:lang w:val="en-AU"/>
              </w:rPr>
            </w:pPr>
            <w:r w:rsidRPr="009A3AE9">
              <w:rPr>
                <w:lang w:val="en-AU"/>
              </w:rPr>
              <w:t>OR</w:t>
            </w:r>
          </w:p>
          <w:p w14:paraId="12D53E3A" w14:textId="77777777" w:rsidR="00016609" w:rsidRPr="009A3AE9" w:rsidRDefault="00016609" w:rsidP="004D10D6">
            <w:pPr>
              <w:pStyle w:val="In-tableHeading"/>
              <w:keepLines/>
              <w:jc w:val="center"/>
              <w:rPr>
                <w:lang w:val="en-AU"/>
              </w:rPr>
            </w:pPr>
            <w:r w:rsidRPr="009A3AE9">
              <w:rPr>
                <w:lang w:val="en-AU"/>
              </w:rPr>
              <w:t>[95% CI]</w:t>
            </w:r>
          </w:p>
        </w:tc>
        <w:tc>
          <w:tcPr>
            <w:tcW w:w="718" w:type="pct"/>
            <w:shd w:val="clear" w:color="auto" w:fill="auto"/>
          </w:tcPr>
          <w:p w14:paraId="19C0F1E4" w14:textId="77777777" w:rsidR="00016609" w:rsidRPr="009A3AE9" w:rsidRDefault="00016609" w:rsidP="004D10D6">
            <w:pPr>
              <w:pStyle w:val="In-tableHeading"/>
              <w:keepLines/>
              <w:jc w:val="center"/>
              <w:rPr>
                <w:lang w:val="en-AU"/>
              </w:rPr>
            </w:pPr>
            <w:r w:rsidRPr="009A3AE9">
              <w:rPr>
                <w:lang w:val="en-AU"/>
              </w:rPr>
              <w:t>RR</w:t>
            </w:r>
          </w:p>
          <w:p w14:paraId="1A0C81DC" w14:textId="77777777" w:rsidR="00016609" w:rsidRPr="009A3AE9" w:rsidRDefault="00016609" w:rsidP="004D10D6">
            <w:pPr>
              <w:pStyle w:val="In-tableHeading"/>
              <w:keepLines/>
              <w:jc w:val="center"/>
              <w:rPr>
                <w:lang w:val="en-AU"/>
              </w:rPr>
            </w:pPr>
            <w:r w:rsidRPr="009A3AE9">
              <w:rPr>
                <w:lang w:val="en-AU"/>
              </w:rPr>
              <w:t>[95% CI]</w:t>
            </w:r>
          </w:p>
        </w:tc>
        <w:tc>
          <w:tcPr>
            <w:tcW w:w="716" w:type="pct"/>
            <w:shd w:val="clear" w:color="auto" w:fill="auto"/>
          </w:tcPr>
          <w:p w14:paraId="6CDE9A14" w14:textId="77777777" w:rsidR="00016609" w:rsidRPr="009A3AE9" w:rsidRDefault="00016609" w:rsidP="004D10D6">
            <w:pPr>
              <w:pStyle w:val="In-tableHeading"/>
              <w:keepLines/>
              <w:jc w:val="center"/>
              <w:rPr>
                <w:lang w:val="en-AU"/>
              </w:rPr>
            </w:pPr>
            <w:r w:rsidRPr="009A3AE9">
              <w:rPr>
                <w:lang w:val="en-AU"/>
              </w:rPr>
              <w:t>RD</w:t>
            </w:r>
          </w:p>
          <w:p w14:paraId="32C9E435" w14:textId="77777777" w:rsidR="00016609" w:rsidRPr="009A3AE9" w:rsidRDefault="00016609" w:rsidP="004D10D6">
            <w:pPr>
              <w:pStyle w:val="In-tableHeading"/>
              <w:keepLines/>
              <w:jc w:val="center"/>
              <w:rPr>
                <w:lang w:val="en-AU"/>
              </w:rPr>
            </w:pPr>
            <w:r w:rsidRPr="009A3AE9">
              <w:rPr>
                <w:lang w:val="en-AU"/>
              </w:rPr>
              <w:t>[95% CI]</w:t>
            </w:r>
          </w:p>
        </w:tc>
      </w:tr>
      <w:tr w:rsidR="00016609" w:rsidRPr="009A3AE9" w14:paraId="5A5AD50A" w14:textId="77777777" w:rsidTr="00956744">
        <w:trPr>
          <w:trHeight w:val="255"/>
        </w:trPr>
        <w:tc>
          <w:tcPr>
            <w:tcW w:w="1412" w:type="pct"/>
            <w:vMerge/>
          </w:tcPr>
          <w:p w14:paraId="0F874531" w14:textId="77777777" w:rsidR="00016609" w:rsidRPr="009A3AE9" w:rsidRDefault="00016609" w:rsidP="004D10D6">
            <w:pPr>
              <w:pStyle w:val="TableText0"/>
              <w:keepLines/>
            </w:pPr>
          </w:p>
        </w:tc>
        <w:tc>
          <w:tcPr>
            <w:tcW w:w="718" w:type="pct"/>
          </w:tcPr>
          <w:p w14:paraId="537612D6" w14:textId="77777777" w:rsidR="00016609" w:rsidRPr="009A3AE9" w:rsidRDefault="00016609" w:rsidP="004D10D6">
            <w:pPr>
              <w:pStyle w:val="In-tableHeading"/>
              <w:keepLines/>
              <w:jc w:val="center"/>
              <w:rPr>
                <w:lang w:val="en-AU"/>
              </w:rPr>
            </w:pPr>
            <w:r w:rsidRPr="009A3AE9">
              <w:rPr>
                <w:lang w:val="en-AU"/>
              </w:rPr>
              <w:t>n/N (%)</w:t>
            </w:r>
          </w:p>
        </w:tc>
        <w:tc>
          <w:tcPr>
            <w:tcW w:w="718" w:type="pct"/>
          </w:tcPr>
          <w:p w14:paraId="73BD71C2" w14:textId="77777777" w:rsidR="00016609" w:rsidRPr="009A3AE9" w:rsidRDefault="00016609" w:rsidP="004D10D6">
            <w:pPr>
              <w:pStyle w:val="In-tableHeading"/>
              <w:keepLines/>
              <w:jc w:val="center"/>
              <w:rPr>
                <w:lang w:val="en-AU"/>
              </w:rPr>
            </w:pPr>
            <w:r w:rsidRPr="009A3AE9">
              <w:rPr>
                <w:lang w:val="en-AU"/>
              </w:rPr>
              <w:t>n/N (%)</w:t>
            </w:r>
          </w:p>
        </w:tc>
        <w:tc>
          <w:tcPr>
            <w:tcW w:w="1436" w:type="pct"/>
            <w:gridSpan w:val="2"/>
          </w:tcPr>
          <w:p w14:paraId="45C20D65" w14:textId="77777777" w:rsidR="00016609" w:rsidRPr="009A3AE9" w:rsidRDefault="00016609" w:rsidP="004D10D6">
            <w:pPr>
              <w:pStyle w:val="In-tableHeading"/>
              <w:keepLines/>
              <w:jc w:val="center"/>
              <w:rPr>
                <w:lang w:val="en-AU"/>
              </w:rPr>
            </w:pPr>
            <w:r w:rsidRPr="009A3AE9">
              <w:rPr>
                <w:lang w:val="en-AU"/>
              </w:rPr>
              <w:t>OR and RR&lt; 1 favour NALIRIFOX</w:t>
            </w:r>
          </w:p>
        </w:tc>
        <w:tc>
          <w:tcPr>
            <w:tcW w:w="716" w:type="pct"/>
          </w:tcPr>
          <w:p w14:paraId="4088C783" w14:textId="77777777" w:rsidR="00016609" w:rsidRPr="009A3AE9" w:rsidRDefault="00016609" w:rsidP="004D10D6">
            <w:pPr>
              <w:pStyle w:val="In-tableHeading"/>
              <w:keepLines/>
              <w:jc w:val="center"/>
              <w:rPr>
                <w:lang w:val="en-AU"/>
              </w:rPr>
            </w:pPr>
            <w:r w:rsidRPr="009A3AE9">
              <w:rPr>
                <w:lang w:val="en-AU"/>
              </w:rPr>
              <w:t>RD&lt;0 favour NALIRIFOX</w:t>
            </w:r>
          </w:p>
        </w:tc>
      </w:tr>
      <w:tr w:rsidR="009D42E9" w:rsidRPr="009A3AE9" w14:paraId="63A0ADB7" w14:textId="77777777" w:rsidTr="006E3019">
        <w:trPr>
          <w:trHeight w:val="255"/>
        </w:trPr>
        <w:tc>
          <w:tcPr>
            <w:tcW w:w="5000" w:type="pct"/>
            <w:gridSpan w:val="6"/>
          </w:tcPr>
          <w:p w14:paraId="11EEBD94" w14:textId="7DC5093E" w:rsidR="006E3019" w:rsidRPr="009A3AE9" w:rsidRDefault="006E3019" w:rsidP="004D10D6">
            <w:pPr>
              <w:pStyle w:val="In-tableHeading"/>
              <w:keepLines/>
              <w:rPr>
                <w:lang w:val="en-AU"/>
              </w:rPr>
            </w:pPr>
            <w:r w:rsidRPr="009A3AE9">
              <w:rPr>
                <w:lang w:val="en-AU"/>
              </w:rPr>
              <w:t>Any cause TEAEs</w:t>
            </w:r>
          </w:p>
        </w:tc>
      </w:tr>
      <w:tr w:rsidR="009D42E9" w:rsidRPr="009A3AE9" w14:paraId="2DF19279" w14:textId="77777777" w:rsidTr="00956744">
        <w:trPr>
          <w:trHeight w:val="255"/>
        </w:trPr>
        <w:tc>
          <w:tcPr>
            <w:tcW w:w="1412" w:type="pct"/>
          </w:tcPr>
          <w:p w14:paraId="373C6C2F" w14:textId="21817DF0" w:rsidR="00B44B2B" w:rsidRPr="009A3AE9" w:rsidRDefault="00B44B2B" w:rsidP="004D10D6">
            <w:pPr>
              <w:pStyle w:val="TableText0"/>
              <w:keepLines/>
            </w:pPr>
            <w:r w:rsidRPr="009A3AE9">
              <w:t>Any cause TEAEs</w:t>
            </w:r>
          </w:p>
        </w:tc>
        <w:tc>
          <w:tcPr>
            <w:tcW w:w="718" w:type="pct"/>
          </w:tcPr>
          <w:p w14:paraId="240F1CCB" w14:textId="7FC92306" w:rsidR="00B44B2B" w:rsidRPr="009A3AE9" w:rsidRDefault="00B44B2B" w:rsidP="004D10D6">
            <w:pPr>
              <w:pStyle w:val="TableText0"/>
              <w:keepLines/>
              <w:jc w:val="center"/>
            </w:pPr>
            <w:r w:rsidRPr="009A3AE9">
              <w:t>369/370 (99.73%)</w:t>
            </w:r>
          </w:p>
        </w:tc>
        <w:tc>
          <w:tcPr>
            <w:tcW w:w="718" w:type="pct"/>
          </w:tcPr>
          <w:p w14:paraId="72D069CA" w14:textId="62518EEB" w:rsidR="00B44B2B" w:rsidRPr="009A3AE9" w:rsidRDefault="00B44B2B" w:rsidP="004D10D6">
            <w:pPr>
              <w:pStyle w:val="TableText0"/>
              <w:keepLines/>
              <w:jc w:val="center"/>
            </w:pPr>
            <w:r w:rsidRPr="009A3AE9">
              <w:t>376/379 (99.21%)</w:t>
            </w:r>
          </w:p>
        </w:tc>
        <w:tc>
          <w:tcPr>
            <w:tcW w:w="718" w:type="pct"/>
          </w:tcPr>
          <w:p w14:paraId="6DE4C361" w14:textId="4FA3EADF" w:rsidR="00B44B2B" w:rsidRPr="009A3AE9" w:rsidRDefault="00B44B2B" w:rsidP="004D10D6">
            <w:pPr>
              <w:pStyle w:val="TableText0"/>
              <w:keepLines/>
              <w:jc w:val="center"/>
            </w:pPr>
            <w:r w:rsidRPr="009A3AE9">
              <w:t>2.94</w:t>
            </w:r>
          </w:p>
          <w:p w14:paraId="4077669D" w14:textId="7C2863A9" w:rsidR="00B44B2B" w:rsidRPr="009A3AE9" w:rsidRDefault="00B44B2B" w:rsidP="004D10D6">
            <w:pPr>
              <w:pStyle w:val="TableText0"/>
              <w:keepLines/>
              <w:jc w:val="center"/>
            </w:pPr>
            <w:r w:rsidRPr="009A3AE9">
              <w:t>[0.30, 28.43]</w:t>
            </w:r>
          </w:p>
        </w:tc>
        <w:tc>
          <w:tcPr>
            <w:tcW w:w="718" w:type="pct"/>
          </w:tcPr>
          <w:p w14:paraId="34843B50" w14:textId="5E763B89" w:rsidR="00B44B2B" w:rsidRPr="009A3AE9" w:rsidRDefault="00B44B2B" w:rsidP="004D10D6">
            <w:pPr>
              <w:pStyle w:val="TableText0"/>
              <w:keepLines/>
              <w:jc w:val="center"/>
            </w:pPr>
            <w:r w:rsidRPr="009A3AE9">
              <w:t>1.01</w:t>
            </w:r>
          </w:p>
          <w:p w14:paraId="3FA8752B" w14:textId="4FE43BB6" w:rsidR="00B44B2B" w:rsidRPr="009A3AE9" w:rsidRDefault="00B44B2B" w:rsidP="004D10D6">
            <w:pPr>
              <w:pStyle w:val="TableText0"/>
              <w:keepLines/>
              <w:jc w:val="center"/>
            </w:pPr>
            <w:r w:rsidRPr="009A3AE9">
              <w:t>[0.99, 1.02]</w:t>
            </w:r>
          </w:p>
        </w:tc>
        <w:tc>
          <w:tcPr>
            <w:tcW w:w="716" w:type="pct"/>
          </w:tcPr>
          <w:p w14:paraId="01D3922F" w14:textId="78D6DE64" w:rsidR="00B44B2B" w:rsidRPr="009A3AE9" w:rsidRDefault="00B44B2B" w:rsidP="004D10D6">
            <w:pPr>
              <w:pStyle w:val="TableText0"/>
              <w:keepLines/>
              <w:jc w:val="center"/>
            </w:pPr>
            <w:r w:rsidRPr="009A3AE9">
              <w:t>0.01</w:t>
            </w:r>
          </w:p>
          <w:p w14:paraId="3CA3CE2F" w14:textId="2C9BB91E" w:rsidR="00B44B2B" w:rsidRPr="009A3AE9" w:rsidRDefault="00B44B2B" w:rsidP="004D10D6">
            <w:pPr>
              <w:pStyle w:val="TableText0"/>
              <w:keepLines/>
              <w:jc w:val="center"/>
            </w:pPr>
            <w:r w:rsidRPr="009A3AE9">
              <w:t>[-0.01, 0.02]</w:t>
            </w:r>
          </w:p>
        </w:tc>
      </w:tr>
      <w:tr w:rsidR="009D42E9" w:rsidRPr="009A3AE9" w14:paraId="54CAA7F5" w14:textId="77777777" w:rsidTr="00956744">
        <w:trPr>
          <w:trHeight w:val="255"/>
        </w:trPr>
        <w:tc>
          <w:tcPr>
            <w:tcW w:w="1412" w:type="pct"/>
          </w:tcPr>
          <w:p w14:paraId="22C0B702" w14:textId="7E3CC240" w:rsidR="00FB6C84" w:rsidRPr="009A3AE9" w:rsidRDefault="00FB6C84" w:rsidP="004D10D6">
            <w:pPr>
              <w:pStyle w:val="TableText0"/>
              <w:keepLines/>
            </w:pPr>
            <w:r w:rsidRPr="009A3AE9">
              <w:t>Grade ≥ 3 TEAEs</w:t>
            </w:r>
          </w:p>
        </w:tc>
        <w:tc>
          <w:tcPr>
            <w:tcW w:w="718" w:type="pct"/>
          </w:tcPr>
          <w:p w14:paraId="56399E91" w14:textId="7BF519B1" w:rsidR="00FB6C84" w:rsidRPr="009A3AE9" w:rsidRDefault="00FB6C84" w:rsidP="004D10D6">
            <w:pPr>
              <w:pStyle w:val="TableText0"/>
              <w:keepLines/>
              <w:jc w:val="center"/>
            </w:pPr>
            <w:r w:rsidRPr="009A3AE9">
              <w:t>322/370 (87.03%)</w:t>
            </w:r>
          </w:p>
        </w:tc>
        <w:tc>
          <w:tcPr>
            <w:tcW w:w="718" w:type="pct"/>
          </w:tcPr>
          <w:p w14:paraId="7B850E84" w14:textId="04E79E34" w:rsidR="00FB6C84" w:rsidRPr="009A3AE9" w:rsidRDefault="00FB6C84" w:rsidP="004D10D6">
            <w:pPr>
              <w:pStyle w:val="TableText0"/>
              <w:keepLines/>
              <w:jc w:val="center"/>
            </w:pPr>
            <w:r w:rsidRPr="009A3AE9">
              <w:t>326/379 (86.02%)</w:t>
            </w:r>
          </w:p>
        </w:tc>
        <w:tc>
          <w:tcPr>
            <w:tcW w:w="718" w:type="pct"/>
          </w:tcPr>
          <w:p w14:paraId="26C76C47" w14:textId="77777777" w:rsidR="009A75A0" w:rsidRPr="009A3AE9" w:rsidRDefault="00FB6C84" w:rsidP="004D10D6">
            <w:pPr>
              <w:pStyle w:val="TableText0"/>
              <w:keepLines/>
              <w:jc w:val="center"/>
            </w:pPr>
            <w:r w:rsidRPr="009A3AE9">
              <w:t xml:space="preserve">1.09 </w:t>
            </w:r>
          </w:p>
          <w:p w14:paraId="3A8AE918" w14:textId="19427D23" w:rsidR="00FB6C84" w:rsidRPr="009A3AE9" w:rsidRDefault="00FB6C84" w:rsidP="004D10D6">
            <w:pPr>
              <w:pStyle w:val="TableText0"/>
              <w:keepLines/>
              <w:jc w:val="center"/>
            </w:pPr>
            <w:r w:rsidRPr="009A3AE9">
              <w:t>[0.72, 1.66]</w:t>
            </w:r>
          </w:p>
        </w:tc>
        <w:tc>
          <w:tcPr>
            <w:tcW w:w="718" w:type="pct"/>
          </w:tcPr>
          <w:p w14:paraId="73845699" w14:textId="77777777" w:rsidR="009A75A0" w:rsidRPr="009A3AE9" w:rsidRDefault="00FB6C84" w:rsidP="004D10D6">
            <w:pPr>
              <w:pStyle w:val="TableText0"/>
              <w:keepLines/>
              <w:jc w:val="center"/>
            </w:pPr>
            <w:r w:rsidRPr="009A3AE9">
              <w:t xml:space="preserve">1.01 </w:t>
            </w:r>
          </w:p>
          <w:p w14:paraId="7E1D2365" w14:textId="08DBCE41" w:rsidR="00FB6C84" w:rsidRPr="009A3AE9" w:rsidRDefault="00FB6C84" w:rsidP="004D10D6">
            <w:pPr>
              <w:pStyle w:val="TableText0"/>
              <w:keepLines/>
              <w:jc w:val="center"/>
            </w:pPr>
            <w:r w:rsidRPr="009A3AE9">
              <w:t>[0.96, 1.07]</w:t>
            </w:r>
          </w:p>
        </w:tc>
        <w:tc>
          <w:tcPr>
            <w:tcW w:w="716" w:type="pct"/>
          </w:tcPr>
          <w:p w14:paraId="45B3E38A" w14:textId="77777777" w:rsidR="009A75A0" w:rsidRPr="009A3AE9" w:rsidRDefault="00FB6C84" w:rsidP="004D10D6">
            <w:pPr>
              <w:pStyle w:val="TableText0"/>
              <w:keepLines/>
              <w:jc w:val="center"/>
            </w:pPr>
            <w:r w:rsidRPr="009A3AE9">
              <w:t xml:space="preserve">0.01 </w:t>
            </w:r>
          </w:p>
          <w:p w14:paraId="3EE3C630" w14:textId="3D0D63A1" w:rsidR="00FB6C84" w:rsidRPr="009A3AE9" w:rsidRDefault="00FB6C84" w:rsidP="004D10D6">
            <w:pPr>
              <w:pStyle w:val="TableText0"/>
              <w:keepLines/>
              <w:jc w:val="center"/>
            </w:pPr>
            <w:r w:rsidRPr="009A3AE9">
              <w:t>[-0.04, 0.06]</w:t>
            </w:r>
          </w:p>
        </w:tc>
      </w:tr>
      <w:tr w:rsidR="009D42E9" w:rsidRPr="009A3AE9" w14:paraId="2B813990" w14:textId="77777777" w:rsidTr="00956744">
        <w:trPr>
          <w:trHeight w:val="255"/>
        </w:trPr>
        <w:tc>
          <w:tcPr>
            <w:tcW w:w="1412" w:type="pct"/>
          </w:tcPr>
          <w:p w14:paraId="2F1CE96E" w14:textId="0B85C381" w:rsidR="00FB6C84" w:rsidRPr="009A3AE9" w:rsidRDefault="00FB6C84" w:rsidP="004D10D6">
            <w:pPr>
              <w:pStyle w:val="TableText0"/>
              <w:keepLines/>
            </w:pPr>
            <w:r w:rsidRPr="009A3AE9">
              <w:t>SAEs</w:t>
            </w:r>
          </w:p>
        </w:tc>
        <w:tc>
          <w:tcPr>
            <w:tcW w:w="718" w:type="pct"/>
          </w:tcPr>
          <w:p w14:paraId="0333FFC0" w14:textId="25A9E76F" w:rsidR="00FB6C84" w:rsidRPr="009A3AE9" w:rsidRDefault="00FB6C84" w:rsidP="004D10D6">
            <w:pPr>
              <w:pStyle w:val="TableText0"/>
              <w:keepLines/>
              <w:jc w:val="center"/>
            </w:pPr>
            <w:r w:rsidRPr="009A3AE9">
              <w:t>201/370 (54.32%)</w:t>
            </w:r>
          </w:p>
        </w:tc>
        <w:tc>
          <w:tcPr>
            <w:tcW w:w="718" w:type="pct"/>
          </w:tcPr>
          <w:p w14:paraId="7CE7139B" w14:textId="02205050" w:rsidR="00FB6C84" w:rsidRPr="009A3AE9" w:rsidRDefault="00FB6C84" w:rsidP="004D10D6">
            <w:pPr>
              <w:pStyle w:val="TableText0"/>
              <w:keepLines/>
              <w:jc w:val="center"/>
            </w:pPr>
            <w:r w:rsidRPr="009A3AE9">
              <w:t>195/379 (51.45%)</w:t>
            </w:r>
          </w:p>
        </w:tc>
        <w:tc>
          <w:tcPr>
            <w:tcW w:w="718" w:type="pct"/>
          </w:tcPr>
          <w:p w14:paraId="03796E98" w14:textId="77777777" w:rsidR="009A75A0" w:rsidRPr="009A3AE9" w:rsidRDefault="00FB6C84" w:rsidP="004D10D6">
            <w:pPr>
              <w:pStyle w:val="TableText0"/>
              <w:keepLines/>
              <w:jc w:val="center"/>
            </w:pPr>
            <w:r w:rsidRPr="009A3AE9">
              <w:t xml:space="preserve">1.12 </w:t>
            </w:r>
          </w:p>
          <w:p w14:paraId="47E81D9E" w14:textId="4263A338" w:rsidR="00FB6C84" w:rsidRPr="009A3AE9" w:rsidRDefault="00FB6C84" w:rsidP="004D10D6">
            <w:pPr>
              <w:pStyle w:val="TableText0"/>
              <w:keepLines/>
              <w:jc w:val="center"/>
            </w:pPr>
            <w:r w:rsidRPr="009A3AE9">
              <w:t>[0.84, 1.50]</w:t>
            </w:r>
          </w:p>
        </w:tc>
        <w:tc>
          <w:tcPr>
            <w:tcW w:w="718" w:type="pct"/>
          </w:tcPr>
          <w:p w14:paraId="774123D3" w14:textId="77777777" w:rsidR="009A75A0" w:rsidRPr="009A3AE9" w:rsidRDefault="00FB6C84" w:rsidP="004D10D6">
            <w:pPr>
              <w:pStyle w:val="TableText0"/>
              <w:keepLines/>
              <w:jc w:val="center"/>
            </w:pPr>
            <w:r w:rsidRPr="009A3AE9">
              <w:t xml:space="preserve">1.06 </w:t>
            </w:r>
          </w:p>
          <w:p w14:paraId="2EC50DFE" w14:textId="5DD609C1" w:rsidR="00FB6C84" w:rsidRPr="009A3AE9" w:rsidRDefault="00FB6C84" w:rsidP="004D10D6">
            <w:pPr>
              <w:pStyle w:val="TableText0"/>
              <w:keepLines/>
              <w:jc w:val="center"/>
            </w:pPr>
            <w:r w:rsidRPr="009A3AE9">
              <w:t>[0.92, 1.21]</w:t>
            </w:r>
          </w:p>
        </w:tc>
        <w:tc>
          <w:tcPr>
            <w:tcW w:w="716" w:type="pct"/>
          </w:tcPr>
          <w:p w14:paraId="15337BAF" w14:textId="77777777" w:rsidR="009A75A0" w:rsidRPr="009A3AE9" w:rsidRDefault="00FB6C84" w:rsidP="004D10D6">
            <w:pPr>
              <w:pStyle w:val="TableText0"/>
              <w:keepLines/>
              <w:jc w:val="center"/>
            </w:pPr>
            <w:r w:rsidRPr="009A3AE9">
              <w:t xml:space="preserve">0.03 </w:t>
            </w:r>
          </w:p>
          <w:p w14:paraId="58B689B6" w14:textId="1B6BE4C1" w:rsidR="00FB6C84" w:rsidRPr="009A3AE9" w:rsidRDefault="00FB6C84" w:rsidP="004D10D6">
            <w:pPr>
              <w:pStyle w:val="TableText0"/>
              <w:keepLines/>
              <w:jc w:val="center"/>
            </w:pPr>
            <w:r w:rsidRPr="009A3AE9">
              <w:t>[-0.04, 0.10]</w:t>
            </w:r>
          </w:p>
        </w:tc>
      </w:tr>
      <w:tr w:rsidR="009D42E9" w:rsidRPr="009A3AE9" w14:paraId="485D5A75" w14:textId="77777777" w:rsidTr="00956744">
        <w:trPr>
          <w:trHeight w:val="255"/>
        </w:trPr>
        <w:tc>
          <w:tcPr>
            <w:tcW w:w="1412" w:type="pct"/>
          </w:tcPr>
          <w:p w14:paraId="100BCEB6" w14:textId="6E5C4EBD" w:rsidR="00FB6C84" w:rsidRPr="009A3AE9" w:rsidRDefault="00FB6C84" w:rsidP="004D10D6">
            <w:pPr>
              <w:pStyle w:val="TableText0"/>
              <w:keepLines/>
            </w:pPr>
            <w:r w:rsidRPr="009A3AE9">
              <w:t>TEAEs leading to treatment discontinuation</w:t>
            </w:r>
          </w:p>
        </w:tc>
        <w:tc>
          <w:tcPr>
            <w:tcW w:w="718" w:type="pct"/>
          </w:tcPr>
          <w:p w14:paraId="3005DE94" w14:textId="664594DB" w:rsidR="00FB6C84" w:rsidRPr="009A3AE9" w:rsidRDefault="00FB6C84" w:rsidP="004D10D6">
            <w:pPr>
              <w:pStyle w:val="TableText0"/>
              <w:keepLines/>
              <w:jc w:val="center"/>
            </w:pPr>
            <w:r w:rsidRPr="009A3AE9">
              <w:t>118/370 (31.89%)</w:t>
            </w:r>
          </w:p>
        </w:tc>
        <w:tc>
          <w:tcPr>
            <w:tcW w:w="718" w:type="pct"/>
          </w:tcPr>
          <w:p w14:paraId="6C38B206" w14:textId="166C7A7D" w:rsidR="00FB6C84" w:rsidRPr="009A3AE9" w:rsidRDefault="00FB6C84" w:rsidP="004D10D6">
            <w:pPr>
              <w:pStyle w:val="TableText0"/>
              <w:keepLines/>
              <w:jc w:val="center"/>
            </w:pPr>
            <w:r w:rsidRPr="009A3AE9">
              <w:t>112/379 (29.55%)</w:t>
            </w:r>
          </w:p>
        </w:tc>
        <w:tc>
          <w:tcPr>
            <w:tcW w:w="718" w:type="pct"/>
          </w:tcPr>
          <w:p w14:paraId="295EF35E" w14:textId="77777777" w:rsidR="009A75A0" w:rsidRPr="009A3AE9" w:rsidRDefault="00FB6C84" w:rsidP="004D10D6">
            <w:pPr>
              <w:pStyle w:val="TableText0"/>
              <w:keepLines/>
              <w:jc w:val="center"/>
            </w:pPr>
            <w:r w:rsidRPr="009A3AE9">
              <w:t xml:space="preserve">1.12 </w:t>
            </w:r>
          </w:p>
          <w:p w14:paraId="56127D59" w14:textId="74BD9DE3" w:rsidR="00FB6C84" w:rsidRPr="009A3AE9" w:rsidRDefault="00FB6C84" w:rsidP="004D10D6">
            <w:pPr>
              <w:pStyle w:val="TableText0"/>
              <w:keepLines/>
              <w:jc w:val="center"/>
            </w:pPr>
            <w:r w:rsidRPr="009A3AE9">
              <w:t>[0.82, 1.52]</w:t>
            </w:r>
          </w:p>
        </w:tc>
        <w:tc>
          <w:tcPr>
            <w:tcW w:w="718" w:type="pct"/>
          </w:tcPr>
          <w:p w14:paraId="3A895938" w14:textId="77777777" w:rsidR="009A75A0" w:rsidRPr="009A3AE9" w:rsidRDefault="00FB6C84" w:rsidP="004D10D6">
            <w:pPr>
              <w:pStyle w:val="TableText0"/>
              <w:keepLines/>
              <w:jc w:val="center"/>
            </w:pPr>
            <w:r w:rsidRPr="009A3AE9">
              <w:t xml:space="preserve">1.08 </w:t>
            </w:r>
          </w:p>
          <w:p w14:paraId="1E5FB233" w14:textId="7543866F" w:rsidR="00FB6C84" w:rsidRPr="009A3AE9" w:rsidRDefault="00FB6C84" w:rsidP="004D10D6">
            <w:pPr>
              <w:pStyle w:val="TableText0"/>
              <w:keepLines/>
              <w:jc w:val="center"/>
            </w:pPr>
            <w:r w:rsidRPr="009A3AE9">
              <w:t>[0.87, 1.34]</w:t>
            </w:r>
          </w:p>
        </w:tc>
        <w:tc>
          <w:tcPr>
            <w:tcW w:w="716" w:type="pct"/>
          </w:tcPr>
          <w:p w14:paraId="5DB8FCDF" w14:textId="77777777" w:rsidR="001D096D" w:rsidRPr="009A3AE9" w:rsidRDefault="00FB6C84" w:rsidP="004D10D6">
            <w:pPr>
              <w:pStyle w:val="TableText0"/>
              <w:keepLines/>
              <w:jc w:val="center"/>
            </w:pPr>
            <w:r w:rsidRPr="009A3AE9">
              <w:t>0.02</w:t>
            </w:r>
          </w:p>
          <w:p w14:paraId="58441376" w14:textId="657A0E0C" w:rsidR="00FB6C84" w:rsidRPr="009A3AE9" w:rsidRDefault="00FB6C84" w:rsidP="004D10D6">
            <w:pPr>
              <w:pStyle w:val="TableText0"/>
              <w:keepLines/>
              <w:jc w:val="center"/>
            </w:pPr>
            <w:r w:rsidRPr="009A3AE9">
              <w:t>[-0.04, 0.09]</w:t>
            </w:r>
          </w:p>
        </w:tc>
      </w:tr>
      <w:tr w:rsidR="009D42E9" w:rsidRPr="009A3AE9" w14:paraId="0140F479" w14:textId="77777777" w:rsidTr="00956744">
        <w:trPr>
          <w:trHeight w:val="255"/>
        </w:trPr>
        <w:tc>
          <w:tcPr>
            <w:tcW w:w="1412" w:type="pct"/>
          </w:tcPr>
          <w:p w14:paraId="3A8A3D2F" w14:textId="636691FE" w:rsidR="00FB6C84" w:rsidRPr="009A3AE9" w:rsidRDefault="00FB6C84" w:rsidP="004D10D6">
            <w:pPr>
              <w:pStyle w:val="TableText0"/>
              <w:keepLines/>
            </w:pPr>
            <w:r w:rsidRPr="009A3AE9">
              <w:t xml:space="preserve">TEAEs leading to discontinuation of </w:t>
            </w:r>
            <w:r w:rsidR="009A75A0" w:rsidRPr="009A3AE9">
              <w:t>nal-IRI</w:t>
            </w:r>
          </w:p>
        </w:tc>
        <w:tc>
          <w:tcPr>
            <w:tcW w:w="718" w:type="pct"/>
          </w:tcPr>
          <w:p w14:paraId="645A0CDD" w14:textId="3A00ACAA" w:rsidR="00FB6C84" w:rsidRPr="009A3AE9" w:rsidRDefault="00FB6C84" w:rsidP="004D10D6">
            <w:pPr>
              <w:pStyle w:val="TableText0"/>
              <w:keepLines/>
              <w:jc w:val="center"/>
            </w:pPr>
            <w:r w:rsidRPr="009A3AE9">
              <w:t>63/370 (17.03%)</w:t>
            </w:r>
          </w:p>
        </w:tc>
        <w:tc>
          <w:tcPr>
            <w:tcW w:w="718" w:type="pct"/>
          </w:tcPr>
          <w:p w14:paraId="6DAC5D7D" w14:textId="46ECBFF0" w:rsidR="00FB6C84" w:rsidRPr="009A3AE9" w:rsidRDefault="00FB6C84" w:rsidP="004D10D6">
            <w:pPr>
              <w:pStyle w:val="TableText0"/>
              <w:keepLines/>
              <w:jc w:val="center"/>
            </w:pPr>
            <w:r w:rsidRPr="009A3AE9">
              <w:t>NA</w:t>
            </w:r>
          </w:p>
        </w:tc>
        <w:tc>
          <w:tcPr>
            <w:tcW w:w="718" w:type="pct"/>
          </w:tcPr>
          <w:p w14:paraId="088B7123" w14:textId="038C2D49" w:rsidR="00FB6C84" w:rsidRPr="009A3AE9" w:rsidRDefault="00FB6C84" w:rsidP="004D10D6">
            <w:pPr>
              <w:pStyle w:val="TableText0"/>
              <w:keepLines/>
              <w:jc w:val="center"/>
            </w:pPr>
            <w:r w:rsidRPr="009A3AE9">
              <w:t>NE</w:t>
            </w:r>
          </w:p>
        </w:tc>
        <w:tc>
          <w:tcPr>
            <w:tcW w:w="718" w:type="pct"/>
          </w:tcPr>
          <w:p w14:paraId="687FEE68" w14:textId="33B20DDB" w:rsidR="00FB6C84" w:rsidRPr="009A3AE9" w:rsidRDefault="00FB6C84" w:rsidP="004D10D6">
            <w:pPr>
              <w:pStyle w:val="TableText0"/>
              <w:keepLines/>
              <w:jc w:val="center"/>
            </w:pPr>
            <w:r w:rsidRPr="009A3AE9">
              <w:t>NE</w:t>
            </w:r>
          </w:p>
        </w:tc>
        <w:tc>
          <w:tcPr>
            <w:tcW w:w="716" w:type="pct"/>
          </w:tcPr>
          <w:p w14:paraId="0EE9E972" w14:textId="50CA5736" w:rsidR="00FB6C84" w:rsidRPr="009A3AE9" w:rsidRDefault="00FB6C84" w:rsidP="004D10D6">
            <w:pPr>
              <w:pStyle w:val="TableText0"/>
              <w:keepLines/>
              <w:jc w:val="center"/>
            </w:pPr>
            <w:r w:rsidRPr="009A3AE9">
              <w:t>NE</w:t>
            </w:r>
          </w:p>
        </w:tc>
      </w:tr>
      <w:tr w:rsidR="009D42E9" w:rsidRPr="009A3AE9" w14:paraId="5F7B313F" w14:textId="77777777" w:rsidTr="00956744">
        <w:trPr>
          <w:trHeight w:val="255"/>
        </w:trPr>
        <w:tc>
          <w:tcPr>
            <w:tcW w:w="1412" w:type="pct"/>
          </w:tcPr>
          <w:p w14:paraId="1EA85224" w14:textId="7D80857C" w:rsidR="00FB6C84" w:rsidRPr="009A3AE9" w:rsidRDefault="00FB6C84" w:rsidP="004D10D6">
            <w:pPr>
              <w:pStyle w:val="TableText0"/>
              <w:keepLines/>
            </w:pPr>
            <w:r w:rsidRPr="009A3AE9">
              <w:t>TEAEs leading to reduction of any IMP</w:t>
            </w:r>
          </w:p>
        </w:tc>
        <w:tc>
          <w:tcPr>
            <w:tcW w:w="718" w:type="pct"/>
          </w:tcPr>
          <w:p w14:paraId="3A63EA0C" w14:textId="468DE234" w:rsidR="00FB6C84" w:rsidRPr="009A3AE9" w:rsidRDefault="00FB6C84" w:rsidP="004D10D6">
            <w:pPr>
              <w:pStyle w:val="TableText0"/>
              <w:keepLines/>
              <w:jc w:val="center"/>
            </w:pPr>
            <w:r w:rsidRPr="009A3AE9">
              <w:t>208/370 (56.22%)</w:t>
            </w:r>
          </w:p>
        </w:tc>
        <w:tc>
          <w:tcPr>
            <w:tcW w:w="718" w:type="pct"/>
          </w:tcPr>
          <w:p w14:paraId="2616A654" w14:textId="4C2BBDFB" w:rsidR="00FB6C84" w:rsidRPr="009A3AE9" w:rsidRDefault="00FB6C84" w:rsidP="004D10D6">
            <w:pPr>
              <w:pStyle w:val="TableText0"/>
              <w:keepLines/>
              <w:jc w:val="center"/>
            </w:pPr>
            <w:r w:rsidRPr="009A3AE9">
              <w:t>190/379 (50.13%)</w:t>
            </w:r>
          </w:p>
        </w:tc>
        <w:tc>
          <w:tcPr>
            <w:tcW w:w="718" w:type="pct"/>
          </w:tcPr>
          <w:p w14:paraId="0B92E578" w14:textId="77777777" w:rsidR="009A75A0" w:rsidRPr="009A3AE9" w:rsidRDefault="00FB6C84" w:rsidP="004D10D6">
            <w:pPr>
              <w:pStyle w:val="TableText0"/>
              <w:keepLines/>
              <w:jc w:val="center"/>
            </w:pPr>
            <w:r w:rsidRPr="009A3AE9">
              <w:t xml:space="preserve">1.28 </w:t>
            </w:r>
          </w:p>
          <w:p w14:paraId="4DF7A16F" w14:textId="0F214CFB" w:rsidR="00FB6C84" w:rsidRPr="009A3AE9" w:rsidRDefault="00FB6C84" w:rsidP="004D10D6">
            <w:pPr>
              <w:pStyle w:val="TableText0"/>
              <w:keepLines/>
              <w:jc w:val="center"/>
            </w:pPr>
            <w:r w:rsidRPr="009A3AE9">
              <w:t>[0.96, 1.70]</w:t>
            </w:r>
          </w:p>
        </w:tc>
        <w:tc>
          <w:tcPr>
            <w:tcW w:w="718" w:type="pct"/>
          </w:tcPr>
          <w:p w14:paraId="2FF8ECA7" w14:textId="15C239CB" w:rsidR="00FB6C84" w:rsidRPr="009A3AE9" w:rsidRDefault="00FB6C84" w:rsidP="004D10D6">
            <w:pPr>
              <w:pStyle w:val="TableText0"/>
              <w:keepLines/>
              <w:jc w:val="center"/>
            </w:pPr>
            <w:r w:rsidRPr="009A3AE9">
              <w:t>1.12 [0.98, 1.28]</w:t>
            </w:r>
          </w:p>
        </w:tc>
        <w:tc>
          <w:tcPr>
            <w:tcW w:w="716" w:type="pct"/>
          </w:tcPr>
          <w:p w14:paraId="06DA15D9" w14:textId="77777777" w:rsidR="001D096D" w:rsidRPr="009A3AE9" w:rsidRDefault="00FB6C84" w:rsidP="004D10D6">
            <w:pPr>
              <w:pStyle w:val="TableText0"/>
              <w:keepLines/>
              <w:jc w:val="center"/>
            </w:pPr>
            <w:r w:rsidRPr="009A3AE9">
              <w:t xml:space="preserve">0.06 </w:t>
            </w:r>
          </w:p>
          <w:p w14:paraId="7B9B8786" w14:textId="7CF96664" w:rsidR="00FB6C84" w:rsidRPr="009A3AE9" w:rsidRDefault="00FB6C84" w:rsidP="004D10D6">
            <w:pPr>
              <w:pStyle w:val="TableText0"/>
              <w:keepLines/>
              <w:jc w:val="center"/>
            </w:pPr>
            <w:r w:rsidRPr="009A3AE9">
              <w:t>[-0.01, 0.13]</w:t>
            </w:r>
          </w:p>
        </w:tc>
      </w:tr>
      <w:tr w:rsidR="009D42E9" w:rsidRPr="009A3AE9" w14:paraId="57FFF18D" w14:textId="77777777" w:rsidTr="00956744">
        <w:trPr>
          <w:trHeight w:val="255"/>
        </w:trPr>
        <w:tc>
          <w:tcPr>
            <w:tcW w:w="1412" w:type="pct"/>
          </w:tcPr>
          <w:p w14:paraId="778897B5" w14:textId="02F49846" w:rsidR="00FB6C84" w:rsidRPr="009A3AE9" w:rsidRDefault="00FB6C84" w:rsidP="004D10D6">
            <w:pPr>
              <w:pStyle w:val="TableText0"/>
              <w:keepLines/>
            </w:pPr>
            <w:r w:rsidRPr="009A3AE9">
              <w:t xml:space="preserve">TEAEs leading to reduction of </w:t>
            </w:r>
            <w:r w:rsidR="009A75A0" w:rsidRPr="009A3AE9">
              <w:t>nal-IRI</w:t>
            </w:r>
          </w:p>
        </w:tc>
        <w:tc>
          <w:tcPr>
            <w:tcW w:w="718" w:type="pct"/>
          </w:tcPr>
          <w:p w14:paraId="4E30E11B" w14:textId="4C083F10" w:rsidR="00FB6C84" w:rsidRPr="009A3AE9" w:rsidRDefault="00FB6C84" w:rsidP="004D10D6">
            <w:pPr>
              <w:pStyle w:val="TableText0"/>
              <w:keepLines/>
              <w:jc w:val="center"/>
            </w:pPr>
            <w:r w:rsidRPr="009A3AE9">
              <w:t>194/370 (52.43%)</w:t>
            </w:r>
          </w:p>
        </w:tc>
        <w:tc>
          <w:tcPr>
            <w:tcW w:w="718" w:type="pct"/>
          </w:tcPr>
          <w:p w14:paraId="4438A771" w14:textId="736816F6" w:rsidR="00FB6C84" w:rsidRPr="009A3AE9" w:rsidRDefault="00FB6C84" w:rsidP="004D10D6">
            <w:pPr>
              <w:pStyle w:val="TableText0"/>
              <w:keepLines/>
              <w:jc w:val="center"/>
            </w:pPr>
            <w:r w:rsidRPr="009A3AE9">
              <w:t>NA</w:t>
            </w:r>
          </w:p>
        </w:tc>
        <w:tc>
          <w:tcPr>
            <w:tcW w:w="718" w:type="pct"/>
          </w:tcPr>
          <w:p w14:paraId="4C7C83B3" w14:textId="7B45C683" w:rsidR="00FB6C84" w:rsidRPr="009A3AE9" w:rsidRDefault="00FB6C84" w:rsidP="004D10D6">
            <w:pPr>
              <w:pStyle w:val="TableText0"/>
              <w:keepLines/>
              <w:jc w:val="center"/>
            </w:pPr>
            <w:r w:rsidRPr="009A3AE9">
              <w:t>NE</w:t>
            </w:r>
          </w:p>
        </w:tc>
        <w:tc>
          <w:tcPr>
            <w:tcW w:w="718" w:type="pct"/>
          </w:tcPr>
          <w:p w14:paraId="5FD54836" w14:textId="3EDD8634" w:rsidR="00FB6C84" w:rsidRPr="009A3AE9" w:rsidRDefault="00FB6C84" w:rsidP="004D10D6">
            <w:pPr>
              <w:pStyle w:val="TableText0"/>
              <w:keepLines/>
              <w:jc w:val="center"/>
            </w:pPr>
            <w:r w:rsidRPr="009A3AE9">
              <w:t>NE</w:t>
            </w:r>
          </w:p>
        </w:tc>
        <w:tc>
          <w:tcPr>
            <w:tcW w:w="716" w:type="pct"/>
          </w:tcPr>
          <w:p w14:paraId="144025D3" w14:textId="5372410C" w:rsidR="00FB6C84" w:rsidRPr="009A3AE9" w:rsidRDefault="00FB6C84" w:rsidP="004D10D6">
            <w:pPr>
              <w:pStyle w:val="TableText0"/>
              <w:keepLines/>
              <w:jc w:val="center"/>
            </w:pPr>
            <w:r w:rsidRPr="009A3AE9">
              <w:t>NE</w:t>
            </w:r>
          </w:p>
        </w:tc>
      </w:tr>
      <w:tr w:rsidR="009D42E9" w:rsidRPr="009A3AE9" w14:paraId="61881FD4" w14:textId="77777777" w:rsidTr="00956744">
        <w:trPr>
          <w:trHeight w:val="255"/>
        </w:trPr>
        <w:tc>
          <w:tcPr>
            <w:tcW w:w="1412" w:type="pct"/>
          </w:tcPr>
          <w:p w14:paraId="69A12AB2" w14:textId="61364020" w:rsidR="00FB6C84" w:rsidRPr="009A3AE9" w:rsidRDefault="00FB6C84" w:rsidP="004D10D6">
            <w:pPr>
              <w:pStyle w:val="TableText0"/>
              <w:keepLines/>
            </w:pPr>
            <w:r w:rsidRPr="009A3AE9">
              <w:t>TEAEs leading to interruption of any IMP</w:t>
            </w:r>
          </w:p>
        </w:tc>
        <w:tc>
          <w:tcPr>
            <w:tcW w:w="718" w:type="pct"/>
          </w:tcPr>
          <w:p w14:paraId="66EFD47D" w14:textId="7946F280" w:rsidR="00FB6C84" w:rsidRPr="009A3AE9" w:rsidRDefault="00FB6C84" w:rsidP="004D10D6">
            <w:pPr>
              <w:pStyle w:val="TableText0"/>
              <w:keepLines/>
              <w:jc w:val="center"/>
            </w:pPr>
            <w:r w:rsidRPr="009A3AE9">
              <w:t>16/370 (4.32%)</w:t>
            </w:r>
          </w:p>
        </w:tc>
        <w:tc>
          <w:tcPr>
            <w:tcW w:w="718" w:type="pct"/>
          </w:tcPr>
          <w:p w14:paraId="15B74533" w14:textId="77777777" w:rsidR="0005769A" w:rsidRPr="009A3AE9" w:rsidRDefault="00FB6C84" w:rsidP="004D10D6">
            <w:pPr>
              <w:pStyle w:val="TableText0"/>
              <w:keepLines/>
              <w:jc w:val="center"/>
            </w:pPr>
            <w:r w:rsidRPr="009A3AE9">
              <w:t xml:space="preserve">4/379 </w:t>
            </w:r>
          </w:p>
          <w:p w14:paraId="19B7B9D8" w14:textId="438D104D" w:rsidR="00FB6C84" w:rsidRPr="009A3AE9" w:rsidRDefault="00FB6C84" w:rsidP="004D10D6">
            <w:pPr>
              <w:pStyle w:val="TableText0"/>
              <w:keepLines/>
              <w:jc w:val="center"/>
            </w:pPr>
            <w:r w:rsidRPr="009A3AE9">
              <w:t>(1.06%)</w:t>
            </w:r>
          </w:p>
        </w:tc>
        <w:tc>
          <w:tcPr>
            <w:tcW w:w="718" w:type="pct"/>
          </w:tcPr>
          <w:p w14:paraId="267C4804" w14:textId="77777777" w:rsidR="001D096D" w:rsidRPr="009A3AE9" w:rsidRDefault="00FB6C84" w:rsidP="004D10D6">
            <w:pPr>
              <w:pStyle w:val="TableText0"/>
              <w:keepLines/>
              <w:jc w:val="center"/>
              <w:rPr>
                <w:b/>
              </w:rPr>
            </w:pPr>
            <w:r w:rsidRPr="009A3AE9">
              <w:rPr>
                <w:b/>
              </w:rPr>
              <w:t xml:space="preserve">4.24 </w:t>
            </w:r>
          </w:p>
          <w:p w14:paraId="386165AA" w14:textId="741A0D47" w:rsidR="00FB6C84" w:rsidRPr="009A3AE9" w:rsidRDefault="00FB6C84" w:rsidP="004D10D6">
            <w:pPr>
              <w:pStyle w:val="TableText0"/>
              <w:keepLines/>
              <w:jc w:val="center"/>
            </w:pPr>
            <w:r w:rsidRPr="009A3AE9">
              <w:rPr>
                <w:b/>
              </w:rPr>
              <w:t>[1.40, 12.80]</w:t>
            </w:r>
          </w:p>
        </w:tc>
        <w:tc>
          <w:tcPr>
            <w:tcW w:w="718" w:type="pct"/>
          </w:tcPr>
          <w:p w14:paraId="7DE56939" w14:textId="77777777" w:rsidR="001D096D" w:rsidRPr="009A3AE9" w:rsidRDefault="00FB6C84" w:rsidP="004D10D6">
            <w:pPr>
              <w:pStyle w:val="TableText0"/>
              <w:keepLines/>
              <w:jc w:val="center"/>
              <w:rPr>
                <w:b/>
              </w:rPr>
            </w:pPr>
            <w:r w:rsidRPr="009A3AE9">
              <w:rPr>
                <w:b/>
              </w:rPr>
              <w:t xml:space="preserve">4.10 </w:t>
            </w:r>
          </w:p>
          <w:p w14:paraId="0B860E91" w14:textId="0D0B19B2" w:rsidR="00FB6C84" w:rsidRPr="009A3AE9" w:rsidRDefault="00FB6C84" w:rsidP="004D10D6">
            <w:pPr>
              <w:pStyle w:val="TableText0"/>
              <w:keepLines/>
              <w:jc w:val="center"/>
            </w:pPr>
            <w:r w:rsidRPr="009A3AE9">
              <w:rPr>
                <w:b/>
              </w:rPr>
              <w:t>[1.38, 12.14]</w:t>
            </w:r>
          </w:p>
        </w:tc>
        <w:tc>
          <w:tcPr>
            <w:tcW w:w="716" w:type="pct"/>
          </w:tcPr>
          <w:p w14:paraId="3E87B49C" w14:textId="77777777" w:rsidR="001D096D" w:rsidRPr="009A3AE9" w:rsidRDefault="00FB6C84" w:rsidP="004D10D6">
            <w:pPr>
              <w:pStyle w:val="TableText0"/>
              <w:keepLines/>
              <w:jc w:val="center"/>
              <w:rPr>
                <w:b/>
              </w:rPr>
            </w:pPr>
            <w:r w:rsidRPr="009A3AE9">
              <w:rPr>
                <w:b/>
              </w:rPr>
              <w:t xml:space="preserve">0.03 </w:t>
            </w:r>
          </w:p>
          <w:p w14:paraId="30E9820E" w14:textId="0937D8E0" w:rsidR="00FB6C84" w:rsidRPr="009A3AE9" w:rsidRDefault="00FB6C84" w:rsidP="004D10D6">
            <w:pPr>
              <w:pStyle w:val="TableText0"/>
              <w:keepLines/>
              <w:jc w:val="center"/>
            </w:pPr>
            <w:r w:rsidRPr="009A3AE9">
              <w:rPr>
                <w:b/>
              </w:rPr>
              <w:t>[0.01, 0.06]</w:t>
            </w:r>
          </w:p>
        </w:tc>
      </w:tr>
      <w:tr w:rsidR="009D42E9" w:rsidRPr="009A3AE9" w14:paraId="3099BC8C" w14:textId="77777777" w:rsidTr="00956744">
        <w:trPr>
          <w:trHeight w:val="255"/>
        </w:trPr>
        <w:tc>
          <w:tcPr>
            <w:tcW w:w="1412" w:type="pct"/>
          </w:tcPr>
          <w:p w14:paraId="7023858E" w14:textId="4C753D09" w:rsidR="00FB6C84" w:rsidRPr="009A3AE9" w:rsidRDefault="00FB6C84" w:rsidP="004D10D6">
            <w:pPr>
              <w:pStyle w:val="TableText0"/>
              <w:keepLines/>
            </w:pPr>
            <w:r w:rsidRPr="009A3AE9">
              <w:t xml:space="preserve">TEAEs leading to interruption of </w:t>
            </w:r>
            <w:r w:rsidR="009A75A0" w:rsidRPr="009A3AE9">
              <w:t>nal-IRI</w:t>
            </w:r>
          </w:p>
        </w:tc>
        <w:tc>
          <w:tcPr>
            <w:tcW w:w="718" w:type="pct"/>
          </w:tcPr>
          <w:p w14:paraId="71009DC8" w14:textId="77777777" w:rsidR="0005769A" w:rsidRPr="009A3AE9" w:rsidRDefault="00FB6C84" w:rsidP="004D10D6">
            <w:pPr>
              <w:pStyle w:val="TableText0"/>
              <w:keepLines/>
              <w:jc w:val="center"/>
            </w:pPr>
            <w:r w:rsidRPr="009A3AE9">
              <w:t xml:space="preserve">7/370 </w:t>
            </w:r>
          </w:p>
          <w:p w14:paraId="1DC782B0" w14:textId="3E6CDA54" w:rsidR="00FB6C84" w:rsidRPr="009A3AE9" w:rsidRDefault="00FB6C84" w:rsidP="004D10D6">
            <w:pPr>
              <w:pStyle w:val="TableText0"/>
              <w:keepLines/>
              <w:jc w:val="center"/>
            </w:pPr>
            <w:r w:rsidRPr="009A3AE9">
              <w:t>(1.89%)</w:t>
            </w:r>
          </w:p>
        </w:tc>
        <w:tc>
          <w:tcPr>
            <w:tcW w:w="718" w:type="pct"/>
          </w:tcPr>
          <w:p w14:paraId="09ED5536" w14:textId="7CB841C9" w:rsidR="00FB6C84" w:rsidRPr="009A3AE9" w:rsidRDefault="00FB6C84" w:rsidP="004D10D6">
            <w:pPr>
              <w:pStyle w:val="TableText0"/>
              <w:keepLines/>
              <w:jc w:val="center"/>
            </w:pPr>
            <w:r w:rsidRPr="009A3AE9">
              <w:t>NA</w:t>
            </w:r>
          </w:p>
        </w:tc>
        <w:tc>
          <w:tcPr>
            <w:tcW w:w="718" w:type="pct"/>
          </w:tcPr>
          <w:p w14:paraId="70EA9FBA" w14:textId="43C0AD16" w:rsidR="00FB6C84" w:rsidRPr="009A3AE9" w:rsidRDefault="00FB6C84" w:rsidP="004D10D6">
            <w:pPr>
              <w:pStyle w:val="TableText0"/>
              <w:keepLines/>
              <w:jc w:val="center"/>
            </w:pPr>
            <w:r w:rsidRPr="009A3AE9">
              <w:t>NE</w:t>
            </w:r>
          </w:p>
        </w:tc>
        <w:tc>
          <w:tcPr>
            <w:tcW w:w="718" w:type="pct"/>
          </w:tcPr>
          <w:p w14:paraId="73FE9BBA" w14:textId="51BD0294" w:rsidR="00FB6C84" w:rsidRPr="009A3AE9" w:rsidRDefault="00FB6C84" w:rsidP="004D10D6">
            <w:pPr>
              <w:pStyle w:val="TableText0"/>
              <w:keepLines/>
              <w:jc w:val="center"/>
            </w:pPr>
            <w:r w:rsidRPr="009A3AE9">
              <w:t>NE</w:t>
            </w:r>
          </w:p>
        </w:tc>
        <w:tc>
          <w:tcPr>
            <w:tcW w:w="716" w:type="pct"/>
          </w:tcPr>
          <w:p w14:paraId="09A923D6" w14:textId="5B18BC95" w:rsidR="00FB6C84" w:rsidRPr="009A3AE9" w:rsidRDefault="00FB6C84" w:rsidP="004D10D6">
            <w:pPr>
              <w:pStyle w:val="TableText0"/>
              <w:keepLines/>
              <w:jc w:val="center"/>
            </w:pPr>
            <w:r w:rsidRPr="009A3AE9">
              <w:t>NE</w:t>
            </w:r>
          </w:p>
        </w:tc>
      </w:tr>
      <w:tr w:rsidR="009D42E9" w:rsidRPr="009A3AE9" w14:paraId="0529C17C" w14:textId="77777777" w:rsidTr="00956744">
        <w:trPr>
          <w:trHeight w:val="255"/>
        </w:trPr>
        <w:tc>
          <w:tcPr>
            <w:tcW w:w="1412" w:type="pct"/>
          </w:tcPr>
          <w:p w14:paraId="32C6F02B" w14:textId="5F0791A5" w:rsidR="00FB6C84" w:rsidRPr="009A3AE9" w:rsidRDefault="00FB6C84" w:rsidP="004D10D6">
            <w:pPr>
              <w:pStyle w:val="TableText0"/>
              <w:keepLines/>
            </w:pPr>
            <w:r w:rsidRPr="009A3AE9">
              <w:t>TEAEs leading to death</w:t>
            </w:r>
          </w:p>
        </w:tc>
        <w:tc>
          <w:tcPr>
            <w:tcW w:w="718" w:type="pct"/>
          </w:tcPr>
          <w:p w14:paraId="14F881C2" w14:textId="406B47E6" w:rsidR="00FB6C84" w:rsidRPr="009A3AE9" w:rsidRDefault="00FB6C84" w:rsidP="004D10D6">
            <w:pPr>
              <w:pStyle w:val="TableText0"/>
              <w:keepLines/>
              <w:jc w:val="center"/>
            </w:pPr>
            <w:r w:rsidRPr="009A3AE9">
              <w:t>22/370 (5.95%)</w:t>
            </w:r>
          </w:p>
        </w:tc>
        <w:tc>
          <w:tcPr>
            <w:tcW w:w="718" w:type="pct"/>
          </w:tcPr>
          <w:p w14:paraId="1C96A4AE" w14:textId="6EB21E0A" w:rsidR="00FB6C84" w:rsidRPr="009A3AE9" w:rsidRDefault="00FB6C84" w:rsidP="004D10D6">
            <w:pPr>
              <w:pStyle w:val="TableText0"/>
              <w:keepLines/>
              <w:jc w:val="center"/>
            </w:pPr>
            <w:r w:rsidRPr="009A3AE9">
              <w:t>23/379 (6.07%)</w:t>
            </w:r>
          </w:p>
        </w:tc>
        <w:tc>
          <w:tcPr>
            <w:tcW w:w="718" w:type="pct"/>
          </w:tcPr>
          <w:p w14:paraId="41828E0A" w14:textId="77777777" w:rsidR="009A75A0" w:rsidRPr="009A3AE9" w:rsidRDefault="00FB6C84" w:rsidP="004D10D6">
            <w:pPr>
              <w:pStyle w:val="TableText0"/>
              <w:keepLines/>
              <w:jc w:val="center"/>
            </w:pPr>
            <w:r w:rsidRPr="009A3AE9">
              <w:t xml:space="preserve">0.98 </w:t>
            </w:r>
          </w:p>
          <w:p w14:paraId="5A385956" w14:textId="30261F11" w:rsidR="00FB6C84" w:rsidRPr="009A3AE9" w:rsidRDefault="00FB6C84" w:rsidP="004D10D6">
            <w:pPr>
              <w:pStyle w:val="TableText0"/>
              <w:keepLines/>
              <w:jc w:val="center"/>
            </w:pPr>
            <w:r w:rsidRPr="009A3AE9">
              <w:t>[0.54, 1.79]</w:t>
            </w:r>
          </w:p>
        </w:tc>
        <w:tc>
          <w:tcPr>
            <w:tcW w:w="718" w:type="pct"/>
          </w:tcPr>
          <w:p w14:paraId="77633823" w14:textId="77777777" w:rsidR="009A75A0" w:rsidRPr="009A3AE9" w:rsidRDefault="00FB6C84" w:rsidP="004D10D6">
            <w:pPr>
              <w:pStyle w:val="TableText0"/>
              <w:keepLines/>
              <w:jc w:val="center"/>
            </w:pPr>
            <w:r w:rsidRPr="009A3AE9">
              <w:t xml:space="preserve">0.98 </w:t>
            </w:r>
          </w:p>
          <w:p w14:paraId="3EC825F0" w14:textId="09009BBC" w:rsidR="00FB6C84" w:rsidRPr="009A3AE9" w:rsidRDefault="00FB6C84" w:rsidP="004D10D6">
            <w:pPr>
              <w:pStyle w:val="TableText0"/>
              <w:keepLines/>
              <w:jc w:val="center"/>
            </w:pPr>
            <w:r w:rsidRPr="009A3AE9">
              <w:t>[0.56, 1.73]</w:t>
            </w:r>
          </w:p>
        </w:tc>
        <w:tc>
          <w:tcPr>
            <w:tcW w:w="716" w:type="pct"/>
          </w:tcPr>
          <w:p w14:paraId="6DD165A3" w14:textId="77777777" w:rsidR="009A75A0" w:rsidRPr="009A3AE9" w:rsidRDefault="00FB6C84" w:rsidP="004D10D6">
            <w:pPr>
              <w:pStyle w:val="TableText0"/>
              <w:keepLines/>
              <w:jc w:val="center"/>
            </w:pPr>
            <w:r w:rsidRPr="009A3AE9">
              <w:t xml:space="preserve">0.00 </w:t>
            </w:r>
          </w:p>
          <w:p w14:paraId="1F643F08" w14:textId="6BAD2E2D" w:rsidR="00FB6C84" w:rsidRPr="009A3AE9" w:rsidRDefault="00FB6C84" w:rsidP="004D10D6">
            <w:pPr>
              <w:pStyle w:val="TableText0"/>
              <w:keepLines/>
              <w:jc w:val="center"/>
            </w:pPr>
            <w:r w:rsidRPr="009A3AE9">
              <w:t>[-0.04, 0.03]</w:t>
            </w:r>
          </w:p>
        </w:tc>
      </w:tr>
      <w:tr w:rsidR="00016609" w:rsidRPr="009A3AE9" w14:paraId="32B94345" w14:textId="77777777" w:rsidTr="00956744">
        <w:trPr>
          <w:trHeight w:val="242"/>
        </w:trPr>
        <w:tc>
          <w:tcPr>
            <w:tcW w:w="5000" w:type="pct"/>
            <w:gridSpan w:val="6"/>
            <w:shd w:val="clear" w:color="auto" w:fill="auto"/>
          </w:tcPr>
          <w:p w14:paraId="733E2909" w14:textId="77777777" w:rsidR="00016609" w:rsidRPr="009A3AE9" w:rsidRDefault="00016609" w:rsidP="004D10D6">
            <w:pPr>
              <w:pStyle w:val="In-tableHeading"/>
              <w:keepLines/>
              <w:rPr>
                <w:lang w:val="en-AU"/>
              </w:rPr>
            </w:pPr>
            <w:r w:rsidRPr="009A3AE9">
              <w:rPr>
                <w:lang w:val="en-AU"/>
              </w:rPr>
              <w:t>Drug-related TEAEs</w:t>
            </w:r>
          </w:p>
        </w:tc>
      </w:tr>
      <w:tr w:rsidR="00016609" w:rsidRPr="009A3AE9" w14:paraId="3A391F3B" w14:textId="77777777" w:rsidTr="00956744">
        <w:trPr>
          <w:trHeight w:val="255"/>
        </w:trPr>
        <w:tc>
          <w:tcPr>
            <w:tcW w:w="1412" w:type="pct"/>
          </w:tcPr>
          <w:p w14:paraId="0856716E" w14:textId="77777777" w:rsidR="00016609" w:rsidRPr="009A3AE9" w:rsidRDefault="00016609" w:rsidP="004D10D6">
            <w:pPr>
              <w:pStyle w:val="TableText0"/>
              <w:keepLines/>
            </w:pPr>
            <w:r w:rsidRPr="009A3AE9">
              <w:t>Any Drug-related TEAEs</w:t>
            </w:r>
          </w:p>
        </w:tc>
        <w:tc>
          <w:tcPr>
            <w:tcW w:w="718" w:type="pct"/>
          </w:tcPr>
          <w:p w14:paraId="774A47BF" w14:textId="77777777" w:rsidR="00016609" w:rsidRPr="009A3AE9" w:rsidRDefault="00016609" w:rsidP="004D10D6">
            <w:pPr>
              <w:pStyle w:val="TableText0"/>
              <w:keepLines/>
              <w:jc w:val="center"/>
            </w:pPr>
            <w:r w:rsidRPr="009A3AE9">
              <w:t>352/370 (95.14%)</w:t>
            </w:r>
          </w:p>
        </w:tc>
        <w:tc>
          <w:tcPr>
            <w:tcW w:w="718" w:type="pct"/>
          </w:tcPr>
          <w:p w14:paraId="77AF72D4" w14:textId="77777777" w:rsidR="00016609" w:rsidRPr="009A3AE9" w:rsidRDefault="00016609" w:rsidP="004D10D6">
            <w:pPr>
              <w:pStyle w:val="TableText0"/>
              <w:keepLines/>
              <w:jc w:val="center"/>
            </w:pPr>
            <w:r w:rsidRPr="009A3AE9">
              <w:t>352/379 (92.88%)</w:t>
            </w:r>
          </w:p>
        </w:tc>
        <w:tc>
          <w:tcPr>
            <w:tcW w:w="718" w:type="pct"/>
          </w:tcPr>
          <w:p w14:paraId="20D52661" w14:textId="77777777" w:rsidR="00016609" w:rsidRPr="009A3AE9" w:rsidRDefault="00016609" w:rsidP="004D10D6">
            <w:pPr>
              <w:pStyle w:val="TableText0"/>
              <w:keepLines/>
              <w:jc w:val="center"/>
            </w:pPr>
            <w:r w:rsidRPr="009A3AE9">
              <w:t>1.50</w:t>
            </w:r>
          </w:p>
          <w:p w14:paraId="2C2E185A" w14:textId="77777777" w:rsidR="00016609" w:rsidRPr="009A3AE9" w:rsidRDefault="00016609" w:rsidP="004D10D6">
            <w:pPr>
              <w:pStyle w:val="TableText0"/>
              <w:keepLines/>
              <w:jc w:val="center"/>
            </w:pPr>
            <w:r w:rsidRPr="009A3AE9">
              <w:t>[0.81, 2.77]</w:t>
            </w:r>
          </w:p>
        </w:tc>
        <w:tc>
          <w:tcPr>
            <w:tcW w:w="718" w:type="pct"/>
          </w:tcPr>
          <w:p w14:paraId="7F69089D" w14:textId="77777777" w:rsidR="00016609" w:rsidRPr="009A3AE9" w:rsidRDefault="00016609" w:rsidP="004D10D6">
            <w:pPr>
              <w:pStyle w:val="TableText0"/>
              <w:keepLines/>
              <w:jc w:val="center"/>
            </w:pPr>
            <w:r w:rsidRPr="009A3AE9">
              <w:t>1.02</w:t>
            </w:r>
          </w:p>
          <w:p w14:paraId="7B7C59A8" w14:textId="77777777" w:rsidR="00016609" w:rsidRPr="009A3AE9" w:rsidRDefault="00016609" w:rsidP="004D10D6">
            <w:pPr>
              <w:pStyle w:val="TableText0"/>
              <w:keepLines/>
              <w:jc w:val="center"/>
            </w:pPr>
            <w:r w:rsidRPr="009A3AE9">
              <w:t>[0.99, 1.06]</w:t>
            </w:r>
          </w:p>
        </w:tc>
        <w:tc>
          <w:tcPr>
            <w:tcW w:w="716" w:type="pct"/>
          </w:tcPr>
          <w:p w14:paraId="6C886E26" w14:textId="77777777" w:rsidR="00016609" w:rsidRPr="009A3AE9" w:rsidRDefault="00016609" w:rsidP="004D10D6">
            <w:pPr>
              <w:pStyle w:val="TableText0"/>
              <w:keepLines/>
              <w:jc w:val="center"/>
            </w:pPr>
            <w:r w:rsidRPr="009A3AE9">
              <w:t>0.02</w:t>
            </w:r>
          </w:p>
          <w:p w14:paraId="48F6AC34" w14:textId="77777777" w:rsidR="00016609" w:rsidRPr="009A3AE9" w:rsidRDefault="00016609" w:rsidP="004D10D6">
            <w:pPr>
              <w:pStyle w:val="TableText0"/>
              <w:keepLines/>
              <w:jc w:val="center"/>
            </w:pPr>
            <w:r w:rsidRPr="009A3AE9">
              <w:t>[-0.01, 0.06]</w:t>
            </w:r>
          </w:p>
        </w:tc>
      </w:tr>
      <w:tr w:rsidR="00016609" w:rsidRPr="009A3AE9" w14:paraId="0428446B" w14:textId="77777777" w:rsidTr="00956744">
        <w:trPr>
          <w:trHeight w:val="255"/>
        </w:trPr>
        <w:tc>
          <w:tcPr>
            <w:tcW w:w="1412" w:type="pct"/>
          </w:tcPr>
          <w:p w14:paraId="3C6FFA31" w14:textId="77777777" w:rsidR="00016609" w:rsidRPr="009A3AE9" w:rsidRDefault="00016609" w:rsidP="004D10D6">
            <w:pPr>
              <w:pStyle w:val="TableText0"/>
              <w:keepLines/>
            </w:pPr>
            <w:r w:rsidRPr="009A3AE9">
              <w:t>Drug-related Grade ≥ 3 TEAEs</w:t>
            </w:r>
          </w:p>
        </w:tc>
        <w:tc>
          <w:tcPr>
            <w:tcW w:w="718" w:type="pct"/>
          </w:tcPr>
          <w:p w14:paraId="2EDE08E3" w14:textId="77777777" w:rsidR="00016609" w:rsidRPr="009A3AE9" w:rsidRDefault="00016609" w:rsidP="004D10D6">
            <w:pPr>
              <w:pStyle w:val="TableText0"/>
              <w:keepLines/>
              <w:jc w:val="center"/>
            </w:pPr>
            <w:r w:rsidRPr="009A3AE9">
              <w:t>262/370 (70.81%)</w:t>
            </w:r>
          </w:p>
        </w:tc>
        <w:tc>
          <w:tcPr>
            <w:tcW w:w="718" w:type="pct"/>
          </w:tcPr>
          <w:p w14:paraId="1707B333" w14:textId="77777777" w:rsidR="00016609" w:rsidRPr="009A3AE9" w:rsidRDefault="00016609" w:rsidP="004D10D6">
            <w:pPr>
              <w:pStyle w:val="TableText0"/>
              <w:keepLines/>
              <w:jc w:val="center"/>
            </w:pPr>
            <w:r w:rsidRPr="009A3AE9">
              <w:t>258/379 (68.07%)</w:t>
            </w:r>
          </w:p>
        </w:tc>
        <w:tc>
          <w:tcPr>
            <w:tcW w:w="718" w:type="pct"/>
          </w:tcPr>
          <w:p w14:paraId="1D7270FD" w14:textId="77777777" w:rsidR="00016609" w:rsidRPr="009A3AE9" w:rsidRDefault="00016609" w:rsidP="004D10D6">
            <w:pPr>
              <w:pStyle w:val="TableText0"/>
              <w:keepLines/>
              <w:jc w:val="center"/>
            </w:pPr>
            <w:r w:rsidRPr="009A3AE9">
              <w:t>1.14</w:t>
            </w:r>
          </w:p>
          <w:p w14:paraId="4A655BFF" w14:textId="77777777" w:rsidR="00016609" w:rsidRPr="009A3AE9" w:rsidRDefault="00016609" w:rsidP="004D10D6">
            <w:pPr>
              <w:pStyle w:val="TableText0"/>
              <w:keepLines/>
              <w:jc w:val="center"/>
            </w:pPr>
            <w:r w:rsidRPr="009A3AE9">
              <w:t>[0.83, 1.55]</w:t>
            </w:r>
          </w:p>
        </w:tc>
        <w:tc>
          <w:tcPr>
            <w:tcW w:w="718" w:type="pct"/>
          </w:tcPr>
          <w:p w14:paraId="2D87276B" w14:textId="77777777" w:rsidR="00016609" w:rsidRPr="009A3AE9" w:rsidRDefault="00016609" w:rsidP="004D10D6">
            <w:pPr>
              <w:pStyle w:val="TableText0"/>
              <w:keepLines/>
              <w:jc w:val="center"/>
            </w:pPr>
            <w:r w:rsidRPr="009A3AE9">
              <w:t>1.04</w:t>
            </w:r>
          </w:p>
          <w:p w14:paraId="35000F49" w14:textId="77777777" w:rsidR="00016609" w:rsidRPr="009A3AE9" w:rsidRDefault="00016609" w:rsidP="004D10D6">
            <w:pPr>
              <w:pStyle w:val="TableText0"/>
              <w:keepLines/>
              <w:jc w:val="center"/>
            </w:pPr>
            <w:r w:rsidRPr="009A3AE9">
              <w:t>[0.95, 1.14]</w:t>
            </w:r>
          </w:p>
        </w:tc>
        <w:tc>
          <w:tcPr>
            <w:tcW w:w="716" w:type="pct"/>
          </w:tcPr>
          <w:p w14:paraId="5E572E12" w14:textId="77777777" w:rsidR="00016609" w:rsidRPr="009A3AE9" w:rsidRDefault="00016609" w:rsidP="004D10D6">
            <w:pPr>
              <w:pStyle w:val="TableText0"/>
              <w:keepLines/>
              <w:jc w:val="center"/>
            </w:pPr>
            <w:r w:rsidRPr="009A3AE9">
              <w:t>0.03</w:t>
            </w:r>
          </w:p>
          <w:p w14:paraId="518F5E7A" w14:textId="77777777" w:rsidR="00016609" w:rsidRPr="009A3AE9" w:rsidRDefault="00016609" w:rsidP="004D10D6">
            <w:pPr>
              <w:pStyle w:val="TableText0"/>
              <w:keepLines/>
              <w:jc w:val="center"/>
            </w:pPr>
            <w:r w:rsidRPr="009A3AE9">
              <w:t>[-0.04, 0.09]</w:t>
            </w:r>
          </w:p>
        </w:tc>
      </w:tr>
      <w:tr w:rsidR="00016609" w:rsidRPr="009A3AE9" w14:paraId="4321ECA8" w14:textId="77777777" w:rsidTr="008A05DD">
        <w:trPr>
          <w:trHeight w:val="255"/>
        </w:trPr>
        <w:tc>
          <w:tcPr>
            <w:tcW w:w="1412" w:type="pct"/>
          </w:tcPr>
          <w:p w14:paraId="17D56509" w14:textId="77777777" w:rsidR="00016609" w:rsidRPr="009A3AE9" w:rsidRDefault="00016609" w:rsidP="004D10D6">
            <w:pPr>
              <w:pStyle w:val="TableText0"/>
              <w:keepLines/>
            </w:pPr>
            <w:r w:rsidRPr="009A3AE9">
              <w:t>Drug-related SAEs</w:t>
            </w:r>
          </w:p>
        </w:tc>
        <w:tc>
          <w:tcPr>
            <w:tcW w:w="718" w:type="pct"/>
          </w:tcPr>
          <w:p w14:paraId="7091CB88" w14:textId="77777777" w:rsidR="00016609" w:rsidRPr="009A3AE9" w:rsidRDefault="00016609" w:rsidP="004D10D6">
            <w:pPr>
              <w:pStyle w:val="TableText0"/>
              <w:keepLines/>
              <w:jc w:val="center"/>
            </w:pPr>
            <w:r w:rsidRPr="009A3AE9">
              <w:t>98/370 (26.49%)</w:t>
            </w:r>
          </w:p>
        </w:tc>
        <w:tc>
          <w:tcPr>
            <w:tcW w:w="718" w:type="pct"/>
          </w:tcPr>
          <w:p w14:paraId="243A0244" w14:textId="77777777" w:rsidR="00016609" w:rsidRPr="009A3AE9" w:rsidRDefault="00016609" w:rsidP="004D10D6">
            <w:pPr>
              <w:pStyle w:val="TableText0"/>
              <w:keepLines/>
              <w:jc w:val="center"/>
            </w:pPr>
            <w:r w:rsidRPr="009A3AE9">
              <w:t>72/379 (19.00%)</w:t>
            </w:r>
          </w:p>
        </w:tc>
        <w:tc>
          <w:tcPr>
            <w:tcW w:w="718" w:type="pct"/>
          </w:tcPr>
          <w:p w14:paraId="6075A6DE" w14:textId="77777777" w:rsidR="00016609" w:rsidRPr="009A3AE9" w:rsidRDefault="00016609" w:rsidP="004D10D6">
            <w:pPr>
              <w:pStyle w:val="TableText0"/>
              <w:keepLines/>
              <w:jc w:val="center"/>
              <w:rPr>
                <w:b/>
                <w:bCs w:val="0"/>
              </w:rPr>
            </w:pPr>
            <w:r w:rsidRPr="009A3AE9">
              <w:rPr>
                <w:b/>
                <w:bCs w:val="0"/>
              </w:rPr>
              <w:t>1.54</w:t>
            </w:r>
          </w:p>
          <w:p w14:paraId="1C8F8D62" w14:textId="77777777" w:rsidR="00016609" w:rsidRPr="009A3AE9" w:rsidRDefault="00016609" w:rsidP="004D10D6">
            <w:pPr>
              <w:pStyle w:val="TableText0"/>
              <w:keepLines/>
              <w:jc w:val="center"/>
              <w:rPr>
                <w:b/>
                <w:bCs w:val="0"/>
              </w:rPr>
            </w:pPr>
            <w:r w:rsidRPr="009A3AE9">
              <w:rPr>
                <w:b/>
                <w:bCs w:val="0"/>
              </w:rPr>
              <w:t>[1.09, 2.17]</w:t>
            </w:r>
          </w:p>
        </w:tc>
        <w:tc>
          <w:tcPr>
            <w:tcW w:w="718" w:type="pct"/>
          </w:tcPr>
          <w:p w14:paraId="4A2FB04F" w14:textId="77777777" w:rsidR="00016609" w:rsidRPr="009A3AE9" w:rsidRDefault="00016609" w:rsidP="004D10D6">
            <w:pPr>
              <w:pStyle w:val="TableText0"/>
              <w:keepLines/>
              <w:jc w:val="center"/>
              <w:rPr>
                <w:b/>
                <w:bCs w:val="0"/>
              </w:rPr>
            </w:pPr>
            <w:r w:rsidRPr="009A3AE9">
              <w:rPr>
                <w:b/>
                <w:bCs w:val="0"/>
              </w:rPr>
              <w:t>1.39</w:t>
            </w:r>
          </w:p>
          <w:p w14:paraId="228B9A06" w14:textId="77777777" w:rsidR="00016609" w:rsidRPr="009A3AE9" w:rsidRDefault="00016609" w:rsidP="004D10D6">
            <w:pPr>
              <w:pStyle w:val="TableText0"/>
              <w:keepLines/>
              <w:jc w:val="center"/>
              <w:rPr>
                <w:b/>
                <w:bCs w:val="0"/>
              </w:rPr>
            </w:pPr>
            <w:r w:rsidRPr="009A3AE9">
              <w:rPr>
                <w:b/>
                <w:bCs w:val="0"/>
              </w:rPr>
              <w:t>[1.07, 1.82]</w:t>
            </w:r>
          </w:p>
        </w:tc>
        <w:tc>
          <w:tcPr>
            <w:tcW w:w="716" w:type="pct"/>
          </w:tcPr>
          <w:p w14:paraId="60A08B0E" w14:textId="77777777" w:rsidR="00016609" w:rsidRPr="009A3AE9" w:rsidRDefault="00016609" w:rsidP="004D10D6">
            <w:pPr>
              <w:pStyle w:val="TableText0"/>
              <w:keepLines/>
              <w:jc w:val="center"/>
              <w:rPr>
                <w:b/>
                <w:bCs w:val="0"/>
              </w:rPr>
            </w:pPr>
            <w:r w:rsidRPr="009A3AE9">
              <w:rPr>
                <w:b/>
                <w:bCs w:val="0"/>
              </w:rPr>
              <w:t>0.07</w:t>
            </w:r>
          </w:p>
          <w:p w14:paraId="0A037EBE" w14:textId="77777777" w:rsidR="00016609" w:rsidRPr="009A3AE9" w:rsidRDefault="00016609" w:rsidP="004D10D6">
            <w:pPr>
              <w:pStyle w:val="TableText0"/>
              <w:keepLines/>
              <w:jc w:val="center"/>
              <w:rPr>
                <w:b/>
                <w:bCs w:val="0"/>
              </w:rPr>
            </w:pPr>
            <w:r w:rsidRPr="009A3AE9">
              <w:rPr>
                <w:b/>
                <w:bCs w:val="0"/>
              </w:rPr>
              <w:t>[0.01, 0.13]</w:t>
            </w:r>
          </w:p>
        </w:tc>
      </w:tr>
      <w:tr w:rsidR="00016609" w:rsidRPr="009A3AE9" w14:paraId="1F43A32B" w14:textId="77777777" w:rsidTr="00956744">
        <w:trPr>
          <w:trHeight w:val="242"/>
        </w:trPr>
        <w:tc>
          <w:tcPr>
            <w:tcW w:w="1412" w:type="pct"/>
          </w:tcPr>
          <w:p w14:paraId="0780B443" w14:textId="77777777" w:rsidR="00016609" w:rsidRPr="009A3AE9" w:rsidRDefault="00016609" w:rsidP="004D10D6">
            <w:pPr>
              <w:pStyle w:val="TableText0"/>
              <w:keepLines/>
            </w:pPr>
            <w:r w:rsidRPr="009A3AE9">
              <w:t>Drug-related TEAEs leading to treatment discontinuation</w:t>
            </w:r>
          </w:p>
        </w:tc>
        <w:tc>
          <w:tcPr>
            <w:tcW w:w="718" w:type="pct"/>
          </w:tcPr>
          <w:p w14:paraId="6F902FE6" w14:textId="77777777" w:rsidR="00016609" w:rsidRPr="009A3AE9" w:rsidRDefault="00016609" w:rsidP="004D10D6">
            <w:pPr>
              <w:pStyle w:val="TableText0"/>
              <w:keepLines/>
              <w:jc w:val="center"/>
            </w:pPr>
            <w:r w:rsidRPr="009A3AE9">
              <w:t>94/370 (25.41%)</w:t>
            </w:r>
          </w:p>
        </w:tc>
        <w:tc>
          <w:tcPr>
            <w:tcW w:w="718" w:type="pct"/>
          </w:tcPr>
          <w:p w14:paraId="098A884A" w14:textId="77777777" w:rsidR="00016609" w:rsidRPr="009A3AE9" w:rsidRDefault="00016609" w:rsidP="004D10D6">
            <w:pPr>
              <w:pStyle w:val="TableText0"/>
              <w:keepLines/>
              <w:jc w:val="center"/>
            </w:pPr>
            <w:r w:rsidRPr="009A3AE9">
              <w:t>88/379 (23.22%)</w:t>
            </w:r>
          </w:p>
        </w:tc>
        <w:tc>
          <w:tcPr>
            <w:tcW w:w="718" w:type="pct"/>
          </w:tcPr>
          <w:p w14:paraId="229B2A91" w14:textId="77777777" w:rsidR="00016609" w:rsidRPr="009A3AE9" w:rsidRDefault="00016609" w:rsidP="004D10D6">
            <w:pPr>
              <w:pStyle w:val="TableText0"/>
              <w:keepLines/>
              <w:jc w:val="center"/>
            </w:pPr>
            <w:r w:rsidRPr="009A3AE9">
              <w:t>1.13</w:t>
            </w:r>
          </w:p>
          <w:p w14:paraId="35BCD28B" w14:textId="77777777" w:rsidR="00016609" w:rsidRPr="009A3AE9" w:rsidRDefault="00016609" w:rsidP="004D10D6">
            <w:pPr>
              <w:pStyle w:val="TableText0"/>
              <w:keepLines/>
              <w:jc w:val="center"/>
            </w:pPr>
            <w:r w:rsidRPr="009A3AE9">
              <w:t>[0.81, 1.57]</w:t>
            </w:r>
          </w:p>
        </w:tc>
        <w:tc>
          <w:tcPr>
            <w:tcW w:w="718" w:type="pct"/>
          </w:tcPr>
          <w:p w14:paraId="27E5FE7B" w14:textId="77777777" w:rsidR="00016609" w:rsidRPr="009A3AE9" w:rsidRDefault="00016609" w:rsidP="004D10D6">
            <w:pPr>
              <w:pStyle w:val="TableText0"/>
              <w:keepLines/>
              <w:jc w:val="center"/>
            </w:pPr>
            <w:r w:rsidRPr="009A3AE9">
              <w:t>1.09</w:t>
            </w:r>
          </w:p>
          <w:p w14:paraId="3D60824F" w14:textId="77777777" w:rsidR="00016609" w:rsidRPr="009A3AE9" w:rsidRDefault="00016609" w:rsidP="004D10D6">
            <w:pPr>
              <w:pStyle w:val="TableText0"/>
              <w:keepLines/>
              <w:jc w:val="center"/>
            </w:pPr>
            <w:r w:rsidRPr="009A3AE9">
              <w:t>[0.85, 1.41]</w:t>
            </w:r>
          </w:p>
        </w:tc>
        <w:tc>
          <w:tcPr>
            <w:tcW w:w="716" w:type="pct"/>
          </w:tcPr>
          <w:p w14:paraId="3A73F16F" w14:textId="77777777" w:rsidR="00016609" w:rsidRPr="009A3AE9" w:rsidRDefault="00016609" w:rsidP="004D10D6">
            <w:pPr>
              <w:pStyle w:val="TableText0"/>
              <w:keepLines/>
              <w:jc w:val="center"/>
            </w:pPr>
            <w:r w:rsidRPr="009A3AE9">
              <w:t>0.02</w:t>
            </w:r>
          </w:p>
          <w:p w14:paraId="0D01F5E9" w14:textId="77777777" w:rsidR="00016609" w:rsidRPr="009A3AE9" w:rsidRDefault="00016609" w:rsidP="004D10D6">
            <w:pPr>
              <w:pStyle w:val="TableText0"/>
              <w:keepLines/>
              <w:jc w:val="center"/>
            </w:pPr>
            <w:r w:rsidRPr="009A3AE9">
              <w:t>[-0.04, 0.08]</w:t>
            </w:r>
          </w:p>
        </w:tc>
      </w:tr>
      <w:tr w:rsidR="00016609" w:rsidRPr="009A3AE9" w14:paraId="1D0134D2" w14:textId="77777777" w:rsidTr="00956744">
        <w:trPr>
          <w:trHeight w:val="242"/>
        </w:trPr>
        <w:tc>
          <w:tcPr>
            <w:tcW w:w="1412" w:type="pct"/>
          </w:tcPr>
          <w:p w14:paraId="00D772F4" w14:textId="77777777" w:rsidR="00016609" w:rsidRPr="009A3AE9" w:rsidRDefault="00016609" w:rsidP="004D10D6">
            <w:pPr>
              <w:pStyle w:val="TableText0"/>
              <w:keepLines/>
            </w:pPr>
            <w:r w:rsidRPr="009A3AE9">
              <w:t>Drug-related TEAEs leading to discontinuation of nal-IRI</w:t>
            </w:r>
          </w:p>
        </w:tc>
        <w:tc>
          <w:tcPr>
            <w:tcW w:w="718" w:type="pct"/>
          </w:tcPr>
          <w:p w14:paraId="6461B54F" w14:textId="77777777" w:rsidR="00016609" w:rsidRPr="009A3AE9" w:rsidRDefault="00016609" w:rsidP="004D10D6">
            <w:pPr>
              <w:pStyle w:val="TableText0"/>
              <w:keepLines/>
              <w:jc w:val="center"/>
            </w:pPr>
            <w:r w:rsidRPr="009A3AE9">
              <w:t>40/370 (10.81%)</w:t>
            </w:r>
          </w:p>
        </w:tc>
        <w:tc>
          <w:tcPr>
            <w:tcW w:w="718" w:type="pct"/>
          </w:tcPr>
          <w:p w14:paraId="13757A29" w14:textId="77777777" w:rsidR="00016609" w:rsidRPr="009A3AE9" w:rsidRDefault="00016609" w:rsidP="004D10D6">
            <w:pPr>
              <w:pStyle w:val="TableText0"/>
              <w:keepLines/>
              <w:jc w:val="center"/>
            </w:pPr>
            <w:r w:rsidRPr="009A3AE9">
              <w:t>NA</w:t>
            </w:r>
          </w:p>
        </w:tc>
        <w:tc>
          <w:tcPr>
            <w:tcW w:w="718" w:type="pct"/>
          </w:tcPr>
          <w:p w14:paraId="1CDC2966" w14:textId="77777777" w:rsidR="00016609" w:rsidRPr="009A3AE9" w:rsidRDefault="00016609" w:rsidP="004D10D6">
            <w:pPr>
              <w:pStyle w:val="TableText0"/>
              <w:keepLines/>
              <w:jc w:val="center"/>
            </w:pPr>
            <w:r w:rsidRPr="009A3AE9">
              <w:t>NE</w:t>
            </w:r>
          </w:p>
        </w:tc>
        <w:tc>
          <w:tcPr>
            <w:tcW w:w="718" w:type="pct"/>
          </w:tcPr>
          <w:p w14:paraId="452CF1DD" w14:textId="77777777" w:rsidR="00016609" w:rsidRPr="009A3AE9" w:rsidRDefault="00016609" w:rsidP="004D10D6">
            <w:pPr>
              <w:pStyle w:val="TableText0"/>
              <w:keepLines/>
              <w:jc w:val="center"/>
            </w:pPr>
            <w:r w:rsidRPr="009A3AE9">
              <w:t>NE</w:t>
            </w:r>
          </w:p>
        </w:tc>
        <w:tc>
          <w:tcPr>
            <w:tcW w:w="716" w:type="pct"/>
          </w:tcPr>
          <w:p w14:paraId="684793E2" w14:textId="77777777" w:rsidR="00016609" w:rsidRPr="009A3AE9" w:rsidRDefault="00016609" w:rsidP="004D10D6">
            <w:pPr>
              <w:pStyle w:val="TableText0"/>
              <w:keepLines/>
              <w:jc w:val="center"/>
            </w:pPr>
            <w:r w:rsidRPr="009A3AE9">
              <w:t>NE</w:t>
            </w:r>
          </w:p>
        </w:tc>
      </w:tr>
      <w:tr w:rsidR="00016609" w:rsidRPr="009A3AE9" w14:paraId="7009F61B" w14:textId="77777777" w:rsidTr="00956744">
        <w:trPr>
          <w:trHeight w:val="255"/>
        </w:trPr>
        <w:tc>
          <w:tcPr>
            <w:tcW w:w="1412" w:type="pct"/>
          </w:tcPr>
          <w:p w14:paraId="52542F75" w14:textId="77777777" w:rsidR="00016609" w:rsidRPr="009A3AE9" w:rsidRDefault="00016609" w:rsidP="004D10D6">
            <w:pPr>
              <w:pStyle w:val="TableText0"/>
              <w:keepLines/>
            </w:pPr>
            <w:r w:rsidRPr="009A3AE9">
              <w:t>Drug-related TEAEs leading to reduction of any IMP</w:t>
            </w:r>
          </w:p>
        </w:tc>
        <w:tc>
          <w:tcPr>
            <w:tcW w:w="718" w:type="pct"/>
          </w:tcPr>
          <w:p w14:paraId="02AD8D2D" w14:textId="77777777" w:rsidR="00016609" w:rsidRPr="009A3AE9" w:rsidRDefault="00016609" w:rsidP="004D10D6">
            <w:pPr>
              <w:pStyle w:val="TableText0"/>
              <w:keepLines/>
              <w:jc w:val="center"/>
            </w:pPr>
            <w:r w:rsidRPr="009A3AE9">
              <w:t>198/370 (53.51%)</w:t>
            </w:r>
          </w:p>
        </w:tc>
        <w:tc>
          <w:tcPr>
            <w:tcW w:w="718" w:type="pct"/>
          </w:tcPr>
          <w:p w14:paraId="570D9984" w14:textId="77777777" w:rsidR="00016609" w:rsidRPr="009A3AE9" w:rsidRDefault="00016609" w:rsidP="004D10D6">
            <w:pPr>
              <w:pStyle w:val="TableText0"/>
              <w:keepLines/>
              <w:jc w:val="center"/>
            </w:pPr>
            <w:r w:rsidRPr="009A3AE9">
              <w:t>184/379 (48.55%)</w:t>
            </w:r>
          </w:p>
        </w:tc>
        <w:tc>
          <w:tcPr>
            <w:tcW w:w="718" w:type="pct"/>
          </w:tcPr>
          <w:p w14:paraId="3FC73033" w14:textId="77777777" w:rsidR="00016609" w:rsidRPr="009A3AE9" w:rsidRDefault="00016609" w:rsidP="004D10D6">
            <w:pPr>
              <w:pStyle w:val="TableText0"/>
              <w:keepLines/>
              <w:jc w:val="center"/>
            </w:pPr>
            <w:r w:rsidRPr="009A3AE9">
              <w:t>1.22</w:t>
            </w:r>
          </w:p>
          <w:p w14:paraId="5790FDCD" w14:textId="77777777" w:rsidR="00016609" w:rsidRPr="009A3AE9" w:rsidRDefault="00016609" w:rsidP="004D10D6">
            <w:pPr>
              <w:pStyle w:val="TableText0"/>
              <w:keepLines/>
              <w:jc w:val="center"/>
            </w:pPr>
            <w:r w:rsidRPr="009A3AE9">
              <w:t>[0.92, 1.63]</w:t>
            </w:r>
          </w:p>
        </w:tc>
        <w:tc>
          <w:tcPr>
            <w:tcW w:w="718" w:type="pct"/>
          </w:tcPr>
          <w:p w14:paraId="7065832D" w14:textId="77777777" w:rsidR="00016609" w:rsidRPr="009A3AE9" w:rsidRDefault="00016609" w:rsidP="004D10D6">
            <w:pPr>
              <w:pStyle w:val="TableText0"/>
              <w:keepLines/>
              <w:jc w:val="center"/>
            </w:pPr>
            <w:r w:rsidRPr="009A3AE9">
              <w:t>1.10</w:t>
            </w:r>
          </w:p>
          <w:p w14:paraId="01665029" w14:textId="77777777" w:rsidR="00016609" w:rsidRPr="009A3AE9" w:rsidRDefault="00016609" w:rsidP="004D10D6">
            <w:pPr>
              <w:pStyle w:val="TableText0"/>
              <w:keepLines/>
              <w:jc w:val="center"/>
            </w:pPr>
            <w:r w:rsidRPr="009A3AE9">
              <w:t>[0.96, 1.27]</w:t>
            </w:r>
          </w:p>
        </w:tc>
        <w:tc>
          <w:tcPr>
            <w:tcW w:w="716" w:type="pct"/>
          </w:tcPr>
          <w:p w14:paraId="4D1DDD48" w14:textId="77777777" w:rsidR="00016609" w:rsidRPr="009A3AE9" w:rsidRDefault="00016609" w:rsidP="004D10D6">
            <w:pPr>
              <w:pStyle w:val="TableText0"/>
              <w:keepLines/>
              <w:jc w:val="center"/>
            </w:pPr>
            <w:r w:rsidRPr="009A3AE9">
              <w:t>0.05</w:t>
            </w:r>
          </w:p>
          <w:p w14:paraId="0DBEE954" w14:textId="77777777" w:rsidR="00016609" w:rsidRPr="009A3AE9" w:rsidRDefault="00016609" w:rsidP="004D10D6">
            <w:pPr>
              <w:pStyle w:val="TableText0"/>
              <w:keepLines/>
              <w:jc w:val="center"/>
            </w:pPr>
            <w:r w:rsidRPr="009A3AE9">
              <w:t>[-0.02, 0.12]</w:t>
            </w:r>
          </w:p>
        </w:tc>
      </w:tr>
      <w:tr w:rsidR="00016609" w:rsidRPr="009A3AE9" w14:paraId="37AE7BB8" w14:textId="77777777" w:rsidTr="00956744">
        <w:trPr>
          <w:trHeight w:val="255"/>
        </w:trPr>
        <w:tc>
          <w:tcPr>
            <w:tcW w:w="1412" w:type="pct"/>
          </w:tcPr>
          <w:p w14:paraId="49336BA9" w14:textId="77777777" w:rsidR="00016609" w:rsidRPr="009A3AE9" w:rsidRDefault="00016609" w:rsidP="004D10D6">
            <w:pPr>
              <w:pStyle w:val="TableText0"/>
              <w:keepLines/>
            </w:pPr>
            <w:r w:rsidRPr="009A3AE9">
              <w:t>Drug-related TEAEs leading to interruption of any IMP</w:t>
            </w:r>
          </w:p>
        </w:tc>
        <w:tc>
          <w:tcPr>
            <w:tcW w:w="718" w:type="pct"/>
          </w:tcPr>
          <w:p w14:paraId="54B603FE" w14:textId="77777777" w:rsidR="00016609" w:rsidRPr="009A3AE9" w:rsidRDefault="00016609" w:rsidP="004D10D6">
            <w:pPr>
              <w:pStyle w:val="TableText0"/>
              <w:keepLines/>
              <w:jc w:val="center"/>
            </w:pPr>
            <w:r w:rsidRPr="009A3AE9">
              <w:t>12/370 (3.24%)</w:t>
            </w:r>
          </w:p>
        </w:tc>
        <w:tc>
          <w:tcPr>
            <w:tcW w:w="718" w:type="pct"/>
          </w:tcPr>
          <w:p w14:paraId="65C3F9B1" w14:textId="77777777" w:rsidR="00016609" w:rsidRPr="009A3AE9" w:rsidRDefault="00016609" w:rsidP="004D10D6">
            <w:pPr>
              <w:pStyle w:val="TableText0"/>
              <w:keepLines/>
              <w:jc w:val="center"/>
            </w:pPr>
            <w:r w:rsidRPr="009A3AE9">
              <w:t>3/379</w:t>
            </w:r>
          </w:p>
          <w:p w14:paraId="2A4EF403" w14:textId="77777777" w:rsidR="00016609" w:rsidRPr="009A3AE9" w:rsidRDefault="00016609" w:rsidP="004D10D6">
            <w:pPr>
              <w:pStyle w:val="TableText0"/>
              <w:keepLines/>
              <w:jc w:val="center"/>
            </w:pPr>
            <w:r w:rsidRPr="009A3AE9">
              <w:t>(0.79%)</w:t>
            </w:r>
          </w:p>
        </w:tc>
        <w:tc>
          <w:tcPr>
            <w:tcW w:w="718" w:type="pct"/>
          </w:tcPr>
          <w:p w14:paraId="31F3E278" w14:textId="77777777" w:rsidR="00016609" w:rsidRPr="009A3AE9" w:rsidRDefault="00016609" w:rsidP="004D10D6">
            <w:pPr>
              <w:pStyle w:val="TableText0"/>
              <w:keepLines/>
              <w:jc w:val="center"/>
              <w:rPr>
                <w:b/>
                <w:bCs w:val="0"/>
              </w:rPr>
            </w:pPr>
            <w:r w:rsidRPr="009A3AE9">
              <w:rPr>
                <w:b/>
                <w:bCs w:val="0"/>
              </w:rPr>
              <w:t>4.20</w:t>
            </w:r>
          </w:p>
          <w:p w14:paraId="7443E517" w14:textId="77777777" w:rsidR="00016609" w:rsidRPr="009A3AE9" w:rsidRDefault="00016609" w:rsidP="004D10D6">
            <w:pPr>
              <w:pStyle w:val="TableText0"/>
              <w:keepLines/>
              <w:jc w:val="center"/>
              <w:rPr>
                <w:b/>
                <w:bCs w:val="0"/>
              </w:rPr>
            </w:pPr>
            <w:r w:rsidRPr="009A3AE9">
              <w:rPr>
                <w:b/>
                <w:bCs w:val="0"/>
              </w:rPr>
              <w:t>[1.18, 15.01]</w:t>
            </w:r>
          </w:p>
        </w:tc>
        <w:tc>
          <w:tcPr>
            <w:tcW w:w="718" w:type="pct"/>
          </w:tcPr>
          <w:p w14:paraId="6BB898D7" w14:textId="77777777" w:rsidR="00016609" w:rsidRPr="009A3AE9" w:rsidRDefault="00016609" w:rsidP="004D10D6">
            <w:pPr>
              <w:pStyle w:val="TableText0"/>
              <w:keepLines/>
              <w:jc w:val="center"/>
              <w:rPr>
                <w:b/>
                <w:bCs w:val="0"/>
              </w:rPr>
            </w:pPr>
            <w:r w:rsidRPr="009A3AE9">
              <w:rPr>
                <w:b/>
                <w:bCs w:val="0"/>
              </w:rPr>
              <w:t>4.10</w:t>
            </w:r>
          </w:p>
          <w:p w14:paraId="23CC691E" w14:textId="77777777" w:rsidR="00016609" w:rsidRPr="009A3AE9" w:rsidRDefault="00016609" w:rsidP="004D10D6">
            <w:pPr>
              <w:pStyle w:val="TableText0"/>
              <w:keepLines/>
              <w:jc w:val="center"/>
              <w:rPr>
                <w:b/>
                <w:bCs w:val="0"/>
              </w:rPr>
            </w:pPr>
            <w:r w:rsidRPr="009A3AE9">
              <w:rPr>
                <w:b/>
                <w:bCs w:val="0"/>
              </w:rPr>
              <w:t>[1.17, 14.40]</w:t>
            </w:r>
          </w:p>
        </w:tc>
        <w:tc>
          <w:tcPr>
            <w:tcW w:w="716" w:type="pct"/>
          </w:tcPr>
          <w:p w14:paraId="73E964DC" w14:textId="77777777" w:rsidR="00016609" w:rsidRPr="009A3AE9" w:rsidRDefault="00016609" w:rsidP="004D10D6">
            <w:pPr>
              <w:pStyle w:val="TableText0"/>
              <w:keepLines/>
              <w:jc w:val="center"/>
              <w:rPr>
                <w:b/>
                <w:bCs w:val="0"/>
              </w:rPr>
            </w:pPr>
            <w:r w:rsidRPr="009A3AE9">
              <w:rPr>
                <w:b/>
                <w:bCs w:val="0"/>
              </w:rPr>
              <w:t>0.02</w:t>
            </w:r>
          </w:p>
          <w:p w14:paraId="5BCF3844" w14:textId="77777777" w:rsidR="00016609" w:rsidRPr="009A3AE9" w:rsidRDefault="00016609" w:rsidP="004D10D6">
            <w:pPr>
              <w:pStyle w:val="TableText0"/>
              <w:keepLines/>
              <w:jc w:val="center"/>
              <w:rPr>
                <w:b/>
                <w:bCs w:val="0"/>
              </w:rPr>
            </w:pPr>
            <w:r w:rsidRPr="009A3AE9">
              <w:rPr>
                <w:b/>
                <w:bCs w:val="0"/>
              </w:rPr>
              <w:t>[0.00, 0.04]</w:t>
            </w:r>
          </w:p>
        </w:tc>
      </w:tr>
      <w:tr w:rsidR="00016609" w:rsidRPr="00456281" w14:paraId="48A31623" w14:textId="77777777" w:rsidTr="00956744">
        <w:trPr>
          <w:trHeight w:val="255"/>
        </w:trPr>
        <w:tc>
          <w:tcPr>
            <w:tcW w:w="1412" w:type="pct"/>
          </w:tcPr>
          <w:p w14:paraId="3BCD14B7" w14:textId="77777777" w:rsidR="00016609" w:rsidRPr="009A3AE9" w:rsidRDefault="00016609" w:rsidP="004D10D6">
            <w:pPr>
              <w:pStyle w:val="TableText0"/>
              <w:keepLines/>
            </w:pPr>
            <w:r w:rsidRPr="009A3AE9">
              <w:t>Drug-related TEAEs leading to death</w:t>
            </w:r>
          </w:p>
        </w:tc>
        <w:tc>
          <w:tcPr>
            <w:tcW w:w="718" w:type="pct"/>
          </w:tcPr>
          <w:p w14:paraId="45A08646" w14:textId="77777777" w:rsidR="00016609" w:rsidRPr="009A3AE9" w:rsidRDefault="00016609" w:rsidP="004D10D6">
            <w:pPr>
              <w:pStyle w:val="TableText0"/>
              <w:keepLines/>
              <w:jc w:val="center"/>
            </w:pPr>
            <w:r w:rsidRPr="009A3AE9">
              <w:t>6/370</w:t>
            </w:r>
          </w:p>
          <w:p w14:paraId="3A4C0472" w14:textId="77777777" w:rsidR="00016609" w:rsidRPr="009A3AE9" w:rsidRDefault="00016609" w:rsidP="004D10D6">
            <w:pPr>
              <w:pStyle w:val="TableText0"/>
              <w:keepLines/>
              <w:jc w:val="center"/>
            </w:pPr>
            <w:r w:rsidRPr="009A3AE9">
              <w:t>(1.62%)</w:t>
            </w:r>
          </w:p>
        </w:tc>
        <w:tc>
          <w:tcPr>
            <w:tcW w:w="718" w:type="pct"/>
          </w:tcPr>
          <w:p w14:paraId="11535B2A" w14:textId="77777777" w:rsidR="00016609" w:rsidRPr="009A3AE9" w:rsidRDefault="00016609" w:rsidP="004D10D6">
            <w:pPr>
              <w:pStyle w:val="TableText0"/>
              <w:keepLines/>
              <w:jc w:val="center"/>
            </w:pPr>
            <w:r w:rsidRPr="009A3AE9">
              <w:t>8/379</w:t>
            </w:r>
          </w:p>
          <w:p w14:paraId="45DD1441" w14:textId="77777777" w:rsidR="00016609" w:rsidRPr="009A3AE9" w:rsidRDefault="00016609" w:rsidP="004D10D6">
            <w:pPr>
              <w:pStyle w:val="TableText0"/>
              <w:keepLines/>
              <w:jc w:val="center"/>
            </w:pPr>
            <w:r w:rsidRPr="009A3AE9">
              <w:t>(2.11%)</w:t>
            </w:r>
          </w:p>
        </w:tc>
        <w:tc>
          <w:tcPr>
            <w:tcW w:w="718" w:type="pct"/>
          </w:tcPr>
          <w:p w14:paraId="4D5ECBB8" w14:textId="77777777" w:rsidR="00016609" w:rsidRPr="009A3AE9" w:rsidRDefault="00016609" w:rsidP="004D10D6">
            <w:pPr>
              <w:pStyle w:val="TableText0"/>
              <w:keepLines/>
              <w:jc w:val="center"/>
            </w:pPr>
            <w:r w:rsidRPr="009A3AE9">
              <w:t>0.76</w:t>
            </w:r>
          </w:p>
          <w:p w14:paraId="48BA1DF8" w14:textId="77777777" w:rsidR="00016609" w:rsidRPr="009A3AE9" w:rsidRDefault="00016609" w:rsidP="004D10D6">
            <w:pPr>
              <w:pStyle w:val="TableText0"/>
              <w:keepLines/>
              <w:jc w:val="center"/>
            </w:pPr>
            <w:r w:rsidRPr="009A3AE9">
              <w:t>[0.26, 2.22]</w:t>
            </w:r>
          </w:p>
        </w:tc>
        <w:tc>
          <w:tcPr>
            <w:tcW w:w="718" w:type="pct"/>
          </w:tcPr>
          <w:p w14:paraId="271CA1EA" w14:textId="77777777" w:rsidR="00016609" w:rsidRPr="009A3AE9" w:rsidRDefault="00016609" w:rsidP="004D10D6">
            <w:pPr>
              <w:pStyle w:val="TableText0"/>
              <w:keepLines/>
              <w:jc w:val="center"/>
            </w:pPr>
            <w:r w:rsidRPr="009A3AE9">
              <w:t>0.77</w:t>
            </w:r>
          </w:p>
          <w:p w14:paraId="107C5A4A" w14:textId="77777777" w:rsidR="00016609" w:rsidRPr="009A3AE9" w:rsidRDefault="00016609" w:rsidP="004D10D6">
            <w:pPr>
              <w:pStyle w:val="TableText0"/>
              <w:keepLines/>
              <w:jc w:val="center"/>
            </w:pPr>
            <w:r w:rsidRPr="009A3AE9">
              <w:t>[0.27, 2.19]</w:t>
            </w:r>
          </w:p>
        </w:tc>
        <w:tc>
          <w:tcPr>
            <w:tcW w:w="716" w:type="pct"/>
          </w:tcPr>
          <w:p w14:paraId="0DA078EA" w14:textId="77777777" w:rsidR="00016609" w:rsidRPr="009A3AE9" w:rsidRDefault="00016609" w:rsidP="004D10D6">
            <w:pPr>
              <w:pStyle w:val="TableText0"/>
              <w:keepLines/>
              <w:jc w:val="center"/>
            </w:pPr>
            <w:r w:rsidRPr="009A3AE9">
              <w:t>0.00</w:t>
            </w:r>
          </w:p>
          <w:p w14:paraId="604B6D0B" w14:textId="77777777" w:rsidR="00016609" w:rsidRPr="009A3AE9" w:rsidRDefault="00016609" w:rsidP="004D10D6">
            <w:pPr>
              <w:pStyle w:val="TableText0"/>
              <w:keepLines/>
              <w:jc w:val="center"/>
            </w:pPr>
            <w:r w:rsidRPr="009A3AE9">
              <w:t>[-0.02, 0.01]</w:t>
            </w:r>
          </w:p>
        </w:tc>
      </w:tr>
    </w:tbl>
    <w:p w14:paraId="33952012" w14:textId="77777777" w:rsidR="00016609" w:rsidRPr="00456281" w:rsidRDefault="00016609" w:rsidP="004D10D6">
      <w:pPr>
        <w:pStyle w:val="FooterTableFigure"/>
        <w:keepNext/>
        <w:keepLines/>
      </w:pPr>
      <w:r w:rsidRPr="00456281">
        <w:t>Source: Table 33 (adapted), p76 of submission.</w:t>
      </w:r>
    </w:p>
    <w:p w14:paraId="7AFC26D5" w14:textId="7F5401D3" w:rsidR="00016609" w:rsidRPr="00456281" w:rsidRDefault="00016609" w:rsidP="00016609">
      <w:pPr>
        <w:pStyle w:val="FooterTableFigure"/>
      </w:pPr>
      <w:r w:rsidRPr="00456281">
        <w:t xml:space="preserve">Abbreviations: AE, adverse event; CI, confidence interval; Gem+NabP, gemcitabine plus nanoparticle </w:t>
      </w:r>
      <w:r w:rsidR="00D83C9B" w:rsidRPr="00456281">
        <w:t>albumin-bound</w:t>
      </w:r>
      <w:r w:rsidRPr="00456281">
        <w:t xml:space="preserve"> paclitaxel; NALIRIFOX, 5-fluorouracil, Leucovorin/folinic acid, nanoliposomal irinotecan (nal-IRI), and oxaliplatin; OR, odds ratio; RD, risk difference; RR, relative risk; SAE, serious adverse event; TEAE, treatment emergent adverse event.</w:t>
      </w:r>
    </w:p>
    <w:p w14:paraId="366AA07B" w14:textId="17229F8C" w:rsidR="00016609" w:rsidRPr="00456281" w:rsidRDefault="00016609" w:rsidP="00016609">
      <w:pPr>
        <w:pStyle w:val="FooterTableFigure"/>
      </w:pPr>
      <w:r w:rsidRPr="00456281">
        <w:t xml:space="preserve">Note: Results in </w:t>
      </w:r>
      <w:r w:rsidRPr="00456281">
        <w:rPr>
          <w:b/>
          <w:bCs/>
        </w:rPr>
        <w:t>bold</w:t>
      </w:r>
      <w:r w:rsidRPr="00456281">
        <w:t xml:space="preserve"> indicate statistically significant difference (p &lt; 0.05) based on post hoc analyses. This analysis was not powered to detect statistical differences in the occurrence of safety events; apparent differences shown in relative measures of effect are exploratory only.</w:t>
      </w:r>
    </w:p>
    <w:bookmarkEnd w:id="81"/>
    <w:p w14:paraId="339B6620" w14:textId="7ABA0CA5" w:rsidR="00016609" w:rsidRPr="00456281" w:rsidRDefault="00016609" w:rsidP="00016609">
      <w:pPr>
        <w:pStyle w:val="3-BodyText"/>
      </w:pPr>
      <w:r w:rsidRPr="00456281">
        <w:t xml:space="preserve">Overall, the NALIRIFOX arm appears to have a higher incidence of drug-related TEAEs compared to the Gem+NabP arm across most categories including </w:t>
      </w:r>
      <w:r w:rsidR="0016735F" w:rsidRPr="00456281">
        <w:t xml:space="preserve">Grade </w:t>
      </w:r>
      <w:r w:rsidR="0016735F" w:rsidRPr="00456281">
        <w:rPr>
          <w:rFonts w:cstheme="minorHAnsi"/>
        </w:rPr>
        <w:t>≥</w:t>
      </w:r>
      <w:r w:rsidR="0016735F" w:rsidRPr="00456281">
        <w:t>3 TEAEs</w:t>
      </w:r>
      <w:r w:rsidRPr="00456281">
        <w:t xml:space="preserve"> (70.8% vs 68.1%), serious adverse events (</w:t>
      </w:r>
      <w:r w:rsidR="0016735F" w:rsidRPr="00456281">
        <w:t xml:space="preserve">SAEs; </w:t>
      </w:r>
      <w:r w:rsidRPr="00456281">
        <w:t xml:space="preserve">26.5% vs 19.0%), </w:t>
      </w:r>
      <w:r w:rsidR="0016735F" w:rsidRPr="00456281">
        <w:t>and TEAEs</w:t>
      </w:r>
      <w:r w:rsidRPr="00456281">
        <w:t xml:space="preserve"> leading </w:t>
      </w:r>
      <w:r w:rsidRPr="00456281">
        <w:lastRenderedPageBreak/>
        <w:t>to discontinuation (25.4% vs 23.2%), reduction (53.5% vs 48.6%) and interruption of treatment (3.2% vs 0.8%). The Gem+NabP arm had a higher incidence of drug-related TEAEs leading to death (2.1% vs 1.6%</w:t>
      </w:r>
      <w:r w:rsidR="0016735F" w:rsidRPr="00456281">
        <w:t>; 8 deaths versus 6 deaths</w:t>
      </w:r>
      <w:r w:rsidRPr="00456281">
        <w:t xml:space="preserve">). </w:t>
      </w:r>
      <w:r w:rsidR="00135862" w:rsidRPr="00456281">
        <w:t xml:space="preserve">A similar trend was observed </w:t>
      </w:r>
      <w:r w:rsidR="009D6AE8" w:rsidRPr="00456281">
        <w:t>for any cause of TEAEs</w:t>
      </w:r>
      <w:r w:rsidR="006C616B" w:rsidRPr="00456281">
        <w:t xml:space="preserve"> with slightly higher </w:t>
      </w:r>
      <w:r w:rsidR="00651B70" w:rsidRPr="00456281">
        <w:t xml:space="preserve">incidences </w:t>
      </w:r>
      <w:r w:rsidR="75625F3B" w:rsidRPr="00456281">
        <w:t xml:space="preserve">for NALIRIFOX </w:t>
      </w:r>
      <w:r w:rsidR="00651B70" w:rsidRPr="00456281">
        <w:t xml:space="preserve">across most </w:t>
      </w:r>
      <w:r w:rsidR="00215055" w:rsidRPr="00456281">
        <w:t>categories.</w:t>
      </w:r>
    </w:p>
    <w:p w14:paraId="6BA9B27D" w14:textId="38CBBD33" w:rsidR="00016609" w:rsidRPr="00456281" w:rsidRDefault="00016609" w:rsidP="00016609">
      <w:pPr>
        <w:pStyle w:val="3-BodyText"/>
        <w:rPr>
          <w:i/>
        </w:rPr>
      </w:pPr>
      <w:r w:rsidRPr="00456281">
        <w:t xml:space="preserve">Based on post hoc </w:t>
      </w:r>
      <w:r w:rsidR="00C652F2" w:rsidRPr="00456281">
        <w:t>analyses</w:t>
      </w:r>
      <w:r w:rsidRPr="00456281">
        <w:t xml:space="preserve">, there were statistically significantly more patients in the NALIRIFOX arm who reported drug-related TEAEs leading to interruption of the treatment regimen (OR 4.20; 95% CI: 1.18, 15.01) and drug-related </w:t>
      </w:r>
      <w:r w:rsidR="0016735F" w:rsidRPr="00456281">
        <w:t>SAEs</w:t>
      </w:r>
      <w:r w:rsidRPr="00456281">
        <w:t xml:space="preserve"> (OR 1.54; 95% CI: 1.09, 2.17). </w:t>
      </w:r>
      <w:r w:rsidR="00CE7588" w:rsidRPr="00456281">
        <w:t xml:space="preserve">Similarly, </w:t>
      </w:r>
      <w:r w:rsidR="002179F4" w:rsidRPr="00456281">
        <w:t xml:space="preserve">any cause TEAES leading to interruption of the treatment regimen </w:t>
      </w:r>
      <w:r w:rsidR="0016735F" w:rsidRPr="00456281">
        <w:t xml:space="preserve">were </w:t>
      </w:r>
      <w:r w:rsidR="00181588" w:rsidRPr="00456281">
        <w:t xml:space="preserve">statistically significantly higher </w:t>
      </w:r>
      <w:r w:rsidR="7B44C37D" w:rsidRPr="00456281">
        <w:t xml:space="preserve">for </w:t>
      </w:r>
      <w:r w:rsidR="007E0389" w:rsidRPr="00456281">
        <w:t>NALIRIFOX compared to Gem+NabP</w:t>
      </w:r>
      <w:r w:rsidR="006F29AE" w:rsidRPr="00456281">
        <w:t xml:space="preserve"> (</w:t>
      </w:r>
      <w:r w:rsidR="003550EF" w:rsidRPr="00456281">
        <w:t xml:space="preserve">OR </w:t>
      </w:r>
      <w:r w:rsidR="006F29AE" w:rsidRPr="00456281">
        <w:t>4.24</w:t>
      </w:r>
      <w:r w:rsidR="003550EF" w:rsidRPr="00456281">
        <w:t xml:space="preserve">; </w:t>
      </w:r>
      <w:r w:rsidR="006F29AE" w:rsidRPr="00456281">
        <w:t>95</w:t>
      </w:r>
      <w:r w:rsidR="003550EF" w:rsidRPr="00456281">
        <w:t xml:space="preserve">% CI: </w:t>
      </w:r>
      <w:r w:rsidR="006F29AE" w:rsidRPr="00456281">
        <w:t>1.40, 12.80</w:t>
      </w:r>
      <w:r w:rsidR="003550EF" w:rsidRPr="00456281">
        <w:t>)</w:t>
      </w:r>
      <w:r w:rsidR="00675060" w:rsidRPr="00456281">
        <w:t>.</w:t>
      </w:r>
      <w:r w:rsidR="00181588" w:rsidRPr="00456281">
        <w:rPr>
          <w:i/>
          <w:iCs/>
        </w:rPr>
        <w:t xml:space="preserve"> </w:t>
      </w:r>
    </w:p>
    <w:p w14:paraId="20D6A26E" w14:textId="2EB0369D" w:rsidR="00233809" w:rsidRPr="00456281" w:rsidRDefault="004117A0" w:rsidP="00233809">
      <w:pPr>
        <w:pStyle w:val="3-BodyText"/>
      </w:pPr>
      <w:r w:rsidRPr="00456281">
        <w:t>Summaries</w:t>
      </w:r>
      <w:r w:rsidR="00233809" w:rsidRPr="00456281">
        <w:t xml:space="preserve"> of the most frequently reported individual </w:t>
      </w:r>
      <w:r w:rsidRPr="00456281">
        <w:t xml:space="preserve">all-cause and </w:t>
      </w:r>
      <w:r w:rsidR="00233809" w:rsidRPr="00456281">
        <w:t xml:space="preserve">drug-related Grade </w:t>
      </w:r>
      <w:r w:rsidR="00CB31D1" w:rsidRPr="00456281">
        <w:t>3</w:t>
      </w:r>
      <w:r w:rsidR="006B5179" w:rsidRPr="00456281">
        <w:t>-4</w:t>
      </w:r>
      <w:r w:rsidR="00CB31D1" w:rsidRPr="00456281">
        <w:t xml:space="preserve"> </w:t>
      </w:r>
      <w:r w:rsidR="00233809" w:rsidRPr="00456281">
        <w:t xml:space="preserve">TEAEs </w:t>
      </w:r>
      <w:r w:rsidR="00052DE2" w:rsidRPr="00456281">
        <w:t>with a difference in incidence between treatment arms of ≥</w:t>
      </w:r>
      <w:r w:rsidR="00157A47" w:rsidRPr="00456281">
        <w:t> </w:t>
      </w:r>
      <w:r w:rsidR="00052DE2" w:rsidRPr="00456281">
        <w:t xml:space="preserve">2% </w:t>
      </w:r>
      <w:r w:rsidR="00F12922" w:rsidRPr="00456281">
        <w:t xml:space="preserve">are </w:t>
      </w:r>
      <w:r w:rsidR="00233809" w:rsidRPr="00456281">
        <w:t xml:space="preserve">presented in </w:t>
      </w:r>
      <w:r w:rsidRPr="00456281">
        <w:fldChar w:fldCharType="begin"/>
      </w:r>
      <w:r w:rsidRPr="00456281">
        <w:instrText xml:space="preserve"> REF _Ref159405819 \h </w:instrText>
      </w:r>
      <w:r w:rsidRPr="00456281">
        <w:fldChar w:fldCharType="separate"/>
      </w:r>
      <w:r w:rsidR="00EE5AD4" w:rsidRPr="00456281">
        <w:t xml:space="preserve">Table </w:t>
      </w:r>
      <w:r w:rsidR="00EE5AD4">
        <w:rPr>
          <w:noProof/>
        </w:rPr>
        <w:t>9</w:t>
      </w:r>
      <w:r w:rsidRPr="00456281">
        <w:fldChar w:fldCharType="end"/>
      </w:r>
      <w:r w:rsidRPr="00456281">
        <w:t xml:space="preserve"> and </w:t>
      </w:r>
      <w:r w:rsidR="00233809" w:rsidRPr="00456281">
        <w:fldChar w:fldCharType="begin"/>
      </w:r>
      <w:r w:rsidR="00233809" w:rsidRPr="00456281">
        <w:instrText xml:space="preserve"> REF _Ref156994563 \h </w:instrText>
      </w:r>
      <w:r w:rsidR="00233809" w:rsidRPr="00456281">
        <w:fldChar w:fldCharType="separate"/>
      </w:r>
      <w:r w:rsidR="00EE5AD4" w:rsidRPr="009A3AE9">
        <w:t xml:space="preserve">Table </w:t>
      </w:r>
      <w:r w:rsidR="00EE5AD4">
        <w:rPr>
          <w:noProof/>
        </w:rPr>
        <w:t>10</w:t>
      </w:r>
      <w:r w:rsidR="00233809" w:rsidRPr="00456281">
        <w:fldChar w:fldCharType="end"/>
      </w:r>
      <w:r w:rsidR="00233809" w:rsidRPr="00456281">
        <w:t>.</w:t>
      </w:r>
    </w:p>
    <w:p w14:paraId="64D2ABE5" w14:textId="35C9C587" w:rsidR="007F54D5" w:rsidRPr="00456281" w:rsidRDefault="007F54D5" w:rsidP="007F54D5">
      <w:pPr>
        <w:pStyle w:val="Caption"/>
      </w:pPr>
      <w:bookmarkStart w:id="82" w:name="_Ref159405819"/>
      <w:bookmarkStart w:id="83" w:name="_Hlk159417337"/>
      <w:r w:rsidRPr="00456281">
        <w:t xml:space="preserve">Table </w:t>
      </w:r>
      <w:r w:rsidR="00B75F7B">
        <w:fldChar w:fldCharType="begin"/>
      </w:r>
      <w:r w:rsidR="00B75F7B">
        <w:instrText xml:space="preserve"> SEQ Table \* ARABIC </w:instrText>
      </w:r>
      <w:r w:rsidR="00B75F7B">
        <w:fldChar w:fldCharType="separate"/>
      </w:r>
      <w:r w:rsidR="00EE5AD4">
        <w:rPr>
          <w:noProof/>
        </w:rPr>
        <w:t>9</w:t>
      </w:r>
      <w:r w:rsidR="00B75F7B">
        <w:fldChar w:fldCharType="end"/>
      </w:r>
      <w:bookmarkEnd w:id="82"/>
      <w:r w:rsidRPr="00456281">
        <w:t xml:space="preserve">: Summary of all-cause Grade 3-4 TEAEs by system organ class and preferred term </w:t>
      </w:r>
      <w:r w:rsidR="001F13A6" w:rsidRPr="00456281">
        <w:t xml:space="preserve">with a difference in incidence between treatment arms of ≥ 2% </w:t>
      </w:r>
      <w:r w:rsidRPr="00456281">
        <w:t>in the NAPOLI-3 trial</w:t>
      </w:r>
      <w:r w:rsidR="006101EB" w:rsidRPr="00456281">
        <w:t xml:space="preserve"> </w:t>
      </w:r>
      <w:r w:rsidRPr="00456281">
        <w:t>(Safety Population)</w:t>
      </w:r>
    </w:p>
    <w:tbl>
      <w:tblPr>
        <w:tblStyle w:val="TableGrid"/>
        <w:tblW w:w="0" w:type="auto"/>
        <w:tblLook w:val="04A0" w:firstRow="1" w:lastRow="0" w:firstColumn="1" w:lastColumn="0" w:noHBand="0" w:noVBand="1"/>
        <w:tblCaption w:val="Table 9: Summary of all-cause Grade 3-4 TEAEs by system organ class and preferred term with a difference in incidence between treatment arms of ≥ 2% in the NAPOLI-3 trial (Safety Population)"/>
      </w:tblPr>
      <w:tblGrid>
        <w:gridCol w:w="2088"/>
        <w:gridCol w:w="1494"/>
        <w:gridCol w:w="1492"/>
        <w:gridCol w:w="1224"/>
        <w:gridCol w:w="1224"/>
        <w:gridCol w:w="1495"/>
      </w:tblGrid>
      <w:tr w:rsidR="007F54D5" w:rsidRPr="00456281" w14:paraId="05F561CA" w14:textId="77777777" w:rsidTr="007F54D5">
        <w:trPr>
          <w:trHeight w:val="195"/>
          <w:tblHeader/>
        </w:trPr>
        <w:tc>
          <w:tcPr>
            <w:tcW w:w="2088" w:type="dxa"/>
            <w:vMerge w:val="restart"/>
            <w:shd w:val="clear" w:color="auto" w:fill="auto"/>
          </w:tcPr>
          <w:p w14:paraId="3432B0A2" w14:textId="77777777" w:rsidR="007F54D5" w:rsidRPr="00456281" w:rsidRDefault="007F54D5" w:rsidP="00360CB1">
            <w:pPr>
              <w:pStyle w:val="PBACTabletext"/>
              <w:keepNext w:val="0"/>
              <w:keepLines w:val="0"/>
              <w:spacing w:after="0"/>
              <w:rPr>
                <w:b/>
                <w:bCs/>
              </w:rPr>
            </w:pPr>
            <w:r w:rsidRPr="00456281">
              <w:rPr>
                <w:b/>
                <w:bCs/>
              </w:rPr>
              <w:t>AEs</w:t>
            </w:r>
          </w:p>
        </w:tc>
        <w:tc>
          <w:tcPr>
            <w:tcW w:w="1494" w:type="dxa"/>
            <w:shd w:val="clear" w:color="auto" w:fill="auto"/>
          </w:tcPr>
          <w:p w14:paraId="17AF1590" w14:textId="77777777" w:rsidR="007F54D5" w:rsidRPr="00456281" w:rsidRDefault="007F54D5" w:rsidP="00360CB1">
            <w:pPr>
              <w:pStyle w:val="PBACTabletext"/>
              <w:keepNext w:val="0"/>
              <w:keepLines w:val="0"/>
              <w:spacing w:after="0"/>
              <w:jc w:val="center"/>
              <w:rPr>
                <w:b/>
                <w:bCs/>
              </w:rPr>
            </w:pPr>
            <w:r w:rsidRPr="00456281">
              <w:rPr>
                <w:b/>
                <w:bCs/>
              </w:rPr>
              <w:t>NALIRIFOX</w:t>
            </w:r>
          </w:p>
        </w:tc>
        <w:tc>
          <w:tcPr>
            <w:tcW w:w="1492" w:type="dxa"/>
            <w:shd w:val="clear" w:color="auto" w:fill="auto"/>
          </w:tcPr>
          <w:p w14:paraId="32DAFF91" w14:textId="77777777" w:rsidR="007F54D5" w:rsidRPr="00456281" w:rsidRDefault="007F54D5" w:rsidP="00360CB1">
            <w:pPr>
              <w:pStyle w:val="PBACTabletext"/>
              <w:keepNext w:val="0"/>
              <w:keepLines w:val="0"/>
              <w:spacing w:after="0"/>
              <w:jc w:val="center"/>
              <w:rPr>
                <w:b/>
                <w:bCs/>
              </w:rPr>
            </w:pPr>
            <w:r w:rsidRPr="00456281">
              <w:rPr>
                <w:b/>
                <w:bCs/>
              </w:rPr>
              <w:t>Gem+NabP</w:t>
            </w:r>
          </w:p>
        </w:tc>
        <w:tc>
          <w:tcPr>
            <w:tcW w:w="1224" w:type="dxa"/>
            <w:shd w:val="clear" w:color="auto" w:fill="auto"/>
          </w:tcPr>
          <w:p w14:paraId="168B37BE" w14:textId="77777777" w:rsidR="007F54D5" w:rsidRPr="00456281" w:rsidRDefault="007F54D5" w:rsidP="00360CB1">
            <w:pPr>
              <w:pStyle w:val="PBACTabletext"/>
              <w:keepNext w:val="0"/>
              <w:keepLines w:val="0"/>
              <w:spacing w:after="0"/>
              <w:jc w:val="center"/>
              <w:rPr>
                <w:b/>
                <w:bCs/>
              </w:rPr>
            </w:pPr>
            <w:r w:rsidRPr="00456281">
              <w:rPr>
                <w:b/>
                <w:bCs/>
              </w:rPr>
              <w:t>OR [95% CI]</w:t>
            </w:r>
          </w:p>
        </w:tc>
        <w:tc>
          <w:tcPr>
            <w:tcW w:w="1224" w:type="dxa"/>
            <w:shd w:val="clear" w:color="auto" w:fill="auto"/>
          </w:tcPr>
          <w:p w14:paraId="75E6343C" w14:textId="77777777" w:rsidR="007F54D5" w:rsidRPr="00456281" w:rsidRDefault="007F54D5" w:rsidP="00360CB1">
            <w:pPr>
              <w:pStyle w:val="PBACTabletext"/>
              <w:keepNext w:val="0"/>
              <w:keepLines w:val="0"/>
              <w:spacing w:after="0"/>
              <w:jc w:val="center"/>
              <w:rPr>
                <w:b/>
                <w:bCs/>
              </w:rPr>
            </w:pPr>
            <w:r w:rsidRPr="00456281">
              <w:rPr>
                <w:b/>
                <w:bCs/>
              </w:rPr>
              <w:t>RR [95% CI]</w:t>
            </w:r>
          </w:p>
        </w:tc>
        <w:tc>
          <w:tcPr>
            <w:tcW w:w="1495" w:type="dxa"/>
            <w:shd w:val="clear" w:color="auto" w:fill="auto"/>
          </w:tcPr>
          <w:p w14:paraId="1B6ED530" w14:textId="77777777" w:rsidR="007F54D5" w:rsidRPr="00456281" w:rsidRDefault="007F54D5" w:rsidP="00360CB1">
            <w:pPr>
              <w:pStyle w:val="PBACTabletext"/>
              <w:keepNext w:val="0"/>
              <w:keepLines w:val="0"/>
              <w:spacing w:after="0"/>
              <w:jc w:val="center"/>
              <w:rPr>
                <w:b/>
                <w:bCs/>
              </w:rPr>
            </w:pPr>
            <w:r w:rsidRPr="00456281">
              <w:rPr>
                <w:b/>
                <w:bCs/>
              </w:rPr>
              <w:t>RD [95% CI]</w:t>
            </w:r>
          </w:p>
        </w:tc>
      </w:tr>
      <w:tr w:rsidR="007F54D5" w:rsidRPr="00456281" w14:paraId="2E511581" w14:textId="77777777" w:rsidTr="007F54D5">
        <w:trPr>
          <w:trHeight w:val="185"/>
          <w:tblHeader/>
        </w:trPr>
        <w:tc>
          <w:tcPr>
            <w:tcW w:w="2088" w:type="dxa"/>
            <w:vMerge/>
            <w:shd w:val="clear" w:color="auto" w:fill="auto"/>
          </w:tcPr>
          <w:p w14:paraId="31B54392" w14:textId="77777777" w:rsidR="007F54D5" w:rsidRPr="00456281" w:rsidRDefault="007F54D5" w:rsidP="00360CB1">
            <w:pPr>
              <w:pStyle w:val="PBACTabletext"/>
              <w:keepNext w:val="0"/>
              <w:keepLines w:val="0"/>
              <w:spacing w:after="0"/>
              <w:rPr>
                <w:b/>
                <w:bCs/>
              </w:rPr>
            </w:pPr>
          </w:p>
        </w:tc>
        <w:tc>
          <w:tcPr>
            <w:tcW w:w="1494" w:type="dxa"/>
            <w:shd w:val="clear" w:color="auto" w:fill="auto"/>
          </w:tcPr>
          <w:p w14:paraId="11EE12EE" w14:textId="77777777" w:rsidR="007F54D5" w:rsidRPr="00456281" w:rsidRDefault="007F54D5" w:rsidP="00360CB1">
            <w:pPr>
              <w:pStyle w:val="PBACTabletext"/>
              <w:keepNext w:val="0"/>
              <w:keepLines w:val="0"/>
              <w:spacing w:after="0"/>
              <w:jc w:val="center"/>
              <w:rPr>
                <w:b/>
                <w:bCs/>
              </w:rPr>
            </w:pPr>
            <w:r w:rsidRPr="00456281">
              <w:rPr>
                <w:b/>
                <w:bCs/>
              </w:rPr>
              <w:t>n /N (%)</w:t>
            </w:r>
          </w:p>
        </w:tc>
        <w:tc>
          <w:tcPr>
            <w:tcW w:w="1492" w:type="dxa"/>
            <w:shd w:val="clear" w:color="auto" w:fill="auto"/>
          </w:tcPr>
          <w:p w14:paraId="7558F499" w14:textId="77777777" w:rsidR="007F54D5" w:rsidRPr="00456281" w:rsidRDefault="007F54D5" w:rsidP="00360CB1">
            <w:pPr>
              <w:pStyle w:val="PBACTabletext"/>
              <w:keepNext w:val="0"/>
              <w:keepLines w:val="0"/>
              <w:spacing w:after="0"/>
              <w:jc w:val="center"/>
              <w:rPr>
                <w:b/>
                <w:bCs/>
              </w:rPr>
            </w:pPr>
            <w:r w:rsidRPr="00456281">
              <w:rPr>
                <w:b/>
                <w:bCs/>
              </w:rPr>
              <w:t>n /N (%)</w:t>
            </w:r>
          </w:p>
        </w:tc>
        <w:tc>
          <w:tcPr>
            <w:tcW w:w="2448" w:type="dxa"/>
            <w:gridSpan w:val="2"/>
            <w:shd w:val="clear" w:color="auto" w:fill="auto"/>
          </w:tcPr>
          <w:p w14:paraId="70AC7E00" w14:textId="77777777" w:rsidR="007F54D5" w:rsidRPr="00456281" w:rsidRDefault="007F54D5" w:rsidP="00360CB1">
            <w:pPr>
              <w:pStyle w:val="PBACTabletext"/>
              <w:keepNext w:val="0"/>
              <w:keepLines w:val="0"/>
              <w:spacing w:after="0"/>
              <w:jc w:val="center"/>
              <w:rPr>
                <w:b/>
                <w:bCs/>
              </w:rPr>
            </w:pPr>
            <w:r w:rsidRPr="00456281">
              <w:rPr>
                <w:b/>
                <w:bCs/>
              </w:rPr>
              <w:t>OR and RR &lt; 1 favours NALIRIFOX</w:t>
            </w:r>
          </w:p>
        </w:tc>
        <w:tc>
          <w:tcPr>
            <w:tcW w:w="1495" w:type="dxa"/>
            <w:shd w:val="clear" w:color="auto" w:fill="auto"/>
          </w:tcPr>
          <w:p w14:paraId="246ABFE9" w14:textId="77777777" w:rsidR="007F54D5" w:rsidRPr="00456281" w:rsidRDefault="007F54D5" w:rsidP="00360CB1">
            <w:pPr>
              <w:pStyle w:val="PBACTabletext"/>
              <w:keepNext w:val="0"/>
              <w:keepLines w:val="0"/>
              <w:spacing w:after="0"/>
              <w:jc w:val="center"/>
              <w:rPr>
                <w:b/>
                <w:bCs/>
              </w:rPr>
            </w:pPr>
            <w:r w:rsidRPr="00456281">
              <w:rPr>
                <w:b/>
                <w:bCs/>
              </w:rPr>
              <w:t>RD &lt; 0 favours NALIRIFOX</w:t>
            </w:r>
          </w:p>
        </w:tc>
      </w:tr>
      <w:tr w:rsidR="007F54D5" w:rsidRPr="00456281" w14:paraId="082EBA19" w14:textId="77777777" w:rsidTr="007F54D5">
        <w:trPr>
          <w:trHeight w:val="199"/>
        </w:trPr>
        <w:tc>
          <w:tcPr>
            <w:tcW w:w="2088" w:type="dxa"/>
          </w:tcPr>
          <w:p w14:paraId="498DAF76" w14:textId="0104F291" w:rsidR="007F54D5" w:rsidRPr="00456281" w:rsidRDefault="007F54D5" w:rsidP="00360CB1">
            <w:pPr>
              <w:pStyle w:val="TableText0"/>
              <w:keepNext w:val="0"/>
            </w:pPr>
            <w:r w:rsidRPr="00456281">
              <w:t>Any Grade 3-4 TEAEs</w:t>
            </w:r>
          </w:p>
        </w:tc>
        <w:tc>
          <w:tcPr>
            <w:tcW w:w="1494" w:type="dxa"/>
          </w:tcPr>
          <w:p w14:paraId="5B9128AB" w14:textId="680AE7C6" w:rsidR="007F54D5" w:rsidRPr="00456281" w:rsidRDefault="007F54D5" w:rsidP="00360CB1">
            <w:pPr>
              <w:pStyle w:val="TableText0"/>
              <w:keepNext w:val="0"/>
              <w:jc w:val="center"/>
            </w:pPr>
            <w:r w:rsidRPr="00456281">
              <w:t>322/370 (87.03%)</w:t>
            </w:r>
          </w:p>
        </w:tc>
        <w:tc>
          <w:tcPr>
            <w:tcW w:w="1492" w:type="dxa"/>
          </w:tcPr>
          <w:p w14:paraId="6AD20A0D" w14:textId="056A890D" w:rsidR="007F54D5" w:rsidRPr="00456281" w:rsidRDefault="007F54D5" w:rsidP="00360CB1">
            <w:pPr>
              <w:pStyle w:val="TableText0"/>
              <w:keepNext w:val="0"/>
              <w:jc w:val="center"/>
            </w:pPr>
            <w:r w:rsidRPr="00456281">
              <w:t>326/379 (86.02%)</w:t>
            </w:r>
          </w:p>
        </w:tc>
        <w:tc>
          <w:tcPr>
            <w:tcW w:w="1224" w:type="dxa"/>
          </w:tcPr>
          <w:p w14:paraId="63185D56" w14:textId="5732DA3D" w:rsidR="007F54D5" w:rsidRPr="00456281" w:rsidRDefault="007F54D5" w:rsidP="00360CB1">
            <w:pPr>
              <w:pStyle w:val="TableText0"/>
              <w:keepNext w:val="0"/>
              <w:jc w:val="center"/>
            </w:pPr>
            <w:r w:rsidRPr="00456281">
              <w:t>1.09</w:t>
            </w:r>
          </w:p>
          <w:p w14:paraId="0A69615E" w14:textId="38C18D20" w:rsidR="007F54D5" w:rsidRPr="00456281" w:rsidRDefault="007F54D5" w:rsidP="00360CB1">
            <w:pPr>
              <w:pStyle w:val="TableText0"/>
              <w:keepNext w:val="0"/>
              <w:jc w:val="center"/>
            </w:pPr>
            <w:r w:rsidRPr="00456281">
              <w:t>[0.72, 1.66]</w:t>
            </w:r>
          </w:p>
        </w:tc>
        <w:tc>
          <w:tcPr>
            <w:tcW w:w="1224" w:type="dxa"/>
          </w:tcPr>
          <w:p w14:paraId="744FD924" w14:textId="54EB2B34" w:rsidR="007F54D5" w:rsidRPr="00456281" w:rsidRDefault="007F54D5" w:rsidP="00360CB1">
            <w:pPr>
              <w:pStyle w:val="TableText0"/>
              <w:keepNext w:val="0"/>
              <w:jc w:val="center"/>
            </w:pPr>
            <w:r w:rsidRPr="00456281">
              <w:t>1.01</w:t>
            </w:r>
          </w:p>
          <w:p w14:paraId="46B9922B" w14:textId="364A3616" w:rsidR="007F54D5" w:rsidRPr="00456281" w:rsidRDefault="007F54D5" w:rsidP="00360CB1">
            <w:pPr>
              <w:pStyle w:val="TableText0"/>
              <w:keepNext w:val="0"/>
              <w:jc w:val="center"/>
            </w:pPr>
            <w:r w:rsidRPr="00456281">
              <w:t>[0.96, 1.07]</w:t>
            </w:r>
          </w:p>
        </w:tc>
        <w:tc>
          <w:tcPr>
            <w:tcW w:w="1495" w:type="dxa"/>
          </w:tcPr>
          <w:p w14:paraId="5809B525" w14:textId="5CE549F2" w:rsidR="007F54D5" w:rsidRPr="00456281" w:rsidRDefault="007F54D5" w:rsidP="00360CB1">
            <w:pPr>
              <w:pStyle w:val="TableText0"/>
              <w:keepNext w:val="0"/>
              <w:jc w:val="center"/>
            </w:pPr>
            <w:r w:rsidRPr="00456281">
              <w:t>0.01</w:t>
            </w:r>
          </w:p>
          <w:p w14:paraId="42BDD8B0" w14:textId="07772D67" w:rsidR="007F54D5" w:rsidRPr="00456281" w:rsidRDefault="007F54D5" w:rsidP="00360CB1">
            <w:pPr>
              <w:pStyle w:val="TableText0"/>
              <w:keepNext w:val="0"/>
              <w:jc w:val="center"/>
            </w:pPr>
            <w:r w:rsidRPr="00456281">
              <w:t>[-0.04, 0.06]</w:t>
            </w:r>
          </w:p>
        </w:tc>
      </w:tr>
      <w:tr w:rsidR="007F54D5" w:rsidRPr="00456281" w14:paraId="1D33D37A" w14:textId="77777777" w:rsidTr="007F54D5">
        <w:trPr>
          <w:trHeight w:val="195"/>
        </w:trPr>
        <w:tc>
          <w:tcPr>
            <w:tcW w:w="9017" w:type="dxa"/>
            <w:gridSpan w:val="6"/>
            <w:shd w:val="clear" w:color="auto" w:fill="auto"/>
          </w:tcPr>
          <w:p w14:paraId="77B2B0C1" w14:textId="77777777" w:rsidR="007F54D5" w:rsidRPr="00456281" w:rsidRDefault="007F54D5" w:rsidP="00360CB1">
            <w:pPr>
              <w:pStyle w:val="TableText0"/>
              <w:keepNext w:val="0"/>
              <w:rPr>
                <w:b/>
                <w:bCs w:val="0"/>
              </w:rPr>
            </w:pPr>
            <w:r w:rsidRPr="00456281">
              <w:rPr>
                <w:b/>
                <w:bCs w:val="0"/>
              </w:rPr>
              <w:t>Gastrointestinal disorders</w:t>
            </w:r>
          </w:p>
        </w:tc>
      </w:tr>
      <w:tr w:rsidR="007F54D5" w:rsidRPr="00456281" w14:paraId="43894A47" w14:textId="77777777" w:rsidTr="007F54D5">
        <w:trPr>
          <w:trHeight w:val="195"/>
        </w:trPr>
        <w:tc>
          <w:tcPr>
            <w:tcW w:w="2088" w:type="dxa"/>
          </w:tcPr>
          <w:p w14:paraId="6844B06E" w14:textId="77777777" w:rsidR="007F54D5" w:rsidRPr="00456281" w:rsidRDefault="007F54D5" w:rsidP="00360CB1">
            <w:pPr>
              <w:pStyle w:val="TableText0"/>
              <w:keepNext w:val="0"/>
            </w:pPr>
            <w:r w:rsidRPr="00456281">
              <w:t>Diarrhoea</w:t>
            </w:r>
          </w:p>
        </w:tc>
        <w:tc>
          <w:tcPr>
            <w:tcW w:w="1494" w:type="dxa"/>
          </w:tcPr>
          <w:p w14:paraId="55E9B278" w14:textId="34A15855" w:rsidR="004405EA" w:rsidRPr="00456281" w:rsidRDefault="007F54D5" w:rsidP="00360CB1">
            <w:pPr>
              <w:pStyle w:val="TableText0"/>
              <w:keepNext w:val="0"/>
              <w:jc w:val="center"/>
            </w:pPr>
            <w:r w:rsidRPr="00456281">
              <w:t>75/370</w:t>
            </w:r>
          </w:p>
          <w:p w14:paraId="2E31663F" w14:textId="1B779707" w:rsidR="007F54D5" w:rsidRPr="00456281" w:rsidRDefault="007F54D5" w:rsidP="00360CB1">
            <w:pPr>
              <w:pStyle w:val="TableText0"/>
              <w:keepNext w:val="0"/>
              <w:jc w:val="center"/>
            </w:pPr>
            <w:r w:rsidRPr="00456281">
              <w:t>(20.27%)</w:t>
            </w:r>
          </w:p>
        </w:tc>
        <w:tc>
          <w:tcPr>
            <w:tcW w:w="1492" w:type="dxa"/>
          </w:tcPr>
          <w:p w14:paraId="0C1ED443" w14:textId="2CC689ED" w:rsidR="004405EA" w:rsidRPr="00456281" w:rsidRDefault="007F54D5" w:rsidP="00360CB1">
            <w:pPr>
              <w:pStyle w:val="TableText0"/>
              <w:keepNext w:val="0"/>
              <w:jc w:val="center"/>
            </w:pPr>
            <w:r w:rsidRPr="00456281">
              <w:t>17/379</w:t>
            </w:r>
          </w:p>
          <w:p w14:paraId="382C4326" w14:textId="4A93332B" w:rsidR="007F54D5" w:rsidRPr="00456281" w:rsidRDefault="007F54D5" w:rsidP="00360CB1">
            <w:pPr>
              <w:pStyle w:val="TableText0"/>
              <w:keepNext w:val="0"/>
              <w:jc w:val="center"/>
            </w:pPr>
            <w:r w:rsidRPr="00456281">
              <w:t>(4.49%)</w:t>
            </w:r>
          </w:p>
        </w:tc>
        <w:tc>
          <w:tcPr>
            <w:tcW w:w="1224" w:type="dxa"/>
          </w:tcPr>
          <w:p w14:paraId="02727D4A" w14:textId="57A602CB" w:rsidR="004405EA" w:rsidRPr="00456281" w:rsidRDefault="007F54D5" w:rsidP="00360CB1">
            <w:pPr>
              <w:pStyle w:val="TableText0"/>
              <w:keepNext w:val="0"/>
              <w:jc w:val="center"/>
              <w:rPr>
                <w:b/>
                <w:bCs w:val="0"/>
              </w:rPr>
            </w:pPr>
            <w:r w:rsidRPr="00456281">
              <w:rPr>
                <w:b/>
                <w:bCs w:val="0"/>
              </w:rPr>
              <w:t>5.41</w:t>
            </w:r>
          </w:p>
          <w:p w14:paraId="1518CE7E" w14:textId="27F87A24" w:rsidR="007F54D5" w:rsidRPr="00456281" w:rsidRDefault="007F54D5" w:rsidP="00360CB1">
            <w:pPr>
              <w:pStyle w:val="TableText0"/>
              <w:keepNext w:val="0"/>
              <w:jc w:val="center"/>
              <w:rPr>
                <w:b/>
                <w:bCs w:val="0"/>
              </w:rPr>
            </w:pPr>
            <w:r w:rsidRPr="00456281">
              <w:rPr>
                <w:b/>
                <w:bCs w:val="0"/>
              </w:rPr>
              <w:t>[3.13, 9.37]</w:t>
            </w:r>
          </w:p>
        </w:tc>
        <w:tc>
          <w:tcPr>
            <w:tcW w:w="1224" w:type="dxa"/>
          </w:tcPr>
          <w:p w14:paraId="20514630" w14:textId="16C5FA58" w:rsidR="004405EA" w:rsidRPr="00456281" w:rsidRDefault="007F54D5" w:rsidP="00360CB1">
            <w:pPr>
              <w:pStyle w:val="TableText0"/>
              <w:keepNext w:val="0"/>
              <w:jc w:val="center"/>
              <w:rPr>
                <w:b/>
                <w:bCs w:val="0"/>
              </w:rPr>
            </w:pPr>
            <w:r w:rsidRPr="00456281">
              <w:rPr>
                <w:b/>
                <w:bCs w:val="0"/>
              </w:rPr>
              <w:t>4.52</w:t>
            </w:r>
          </w:p>
          <w:p w14:paraId="73B66866" w14:textId="2D43E267" w:rsidR="007F54D5" w:rsidRPr="00456281" w:rsidRDefault="007F54D5" w:rsidP="00360CB1">
            <w:pPr>
              <w:pStyle w:val="TableText0"/>
              <w:keepNext w:val="0"/>
              <w:jc w:val="center"/>
              <w:rPr>
                <w:b/>
                <w:bCs w:val="0"/>
              </w:rPr>
            </w:pPr>
            <w:r w:rsidRPr="00456281">
              <w:rPr>
                <w:b/>
                <w:bCs w:val="0"/>
              </w:rPr>
              <w:t>[2.72, 7.50]</w:t>
            </w:r>
          </w:p>
        </w:tc>
        <w:tc>
          <w:tcPr>
            <w:tcW w:w="1495" w:type="dxa"/>
          </w:tcPr>
          <w:p w14:paraId="7BFB6B2A" w14:textId="4421B838" w:rsidR="004405EA" w:rsidRPr="00456281" w:rsidRDefault="007F54D5" w:rsidP="00360CB1">
            <w:pPr>
              <w:pStyle w:val="TableText0"/>
              <w:keepNext w:val="0"/>
              <w:jc w:val="center"/>
              <w:rPr>
                <w:b/>
                <w:bCs w:val="0"/>
              </w:rPr>
            </w:pPr>
            <w:r w:rsidRPr="00456281">
              <w:rPr>
                <w:b/>
                <w:bCs w:val="0"/>
              </w:rPr>
              <w:t>0.16</w:t>
            </w:r>
          </w:p>
          <w:p w14:paraId="37D00CD6" w14:textId="410BC7C3" w:rsidR="007F54D5" w:rsidRPr="00456281" w:rsidRDefault="007F54D5" w:rsidP="00360CB1">
            <w:pPr>
              <w:pStyle w:val="TableText0"/>
              <w:keepNext w:val="0"/>
              <w:jc w:val="center"/>
              <w:rPr>
                <w:b/>
                <w:bCs w:val="0"/>
              </w:rPr>
            </w:pPr>
            <w:r w:rsidRPr="00456281">
              <w:rPr>
                <w:b/>
                <w:bCs w:val="0"/>
              </w:rPr>
              <w:t>[0.11, 0.20]</w:t>
            </w:r>
          </w:p>
        </w:tc>
      </w:tr>
      <w:tr w:rsidR="007F54D5" w:rsidRPr="00456281" w14:paraId="76FE58DB" w14:textId="77777777" w:rsidTr="007F54D5">
        <w:trPr>
          <w:trHeight w:val="195"/>
        </w:trPr>
        <w:tc>
          <w:tcPr>
            <w:tcW w:w="2088" w:type="dxa"/>
          </w:tcPr>
          <w:p w14:paraId="04F36C26" w14:textId="77777777" w:rsidR="007F54D5" w:rsidRPr="00456281" w:rsidRDefault="007F54D5" w:rsidP="00360CB1">
            <w:pPr>
              <w:pStyle w:val="TableText0"/>
              <w:keepNext w:val="0"/>
            </w:pPr>
            <w:r w:rsidRPr="00456281">
              <w:t>Nausea</w:t>
            </w:r>
          </w:p>
        </w:tc>
        <w:tc>
          <w:tcPr>
            <w:tcW w:w="1494" w:type="dxa"/>
          </w:tcPr>
          <w:p w14:paraId="144E71C0" w14:textId="77777777" w:rsidR="004405EA" w:rsidRPr="00456281" w:rsidRDefault="007F54D5" w:rsidP="00360CB1">
            <w:pPr>
              <w:pStyle w:val="TableText0"/>
              <w:keepNext w:val="0"/>
              <w:jc w:val="center"/>
            </w:pPr>
            <w:r w:rsidRPr="00456281">
              <w:t xml:space="preserve">44/370 </w:t>
            </w:r>
          </w:p>
          <w:p w14:paraId="0988A5EE" w14:textId="41D7F13C" w:rsidR="007F54D5" w:rsidRPr="00456281" w:rsidRDefault="007F54D5" w:rsidP="00360CB1">
            <w:pPr>
              <w:pStyle w:val="TableText0"/>
              <w:keepNext w:val="0"/>
              <w:jc w:val="center"/>
            </w:pPr>
            <w:r w:rsidRPr="00456281">
              <w:t>(11.89%)</w:t>
            </w:r>
          </w:p>
        </w:tc>
        <w:tc>
          <w:tcPr>
            <w:tcW w:w="1492" w:type="dxa"/>
          </w:tcPr>
          <w:p w14:paraId="7A6A2302" w14:textId="77777777" w:rsidR="004405EA" w:rsidRPr="00456281" w:rsidRDefault="007F54D5" w:rsidP="00360CB1">
            <w:pPr>
              <w:pStyle w:val="TableText0"/>
              <w:keepNext w:val="0"/>
              <w:jc w:val="center"/>
            </w:pPr>
            <w:r w:rsidRPr="00456281">
              <w:t xml:space="preserve">10/379 </w:t>
            </w:r>
          </w:p>
          <w:p w14:paraId="5A5250CF" w14:textId="048B989B" w:rsidR="007F54D5" w:rsidRPr="00456281" w:rsidRDefault="007F54D5" w:rsidP="00360CB1">
            <w:pPr>
              <w:pStyle w:val="TableText0"/>
              <w:keepNext w:val="0"/>
              <w:jc w:val="center"/>
            </w:pPr>
            <w:r w:rsidRPr="00456281">
              <w:t>(2.64%)</w:t>
            </w:r>
          </w:p>
        </w:tc>
        <w:tc>
          <w:tcPr>
            <w:tcW w:w="1224" w:type="dxa"/>
          </w:tcPr>
          <w:p w14:paraId="77F4794A" w14:textId="77777777" w:rsidR="004405EA" w:rsidRPr="00456281" w:rsidRDefault="007F54D5" w:rsidP="00360CB1">
            <w:pPr>
              <w:pStyle w:val="TableText0"/>
              <w:keepNext w:val="0"/>
              <w:jc w:val="center"/>
              <w:rPr>
                <w:b/>
                <w:bCs w:val="0"/>
              </w:rPr>
            </w:pPr>
            <w:r w:rsidRPr="00456281">
              <w:rPr>
                <w:b/>
                <w:bCs w:val="0"/>
              </w:rPr>
              <w:t xml:space="preserve">4.98 </w:t>
            </w:r>
          </w:p>
          <w:p w14:paraId="22F2FBA1" w14:textId="5D49EC20" w:rsidR="007F54D5" w:rsidRPr="00456281" w:rsidRDefault="007F54D5" w:rsidP="00360CB1">
            <w:pPr>
              <w:pStyle w:val="TableText0"/>
              <w:keepNext w:val="0"/>
              <w:jc w:val="center"/>
              <w:rPr>
                <w:b/>
                <w:bCs w:val="0"/>
              </w:rPr>
            </w:pPr>
            <w:r w:rsidRPr="00456281">
              <w:rPr>
                <w:b/>
                <w:bCs w:val="0"/>
              </w:rPr>
              <w:t>[2.47, 10.06]</w:t>
            </w:r>
          </w:p>
        </w:tc>
        <w:tc>
          <w:tcPr>
            <w:tcW w:w="1224" w:type="dxa"/>
          </w:tcPr>
          <w:p w14:paraId="18BC6613" w14:textId="77777777" w:rsidR="004405EA" w:rsidRPr="00456281" w:rsidRDefault="007F54D5" w:rsidP="00360CB1">
            <w:pPr>
              <w:pStyle w:val="TableText0"/>
              <w:keepNext w:val="0"/>
              <w:jc w:val="center"/>
              <w:rPr>
                <w:b/>
                <w:bCs w:val="0"/>
              </w:rPr>
            </w:pPr>
            <w:r w:rsidRPr="00456281">
              <w:rPr>
                <w:b/>
                <w:bCs w:val="0"/>
              </w:rPr>
              <w:t xml:space="preserve">4.51 </w:t>
            </w:r>
          </w:p>
          <w:p w14:paraId="5EAC0E94" w14:textId="43BF30B5" w:rsidR="007F54D5" w:rsidRPr="00456281" w:rsidRDefault="007F54D5" w:rsidP="00360CB1">
            <w:pPr>
              <w:pStyle w:val="TableText0"/>
              <w:keepNext w:val="0"/>
              <w:jc w:val="center"/>
              <w:rPr>
                <w:b/>
                <w:bCs w:val="0"/>
              </w:rPr>
            </w:pPr>
            <w:r w:rsidRPr="00456281">
              <w:rPr>
                <w:b/>
                <w:bCs w:val="0"/>
              </w:rPr>
              <w:t>[2.30, 8.82]</w:t>
            </w:r>
          </w:p>
        </w:tc>
        <w:tc>
          <w:tcPr>
            <w:tcW w:w="1495" w:type="dxa"/>
          </w:tcPr>
          <w:p w14:paraId="0BFCB34C" w14:textId="77777777" w:rsidR="004405EA" w:rsidRPr="00456281" w:rsidRDefault="007F54D5" w:rsidP="00360CB1">
            <w:pPr>
              <w:pStyle w:val="TableText0"/>
              <w:keepNext w:val="0"/>
              <w:jc w:val="center"/>
              <w:rPr>
                <w:b/>
                <w:bCs w:val="0"/>
              </w:rPr>
            </w:pPr>
            <w:r w:rsidRPr="00456281">
              <w:rPr>
                <w:b/>
                <w:bCs w:val="0"/>
              </w:rPr>
              <w:t xml:space="preserve">0.09 </w:t>
            </w:r>
          </w:p>
          <w:p w14:paraId="09B81B5C" w14:textId="57E51FAA" w:rsidR="007F54D5" w:rsidRPr="00456281" w:rsidRDefault="007F54D5" w:rsidP="00360CB1">
            <w:pPr>
              <w:pStyle w:val="TableText0"/>
              <w:keepNext w:val="0"/>
              <w:jc w:val="center"/>
              <w:rPr>
                <w:b/>
                <w:bCs w:val="0"/>
              </w:rPr>
            </w:pPr>
            <w:r w:rsidRPr="00456281">
              <w:rPr>
                <w:b/>
                <w:bCs w:val="0"/>
              </w:rPr>
              <w:t>[0.06, 0.13]</w:t>
            </w:r>
          </w:p>
        </w:tc>
      </w:tr>
      <w:tr w:rsidR="007F54D5" w:rsidRPr="00456281" w14:paraId="61367FE0" w14:textId="77777777" w:rsidTr="007F54D5">
        <w:trPr>
          <w:trHeight w:val="185"/>
        </w:trPr>
        <w:tc>
          <w:tcPr>
            <w:tcW w:w="2088" w:type="dxa"/>
          </w:tcPr>
          <w:p w14:paraId="16A3D1DB" w14:textId="77777777" w:rsidR="007F54D5" w:rsidRPr="00456281" w:rsidRDefault="007F54D5" w:rsidP="00360CB1">
            <w:pPr>
              <w:pStyle w:val="TableText0"/>
              <w:keepNext w:val="0"/>
            </w:pPr>
            <w:r w:rsidRPr="00456281">
              <w:t>Vomiting</w:t>
            </w:r>
          </w:p>
        </w:tc>
        <w:tc>
          <w:tcPr>
            <w:tcW w:w="1494" w:type="dxa"/>
          </w:tcPr>
          <w:p w14:paraId="52220756" w14:textId="77777777" w:rsidR="004405EA" w:rsidRPr="00456281" w:rsidRDefault="007F54D5" w:rsidP="00360CB1">
            <w:pPr>
              <w:pStyle w:val="TableText0"/>
              <w:keepNext w:val="0"/>
              <w:jc w:val="center"/>
            </w:pPr>
            <w:r w:rsidRPr="00456281">
              <w:t xml:space="preserve">26/370 </w:t>
            </w:r>
          </w:p>
          <w:p w14:paraId="25B6819F" w14:textId="0743E12C" w:rsidR="007F54D5" w:rsidRPr="00456281" w:rsidRDefault="007F54D5" w:rsidP="00360CB1">
            <w:pPr>
              <w:pStyle w:val="TableText0"/>
              <w:keepNext w:val="0"/>
              <w:jc w:val="center"/>
            </w:pPr>
            <w:r w:rsidRPr="00456281">
              <w:t>(7.03%)</w:t>
            </w:r>
          </w:p>
        </w:tc>
        <w:tc>
          <w:tcPr>
            <w:tcW w:w="1492" w:type="dxa"/>
          </w:tcPr>
          <w:p w14:paraId="2077D88F" w14:textId="77777777" w:rsidR="004405EA" w:rsidRPr="00456281" w:rsidRDefault="007F54D5" w:rsidP="00360CB1">
            <w:pPr>
              <w:pStyle w:val="TableText0"/>
              <w:keepNext w:val="0"/>
              <w:jc w:val="center"/>
            </w:pPr>
            <w:r w:rsidRPr="00456281">
              <w:t xml:space="preserve">8/379 </w:t>
            </w:r>
          </w:p>
          <w:p w14:paraId="65977A0A" w14:textId="20ACCE6C" w:rsidR="007F54D5" w:rsidRPr="00456281" w:rsidRDefault="007F54D5" w:rsidP="00360CB1">
            <w:pPr>
              <w:pStyle w:val="TableText0"/>
              <w:keepNext w:val="0"/>
              <w:jc w:val="center"/>
            </w:pPr>
            <w:r w:rsidRPr="00456281">
              <w:t>(2.11%)</w:t>
            </w:r>
          </w:p>
        </w:tc>
        <w:tc>
          <w:tcPr>
            <w:tcW w:w="1224" w:type="dxa"/>
          </w:tcPr>
          <w:p w14:paraId="19691920" w14:textId="77777777" w:rsidR="004405EA" w:rsidRPr="00456281" w:rsidRDefault="007F54D5" w:rsidP="00360CB1">
            <w:pPr>
              <w:pStyle w:val="TableText0"/>
              <w:keepNext w:val="0"/>
              <w:jc w:val="center"/>
              <w:rPr>
                <w:b/>
                <w:bCs w:val="0"/>
              </w:rPr>
            </w:pPr>
            <w:r w:rsidRPr="00456281">
              <w:rPr>
                <w:b/>
                <w:bCs w:val="0"/>
              </w:rPr>
              <w:t xml:space="preserve">3.51 </w:t>
            </w:r>
          </w:p>
          <w:p w14:paraId="7F31C432" w14:textId="6C126993" w:rsidR="007F54D5" w:rsidRPr="00456281" w:rsidRDefault="007F54D5" w:rsidP="00360CB1">
            <w:pPr>
              <w:pStyle w:val="TableText0"/>
              <w:keepNext w:val="0"/>
              <w:jc w:val="center"/>
              <w:rPr>
                <w:b/>
                <w:bCs w:val="0"/>
              </w:rPr>
            </w:pPr>
            <w:r w:rsidRPr="00456281">
              <w:rPr>
                <w:b/>
                <w:bCs w:val="0"/>
              </w:rPr>
              <w:t>[1.57, 7.85]</w:t>
            </w:r>
          </w:p>
        </w:tc>
        <w:tc>
          <w:tcPr>
            <w:tcW w:w="1224" w:type="dxa"/>
          </w:tcPr>
          <w:p w14:paraId="75C34561" w14:textId="77777777" w:rsidR="004405EA" w:rsidRPr="00456281" w:rsidRDefault="007F54D5" w:rsidP="00360CB1">
            <w:pPr>
              <w:pStyle w:val="TableText0"/>
              <w:keepNext w:val="0"/>
              <w:jc w:val="center"/>
              <w:rPr>
                <w:b/>
                <w:bCs w:val="0"/>
              </w:rPr>
            </w:pPr>
            <w:r w:rsidRPr="00456281">
              <w:rPr>
                <w:b/>
                <w:bCs w:val="0"/>
              </w:rPr>
              <w:t xml:space="preserve">3.33 </w:t>
            </w:r>
          </w:p>
          <w:p w14:paraId="3340A7F4" w14:textId="46D508E6" w:rsidR="007F54D5" w:rsidRPr="00456281" w:rsidRDefault="007F54D5" w:rsidP="00360CB1">
            <w:pPr>
              <w:pStyle w:val="TableText0"/>
              <w:keepNext w:val="0"/>
              <w:jc w:val="center"/>
              <w:rPr>
                <w:b/>
                <w:bCs w:val="0"/>
              </w:rPr>
            </w:pPr>
            <w:r w:rsidRPr="00456281">
              <w:rPr>
                <w:b/>
                <w:bCs w:val="0"/>
              </w:rPr>
              <w:t>[1.53, 7.26]</w:t>
            </w:r>
          </w:p>
        </w:tc>
        <w:tc>
          <w:tcPr>
            <w:tcW w:w="1495" w:type="dxa"/>
          </w:tcPr>
          <w:p w14:paraId="313638F5" w14:textId="77777777" w:rsidR="004405EA" w:rsidRPr="00456281" w:rsidRDefault="007F54D5" w:rsidP="00360CB1">
            <w:pPr>
              <w:pStyle w:val="TableText0"/>
              <w:keepNext w:val="0"/>
              <w:jc w:val="center"/>
              <w:rPr>
                <w:b/>
                <w:bCs w:val="0"/>
              </w:rPr>
            </w:pPr>
            <w:r w:rsidRPr="00456281">
              <w:rPr>
                <w:b/>
                <w:bCs w:val="0"/>
              </w:rPr>
              <w:t xml:space="preserve">0.05 </w:t>
            </w:r>
          </w:p>
          <w:p w14:paraId="527803CC" w14:textId="6BEAFE9A" w:rsidR="007F54D5" w:rsidRPr="00456281" w:rsidRDefault="007F54D5" w:rsidP="00360CB1">
            <w:pPr>
              <w:pStyle w:val="TableText0"/>
              <w:keepNext w:val="0"/>
              <w:jc w:val="center"/>
              <w:rPr>
                <w:b/>
                <w:bCs w:val="0"/>
              </w:rPr>
            </w:pPr>
            <w:r w:rsidRPr="00456281">
              <w:rPr>
                <w:b/>
                <w:bCs w:val="0"/>
              </w:rPr>
              <w:t>[0.02, 0.08]</w:t>
            </w:r>
          </w:p>
        </w:tc>
      </w:tr>
      <w:tr w:rsidR="007F54D5" w:rsidRPr="00456281" w14:paraId="795364BD" w14:textId="77777777" w:rsidTr="007F54D5">
        <w:trPr>
          <w:trHeight w:val="195"/>
        </w:trPr>
        <w:tc>
          <w:tcPr>
            <w:tcW w:w="2088" w:type="dxa"/>
          </w:tcPr>
          <w:p w14:paraId="02D49B41" w14:textId="70E8062A" w:rsidR="007F54D5" w:rsidRPr="00456281" w:rsidRDefault="007F54D5" w:rsidP="00360CB1">
            <w:pPr>
              <w:pStyle w:val="TableText0"/>
              <w:keepNext w:val="0"/>
            </w:pPr>
            <w:r w:rsidRPr="00456281">
              <w:t>Abdominal pain</w:t>
            </w:r>
          </w:p>
        </w:tc>
        <w:tc>
          <w:tcPr>
            <w:tcW w:w="1494" w:type="dxa"/>
          </w:tcPr>
          <w:p w14:paraId="04BEA23C" w14:textId="106A3392" w:rsidR="004405EA" w:rsidRPr="00456281" w:rsidRDefault="007F54D5" w:rsidP="00360CB1">
            <w:pPr>
              <w:pStyle w:val="TableText0"/>
              <w:keepNext w:val="0"/>
              <w:jc w:val="center"/>
            </w:pPr>
            <w:r w:rsidRPr="00456281">
              <w:t xml:space="preserve">16/370 </w:t>
            </w:r>
          </w:p>
          <w:p w14:paraId="3154CF27" w14:textId="55491CF0" w:rsidR="007F54D5" w:rsidRPr="00456281" w:rsidRDefault="007F54D5" w:rsidP="00360CB1">
            <w:pPr>
              <w:pStyle w:val="TableText0"/>
              <w:keepNext w:val="0"/>
              <w:jc w:val="center"/>
            </w:pPr>
            <w:r w:rsidRPr="00456281">
              <w:t>(4.32%)</w:t>
            </w:r>
          </w:p>
        </w:tc>
        <w:tc>
          <w:tcPr>
            <w:tcW w:w="1492" w:type="dxa"/>
          </w:tcPr>
          <w:p w14:paraId="0D888421" w14:textId="2D2828F0" w:rsidR="004405EA" w:rsidRPr="00456281" w:rsidRDefault="007F54D5" w:rsidP="00360CB1">
            <w:pPr>
              <w:pStyle w:val="TableText0"/>
              <w:keepNext w:val="0"/>
              <w:jc w:val="center"/>
            </w:pPr>
            <w:r w:rsidRPr="00456281">
              <w:t xml:space="preserve">14/379 </w:t>
            </w:r>
          </w:p>
          <w:p w14:paraId="1D9BCA0A" w14:textId="78B73A27" w:rsidR="007F54D5" w:rsidRPr="00456281" w:rsidRDefault="007F54D5" w:rsidP="00360CB1">
            <w:pPr>
              <w:pStyle w:val="TableText0"/>
              <w:keepNext w:val="0"/>
              <w:jc w:val="center"/>
            </w:pPr>
            <w:r w:rsidRPr="00456281">
              <w:t>(3.69%)</w:t>
            </w:r>
          </w:p>
        </w:tc>
        <w:tc>
          <w:tcPr>
            <w:tcW w:w="1224" w:type="dxa"/>
          </w:tcPr>
          <w:p w14:paraId="1AE4CD66" w14:textId="3F1F1FC4" w:rsidR="004405EA" w:rsidRPr="00456281" w:rsidRDefault="007F54D5" w:rsidP="00360CB1">
            <w:pPr>
              <w:pStyle w:val="TableText0"/>
              <w:keepNext w:val="0"/>
              <w:jc w:val="center"/>
            </w:pPr>
            <w:r w:rsidRPr="00456281">
              <w:t xml:space="preserve">1.18 </w:t>
            </w:r>
          </w:p>
          <w:p w14:paraId="7CA294F5" w14:textId="28127FDE" w:rsidR="007F54D5" w:rsidRPr="00456281" w:rsidRDefault="007F54D5" w:rsidP="00360CB1">
            <w:pPr>
              <w:pStyle w:val="TableText0"/>
              <w:keepNext w:val="0"/>
              <w:jc w:val="center"/>
            </w:pPr>
            <w:r w:rsidRPr="00456281">
              <w:t>[0.57, 2.45]</w:t>
            </w:r>
          </w:p>
        </w:tc>
        <w:tc>
          <w:tcPr>
            <w:tcW w:w="1224" w:type="dxa"/>
          </w:tcPr>
          <w:p w14:paraId="51FC0DA3" w14:textId="545E90FF" w:rsidR="004405EA" w:rsidRPr="00456281" w:rsidRDefault="007F54D5" w:rsidP="00360CB1">
            <w:pPr>
              <w:pStyle w:val="TableText0"/>
              <w:keepNext w:val="0"/>
              <w:jc w:val="center"/>
            </w:pPr>
            <w:r w:rsidRPr="00456281">
              <w:t xml:space="preserve">1.17 </w:t>
            </w:r>
          </w:p>
          <w:p w14:paraId="0439651B" w14:textId="4AED72E8" w:rsidR="007F54D5" w:rsidRPr="00456281" w:rsidRDefault="007F54D5" w:rsidP="00360CB1">
            <w:pPr>
              <w:pStyle w:val="TableText0"/>
              <w:keepNext w:val="0"/>
              <w:jc w:val="center"/>
            </w:pPr>
            <w:r w:rsidRPr="00456281">
              <w:t>[0.58, 2.36]</w:t>
            </w:r>
          </w:p>
        </w:tc>
        <w:tc>
          <w:tcPr>
            <w:tcW w:w="1495" w:type="dxa"/>
          </w:tcPr>
          <w:p w14:paraId="12C9D4B2" w14:textId="4D4D54D0" w:rsidR="004405EA" w:rsidRPr="00456281" w:rsidRDefault="007F54D5" w:rsidP="00360CB1">
            <w:pPr>
              <w:pStyle w:val="TableText0"/>
              <w:keepNext w:val="0"/>
              <w:jc w:val="center"/>
            </w:pPr>
            <w:r w:rsidRPr="00456281">
              <w:t xml:space="preserve">0.01 </w:t>
            </w:r>
          </w:p>
          <w:p w14:paraId="28E87814" w14:textId="2ABB8F66" w:rsidR="007F54D5" w:rsidRPr="00456281" w:rsidRDefault="007F54D5" w:rsidP="00360CB1">
            <w:pPr>
              <w:pStyle w:val="TableText0"/>
              <w:keepNext w:val="0"/>
              <w:jc w:val="center"/>
            </w:pPr>
            <w:r w:rsidRPr="00456281">
              <w:t>[-0.02, 0.03]</w:t>
            </w:r>
          </w:p>
        </w:tc>
      </w:tr>
      <w:tr w:rsidR="007F54D5" w:rsidRPr="00456281" w14:paraId="099C0A31" w14:textId="77777777" w:rsidTr="007F54D5">
        <w:trPr>
          <w:trHeight w:val="195"/>
        </w:trPr>
        <w:tc>
          <w:tcPr>
            <w:tcW w:w="9017" w:type="dxa"/>
            <w:gridSpan w:val="6"/>
            <w:shd w:val="clear" w:color="auto" w:fill="auto"/>
          </w:tcPr>
          <w:p w14:paraId="0F4C9FD3" w14:textId="77777777" w:rsidR="007F54D5" w:rsidRPr="00456281" w:rsidRDefault="007F54D5" w:rsidP="00360CB1">
            <w:pPr>
              <w:pStyle w:val="TableText0"/>
              <w:keepNext w:val="0"/>
              <w:rPr>
                <w:b/>
                <w:bCs w:val="0"/>
              </w:rPr>
            </w:pPr>
            <w:r w:rsidRPr="00456281">
              <w:rPr>
                <w:b/>
                <w:bCs w:val="0"/>
              </w:rPr>
              <w:t>General disorders and administration site conditions</w:t>
            </w:r>
          </w:p>
        </w:tc>
      </w:tr>
      <w:tr w:rsidR="007F54D5" w:rsidRPr="00456281" w14:paraId="58D27957" w14:textId="77777777" w:rsidTr="007F54D5">
        <w:trPr>
          <w:trHeight w:val="195"/>
        </w:trPr>
        <w:tc>
          <w:tcPr>
            <w:tcW w:w="2088" w:type="dxa"/>
          </w:tcPr>
          <w:p w14:paraId="423FB78B" w14:textId="63164BA9" w:rsidR="007F54D5" w:rsidRPr="00456281" w:rsidRDefault="007F54D5" w:rsidP="00360CB1">
            <w:pPr>
              <w:pStyle w:val="TableText0"/>
              <w:keepNext w:val="0"/>
            </w:pPr>
            <w:r w:rsidRPr="00456281">
              <w:t>Fatigue</w:t>
            </w:r>
          </w:p>
        </w:tc>
        <w:tc>
          <w:tcPr>
            <w:tcW w:w="1494" w:type="dxa"/>
          </w:tcPr>
          <w:p w14:paraId="13DC9292" w14:textId="64EB2FA0" w:rsidR="004405EA" w:rsidRPr="00456281" w:rsidRDefault="007F54D5" w:rsidP="00360CB1">
            <w:pPr>
              <w:pStyle w:val="TableText0"/>
              <w:keepNext w:val="0"/>
              <w:jc w:val="center"/>
            </w:pPr>
            <w:r w:rsidRPr="00456281">
              <w:t xml:space="preserve">23/370 </w:t>
            </w:r>
          </w:p>
          <w:p w14:paraId="21711CC0" w14:textId="2D8F0742" w:rsidR="007F54D5" w:rsidRPr="00456281" w:rsidRDefault="007F54D5" w:rsidP="00360CB1">
            <w:pPr>
              <w:pStyle w:val="TableText0"/>
              <w:keepNext w:val="0"/>
              <w:jc w:val="center"/>
            </w:pPr>
            <w:r w:rsidRPr="00456281">
              <w:t>(6.22%)</w:t>
            </w:r>
          </w:p>
        </w:tc>
        <w:tc>
          <w:tcPr>
            <w:tcW w:w="1492" w:type="dxa"/>
          </w:tcPr>
          <w:p w14:paraId="55DCB9F3" w14:textId="40DCF6C5" w:rsidR="004405EA" w:rsidRPr="00456281" w:rsidRDefault="007F54D5" w:rsidP="00360CB1">
            <w:pPr>
              <w:pStyle w:val="TableText0"/>
              <w:keepNext w:val="0"/>
              <w:jc w:val="center"/>
            </w:pPr>
            <w:r w:rsidRPr="00456281">
              <w:t xml:space="preserve">20/379 </w:t>
            </w:r>
          </w:p>
          <w:p w14:paraId="0B68AFA5" w14:textId="77F3CC77" w:rsidR="007F54D5" w:rsidRPr="00456281" w:rsidRDefault="007F54D5" w:rsidP="00360CB1">
            <w:pPr>
              <w:pStyle w:val="TableText0"/>
              <w:keepNext w:val="0"/>
              <w:jc w:val="center"/>
            </w:pPr>
            <w:r w:rsidRPr="00456281">
              <w:t>(5.28%)</w:t>
            </w:r>
          </w:p>
        </w:tc>
        <w:tc>
          <w:tcPr>
            <w:tcW w:w="1224" w:type="dxa"/>
          </w:tcPr>
          <w:p w14:paraId="5EE4F4CE" w14:textId="4EC8C574" w:rsidR="004405EA" w:rsidRPr="00456281" w:rsidRDefault="007F54D5" w:rsidP="00360CB1">
            <w:pPr>
              <w:pStyle w:val="TableText0"/>
              <w:keepNext w:val="0"/>
              <w:jc w:val="center"/>
            </w:pPr>
            <w:r w:rsidRPr="00456281">
              <w:t xml:space="preserve">1.19 </w:t>
            </w:r>
          </w:p>
          <w:p w14:paraId="4A2701C4" w14:textId="074BE1AA" w:rsidR="007F54D5" w:rsidRPr="00456281" w:rsidRDefault="007F54D5" w:rsidP="00360CB1">
            <w:pPr>
              <w:pStyle w:val="TableText0"/>
              <w:keepNext w:val="0"/>
              <w:jc w:val="center"/>
            </w:pPr>
            <w:r w:rsidRPr="00456281">
              <w:t>[0.64, 2.21]</w:t>
            </w:r>
          </w:p>
        </w:tc>
        <w:tc>
          <w:tcPr>
            <w:tcW w:w="1224" w:type="dxa"/>
          </w:tcPr>
          <w:p w14:paraId="33626D4E" w14:textId="2BBC3793" w:rsidR="004405EA" w:rsidRPr="00456281" w:rsidRDefault="007F54D5" w:rsidP="00360CB1">
            <w:pPr>
              <w:pStyle w:val="TableText0"/>
              <w:keepNext w:val="0"/>
              <w:jc w:val="center"/>
            </w:pPr>
            <w:r w:rsidRPr="00456281">
              <w:t xml:space="preserve">1.18 </w:t>
            </w:r>
          </w:p>
          <w:p w14:paraId="557B9837" w14:textId="6EACD99E" w:rsidR="007F54D5" w:rsidRPr="00456281" w:rsidRDefault="007F54D5" w:rsidP="00360CB1">
            <w:pPr>
              <w:pStyle w:val="TableText0"/>
              <w:keepNext w:val="0"/>
              <w:jc w:val="center"/>
            </w:pPr>
            <w:r w:rsidRPr="00456281">
              <w:t>[0.66, 2.11]</w:t>
            </w:r>
          </w:p>
        </w:tc>
        <w:tc>
          <w:tcPr>
            <w:tcW w:w="1495" w:type="dxa"/>
          </w:tcPr>
          <w:p w14:paraId="14D6CD2D" w14:textId="7A67934E" w:rsidR="004405EA" w:rsidRPr="00456281" w:rsidRDefault="007F54D5" w:rsidP="00360CB1">
            <w:pPr>
              <w:pStyle w:val="TableText0"/>
              <w:keepNext w:val="0"/>
              <w:jc w:val="center"/>
            </w:pPr>
            <w:r w:rsidRPr="00456281">
              <w:t xml:space="preserve">0.01 </w:t>
            </w:r>
          </w:p>
          <w:p w14:paraId="018B51EC" w14:textId="728B1117" w:rsidR="007F54D5" w:rsidRPr="00456281" w:rsidRDefault="007F54D5" w:rsidP="00360CB1">
            <w:pPr>
              <w:pStyle w:val="TableText0"/>
              <w:keepNext w:val="0"/>
              <w:jc w:val="center"/>
            </w:pPr>
            <w:r w:rsidRPr="00456281">
              <w:t>[-0.02, 0.04]</w:t>
            </w:r>
          </w:p>
        </w:tc>
      </w:tr>
      <w:tr w:rsidR="007F54D5" w:rsidRPr="00456281" w14:paraId="0F500644" w14:textId="77777777" w:rsidTr="007F54D5">
        <w:trPr>
          <w:trHeight w:val="185"/>
        </w:trPr>
        <w:tc>
          <w:tcPr>
            <w:tcW w:w="2088" w:type="dxa"/>
          </w:tcPr>
          <w:p w14:paraId="1D85D7B3" w14:textId="77777777" w:rsidR="007F54D5" w:rsidRPr="00456281" w:rsidRDefault="007F54D5" w:rsidP="00360CB1">
            <w:pPr>
              <w:pStyle w:val="TableText0"/>
              <w:keepNext w:val="0"/>
            </w:pPr>
            <w:r w:rsidRPr="00456281">
              <w:t>Asthenia</w:t>
            </w:r>
          </w:p>
        </w:tc>
        <w:tc>
          <w:tcPr>
            <w:tcW w:w="1494" w:type="dxa"/>
          </w:tcPr>
          <w:p w14:paraId="45E898E2" w14:textId="77777777" w:rsidR="004405EA" w:rsidRPr="00456281" w:rsidRDefault="007F54D5" w:rsidP="00360CB1">
            <w:pPr>
              <w:pStyle w:val="TableText0"/>
              <w:keepNext w:val="0"/>
              <w:jc w:val="center"/>
            </w:pPr>
            <w:r w:rsidRPr="00456281">
              <w:t xml:space="preserve">33/370 </w:t>
            </w:r>
          </w:p>
          <w:p w14:paraId="32B0ABD8" w14:textId="6FD12796" w:rsidR="007F54D5" w:rsidRPr="00456281" w:rsidRDefault="007F54D5" w:rsidP="00360CB1">
            <w:pPr>
              <w:pStyle w:val="TableText0"/>
              <w:keepNext w:val="0"/>
              <w:jc w:val="center"/>
            </w:pPr>
            <w:r w:rsidRPr="00456281">
              <w:t>(8.92%)</w:t>
            </w:r>
          </w:p>
        </w:tc>
        <w:tc>
          <w:tcPr>
            <w:tcW w:w="1492" w:type="dxa"/>
          </w:tcPr>
          <w:p w14:paraId="216E0DAC" w14:textId="77777777" w:rsidR="004405EA" w:rsidRPr="00456281" w:rsidRDefault="007F54D5" w:rsidP="00360CB1">
            <w:pPr>
              <w:pStyle w:val="TableText0"/>
              <w:keepNext w:val="0"/>
              <w:jc w:val="center"/>
            </w:pPr>
            <w:r w:rsidRPr="00456281">
              <w:t xml:space="preserve">19/379 </w:t>
            </w:r>
          </w:p>
          <w:p w14:paraId="3EBD51B0" w14:textId="6B4A6E15" w:rsidR="007F54D5" w:rsidRPr="00456281" w:rsidRDefault="007F54D5" w:rsidP="00360CB1">
            <w:pPr>
              <w:pStyle w:val="TableText0"/>
              <w:keepNext w:val="0"/>
              <w:jc w:val="center"/>
            </w:pPr>
            <w:r w:rsidRPr="00456281">
              <w:t>(5.01%)</w:t>
            </w:r>
          </w:p>
        </w:tc>
        <w:tc>
          <w:tcPr>
            <w:tcW w:w="1224" w:type="dxa"/>
          </w:tcPr>
          <w:p w14:paraId="27494469" w14:textId="77777777" w:rsidR="004405EA" w:rsidRPr="00456281" w:rsidRDefault="007F54D5" w:rsidP="00360CB1">
            <w:pPr>
              <w:pStyle w:val="TableText0"/>
              <w:keepNext w:val="0"/>
              <w:jc w:val="center"/>
              <w:rPr>
                <w:b/>
                <w:bCs w:val="0"/>
              </w:rPr>
            </w:pPr>
            <w:r w:rsidRPr="00456281">
              <w:rPr>
                <w:b/>
                <w:bCs w:val="0"/>
              </w:rPr>
              <w:t xml:space="preserve">1.86 </w:t>
            </w:r>
          </w:p>
          <w:p w14:paraId="7FF3AD11" w14:textId="66A37195" w:rsidR="007F54D5" w:rsidRPr="00456281" w:rsidRDefault="007F54D5" w:rsidP="00360CB1">
            <w:pPr>
              <w:pStyle w:val="TableText0"/>
              <w:keepNext w:val="0"/>
              <w:jc w:val="center"/>
              <w:rPr>
                <w:b/>
                <w:bCs w:val="0"/>
              </w:rPr>
            </w:pPr>
            <w:r w:rsidRPr="00456281">
              <w:rPr>
                <w:b/>
                <w:bCs w:val="0"/>
              </w:rPr>
              <w:t>[1.04, 3.33]</w:t>
            </w:r>
          </w:p>
        </w:tc>
        <w:tc>
          <w:tcPr>
            <w:tcW w:w="1224" w:type="dxa"/>
          </w:tcPr>
          <w:p w14:paraId="4C6D0B33" w14:textId="77777777" w:rsidR="004405EA" w:rsidRPr="00456281" w:rsidRDefault="007F54D5" w:rsidP="00360CB1">
            <w:pPr>
              <w:pStyle w:val="TableText0"/>
              <w:keepNext w:val="0"/>
              <w:jc w:val="center"/>
              <w:rPr>
                <w:b/>
                <w:bCs w:val="0"/>
              </w:rPr>
            </w:pPr>
            <w:r w:rsidRPr="00456281">
              <w:rPr>
                <w:b/>
                <w:bCs w:val="0"/>
              </w:rPr>
              <w:t xml:space="preserve">1.78 </w:t>
            </w:r>
          </w:p>
          <w:p w14:paraId="4243671A" w14:textId="2186D383" w:rsidR="007F54D5" w:rsidRPr="00456281" w:rsidRDefault="007F54D5" w:rsidP="00360CB1">
            <w:pPr>
              <w:pStyle w:val="TableText0"/>
              <w:keepNext w:val="0"/>
              <w:jc w:val="center"/>
              <w:rPr>
                <w:b/>
                <w:bCs w:val="0"/>
              </w:rPr>
            </w:pPr>
            <w:r w:rsidRPr="00456281">
              <w:rPr>
                <w:b/>
                <w:bCs w:val="0"/>
              </w:rPr>
              <w:t>[1.03, 3.07]</w:t>
            </w:r>
          </w:p>
        </w:tc>
        <w:tc>
          <w:tcPr>
            <w:tcW w:w="1495" w:type="dxa"/>
          </w:tcPr>
          <w:p w14:paraId="4DE7DC2E" w14:textId="77777777" w:rsidR="004405EA" w:rsidRPr="00456281" w:rsidRDefault="007F54D5" w:rsidP="00360CB1">
            <w:pPr>
              <w:pStyle w:val="TableText0"/>
              <w:keepNext w:val="0"/>
              <w:jc w:val="center"/>
              <w:rPr>
                <w:b/>
                <w:bCs w:val="0"/>
              </w:rPr>
            </w:pPr>
            <w:r w:rsidRPr="00456281">
              <w:rPr>
                <w:b/>
                <w:bCs w:val="0"/>
              </w:rPr>
              <w:t xml:space="preserve">0.04 </w:t>
            </w:r>
          </w:p>
          <w:p w14:paraId="2ED72916" w14:textId="5DE8FABC" w:rsidR="007F54D5" w:rsidRPr="00456281" w:rsidRDefault="007F54D5" w:rsidP="00360CB1">
            <w:pPr>
              <w:pStyle w:val="TableText0"/>
              <w:keepNext w:val="0"/>
              <w:jc w:val="center"/>
              <w:rPr>
                <w:b/>
                <w:bCs w:val="0"/>
              </w:rPr>
            </w:pPr>
            <w:r w:rsidRPr="00456281">
              <w:rPr>
                <w:b/>
                <w:bCs w:val="0"/>
              </w:rPr>
              <w:t>[0.00, 0.08]</w:t>
            </w:r>
          </w:p>
        </w:tc>
      </w:tr>
      <w:tr w:rsidR="007F54D5" w:rsidRPr="00456281" w14:paraId="76EEA783" w14:textId="77777777" w:rsidTr="007F54D5">
        <w:trPr>
          <w:trHeight w:val="195"/>
        </w:trPr>
        <w:tc>
          <w:tcPr>
            <w:tcW w:w="2088" w:type="dxa"/>
          </w:tcPr>
          <w:p w14:paraId="0C0D06F1" w14:textId="2AA404DE" w:rsidR="007F54D5" w:rsidRPr="00456281" w:rsidRDefault="007F54D5" w:rsidP="00360CB1">
            <w:pPr>
              <w:pStyle w:val="TableText0"/>
              <w:keepNext w:val="0"/>
            </w:pPr>
            <w:r w:rsidRPr="00456281">
              <w:t>Oedema peripheral</w:t>
            </w:r>
          </w:p>
        </w:tc>
        <w:tc>
          <w:tcPr>
            <w:tcW w:w="1494" w:type="dxa"/>
          </w:tcPr>
          <w:p w14:paraId="4CC3A664" w14:textId="05EBEDA5" w:rsidR="004405EA" w:rsidRPr="00456281" w:rsidRDefault="007F54D5" w:rsidP="00360CB1">
            <w:pPr>
              <w:pStyle w:val="TableText0"/>
              <w:keepNext w:val="0"/>
              <w:jc w:val="center"/>
            </w:pPr>
            <w:r w:rsidRPr="00456281">
              <w:t xml:space="preserve">0/370 </w:t>
            </w:r>
          </w:p>
          <w:p w14:paraId="6AD013C8" w14:textId="47087602" w:rsidR="007F54D5" w:rsidRPr="00456281" w:rsidRDefault="007F54D5" w:rsidP="00360CB1">
            <w:pPr>
              <w:pStyle w:val="TableText0"/>
              <w:keepNext w:val="0"/>
              <w:jc w:val="center"/>
            </w:pPr>
            <w:r w:rsidRPr="00456281">
              <w:t>(0.00%)</w:t>
            </w:r>
          </w:p>
        </w:tc>
        <w:tc>
          <w:tcPr>
            <w:tcW w:w="1492" w:type="dxa"/>
          </w:tcPr>
          <w:p w14:paraId="1A108FEC" w14:textId="48B83E97" w:rsidR="004405EA" w:rsidRPr="00456281" w:rsidRDefault="007F54D5" w:rsidP="00360CB1">
            <w:pPr>
              <w:pStyle w:val="TableText0"/>
              <w:keepNext w:val="0"/>
              <w:jc w:val="center"/>
            </w:pPr>
            <w:r w:rsidRPr="00456281">
              <w:t xml:space="preserve">5/379 </w:t>
            </w:r>
          </w:p>
          <w:p w14:paraId="4B93BD64" w14:textId="5F460F14" w:rsidR="007F54D5" w:rsidRPr="00456281" w:rsidRDefault="007F54D5" w:rsidP="00360CB1">
            <w:pPr>
              <w:pStyle w:val="TableText0"/>
              <w:keepNext w:val="0"/>
              <w:jc w:val="center"/>
            </w:pPr>
            <w:r w:rsidRPr="00456281">
              <w:t>(1.32%)</w:t>
            </w:r>
          </w:p>
        </w:tc>
        <w:tc>
          <w:tcPr>
            <w:tcW w:w="1224" w:type="dxa"/>
          </w:tcPr>
          <w:p w14:paraId="7DD58828" w14:textId="11FA72C4" w:rsidR="007F54D5" w:rsidRPr="00456281" w:rsidRDefault="007F54D5" w:rsidP="00360CB1">
            <w:pPr>
              <w:pStyle w:val="TableText0"/>
              <w:keepNext w:val="0"/>
              <w:jc w:val="center"/>
            </w:pPr>
            <w:r w:rsidRPr="00456281">
              <w:t>NE</w:t>
            </w:r>
          </w:p>
        </w:tc>
        <w:tc>
          <w:tcPr>
            <w:tcW w:w="1224" w:type="dxa"/>
          </w:tcPr>
          <w:p w14:paraId="03D556C7" w14:textId="4350E8A9" w:rsidR="007F54D5" w:rsidRPr="00456281" w:rsidRDefault="007F54D5" w:rsidP="00360CB1">
            <w:pPr>
              <w:pStyle w:val="TableText0"/>
              <w:keepNext w:val="0"/>
              <w:jc w:val="center"/>
            </w:pPr>
            <w:r w:rsidRPr="00456281">
              <w:t>NE</w:t>
            </w:r>
          </w:p>
        </w:tc>
        <w:tc>
          <w:tcPr>
            <w:tcW w:w="1495" w:type="dxa"/>
          </w:tcPr>
          <w:p w14:paraId="61CC9FCA" w14:textId="1540185A" w:rsidR="003E3072" w:rsidRPr="00456281" w:rsidRDefault="007F54D5" w:rsidP="00360CB1">
            <w:pPr>
              <w:pStyle w:val="TableText0"/>
              <w:keepNext w:val="0"/>
              <w:jc w:val="center"/>
            </w:pPr>
            <w:r w:rsidRPr="00456281">
              <w:t xml:space="preserve">-0.01 </w:t>
            </w:r>
          </w:p>
          <w:p w14:paraId="2A6EC7AB" w14:textId="56F2FFEC" w:rsidR="007F54D5" w:rsidRPr="00456281" w:rsidRDefault="007F54D5" w:rsidP="00360CB1">
            <w:pPr>
              <w:pStyle w:val="TableText0"/>
              <w:keepNext w:val="0"/>
              <w:jc w:val="center"/>
            </w:pPr>
            <w:r w:rsidRPr="00456281">
              <w:t>[-0.02, 0.00]</w:t>
            </w:r>
          </w:p>
        </w:tc>
      </w:tr>
      <w:tr w:rsidR="007F54D5" w:rsidRPr="00456281" w14:paraId="3A5BD7ED" w14:textId="77777777" w:rsidTr="007F54D5">
        <w:trPr>
          <w:trHeight w:val="195"/>
        </w:trPr>
        <w:tc>
          <w:tcPr>
            <w:tcW w:w="2088" w:type="dxa"/>
          </w:tcPr>
          <w:p w14:paraId="3C9D35DD" w14:textId="0272E3AB" w:rsidR="007F54D5" w:rsidRPr="00456281" w:rsidRDefault="007F54D5" w:rsidP="00360CB1">
            <w:pPr>
              <w:pStyle w:val="TableText0"/>
              <w:keepNext w:val="0"/>
            </w:pPr>
            <w:r w:rsidRPr="00456281">
              <w:t>Pyrexia</w:t>
            </w:r>
          </w:p>
        </w:tc>
        <w:tc>
          <w:tcPr>
            <w:tcW w:w="1494" w:type="dxa"/>
          </w:tcPr>
          <w:p w14:paraId="3051DEA5" w14:textId="17CE6365" w:rsidR="004405EA" w:rsidRPr="00456281" w:rsidRDefault="007F54D5" w:rsidP="00360CB1">
            <w:pPr>
              <w:pStyle w:val="TableText0"/>
              <w:keepNext w:val="0"/>
              <w:jc w:val="center"/>
            </w:pPr>
            <w:r w:rsidRPr="00456281">
              <w:t>3/370</w:t>
            </w:r>
          </w:p>
          <w:p w14:paraId="76284110" w14:textId="63C7C8E5" w:rsidR="007F54D5" w:rsidRPr="00456281" w:rsidRDefault="007F54D5" w:rsidP="00360CB1">
            <w:pPr>
              <w:pStyle w:val="TableText0"/>
              <w:keepNext w:val="0"/>
              <w:jc w:val="center"/>
            </w:pPr>
            <w:r w:rsidRPr="00456281">
              <w:t>(0.81%)</w:t>
            </w:r>
          </w:p>
        </w:tc>
        <w:tc>
          <w:tcPr>
            <w:tcW w:w="1492" w:type="dxa"/>
          </w:tcPr>
          <w:p w14:paraId="79022923" w14:textId="62E13DAF" w:rsidR="004405EA" w:rsidRPr="00456281" w:rsidRDefault="007F54D5" w:rsidP="00360CB1">
            <w:pPr>
              <w:pStyle w:val="TableText0"/>
              <w:keepNext w:val="0"/>
              <w:jc w:val="center"/>
            </w:pPr>
            <w:r w:rsidRPr="00456281">
              <w:t xml:space="preserve">6/379 </w:t>
            </w:r>
          </w:p>
          <w:p w14:paraId="01550498" w14:textId="760859C8" w:rsidR="007F54D5" w:rsidRPr="00456281" w:rsidRDefault="007F54D5" w:rsidP="00360CB1">
            <w:pPr>
              <w:pStyle w:val="TableText0"/>
              <w:keepNext w:val="0"/>
              <w:jc w:val="center"/>
            </w:pPr>
            <w:r w:rsidRPr="00456281">
              <w:t>(1.58%)</w:t>
            </w:r>
          </w:p>
        </w:tc>
        <w:tc>
          <w:tcPr>
            <w:tcW w:w="1224" w:type="dxa"/>
          </w:tcPr>
          <w:p w14:paraId="19B6009C" w14:textId="60953FC1" w:rsidR="003E3072" w:rsidRPr="00456281" w:rsidRDefault="007F54D5" w:rsidP="00360CB1">
            <w:pPr>
              <w:pStyle w:val="TableText0"/>
              <w:keepNext w:val="0"/>
              <w:jc w:val="center"/>
            </w:pPr>
            <w:r w:rsidRPr="00456281">
              <w:t xml:space="preserve">0.51 </w:t>
            </w:r>
          </w:p>
          <w:p w14:paraId="359DDF69" w14:textId="58BBA97A" w:rsidR="007F54D5" w:rsidRPr="00456281" w:rsidRDefault="007F54D5" w:rsidP="00360CB1">
            <w:pPr>
              <w:pStyle w:val="TableText0"/>
              <w:keepNext w:val="0"/>
              <w:jc w:val="center"/>
            </w:pPr>
            <w:r w:rsidRPr="00456281">
              <w:t>[0.13, 2.05]</w:t>
            </w:r>
          </w:p>
        </w:tc>
        <w:tc>
          <w:tcPr>
            <w:tcW w:w="1224" w:type="dxa"/>
          </w:tcPr>
          <w:p w14:paraId="608D6372" w14:textId="45FC20C2" w:rsidR="003E3072" w:rsidRPr="00456281" w:rsidRDefault="007F54D5" w:rsidP="00360CB1">
            <w:pPr>
              <w:pStyle w:val="TableText0"/>
              <w:keepNext w:val="0"/>
              <w:jc w:val="center"/>
            </w:pPr>
            <w:r w:rsidRPr="00456281">
              <w:t xml:space="preserve">0.51 </w:t>
            </w:r>
          </w:p>
          <w:p w14:paraId="04908EB9" w14:textId="74819B4C" w:rsidR="007F54D5" w:rsidRPr="00456281" w:rsidRDefault="007F54D5" w:rsidP="00360CB1">
            <w:pPr>
              <w:pStyle w:val="TableText0"/>
              <w:keepNext w:val="0"/>
              <w:jc w:val="center"/>
            </w:pPr>
            <w:r w:rsidRPr="00456281">
              <w:t>[0.13, 2.03]</w:t>
            </w:r>
          </w:p>
        </w:tc>
        <w:tc>
          <w:tcPr>
            <w:tcW w:w="1495" w:type="dxa"/>
          </w:tcPr>
          <w:p w14:paraId="1F72FC1C" w14:textId="5E43D748" w:rsidR="003E3072" w:rsidRPr="00456281" w:rsidRDefault="007F54D5" w:rsidP="00360CB1">
            <w:pPr>
              <w:pStyle w:val="TableText0"/>
              <w:keepNext w:val="0"/>
              <w:jc w:val="center"/>
            </w:pPr>
            <w:r w:rsidRPr="00456281">
              <w:t xml:space="preserve">-0.01 </w:t>
            </w:r>
          </w:p>
          <w:p w14:paraId="38C00A67" w14:textId="6BA6DB51" w:rsidR="007F54D5" w:rsidRPr="00456281" w:rsidRDefault="007F54D5" w:rsidP="00360CB1">
            <w:pPr>
              <w:pStyle w:val="TableText0"/>
              <w:keepNext w:val="0"/>
              <w:jc w:val="center"/>
            </w:pPr>
            <w:r w:rsidRPr="00456281">
              <w:t>[-0.02, 0.01]</w:t>
            </w:r>
          </w:p>
        </w:tc>
      </w:tr>
      <w:tr w:rsidR="007F54D5" w:rsidRPr="00456281" w14:paraId="71753CCF" w14:textId="77777777" w:rsidTr="007F54D5">
        <w:trPr>
          <w:trHeight w:val="185"/>
        </w:trPr>
        <w:tc>
          <w:tcPr>
            <w:tcW w:w="2088" w:type="dxa"/>
          </w:tcPr>
          <w:p w14:paraId="70777603" w14:textId="77777777" w:rsidR="007F54D5" w:rsidRPr="00456281" w:rsidRDefault="007F54D5" w:rsidP="00360CB1">
            <w:pPr>
              <w:pStyle w:val="TableText0"/>
              <w:keepNext w:val="0"/>
            </w:pPr>
            <w:r w:rsidRPr="00456281">
              <w:t>Mucosal inflammation</w:t>
            </w:r>
          </w:p>
        </w:tc>
        <w:tc>
          <w:tcPr>
            <w:tcW w:w="1494" w:type="dxa"/>
          </w:tcPr>
          <w:p w14:paraId="3E5AEF8A" w14:textId="77777777" w:rsidR="004405EA" w:rsidRPr="00456281" w:rsidRDefault="007F54D5" w:rsidP="00360CB1">
            <w:pPr>
              <w:pStyle w:val="TableText0"/>
              <w:keepNext w:val="0"/>
              <w:jc w:val="center"/>
            </w:pPr>
            <w:r w:rsidRPr="00456281">
              <w:t xml:space="preserve">8/370 </w:t>
            </w:r>
          </w:p>
          <w:p w14:paraId="31F745E7" w14:textId="4549E174" w:rsidR="007F54D5" w:rsidRPr="00456281" w:rsidRDefault="007F54D5" w:rsidP="00360CB1">
            <w:pPr>
              <w:pStyle w:val="TableText0"/>
              <w:keepNext w:val="0"/>
              <w:jc w:val="center"/>
            </w:pPr>
            <w:r w:rsidRPr="00456281">
              <w:t>(2.16%)</w:t>
            </w:r>
          </w:p>
        </w:tc>
        <w:tc>
          <w:tcPr>
            <w:tcW w:w="1492" w:type="dxa"/>
          </w:tcPr>
          <w:p w14:paraId="4C4E1C3C" w14:textId="77777777" w:rsidR="004405EA" w:rsidRPr="00456281" w:rsidRDefault="007F54D5" w:rsidP="00360CB1">
            <w:pPr>
              <w:pStyle w:val="TableText0"/>
              <w:keepNext w:val="0"/>
              <w:jc w:val="center"/>
            </w:pPr>
            <w:r w:rsidRPr="00456281">
              <w:t xml:space="preserve">1/379 </w:t>
            </w:r>
          </w:p>
          <w:p w14:paraId="76418FA6" w14:textId="4D36D9CB" w:rsidR="007F54D5" w:rsidRPr="00456281" w:rsidRDefault="007F54D5" w:rsidP="00360CB1">
            <w:pPr>
              <w:pStyle w:val="TableText0"/>
              <w:keepNext w:val="0"/>
              <w:jc w:val="center"/>
            </w:pPr>
            <w:r w:rsidRPr="00456281">
              <w:t>(0.26%)</w:t>
            </w:r>
          </w:p>
        </w:tc>
        <w:tc>
          <w:tcPr>
            <w:tcW w:w="1224" w:type="dxa"/>
          </w:tcPr>
          <w:p w14:paraId="332E739A" w14:textId="77777777" w:rsidR="003E3072" w:rsidRPr="00456281" w:rsidRDefault="007F54D5" w:rsidP="00360CB1">
            <w:pPr>
              <w:pStyle w:val="TableText0"/>
              <w:keepNext w:val="0"/>
              <w:jc w:val="center"/>
              <w:rPr>
                <w:b/>
                <w:bCs w:val="0"/>
              </w:rPr>
            </w:pPr>
            <w:r w:rsidRPr="00456281">
              <w:rPr>
                <w:b/>
                <w:bCs w:val="0"/>
              </w:rPr>
              <w:t xml:space="preserve">8.35 </w:t>
            </w:r>
          </w:p>
          <w:p w14:paraId="4C30C040" w14:textId="1BE4CA37" w:rsidR="007F54D5" w:rsidRPr="00456281" w:rsidRDefault="007F54D5" w:rsidP="00360CB1">
            <w:pPr>
              <w:pStyle w:val="TableText0"/>
              <w:keepNext w:val="0"/>
              <w:jc w:val="center"/>
              <w:rPr>
                <w:b/>
                <w:bCs w:val="0"/>
              </w:rPr>
            </w:pPr>
            <w:r w:rsidRPr="00456281">
              <w:rPr>
                <w:b/>
                <w:bCs w:val="0"/>
              </w:rPr>
              <w:t>[1.04, 67.13]</w:t>
            </w:r>
          </w:p>
        </w:tc>
        <w:tc>
          <w:tcPr>
            <w:tcW w:w="1224" w:type="dxa"/>
          </w:tcPr>
          <w:p w14:paraId="40B437B8" w14:textId="77777777" w:rsidR="003E3072" w:rsidRPr="00456281" w:rsidRDefault="007F54D5" w:rsidP="00360CB1">
            <w:pPr>
              <w:pStyle w:val="TableText0"/>
              <w:keepNext w:val="0"/>
              <w:jc w:val="center"/>
              <w:rPr>
                <w:b/>
                <w:bCs w:val="0"/>
              </w:rPr>
            </w:pPr>
            <w:r w:rsidRPr="00456281">
              <w:rPr>
                <w:b/>
                <w:bCs w:val="0"/>
              </w:rPr>
              <w:t xml:space="preserve">8.19 </w:t>
            </w:r>
          </w:p>
          <w:p w14:paraId="054C354A" w14:textId="0D3B8D9B" w:rsidR="007F54D5" w:rsidRPr="00456281" w:rsidRDefault="007F54D5" w:rsidP="00360CB1">
            <w:pPr>
              <w:pStyle w:val="TableText0"/>
              <w:keepNext w:val="0"/>
              <w:jc w:val="center"/>
              <w:rPr>
                <w:b/>
                <w:bCs w:val="0"/>
              </w:rPr>
            </w:pPr>
            <w:r w:rsidRPr="00456281">
              <w:rPr>
                <w:b/>
                <w:bCs w:val="0"/>
              </w:rPr>
              <w:t>[1.03, 65.20]</w:t>
            </w:r>
          </w:p>
        </w:tc>
        <w:tc>
          <w:tcPr>
            <w:tcW w:w="1495" w:type="dxa"/>
          </w:tcPr>
          <w:p w14:paraId="6B29C312" w14:textId="77777777" w:rsidR="003E3072" w:rsidRPr="00456281" w:rsidRDefault="007F54D5" w:rsidP="00360CB1">
            <w:pPr>
              <w:pStyle w:val="TableText0"/>
              <w:keepNext w:val="0"/>
              <w:jc w:val="center"/>
              <w:rPr>
                <w:b/>
                <w:bCs w:val="0"/>
              </w:rPr>
            </w:pPr>
            <w:r w:rsidRPr="00456281">
              <w:rPr>
                <w:b/>
                <w:bCs w:val="0"/>
              </w:rPr>
              <w:t xml:space="preserve">0.02 </w:t>
            </w:r>
          </w:p>
          <w:p w14:paraId="57A509C9" w14:textId="0E68F272" w:rsidR="007F54D5" w:rsidRPr="00456281" w:rsidRDefault="007F54D5" w:rsidP="00360CB1">
            <w:pPr>
              <w:pStyle w:val="TableText0"/>
              <w:keepNext w:val="0"/>
              <w:jc w:val="center"/>
              <w:rPr>
                <w:b/>
                <w:bCs w:val="0"/>
              </w:rPr>
            </w:pPr>
            <w:r w:rsidRPr="00456281">
              <w:rPr>
                <w:b/>
                <w:bCs w:val="0"/>
              </w:rPr>
              <w:t>[0.00, 0.03]</w:t>
            </w:r>
          </w:p>
        </w:tc>
      </w:tr>
      <w:tr w:rsidR="007F54D5" w:rsidRPr="00456281" w14:paraId="64D7C023" w14:textId="77777777" w:rsidTr="007F54D5">
        <w:trPr>
          <w:trHeight w:val="195"/>
        </w:trPr>
        <w:tc>
          <w:tcPr>
            <w:tcW w:w="9017" w:type="dxa"/>
            <w:gridSpan w:val="6"/>
            <w:shd w:val="clear" w:color="auto" w:fill="auto"/>
          </w:tcPr>
          <w:p w14:paraId="39AAB468" w14:textId="77777777" w:rsidR="007F54D5" w:rsidRPr="00456281" w:rsidRDefault="007F54D5" w:rsidP="00360CB1">
            <w:pPr>
              <w:pStyle w:val="TableText0"/>
              <w:keepNext w:val="0"/>
              <w:rPr>
                <w:b/>
                <w:bCs w:val="0"/>
              </w:rPr>
            </w:pPr>
            <w:r w:rsidRPr="00456281">
              <w:rPr>
                <w:b/>
                <w:bCs w:val="0"/>
              </w:rPr>
              <w:t>Blood and lymphatic system disorders</w:t>
            </w:r>
          </w:p>
        </w:tc>
      </w:tr>
      <w:tr w:rsidR="007F54D5" w:rsidRPr="00456281" w14:paraId="32CD6455" w14:textId="77777777" w:rsidTr="007F54D5">
        <w:trPr>
          <w:trHeight w:val="195"/>
        </w:trPr>
        <w:tc>
          <w:tcPr>
            <w:tcW w:w="2088" w:type="dxa"/>
          </w:tcPr>
          <w:p w14:paraId="43F2EE0F" w14:textId="77777777" w:rsidR="007F54D5" w:rsidRPr="00456281" w:rsidRDefault="007F54D5" w:rsidP="00360CB1">
            <w:pPr>
              <w:pStyle w:val="TableText0"/>
              <w:keepNext w:val="0"/>
            </w:pPr>
            <w:r w:rsidRPr="00456281">
              <w:t>Anaemia</w:t>
            </w:r>
          </w:p>
        </w:tc>
        <w:tc>
          <w:tcPr>
            <w:tcW w:w="1494" w:type="dxa"/>
          </w:tcPr>
          <w:p w14:paraId="1CF51BE1" w14:textId="77777777" w:rsidR="003E3072" w:rsidRPr="00456281" w:rsidRDefault="007F54D5" w:rsidP="00360CB1">
            <w:pPr>
              <w:pStyle w:val="TableText0"/>
              <w:keepNext w:val="0"/>
              <w:jc w:val="center"/>
            </w:pPr>
            <w:r w:rsidRPr="00456281">
              <w:t xml:space="preserve">39/370 </w:t>
            </w:r>
          </w:p>
          <w:p w14:paraId="59A38C24" w14:textId="2B454F04" w:rsidR="007F54D5" w:rsidRPr="00456281" w:rsidRDefault="007F54D5" w:rsidP="00360CB1">
            <w:pPr>
              <w:pStyle w:val="TableText0"/>
              <w:keepNext w:val="0"/>
              <w:jc w:val="center"/>
            </w:pPr>
            <w:r w:rsidRPr="00456281">
              <w:t>(10.54%)</w:t>
            </w:r>
          </w:p>
        </w:tc>
        <w:tc>
          <w:tcPr>
            <w:tcW w:w="1492" w:type="dxa"/>
          </w:tcPr>
          <w:p w14:paraId="19134032" w14:textId="77777777" w:rsidR="003E3072" w:rsidRPr="00456281" w:rsidRDefault="007F54D5" w:rsidP="00360CB1">
            <w:pPr>
              <w:pStyle w:val="TableText0"/>
              <w:keepNext w:val="0"/>
              <w:jc w:val="center"/>
            </w:pPr>
            <w:r w:rsidRPr="00456281">
              <w:t xml:space="preserve">66/379 </w:t>
            </w:r>
          </w:p>
          <w:p w14:paraId="724420FC" w14:textId="08ED77A2" w:rsidR="007F54D5" w:rsidRPr="00456281" w:rsidRDefault="007F54D5" w:rsidP="00360CB1">
            <w:pPr>
              <w:pStyle w:val="TableText0"/>
              <w:keepNext w:val="0"/>
              <w:jc w:val="center"/>
            </w:pPr>
            <w:r w:rsidRPr="00456281">
              <w:t>(17.41%)</w:t>
            </w:r>
          </w:p>
        </w:tc>
        <w:tc>
          <w:tcPr>
            <w:tcW w:w="1224" w:type="dxa"/>
          </w:tcPr>
          <w:p w14:paraId="6D807122" w14:textId="77777777" w:rsidR="003E3072" w:rsidRPr="00456281" w:rsidRDefault="007F54D5" w:rsidP="00360CB1">
            <w:pPr>
              <w:pStyle w:val="TableText0"/>
              <w:keepNext w:val="0"/>
              <w:jc w:val="center"/>
              <w:rPr>
                <w:b/>
                <w:bCs w:val="0"/>
              </w:rPr>
            </w:pPr>
            <w:r w:rsidRPr="00456281">
              <w:rPr>
                <w:b/>
                <w:bCs w:val="0"/>
              </w:rPr>
              <w:t xml:space="preserve">0.56 </w:t>
            </w:r>
          </w:p>
          <w:p w14:paraId="3AB25091" w14:textId="3DDD4A84" w:rsidR="007F54D5" w:rsidRPr="00456281" w:rsidRDefault="007F54D5" w:rsidP="00360CB1">
            <w:pPr>
              <w:pStyle w:val="TableText0"/>
              <w:keepNext w:val="0"/>
              <w:jc w:val="center"/>
              <w:rPr>
                <w:b/>
                <w:bCs w:val="0"/>
              </w:rPr>
            </w:pPr>
            <w:r w:rsidRPr="00456281">
              <w:rPr>
                <w:b/>
                <w:bCs w:val="0"/>
              </w:rPr>
              <w:t>[0.37, 0.85]</w:t>
            </w:r>
          </w:p>
        </w:tc>
        <w:tc>
          <w:tcPr>
            <w:tcW w:w="1224" w:type="dxa"/>
          </w:tcPr>
          <w:p w14:paraId="2E7FC79E" w14:textId="77777777" w:rsidR="003E3072" w:rsidRPr="00456281" w:rsidRDefault="007F54D5" w:rsidP="00360CB1">
            <w:pPr>
              <w:pStyle w:val="TableText0"/>
              <w:keepNext w:val="0"/>
              <w:jc w:val="center"/>
              <w:rPr>
                <w:b/>
                <w:bCs w:val="0"/>
              </w:rPr>
            </w:pPr>
            <w:r w:rsidRPr="00456281">
              <w:rPr>
                <w:b/>
                <w:bCs w:val="0"/>
              </w:rPr>
              <w:t xml:space="preserve">0.61 </w:t>
            </w:r>
          </w:p>
          <w:p w14:paraId="65C9AF9A" w14:textId="512FB6AC" w:rsidR="007F54D5" w:rsidRPr="00456281" w:rsidRDefault="007F54D5" w:rsidP="00360CB1">
            <w:pPr>
              <w:pStyle w:val="TableText0"/>
              <w:keepNext w:val="0"/>
              <w:jc w:val="center"/>
              <w:rPr>
                <w:b/>
                <w:bCs w:val="0"/>
              </w:rPr>
            </w:pPr>
            <w:r w:rsidRPr="00456281">
              <w:rPr>
                <w:b/>
                <w:bCs w:val="0"/>
              </w:rPr>
              <w:t>[0.42, 0.88]</w:t>
            </w:r>
          </w:p>
        </w:tc>
        <w:tc>
          <w:tcPr>
            <w:tcW w:w="1495" w:type="dxa"/>
          </w:tcPr>
          <w:p w14:paraId="394FDA6A" w14:textId="77777777" w:rsidR="003E3072" w:rsidRPr="00456281" w:rsidRDefault="007F54D5" w:rsidP="00360CB1">
            <w:pPr>
              <w:pStyle w:val="TableText0"/>
              <w:keepNext w:val="0"/>
              <w:jc w:val="center"/>
              <w:rPr>
                <w:b/>
                <w:bCs w:val="0"/>
              </w:rPr>
            </w:pPr>
            <w:r w:rsidRPr="00456281">
              <w:rPr>
                <w:b/>
                <w:bCs w:val="0"/>
              </w:rPr>
              <w:t xml:space="preserve">-0.07 </w:t>
            </w:r>
          </w:p>
          <w:p w14:paraId="05629A7D" w14:textId="0D275761" w:rsidR="007F54D5" w:rsidRPr="00456281" w:rsidRDefault="007F54D5" w:rsidP="00360CB1">
            <w:pPr>
              <w:pStyle w:val="TableText0"/>
              <w:keepNext w:val="0"/>
              <w:jc w:val="center"/>
              <w:rPr>
                <w:b/>
                <w:bCs w:val="0"/>
              </w:rPr>
            </w:pPr>
            <w:r w:rsidRPr="00456281">
              <w:rPr>
                <w:b/>
                <w:bCs w:val="0"/>
              </w:rPr>
              <w:t>[-0.12, -0.02]</w:t>
            </w:r>
          </w:p>
        </w:tc>
      </w:tr>
      <w:tr w:rsidR="007F54D5" w:rsidRPr="00456281" w14:paraId="2F003F7E" w14:textId="77777777" w:rsidTr="007F54D5">
        <w:trPr>
          <w:trHeight w:val="195"/>
        </w:trPr>
        <w:tc>
          <w:tcPr>
            <w:tcW w:w="2088" w:type="dxa"/>
          </w:tcPr>
          <w:p w14:paraId="0C8EF031" w14:textId="77777777" w:rsidR="007F54D5" w:rsidRPr="00456281" w:rsidRDefault="007F54D5" w:rsidP="00360CB1">
            <w:pPr>
              <w:pStyle w:val="TableText0"/>
              <w:keepLines/>
            </w:pPr>
            <w:r w:rsidRPr="00456281">
              <w:t>Neutropenia</w:t>
            </w:r>
          </w:p>
        </w:tc>
        <w:tc>
          <w:tcPr>
            <w:tcW w:w="1494" w:type="dxa"/>
          </w:tcPr>
          <w:p w14:paraId="0245FD46" w14:textId="77777777" w:rsidR="003E3072" w:rsidRPr="00456281" w:rsidRDefault="007F54D5" w:rsidP="00360CB1">
            <w:pPr>
              <w:pStyle w:val="TableText0"/>
              <w:keepLines/>
              <w:jc w:val="center"/>
            </w:pPr>
            <w:r w:rsidRPr="00456281">
              <w:t xml:space="preserve">52/370 </w:t>
            </w:r>
          </w:p>
          <w:p w14:paraId="62A13D13" w14:textId="6980839D" w:rsidR="007F54D5" w:rsidRPr="00456281" w:rsidRDefault="007F54D5" w:rsidP="00360CB1">
            <w:pPr>
              <w:pStyle w:val="TableText0"/>
              <w:keepLines/>
              <w:jc w:val="center"/>
            </w:pPr>
            <w:r w:rsidRPr="00456281">
              <w:t>(14.05%)</w:t>
            </w:r>
          </w:p>
        </w:tc>
        <w:tc>
          <w:tcPr>
            <w:tcW w:w="1492" w:type="dxa"/>
          </w:tcPr>
          <w:p w14:paraId="73A5F545" w14:textId="77777777" w:rsidR="003E3072" w:rsidRPr="00456281" w:rsidRDefault="007F54D5" w:rsidP="00360CB1">
            <w:pPr>
              <w:pStyle w:val="TableText0"/>
              <w:keepLines/>
              <w:jc w:val="center"/>
            </w:pPr>
            <w:r w:rsidRPr="00456281">
              <w:t xml:space="preserve">93/379 </w:t>
            </w:r>
          </w:p>
          <w:p w14:paraId="5EB0E15C" w14:textId="2A5AACDA" w:rsidR="007F54D5" w:rsidRPr="00456281" w:rsidRDefault="007F54D5" w:rsidP="00360CB1">
            <w:pPr>
              <w:pStyle w:val="TableText0"/>
              <w:keepLines/>
              <w:jc w:val="center"/>
            </w:pPr>
            <w:r w:rsidRPr="00456281">
              <w:t>(24.54%)</w:t>
            </w:r>
          </w:p>
        </w:tc>
        <w:tc>
          <w:tcPr>
            <w:tcW w:w="1224" w:type="dxa"/>
          </w:tcPr>
          <w:p w14:paraId="489E4FB9" w14:textId="77777777" w:rsidR="003E3072" w:rsidRPr="00456281" w:rsidRDefault="007F54D5" w:rsidP="00360CB1">
            <w:pPr>
              <w:pStyle w:val="TableText0"/>
              <w:keepLines/>
              <w:jc w:val="center"/>
              <w:rPr>
                <w:b/>
                <w:bCs w:val="0"/>
              </w:rPr>
            </w:pPr>
            <w:r w:rsidRPr="00456281">
              <w:rPr>
                <w:b/>
                <w:bCs w:val="0"/>
              </w:rPr>
              <w:t xml:space="preserve">0.50 </w:t>
            </w:r>
          </w:p>
          <w:p w14:paraId="42C26FFF" w14:textId="48A6F8A9" w:rsidR="007F54D5" w:rsidRPr="00456281" w:rsidRDefault="007F54D5" w:rsidP="00360CB1">
            <w:pPr>
              <w:pStyle w:val="TableText0"/>
              <w:keepLines/>
              <w:jc w:val="center"/>
              <w:rPr>
                <w:b/>
                <w:bCs w:val="0"/>
              </w:rPr>
            </w:pPr>
            <w:r w:rsidRPr="00456281">
              <w:rPr>
                <w:b/>
                <w:bCs w:val="0"/>
              </w:rPr>
              <w:t>[0.35, 0.73]</w:t>
            </w:r>
          </w:p>
        </w:tc>
        <w:tc>
          <w:tcPr>
            <w:tcW w:w="1224" w:type="dxa"/>
          </w:tcPr>
          <w:p w14:paraId="701DAD35" w14:textId="77777777" w:rsidR="003E3072" w:rsidRPr="00456281" w:rsidRDefault="007F54D5" w:rsidP="00360CB1">
            <w:pPr>
              <w:pStyle w:val="TableText0"/>
              <w:keepLines/>
              <w:jc w:val="center"/>
              <w:rPr>
                <w:b/>
                <w:bCs w:val="0"/>
              </w:rPr>
            </w:pPr>
            <w:r w:rsidRPr="00456281">
              <w:rPr>
                <w:b/>
                <w:bCs w:val="0"/>
              </w:rPr>
              <w:t xml:space="preserve">0.57 </w:t>
            </w:r>
          </w:p>
          <w:p w14:paraId="384F60DB" w14:textId="38675B13" w:rsidR="007F54D5" w:rsidRPr="00456281" w:rsidRDefault="007F54D5" w:rsidP="00360CB1">
            <w:pPr>
              <w:pStyle w:val="TableText0"/>
              <w:keepLines/>
              <w:jc w:val="center"/>
              <w:rPr>
                <w:b/>
                <w:bCs w:val="0"/>
              </w:rPr>
            </w:pPr>
            <w:r w:rsidRPr="00456281">
              <w:rPr>
                <w:b/>
                <w:bCs w:val="0"/>
              </w:rPr>
              <w:t>[0.42, 0.78]</w:t>
            </w:r>
          </w:p>
        </w:tc>
        <w:tc>
          <w:tcPr>
            <w:tcW w:w="1495" w:type="dxa"/>
          </w:tcPr>
          <w:p w14:paraId="4B8D2374" w14:textId="77777777" w:rsidR="003E3072" w:rsidRPr="00456281" w:rsidRDefault="007F54D5" w:rsidP="00360CB1">
            <w:pPr>
              <w:pStyle w:val="TableText0"/>
              <w:keepLines/>
              <w:jc w:val="center"/>
              <w:rPr>
                <w:b/>
                <w:bCs w:val="0"/>
              </w:rPr>
            </w:pPr>
            <w:r w:rsidRPr="00456281">
              <w:rPr>
                <w:b/>
                <w:bCs w:val="0"/>
              </w:rPr>
              <w:t xml:space="preserve">-0.10 </w:t>
            </w:r>
          </w:p>
          <w:p w14:paraId="58437584" w14:textId="0ECC3800" w:rsidR="007F54D5" w:rsidRPr="00456281" w:rsidRDefault="007F54D5" w:rsidP="00360CB1">
            <w:pPr>
              <w:pStyle w:val="TableText0"/>
              <w:keepLines/>
              <w:jc w:val="center"/>
              <w:rPr>
                <w:b/>
                <w:bCs w:val="0"/>
              </w:rPr>
            </w:pPr>
            <w:r w:rsidRPr="00456281">
              <w:rPr>
                <w:b/>
                <w:bCs w:val="0"/>
              </w:rPr>
              <w:t>[-0.16, -0.05]</w:t>
            </w:r>
          </w:p>
        </w:tc>
      </w:tr>
      <w:tr w:rsidR="007F54D5" w:rsidRPr="00456281" w14:paraId="5130368A" w14:textId="77777777" w:rsidTr="007F54D5">
        <w:trPr>
          <w:trHeight w:val="185"/>
        </w:trPr>
        <w:tc>
          <w:tcPr>
            <w:tcW w:w="2088" w:type="dxa"/>
          </w:tcPr>
          <w:p w14:paraId="379085E3" w14:textId="77777777" w:rsidR="007F54D5" w:rsidRPr="00456281" w:rsidRDefault="007F54D5" w:rsidP="00360CB1">
            <w:pPr>
              <w:pStyle w:val="TableText0"/>
              <w:keepNext w:val="0"/>
            </w:pPr>
            <w:r w:rsidRPr="00456281">
              <w:t>Thrombocytopenia</w:t>
            </w:r>
          </w:p>
        </w:tc>
        <w:tc>
          <w:tcPr>
            <w:tcW w:w="1494" w:type="dxa"/>
          </w:tcPr>
          <w:p w14:paraId="54226E96" w14:textId="77777777" w:rsidR="003E3072" w:rsidRPr="00456281" w:rsidRDefault="007F54D5" w:rsidP="00360CB1">
            <w:pPr>
              <w:pStyle w:val="TableText0"/>
              <w:keepNext w:val="0"/>
              <w:jc w:val="center"/>
            </w:pPr>
            <w:r w:rsidRPr="00456281">
              <w:t xml:space="preserve">3/370 </w:t>
            </w:r>
          </w:p>
          <w:p w14:paraId="3E6D2963" w14:textId="6CECD132" w:rsidR="007F54D5" w:rsidRPr="00456281" w:rsidRDefault="007F54D5" w:rsidP="00360CB1">
            <w:pPr>
              <w:pStyle w:val="TableText0"/>
              <w:keepNext w:val="0"/>
              <w:jc w:val="center"/>
            </w:pPr>
            <w:r w:rsidRPr="00456281">
              <w:t>(0.81%)</w:t>
            </w:r>
          </w:p>
        </w:tc>
        <w:tc>
          <w:tcPr>
            <w:tcW w:w="1492" w:type="dxa"/>
          </w:tcPr>
          <w:p w14:paraId="614F6076" w14:textId="77777777" w:rsidR="003E3072" w:rsidRPr="00456281" w:rsidRDefault="007F54D5" w:rsidP="00360CB1">
            <w:pPr>
              <w:pStyle w:val="TableText0"/>
              <w:keepNext w:val="0"/>
              <w:jc w:val="center"/>
            </w:pPr>
            <w:r w:rsidRPr="00456281">
              <w:t xml:space="preserve">14/379 </w:t>
            </w:r>
          </w:p>
          <w:p w14:paraId="7CD97F39" w14:textId="5632435E" w:rsidR="007F54D5" w:rsidRPr="00456281" w:rsidRDefault="007F54D5" w:rsidP="00360CB1">
            <w:pPr>
              <w:pStyle w:val="TableText0"/>
              <w:keepNext w:val="0"/>
              <w:jc w:val="center"/>
            </w:pPr>
            <w:r w:rsidRPr="00456281">
              <w:t>(3.69%)</w:t>
            </w:r>
          </w:p>
        </w:tc>
        <w:tc>
          <w:tcPr>
            <w:tcW w:w="1224" w:type="dxa"/>
          </w:tcPr>
          <w:p w14:paraId="380756AD" w14:textId="77777777" w:rsidR="003E3072" w:rsidRPr="00456281" w:rsidRDefault="007F54D5" w:rsidP="00360CB1">
            <w:pPr>
              <w:pStyle w:val="TableText0"/>
              <w:keepNext w:val="0"/>
              <w:jc w:val="center"/>
              <w:rPr>
                <w:b/>
                <w:bCs w:val="0"/>
              </w:rPr>
            </w:pPr>
            <w:r w:rsidRPr="00456281">
              <w:rPr>
                <w:b/>
                <w:bCs w:val="0"/>
              </w:rPr>
              <w:t xml:space="preserve">0.21 </w:t>
            </w:r>
          </w:p>
          <w:p w14:paraId="3EF299C1" w14:textId="461BEAB1" w:rsidR="007F54D5" w:rsidRPr="00456281" w:rsidRDefault="007F54D5" w:rsidP="00360CB1">
            <w:pPr>
              <w:pStyle w:val="TableText0"/>
              <w:keepNext w:val="0"/>
              <w:jc w:val="center"/>
              <w:rPr>
                <w:b/>
                <w:bCs w:val="0"/>
              </w:rPr>
            </w:pPr>
            <w:r w:rsidRPr="00456281">
              <w:rPr>
                <w:b/>
                <w:bCs w:val="0"/>
              </w:rPr>
              <w:t>[0.06, 0.75]</w:t>
            </w:r>
          </w:p>
        </w:tc>
        <w:tc>
          <w:tcPr>
            <w:tcW w:w="1224" w:type="dxa"/>
          </w:tcPr>
          <w:p w14:paraId="6B4DCD7B" w14:textId="77777777" w:rsidR="003E3072" w:rsidRPr="00456281" w:rsidRDefault="007F54D5" w:rsidP="00360CB1">
            <w:pPr>
              <w:pStyle w:val="TableText0"/>
              <w:keepNext w:val="0"/>
              <w:jc w:val="center"/>
              <w:rPr>
                <w:b/>
                <w:bCs w:val="0"/>
              </w:rPr>
            </w:pPr>
            <w:r w:rsidRPr="00456281">
              <w:rPr>
                <w:b/>
                <w:bCs w:val="0"/>
              </w:rPr>
              <w:t xml:space="preserve">0.22 </w:t>
            </w:r>
          </w:p>
          <w:p w14:paraId="7C015840" w14:textId="4482DC64" w:rsidR="007F54D5" w:rsidRPr="00456281" w:rsidRDefault="007F54D5" w:rsidP="00360CB1">
            <w:pPr>
              <w:pStyle w:val="TableText0"/>
              <w:keepNext w:val="0"/>
              <w:jc w:val="center"/>
              <w:rPr>
                <w:b/>
                <w:bCs w:val="0"/>
              </w:rPr>
            </w:pPr>
            <w:r w:rsidRPr="00456281">
              <w:rPr>
                <w:b/>
                <w:bCs w:val="0"/>
              </w:rPr>
              <w:t>[0.06, 0.76]</w:t>
            </w:r>
          </w:p>
        </w:tc>
        <w:tc>
          <w:tcPr>
            <w:tcW w:w="1495" w:type="dxa"/>
          </w:tcPr>
          <w:p w14:paraId="2EF2527E" w14:textId="77777777" w:rsidR="003E3072" w:rsidRPr="00456281" w:rsidRDefault="007F54D5" w:rsidP="00360CB1">
            <w:pPr>
              <w:pStyle w:val="TableText0"/>
              <w:keepNext w:val="0"/>
              <w:jc w:val="center"/>
              <w:rPr>
                <w:b/>
                <w:bCs w:val="0"/>
              </w:rPr>
            </w:pPr>
            <w:r w:rsidRPr="00456281">
              <w:rPr>
                <w:b/>
                <w:bCs w:val="0"/>
              </w:rPr>
              <w:t xml:space="preserve">-0.03 </w:t>
            </w:r>
          </w:p>
          <w:p w14:paraId="5AA398F8" w14:textId="1E654AC6" w:rsidR="007F54D5" w:rsidRPr="00456281" w:rsidRDefault="007F54D5" w:rsidP="00360CB1">
            <w:pPr>
              <w:pStyle w:val="TableText0"/>
              <w:keepNext w:val="0"/>
              <w:jc w:val="center"/>
              <w:rPr>
                <w:b/>
                <w:bCs w:val="0"/>
              </w:rPr>
            </w:pPr>
            <w:r w:rsidRPr="00456281">
              <w:rPr>
                <w:b/>
                <w:bCs w:val="0"/>
              </w:rPr>
              <w:t>[-0.05, -0.01]</w:t>
            </w:r>
          </w:p>
        </w:tc>
      </w:tr>
      <w:tr w:rsidR="007F54D5" w:rsidRPr="00456281" w14:paraId="077B368E" w14:textId="77777777" w:rsidTr="007F54D5">
        <w:trPr>
          <w:trHeight w:val="195"/>
        </w:trPr>
        <w:tc>
          <w:tcPr>
            <w:tcW w:w="2088" w:type="dxa"/>
          </w:tcPr>
          <w:p w14:paraId="41A91ACF" w14:textId="77777777" w:rsidR="007F54D5" w:rsidRPr="00456281" w:rsidRDefault="007F54D5" w:rsidP="00360CB1">
            <w:pPr>
              <w:pStyle w:val="TableText0"/>
              <w:keepNext w:val="0"/>
            </w:pPr>
            <w:r w:rsidRPr="00456281">
              <w:t>Leukopenia</w:t>
            </w:r>
          </w:p>
        </w:tc>
        <w:tc>
          <w:tcPr>
            <w:tcW w:w="1494" w:type="dxa"/>
          </w:tcPr>
          <w:p w14:paraId="72A46BB6" w14:textId="77777777" w:rsidR="003E3072" w:rsidRPr="00456281" w:rsidRDefault="007F54D5" w:rsidP="00360CB1">
            <w:pPr>
              <w:pStyle w:val="TableText0"/>
              <w:keepNext w:val="0"/>
              <w:jc w:val="center"/>
            </w:pPr>
            <w:r w:rsidRPr="00456281">
              <w:t xml:space="preserve">4/370 </w:t>
            </w:r>
          </w:p>
          <w:p w14:paraId="0F764667" w14:textId="35C21B77" w:rsidR="007F54D5" w:rsidRPr="00456281" w:rsidRDefault="007F54D5" w:rsidP="00360CB1">
            <w:pPr>
              <w:pStyle w:val="TableText0"/>
              <w:keepNext w:val="0"/>
              <w:jc w:val="center"/>
            </w:pPr>
            <w:r w:rsidRPr="00456281">
              <w:lastRenderedPageBreak/>
              <w:t>(1.08%)</w:t>
            </w:r>
          </w:p>
        </w:tc>
        <w:tc>
          <w:tcPr>
            <w:tcW w:w="1492" w:type="dxa"/>
          </w:tcPr>
          <w:p w14:paraId="014135B7" w14:textId="77777777" w:rsidR="003E3072" w:rsidRPr="00456281" w:rsidRDefault="007F54D5" w:rsidP="00360CB1">
            <w:pPr>
              <w:pStyle w:val="TableText0"/>
              <w:keepNext w:val="0"/>
              <w:jc w:val="center"/>
            </w:pPr>
            <w:r w:rsidRPr="00456281">
              <w:lastRenderedPageBreak/>
              <w:t xml:space="preserve">17/379 </w:t>
            </w:r>
          </w:p>
          <w:p w14:paraId="477790AB" w14:textId="3F3C2416" w:rsidR="007F54D5" w:rsidRPr="00456281" w:rsidRDefault="007F54D5" w:rsidP="00360CB1">
            <w:pPr>
              <w:pStyle w:val="TableText0"/>
              <w:keepNext w:val="0"/>
              <w:jc w:val="center"/>
            </w:pPr>
            <w:r w:rsidRPr="00456281">
              <w:lastRenderedPageBreak/>
              <w:t>(4.49%)</w:t>
            </w:r>
          </w:p>
        </w:tc>
        <w:tc>
          <w:tcPr>
            <w:tcW w:w="1224" w:type="dxa"/>
          </w:tcPr>
          <w:p w14:paraId="5F7D571B" w14:textId="77777777" w:rsidR="003E3072" w:rsidRPr="00456281" w:rsidRDefault="007F54D5" w:rsidP="00360CB1">
            <w:pPr>
              <w:pStyle w:val="TableText0"/>
              <w:keepNext w:val="0"/>
              <w:jc w:val="center"/>
              <w:rPr>
                <w:b/>
                <w:bCs w:val="0"/>
              </w:rPr>
            </w:pPr>
            <w:r w:rsidRPr="00456281">
              <w:rPr>
                <w:b/>
                <w:bCs w:val="0"/>
              </w:rPr>
              <w:lastRenderedPageBreak/>
              <w:t xml:space="preserve">0.23 </w:t>
            </w:r>
          </w:p>
          <w:p w14:paraId="50F5D340" w14:textId="283DA205" w:rsidR="007F54D5" w:rsidRPr="00456281" w:rsidRDefault="007F54D5" w:rsidP="00360CB1">
            <w:pPr>
              <w:pStyle w:val="TableText0"/>
              <w:keepNext w:val="0"/>
              <w:jc w:val="center"/>
              <w:rPr>
                <w:b/>
                <w:bCs w:val="0"/>
              </w:rPr>
            </w:pPr>
            <w:r w:rsidRPr="00456281">
              <w:rPr>
                <w:b/>
                <w:bCs w:val="0"/>
              </w:rPr>
              <w:lastRenderedPageBreak/>
              <w:t>[0.08, 0.70]</w:t>
            </w:r>
          </w:p>
        </w:tc>
        <w:tc>
          <w:tcPr>
            <w:tcW w:w="1224" w:type="dxa"/>
          </w:tcPr>
          <w:p w14:paraId="4C763D2A" w14:textId="77777777" w:rsidR="003E3072" w:rsidRPr="00456281" w:rsidRDefault="007F54D5" w:rsidP="00360CB1">
            <w:pPr>
              <w:pStyle w:val="TableText0"/>
              <w:keepNext w:val="0"/>
              <w:jc w:val="center"/>
              <w:rPr>
                <w:b/>
                <w:bCs w:val="0"/>
              </w:rPr>
            </w:pPr>
            <w:r w:rsidRPr="00456281">
              <w:rPr>
                <w:b/>
                <w:bCs w:val="0"/>
              </w:rPr>
              <w:lastRenderedPageBreak/>
              <w:t xml:space="preserve">0.24 </w:t>
            </w:r>
          </w:p>
          <w:p w14:paraId="01B62402" w14:textId="251FB52D" w:rsidR="007F54D5" w:rsidRPr="00456281" w:rsidRDefault="007F54D5" w:rsidP="00360CB1">
            <w:pPr>
              <w:pStyle w:val="TableText0"/>
              <w:keepNext w:val="0"/>
              <w:jc w:val="center"/>
              <w:rPr>
                <w:b/>
                <w:bCs w:val="0"/>
              </w:rPr>
            </w:pPr>
            <w:r w:rsidRPr="00456281">
              <w:rPr>
                <w:b/>
                <w:bCs w:val="0"/>
              </w:rPr>
              <w:lastRenderedPageBreak/>
              <w:t>[0.08, 0.71]</w:t>
            </w:r>
          </w:p>
        </w:tc>
        <w:tc>
          <w:tcPr>
            <w:tcW w:w="1495" w:type="dxa"/>
          </w:tcPr>
          <w:p w14:paraId="672C6B7B" w14:textId="77777777" w:rsidR="003E3072" w:rsidRPr="00456281" w:rsidRDefault="007F54D5" w:rsidP="00360CB1">
            <w:pPr>
              <w:pStyle w:val="TableText0"/>
              <w:keepNext w:val="0"/>
              <w:jc w:val="center"/>
              <w:rPr>
                <w:b/>
                <w:bCs w:val="0"/>
              </w:rPr>
            </w:pPr>
            <w:r w:rsidRPr="00456281">
              <w:rPr>
                <w:b/>
                <w:bCs w:val="0"/>
              </w:rPr>
              <w:lastRenderedPageBreak/>
              <w:t xml:space="preserve">-0.03 </w:t>
            </w:r>
          </w:p>
          <w:p w14:paraId="43900777" w14:textId="0E3A21B9" w:rsidR="007F54D5" w:rsidRPr="00456281" w:rsidRDefault="007F54D5" w:rsidP="00360CB1">
            <w:pPr>
              <w:pStyle w:val="TableText0"/>
              <w:keepNext w:val="0"/>
              <w:jc w:val="center"/>
              <w:rPr>
                <w:b/>
                <w:bCs w:val="0"/>
              </w:rPr>
            </w:pPr>
            <w:r w:rsidRPr="00456281">
              <w:rPr>
                <w:b/>
                <w:bCs w:val="0"/>
              </w:rPr>
              <w:lastRenderedPageBreak/>
              <w:t>[-0.06, -0.01]</w:t>
            </w:r>
          </w:p>
        </w:tc>
      </w:tr>
      <w:tr w:rsidR="007F54D5" w:rsidRPr="00456281" w14:paraId="21677672" w14:textId="77777777" w:rsidTr="007F54D5">
        <w:trPr>
          <w:trHeight w:val="195"/>
        </w:trPr>
        <w:tc>
          <w:tcPr>
            <w:tcW w:w="9017" w:type="dxa"/>
            <w:gridSpan w:val="6"/>
            <w:shd w:val="clear" w:color="auto" w:fill="auto"/>
          </w:tcPr>
          <w:p w14:paraId="1CE8934B" w14:textId="77777777" w:rsidR="007F54D5" w:rsidRPr="00456281" w:rsidRDefault="007F54D5" w:rsidP="00360CB1">
            <w:pPr>
              <w:pStyle w:val="TableText0"/>
              <w:keepNext w:val="0"/>
              <w:rPr>
                <w:b/>
                <w:bCs w:val="0"/>
              </w:rPr>
            </w:pPr>
            <w:r w:rsidRPr="00456281">
              <w:rPr>
                <w:b/>
                <w:bCs w:val="0"/>
              </w:rPr>
              <w:lastRenderedPageBreak/>
              <w:t>Metabolism and nutrition disorders</w:t>
            </w:r>
          </w:p>
        </w:tc>
      </w:tr>
      <w:tr w:rsidR="007F54D5" w:rsidRPr="00456281" w14:paraId="1E5DD2F2" w14:textId="77777777" w:rsidTr="007F54D5">
        <w:trPr>
          <w:trHeight w:val="185"/>
        </w:trPr>
        <w:tc>
          <w:tcPr>
            <w:tcW w:w="2088" w:type="dxa"/>
          </w:tcPr>
          <w:p w14:paraId="1937B0DC" w14:textId="77777777" w:rsidR="007F54D5" w:rsidRPr="00456281" w:rsidRDefault="007F54D5" w:rsidP="00360CB1">
            <w:pPr>
              <w:pStyle w:val="TableText0"/>
              <w:keepNext w:val="0"/>
            </w:pPr>
            <w:r w:rsidRPr="00456281">
              <w:t>Decreased appetite</w:t>
            </w:r>
          </w:p>
        </w:tc>
        <w:tc>
          <w:tcPr>
            <w:tcW w:w="1494" w:type="dxa"/>
          </w:tcPr>
          <w:p w14:paraId="3B63AD60" w14:textId="77777777" w:rsidR="003E3072" w:rsidRPr="00456281" w:rsidRDefault="007F54D5" w:rsidP="00360CB1">
            <w:pPr>
              <w:pStyle w:val="TableText0"/>
              <w:keepNext w:val="0"/>
              <w:jc w:val="center"/>
            </w:pPr>
            <w:r w:rsidRPr="00456281">
              <w:t xml:space="preserve">32/370 </w:t>
            </w:r>
          </w:p>
          <w:p w14:paraId="0888994E" w14:textId="36FA4CDE" w:rsidR="007F54D5" w:rsidRPr="00456281" w:rsidRDefault="007F54D5" w:rsidP="00360CB1">
            <w:pPr>
              <w:pStyle w:val="TableText0"/>
              <w:keepNext w:val="0"/>
              <w:jc w:val="center"/>
            </w:pPr>
            <w:r w:rsidRPr="00456281">
              <w:t>(8.65%)</w:t>
            </w:r>
          </w:p>
        </w:tc>
        <w:tc>
          <w:tcPr>
            <w:tcW w:w="1492" w:type="dxa"/>
          </w:tcPr>
          <w:p w14:paraId="3633A897" w14:textId="77777777" w:rsidR="003E3072" w:rsidRPr="00456281" w:rsidRDefault="007F54D5" w:rsidP="00360CB1">
            <w:pPr>
              <w:pStyle w:val="TableText0"/>
              <w:keepNext w:val="0"/>
              <w:jc w:val="center"/>
            </w:pPr>
            <w:r w:rsidRPr="00456281">
              <w:t xml:space="preserve">10/379 </w:t>
            </w:r>
          </w:p>
          <w:p w14:paraId="7B6DED58" w14:textId="13D38F78" w:rsidR="007F54D5" w:rsidRPr="00456281" w:rsidRDefault="007F54D5" w:rsidP="00360CB1">
            <w:pPr>
              <w:pStyle w:val="TableText0"/>
              <w:keepNext w:val="0"/>
              <w:jc w:val="center"/>
            </w:pPr>
            <w:r w:rsidRPr="00456281">
              <w:t>(2.64%)</w:t>
            </w:r>
          </w:p>
        </w:tc>
        <w:tc>
          <w:tcPr>
            <w:tcW w:w="1224" w:type="dxa"/>
          </w:tcPr>
          <w:p w14:paraId="0D8953DF" w14:textId="77777777" w:rsidR="003E3072" w:rsidRPr="00456281" w:rsidRDefault="007F54D5" w:rsidP="00360CB1">
            <w:pPr>
              <w:pStyle w:val="TableText0"/>
              <w:keepNext w:val="0"/>
              <w:jc w:val="center"/>
              <w:rPr>
                <w:b/>
                <w:bCs w:val="0"/>
              </w:rPr>
            </w:pPr>
            <w:r w:rsidRPr="00456281">
              <w:rPr>
                <w:b/>
                <w:bCs w:val="0"/>
              </w:rPr>
              <w:t xml:space="preserve">3.49 </w:t>
            </w:r>
          </w:p>
          <w:p w14:paraId="43374905" w14:textId="231F944F" w:rsidR="007F54D5" w:rsidRPr="00456281" w:rsidRDefault="007F54D5" w:rsidP="00360CB1">
            <w:pPr>
              <w:pStyle w:val="TableText0"/>
              <w:keepNext w:val="0"/>
              <w:jc w:val="center"/>
              <w:rPr>
                <w:b/>
                <w:bCs w:val="0"/>
              </w:rPr>
            </w:pPr>
            <w:r w:rsidRPr="00456281">
              <w:rPr>
                <w:b/>
                <w:bCs w:val="0"/>
              </w:rPr>
              <w:t>[1.69, 7.21]</w:t>
            </w:r>
          </w:p>
        </w:tc>
        <w:tc>
          <w:tcPr>
            <w:tcW w:w="1224" w:type="dxa"/>
          </w:tcPr>
          <w:p w14:paraId="42390EF6" w14:textId="77777777" w:rsidR="003E3072" w:rsidRPr="00456281" w:rsidRDefault="007F54D5" w:rsidP="00360CB1">
            <w:pPr>
              <w:pStyle w:val="TableText0"/>
              <w:keepNext w:val="0"/>
              <w:jc w:val="center"/>
              <w:rPr>
                <w:b/>
                <w:bCs w:val="0"/>
              </w:rPr>
            </w:pPr>
            <w:r w:rsidRPr="00456281">
              <w:rPr>
                <w:b/>
                <w:bCs w:val="0"/>
              </w:rPr>
              <w:t xml:space="preserve">3.28 </w:t>
            </w:r>
          </w:p>
          <w:p w14:paraId="3AF92EFE" w14:textId="6F704CA3" w:rsidR="007F54D5" w:rsidRPr="00456281" w:rsidRDefault="007F54D5" w:rsidP="00360CB1">
            <w:pPr>
              <w:pStyle w:val="TableText0"/>
              <w:keepNext w:val="0"/>
              <w:jc w:val="center"/>
              <w:rPr>
                <w:b/>
                <w:bCs w:val="0"/>
              </w:rPr>
            </w:pPr>
            <w:r w:rsidRPr="00456281">
              <w:rPr>
                <w:b/>
                <w:bCs w:val="0"/>
              </w:rPr>
              <w:t>[1.64, 6.57]</w:t>
            </w:r>
          </w:p>
        </w:tc>
        <w:tc>
          <w:tcPr>
            <w:tcW w:w="1495" w:type="dxa"/>
          </w:tcPr>
          <w:p w14:paraId="2778AE28" w14:textId="77777777" w:rsidR="003E3072" w:rsidRPr="00456281" w:rsidRDefault="007F54D5" w:rsidP="00360CB1">
            <w:pPr>
              <w:pStyle w:val="TableText0"/>
              <w:keepNext w:val="0"/>
              <w:jc w:val="center"/>
              <w:rPr>
                <w:b/>
                <w:bCs w:val="0"/>
              </w:rPr>
            </w:pPr>
            <w:r w:rsidRPr="00456281">
              <w:rPr>
                <w:b/>
                <w:bCs w:val="0"/>
              </w:rPr>
              <w:t xml:space="preserve">0.06 </w:t>
            </w:r>
          </w:p>
          <w:p w14:paraId="048C8884" w14:textId="42E35D22" w:rsidR="007F54D5" w:rsidRPr="00456281" w:rsidRDefault="007F54D5" w:rsidP="00360CB1">
            <w:pPr>
              <w:pStyle w:val="TableText0"/>
              <w:keepNext w:val="0"/>
              <w:jc w:val="center"/>
              <w:rPr>
                <w:b/>
                <w:bCs w:val="0"/>
              </w:rPr>
            </w:pPr>
            <w:r w:rsidRPr="00456281">
              <w:rPr>
                <w:b/>
                <w:bCs w:val="0"/>
              </w:rPr>
              <w:t>[0.03, 0.09]</w:t>
            </w:r>
          </w:p>
        </w:tc>
      </w:tr>
      <w:tr w:rsidR="007F54D5" w:rsidRPr="00456281" w14:paraId="245FEC17" w14:textId="77777777" w:rsidTr="007F54D5">
        <w:trPr>
          <w:trHeight w:val="195"/>
        </w:trPr>
        <w:tc>
          <w:tcPr>
            <w:tcW w:w="2088" w:type="dxa"/>
          </w:tcPr>
          <w:p w14:paraId="10726116" w14:textId="77777777" w:rsidR="007F54D5" w:rsidRPr="00456281" w:rsidRDefault="007F54D5" w:rsidP="00360CB1">
            <w:pPr>
              <w:pStyle w:val="TableText0"/>
              <w:keepNext w:val="0"/>
            </w:pPr>
            <w:r w:rsidRPr="00456281">
              <w:t>Hypokalaemia</w:t>
            </w:r>
          </w:p>
        </w:tc>
        <w:tc>
          <w:tcPr>
            <w:tcW w:w="1494" w:type="dxa"/>
          </w:tcPr>
          <w:p w14:paraId="4599607E" w14:textId="77777777" w:rsidR="003E3072" w:rsidRPr="00456281" w:rsidRDefault="007F54D5" w:rsidP="00360CB1">
            <w:pPr>
              <w:pStyle w:val="TableText0"/>
              <w:keepNext w:val="0"/>
              <w:jc w:val="center"/>
            </w:pPr>
            <w:r w:rsidRPr="00456281">
              <w:t xml:space="preserve">56/370 </w:t>
            </w:r>
          </w:p>
          <w:p w14:paraId="0F03544C" w14:textId="17237056" w:rsidR="007F54D5" w:rsidRPr="00456281" w:rsidRDefault="007F54D5" w:rsidP="00360CB1">
            <w:pPr>
              <w:pStyle w:val="TableText0"/>
              <w:keepNext w:val="0"/>
              <w:jc w:val="center"/>
            </w:pPr>
            <w:r w:rsidRPr="00456281">
              <w:t>(15.14%)</w:t>
            </w:r>
          </w:p>
        </w:tc>
        <w:tc>
          <w:tcPr>
            <w:tcW w:w="1492" w:type="dxa"/>
          </w:tcPr>
          <w:p w14:paraId="06FDBF30" w14:textId="77777777" w:rsidR="003E3072" w:rsidRPr="00456281" w:rsidRDefault="007F54D5" w:rsidP="00360CB1">
            <w:pPr>
              <w:pStyle w:val="TableText0"/>
              <w:keepNext w:val="0"/>
              <w:jc w:val="center"/>
            </w:pPr>
            <w:r w:rsidRPr="00456281">
              <w:t xml:space="preserve">15/379 </w:t>
            </w:r>
          </w:p>
          <w:p w14:paraId="0DC5B025" w14:textId="24345716" w:rsidR="007F54D5" w:rsidRPr="00456281" w:rsidRDefault="007F54D5" w:rsidP="00360CB1">
            <w:pPr>
              <w:pStyle w:val="TableText0"/>
              <w:keepNext w:val="0"/>
              <w:jc w:val="center"/>
            </w:pPr>
            <w:r w:rsidRPr="00456281">
              <w:t>(3.96%)</w:t>
            </w:r>
          </w:p>
        </w:tc>
        <w:tc>
          <w:tcPr>
            <w:tcW w:w="1224" w:type="dxa"/>
          </w:tcPr>
          <w:p w14:paraId="44FA53E1" w14:textId="77777777" w:rsidR="003E3072" w:rsidRPr="00456281" w:rsidRDefault="007F54D5" w:rsidP="00360CB1">
            <w:pPr>
              <w:pStyle w:val="TableText0"/>
              <w:keepNext w:val="0"/>
              <w:jc w:val="center"/>
              <w:rPr>
                <w:b/>
                <w:bCs w:val="0"/>
              </w:rPr>
            </w:pPr>
            <w:r w:rsidRPr="00456281">
              <w:rPr>
                <w:b/>
                <w:bCs w:val="0"/>
              </w:rPr>
              <w:t xml:space="preserve">4.33 </w:t>
            </w:r>
          </w:p>
          <w:p w14:paraId="74032852" w14:textId="683499BA" w:rsidR="007F54D5" w:rsidRPr="00456281" w:rsidRDefault="007F54D5" w:rsidP="00360CB1">
            <w:pPr>
              <w:pStyle w:val="TableText0"/>
              <w:keepNext w:val="0"/>
              <w:jc w:val="center"/>
              <w:rPr>
                <w:b/>
                <w:bCs w:val="0"/>
              </w:rPr>
            </w:pPr>
            <w:r w:rsidRPr="00456281">
              <w:rPr>
                <w:b/>
                <w:bCs w:val="0"/>
              </w:rPr>
              <w:t>[2.40, 7.80]</w:t>
            </w:r>
          </w:p>
        </w:tc>
        <w:tc>
          <w:tcPr>
            <w:tcW w:w="1224" w:type="dxa"/>
          </w:tcPr>
          <w:p w14:paraId="785B0E40" w14:textId="77777777" w:rsidR="003E3072" w:rsidRPr="00456281" w:rsidRDefault="007F54D5" w:rsidP="00360CB1">
            <w:pPr>
              <w:pStyle w:val="TableText0"/>
              <w:keepNext w:val="0"/>
              <w:jc w:val="center"/>
              <w:rPr>
                <w:b/>
                <w:bCs w:val="0"/>
              </w:rPr>
            </w:pPr>
            <w:r w:rsidRPr="00456281">
              <w:rPr>
                <w:b/>
                <w:bCs w:val="0"/>
              </w:rPr>
              <w:t xml:space="preserve">3.82 </w:t>
            </w:r>
          </w:p>
          <w:p w14:paraId="382ECA6D" w14:textId="3AF58779" w:rsidR="007F54D5" w:rsidRPr="00456281" w:rsidRDefault="007F54D5" w:rsidP="00360CB1">
            <w:pPr>
              <w:pStyle w:val="TableText0"/>
              <w:keepNext w:val="0"/>
              <w:jc w:val="center"/>
              <w:rPr>
                <w:b/>
                <w:bCs w:val="0"/>
              </w:rPr>
            </w:pPr>
            <w:r w:rsidRPr="00456281">
              <w:rPr>
                <w:b/>
                <w:bCs w:val="0"/>
              </w:rPr>
              <w:t>[2.20, 6.64]</w:t>
            </w:r>
          </w:p>
        </w:tc>
        <w:tc>
          <w:tcPr>
            <w:tcW w:w="1495" w:type="dxa"/>
          </w:tcPr>
          <w:p w14:paraId="686E20A5" w14:textId="77777777" w:rsidR="003E3072" w:rsidRPr="00456281" w:rsidRDefault="007F54D5" w:rsidP="00360CB1">
            <w:pPr>
              <w:pStyle w:val="TableText0"/>
              <w:keepNext w:val="0"/>
              <w:jc w:val="center"/>
              <w:rPr>
                <w:b/>
                <w:bCs w:val="0"/>
              </w:rPr>
            </w:pPr>
            <w:r w:rsidRPr="00456281">
              <w:rPr>
                <w:b/>
                <w:bCs w:val="0"/>
              </w:rPr>
              <w:t xml:space="preserve">0.11 </w:t>
            </w:r>
          </w:p>
          <w:p w14:paraId="76187C27" w14:textId="1990F0AF" w:rsidR="007F54D5" w:rsidRPr="00456281" w:rsidRDefault="007F54D5" w:rsidP="00360CB1">
            <w:pPr>
              <w:pStyle w:val="TableText0"/>
              <w:keepNext w:val="0"/>
              <w:jc w:val="center"/>
              <w:rPr>
                <w:b/>
                <w:bCs w:val="0"/>
              </w:rPr>
            </w:pPr>
            <w:r w:rsidRPr="00456281">
              <w:rPr>
                <w:b/>
                <w:bCs w:val="0"/>
              </w:rPr>
              <w:t>[0.07, 0.15]</w:t>
            </w:r>
          </w:p>
        </w:tc>
      </w:tr>
      <w:tr w:rsidR="007F54D5" w:rsidRPr="00456281" w14:paraId="7D3F4DBC" w14:textId="77777777" w:rsidTr="007F54D5">
        <w:trPr>
          <w:trHeight w:val="195"/>
        </w:trPr>
        <w:tc>
          <w:tcPr>
            <w:tcW w:w="2088" w:type="dxa"/>
          </w:tcPr>
          <w:p w14:paraId="0EF0F504" w14:textId="77777777" w:rsidR="007F54D5" w:rsidRPr="00456281" w:rsidRDefault="007F54D5" w:rsidP="00360CB1">
            <w:pPr>
              <w:pStyle w:val="TableText0"/>
              <w:keepNext w:val="0"/>
            </w:pPr>
            <w:r w:rsidRPr="00456281">
              <w:t>Dehydration</w:t>
            </w:r>
          </w:p>
        </w:tc>
        <w:tc>
          <w:tcPr>
            <w:tcW w:w="1494" w:type="dxa"/>
          </w:tcPr>
          <w:p w14:paraId="113A1D35" w14:textId="77777777" w:rsidR="003E3072" w:rsidRPr="00456281" w:rsidRDefault="007F54D5" w:rsidP="00360CB1">
            <w:pPr>
              <w:pStyle w:val="TableText0"/>
              <w:keepNext w:val="0"/>
              <w:jc w:val="center"/>
            </w:pPr>
            <w:r w:rsidRPr="00456281">
              <w:t xml:space="preserve">12/370 </w:t>
            </w:r>
          </w:p>
          <w:p w14:paraId="4CF458F1" w14:textId="08070AE8" w:rsidR="007F54D5" w:rsidRPr="00456281" w:rsidRDefault="007F54D5" w:rsidP="00360CB1">
            <w:pPr>
              <w:pStyle w:val="TableText0"/>
              <w:keepNext w:val="0"/>
              <w:jc w:val="center"/>
            </w:pPr>
            <w:r w:rsidRPr="00456281">
              <w:t>(3.24%)</w:t>
            </w:r>
          </w:p>
        </w:tc>
        <w:tc>
          <w:tcPr>
            <w:tcW w:w="1492" w:type="dxa"/>
          </w:tcPr>
          <w:p w14:paraId="086029BD" w14:textId="77777777" w:rsidR="003E3072" w:rsidRPr="00456281" w:rsidRDefault="007F54D5" w:rsidP="00360CB1">
            <w:pPr>
              <w:pStyle w:val="TableText0"/>
              <w:keepNext w:val="0"/>
              <w:jc w:val="center"/>
            </w:pPr>
            <w:r w:rsidRPr="00456281">
              <w:t xml:space="preserve">4/379 </w:t>
            </w:r>
          </w:p>
          <w:p w14:paraId="5505021F" w14:textId="10A0EAE6" w:rsidR="007F54D5" w:rsidRPr="00456281" w:rsidRDefault="007F54D5" w:rsidP="00360CB1">
            <w:pPr>
              <w:pStyle w:val="TableText0"/>
              <w:keepNext w:val="0"/>
              <w:jc w:val="center"/>
            </w:pPr>
            <w:r w:rsidRPr="00456281">
              <w:t>(1.06%)</w:t>
            </w:r>
          </w:p>
        </w:tc>
        <w:tc>
          <w:tcPr>
            <w:tcW w:w="1224" w:type="dxa"/>
          </w:tcPr>
          <w:p w14:paraId="49C0C7BB" w14:textId="77777777" w:rsidR="003E3072" w:rsidRPr="00456281" w:rsidRDefault="007F54D5" w:rsidP="00360CB1">
            <w:pPr>
              <w:pStyle w:val="TableText0"/>
              <w:keepNext w:val="0"/>
              <w:jc w:val="center"/>
              <w:rPr>
                <w:b/>
                <w:bCs w:val="0"/>
              </w:rPr>
            </w:pPr>
            <w:r w:rsidRPr="00456281">
              <w:rPr>
                <w:b/>
                <w:bCs w:val="0"/>
              </w:rPr>
              <w:t xml:space="preserve">3.14 </w:t>
            </w:r>
          </w:p>
          <w:p w14:paraId="3C2F40AB" w14:textId="5AAA13A7" w:rsidR="007F54D5" w:rsidRPr="00456281" w:rsidRDefault="007F54D5" w:rsidP="00360CB1">
            <w:pPr>
              <w:pStyle w:val="TableText0"/>
              <w:keepNext w:val="0"/>
              <w:jc w:val="center"/>
              <w:rPr>
                <w:b/>
                <w:bCs w:val="0"/>
              </w:rPr>
            </w:pPr>
            <w:r w:rsidRPr="00456281">
              <w:rPr>
                <w:b/>
                <w:bCs w:val="0"/>
              </w:rPr>
              <w:t>[1.00, 9.83]</w:t>
            </w:r>
          </w:p>
        </w:tc>
        <w:tc>
          <w:tcPr>
            <w:tcW w:w="1224" w:type="dxa"/>
          </w:tcPr>
          <w:p w14:paraId="70114124" w14:textId="77777777" w:rsidR="003E3072" w:rsidRPr="00456281" w:rsidRDefault="007F54D5" w:rsidP="00360CB1">
            <w:pPr>
              <w:pStyle w:val="TableText0"/>
              <w:keepNext w:val="0"/>
              <w:jc w:val="center"/>
            </w:pPr>
            <w:r w:rsidRPr="00456281">
              <w:t xml:space="preserve">3.07 </w:t>
            </w:r>
          </w:p>
          <w:p w14:paraId="7BD0BF0D" w14:textId="0C108028" w:rsidR="007F54D5" w:rsidRPr="00456281" w:rsidRDefault="007F54D5" w:rsidP="00360CB1">
            <w:pPr>
              <w:pStyle w:val="TableText0"/>
              <w:keepNext w:val="0"/>
              <w:jc w:val="center"/>
            </w:pPr>
            <w:r w:rsidRPr="00456281">
              <w:t>[1.00, 9.44]</w:t>
            </w:r>
          </w:p>
        </w:tc>
        <w:tc>
          <w:tcPr>
            <w:tcW w:w="1495" w:type="dxa"/>
          </w:tcPr>
          <w:p w14:paraId="1EC86E1C" w14:textId="77777777" w:rsidR="003E3072" w:rsidRPr="00456281" w:rsidRDefault="007F54D5" w:rsidP="00360CB1">
            <w:pPr>
              <w:pStyle w:val="TableText0"/>
              <w:keepNext w:val="0"/>
              <w:jc w:val="center"/>
              <w:rPr>
                <w:b/>
                <w:bCs w:val="0"/>
              </w:rPr>
            </w:pPr>
            <w:r w:rsidRPr="00456281">
              <w:rPr>
                <w:b/>
                <w:bCs w:val="0"/>
              </w:rPr>
              <w:t xml:space="preserve">0.02 </w:t>
            </w:r>
          </w:p>
          <w:p w14:paraId="123E5B3F" w14:textId="043C77B1" w:rsidR="007F54D5" w:rsidRPr="00456281" w:rsidRDefault="007F54D5" w:rsidP="00360CB1">
            <w:pPr>
              <w:pStyle w:val="TableText0"/>
              <w:keepNext w:val="0"/>
              <w:jc w:val="center"/>
              <w:rPr>
                <w:b/>
                <w:bCs w:val="0"/>
              </w:rPr>
            </w:pPr>
            <w:r w:rsidRPr="00456281">
              <w:rPr>
                <w:b/>
                <w:bCs w:val="0"/>
              </w:rPr>
              <w:t>[0.00, 0.04]</w:t>
            </w:r>
          </w:p>
        </w:tc>
      </w:tr>
      <w:tr w:rsidR="007F54D5" w:rsidRPr="00456281" w14:paraId="1994238F" w14:textId="77777777" w:rsidTr="007F54D5">
        <w:trPr>
          <w:trHeight w:val="195"/>
        </w:trPr>
        <w:tc>
          <w:tcPr>
            <w:tcW w:w="9017" w:type="dxa"/>
            <w:gridSpan w:val="6"/>
            <w:shd w:val="clear" w:color="auto" w:fill="auto"/>
          </w:tcPr>
          <w:p w14:paraId="00961AF0" w14:textId="77777777" w:rsidR="007F54D5" w:rsidRPr="00456281" w:rsidRDefault="007F54D5" w:rsidP="00360CB1">
            <w:pPr>
              <w:pStyle w:val="TableText0"/>
              <w:keepNext w:val="0"/>
              <w:rPr>
                <w:b/>
                <w:bCs w:val="0"/>
              </w:rPr>
            </w:pPr>
            <w:r w:rsidRPr="00456281">
              <w:rPr>
                <w:b/>
                <w:bCs w:val="0"/>
              </w:rPr>
              <w:t>Investigations</w:t>
            </w:r>
          </w:p>
        </w:tc>
      </w:tr>
      <w:tr w:rsidR="007F54D5" w:rsidRPr="00456281" w14:paraId="1D386BEB" w14:textId="77777777" w:rsidTr="007F54D5">
        <w:trPr>
          <w:trHeight w:val="185"/>
        </w:trPr>
        <w:tc>
          <w:tcPr>
            <w:tcW w:w="2088" w:type="dxa"/>
          </w:tcPr>
          <w:p w14:paraId="6324EB88" w14:textId="77777777" w:rsidR="007F54D5" w:rsidRPr="00456281" w:rsidRDefault="007F54D5" w:rsidP="00360CB1">
            <w:pPr>
              <w:pStyle w:val="TableText0"/>
              <w:keepNext w:val="0"/>
            </w:pPr>
            <w:r w:rsidRPr="00456281">
              <w:t>Neutrophil count decreased</w:t>
            </w:r>
          </w:p>
        </w:tc>
        <w:tc>
          <w:tcPr>
            <w:tcW w:w="1494" w:type="dxa"/>
          </w:tcPr>
          <w:p w14:paraId="206AE3BA" w14:textId="77777777" w:rsidR="003E3072" w:rsidRPr="00456281" w:rsidRDefault="007F54D5" w:rsidP="00360CB1">
            <w:pPr>
              <w:pStyle w:val="TableText0"/>
              <w:keepNext w:val="0"/>
              <w:jc w:val="center"/>
            </w:pPr>
            <w:r w:rsidRPr="00456281">
              <w:t xml:space="preserve">36/370 </w:t>
            </w:r>
          </w:p>
          <w:p w14:paraId="1A6CA9CC" w14:textId="225E8D99" w:rsidR="007F54D5" w:rsidRPr="00456281" w:rsidRDefault="007F54D5" w:rsidP="00360CB1">
            <w:pPr>
              <w:pStyle w:val="TableText0"/>
              <w:keepNext w:val="0"/>
              <w:jc w:val="center"/>
            </w:pPr>
            <w:r w:rsidRPr="00456281">
              <w:t>(9.73%)</w:t>
            </w:r>
          </w:p>
        </w:tc>
        <w:tc>
          <w:tcPr>
            <w:tcW w:w="1492" w:type="dxa"/>
          </w:tcPr>
          <w:p w14:paraId="2150FBCD" w14:textId="77777777" w:rsidR="003E3072" w:rsidRPr="00456281" w:rsidRDefault="007F54D5" w:rsidP="00360CB1">
            <w:pPr>
              <w:pStyle w:val="TableText0"/>
              <w:keepNext w:val="0"/>
              <w:jc w:val="center"/>
            </w:pPr>
            <w:r w:rsidRPr="00456281">
              <w:t xml:space="preserve">51/379 </w:t>
            </w:r>
          </w:p>
          <w:p w14:paraId="55BAA9C3" w14:textId="7CA35717" w:rsidR="007F54D5" w:rsidRPr="00456281" w:rsidRDefault="007F54D5" w:rsidP="00360CB1">
            <w:pPr>
              <w:pStyle w:val="TableText0"/>
              <w:keepNext w:val="0"/>
              <w:jc w:val="center"/>
            </w:pPr>
            <w:r w:rsidRPr="00456281">
              <w:t>(13.46%)</w:t>
            </w:r>
          </w:p>
        </w:tc>
        <w:tc>
          <w:tcPr>
            <w:tcW w:w="1224" w:type="dxa"/>
          </w:tcPr>
          <w:p w14:paraId="6D05E120" w14:textId="77777777" w:rsidR="003E3072" w:rsidRPr="00456281" w:rsidRDefault="007F54D5" w:rsidP="00360CB1">
            <w:pPr>
              <w:pStyle w:val="TableText0"/>
              <w:keepNext w:val="0"/>
              <w:jc w:val="center"/>
            </w:pPr>
            <w:r w:rsidRPr="00456281">
              <w:t xml:space="preserve">0.69 </w:t>
            </w:r>
          </w:p>
          <w:p w14:paraId="750F6F95" w14:textId="20C62854" w:rsidR="007F54D5" w:rsidRPr="00456281" w:rsidRDefault="007F54D5" w:rsidP="00360CB1">
            <w:pPr>
              <w:pStyle w:val="TableText0"/>
              <w:keepNext w:val="0"/>
              <w:jc w:val="center"/>
            </w:pPr>
            <w:r w:rsidRPr="00456281">
              <w:t>[0.44, 1.09]</w:t>
            </w:r>
          </w:p>
        </w:tc>
        <w:tc>
          <w:tcPr>
            <w:tcW w:w="1224" w:type="dxa"/>
          </w:tcPr>
          <w:p w14:paraId="49CA10F9" w14:textId="77777777" w:rsidR="003E3072" w:rsidRPr="00456281" w:rsidRDefault="007F54D5" w:rsidP="00360CB1">
            <w:pPr>
              <w:pStyle w:val="TableText0"/>
              <w:keepNext w:val="0"/>
              <w:jc w:val="center"/>
            </w:pPr>
            <w:r w:rsidRPr="00456281">
              <w:t xml:space="preserve">0.72 </w:t>
            </w:r>
          </w:p>
          <w:p w14:paraId="6C38ADD9" w14:textId="197F7577" w:rsidR="007F54D5" w:rsidRPr="00456281" w:rsidRDefault="007F54D5" w:rsidP="00360CB1">
            <w:pPr>
              <w:pStyle w:val="TableText0"/>
              <w:keepNext w:val="0"/>
              <w:jc w:val="center"/>
            </w:pPr>
            <w:r w:rsidRPr="00456281">
              <w:t>[0.48, 1.08]</w:t>
            </w:r>
          </w:p>
        </w:tc>
        <w:tc>
          <w:tcPr>
            <w:tcW w:w="1495" w:type="dxa"/>
          </w:tcPr>
          <w:p w14:paraId="5B5D5753" w14:textId="77777777" w:rsidR="003E3072" w:rsidRPr="00456281" w:rsidRDefault="007F54D5" w:rsidP="00360CB1">
            <w:pPr>
              <w:pStyle w:val="TableText0"/>
              <w:keepNext w:val="0"/>
              <w:jc w:val="center"/>
            </w:pPr>
            <w:r w:rsidRPr="00456281">
              <w:t xml:space="preserve">-0.04 </w:t>
            </w:r>
          </w:p>
          <w:p w14:paraId="55724E73" w14:textId="1103D70A" w:rsidR="007F54D5" w:rsidRPr="00456281" w:rsidRDefault="007F54D5" w:rsidP="00360CB1">
            <w:pPr>
              <w:pStyle w:val="TableText0"/>
              <w:keepNext w:val="0"/>
              <w:jc w:val="center"/>
            </w:pPr>
            <w:r w:rsidRPr="00456281">
              <w:t>[-0.08, 0.01]</w:t>
            </w:r>
          </w:p>
        </w:tc>
      </w:tr>
      <w:tr w:rsidR="007F54D5" w:rsidRPr="00456281" w14:paraId="7205770E" w14:textId="77777777" w:rsidTr="007F54D5">
        <w:trPr>
          <w:trHeight w:val="195"/>
        </w:trPr>
        <w:tc>
          <w:tcPr>
            <w:tcW w:w="2088" w:type="dxa"/>
          </w:tcPr>
          <w:p w14:paraId="1890DD8E" w14:textId="77777777" w:rsidR="007F54D5" w:rsidRPr="00456281" w:rsidRDefault="007F54D5" w:rsidP="00360CB1">
            <w:pPr>
              <w:pStyle w:val="TableText0"/>
              <w:keepNext w:val="0"/>
            </w:pPr>
            <w:r w:rsidRPr="00456281">
              <w:t>Weight decreased</w:t>
            </w:r>
          </w:p>
        </w:tc>
        <w:tc>
          <w:tcPr>
            <w:tcW w:w="1494" w:type="dxa"/>
          </w:tcPr>
          <w:p w14:paraId="75B1FBFA" w14:textId="77777777" w:rsidR="003E3072" w:rsidRPr="00456281" w:rsidRDefault="007F54D5" w:rsidP="00360CB1">
            <w:pPr>
              <w:pStyle w:val="TableText0"/>
              <w:keepNext w:val="0"/>
              <w:jc w:val="center"/>
            </w:pPr>
            <w:r w:rsidRPr="00456281">
              <w:t xml:space="preserve">11/370 </w:t>
            </w:r>
          </w:p>
          <w:p w14:paraId="0890597F" w14:textId="4EF3AFF4" w:rsidR="007F54D5" w:rsidRPr="00456281" w:rsidRDefault="007F54D5" w:rsidP="00360CB1">
            <w:pPr>
              <w:pStyle w:val="TableText0"/>
              <w:keepNext w:val="0"/>
              <w:jc w:val="center"/>
            </w:pPr>
            <w:r w:rsidRPr="00456281">
              <w:t>(2.97%)</w:t>
            </w:r>
          </w:p>
        </w:tc>
        <w:tc>
          <w:tcPr>
            <w:tcW w:w="1492" w:type="dxa"/>
          </w:tcPr>
          <w:p w14:paraId="0C9BFB8A" w14:textId="77777777" w:rsidR="003E3072" w:rsidRPr="00456281" w:rsidRDefault="007F54D5" w:rsidP="00360CB1">
            <w:pPr>
              <w:pStyle w:val="TableText0"/>
              <w:keepNext w:val="0"/>
              <w:jc w:val="center"/>
            </w:pPr>
            <w:r w:rsidRPr="00456281">
              <w:t xml:space="preserve">1/379 </w:t>
            </w:r>
          </w:p>
          <w:p w14:paraId="24C60680" w14:textId="266505CB" w:rsidR="007F54D5" w:rsidRPr="00456281" w:rsidRDefault="007F54D5" w:rsidP="00360CB1">
            <w:pPr>
              <w:pStyle w:val="TableText0"/>
              <w:keepNext w:val="0"/>
              <w:jc w:val="center"/>
            </w:pPr>
            <w:r w:rsidRPr="00456281">
              <w:t>(0.26%)</w:t>
            </w:r>
          </w:p>
        </w:tc>
        <w:tc>
          <w:tcPr>
            <w:tcW w:w="1224" w:type="dxa"/>
          </w:tcPr>
          <w:p w14:paraId="5E99D25F" w14:textId="77777777" w:rsidR="003E3072" w:rsidRPr="00456281" w:rsidRDefault="007F54D5" w:rsidP="00360CB1">
            <w:pPr>
              <w:pStyle w:val="TableText0"/>
              <w:keepNext w:val="0"/>
              <w:jc w:val="center"/>
              <w:rPr>
                <w:b/>
                <w:bCs w:val="0"/>
              </w:rPr>
            </w:pPr>
            <w:r w:rsidRPr="00456281">
              <w:rPr>
                <w:b/>
                <w:bCs w:val="0"/>
              </w:rPr>
              <w:t xml:space="preserve">11.58 </w:t>
            </w:r>
          </w:p>
          <w:p w14:paraId="5BF41A2A" w14:textId="370BE696" w:rsidR="007F54D5" w:rsidRPr="00456281" w:rsidRDefault="007F54D5" w:rsidP="00360CB1">
            <w:pPr>
              <w:pStyle w:val="TableText0"/>
              <w:keepNext w:val="0"/>
              <w:jc w:val="center"/>
              <w:rPr>
                <w:b/>
                <w:bCs w:val="0"/>
              </w:rPr>
            </w:pPr>
            <w:r w:rsidRPr="00456281">
              <w:rPr>
                <w:b/>
                <w:bCs w:val="0"/>
              </w:rPr>
              <w:t>[1.49, 90.17]</w:t>
            </w:r>
          </w:p>
        </w:tc>
        <w:tc>
          <w:tcPr>
            <w:tcW w:w="1224" w:type="dxa"/>
          </w:tcPr>
          <w:p w14:paraId="41BA5B21" w14:textId="77777777" w:rsidR="003E3072" w:rsidRPr="00456281" w:rsidRDefault="007F54D5" w:rsidP="00360CB1">
            <w:pPr>
              <w:pStyle w:val="TableText0"/>
              <w:keepNext w:val="0"/>
              <w:jc w:val="center"/>
              <w:rPr>
                <w:b/>
                <w:bCs w:val="0"/>
              </w:rPr>
            </w:pPr>
            <w:r w:rsidRPr="00456281">
              <w:rPr>
                <w:b/>
                <w:bCs w:val="0"/>
              </w:rPr>
              <w:t xml:space="preserve">11.27 </w:t>
            </w:r>
          </w:p>
          <w:p w14:paraId="3E9CA9E7" w14:textId="7EB004F0" w:rsidR="007F54D5" w:rsidRPr="00456281" w:rsidRDefault="007F54D5" w:rsidP="00360CB1">
            <w:pPr>
              <w:pStyle w:val="TableText0"/>
              <w:keepNext w:val="0"/>
              <w:jc w:val="center"/>
              <w:rPr>
                <w:b/>
                <w:bCs w:val="0"/>
              </w:rPr>
            </w:pPr>
            <w:r w:rsidRPr="00456281">
              <w:rPr>
                <w:b/>
                <w:bCs w:val="0"/>
              </w:rPr>
              <w:t>[1.46, 86.84]</w:t>
            </w:r>
          </w:p>
        </w:tc>
        <w:tc>
          <w:tcPr>
            <w:tcW w:w="1495" w:type="dxa"/>
          </w:tcPr>
          <w:p w14:paraId="57C6272B" w14:textId="77777777" w:rsidR="003E3072" w:rsidRPr="00456281" w:rsidRDefault="007F54D5" w:rsidP="00360CB1">
            <w:pPr>
              <w:pStyle w:val="TableText0"/>
              <w:keepNext w:val="0"/>
              <w:jc w:val="center"/>
              <w:rPr>
                <w:b/>
                <w:bCs w:val="0"/>
              </w:rPr>
            </w:pPr>
            <w:r w:rsidRPr="00456281">
              <w:rPr>
                <w:b/>
                <w:bCs w:val="0"/>
              </w:rPr>
              <w:t xml:space="preserve">0.03 </w:t>
            </w:r>
          </w:p>
          <w:p w14:paraId="1B2EEB4C" w14:textId="4777BE23" w:rsidR="007F54D5" w:rsidRPr="00456281" w:rsidRDefault="007F54D5" w:rsidP="00360CB1">
            <w:pPr>
              <w:pStyle w:val="TableText0"/>
              <w:keepNext w:val="0"/>
              <w:jc w:val="center"/>
              <w:rPr>
                <w:b/>
                <w:bCs w:val="0"/>
              </w:rPr>
            </w:pPr>
            <w:r w:rsidRPr="00456281">
              <w:rPr>
                <w:b/>
                <w:bCs w:val="0"/>
              </w:rPr>
              <w:t>[0.01, 0.05]</w:t>
            </w:r>
          </w:p>
        </w:tc>
      </w:tr>
      <w:tr w:rsidR="007F54D5" w:rsidRPr="00456281" w14:paraId="0D05B232" w14:textId="77777777" w:rsidTr="007F54D5">
        <w:trPr>
          <w:trHeight w:val="195"/>
        </w:trPr>
        <w:tc>
          <w:tcPr>
            <w:tcW w:w="2088" w:type="dxa"/>
          </w:tcPr>
          <w:p w14:paraId="56B559FB" w14:textId="77777777" w:rsidR="007F54D5" w:rsidRPr="00456281" w:rsidRDefault="007F54D5" w:rsidP="00360CB1">
            <w:pPr>
              <w:pStyle w:val="TableText0"/>
              <w:keepNext w:val="0"/>
            </w:pPr>
            <w:r w:rsidRPr="00456281">
              <w:t>Platelet count decreased</w:t>
            </w:r>
          </w:p>
        </w:tc>
        <w:tc>
          <w:tcPr>
            <w:tcW w:w="1494" w:type="dxa"/>
          </w:tcPr>
          <w:p w14:paraId="46792C97" w14:textId="77777777" w:rsidR="003E3072" w:rsidRPr="00456281" w:rsidRDefault="007F54D5" w:rsidP="00360CB1">
            <w:pPr>
              <w:pStyle w:val="TableText0"/>
              <w:keepNext w:val="0"/>
              <w:jc w:val="center"/>
            </w:pPr>
            <w:r w:rsidRPr="00456281">
              <w:t xml:space="preserve">3/370 </w:t>
            </w:r>
          </w:p>
          <w:p w14:paraId="0649E2CE" w14:textId="5489D33A" w:rsidR="007F54D5" w:rsidRPr="00456281" w:rsidRDefault="007F54D5" w:rsidP="00360CB1">
            <w:pPr>
              <w:pStyle w:val="TableText0"/>
              <w:keepNext w:val="0"/>
              <w:jc w:val="center"/>
            </w:pPr>
            <w:r w:rsidRPr="00456281">
              <w:t>(0.81%)</w:t>
            </w:r>
          </w:p>
        </w:tc>
        <w:tc>
          <w:tcPr>
            <w:tcW w:w="1492" w:type="dxa"/>
          </w:tcPr>
          <w:p w14:paraId="62CCBF83" w14:textId="77777777" w:rsidR="003E3072" w:rsidRPr="00456281" w:rsidRDefault="007F54D5" w:rsidP="00360CB1">
            <w:pPr>
              <w:pStyle w:val="TableText0"/>
              <w:keepNext w:val="0"/>
              <w:jc w:val="center"/>
            </w:pPr>
            <w:r w:rsidRPr="00456281">
              <w:t xml:space="preserve">9/379 </w:t>
            </w:r>
          </w:p>
          <w:p w14:paraId="5B8EAC89" w14:textId="742FA4A8" w:rsidR="007F54D5" w:rsidRPr="00456281" w:rsidRDefault="007F54D5" w:rsidP="00360CB1">
            <w:pPr>
              <w:pStyle w:val="TableText0"/>
              <w:keepNext w:val="0"/>
              <w:jc w:val="center"/>
            </w:pPr>
            <w:r w:rsidRPr="00456281">
              <w:t>(2.37%)</w:t>
            </w:r>
          </w:p>
        </w:tc>
        <w:tc>
          <w:tcPr>
            <w:tcW w:w="1224" w:type="dxa"/>
          </w:tcPr>
          <w:p w14:paraId="463F9626" w14:textId="77777777" w:rsidR="003E3072" w:rsidRPr="00456281" w:rsidRDefault="007F54D5" w:rsidP="00360CB1">
            <w:pPr>
              <w:pStyle w:val="TableText0"/>
              <w:keepNext w:val="0"/>
              <w:jc w:val="center"/>
            </w:pPr>
            <w:r w:rsidRPr="00456281">
              <w:t xml:space="preserve">0.34 </w:t>
            </w:r>
          </w:p>
          <w:p w14:paraId="0B7DEA5A" w14:textId="54CFE2E0" w:rsidR="007F54D5" w:rsidRPr="00456281" w:rsidRDefault="007F54D5" w:rsidP="00360CB1">
            <w:pPr>
              <w:pStyle w:val="TableText0"/>
              <w:keepNext w:val="0"/>
              <w:jc w:val="center"/>
            </w:pPr>
            <w:r w:rsidRPr="00456281">
              <w:t>[0.09, 1.25]</w:t>
            </w:r>
          </w:p>
        </w:tc>
        <w:tc>
          <w:tcPr>
            <w:tcW w:w="1224" w:type="dxa"/>
          </w:tcPr>
          <w:p w14:paraId="0F18D516" w14:textId="77777777" w:rsidR="003E3072" w:rsidRPr="00456281" w:rsidRDefault="007F54D5" w:rsidP="00360CB1">
            <w:pPr>
              <w:pStyle w:val="TableText0"/>
              <w:keepNext w:val="0"/>
              <w:jc w:val="center"/>
            </w:pPr>
            <w:r w:rsidRPr="00456281">
              <w:t xml:space="preserve">0.34 </w:t>
            </w:r>
          </w:p>
          <w:p w14:paraId="7894255B" w14:textId="3EF66F4E" w:rsidR="007F54D5" w:rsidRPr="00456281" w:rsidRDefault="007F54D5" w:rsidP="00360CB1">
            <w:pPr>
              <w:pStyle w:val="TableText0"/>
              <w:keepNext w:val="0"/>
              <w:jc w:val="center"/>
            </w:pPr>
            <w:r w:rsidRPr="00456281">
              <w:t>[0.09, 1.25]</w:t>
            </w:r>
          </w:p>
        </w:tc>
        <w:tc>
          <w:tcPr>
            <w:tcW w:w="1495" w:type="dxa"/>
          </w:tcPr>
          <w:p w14:paraId="14FDC896" w14:textId="77777777" w:rsidR="003E3072" w:rsidRPr="00456281" w:rsidRDefault="007F54D5" w:rsidP="00360CB1">
            <w:pPr>
              <w:pStyle w:val="TableText0"/>
              <w:keepNext w:val="0"/>
              <w:jc w:val="center"/>
            </w:pPr>
            <w:r w:rsidRPr="00456281">
              <w:t xml:space="preserve">-0.02 </w:t>
            </w:r>
          </w:p>
          <w:p w14:paraId="666A09C5" w14:textId="5E5243BE" w:rsidR="007F54D5" w:rsidRPr="00456281" w:rsidRDefault="007F54D5" w:rsidP="00360CB1">
            <w:pPr>
              <w:pStyle w:val="TableText0"/>
              <w:keepNext w:val="0"/>
              <w:jc w:val="center"/>
            </w:pPr>
            <w:r w:rsidRPr="00456281">
              <w:t>[-0.03, 0.00]</w:t>
            </w:r>
          </w:p>
        </w:tc>
      </w:tr>
      <w:tr w:rsidR="007F54D5" w:rsidRPr="00456281" w14:paraId="78670BC9" w14:textId="77777777" w:rsidTr="007F54D5">
        <w:trPr>
          <w:trHeight w:val="195"/>
        </w:trPr>
        <w:tc>
          <w:tcPr>
            <w:tcW w:w="2088" w:type="dxa"/>
          </w:tcPr>
          <w:p w14:paraId="2E91E3A9" w14:textId="77777777" w:rsidR="007F54D5" w:rsidRPr="00456281" w:rsidRDefault="007F54D5" w:rsidP="00360CB1">
            <w:pPr>
              <w:pStyle w:val="TableText0"/>
              <w:keepNext w:val="0"/>
            </w:pPr>
            <w:r w:rsidRPr="00456281">
              <w:t>White blood cell count decreased</w:t>
            </w:r>
          </w:p>
        </w:tc>
        <w:tc>
          <w:tcPr>
            <w:tcW w:w="1494" w:type="dxa"/>
          </w:tcPr>
          <w:p w14:paraId="30ACDBBE" w14:textId="77777777" w:rsidR="003E3072" w:rsidRPr="00456281" w:rsidRDefault="007F54D5" w:rsidP="00360CB1">
            <w:pPr>
              <w:pStyle w:val="TableText0"/>
              <w:keepNext w:val="0"/>
              <w:jc w:val="center"/>
            </w:pPr>
            <w:r w:rsidRPr="00456281">
              <w:t xml:space="preserve">6/370 </w:t>
            </w:r>
          </w:p>
          <w:p w14:paraId="2DD7866A" w14:textId="649E86F9" w:rsidR="007F54D5" w:rsidRPr="00456281" w:rsidRDefault="007F54D5" w:rsidP="00360CB1">
            <w:pPr>
              <w:pStyle w:val="TableText0"/>
              <w:keepNext w:val="0"/>
              <w:jc w:val="center"/>
            </w:pPr>
            <w:r w:rsidRPr="00456281">
              <w:t>(1.62%)</w:t>
            </w:r>
          </w:p>
        </w:tc>
        <w:tc>
          <w:tcPr>
            <w:tcW w:w="1492" w:type="dxa"/>
          </w:tcPr>
          <w:p w14:paraId="520CC8CE" w14:textId="77777777" w:rsidR="003E3072" w:rsidRPr="00456281" w:rsidRDefault="007F54D5" w:rsidP="00360CB1">
            <w:pPr>
              <w:pStyle w:val="TableText0"/>
              <w:keepNext w:val="0"/>
              <w:jc w:val="center"/>
            </w:pPr>
            <w:r w:rsidRPr="00456281">
              <w:t xml:space="preserve">18/379 </w:t>
            </w:r>
          </w:p>
          <w:p w14:paraId="404C56F1" w14:textId="765FBE19" w:rsidR="007F54D5" w:rsidRPr="00456281" w:rsidRDefault="007F54D5" w:rsidP="00360CB1">
            <w:pPr>
              <w:pStyle w:val="TableText0"/>
              <w:keepNext w:val="0"/>
              <w:jc w:val="center"/>
            </w:pPr>
            <w:r w:rsidRPr="00456281">
              <w:t>(4.75%)</w:t>
            </w:r>
          </w:p>
        </w:tc>
        <w:tc>
          <w:tcPr>
            <w:tcW w:w="1224" w:type="dxa"/>
          </w:tcPr>
          <w:p w14:paraId="731C7FA3" w14:textId="77777777" w:rsidR="003E3072" w:rsidRPr="00456281" w:rsidRDefault="007F54D5" w:rsidP="00360CB1">
            <w:pPr>
              <w:pStyle w:val="TableText0"/>
              <w:keepNext w:val="0"/>
              <w:jc w:val="center"/>
              <w:rPr>
                <w:b/>
                <w:bCs w:val="0"/>
              </w:rPr>
            </w:pPr>
            <w:r w:rsidRPr="00456281">
              <w:rPr>
                <w:b/>
                <w:bCs w:val="0"/>
              </w:rPr>
              <w:t xml:space="preserve">0.33 </w:t>
            </w:r>
          </w:p>
          <w:p w14:paraId="4BB02B80" w14:textId="564D6B5C" w:rsidR="007F54D5" w:rsidRPr="00456281" w:rsidRDefault="007F54D5" w:rsidP="00360CB1">
            <w:pPr>
              <w:pStyle w:val="TableText0"/>
              <w:keepNext w:val="0"/>
              <w:jc w:val="center"/>
              <w:rPr>
                <w:b/>
                <w:bCs w:val="0"/>
              </w:rPr>
            </w:pPr>
            <w:r w:rsidRPr="00456281">
              <w:rPr>
                <w:b/>
                <w:bCs w:val="0"/>
              </w:rPr>
              <w:t>[0.13, 0.84]</w:t>
            </w:r>
          </w:p>
        </w:tc>
        <w:tc>
          <w:tcPr>
            <w:tcW w:w="1224" w:type="dxa"/>
          </w:tcPr>
          <w:p w14:paraId="12AF038C" w14:textId="77777777" w:rsidR="003E3072" w:rsidRPr="00456281" w:rsidRDefault="007F54D5" w:rsidP="00360CB1">
            <w:pPr>
              <w:pStyle w:val="TableText0"/>
              <w:keepNext w:val="0"/>
              <w:jc w:val="center"/>
              <w:rPr>
                <w:b/>
                <w:bCs w:val="0"/>
              </w:rPr>
            </w:pPr>
            <w:r w:rsidRPr="00456281">
              <w:rPr>
                <w:b/>
                <w:bCs w:val="0"/>
              </w:rPr>
              <w:t xml:space="preserve">0.34 </w:t>
            </w:r>
          </w:p>
          <w:p w14:paraId="4081A012" w14:textId="61A85AC4" w:rsidR="007F54D5" w:rsidRPr="00456281" w:rsidRDefault="007F54D5" w:rsidP="00360CB1">
            <w:pPr>
              <w:pStyle w:val="TableText0"/>
              <w:keepNext w:val="0"/>
              <w:jc w:val="center"/>
              <w:rPr>
                <w:b/>
                <w:bCs w:val="0"/>
              </w:rPr>
            </w:pPr>
            <w:r w:rsidRPr="00456281">
              <w:rPr>
                <w:b/>
                <w:bCs w:val="0"/>
              </w:rPr>
              <w:t>[0.14, 0.85]</w:t>
            </w:r>
          </w:p>
        </w:tc>
        <w:tc>
          <w:tcPr>
            <w:tcW w:w="1495" w:type="dxa"/>
          </w:tcPr>
          <w:p w14:paraId="6725C2A0" w14:textId="77777777" w:rsidR="003E3072" w:rsidRPr="00456281" w:rsidRDefault="007F54D5" w:rsidP="00360CB1">
            <w:pPr>
              <w:pStyle w:val="TableText0"/>
              <w:keepNext w:val="0"/>
              <w:jc w:val="center"/>
              <w:rPr>
                <w:b/>
                <w:bCs w:val="0"/>
              </w:rPr>
            </w:pPr>
            <w:r w:rsidRPr="00456281">
              <w:rPr>
                <w:b/>
                <w:bCs w:val="0"/>
              </w:rPr>
              <w:t xml:space="preserve">-0.03 </w:t>
            </w:r>
          </w:p>
          <w:p w14:paraId="47E6B2D2" w14:textId="385D1CC7" w:rsidR="007F54D5" w:rsidRPr="00456281" w:rsidRDefault="007F54D5" w:rsidP="00360CB1">
            <w:pPr>
              <w:pStyle w:val="TableText0"/>
              <w:keepNext w:val="0"/>
              <w:jc w:val="center"/>
              <w:rPr>
                <w:b/>
                <w:bCs w:val="0"/>
              </w:rPr>
            </w:pPr>
            <w:r w:rsidRPr="00456281">
              <w:rPr>
                <w:b/>
                <w:bCs w:val="0"/>
              </w:rPr>
              <w:t>[-0.06, -0.01]</w:t>
            </w:r>
          </w:p>
        </w:tc>
      </w:tr>
      <w:tr w:rsidR="007F54D5" w:rsidRPr="00456281" w14:paraId="2FF05302" w14:textId="77777777" w:rsidTr="007F54D5">
        <w:trPr>
          <w:trHeight w:val="185"/>
        </w:trPr>
        <w:tc>
          <w:tcPr>
            <w:tcW w:w="9017" w:type="dxa"/>
            <w:gridSpan w:val="6"/>
            <w:shd w:val="clear" w:color="auto" w:fill="auto"/>
          </w:tcPr>
          <w:p w14:paraId="243C14A2" w14:textId="54AE8787" w:rsidR="007F54D5" w:rsidRPr="00456281" w:rsidRDefault="007F54D5" w:rsidP="00360CB1">
            <w:pPr>
              <w:pStyle w:val="TableText0"/>
              <w:keepNext w:val="0"/>
              <w:rPr>
                <w:b/>
                <w:bCs w:val="0"/>
              </w:rPr>
            </w:pPr>
            <w:r w:rsidRPr="00456281">
              <w:rPr>
                <w:b/>
                <w:bCs w:val="0"/>
              </w:rPr>
              <w:t>Skin and subcutaneous tissue</w:t>
            </w:r>
          </w:p>
        </w:tc>
      </w:tr>
      <w:tr w:rsidR="007F54D5" w:rsidRPr="00456281" w14:paraId="76C7A525" w14:textId="77777777" w:rsidTr="007F54D5">
        <w:trPr>
          <w:trHeight w:val="195"/>
        </w:trPr>
        <w:tc>
          <w:tcPr>
            <w:tcW w:w="2088" w:type="dxa"/>
          </w:tcPr>
          <w:p w14:paraId="31AD4A7F" w14:textId="541858FB" w:rsidR="007F54D5" w:rsidRPr="00456281" w:rsidRDefault="007F54D5" w:rsidP="00360CB1">
            <w:pPr>
              <w:pStyle w:val="TableText0"/>
              <w:keepNext w:val="0"/>
            </w:pPr>
            <w:r w:rsidRPr="00456281">
              <w:t>Alopecia</w:t>
            </w:r>
          </w:p>
        </w:tc>
        <w:tc>
          <w:tcPr>
            <w:tcW w:w="1494" w:type="dxa"/>
          </w:tcPr>
          <w:p w14:paraId="41425499" w14:textId="54C746E2" w:rsidR="003E3072" w:rsidRPr="00456281" w:rsidRDefault="007F54D5" w:rsidP="00360CB1">
            <w:pPr>
              <w:pStyle w:val="TableText0"/>
              <w:keepNext w:val="0"/>
              <w:jc w:val="center"/>
            </w:pPr>
            <w:r w:rsidRPr="00456281">
              <w:t xml:space="preserve">0/370 </w:t>
            </w:r>
          </w:p>
          <w:p w14:paraId="600FAAA6" w14:textId="7BF72A22" w:rsidR="007F54D5" w:rsidRPr="00456281" w:rsidRDefault="007F54D5" w:rsidP="00360CB1">
            <w:pPr>
              <w:pStyle w:val="TableText0"/>
              <w:keepNext w:val="0"/>
              <w:jc w:val="center"/>
            </w:pPr>
            <w:r w:rsidRPr="00456281">
              <w:t>(0.00%)</w:t>
            </w:r>
          </w:p>
        </w:tc>
        <w:tc>
          <w:tcPr>
            <w:tcW w:w="1492" w:type="dxa"/>
          </w:tcPr>
          <w:p w14:paraId="697AE357" w14:textId="77374DBD" w:rsidR="003E3072" w:rsidRPr="00456281" w:rsidRDefault="007F54D5" w:rsidP="00360CB1">
            <w:pPr>
              <w:pStyle w:val="TableText0"/>
              <w:keepNext w:val="0"/>
              <w:jc w:val="center"/>
            </w:pPr>
            <w:r w:rsidRPr="00456281">
              <w:t xml:space="preserve">2/379 </w:t>
            </w:r>
          </w:p>
          <w:p w14:paraId="54128B34" w14:textId="1FAE407A" w:rsidR="007F54D5" w:rsidRPr="00456281" w:rsidRDefault="007F54D5" w:rsidP="00360CB1">
            <w:pPr>
              <w:pStyle w:val="TableText0"/>
              <w:keepNext w:val="0"/>
              <w:jc w:val="center"/>
            </w:pPr>
            <w:r w:rsidRPr="00456281">
              <w:t>(0.53%)</w:t>
            </w:r>
          </w:p>
        </w:tc>
        <w:tc>
          <w:tcPr>
            <w:tcW w:w="1224" w:type="dxa"/>
          </w:tcPr>
          <w:p w14:paraId="66732F1E" w14:textId="12695E65" w:rsidR="007F54D5" w:rsidRPr="00456281" w:rsidRDefault="007F54D5" w:rsidP="00360CB1">
            <w:pPr>
              <w:pStyle w:val="TableText0"/>
              <w:keepNext w:val="0"/>
              <w:jc w:val="center"/>
            </w:pPr>
            <w:r w:rsidRPr="00456281">
              <w:t>NE</w:t>
            </w:r>
          </w:p>
        </w:tc>
        <w:tc>
          <w:tcPr>
            <w:tcW w:w="1224" w:type="dxa"/>
          </w:tcPr>
          <w:p w14:paraId="6BE37AF2" w14:textId="6FB874E5" w:rsidR="007F54D5" w:rsidRPr="00456281" w:rsidRDefault="007F54D5" w:rsidP="00360CB1">
            <w:pPr>
              <w:pStyle w:val="TableText0"/>
              <w:keepNext w:val="0"/>
              <w:jc w:val="center"/>
            </w:pPr>
            <w:r w:rsidRPr="00456281">
              <w:t>NE</w:t>
            </w:r>
          </w:p>
        </w:tc>
        <w:tc>
          <w:tcPr>
            <w:tcW w:w="1495" w:type="dxa"/>
          </w:tcPr>
          <w:p w14:paraId="337AF96E" w14:textId="72F443B2" w:rsidR="003E3072" w:rsidRPr="00456281" w:rsidRDefault="007F54D5" w:rsidP="00360CB1">
            <w:pPr>
              <w:pStyle w:val="TableText0"/>
              <w:keepNext w:val="0"/>
              <w:jc w:val="center"/>
            </w:pPr>
            <w:r w:rsidRPr="00456281">
              <w:t xml:space="preserve">-0.01 </w:t>
            </w:r>
          </w:p>
          <w:p w14:paraId="10F08915" w14:textId="1FD5FF86" w:rsidR="007F54D5" w:rsidRPr="00456281" w:rsidRDefault="007F54D5" w:rsidP="00360CB1">
            <w:pPr>
              <w:pStyle w:val="TableText0"/>
              <w:keepNext w:val="0"/>
              <w:jc w:val="center"/>
            </w:pPr>
            <w:r w:rsidRPr="00456281">
              <w:t>[-0.01, 0.00]</w:t>
            </w:r>
          </w:p>
        </w:tc>
      </w:tr>
      <w:tr w:rsidR="007F54D5" w:rsidRPr="00456281" w14:paraId="28F499CD" w14:textId="77777777" w:rsidTr="007F54D5">
        <w:trPr>
          <w:trHeight w:val="195"/>
        </w:trPr>
        <w:tc>
          <w:tcPr>
            <w:tcW w:w="2088" w:type="dxa"/>
          </w:tcPr>
          <w:p w14:paraId="64177752" w14:textId="0277E192" w:rsidR="007F54D5" w:rsidRPr="00456281" w:rsidRDefault="007F54D5" w:rsidP="00360CB1">
            <w:pPr>
              <w:pStyle w:val="TableText0"/>
              <w:keepNext w:val="0"/>
            </w:pPr>
            <w:r w:rsidRPr="00456281">
              <w:t>Rash</w:t>
            </w:r>
          </w:p>
        </w:tc>
        <w:tc>
          <w:tcPr>
            <w:tcW w:w="1494" w:type="dxa"/>
          </w:tcPr>
          <w:p w14:paraId="05363A2C" w14:textId="56075C45" w:rsidR="003E3072" w:rsidRPr="00456281" w:rsidRDefault="007F54D5" w:rsidP="00360CB1">
            <w:pPr>
              <w:pStyle w:val="TableText0"/>
              <w:keepNext w:val="0"/>
              <w:jc w:val="center"/>
            </w:pPr>
            <w:r w:rsidRPr="00456281">
              <w:t xml:space="preserve">0/370 </w:t>
            </w:r>
          </w:p>
          <w:p w14:paraId="734980CB" w14:textId="736B9D21" w:rsidR="007F54D5" w:rsidRPr="00456281" w:rsidRDefault="007F54D5" w:rsidP="00360CB1">
            <w:pPr>
              <w:pStyle w:val="TableText0"/>
              <w:keepNext w:val="0"/>
              <w:jc w:val="center"/>
            </w:pPr>
            <w:r w:rsidRPr="00456281">
              <w:t>(0.00%)</w:t>
            </w:r>
          </w:p>
        </w:tc>
        <w:tc>
          <w:tcPr>
            <w:tcW w:w="1492" w:type="dxa"/>
          </w:tcPr>
          <w:p w14:paraId="36872B91" w14:textId="16C49DDA" w:rsidR="003E3072" w:rsidRPr="00456281" w:rsidRDefault="007F54D5" w:rsidP="00360CB1">
            <w:pPr>
              <w:pStyle w:val="TableText0"/>
              <w:keepNext w:val="0"/>
              <w:jc w:val="center"/>
            </w:pPr>
            <w:r w:rsidRPr="00456281">
              <w:t xml:space="preserve">2/379 </w:t>
            </w:r>
          </w:p>
          <w:p w14:paraId="65DEDD30" w14:textId="0FE871B7" w:rsidR="007F54D5" w:rsidRPr="00456281" w:rsidRDefault="007F54D5" w:rsidP="00360CB1">
            <w:pPr>
              <w:pStyle w:val="TableText0"/>
              <w:keepNext w:val="0"/>
              <w:jc w:val="center"/>
            </w:pPr>
            <w:r w:rsidRPr="00456281">
              <w:t>(0.53%)</w:t>
            </w:r>
          </w:p>
        </w:tc>
        <w:tc>
          <w:tcPr>
            <w:tcW w:w="1224" w:type="dxa"/>
          </w:tcPr>
          <w:p w14:paraId="31D85494" w14:textId="51CA442B" w:rsidR="007F54D5" w:rsidRPr="00456281" w:rsidRDefault="007F54D5" w:rsidP="00360CB1">
            <w:pPr>
              <w:pStyle w:val="TableText0"/>
              <w:keepNext w:val="0"/>
              <w:jc w:val="center"/>
            </w:pPr>
            <w:r w:rsidRPr="00456281">
              <w:t>NE</w:t>
            </w:r>
          </w:p>
        </w:tc>
        <w:tc>
          <w:tcPr>
            <w:tcW w:w="1224" w:type="dxa"/>
          </w:tcPr>
          <w:p w14:paraId="533178F2" w14:textId="78CC5448" w:rsidR="007F54D5" w:rsidRPr="00456281" w:rsidRDefault="007F54D5" w:rsidP="00360CB1">
            <w:pPr>
              <w:pStyle w:val="TableText0"/>
              <w:keepNext w:val="0"/>
              <w:jc w:val="center"/>
            </w:pPr>
            <w:r w:rsidRPr="00456281">
              <w:t>NE</w:t>
            </w:r>
          </w:p>
        </w:tc>
        <w:tc>
          <w:tcPr>
            <w:tcW w:w="1495" w:type="dxa"/>
          </w:tcPr>
          <w:p w14:paraId="72C96112" w14:textId="21FF8C68" w:rsidR="003E3072" w:rsidRPr="00456281" w:rsidRDefault="007F54D5" w:rsidP="00360CB1">
            <w:pPr>
              <w:pStyle w:val="TableText0"/>
              <w:keepNext w:val="0"/>
              <w:jc w:val="center"/>
            </w:pPr>
            <w:r w:rsidRPr="00456281">
              <w:t xml:space="preserve">-0.01 </w:t>
            </w:r>
          </w:p>
          <w:p w14:paraId="2BF9CB2F" w14:textId="63BA2FE5" w:rsidR="007F54D5" w:rsidRPr="00456281" w:rsidRDefault="007F54D5" w:rsidP="00360CB1">
            <w:pPr>
              <w:pStyle w:val="TableText0"/>
              <w:keepNext w:val="0"/>
              <w:jc w:val="center"/>
            </w:pPr>
            <w:r w:rsidRPr="00456281">
              <w:t>[-0.01, 0.00]</w:t>
            </w:r>
          </w:p>
        </w:tc>
      </w:tr>
      <w:tr w:rsidR="007F54D5" w:rsidRPr="00456281" w14:paraId="0E52A4FC" w14:textId="77777777" w:rsidTr="007F54D5">
        <w:trPr>
          <w:trHeight w:val="185"/>
        </w:trPr>
        <w:tc>
          <w:tcPr>
            <w:tcW w:w="2088" w:type="dxa"/>
          </w:tcPr>
          <w:p w14:paraId="4ABD0B23" w14:textId="24CF8A5F" w:rsidR="007F54D5" w:rsidRPr="00456281" w:rsidRDefault="007F54D5" w:rsidP="00360CB1">
            <w:pPr>
              <w:pStyle w:val="TableText0"/>
              <w:keepNext w:val="0"/>
            </w:pPr>
            <w:r w:rsidRPr="00456281">
              <w:t>Rash maculo-papular</w:t>
            </w:r>
          </w:p>
        </w:tc>
        <w:tc>
          <w:tcPr>
            <w:tcW w:w="1494" w:type="dxa"/>
          </w:tcPr>
          <w:p w14:paraId="648CB67D" w14:textId="00D65B9D" w:rsidR="003E3072" w:rsidRPr="00456281" w:rsidRDefault="007F54D5" w:rsidP="00360CB1">
            <w:pPr>
              <w:pStyle w:val="TableText0"/>
              <w:keepNext w:val="0"/>
              <w:jc w:val="center"/>
            </w:pPr>
            <w:r w:rsidRPr="00456281">
              <w:t xml:space="preserve">0/370 </w:t>
            </w:r>
          </w:p>
          <w:p w14:paraId="51612A5C" w14:textId="3A853F06" w:rsidR="007F54D5" w:rsidRPr="00456281" w:rsidRDefault="007F54D5" w:rsidP="00360CB1">
            <w:pPr>
              <w:pStyle w:val="TableText0"/>
              <w:keepNext w:val="0"/>
              <w:jc w:val="center"/>
            </w:pPr>
            <w:r w:rsidRPr="00456281">
              <w:t>(0.00%)</w:t>
            </w:r>
          </w:p>
        </w:tc>
        <w:tc>
          <w:tcPr>
            <w:tcW w:w="1492" w:type="dxa"/>
          </w:tcPr>
          <w:p w14:paraId="7DB58956" w14:textId="1B18540E" w:rsidR="003E3072" w:rsidRPr="00456281" w:rsidRDefault="007F54D5" w:rsidP="00360CB1">
            <w:pPr>
              <w:pStyle w:val="TableText0"/>
              <w:keepNext w:val="0"/>
              <w:jc w:val="center"/>
            </w:pPr>
            <w:r w:rsidRPr="00456281">
              <w:t xml:space="preserve">1/379 </w:t>
            </w:r>
          </w:p>
          <w:p w14:paraId="17A2F3CD" w14:textId="0F5D50CA" w:rsidR="007F54D5" w:rsidRPr="00456281" w:rsidRDefault="007F54D5" w:rsidP="00360CB1">
            <w:pPr>
              <w:pStyle w:val="TableText0"/>
              <w:keepNext w:val="0"/>
              <w:jc w:val="center"/>
            </w:pPr>
            <w:r w:rsidRPr="00456281">
              <w:t>(0.26%)</w:t>
            </w:r>
          </w:p>
        </w:tc>
        <w:tc>
          <w:tcPr>
            <w:tcW w:w="1224" w:type="dxa"/>
          </w:tcPr>
          <w:p w14:paraId="616FB3EC" w14:textId="7BA9EF3D" w:rsidR="007F54D5" w:rsidRPr="00456281" w:rsidRDefault="007F54D5" w:rsidP="00360CB1">
            <w:pPr>
              <w:pStyle w:val="TableText0"/>
              <w:keepNext w:val="0"/>
              <w:jc w:val="center"/>
            </w:pPr>
            <w:r w:rsidRPr="00456281">
              <w:t>NE</w:t>
            </w:r>
          </w:p>
        </w:tc>
        <w:tc>
          <w:tcPr>
            <w:tcW w:w="1224" w:type="dxa"/>
          </w:tcPr>
          <w:p w14:paraId="15564445" w14:textId="2CD82902" w:rsidR="007F54D5" w:rsidRPr="00456281" w:rsidRDefault="007F54D5" w:rsidP="00360CB1">
            <w:pPr>
              <w:pStyle w:val="TableText0"/>
              <w:keepNext w:val="0"/>
              <w:jc w:val="center"/>
            </w:pPr>
            <w:r w:rsidRPr="00456281">
              <w:t>NE</w:t>
            </w:r>
          </w:p>
        </w:tc>
        <w:tc>
          <w:tcPr>
            <w:tcW w:w="1495" w:type="dxa"/>
          </w:tcPr>
          <w:p w14:paraId="18AA2869" w14:textId="66FC5C9C" w:rsidR="003E3072" w:rsidRPr="00456281" w:rsidRDefault="007F54D5" w:rsidP="00360CB1">
            <w:pPr>
              <w:pStyle w:val="TableText0"/>
              <w:keepNext w:val="0"/>
              <w:jc w:val="center"/>
            </w:pPr>
            <w:r w:rsidRPr="00456281">
              <w:t xml:space="preserve">0.00 </w:t>
            </w:r>
          </w:p>
          <w:p w14:paraId="2985D53F" w14:textId="7A79C71A" w:rsidR="007F54D5" w:rsidRPr="00456281" w:rsidRDefault="007F54D5" w:rsidP="00360CB1">
            <w:pPr>
              <w:pStyle w:val="TableText0"/>
              <w:keepNext w:val="0"/>
              <w:jc w:val="center"/>
            </w:pPr>
            <w:r w:rsidRPr="00456281">
              <w:t>[-0.01, 0.00]</w:t>
            </w:r>
          </w:p>
        </w:tc>
      </w:tr>
      <w:tr w:rsidR="007F54D5" w:rsidRPr="00456281" w14:paraId="1A8A79C1" w14:textId="77777777" w:rsidTr="007F54D5">
        <w:trPr>
          <w:trHeight w:val="195"/>
        </w:trPr>
        <w:tc>
          <w:tcPr>
            <w:tcW w:w="9017" w:type="dxa"/>
            <w:gridSpan w:val="6"/>
            <w:shd w:val="clear" w:color="auto" w:fill="auto"/>
          </w:tcPr>
          <w:p w14:paraId="13901BE2" w14:textId="77777777" w:rsidR="007F54D5" w:rsidRPr="00456281" w:rsidRDefault="007F54D5" w:rsidP="00360CB1">
            <w:pPr>
              <w:pStyle w:val="TableText0"/>
              <w:keepNext w:val="0"/>
              <w:rPr>
                <w:b/>
                <w:bCs w:val="0"/>
              </w:rPr>
            </w:pPr>
            <w:r w:rsidRPr="00456281">
              <w:rPr>
                <w:b/>
                <w:bCs w:val="0"/>
              </w:rPr>
              <w:t>Nervous system disorders</w:t>
            </w:r>
          </w:p>
        </w:tc>
      </w:tr>
      <w:tr w:rsidR="007F54D5" w:rsidRPr="00456281" w14:paraId="3DAABBB6" w14:textId="77777777" w:rsidTr="007F54D5">
        <w:trPr>
          <w:trHeight w:val="195"/>
        </w:trPr>
        <w:tc>
          <w:tcPr>
            <w:tcW w:w="2088" w:type="dxa"/>
          </w:tcPr>
          <w:p w14:paraId="4D6DB3FC" w14:textId="77777777" w:rsidR="007F54D5" w:rsidRPr="00456281" w:rsidRDefault="007F54D5" w:rsidP="00360CB1">
            <w:pPr>
              <w:pStyle w:val="TableText0"/>
              <w:keepNext w:val="0"/>
            </w:pPr>
            <w:r w:rsidRPr="00456281">
              <w:t>Neuropathy peripheral</w:t>
            </w:r>
          </w:p>
        </w:tc>
        <w:tc>
          <w:tcPr>
            <w:tcW w:w="1494" w:type="dxa"/>
          </w:tcPr>
          <w:p w14:paraId="6AD91481" w14:textId="77777777" w:rsidR="003E3072" w:rsidRPr="00456281" w:rsidRDefault="007F54D5" w:rsidP="00360CB1">
            <w:pPr>
              <w:pStyle w:val="TableText0"/>
              <w:keepNext w:val="0"/>
              <w:jc w:val="center"/>
            </w:pPr>
            <w:r w:rsidRPr="00456281">
              <w:t xml:space="preserve">12/370 </w:t>
            </w:r>
          </w:p>
          <w:p w14:paraId="049EA058" w14:textId="63D12DDB" w:rsidR="007F54D5" w:rsidRPr="00456281" w:rsidRDefault="007F54D5" w:rsidP="00360CB1">
            <w:pPr>
              <w:pStyle w:val="TableText0"/>
              <w:keepNext w:val="0"/>
              <w:jc w:val="center"/>
            </w:pPr>
            <w:r w:rsidRPr="00456281">
              <w:t>(3.24%)</w:t>
            </w:r>
          </w:p>
        </w:tc>
        <w:tc>
          <w:tcPr>
            <w:tcW w:w="1492" w:type="dxa"/>
          </w:tcPr>
          <w:p w14:paraId="59FD2EF6" w14:textId="77777777" w:rsidR="003E3072" w:rsidRPr="00456281" w:rsidRDefault="007F54D5" w:rsidP="00360CB1">
            <w:pPr>
              <w:pStyle w:val="TableText0"/>
              <w:keepNext w:val="0"/>
              <w:jc w:val="center"/>
            </w:pPr>
            <w:r w:rsidRPr="00456281">
              <w:t xml:space="preserve">22/379 </w:t>
            </w:r>
          </w:p>
          <w:p w14:paraId="547A029F" w14:textId="2D09548B" w:rsidR="007F54D5" w:rsidRPr="00456281" w:rsidRDefault="007F54D5" w:rsidP="00360CB1">
            <w:pPr>
              <w:pStyle w:val="TableText0"/>
              <w:keepNext w:val="0"/>
              <w:jc w:val="center"/>
            </w:pPr>
            <w:r w:rsidRPr="00456281">
              <w:t>(5.80%)</w:t>
            </w:r>
          </w:p>
        </w:tc>
        <w:tc>
          <w:tcPr>
            <w:tcW w:w="1224" w:type="dxa"/>
          </w:tcPr>
          <w:p w14:paraId="0318E761" w14:textId="77777777" w:rsidR="003E3072" w:rsidRPr="00456281" w:rsidRDefault="007F54D5" w:rsidP="00360CB1">
            <w:pPr>
              <w:pStyle w:val="TableText0"/>
              <w:keepNext w:val="0"/>
              <w:jc w:val="center"/>
            </w:pPr>
            <w:r w:rsidRPr="00456281">
              <w:t xml:space="preserve">0.54 </w:t>
            </w:r>
          </w:p>
          <w:p w14:paraId="67C35F82" w14:textId="364B556C" w:rsidR="007F54D5" w:rsidRPr="00456281" w:rsidRDefault="007F54D5" w:rsidP="00360CB1">
            <w:pPr>
              <w:pStyle w:val="TableText0"/>
              <w:keepNext w:val="0"/>
              <w:jc w:val="center"/>
            </w:pPr>
            <w:r w:rsidRPr="00456281">
              <w:t>[0.27, 1.12]</w:t>
            </w:r>
          </w:p>
        </w:tc>
        <w:tc>
          <w:tcPr>
            <w:tcW w:w="1224" w:type="dxa"/>
          </w:tcPr>
          <w:p w14:paraId="693F6832" w14:textId="77777777" w:rsidR="003E3072" w:rsidRPr="00456281" w:rsidRDefault="007F54D5" w:rsidP="00360CB1">
            <w:pPr>
              <w:pStyle w:val="TableText0"/>
              <w:keepNext w:val="0"/>
              <w:jc w:val="center"/>
            </w:pPr>
            <w:r w:rsidRPr="00456281">
              <w:t xml:space="preserve">0.56 </w:t>
            </w:r>
          </w:p>
          <w:p w14:paraId="4D33DE95" w14:textId="68A0508F" w:rsidR="007F54D5" w:rsidRPr="00456281" w:rsidRDefault="007F54D5" w:rsidP="00360CB1">
            <w:pPr>
              <w:pStyle w:val="TableText0"/>
              <w:keepNext w:val="0"/>
              <w:jc w:val="center"/>
            </w:pPr>
            <w:r w:rsidRPr="00456281">
              <w:t>[0.28, 1.11]</w:t>
            </w:r>
          </w:p>
        </w:tc>
        <w:tc>
          <w:tcPr>
            <w:tcW w:w="1495" w:type="dxa"/>
          </w:tcPr>
          <w:p w14:paraId="068CC646" w14:textId="77777777" w:rsidR="003E3072" w:rsidRPr="00456281" w:rsidRDefault="007F54D5" w:rsidP="00360CB1">
            <w:pPr>
              <w:pStyle w:val="TableText0"/>
              <w:keepNext w:val="0"/>
              <w:jc w:val="center"/>
            </w:pPr>
            <w:r w:rsidRPr="00456281">
              <w:t xml:space="preserve">-0.03 </w:t>
            </w:r>
          </w:p>
          <w:p w14:paraId="59EEEA98" w14:textId="4649569E" w:rsidR="007F54D5" w:rsidRPr="00456281" w:rsidRDefault="007F54D5" w:rsidP="00360CB1">
            <w:pPr>
              <w:pStyle w:val="TableText0"/>
              <w:keepNext w:val="0"/>
              <w:jc w:val="center"/>
            </w:pPr>
            <w:r w:rsidRPr="00456281">
              <w:t>[-0.06, 0.00]</w:t>
            </w:r>
          </w:p>
        </w:tc>
      </w:tr>
      <w:tr w:rsidR="007F54D5" w:rsidRPr="00456281" w14:paraId="66DFBCAD" w14:textId="77777777" w:rsidTr="007F54D5">
        <w:trPr>
          <w:trHeight w:val="185"/>
        </w:trPr>
        <w:tc>
          <w:tcPr>
            <w:tcW w:w="9017" w:type="dxa"/>
            <w:gridSpan w:val="6"/>
            <w:shd w:val="clear" w:color="auto" w:fill="auto"/>
          </w:tcPr>
          <w:p w14:paraId="59EFFD92" w14:textId="77777777" w:rsidR="007F54D5" w:rsidRPr="00456281" w:rsidRDefault="007F54D5" w:rsidP="00360CB1">
            <w:pPr>
              <w:pStyle w:val="TableText0"/>
              <w:keepNext w:val="0"/>
              <w:rPr>
                <w:b/>
                <w:bCs w:val="0"/>
              </w:rPr>
            </w:pPr>
            <w:r w:rsidRPr="00456281">
              <w:rPr>
                <w:b/>
                <w:bCs w:val="0"/>
              </w:rPr>
              <w:t>Respiratory, thoracic and mediastinal disorders</w:t>
            </w:r>
          </w:p>
        </w:tc>
      </w:tr>
      <w:tr w:rsidR="007F54D5" w:rsidRPr="00456281" w14:paraId="46325DA7" w14:textId="77777777" w:rsidTr="007F54D5">
        <w:trPr>
          <w:trHeight w:val="195"/>
        </w:trPr>
        <w:tc>
          <w:tcPr>
            <w:tcW w:w="2088" w:type="dxa"/>
          </w:tcPr>
          <w:p w14:paraId="3056359B" w14:textId="77777777" w:rsidR="007F54D5" w:rsidRPr="00456281" w:rsidRDefault="007F54D5" w:rsidP="00360CB1">
            <w:pPr>
              <w:pStyle w:val="TableText0"/>
              <w:keepNext w:val="0"/>
            </w:pPr>
            <w:r w:rsidRPr="00456281">
              <w:t>Dyspnoea</w:t>
            </w:r>
          </w:p>
        </w:tc>
        <w:tc>
          <w:tcPr>
            <w:tcW w:w="1494" w:type="dxa"/>
          </w:tcPr>
          <w:p w14:paraId="3E060BE0" w14:textId="77777777" w:rsidR="003E3072" w:rsidRPr="00456281" w:rsidRDefault="007F54D5" w:rsidP="00360CB1">
            <w:pPr>
              <w:pStyle w:val="TableText0"/>
              <w:keepNext w:val="0"/>
              <w:jc w:val="center"/>
            </w:pPr>
            <w:r w:rsidRPr="00456281">
              <w:t xml:space="preserve">2/370 </w:t>
            </w:r>
          </w:p>
          <w:p w14:paraId="76533F57" w14:textId="7C54030D" w:rsidR="007F54D5" w:rsidRPr="00456281" w:rsidRDefault="007F54D5" w:rsidP="00360CB1">
            <w:pPr>
              <w:pStyle w:val="TableText0"/>
              <w:keepNext w:val="0"/>
              <w:jc w:val="center"/>
            </w:pPr>
            <w:r w:rsidRPr="00456281">
              <w:t>(0.54%)</w:t>
            </w:r>
          </w:p>
        </w:tc>
        <w:tc>
          <w:tcPr>
            <w:tcW w:w="1492" w:type="dxa"/>
          </w:tcPr>
          <w:p w14:paraId="04A0F1AE" w14:textId="77777777" w:rsidR="003E3072" w:rsidRPr="00456281" w:rsidRDefault="007F54D5" w:rsidP="00360CB1">
            <w:pPr>
              <w:pStyle w:val="TableText0"/>
              <w:keepNext w:val="0"/>
              <w:jc w:val="center"/>
            </w:pPr>
            <w:r w:rsidRPr="00456281">
              <w:t xml:space="preserve">8/379 </w:t>
            </w:r>
          </w:p>
          <w:p w14:paraId="72B1EA1C" w14:textId="2A792584" w:rsidR="007F54D5" w:rsidRPr="00456281" w:rsidRDefault="007F54D5" w:rsidP="00360CB1">
            <w:pPr>
              <w:pStyle w:val="TableText0"/>
              <w:keepNext w:val="0"/>
              <w:jc w:val="center"/>
            </w:pPr>
            <w:r w:rsidRPr="00456281">
              <w:t>(2.11%)</w:t>
            </w:r>
          </w:p>
        </w:tc>
        <w:tc>
          <w:tcPr>
            <w:tcW w:w="1224" w:type="dxa"/>
          </w:tcPr>
          <w:p w14:paraId="0412C551" w14:textId="77777777" w:rsidR="003E3072" w:rsidRPr="00456281" w:rsidRDefault="007F54D5" w:rsidP="00360CB1">
            <w:pPr>
              <w:pStyle w:val="TableText0"/>
              <w:keepNext w:val="0"/>
              <w:jc w:val="center"/>
            </w:pPr>
            <w:r w:rsidRPr="00456281">
              <w:t xml:space="preserve">0.25 </w:t>
            </w:r>
          </w:p>
          <w:p w14:paraId="2E6F179A" w14:textId="73B8654A" w:rsidR="007F54D5" w:rsidRPr="00456281" w:rsidRDefault="007F54D5" w:rsidP="00360CB1">
            <w:pPr>
              <w:pStyle w:val="TableText0"/>
              <w:keepNext w:val="0"/>
              <w:jc w:val="center"/>
            </w:pPr>
            <w:r w:rsidRPr="00456281">
              <w:t>[0.05, 1.19]</w:t>
            </w:r>
          </w:p>
        </w:tc>
        <w:tc>
          <w:tcPr>
            <w:tcW w:w="1224" w:type="dxa"/>
          </w:tcPr>
          <w:p w14:paraId="485D7DE2" w14:textId="77777777" w:rsidR="003E3072" w:rsidRPr="00456281" w:rsidRDefault="007F54D5" w:rsidP="00360CB1">
            <w:pPr>
              <w:pStyle w:val="TableText0"/>
              <w:keepNext w:val="0"/>
              <w:jc w:val="center"/>
            </w:pPr>
            <w:r w:rsidRPr="00456281">
              <w:t xml:space="preserve">0.26 </w:t>
            </w:r>
          </w:p>
          <w:p w14:paraId="76E94A48" w14:textId="33511348" w:rsidR="007F54D5" w:rsidRPr="00456281" w:rsidRDefault="007F54D5" w:rsidP="00360CB1">
            <w:pPr>
              <w:pStyle w:val="TableText0"/>
              <w:keepNext w:val="0"/>
              <w:jc w:val="center"/>
            </w:pPr>
            <w:r w:rsidRPr="00456281">
              <w:t>[0.05, 1.20]</w:t>
            </w:r>
          </w:p>
        </w:tc>
        <w:tc>
          <w:tcPr>
            <w:tcW w:w="1495" w:type="dxa"/>
          </w:tcPr>
          <w:p w14:paraId="393E4151" w14:textId="77777777" w:rsidR="003E3072" w:rsidRPr="00456281" w:rsidRDefault="007F54D5" w:rsidP="00360CB1">
            <w:pPr>
              <w:pStyle w:val="TableText0"/>
              <w:keepNext w:val="0"/>
              <w:jc w:val="center"/>
            </w:pPr>
            <w:r w:rsidRPr="00456281">
              <w:t xml:space="preserve">-0.02 </w:t>
            </w:r>
          </w:p>
          <w:p w14:paraId="6ED3961A" w14:textId="6D1AD3DA" w:rsidR="007F54D5" w:rsidRPr="00456281" w:rsidRDefault="007F54D5" w:rsidP="00360CB1">
            <w:pPr>
              <w:pStyle w:val="TableText0"/>
              <w:keepNext w:val="0"/>
              <w:jc w:val="center"/>
            </w:pPr>
            <w:r w:rsidRPr="00456281">
              <w:t>[-0.03, 0.00]</w:t>
            </w:r>
          </w:p>
        </w:tc>
      </w:tr>
      <w:tr w:rsidR="007F54D5" w:rsidRPr="00456281" w14:paraId="47D220D4" w14:textId="77777777" w:rsidTr="007F54D5">
        <w:trPr>
          <w:trHeight w:val="195"/>
        </w:trPr>
        <w:tc>
          <w:tcPr>
            <w:tcW w:w="9017" w:type="dxa"/>
            <w:gridSpan w:val="6"/>
            <w:shd w:val="clear" w:color="auto" w:fill="auto"/>
          </w:tcPr>
          <w:p w14:paraId="153FB367" w14:textId="0CA4273C" w:rsidR="007F54D5" w:rsidRPr="00456281" w:rsidRDefault="007F54D5" w:rsidP="00360CB1">
            <w:pPr>
              <w:pStyle w:val="TableText0"/>
              <w:keepNext w:val="0"/>
              <w:rPr>
                <w:b/>
                <w:bCs w:val="0"/>
              </w:rPr>
            </w:pPr>
            <w:r w:rsidRPr="00456281">
              <w:rPr>
                <w:b/>
                <w:bCs w:val="0"/>
              </w:rPr>
              <w:t>Musculoskeletal and connective tissue disorders</w:t>
            </w:r>
          </w:p>
        </w:tc>
      </w:tr>
      <w:tr w:rsidR="007F54D5" w:rsidRPr="00456281" w14:paraId="417EDCB3" w14:textId="77777777" w:rsidTr="007F54D5">
        <w:trPr>
          <w:trHeight w:val="195"/>
        </w:trPr>
        <w:tc>
          <w:tcPr>
            <w:tcW w:w="2088" w:type="dxa"/>
          </w:tcPr>
          <w:p w14:paraId="63423783" w14:textId="03F0D154" w:rsidR="007F54D5" w:rsidRPr="00456281" w:rsidRDefault="007F54D5" w:rsidP="00360CB1">
            <w:pPr>
              <w:pStyle w:val="TableText0"/>
              <w:keepNext w:val="0"/>
            </w:pPr>
            <w:r w:rsidRPr="00456281">
              <w:t>Pain in extremity</w:t>
            </w:r>
          </w:p>
        </w:tc>
        <w:tc>
          <w:tcPr>
            <w:tcW w:w="1494" w:type="dxa"/>
          </w:tcPr>
          <w:p w14:paraId="12FEE1FA" w14:textId="6E4EAC76" w:rsidR="003E3072" w:rsidRPr="00456281" w:rsidRDefault="007F54D5" w:rsidP="00360CB1">
            <w:pPr>
              <w:pStyle w:val="TableText0"/>
              <w:keepNext w:val="0"/>
              <w:jc w:val="center"/>
            </w:pPr>
            <w:r w:rsidRPr="00456281">
              <w:t xml:space="preserve">1/370 </w:t>
            </w:r>
          </w:p>
          <w:p w14:paraId="7E5875E7" w14:textId="5B3B1065" w:rsidR="007F54D5" w:rsidRPr="00456281" w:rsidRDefault="007F54D5" w:rsidP="00360CB1">
            <w:pPr>
              <w:pStyle w:val="TableText0"/>
              <w:keepNext w:val="0"/>
              <w:jc w:val="center"/>
            </w:pPr>
            <w:r w:rsidRPr="00456281">
              <w:t>(0.27%)</w:t>
            </w:r>
          </w:p>
        </w:tc>
        <w:tc>
          <w:tcPr>
            <w:tcW w:w="1492" w:type="dxa"/>
          </w:tcPr>
          <w:p w14:paraId="49991B75" w14:textId="5D080065" w:rsidR="003E3072" w:rsidRPr="00456281" w:rsidRDefault="007F54D5" w:rsidP="00360CB1">
            <w:pPr>
              <w:pStyle w:val="TableText0"/>
              <w:keepNext w:val="0"/>
              <w:jc w:val="center"/>
            </w:pPr>
            <w:r w:rsidRPr="00456281">
              <w:t xml:space="preserve">0/379 </w:t>
            </w:r>
          </w:p>
          <w:p w14:paraId="22B00C8A" w14:textId="1704108A" w:rsidR="007F54D5" w:rsidRPr="00456281" w:rsidRDefault="007F54D5" w:rsidP="00360CB1">
            <w:pPr>
              <w:pStyle w:val="TableText0"/>
              <w:keepNext w:val="0"/>
              <w:jc w:val="center"/>
            </w:pPr>
            <w:r w:rsidRPr="00456281">
              <w:t>(0.00%)</w:t>
            </w:r>
          </w:p>
        </w:tc>
        <w:tc>
          <w:tcPr>
            <w:tcW w:w="1224" w:type="dxa"/>
          </w:tcPr>
          <w:p w14:paraId="56DDDA15" w14:textId="286D66C5" w:rsidR="007F54D5" w:rsidRPr="00456281" w:rsidRDefault="007F54D5" w:rsidP="00360CB1">
            <w:pPr>
              <w:pStyle w:val="TableText0"/>
              <w:keepNext w:val="0"/>
              <w:jc w:val="center"/>
            </w:pPr>
            <w:r w:rsidRPr="00456281">
              <w:t>NE</w:t>
            </w:r>
          </w:p>
        </w:tc>
        <w:tc>
          <w:tcPr>
            <w:tcW w:w="1224" w:type="dxa"/>
          </w:tcPr>
          <w:p w14:paraId="18042A34" w14:textId="39A274F3" w:rsidR="007F54D5" w:rsidRPr="00456281" w:rsidRDefault="007F54D5" w:rsidP="00360CB1">
            <w:pPr>
              <w:pStyle w:val="TableText0"/>
              <w:keepNext w:val="0"/>
              <w:jc w:val="center"/>
            </w:pPr>
            <w:r w:rsidRPr="00456281">
              <w:t>NE</w:t>
            </w:r>
          </w:p>
        </w:tc>
        <w:tc>
          <w:tcPr>
            <w:tcW w:w="1495" w:type="dxa"/>
          </w:tcPr>
          <w:p w14:paraId="035FEB18" w14:textId="6278E941" w:rsidR="003E3072" w:rsidRPr="00456281" w:rsidRDefault="007F54D5" w:rsidP="00360CB1">
            <w:pPr>
              <w:pStyle w:val="TableText0"/>
              <w:keepNext w:val="0"/>
              <w:jc w:val="center"/>
            </w:pPr>
            <w:r w:rsidRPr="00456281">
              <w:t xml:space="preserve">0.00 </w:t>
            </w:r>
          </w:p>
          <w:p w14:paraId="72D3C6CF" w14:textId="539942BF" w:rsidR="007F54D5" w:rsidRPr="00456281" w:rsidRDefault="007F54D5" w:rsidP="00360CB1">
            <w:pPr>
              <w:pStyle w:val="TableText0"/>
              <w:keepNext w:val="0"/>
              <w:jc w:val="center"/>
            </w:pPr>
            <w:r w:rsidRPr="00456281">
              <w:t>[0.00, 0.01]</w:t>
            </w:r>
          </w:p>
        </w:tc>
      </w:tr>
      <w:tr w:rsidR="007F54D5" w:rsidRPr="00456281" w14:paraId="13B65EE1" w14:textId="77777777" w:rsidTr="007F54D5">
        <w:trPr>
          <w:trHeight w:val="195"/>
        </w:trPr>
        <w:tc>
          <w:tcPr>
            <w:tcW w:w="9017" w:type="dxa"/>
            <w:gridSpan w:val="6"/>
            <w:shd w:val="clear" w:color="auto" w:fill="auto"/>
          </w:tcPr>
          <w:p w14:paraId="3AE58F47" w14:textId="77777777" w:rsidR="007F54D5" w:rsidRPr="00456281" w:rsidRDefault="007F54D5" w:rsidP="00360CB1">
            <w:pPr>
              <w:pStyle w:val="TableText0"/>
              <w:keepNext w:val="0"/>
              <w:rPr>
                <w:b/>
                <w:bCs w:val="0"/>
              </w:rPr>
            </w:pPr>
            <w:r w:rsidRPr="00456281">
              <w:rPr>
                <w:b/>
                <w:bCs w:val="0"/>
              </w:rPr>
              <w:t>Infections and infestations</w:t>
            </w:r>
          </w:p>
        </w:tc>
      </w:tr>
      <w:tr w:rsidR="007F54D5" w:rsidRPr="00456281" w14:paraId="0A2651EC" w14:textId="77777777" w:rsidTr="007F54D5">
        <w:trPr>
          <w:trHeight w:val="185"/>
        </w:trPr>
        <w:tc>
          <w:tcPr>
            <w:tcW w:w="2088" w:type="dxa"/>
          </w:tcPr>
          <w:p w14:paraId="5662872C" w14:textId="77777777" w:rsidR="007F54D5" w:rsidRPr="00456281" w:rsidRDefault="007F54D5" w:rsidP="00360CB1">
            <w:pPr>
              <w:pStyle w:val="TableText0"/>
              <w:keepNext w:val="0"/>
            </w:pPr>
            <w:r w:rsidRPr="00456281">
              <w:t>Pneumonia</w:t>
            </w:r>
          </w:p>
        </w:tc>
        <w:tc>
          <w:tcPr>
            <w:tcW w:w="1494" w:type="dxa"/>
          </w:tcPr>
          <w:p w14:paraId="67F7D247" w14:textId="77777777" w:rsidR="003E3072" w:rsidRPr="00456281" w:rsidRDefault="007F54D5" w:rsidP="00360CB1">
            <w:pPr>
              <w:pStyle w:val="TableText0"/>
              <w:keepNext w:val="0"/>
              <w:jc w:val="center"/>
            </w:pPr>
            <w:r w:rsidRPr="00456281">
              <w:t xml:space="preserve">5/370 </w:t>
            </w:r>
          </w:p>
          <w:p w14:paraId="1CE88DFC" w14:textId="6CE35319" w:rsidR="007F54D5" w:rsidRPr="00456281" w:rsidRDefault="007F54D5" w:rsidP="00360CB1">
            <w:pPr>
              <w:pStyle w:val="TableText0"/>
              <w:keepNext w:val="0"/>
              <w:jc w:val="center"/>
            </w:pPr>
            <w:r w:rsidRPr="00456281">
              <w:t>(1.35%)</w:t>
            </w:r>
          </w:p>
        </w:tc>
        <w:tc>
          <w:tcPr>
            <w:tcW w:w="1492" w:type="dxa"/>
          </w:tcPr>
          <w:p w14:paraId="7EFFCD32" w14:textId="77777777" w:rsidR="003E3072" w:rsidRPr="00456281" w:rsidRDefault="007F54D5" w:rsidP="00360CB1">
            <w:pPr>
              <w:pStyle w:val="TableText0"/>
              <w:keepNext w:val="0"/>
              <w:jc w:val="center"/>
            </w:pPr>
            <w:r w:rsidRPr="00456281">
              <w:t xml:space="preserve">13/379 </w:t>
            </w:r>
          </w:p>
          <w:p w14:paraId="209BBEB6" w14:textId="6CE742EF" w:rsidR="007F54D5" w:rsidRPr="00456281" w:rsidRDefault="007F54D5" w:rsidP="00360CB1">
            <w:pPr>
              <w:pStyle w:val="TableText0"/>
              <w:keepNext w:val="0"/>
              <w:jc w:val="center"/>
            </w:pPr>
            <w:r w:rsidRPr="00456281">
              <w:t>(3.43%)</w:t>
            </w:r>
          </w:p>
        </w:tc>
        <w:tc>
          <w:tcPr>
            <w:tcW w:w="1224" w:type="dxa"/>
          </w:tcPr>
          <w:p w14:paraId="451FE397" w14:textId="77777777" w:rsidR="003E3072" w:rsidRPr="00456281" w:rsidRDefault="007F54D5" w:rsidP="00360CB1">
            <w:pPr>
              <w:pStyle w:val="TableText0"/>
              <w:keepNext w:val="0"/>
              <w:jc w:val="center"/>
            </w:pPr>
            <w:r w:rsidRPr="00456281">
              <w:t xml:space="preserve">0.39 </w:t>
            </w:r>
          </w:p>
          <w:p w14:paraId="11F00E82" w14:textId="67EB3367" w:rsidR="007F54D5" w:rsidRPr="00456281" w:rsidRDefault="007F54D5" w:rsidP="00360CB1">
            <w:pPr>
              <w:pStyle w:val="TableText0"/>
              <w:keepNext w:val="0"/>
              <w:jc w:val="center"/>
            </w:pPr>
            <w:r w:rsidRPr="00456281">
              <w:t>[0.14, 1.09]</w:t>
            </w:r>
          </w:p>
        </w:tc>
        <w:tc>
          <w:tcPr>
            <w:tcW w:w="1224" w:type="dxa"/>
          </w:tcPr>
          <w:p w14:paraId="0E859298" w14:textId="77777777" w:rsidR="003E3072" w:rsidRPr="00456281" w:rsidRDefault="007F54D5" w:rsidP="00360CB1">
            <w:pPr>
              <w:pStyle w:val="TableText0"/>
              <w:keepNext w:val="0"/>
              <w:jc w:val="center"/>
            </w:pPr>
            <w:r w:rsidRPr="00456281">
              <w:t xml:space="preserve">0.39 </w:t>
            </w:r>
          </w:p>
          <w:p w14:paraId="41694228" w14:textId="593CDA0A" w:rsidR="007F54D5" w:rsidRPr="00456281" w:rsidRDefault="007F54D5" w:rsidP="00360CB1">
            <w:pPr>
              <w:pStyle w:val="TableText0"/>
              <w:keepNext w:val="0"/>
              <w:jc w:val="center"/>
            </w:pPr>
            <w:r w:rsidRPr="00456281">
              <w:t>[0.14, 1.09]</w:t>
            </w:r>
          </w:p>
        </w:tc>
        <w:tc>
          <w:tcPr>
            <w:tcW w:w="1495" w:type="dxa"/>
          </w:tcPr>
          <w:p w14:paraId="6D55CD51" w14:textId="77777777" w:rsidR="003E3072" w:rsidRPr="00456281" w:rsidRDefault="007F54D5" w:rsidP="00360CB1">
            <w:pPr>
              <w:pStyle w:val="TableText0"/>
              <w:keepNext w:val="0"/>
              <w:jc w:val="center"/>
            </w:pPr>
            <w:r w:rsidRPr="00456281">
              <w:t xml:space="preserve">-0.02 </w:t>
            </w:r>
          </w:p>
          <w:p w14:paraId="7E1BC375" w14:textId="7F72ACA2" w:rsidR="007F54D5" w:rsidRPr="00456281" w:rsidRDefault="007F54D5" w:rsidP="00360CB1">
            <w:pPr>
              <w:pStyle w:val="TableText0"/>
              <w:keepNext w:val="0"/>
              <w:jc w:val="center"/>
            </w:pPr>
            <w:r w:rsidRPr="00456281">
              <w:t>[-0.04, 0.00]</w:t>
            </w:r>
          </w:p>
        </w:tc>
      </w:tr>
    </w:tbl>
    <w:p w14:paraId="38EA2167" w14:textId="68B52FEF" w:rsidR="003E3072" w:rsidRPr="00456281" w:rsidRDefault="003E3072" w:rsidP="003E3072">
      <w:pPr>
        <w:pStyle w:val="FooterTableFigure"/>
      </w:pPr>
      <w:r w:rsidRPr="00456281">
        <w:t>Source: Table 35, p81-82 of the submission.</w:t>
      </w:r>
    </w:p>
    <w:p w14:paraId="7B218C4B" w14:textId="589C50B7" w:rsidR="007F54D5" w:rsidRPr="00456281" w:rsidRDefault="003E3072" w:rsidP="003E3072">
      <w:pPr>
        <w:pStyle w:val="FooterTableFigure"/>
      </w:pPr>
      <w:r w:rsidRPr="00456281">
        <w:t xml:space="preserve">Abbreviations: </w:t>
      </w:r>
      <w:r w:rsidR="007F54D5" w:rsidRPr="00456281">
        <w:t>AE, adverse event; CI, confidence interval; Gem, gemcitabine; IMP, investigational medicinal product; NA, not applicable; NabP, nanoparticle albumin bound paclitaxel; NALIRIFOX, 5-fluorouracil, Leucovorin/folinic acid, nanoliposomal irinotecan (nal-IRI), and oxaliplatin; NE, not estimable; OR, odds ratio; RD, risk difference; RR, relative risk; TEAE, treatment emergent adverse event.</w:t>
      </w:r>
    </w:p>
    <w:p w14:paraId="511016FA" w14:textId="3FE4AAFC" w:rsidR="007F54D5" w:rsidRPr="00456281" w:rsidRDefault="007F54D5" w:rsidP="003E3072">
      <w:pPr>
        <w:pStyle w:val="FooterTableFigure"/>
      </w:pPr>
      <w:r w:rsidRPr="00456281">
        <w:t xml:space="preserve">Results in </w:t>
      </w:r>
      <w:r w:rsidRPr="00456281">
        <w:rPr>
          <w:b/>
          <w:bCs/>
        </w:rPr>
        <w:t>bold</w:t>
      </w:r>
      <w:r w:rsidRPr="00456281">
        <w:rPr>
          <w:i/>
          <w:iCs/>
        </w:rPr>
        <w:t xml:space="preserve"> </w:t>
      </w:r>
      <w:r w:rsidRPr="00456281">
        <w:t>indicate statistically significant difference (p &lt; 0.05).</w:t>
      </w:r>
    </w:p>
    <w:p w14:paraId="4A1222C5" w14:textId="15861690" w:rsidR="00AC0F4E" w:rsidRPr="009A3AE9" w:rsidRDefault="00AC0F4E" w:rsidP="00AC0F4E">
      <w:pPr>
        <w:pStyle w:val="Caption"/>
      </w:pPr>
      <w:bookmarkStart w:id="84" w:name="_Ref156994563"/>
      <w:bookmarkStart w:id="85" w:name="_Hlk156996466"/>
      <w:bookmarkEnd w:id="83"/>
      <w:r w:rsidRPr="009A3AE9">
        <w:lastRenderedPageBreak/>
        <w:t xml:space="preserve">Table </w:t>
      </w:r>
      <w:r w:rsidR="00B75F7B">
        <w:fldChar w:fldCharType="begin"/>
      </w:r>
      <w:r w:rsidR="00B75F7B">
        <w:instrText xml:space="preserve"> SEQ Table \* ARABIC </w:instrText>
      </w:r>
      <w:r w:rsidR="00B75F7B">
        <w:fldChar w:fldCharType="separate"/>
      </w:r>
      <w:r w:rsidR="00EE5AD4">
        <w:rPr>
          <w:noProof/>
        </w:rPr>
        <w:t>10</w:t>
      </w:r>
      <w:r w:rsidR="00B75F7B">
        <w:fldChar w:fldCharType="end"/>
      </w:r>
      <w:bookmarkEnd w:id="84"/>
      <w:r w:rsidRPr="009A3AE9">
        <w:t xml:space="preserve">: </w:t>
      </w:r>
      <w:r w:rsidR="00233809" w:rsidRPr="009A3AE9">
        <w:t xml:space="preserve">Summary of </w:t>
      </w:r>
      <w:r w:rsidR="0056224E" w:rsidRPr="009A3AE9">
        <w:t xml:space="preserve">drug-related </w:t>
      </w:r>
      <w:r w:rsidR="00233809" w:rsidRPr="009A3AE9">
        <w:t xml:space="preserve">Grade 3-4 TEAEs by </w:t>
      </w:r>
      <w:r w:rsidR="0056224E" w:rsidRPr="009A3AE9">
        <w:t>system organ class</w:t>
      </w:r>
      <w:r w:rsidR="00233809" w:rsidRPr="009A3AE9">
        <w:t xml:space="preserve"> and </w:t>
      </w:r>
      <w:r w:rsidR="0056224E" w:rsidRPr="009A3AE9">
        <w:t>preferred term</w:t>
      </w:r>
      <w:r w:rsidR="00233809" w:rsidRPr="009A3AE9">
        <w:t xml:space="preserve"> in the NAPOLI-3 trial with a difference in incidence between treatment arms of ≥ 2% (Safety Population)</w:t>
      </w:r>
    </w:p>
    <w:tbl>
      <w:tblPr>
        <w:tblStyle w:val="TableGrid"/>
        <w:tblW w:w="0" w:type="auto"/>
        <w:tblLook w:val="04A0" w:firstRow="1" w:lastRow="0" w:firstColumn="1" w:lastColumn="0" w:noHBand="0" w:noVBand="1"/>
        <w:tblCaption w:val="Table 10: Summary of drug-related Grade 3-4 TEAEs by system organ class and preferred term in the NAPOLI-3 trial with a difference in incidence between treatment arms of ≥ 2% (Safety Population)"/>
      </w:tblPr>
      <w:tblGrid>
        <w:gridCol w:w="2188"/>
        <w:gridCol w:w="1472"/>
        <w:gridCol w:w="1470"/>
        <w:gridCol w:w="1207"/>
        <w:gridCol w:w="1207"/>
        <w:gridCol w:w="1473"/>
      </w:tblGrid>
      <w:tr w:rsidR="00AC0F4E" w:rsidRPr="009A3AE9" w14:paraId="7029F639" w14:textId="77777777" w:rsidTr="000B051A">
        <w:trPr>
          <w:trHeight w:val="199"/>
          <w:tblHeader/>
        </w:trPr>
        <w:tc>
          <w:tcPr>
            <w:tcW w:w="2188" w:type="dxa"/>
            <w:vMerge w:val="restart"/>
            <w:shd w:val="clear" w:color="auto" w:fill="auto"/>
          </w:tcPr>
          <w:p w14:paraId="30A0A714" w14:textId="77777777" w:rsidR="00AC0F4E" w:rsidRPr="009A3AE9" w:rsidRDefault="00AC0F4E" w:rsidP="00360CB1">
            <w:pPr>
              <w:pStyle w:val="PBACTabletext"/>
              <w:keepNext w:val="0"/>
              <w:keepLines w:val="0"/>
              <w:widowControl w:val="0"/>
              <w:suppressLineNumbers w:val="0"/>
              <w:spacing w:after="0"/>
              <w:rPr>
                <w:b/>
                <w:bCs/>
              </w:rPr>
            </w:pPr>
            <w:r w:rsidRPr="009A3AE9">
              <w:rPr>
                <w:b/>
                <w:bCs/>
              </w:rPr>
              <w:t>AEs</w:t>
            </w:r>
          </w:p>
        </w:tc>
        <w:tc>
          <w:tcPr>
            <w:tcW w:w="1472" w:type="dxa"/>
            <w:shd w:val="clear" w:color="auto" w:fill="auto"/>
          </w:tcPr>
          <w:p w14:paraId="1E366756" w14:textId="77777777" w:rsidR="00AC0F4E" w:rsidRPr="009A3AE9" w:rsidRDefault="00AC0F4E" w:rsidP="00360CB1">
            <w:pPr>
              <w:pStyle w:val="PBACTabletext"/>
              <w:keepNext w:val="0"/>
              <w:keepLines w:val="0"/>
              <w:widowControl w:val="0"/>
              <w:suppressLineNumbers w:val="0"/>
              <w:spacing w:after="0"/>
              <w:jc w:val="center"/>
              <w:rPr>
                <w:b/>
                <w:bCs/>
              </w:rPr>
            </w:pPr>
            <w:r w:rsidRPr="009A3AE9">
              <w:rPr>
                <w:b/>
                <w:bCs/>
              </w:rPr>
              <w:t>NALIRIFOX</w:t>
            </w:r>
          </w:p>
          <w:p w14:paraId="28270325" w14:textId="77777777" w:rsidR="00AC0F4E" w:rsidRPr="009A3AE9" w:rsidRDefault="00AC0F4E" w:rsidP="00360CB1">
            <w:pPr>
              <w:pStyle w:val="PBACTabletext"/>
              <w:keepNext w:val="0"/>
              <w:keepLines w:val="0"/>
              <w:widowControl w:val="0"/>
              <w:suppressLineNumbers w:val="0"/>
              <w:spacing w:after="0"/>
              <w:jc w:val="center"/>
              <w:rPr>
                <w:b/>
                <w:bCs/>
              </w:rPr>
            </w:pPr>
            <w:r w:rsidRPr="009A3AE9">
              <w:rPr>
                <w:b/>
                <w:bCs/>
              </w:rPr>
              <w:t>N=370</w:t>
            </w:r>
          </w:p>
        </w:tc>
        <w:tc>
          <w:tcPr>
            <w:tcW w:w="1470" w:type="dxa"/>
            <w:shd w:val="clear" w:color="auto" w:fill="auto"/>
          </w:tcPr>
          <w:p w14:paraId="7BB05F0E" w14:textId="77777777" w:rsidR="00AC0F4E" w:rsidRPr="009A3AE9" w:rsidRDefault="00AC0F4E" w:rsidP="00360CB1">
            <w:pPr>
              <w:pStyle w:val="PBACTabletext"/>
              <w:keepNext w:val="0"/>
              <w:keepLines w:val="0"/>
              <w:widowControl w:val="0"/>
              <w:suppressLineNumbers w:val="0"/>
              <w:spacing w:after="0"/>
              <w:jc w:val="center"/>
              <w:rPr>
                <w:b/>
                <w:bCs/>
              </w:rPr>
            </w:pPr>
            <w:r w:rsidRPr="009A3AE9">
              <w:rPr>
                <w:b/>
                <w:bCs/>
              </w:rPr>
              <w:t>Gem+NabP</w:t>
            </w:r>
          </w:p>
          <w:p w14:paraId="383B9A44" w14:textId="77777777" w:rsidR="00AC0F4E" w:rsidRPr="009A3AE9" w:rsidRDefault="00AC0F4E" w:rsidP="00360CB1">
            <w:pPr>
              <w:pStyle w:val="PBACTabletext"/>
              <w:keepNext w:val="0"/>
              <w:keepLines w:val="0"/>
              <w:widowControl w:val="0"/>
              <w:suppressLineNumbers w:val="0"/>
              <w:spacing w:after="0"/>
              <w:jc w:val="center"/>
              <w:rPr>
                <w:b/>
                <w:bCs/>
              </w:rPr>
            </w:pPr>
            <w:r w:rsidRPr="009A3AE9">
              <w:rPr>
                <w:b/>
                <w:bCs/>
              </w:rPr>
              <w:t>N=379</w:t>
            </w:r>
          </w:p>
        </w:tc>
        <w:tc>
          <w:tcPr>
            <w:tcW w:w="1207" w:type="dxa"/>
            <w:shd w:val="clear" w:color="auto" w:fill="auto"/>
          </w:tcPr>
          <w:p w14:paraId="6199F80B" w14:textId="77777777" w:rsidR="00AC0F4E" w:rsidRPr="009A3AE9" w:rsidRDefault="00AC0F4E" w:rsidP="00360CB1">
            <w:pPr>
              <w:pStyle w:val="PBACTabletext"/>
              <w:keepNext w:val="0"/>
              <w:keepLines w:val="0"/>
              <w:widowControl w:val="0"/>
              <w:suppressLineNumbers w:val="0"/>
              <w:spacing w:after="0"/>
              <w:jc w:val="center"/>
              <w:rPr>
                <w:b/>
                <w:bCs/>
              </w:rPr>
            </w:pPr>
            <w:r w:rsidRPr="009A3AE9">
              <w:rPr>
                <w:b/>
                <w:bCs/>
              </w:rPr>
              <w:t>OR [95% CI]</w:t>
            </w:r>
          </w:p>
        </w:tc>
        <w:tc>
          <w:tcPr>
            <w:tcW w:w="1207" w:type="dxa"/>
            <w:shd w:val="clear" w:color="auto" w:fill="auto"/>
          </w:tcPr>
          <w:p w14:paraId="6ACDB9ED" w14:textId="77777777" w:rsidR="00AC0F4E" w:rsidRPr="009A3AE9" w:rsidRDefault="00AC0F4E" w:rsidP="00360CB1">
            <w:pPr>
              <w:pStyle w:val="PBACTabletext"/>
              <w:keepNext w:val="0"/>
              <w:keepLines w:val="0"/>
              <w:widowControl w:val="0"/>
              <w:suppressLineNumbers w:val="0"/>
              <w:spacing w:after="0"/>
              <w:jc w:val="center"/>
              <w:rPr>
                <w:b/>
                <w:bCs/>
              </w:rPr>
            </w:pPr>
            <w:r w:rsidRPr="009A3AE9">
              <w:rPr>
                <w:b/>
                <w:bCs/>
              </w:rPr>
              <w:t>RR [95% CI]</w:t>
            </w:r>
          </w:p>
        </w:tc>
        <w:tc>
          <w:tcPr>
            <w:tcW w:w="1473" w:type="dxa"/>
            <w:shd w:val="clear" w:color="auto" w:fill="auto"/>
          </w:tcPr>
          <w:p w14:paraId="7162A391" w14:textId="77777777" w:rsidR="00AC0F4E" w:rsidRPr="009A3AE9" w:rsidRDefault="00AC0F4E" w:rsidP="00360CB1">
            <w:pPr>
              <w:pStyle w:val="PBACTabletext"/>
              <w:keepNext w:val="0"/>
              <w:keepLines w:val="0"/>
              <w:widowControl w:val="0"/>
              <w:suppressLineNumbers w:val="0"/>
              <w:spacing w:after="0"/>
              <w:jc w:val="center"/>
              <w:rPr>
                <w:b/>
                <w:bCs/>
              </w:rPr>
            </w:pPr>
            <w:r w:rsidRPr="009A3AE9">
              <w:rPr>
                <w:b/>
                <w:bCs/>
              </w:rPr>
              <w:t>RD [95% CI]</w:t>
            </w:r>
          </w:p>
        </w:tc>
      </w:tr>
      <w:tr w:rsidR="00AC0F4E" w:rsidRPr="009A3AE9" w14:paraId="5C121A73" w14:textId="77777777" w:rsidTr="000B051A">
        <w:trPr>
          <w:trHeight w:val="189"/>
          <w:tblHeader/>
        </w:trPr>
        <w:tc>
          <w:tcPr>
            <w:tcW w:w="2188" w:type="dxa"/>
            <w:vMerge/>
            <w:shd w:val="clear" w:color="auto" w:fill="auto"/>
          </w:tcPr>
          <w:p w14:paraId="14D7CEFD" w14:textId="77777777" w:rsidR="00AC0F4E" w:rsidRPr="009A3AE9" w:rsidRDefault="00AC0F4E" w:rsidP="00360CB1">
            <w:pPr>
              <w:pStyle w:val="PBACTabletext"/>
              <w:keepNext w:val="0"/>
              <w:keepLines w:val="0"/>
              <w:widowControl w:val="0"/>
              <w:suppressLineNumbers w:val="0"/>
              <w:spacing w:after="0"/>
              <w:rPr>
                <w:b/>
                <w:bCs/>
              </w:rPr>
            </w:pPr>
          </w:p>
        </w:tc>
        <w:tc>
          <w:tcPr>
            <w:tcW w:w="1472" w:type="dxa"/>
            <w:shd w:val="clear" w:color="auto" w:fill="auto"/>
          </w:tcPr>
          <w:p w14:paraId="362C7124" w14:textId="77777777" w:rsidR="00AC0F4E" w:rsidRPr="009A3AE9" w:rsidRDefault="00AC0F4E" w:rsidP="00360CB1">
            <w:pPr>
              <w:pStyle w:val="PBACTabletext"/>
              <w:keepNext w:val="0"/>
              <w:keepLines w:val="0"/>
              <w:widowControl w:val="0"/>
              <w:suppressLineNumbers w:val="0"/>
              <w:spacing w:after="0"/>
              <w:jc w:val="center"/>
              <w:rPr>
                <w:b/>
                <w:bCs/>
              </w:rPr>
            </w:pPr>
            <w:r w:rsidRPr="009A3AE9">
              <w:rPr>
                <w:b/>
                <w:bCs/>
              </w:rPr>
              <w:t>n /N (%)</w:t>
            </w:r>
          </w:p>
        </w:tc>
        <w:tc>
          <w:tcPr>
            <w:tcW w:w="1470" w:type="dxa"/>
            <w:shd w:val="clear" w:color="auto" w:fill="auto"/>
          </w:tcPr>
          <w:p w14:paraId="61FD3284" w14:textId="77777777" w:rsidR="00AC0F4E" w:rsidRPr="009A3AE9" w:rsidRDefault="00AC0F4E" w:rsidP="00360CB1">
            <w:pPr>
              <w:pStyle w:val="PBACTabletext"/>
              <w:keepNext w:val="0"/>
              <w:keepLines w:val="0"/>
              <w:widowControl w:val="0"/>
              <w:suppressLineNumbers w:val="0"/>
              <w:spacing w:after="0"/>
              <w:jc w:val="center"/>
              <w:rPr>
                <w:b/>
                <w:bCs/>
              </w:rPr>
            </w:pPr>
            <w:r w:rsidRPr="009A3AE9">
              <w:rPr>
                <w:b/>
                <w:bCs/>
              </w:rPr>
              <w:t>n /N (%)</w:t>
            </w:r>
          </w:p>
        </w:tc>
        <w:tc>
          <w:tcPr>
            <w:tcW w:w="2414" w:type="dxa"/>
            <w:gridSpan w:val="2"/>
            <w:shd w:val="clear" w:color="auto" w:fill="auto"/>
          </w:tcPr>
          <w:p w14:paraId="4987D3E2" w14:textId="77777777" w:rsidR="00AC0F4E" w:rsidRPr="009A3AE9" w:rsidRDefault="00AC0F4E" w:rsidP="00360CB1">
            <w:pPr>
              <w:pStyle w:val="PBACTabletext"/>
              <w:keepNext w:val="0"/>
              <w:keepLines w:val="0"/>
              <w:widowControl w:val="0"/>
              <w:suppressLineNumbers w:val="0"/>
              <w:spacing w:after="0"/>
              <w:jc w:val="center"/>
              <w:rPr>
                <w:b/>
                <w:bCs/>
              </w:rPr>
            </w:pPr>
            <w:r w:rsidRPr="009A3AE9">
              <w:rPr>
                <w:b/>
                <w:bCs/>
              </w:rPr>
              <w:t>OR and RR &lt; 1 favours NALIRIFOX</w:t>
            </w:r>
          </w:p>
        </w:tc>
        <w:tc>
          <w:tcPr>
            <w:tcW w:w="1473" w:type="dxa"/>
            <w:shd w:val="clear" w:color="auto" w:fill="auto"/>
          </w:tcPr>
          <w:p w14:paraId="7AD86E73" w14:textId="77777777" w:rsidR="00AC0F4E" w:rsidRPr="009A3AE9" w:rsidRDefault="00AC0F4E" w:rsidP="00360CB1">
            <w:pPr>
              <w:pStyle w:val="PBACTabletext"/>
              <w:keepNext w:val="0"/>
              <w:keepLines w:val="0"/>
              <w:widowControl w:val="0"/>
              <w:suppressLineNumbers w:val="0"/>
              <w:spacing w:after="0"/>
              <w:jc w:val="center"/>
              <w:rPr>
                <w:b/>
                <w:bCs/>
              </w:rPr>
            </w:pPr>
            <w:r w:rsidRPr="009A3AE9">
              <w:rPr>
                <w:b/>
                <w:bCs/>
              </w:rPr>
              <w:t>RD &lt; 0 favours NALIRIFOX</w:t>
            </w:r>
          </w:p>
        </w:tc>
      </w:tr>
      <w:tr w:rsidR="00AC0F4E" w:rsidRPr="009A3AE9" w14:paraId="09886C7E" w14:textId="77777777" w:rsidTr="000B051A">
        <w:trPr>
          <w:trHeight w:val="199"/>
        </w:trPr>
        <w:tc>
          <w:tcPr>
            <w:tcW w:w="2188" w:type="dxa"/>
          </w:tcPr>
          <w:p w14:paraId="3D8DA48A" w14:textId="77777777" w:rsidR="00AC0F4E" w:rsidRPr="009A3AE9" w:rsidRDefault="00AC0F4E" w:rsidP="00360CB1">
            <w:pPr>
              <w:pStyle w:val="TableText0"/>
            </w:pPr>
            <w:r w:rsidRPr="009A3AE9">
              <w:t>Any drug-related Grade 3-4 TEAEs</w:t>
            </w:r>
          </w:p>
        </w:tc>
        <w:tc>
          <w:tcPr>
            <w:tcW w:w="1472" w:type="dxa"/>
          </w:tcPr>
          <w:p w14:paraId="7DEE1826" w14:textId="77777777" w:rsidR="00AC0F4E" w:rsidRPr="009A3AE9" w:rsidRDefault="00AC0F4E" w:rsidP="00360CB1">
            <w:pPr>
              <w:pStyle w:val="TableText0"/>
              <w:jc w:val="center"/>
            </w:pPr>
            <w:r w:rsidRPr="009A3AE9">
              <w:t>259/370 (70.00%)</w:t>
            </w:r>
          </w:p>
        </w:tc>
        <w:tc>
          <w:tcPr>
            <w:tcW w:w="1470" w:type="dxa"/>
          </w:tcPr>
          <w:p w14:paraId="322157BA" w14:textId="77777777" w:rsidR="00AC0F4E" w:rsidRPr="009A3AE9" w:rsidRDefault="00AC0F4E" w:rsidP="00360CB1">
            <w:pPr>
              <w:pStyle w:val="TableText0"/>
              <w:jc w:val="center"/>
            </w:pPr>
            <w:r w:rsidRPr="009A3AE9">
              <w:t>255/379 (67.28%)</w:t>
            </w:r>
          </w:p>
        </w:tc>
        <w:tc>
          <w:tcPr>
            <w:tcW w:w="1207" w:type="dxa"/>
          </w:tcPr>
          <w:p w14:paraId="442F4007" w14:textId="77777777" w:rsidR="00AC0F4E" w:rsidRPr="009A3AE9" w:rsidRDefault="00AC0F4E" w:rsidP="00360CB1">
            <w:pPr>
              <w:pStyle w:val="TableText0"/>
              <w:jc w:val="center"/>
            </w:pPr>
            <w:r w:rsidRPr="009A3AE9">
              <w:t>1.13</w:t>
            </w:r>
          </w:p>
          <w:p w14:paraId="63B834FE" w14:textId="77777777" w:rsidR="00AC0F4E" w:rsidRPr="009A3AE9" w:rsidRDefault="00AC0F4E" w:rsidP="00360CB1">
            <w:pPr>
              <w:pStyle w:val="TableText0"/>
              <w:jc w:val="center"/>
            </w:pPr>
            <w:r w:rsidRPr="009A3AE9">
              <w:t>[0.83, 1.55]</w:t>
            </w:r>
          </w:p>
        </w:tc>
        <w:tc>
          <w:tcPr>
            <w:tcW w:w="1207" w:type="dxa"/>
          </w:tcPr>
          <w:p w14:paraId="2CD5D60E" w14:textId="77777777" w:rsidR="00AC0F4E" w:rsidRPr="009A3AE9" w:rsidRDefault="00AC0F4E" w:rsidP="00360CB1">
            <w:pPr>
              <w:pStyle w:val="TableText0"/>
              <w:jc w:val="center"/>
            </w:pPr>
            <w:r w:rsidRPr="009A3AE9">
              <w:t xml:space="preserve">1.04 </w:t>
            </w:r>
          </w:p>
          <w:p w14:paraId="2281B280" w14:textId="77777777" w:rsidR="00AC0F4E" w:rsidRPr="009A3AE9" w:rsidRDefault="00AC0F4E" w:rsidP="00360CB1">
            <w:pPr>
              <w:pStyle w:val="TableText0"/>
              <w:jc w:val="center"/>
            </w:pPr>
            <w:r w:rsidRPr="009A3AE9">
              <w:t>[0.94, 1.15]</w:t>
            </w:r>
          </w:p>
        </w:tc>
        <w:tc>
          <w:tcPr>
            <w:tcW w:w="1473" w:type="dxa"/>
          </w:tcPr>
          <w:p w14:paraId="64A9A30D" w14:textId="77777777" w:rsidR="00AC0F4E" w:rsidRPr="009A3AE9" w:rsidRDefault="00AC0F4E" w:rsidP="00360CB1">
            <w:pPr>
              <w:pStyle w:val="TableText0"/>
              <w:jc w:val="center"/>
            </w:pPr>
            <w:r w:rsidRPr="009A3AE9">
              <w:t xml:space="preserve">0.03 </w:t>
            </w:r>
          </w:p>
          <w:p w14:paraId="5AE11FA9" w14:textId="77777777" w:rsidR="00AC0F4E" w:rsidRPr="009A3AE9" w:rsidRDefault="00AC0F4E" w:rsidP="00360CB1">
            <w:pPr>
              <w:pStyle w:val="TableText0"/>
              <w:jc w:val="center"/>
            </w:pPr>
            <w:r w:rsidRPr="009A3AE9">
              <w:t>[-0.04, 0.09]</w:t>
            </w:r>
          </w:p>
        </w:tc>
      </w:tr>
      <w:tr w:rsidR="00AC0F4E" w:rsidRPr="009A3AE9" w14:paraId="6BD44973" w14:textId="77777777" w:rsidTr="000B051A">
        <w:trPr>
          <w:trHeight w:val="199"/>
        </w:trPr>
        <w:tc>
          <w:tcPr>
            <w:tcW w:w="9017" w:type="dxa"/>
            <w:gridSpan w:val="6"/>
            <w:shd w:val="clear" w:color="auto" w:fill="auto"/>
          </w:tcPr>
          <w:p w14:paraId="51B6C5EF" w14:textId="77777777" w:rsidR="00AC0F4E" w:rsidRPr="009A3AE9" w:rsidRDefault="00AC0F4E" w:rsidP="00360CB1">
            <w:pPr>
              <w:pStyle w:val="TableText0"/>
              <w:rPr>
                <w:b/>
              </w:rPr>
            </w:pPr>
            <w:r w:rsidRPr="009A3AE9">
              <w:rPr>
                <w:b/>
              </w:rPr>
              <w:t>Gastrointestinal disorders</w:t>
            </w:r>
          </w:p>
        </w:tc>
      </w:tr>
      <w:tr w:rsidR="00AC0F4E" w:rsidRPr="009A3AE9" w14:paraId="00D97527" w14:textId="77777777" w:rsidTr="000B051A">
        <w:trPr>
          <w:trHeight w:val="199"/>
        </w:trPr>
        <w:tc>
          <w:tcPr>
            <w:tcW w:w="2188" w:type="dxa"/>
          </w:tcPr>
          <w:p w14:paraId="4A12A2A2" w14:textId="77777777" w:rsidR="00AC0F4E" w:rsidRPr="009A3AE9" w:rsidRDefault="00AC0F4E" w:rsidP="00360CB1">
            <w:pPr>
              <w:pStyle w:val="TableText0"/>
            </w:pPr>
            <w:r w:rsidRPr="009A3AE9">
              <w:t>Diarrhoea</w:t>
            </w:r>
          </w:p>
        </w:tc>
        <w:tc>
          <w:tcPr>
            <w:tcW w:w="1472" w:type="dxa"/>
          </w:tcPr>
          <w:p w14:paraId="47F60362" w14:textId="77777777" w:rsidR="00AC0F4E" w:rsidRPr="009A3AE9" w:rsidRDefault="00AC0F4E" w:rsidP="00360CB1">
            <w:pPr>
              <w:pStyle w:val="TableText0"/>
              <w:jc w:val="center"/>
            </w:pPr>
            <w:r w:rsidRPr="009A3AE9">
              <w:t>72/370</w:t>
            </w:r>
          </w:p>
          <w:p w14:paraId="43EC9AF9" w14:textId="77777777" w:rsidR="00AC0F4E" w:rsidRPr="009A3AE9" w:rsidRDefault="00AC0F4E" w:rsidP="00360CB1">
            <w:pPr>
              <w:pStyle w:val="TableText0"/>
              <w:jc w:val="center"/>
            </w:pPr>
            <w:r w:rsidRPr="009A3AE9">
              <w:t>(19.46%)</w:t>
            </w:r>
          </w:p>
        </w:tc>
        <w:tc>
          <w:tcPr>
            <w:tcW w:w="1470" w:type="dxa"/>
          </w:tcPr>
          <w:p w14:paraId="67020A29" w14:textId="77777777" w:rsidR="00AC0F4E" w:rsidRPr="009A3AE9" w:rsidRDefault="00AC0F4E" w:rsidP="00360CB1">
            <w:pPr>
              <w:pStyle w:val="TableText0"/>
              <w:jc w:val="center"/>
            </w:pPr>
            <w:r w:rsidRPr="009A3AE9">
              <w:t>12/379</w:t>
            </w:r>
          </w:p>
          <w:p w14:paraId="544CC094" w14:textId="77777777" w:rsidR="00AC0F4E" w:rsidRPr="009A3AE9" w:rsidRDefault="00AC0F4E" w:rsidP="00360CB1">
            <w:pPr>
              <w:pStyle w:val="TableText0"/>
              <w:jc w:val="center"/>
            </w:pPr>
            <w:r w:rsidRPr="009A3AE9">
              <w:t>(3.17%)</w:t>
            </w:r>
          </w:p>
        </w:tc>
        <w:tc>
          <w:tcPr>
            <w:tcW w:w="1207" w:type="dxa"/>
          </w:tcPr>
          <w:p w14:paraId="1F84C702" w14:textId="77777777" w:rsidR="00AC0F4E" w:rsidRPr="009A3AE9" w:rsidRDefault="00AC0F4E" w:rsidP="00360CB1">
            <w:pPr>
              <w:pStyle w:val="TableText0"/>
              <w:jc w:val="center"/>
              <w:rPr>
                <w:b/>
              </w:rPr>
            </w:pPr>
            <w:r w:rsidRPr="009A3AE9">
              <w:rPr>
                <w:b/>
              </w:rPr>
              <w:t>7.39</w:t>
            </w:r>
          </w:p>
          <w:p w14:paraId="43D35804" w14:textId="77777777" w:rsidR="00AC0F4E" w:rsidRPr="009A3AE9" w:rsidRDefault="00AC0F4E" w:rsidP="00360CB1">
            <w:pPr>
              <w:pStyle w:val="TableText0"/>
              <w:jc w:val="center"/>
              <w:rPr>
                <w:b/>
              </w:rPr>
            </w:pPr>
            <w:r w:rsidRPr="009A3AE9">
              <w:rPr>
                <w:b/>
              </w:rPr>
              <w:t>[3.94, 13.87]</w:t>
            </w:r>
          </w:p>
        </w:tc>
        <w:tc>
          <w:tcPr>
            <w:tcW w:w="1207" w:type="dxa"/>
          </w:tcPr>
          <w:p w14:paraId="1DE46573" w14:textId="77777777" w:rsidR="00AC0F4E" w:rsidRPr="009A3AE9" w:rsidRDefault="00AC0F4E" w:rsidP="00360CB1">
            <w:pPr>
              <w:pStyle w:val="TableText0"/>
              <w:jc w:val="center"/>
              <w:rPr>
                <w:b/>
              </w:rPr>
            </w:pPr>
            <w:r w:rsidRPr="009A3AE9">
              <w:rPr>
                <w:b/>
              </w:rPr>
              <w:t>6.15</w:t>
            </w:r>
          </w:p>
          <w:p w14:paraId="5E14B801" w14:textId="77777777" w:rsidR="00AC0F4E" w:rsidRPr="009A3AE9" w:rsidRDefault="00AC0F4E" w:rsidP="00360CB1">
            <w:pPr>
              <w:pStyle w:val="TableText0"/>
              <w:jc w:val="center"/>
              <w:rPr>
                <w:b/>
              </w:rPr>
            </w:pPr>
            <w:r w:rsidRPr="009A3AE9">
              <w:rPr>
                <w:b/>
              </w:rPr>
              <w:t>[3.39, 11.13]</w:t>
            </w:r>
          </w:p>
        </w:tc>
        <w:tc>
          <w:tcPr>
            <w:tcW w:w="1473" w:type="dxa"/>
          </w:tcPr>
          <w:p w14:paraId="5BE3E64A" w14:textId="77777777" w:rsidR="00AC0F4E" w:rsidRPr="009A3AE9" w:rsidRDefault="00AC0F4E" w:rsidP="00360CB1">
            <w:pPr>
              <w:pStyle w:val="TableText0"/>
              <w:jc w:val="center"/>
              <w:rPr>
                <w:b/>
              </w:rPr>
            </w:pPr>
            <w:r w:rsidRPr="009A3AE9">
              <w:rPr>
                <w:b/>
              </w:rPr>
              <w:t>0.16</w:t>
            </w:r>
          </w:p>
          <w:p w14:paraId="51067C40" w14:textId="77777777" w:rsidR="00AC0F4E" w:rsidRPr="009A3AE9" w:rsidRDefault="00AC0F4E" w:rsidP="00360CB1">
            <w:pPr>
              <w:pStyle w:val="TableText0"/>
              <w:jc w:val="center"/>
              <w:rPr>
                <w:b/>
              </w:rPr>
            </w:pPr>
            <w:r w:rsidRPr="009A3AE9">
              <w:rPr>
                <w:b/>
              </w:rPr>
              <w:t>[0.12, 0.21]</w:t>
            </w:r>
          </w:p>
        </w:tc>
      </w:tr>
      <w:tr w:rsidR="00AC0F4E" w:rsidRPr="009A3AE9" w14:paraId="4887666C" w14:textId="77777777" w:rsidTr="000B051A">
        <w:trPr>
          <w:trHeight w:val="189"/>
        </w:trPr>
        <w:tc>
          <w:tcPr>
            <w:tcW w:w="2188" w:type="dxa"/>
          </w:tcPr>
          <w:p w14:paraId="316FFABD" w14:textId="77777777" w:rsidR="00AC0F4E" w:rsidRPr="009A3AE9" w:rsidRDefault="00AC0F4E" w:rsidP="00360CB1">
            <w:pPr>
              <w:pStyle w:val="TableText0"/>
            </w:pPr>
            <w:r w:rsidRPr="009A3AE9">
              <w:t>Nausea</w:t>
            </w:r>
          </w:p>
        </w:tc>
        <w:tc>
          <w:tcPr>
            <w:tcW w:w="1472" w:type="dxa"/>
          </w:tcPr>
          <w:p w14:paraId="2FF2E686" w14:textId="77777777" w:rsidR="00AC0F4E" w:rsidRPr="009A3AE9" w:rsidRDefault="00AC0F4E" w:rsidP="00360CB1">
            <w:pPr>
              <w:pStyle w:val="TableText0"/>
              <w:jc w:val="center"/>
            </w:pPr>
            <w:r w:rsidRPr="009A3AE9">
              <w:t>42/370</w:t>
            </w:r>
          </w:p>
          <w:p w14:paraId="14827B10" w14:textId="77777777" w:rsidR="00AC0F4E" w:rsidRPr="009A3AE9" w:rsidRDefault="00AC0F4E" w:rsidP="00360CB1">
            <w:pPr>
              <w:pStyle w:val="TableText0"/>
              <w:jc w:val="center"/>
            </w:pPr>
            <w:r w:rsidRPr="009A3AE9">
              <w:t>(11.35%)</w:t>
            </w:r>
          </w:p>
        </w:tc>
        <w:tc>
          <w:tcPr>
            <w:tcW w:w="1470" w:type="dxa"/>
          </w:tcPr>
          <w:p w14:paraId="6CB7BE82" w14:textId="77777777" w:rsidR="00AC0F4E" w:rsidRPr="009A3AE9" w:rsidRDefault="00AC0F4E" w:rsidP="00360CB1">
            <w:pPr>
              <w:pStyle w:val="TableText0"/>
              <w:jc w:val="center"/>
            </w:pPr>
            <w:r w:rsidRPr="009A3AE9">
              <w:t>8/379</w:t>
            </w:r>
          </w:p>
          <w:p w14:paraId="6014716E" w14:textId="77777777" w:rsidR="00AC0F4E" w:rsidRPr="009A3AE9" w:rsidRDefault="00AC0F4E" w:rsidP="00360CB1">
            <w:pPr>
              <w:pStyle w:val="TableText0"/>
              <w:jc w:val="center"/>
            </w:pPr>
            <w:r w:rsidRPr="009A3AE9">
              <w:t>(2.11%)</w:t>
            </w:r>
          </w:p>
        </w:tc>
        <w:tc>
          <w:tcPr>
            <w:tcW w:w="1207" w:type="dxa"/>
          </w:tcPr>
          <w:p w14:paraId="0B507649" w14:textId="77777777" w:rsidR="00AC0F4E" w:rsidRPr="009A3AE9" w:rsidRDefault="00AC0F4E" w:rsidP="00360CB1">
            <w:pPr>
              <w:pStyle w:val="TableText0"/>
              <w:jc w:val="center"/>
              <w:rPr>
                <w:b/>
              </w:rPr>
            </w:pPr>
            <w:r w:rsidRPr="009A3AE9">
              <w:rPr>
                <w:b/>
              </w:rPr>
              <w:t>5.94</w:t>
            </w:r>
          </w:p>
          <w:p w14:paraId="28D68286" w14:textId="77777777" w:rsidR="00AC0F4E" w:rsidRPr="009A3AE9" w:rsidRDefault="00AC0F4E" w:rsidP="00360CB1">
            <w:pPr>
              <w:pStyle w:val="TableText0"/>
              <w:jc w:val="center"/>
              <w:rPr>
                <w:b/>
              </w:rPr>
            </w:pPr>
            <w:r w:rsidRPr="009A3AE9">
              <w:rPr>
                <w:b/>
              </w:rPr>
              <w:t>[2.75, 12.83]</w:t>
            </w:r>
          </w:p>
        </w:tc>
        <w:tc>
          <w:tcPr>
            <w:tcW w:w="1207" w:type="dxa"/>
          </w:tcPr>
          <w:p w14:paraId="485A0467" w14:textId="77777777" w:rsidR="00AC0F4E" w:rsidRPr="009A3AE9" w:rsidRDefault="00AC0F4E" w:rsidP="00360CB1">
            <w:pPr>
              <w:pStyle w:val="TableText0"/>
              <w:jc w:val="center"/>
              <w:rPr>
                <w:b/>
              </w:rPr>
            </w:pPr>
            <w:r w:rsidRPr="009A3AE9">
              <w:rPr>
                <w:b/>
              </w:rPr>
              <w:t>5.38</w:t>
            </w:r>
          </w:p>
          <w:p w14:paraId="4067C653" w14:textId="77777777" w:rsidR="00AC0F4E" w:rsidRPr="009A3AE9" w:rsidRDefault="00AC0F4E" w:rsidP="00360CB1">
            <w:pPr>
              <w:pStyle w:val="TableText0"/>
              <w:jc w:val="center"/>
              <w:rPr>
                <w:b/>
              </w:rPr>
            </w:pPr>
            <w:r w:rsidRPr="009A3AE9">
              <w:rPr>
                <w:b/>
              </w:rPr>
              <w:t>[2.56, 11.30]</w:t>
            </w:r>
          </w:p>
        </w:tc>
        <w:tc>
          <w:tcPr>
            <w:tcW w:w="1473" w:type="dxa"/>
          </w:tcPr>
          <w:p w14:paraId="68302EFF" w14:textId="77777777" w:rsidR="00AC0F4E" w:rsidRPr="009A3AE9" w:rsidRDefault="00AC0F4E" w:rsidP="00360CB1">
            <w:pPr>
              <w:pStyle w:val="TableText0"/>
              <w:jc w:val="center"/>
              <w:rPr>
                <w:b/>
              </w:rPr>
            </w:pPr>
            <w:r w:rsidRPr="009A3AE9">
              <w:rPr>
                <w:b/>
              </w:rPr>
              <w:t>0.09</w:t>
            </w:r>
          </w:p>
          <w:p w14:paraId="1B87EC78" w14:textId="77777777" w:rsidR="00AC0F4E" w:rsidRPr="009A3AE9" w:rsidRDefault="00AC0F4E" w:rsidP="00360CB1">
            <w:pPr>
              <w:pStyle w:val="TableText0"/>
              <w:jc w:val="center"/>
              <w:rPr>
                <w:b/>
              </w:rPr>
            </w:pPr>
            <w:r w:rsidRPr="009A3AE9">
              <w:rPr>
                <w:b/>
              </w:rPr>
              <w:t>[0.06, 0.13]</w:t>
            </w:r>
          </w:p>
        </w:tc>
      </w:tr>
      <w:tr w:rsidR="00AC0F4E" w:rsidRPr="009A3AE9" w14:paraId="0361C32F" w14:textId="77777777" w:rsidTr="000B051A">
        <w:trPr>
          <w:trHeight w:val="199"/>
        </w:trPr>
        <w:tc>
          <w:tcPr>
            <w:tcW w:w="2188" w:type="dxa"/>
          </w:tcPr>
          <w:p w14:paraId="0D712B3C" w14:textId="77777777" w:rsidR="00AC0F4E" w:rsidRPr="009A3AE9" w:rsidRDefault="00AC0F4E" w:rsidP="00360CB1">
            <w:pPr>
              <w:pStyle w:val="TableText0"/>
            </w:pPr>
            <w:r w:rsidRPr="009A3AE9">
              <w:t>Vomiting</w:t>
            </w:r>
          </w:p>
        </w:tc>
        <w:tc>
          <w:tcPr>
            <w:tcW w:w="1472" w:type="dxa"/>
          </w:tcPr>
          <w:p w14:paraId="499442C9" w14:textId="77777777" w:rsidR="00AC0F4E" w:rsidRPr="009A3AE9" w:rsidRDefault="00AC0F4E" w:rsidP="00360CB1">
            <w:pPr>
              <w:pStyle w:val="TableText0"/>
              <w:jc w:val="center"/>
            </w:pPr>
            <w:r w:rsidRPr="009A3AE9">
              <w:t>20/370</w:t>
            </w:r>
          </w:p>
          <w:p w14:paraId="57D2F661" w14:textId="77777777" w:rsidR="00AC0F4E" w:rsidRPr="009A3AE9" w:rsidRDefault="00AC0F4E" w:rsidP="00360CB1">
            <w:pPr>
              <w:pStyle w:val="TableText0"/>
              <w:jc w:val="center"/>
            </w:pPr>
            <w:r w:rsidRPr="009A3AE9">
              <w:t>(5.41%)</w:t>
            </w:r>
          </w:p>
        </w:tc>
        <w:tc>
          <w:tcPr>
            <w:tcW w:w="1470" w:type="dxa"/>
          </w:tcPr>
          <w:p w14:paraId="5342CD84" w14:textId="77777777" w:rsidR="00AC0F4E" w:rsidRPr="009A3AE9" w:rsidRDefault="00AC0F4E" w:rsidP="00360CB1">
            <w:pPr>
              <w:pStyle w:val="TableText0"/>
              <w:jc w:val="center"/>
            </w:pPr>
            <w:r w:rsidRPr="009A3AE9">
              <w:t>5/379</w:t>
            </w:r>
          </w:p>
          <w:p w14:paraId="44D31878" w14:textId="77777777" w:rsidR="00AC0F4E" w:rsidRPr="009A3AE9" w:rsidRDefault="00AC0F4E" w:rsidP="00360CB1">
            <w:pPr>
              <w:pStyle w:val="TableText0"/>
              <w:jc w:val="center"/>
            </w:pPr>
            <w:r w:rsidRPr="009A3AE9">
              <w:t>(1.32%)</w:t>
            </w:r>
          </w:p>
        </w:tc>
        <w:tc>
          <w:tcPr>
            <w:tcW w:w="1207" w:type="dxa"/>
          </w:tcPr>
          <w:p w14:paraId="715E936D" w14:textId="77777777" w:rsidR="00AC0F4E" w:rsidRPr="009A3AE9" w:rsidRDefault="00AC0F4E" w:rsidP="00360CB1">
            <w:pPr>
              <w:pStyle w:val="TableText0"/>
              <w:jc w:val="center"/>
              <w:rPr>
                <w:b/>
              </w:rPr>
            </w:pPr>
            <w:r w:rsidRPr="009A3AE9">
              <w:rPr>
                <w:b/>
              </w:rPr>
              <w:t>4.27</w:t>
            </w:r>
          </w:p>
          <w:p w14:paraId="544AA2A6" w14:textId="77777777" w:rsidR="00AC0F4E" w:rsidRPr="009A3AE9" w:rsidRDefault="00AC0F4E" w:rsidP="00360CB1">
            <w:pPr>
              <w:pStyle w:val="TableText0"/>
              <w:jc w:val="center"/>
              <w:rPr>
                <w:b/>
              </w:rPr>
            </w:pPr>
            <w:r w:rsidRPr="009A3AE9">
              <w:rPr>
                <w:b/>
              </w:rPr>
              <w:t>[1.59, 11.51]</w:t>
            </w:r>
          </w:p>
        </w:tc>
        <w:tc>
          <w:tcPr>
            <w:tcW w:w="1207" w:type="dxa"/>
          </w:tcPr>
          <w:p w14:paraId="4E4EA36E" w14:textId="77777777" w:rsidR="00AC0F4E" w:rsidRPr="009A3AE9" w:rsidRDefault="00AC0F4E" w:rsidP="00360CB1">
            <w:pPr>
              <w:pStyle w:val="TableText0"/>
              <w:jc w:val="center"/>
              <w:rPr>
                <w:b/>
              </w:rPr>
            </w:pPr>
            <w:r w:rsidRPr="009A3AE9">
              <w:rPr>
                <w:b/>
              </w:rPr>
              <w:t>4.10</w:t>
            </w:r>
          </w:p>
          <w:p w14:paraId="39E086BB" w14:textId="77777777" w:rsidR="00AC0F4E" w:rsidRPr="009A3AE9" w:rsidRDefault="00AC0F4E" w:rsidP="00360CB1">
            <w:pPr>
              <w:pStyle w:val="TableText0"/>
              <w:jc w:val="center"/>
              <w:rPr>
                <w:b/>
              </w:rPr>
            </w:pPr>
            <w:r w:rsidRPr="009A3AE9">
              <w:rPr>
                <w:b/>
              </w:rPr>
              <w:t>[1.55, 10.80]</w:t>
            </w:r>
          </w:p>
        </w:tc>
        <w:tc>
          <w:tcPr>
            <w:tcW w:w="1473" w:type="dxa"/>
          </w:tcPr>
          <w:p w14:paraId="759D909E" w14:textId="77777777" w:rsidR="00AC0F4E" w:rsidRPr="009A3AE9" w:rsidRDefault="00AC0F4E" w:rsidP="00360CB1">
            <w:pPr>
              <w:pStyle w:val="TableText0"/>
              <w:jc w:val="center"/>
              <w:rPr>
                <w:b/>
              </w:rPr>
            </w:pPr>
            <w:r w:rsidRPr="009A3AE9">
              <w:rPr>
                <w:b/>
              </w:rPr>
              <w:t>0.04</w:t>
            </w:r>
          </w:p>
          <w:p w14:paraId="38C1F1B0" w14:textId="77777777" w:rsidR="00AC0F4E" w:rsidRPr="009A3AE9" w:rsidRDefault="00AC0F4E" w:rsidP="00360CB1">
            <w:pPr>
              <w:pStyle w:val="TableText0"/>
              <w:jc w:val="center"/>
              <w:rPr>
                <w:b/>
              </w:rPr>
            </w:pPr>
            <w:r w:rsidRPr="009A3AE9">
              <w:rPr>
                <w:b/>
              </w:rPr>
              <w:t>[0.02, 0.07]</w:t>
            </w:r>
          </w:p>
        </w:tc>
      </w:tr>
      <w:tr w:rsidR="00AC0F4E" w:rsidRPr="009A3AE9" w14:paraId="319FAF5F" w14:textId="77777777" w:rsidTr="000B051A">
        <w:trPr>
          <w:trHeight w:val="199"/>
        </w:trPr>
        <w:tc>
          <w:tcPr>
            <w:tcW w:w="9017" w:type="dxa"/>
            <w:gridSpan w:val="6"/>
            <w:shd w:val="clear" w:color="auto" w:fill="auto"/>
          </w:tcPr>
          <w:p w14:paraId="5889982C" w14:textId="77777777" w:rsidR="00AC0F4E" w:rsidRPr="009A3AE9" w:rsidRDefault="00AC0F4E" w:rsidP="00360CB1">
            <w:pPr>
              <w:pStyle w:val="TableText0"/>
              <w:rPr>
                <w:b/>
              </w:rPr>
            </w:pPr>
            <w:r w:rsidRPr="009A3AE9">
              <w:rPr>
                <w:b/>
              </w:rPr>
              <w:t>General disorders and administration site conditions</w:t>
            </w:r>
          </w:p>
        </w:tc>
      </w:tr>
      <w:tr w:rsidR="00AC0F4E" w:rsidRPr="009A3AE9" w14:paraId="0FF19091" w14:textId="77777777" w:rsidTr="000B051A">
        <w:trPr>
          <w:trHeight w:val="189"/>
        </w:trPr>
        <w:tc>
          <w:tcPr>
            <w:tcW w:w="2188" w:type="dxa"/>
          </w:tcPr>
          <w:p w14:paraId="56178BC1" w14:textId="77777777" w:rsidR="00AC0F4E" w:rsidRPr="009A3AE9" w:rsidRDefault="00AC0F4E" w:rsidP="00360CB1">
            <w:pPr>
              <w:pStyle w:val="TableText0"/>
            </w:pPr>
            <w:r w:rsidRPr="009A3AE9">
              <w:t>Fatigue</w:t>
            </w:r>
          </w:p>
        </w:tc>
        <w:tc>
          <w:tcPr>
            <w:tcW w:w="1472" w:type="dxa"/>
          </w:tcPr>
          <w:p w14:paraId="60594673" w14:textId="77777777" w:rsidR="00AC0F4E" w:rsidRPr="009A3AE9" w:rsidRDefault="00AC0F4E" w:rsidP="00360CB1">
            <w:pPr>
              <w:pStyle w:val="TableText0"/>
              <w:jc w:val="center"/>
            </w:pPr>
            <w:r w:rsidRPr="009A3AE9">
              <w:t>20/370</w:t>
            </w:r>
          </w:p>
          <w:p w14:paraId="5BF093B9" w14:textId="77777777" w:rsidR="00AC0F4E" w:rsidRPr="009A3AE9" w:rsidRDefault="00AC0F4E" w:rsidP="00360CB1">
            <w:pPr>
              <w:pStyle w:val="TableText0"/>
              <w:jc w:val="center"/>
            </w:pPr>
            <w:r w:rsidRPr="009A3AE9">
              <w:t>(5.41%)</w:t>
            </w:r>
          </w:p>
        </w:tc>
        <w:tc>
          <w:tcPr>
            <w:tcW w:w="1470" w:type="dxa"/>
          </w:tcPr>
          <w:p w14:paraId="37601A44" w14:textId="77777777" w:rsidR="00AC0F4E" w:rsidRPr="009A3AE9" w:rsidRDefault="00AC0F4E" w:rsidP="00360CB1">
            <w:pPr>
              <w:pStyle w:val="TableText0"/>
              <w:jc w:val="center"/>
            </w:pPr>
            <w:r w:rsidRPr="009A3AE9">
              <w:t>14/379</w:t>
            </w:r>
          </w:p>
          <w:p w14:paraId="7CDC786B" w14:textId="77777777" w:rsidR="00AC0F4E" w:rsidRPr="009A3AE9" w:rsidRDefault="00AC0F4E" w:rsidP="00360CB1">
            <w:pPr>
              <w:pStyle w:val="TableText0"/>
              <w:jc w:val="center"/>
            </w:pPr>
            <w:r w:rsidRPr="009A3AE9">
              <w:t>(3.69%)</w:t>
            </w:r>
          </w:p>
        </w:tc>
        <w:tc>
          <w:tcPr>
            <w:tcW w:w="1207" w:type="dxa"/>
          </w:tcPr>
          <w:p w14:paraId="31049948" w14:textId="77777777" w:rsidR="00AC0F4E" w:rsidRPr="009A3AE9" w:rsidRDefault="00AC0F4E" w:rsidP="00360CB1">
            <w:pPr>
              <w:pStyle w:val="TableText0"/>
              <w:jc w:val="center"/>
            </w:pPr>
            <w:r w:rsidRPr="009A3AE9">
              <w:t>1.49 [0.74, 3.00]</w:t>
            </w:r>
          </w:p>
        </w:tc>
        <w:tc>
          <w:tcPr>
            <w:tcW w:w="1207" w:type="dxa"/>
          </w:tcPr>
          <w:p w14:paraId="1879351A" w14:textId="77777777" w:rsidR="00AC0F4E" w:rsidRPr="009A3AE9" w:rsidRDefault="00AC0F4E" w:rsidP="00360CB1">
            <w:pPr>
              <w:pStyle w:val="TableText0"/>
              <w:jc w:val="center"/>
            </w:pPr>
            <w:r w:rsidRPr="009A3AE9">
              <w:t>1.46</w:t>
            </w:r>
          </w:p>
          <w:p w14:paraId="7CF6E708" w14:textId="77777777" w:rsidR="00AC0F4E" w:rsidRPr="009A3AE9" w:rsidRDefault="00AC0F4E" w:rsidP="00360CB1">
            <w:pPr>
              <w:pStyle w:val="TableText0"/>
              <w:jc w:val="center"/>
            </w:pPr>
            <w:r w:rsidRPr="009A3AE9">
              <w:t>[0.75, 2.85]</w:t>
            </w:r>
          </w:p>
        </w:tc>
        <w:tc>
          <w:tcPr>
            <w:tcW w:w="1473" w:type="dxa"/>
          </w:tcPr>
          <w:p w14:paraId="270A0DC7" w14:textId="77777777" w:rsidR="00AC0F4E" w:rsidRPr="009A3AE9" w:rsidRDefault="00AC0F4E" w:rsidP="00360CB1">
            <w:pPr>
              <w:pStyle w:val="TableText0"/>
              <w:jc w:val="center"/>
            </w:pPr>
            <w:r w:rsidRPr="009A3AE9">
              <w:t>0.02</w:t>
            </w:r>
          </w:p>
          <w:p w14:paraId="47BF461D" w14:textId="77777777" w:rsidR="00AC0F4E" w:rsidRPr="009A3AE9" w:rsidRDefault="00AC0F4E" w:rsidP="00360CB1">
            <w:pPr>
              <w:pStyle w:val="TableText0"/>
              <w:jc w:val="center"/>
            </w:pPr>
            <w:r w:rsidRPr="009A3AE9">
              <w:t>[-0.01, 0.05]</w:t>
            </w:r>
          </w:p>
        </w:tc>
      </w:tr>
      <w:tr w:rsidR="00AC0F4E" w:rsidRPr="009A3AE9" w14:paraId="20CCE270" w14:textId="77777777" w:rsidTr="000B051A">
        <w:trPr>
          <w:trHeight w:val="199"/>
        </w:trPr>
        <w:tc>
          <w:tcPr>
            <w:tcW w:w="2188" w:type="dxa"/>
          </w:tcPr>
          <w:p w14:paraId="4143CFD6" w14:textId="77777777" w:rsidR="00AC0F4E" w:rsidRPr="009A3AE9" w:rsidRDefault="00AC0F4E" w:rsidP="00360CB1">
            <w:pPr>
              <w:pStyle w:val="TableText0"/>
            </w:pPr>
            <w:r w:rsidRPr="009A3AE9">
              <w:t>Asthenia</w:t>
            </w:r>
          </w:p>
        </w:tc>
        <w:tc>
          <w:tcPr>
            <w:tcW w:w="1472" w:type="dxa"/>
          </w:tcPr>
          <w:p w14:paraId="61891151" w14:textId="77777777" w:rsidR="00AC0F4E" w:rsidRPr="009A3AE9" w:rsidRDefault="00AC0F4E" w:rsidP="00360CB1">
            <w:pPr>
              <w:pStyle w:val="TableText0"/>
              <w:jc w:val="center"/>
            </w:pPr>
            <w:r w:rsidRPr="009A3AE9">
              <w:t>27/370</w:t>
            </w:r>
          </w:p>
          <w:p w14:paraId="626A42B1" w14:textId="77777777" w:rsidR="00AC0F4E" w:rsidRPr="009A3AE9" w:rsidRDefault="00AC0F4E" w:rsidP="00360CB1">
            <w:pPr>
              <w:pStyle w:val="TableText0"/>
              <w:jc w:val="center"/>
            </w:pPr>
            <w:r w:rsidRPr="009A3AE9">
              <w:t>(7.30%)</w:t>
            </w:r>
          </w:p>
        </w:tc>
        <w:tc>
          <w:tcPr>
            <w:tcW w:w="1470" w:type="dxa"/>
          </w:tcPr>
          <w:p w14:paraId="218D5A38" w14:textId="77777777" w:rsidR="00AC0F4E" w:rsidRPr="009A3AE9" w:rsidRDefault="00AC0F4E" w:rsidP="00360CB1">
            <w:pPr>
              <w:pStyle w:val="TableText0"/>
              <w:jc w:val="center"/>
            </w:pPr>
            <w:r w:rsidRPr="009A3AE9">
              <w:t>14/379</w:t>
            </w:r>
          </w:p>
          <w:p w14:paraId="46CAC89F" w14:textId="77777777" w:rsidR="00AC0F4E" w:rsidRPr="009A3AE9" w:rsidRDefault="00AC0F4E" w:rsidP="00360CB1">
            <w:pPr>
              <w:pStyle w:val="TableText0"/>
              <w:jc w:val="center"/>
            </w:pPr>
            <w:r w:rsidRPr="009A3AE9">
              <w:t>(3.69%)</w:t>
            </w:r>
          </w:p>
        </w:tc>
        <w:tc>
          <w:tcPr>
            <w:tcW w:w="1207" w:type="dxa"/>
          </w:tcPr>
          <w:p w14:paraId="6C7F5107" w14:textId="77777777" w:rsidR="00AC0F4E" w:rsidRPr="009A3AE9" w:rsidRDefault="00AC0F4E" w:rsidP="00360CB1">
            <w:pPr>
              <w:pStyle w:val="TableText0"/>
              <w:jc w:val="center"/>
              <w:rPr>
                <w:b/>
              </w:rPr>
            </w:pPr>
            <w:r w:rsidRPr="009A3AE9">
              <w:rPr>
                <w:b/>
              </w:rPr>
              <w:t>2.05</w:t>
            </w:r>
          </w:p>
          <w:p w14:paraId="6B546E81" w14:textId="77777777" w:rsidR="00AC0F4E" w:rsidRPr="009A3AE9" w:rsidRDefault="00AC0F4E" w:rsidP="00360CB1">
            <w:pPr>
              <w:pStyle w:val="TableText0"/>
              <w:jc w:val="center"/>
              <w:rPr>
                <w:b/>
              </w:rPr>
            </w:pPr>
            <w:r w:rsidRPr="009A3AE9">
              <w:rPr>
                <w:b/>
              </w:rPr>
              <w:t>[1.06, 3.98]</w:t>
            </w:r>
          </w:p>
        </w:tc>
        <w:tc>
          <w:tcPr>
            <w:tcW w:w="1207" w:type="dxa"/>
          </w:tcPr>
          <w:p w14:paraId="21203989" w14:textId="77777777" w:rsidR="00AC0F4E" w:rsidRPr="009A3AE9" w:rsidRDefault="00AC0F4E" w:rsidP="00360CB1">
            <w:pPr>
              <w:pStyle w:val="TableText0"/>
              <w:jc w:val="center"/>
              <w:rPr>
                <w:b/>
              </w:rPr>
            </w:pPr>
            <w:r w:rsidRPr="009A3AE9">
              <w:rPr>
                <w:b/>
              </w:rPr>
              <w:t>1.98</w:t>
            </w:r>
          </w:p>
          <w:p w14:paraId="6C4BFB2F" w14:textId="77777777" w:rsidR="00AC0F4E" w:rsidRPr="009A3AE9" w:rsidRDefault="00AC0F4E" w:rsidP="00360CB1">
            <w:pPr>
              <w:pStyle w:val="TableText0"/>
              <w:jc w:val="center"/>
              <w:rPr>
                <w:b/>
              </w:rPr>
            </w:pPr>
            <w:r w:rsidRPr="009A3AE9">
              <w:rPr>
                <w:b/>
              </w:rPr>
              <w:t>[1.05, 3.71]</w:t>
            </w:r>
          </w:p>
        </w:tc>
        <w:tc>
          <w:tcPr>
            <w:tcW w:w="1473" w:type="dxa"/>
          </w:tcPr>
          <w:p w14:paraId="39F01FAD" w14:textId="77777777" w:rsidR="00AC0F4E" w:rsidRPr="009A3AE9" w:rsidRDefault="00AC0F4E" w:rsidP="00360CB1">
            <w:pPr>
              <w:pStyle w:val="TableText0"/>
              <w:jc w:val="center"/>
              <w:rPr>
                <w:b/>
              </w:rPr>
            </w:pPr>
            <w:r w:rsidRPr="009A3AE9">
              <w:rPr>
                <w:b/>
              </w:rPr>
              <w:t>0.04</w:t>
            </w:r>
          </w:p>
          <w:p w14:paraId="4BFC1560" w14:textId="77777777" w:rsidR="00AC0F4E" w:rsidRPr="009A3AE9" w:rsidRDefault="00AC0F4E" w:rsidP="00360CB1">
            <w:pPr>
              <w:pStyle w:val="TableText0"/>
              <w:jc w:val="center"/>
              <w:rPr>
                <w:b/>
              </w:rPr>
            </w:pPr>
            <w:r w:rsidRPr="009A3AE9">
              <w:rPr>
                <w:b/>
              </w:rPr>
              <w:t>[0.00, 0.07]</w:t>
            </w:r>
          </w:p>
        </w:tc>
      </w:tr>
      <w:tr w:rsidR="00A1225B" w:rsidRPr="009A3AE9" w14:paraId="0CBF1D76" w14:textId="77777777" w:rsidTr="000B051A">
        <w:trPr>
          <w:trHeight w:val="199"/>
        </w:trPr>
        <w:tc>
          <w:tcPr>
            <w:tcW w:w="2188" w:type="dxa"/>
          </w:tcPr>
          <w:p w14:paraId="768AEF4D" w14:textId="37E61125" w:rsidR="005B7CA4" w:rsidRPr="009A3AE9" w:rsidRDefault="005B7CA4" w:rsidP="00360CB1">
            <w:pPr>
              <w:pStyle w:val="TableText0"/>
            </w:pPr>
            <w:r w:rsidRPr="009A3AE9">
              <w:t>Mucosal inflammation</w:t>
            </w:r>
          </w:p>
        </w:tc>
        <w:tc>
          <w:tcPr>
            <w:tcW w:w="1472" w:type="dxa"/>
          </w:tcPr>
          <w:p w14:paraId="668CDA18" w14:textId="77777777" w:rsidR="005B7CA4" w:rsidRPr="009A3AE9" w:rsidRDefault="005B7CA4" w:rsidP="00360CB1">
            <w:pPr>
              <w:pStyle w:val="TableText0"/>
              <w:jc w:val="center"/>
            </w:pPr>
            <w:r w:rsidRPr="009A3AE9">
              <w:t>7/370</w:t>
            </w:r>
          </w:p>
          <w:p w14:paraId="4B0B42BA" w14:textId="1488FE34" w:rsidR="005B7CA4" w:rsidRPr="009A3AE9" w:rsidRDefault="005B7CA4" w:rsidP="00360CB1">
            <w:pPr>
              <w:pStyle w:val="TableText0"/>
              <w:jc w:val="center"/>
            </w:pPr>
            <w:r w:rsidRPr="009A3AE9">
              <w:t>(1.89%)</w:t>
            </w:r>
          </w:p>
        </w:tc>
        <w:tc>
          <w:tcPr>
            <w:tcW w:w="1470" w:type="dxa"/>
          </w:tcPr>
          <w:p w14:paraId="40E3C882" w14:textId="77777777" w:rsidR="005B7CA4" w:rsidRPr="009A3AE9" w:rsidRDefault="005B7CA4" w:rsidP="00360CB1">
            <w:pPr>
              <w:pStyle w:val="TableText0"/>
              <w:jc w:val="center"/>
            </w:pPr>
            <w:r w:rsidRPr="009A3AE9">
              <w:t>1/379</w:t>
            </w:r>
          </w:p>
          <w:p w14:paraId="0A0BA6D3" w14:textId="7694ADFD" w:rsidR="005B7CA4" w:rsidRPr="009A3AE9" w:rsidRDefault="005B7CA4" w:rsidP="00360CB1">
            <w:pPr>
              <w:pStyle w:val="TableText0"/>
              <w:jc w:val="center"/>
            </w:pPr>
            <w:r w:rsidRPr="009A3AE9">
              <w:t>(0.26%)</w:t>
            </w:r>
          </w:p>
        </w:tc>
        <w:tc>
          <w:tcPr>
            <w:tcW w:w="1207" w:type="dxa"/>
          </w:tcPr>
          <w:p w14:paraId="447B14E7" w14:textId="77777777" w:rsidR="005B7CA4" w:rsidRPr="009A3AE9" w:rsidRDefault="005B7CA4" w:rsidP="00360CB1">
            <w:pPr>
              <w:pStyle w:val="TableText0"/>
              <w:jc w:val="center"/>
            </w:pPr>
            <w:r w:rsidRPr="009A3AE9">
              <w:t xml:space="preserve">7.29 </w:t>
            </w:r>
          </w:p>
          <w:p w14:paraId="7C0BAA8A" w14:textId="75770EFE" w:rsidR="005B7CA4" w:rsidRPr="009A3AE9" w:rsidRDefault="005B7CA4" w:rsidP="00360CB1">
            <w:pPr>
              <w:pStyle w:val="TableText0"/>
              <w:jc w:val="center"/>
              <w:rPr>
                <w:b/>
              </w:rPr>
            </w:pPr>
            <w:r w:rsidRPr="009A3AE9">
              <w:t>[0.89, 59.54]</w:t>
            </w:r>
          </w:p>
        </w:tc>
        <w:tc>
          <w:tcPr>
            <w:tcW w:w="1207" w:type="dxa"/>
          </w:tcPr>
          <w:p w14:paraId="533EB50B" w14:textId="77777777" w:rsidR="005B7CA4" w:rsidRPr="009A3AE9" w:rsidRDefault="005B7CA4" w:rsidP="00360CB1">
            <w:pPr>
              <w:pStyle w:val="TableText0"/>
              <w:jc w:val="center"/>
            </w:pPr>
            <w:r w:rsidRPr="009A3AE9">
              <w:t>7.17</w:t>
            </w:r>
          </w:p>
          <w:p w14:paraId="669A71AF" w14:textId="31C45006" w:rsidR="005B7CA4" w:rsidRPr="009A3AE9" w:rsidRDefault="005B7CA4" w:rsidP="00360CB1">
            <w:pPr>
              <w:pStyle w:val="TableText0"/>
              <w:jc w:val="center"/>
              <w:rPr>
                <w:b/>
              </w:rPr>
            </w:pPr>
            <w:r w:rsidRPr="009A3AE9">
              <w:t>[0.89, 58.00]</w:t>
            </w:r>
          </w:p>
        </w:tc>
        <w:tc>
          <w:tcPr>
            <w:tcW w:w="1473" w:type="dxa"/>
          </w:tcPr>
          <w:p w14:paraId="4D036846" w14:textId="77777777" w:rsidR="005B7CA4" w:rsidRPr="009A3AE9" w:rsidRDefault="005B7CA4" w:rsidP="00360CB1">
            <w:pPr>
              <w:pStyle w:val="TableText0"/>
              <w:jc w:val="center"/>
            </w:pPr>
            <w:r w:rsidRPr="009A3AE9">
              <w:t>0.02</w:t>
            </w:r>
          </w:p>
          <w:p w14:paraId="4E0822A9" w14:textId="020D22F9" w:rsidR="005B7CA4" w:rsidRPr="009A3AE9" w:rsidRDefault="005B7CA4" w:rsidP="00360CB1">
            <w:pPr>
              <w:pStyle w:val="TableText0"/>
              <w:jc w:val="center"/>
              <w:rPr>
                <w:b/>
              </w:rPr>
            </w:pPr>
            <w:r w:rsidRPr="009A3AE9">
              <w:t>[0.00, 0.03]</w:t>
            </w:r>
          </w:p>
        </w:tc>
      </w:tr>
      <w:tr w:rsidR="00A1225B" w:rsidRPr="009A3AE9" w14:paraId="376B0685" w14:textId="77777777" w:rsidTr="00E27BBC">
        <w:trPr>
          <w:trHeight w:val="199"/>
        </w:trPr>
        <w:tc>
          <w:tcPr>
            <w:tcW w:w="9017" w:type="dxa"/>
            <w:gridSpan w:val="6"/>
          </w:tcPr>
          <w:p w14:paraId="303FF2E2" w14:textId="76C04FFF" w:rsidR="005B7CA4" w:rsidRPr="009A3AE9" w:rsidRDefault="005B7CA4" w:rsidP="00360CB1">
            <w:pPr>
              <w:pStyle w:val="TableText0"/>
            </w:pPr>
            <w:r w:rsidRPr="009A3AE9">
              <w:rPr>
                <w:b/>
              </w:rPr>
              <w:t>Nervous system disorders</w:t>
            </w:r>
          </w:p>
        </w:tc>
      </w:tr>
      <w:tr w:rsidR="00A1225B" w:rsidRPr="009A3AE9" w14:paraId="5A5F3FA5" w14:textId="77777777" w:rsidTr="000B051A">
        <w:trPr>
          <w:trHeight w:val="199"/>
        </w:trPr>
        <w:tc>
          <w:tcPr>
            <w:tcW w:w="2188" w:type="dxa"/>
          </w:tcPr>
          <w:p w14:paraId="725FDA40" w14:textId="3AC16D59" w:rsidR="005B7CA4" w:rsidRPr="009A3AE9" w:rsidRDefault="005B7CA4" w:rsidP="00360CB1">
            <w:pPr>
              <w:pStyle w:val="TableText0"/>
            </w:pPr>
            <w:r w:rsidRPr="009A3AE9">
              <w:t>Neuropathy peripheral</w:t>
            </w:r>
          </w:p>
        </w:tc>
        <w:tc>
          <w:tcPr>
            <w:tcW w:w="1472" w:type="dxa"/>
          </w:tcPr>
          <w:p w14:paraId="03C37170" w14:textId="77777777" w:rsidR="005B7CA4" w:rsidRPr="009A3AE9" w:rsidRDefault="005B7CA4" w:rsidP="00360CB1">
            <w:pPr>
              <w:pStyle w:val="TableText0"/>
              <w:jc w:val="center"/>
            </w:pPr>
            <w:r w:rsidRPr="009A3AE9">
              <w:t>12/370</w:t>
            </w:r>
          </w:p>
          <w:p w14:paraId="6244AFC0" w14:textId="2682D21D" w:rsidR="005B7CA4" w:rsidRPr="009A3AE9" w:rsidRDefault="005B7CA4" w:rsidP="00360CB1">
            <w:pPr>
              <w:pStyle w:val="TableText0"/>
              <w:jc w:val="center"/>
            </w:pPr>
            <w:r w:rsidRPr="009A3AE9">
              <w:t>(3.24%)</w:t>
            </w:r>
          </w:p>
        </w:tc>
        <w:tc>
          <w:tcPr>
            <w:tcW w:w="1470" w:type="dxa"/>
          </w:tcPr>
          <w:p w14:paraId="7F1B71B8" w14:textId="77777777" w:rsidR="005B7CA4" w:rsidRPr="009A3AE9" w:rsidRDefault="005B7CA4" w:rsidP="00360CB1">
            <w:pPr>
              <w:pStyle w:val="TableText0"/>
              <w:jc w:val="center"/>
            </w:pPr>
            <w:r w:rsidRPr="009A3AE9">
              <w:t>22/379</w:t>
            </w:r>
          </w:p>
          <w:p w14:paraId="0017452D" w14:textId="3C00A089" w:rsidR="005B7CA4" w:rsidRPr="009A3AE9" w:rsidRDefault="005B7CA4" w:rsidP="00360CB1">
            <w:pPr>
              <w:pStyle w:val="TableText0"/>
              <w:jc w:val="center"/>
            </w:pPr>
            <w:r w:rsidRPr="009A3AE9">
              <w:t>(5.80%)</w:t>
            </w:r>
          </w:p>
        </w:tc>
        <w:tc>
          <w:tcPr>
            <w:tcW w:w="1207" w:type="dxa"/>
          </w:tcPr>
          <w:p w14:paraId="23593367" w14:textId="77777777" w:rsidR="005B7CA4" w:rsidRPr="009A3AE9" w:rsidRDefault="005B7CA4" w:rsidP="00360CB1">
            <w:pPr>
              <w:pStyle w:val="TableText0"/>
              <w:jc w:val="center"/>
            </w:pPr>
            <w:r w:rsidRPr="009A3AE9">
              <w:t>0.54</w:t>
            </w:r>
          </w:p>
          <w:p w14:paraId="17C57C75" w14:textId="5CB4E8F0" w:rsidR="005B7CA4" w:rsidRPr="009A3AE9" w:rsidRDefault="005B7CA4" w:rsidP="00360CB1">
            <w:pPr>
              <w:pStyle w:val="TableText0"/>
              <w:jc w:val="center"/>
            </w:pPr>
            <w:r w:rsidRPr="009A3AE9">
              <w:t>[0.27, 1.12]</w:t>
            </w:r>
          </w:p>
        </w:tc>
        <w:tc>
          <w:tcPr>
            <w:tcW w:w="1207" w:type="dxa"/>
          </w:tcPr>
          <w:p w14:paraId="071486B1" w14:textId="77777777" w:rsidR="005B7CA4" w:rsidRPr="009A3AE9" w:rsidRDefault="005B7CA4" w:rsidP="00360CB1">
            <w:pPr>
              <w:pStyle w:val="TableText0"/>
              <w:jc w:val="center"/>
            </w:pPr>
            <w:r w:rsidRPr="009A3AE9">
              <w:t>0.56</w:t>
            </w:r>
          </w:p>
          <w:p w14:paraId="0E445552" w14:textId="11265842" w:rsidR="005B7CA4" w:rsidRPr="009A3AE9" w:rsidRDefault="005B7CA4" w:rsidP="00360CB1">
            <w:pPr>
              <w:pStyle w:val="TableText0"/>
              <w:jc w:val="center"/>
            </w:pPr>
            <w:r w:rsidRPr="009A3AE9">
              <w:t>[0.28, 1.11]</w:t>
            </w:r>
          </w:p>
        </w:tc>
        <w:tc>
          <w:tcPr>
            <w:tcW w:w="1473" w:type="dxa"/>
          </w:tcPr>
          <w:p w14:paraId="32782267" w14:textId="77777777" w:rsidR="005B7CA4" w:rsidRPr="009A3AE9" w:rsidRDefault="005B7CA4" w:rsidP="00360CB1">
            <w:pPr>
              <w:pStyle w:val="TableText0"/>
              <w:jc w:val="center"/>
            </w:pPr>
            <w:r w:rsidRPr="009A3AE9">
              <w:t>-0.03</w:t>
            </w:r>
          </w:p>
          <w:p w14:paraId="6E89F07D" w14:textId="634D95C9" w:rsidR="005B7CA4" w:rsidRPr="009A3AE9" w:rsidRDefault="005B7CA4" w:rsidP="00360CB1">
            <w:pPr>
              <w:pStyle w:val="TableText0"/>
              <w:jc w:val="center"/>
            </w:pPr>
            <w:r w:rsidRPr="009A3AE9">
              <w:t>[-0.06, 0.00]</w:t>
            </w:r>
          </w:p>
        </w:tc>
      </w:tr>
      <w:tr w:rsidR="005B7CA4" w:rsidRPr="009A3AE9" w14:paraId="783BCBAB" w14:textId="77777777" w:rsidTr="000B051A">
        <w:trPr>
          <w:trHeight w:val="199"/>
        </w:trPr>
        <w:tc>
          <w:tcPr>
            <w:tcW w:w="9017" w:type="dxa"/>
            <w:gridSpan w:val="6"/>
            <w:shd w:val="clear" w:color="auto" w:fill="auto"/>
          </w:tcPr>
          <w:p w14:paraId="6F179F01" w14:textId="77777777" w:rsidR="005B7CA4" w:rsidRPr="009A3AE9" w:rsidRDefault="005B7CA4" w:rsidP="00360CB1">
            <w:pPr>
              <w:pStyle w:val="TableText0"/>
              <w:rPr>
                <w:b/>
              </w:rPr>
            </w:pPr>
            <w:r w:rsidRPr="009A3AE9">
              <w:rPr>
                <w:b/>
              </w:rPr>
              <w:t>Blood and lymphatic system disorders</w:t>
            </w:r>
          </w:p>
        </w:tc>
      </w:tr>
      <w:tr w:rsidR="005B7CA4" w:rsidRPr="009A3AE9" w14:paraId="75DC87AE" w14:textId="77777777" w:rsidTr="000B051A">
        <w:trPr>
          <w:trHeight w:val="189"/>
        </w:trPr>
        <w:tc>
          <w:tcPr>
            <w:tcW w:w="2188" w:type="dxa"/>
          </w:tcPr>
          <w:p w14:paraId="290144F3" w14:textId="77777777" w:rsidR="005B7CA4" w:rsidRPr="009A3AE9" w:rsidRDefault="005B7CA4" w:rsidP="00360CB1">
            <w:pPr>
              <w:pStyle w:val="TableText0"/>
            </w:pPr>
            <w:r w:rsidRPr="009A3AE9">
              <w:t>Neutropenia</w:t>
            </w:r>
          </w:p>
        </w:tc>
        <w:tc>
          <w:tcPr>
            <w:tcW w:w="1472" w:type="dxa"/>
          </w:tcPr>
          <w:p w14:paraId="30BEF26C" w14:textId="77777777" w:rsidR="005B7CA4" w:rsidRPr="009A3AE9" w:rsidRDefault="005B7CA4" w:rsidP="00360CB1">
            <w:pPr>
              <w:pStyle w:val="TableText0"/>
              <w:jc w:val="center"/>
            </w:pPr>
            <w:r w:rsidRPr="009A3AE9">
              <w:t>52/370</w:t>
            </w:r>
          </w:p>
          <w:p w14:paraId="2866F267" w14:textId="77777777" w:rsidR="005B7CA4" w:rsidRPr="009A3AE9" w:rsidRDefault="005B7CA4" w:rsidP="00360CB1">
            <w:pPr>
              <w:pStyle w:val="TableText0"/>
              <w:jc w:val="center"/>
            </w:pPr>
            <w:r w:rsidRPr="009A3AE9">
              <w:t>(14.05%)</w:t>
            </w:r>
          </w:p>
        </w:tc>
        <w:tc>
          <w:tcPr>
            <w:tcW w:w="1470" w:type="dxa"/>
          </w:tcPr>
          <w:p w14:paraId="106E12BE" w14:textId="77777777" w:rsidR="005B7CA4" w:rsidRPr="009A3AE9" w:rsidRDefault="005B7CA4" w:rsidP="00360CB1">
            <w:pPr>
              <w:pStyle w:val="TableText0"/>
              <w:jc w:val="center"/>
            </w:pPr>
            <w:r w:rsidRPr="009A3AE9">
              <w:t>88/379</w:t>
            </w:r>
          </w:p>
          <w:p w14:paraId="69D1B4C6" w14:textId="77777777" w:rsidR="005B7CA4" w:rsidRPr="009A3AE9" w:rsidRDefault="005B7CA4" w:rsidP="00360CB1">
            <w:pPr>
              <w:pStyle w:val="TableText0"/>
              <w:jc w:val="center"/>
            </w:pPr>
            <w:r w:rsidRPr="009A3AE9">
              <w:t>(23.22%)</w:t>
            </w:r>
          </w:p>
        </w:tc>
        <w:tc>
          <w:tcPr>
            <w:tcW w:w="1207" w:type="dxa"/>
          </w:tcPr>
          <w:p w14:paraId="2D110126" w14:textId="77777777" w:rsidR="005B7CA4" w:rsidRPr="009A3AE9" w:rsidRDefault="005B7CA4" w:rsidP="00360CB1">
            <w:pPr>
              <w:pStyle w:val="TableText0"/>
              <w:jc w:val="center"/>
              <w:rPr>
                <w:b/>
              </w:rPr>
            </w:pPr>
            <w:r w:rsidRPr="009A3AE9">
              <w:rPr>
                <w:b/>
              </w:rPr>
              <w:t>0.54</w:t>
            </w:r>
          </w:p>
          <w:p w14:paraId="0065D3E5" w14:textId="77777777" w:rsidR="005B7CA4" w:rsidRPr="009A3AE9" w:rsidRDefault="005B7CA4" w:rsidP="00360CB1">
            <w:pPr>
              <w:pStyle w:val="TableText0"/>
              <w:jc w:val="center"/>
              <w:rPr>
                <w:b/>
              </w:rPr>
            </w:pPr>
            <w:r w:rsidRPr="009A3AE9">
              <w:rPr>
                <w:b/>
              </w:rPr>
              <w:t>[0.37, 0.79]</w:t>
            </w:r>
          </w:p>
        </w:tc>
        <w:tc>
          <w:tcPr>
            <w:tcW w:w="1207" w:type="dxa"/>
          </w:tcPr>
          <w:p w14:paraId="5D7E976F" w14:textId="77777777" w:rsidR="005B7CA4" w:rsidRPr="009A3AE9" w:rsidRDefault="005B7CA4" w:rsidP="00360CB1">
            <w:pPr>
              <w:pStyle w:val="TableText0"/>
              <w:jc w:val="center"/>
              <w:rPr>
                <w:b/>
              </w:rPr>
            </w:pPr>
            <w:r w:rsidRPr="009A3AE9">
              <w:rPr>
                <w:b/>
              </w:rPr>
              <w:t>0.61</w:t>
            </w:r>
          </w:p>
          <w:p w14:paraId="5C8473B6" w14:textId="77777777" w:rsidR="005B7CA4" w:rsidRPr="009A3AE9" w:rsidRDefault="005B7CA4" w:rsidP="00360CB1">
            <w:pPr>
              <w:pStyle w:val="TableText0"/>
              <w:jc w:val="center"/>
              <w:rPr>
                <w:b/>
              </w:rPr>
            </w:pPr>
            <w:r w:rsidRPr="009A3AE9">
              <w:rPr>
                <w:b/>
              </w:rPr>
              <w:t>[0.44, 0.83]</w:t>
            </w:r>
          </w:p>
        </w:tc>
        <w:tc>
          <w:tcPr>
            <w:tcW w:w="1473" w:type="dxa"/>
          </w:tcPr>
          <w:p w14:paraId="6057F50B" w14:textId="77777777" w:rsidR="005B7CA4" w:rsidRPr="009A3AE9" w:rsidRDefault="005B7CA4" w:rsidP="00360CB1">
            <w:pPr>
              <w:pStyle w:val="TableText0"/>
              <w:jc w:val="center"/>
              <w:rPr>
                <w:b/>
              </w:rPr>
            </w:pPr>
            <w:r w:rsidRPr="009A3AE9">
              <w:rPr>
                <w:b/>
              </w:rPr>
              <w:t>-0.09</w:t>
            </w:r>
          </w:p>
          <w:p w14:paraId="29607E5D" w14:textId="77777777" w:rsidR="005B7CA4" w:rsidRPr="009A3AE9" w:rsidRDefault="005B7CA4" w:rsidP="00360CB1">
            <w:pPr>
              <w:pStyle w:val="TableText0"/>
              <w:jc w:val="center"/>
              <w:rPr>
                <w:b/>
              </w:rPr>
            </w:pPr>
            <w:r w:rsidRPr="009A3AE9">
              <w:rPr>
                <w:b/>
              </w:rPr>
              <w:t>[-0.15, -0.04]</w:t>
            </w:r>
          </w:p>
        </w:tc>
      </w:tr>
      <w:tr w:rsidR="005B7CA4" w:rsidRPr="009A3AE9" w14:paraId="370978C5" w14:textId="77777777" w:rsidTr="000B051A">
        <w:trPr>
          <w:trHeight w:val="199"/>
        </w:trPr>
        <w:tc>
          <w:tcPr>
            <w:tcW w:w="2188" w:type="dxa"/>
          </w:tcPr>
          <w:p w14:paraId="284E0C82" w14:textId="77777777" w:rsidR="005B7CA4" w:rsidRPr="009A3AE9" w:rsidRDefault="005B7CA4" w:rsidP="00360CB1">
            <w:pPr>
              <w:pStyle w:val="TableText0"/>
            </w:pPr>
            <w:r w:rsidRPr="009A3AE9">
              <w:t>Anaemia</w:t>
            </w:r>
          </w:p>
        </w:tc>
        <w:tc>
          <w:tcPr>
            <w:tcW w:w="1472" w:type="dxa"/>
          </w:tcPr>
          <w:p w14:paraId="55429916" w14:textId="77777777" w:rsidR="005B7CA4" w:rsidRPr="009A3AE9" w:rsidRDefault="005B7CA4" w:rsidP="00360CB1">
            <w:pPr>
              <w:pStyle w:val="TableText0"/>
              <w:jc w:val="center"/>
            </w:pPr>
            <w:r w:rsidRPr="009A3AE9">
              <w:t>27/370</w:t>
            </w:r>
          </w:p>
          <w:p w14:paraId="76F7D43B" w14:textId="77777777" w:rsidR="005B7CA4" w:rsidRPr="009A3AE9" w:rsidRDefault="005B7CA4" w:rsidP="00360CB1">
            <w:pPr>
              <w:pStyle w:val="TableText0"/>
              <w:jc w:val="center"/>
            </w:pPr>
            <w:r w:rsidRPr="009A3AE9">
              <w:t>(7.30%)</w:t>
            </w:r>
          </w:p>
        </w:tc>
        <w:tc>
          <w:tcPr>
            <w:tcW w:w="1470" w:type="dxa"/>
          </w:tcPr>
          <w:p w14:paraId="1C95C336" w14:textId="77777777" w:rsidR="005B7CA4" w:rsidRPr="009A3AE9" w:rsidRDefault="005B7CA4" w:rsidP="00360CB1">
            <w:pPr>
              <w:pStyle w:val="TableText0"/>
              <w:jc w:val="center"/>
            </w:pPr>
            <w:r w:rsidRPr="009A3AE9">
              <w:t>55/379</w:t>
            </w:r>
          </w:p>
          <w:p w14:paraId="386EB81F" w14:textId="77777777" w:rsidR="005B7CA4" w:rsidRPr="009A3AE9" w:rsidRDefault="005B7CA4" w:rsidP="00360CB1">
            <w:pPr>
              <w:pStyle w:val="TableText0"/>
              <w:jc w:val="center"/>
            </w:pPr>
            <w:r w:rsidRPr="009A3AE9">
              <w:t>(14.51%)</w:t>
            </w:r>
          </w:p>
        </w:tc>
        <w:tc>
          <w:tcPr>
            <w:tcW w:w="1207" w:type="dxa"/>
          </w:tcPr>
          <w:p w14:paraId="0A9A5E5F" w14:textId="77777777" w:rsidR="005B7CA4" w:rsidRPr="009A3AE9" w:rsidRDefault="005B7CA4" w:rsidP="00360CB1">
            <w:pPr>
              <w:pStyle w:val="TableText0"/>
              <w:jc w:val="center"/>
              <w:rPr>
                <w:b/>
              </w:rPr>
            </w:pPr>
            <w:r w:rsidRPr="009A3AE9">
              <w:rPr>
                <w:b/>
              </w:rPr>
              <w:t>0.46</w:t>
            </w:r>
          </w:p>
          <w:p w14:paraId="5F232592" w14:textId="77777777" w:rsidR="005B7CA4" w:rsidRPr="009A3AE9" w:rsidRDefault="005B7CA4" w:rsidP="00360CB1">
            <w:pPr>
              <w:pStyle w:val="TableText0"/>
              <w:jc w:val="center"/>
              <w:rPr>
                <w:b/>
              </w:rPr>
            </w:pPr>
            <w:r w:rsidRPr="009A3AE9">
              <w:rPr>
                <w:b/>
              </w:rPr>
              <w:t>[0.29, 0.75]</w:t>
            </w:r>
          </w:p>
        </w:tc>
        <w:tc>
          <w:tcPr>
            <w:tcW w:w="1207" w:type="dxa"/>
          </w:tcPr>
          <w:p w14:paraId="626541AE" w14:textId="77777777" w:rsidR="005B7CA4" w:rsidRPr="009A3AE9" w:rsidRDefault="005B7CA4" w:rsidP="00360CB1">
            <w:pPr>
              <w:pStyle w:val="TableText0"/>
              <w:jc w:val="center"/>
              <w:rPr>
                <w:b/>
              </w:rPr>
            </w:pPr>
            <w:r w:rsidRPr="009A3AE9">
              <w:rPr>
                <w:b/>
              </w:rPr>
              <w:t>0.50</w:t>
            </w:r>
          </w:p>
          <w:p w14:paraId="6195A2C6" w14:textId="77777777" w:rsidR="005B7CA4" w:rsidRPr="009A3AE9" w:rsidRDefault="005B7CA4" w:rsidP="00360CB1">
            <w:pPr>
              <w:pStyle w:val="TableText0"/>
              <w:jc w:val="center"/>
              <w:rPr>
                <w:b/>
              </w:rPr>
            </w:pPr>
            <w:r w:rsidRPr="009A3AE9">
              <w:rPr>
                <w:b/>
              </w:rPr>
              <w:t>[0.32, 0.78]</w:t>
            </w:r>
          </w:p>
        </w:tc>
        <w:tc>
          <w:tcPr>
            <w:tcW w:w="1473" w:type="dxa"/>
          </w:tcPr>
          <w:p w14:paraId="44927BB8" w14:textId="77777777" w:rsidR="005B7CA4" w:rsidRPr="009A3AE9" w:rsidRDefault="005B7CA4" w:rsidP="00360CB1">
            <w:pPr>
              <w:pStyle w:val="TableText0"/>
              <w:jc w:val="center"/>
              <w:rPr>
                <w:b/>
              </w:rPr>
            </w:pPr>
            <w:r w:rsidRPr="009A3AE9">
              <w:rPr>
                <w:b/>
              </w:rPr>
              <w:t>-0.07</w:t>
            </w:r>
          </w:p>
          <w:p w14:paraId="42A10A00" w14:textId="77777777" w:rsidR="005B7CA4" w:rsidRPr="009A3AE9" w:rsidRDefault="005B7CA4" w:rsidP="00360CB1">
            <w:pPr>
              <w:pStyle w:val="TableText0"/>
              <w:jc w:val="center"/>
              <w:rPr>
                <w:b/>
              </w:rPr>
            </w:pPr>
            <w:r w:rsidRPr="009A3AE9">
              <w:rPr>
                <w:b/>
              </w:rPr>
              <w:t>[-0.12, -0.03]</w:t>
            </w:r>
          </w:p>
        </w:tc>
      </w:tr>
      <w:tr w:rsidR="005B7CA4" w:rsidRPr="009A3AE9" w14:paraId="608C9719" w14:textId="77777777" w:rsidTr="000B051A">
        <w:trPr>
          <w:trHeight w:val="199"/>
        </w:trPr>
        <w:tc>
          <w:tcPr>
            <w:tcW w:w="2188" w:type="dxa"/>
          </w:tcPr>
          <w:p w14:paraId="016ADE15" w14:textId="77777777" w:rsidR="005B7CA4" w:rsidRPr="009A3AE9" w:rsidRDefault="005B7CA4" w:rsidP="00360CB1">
            <w:pPr>
              <w:pStyle w:val="TableText0"/>
            </w:pPr>
            <w:r w:rsidRPr="009A3AE9">
              <w:t>Thrombocytopenia</w:t>
            </w:r>
          </w:p>
        </w:tc>
        <w:tc>
          <w:tcPr>
            <w:tcW w:w="1472" w:type="dxa"/>
          </w:tcPr>
          <w:p w14:paraId="7BD68E29" w14:textId="77777777" w:rsidR="005B7CA4" w:rsidRPr="009A3AE9" w:rsidRDefault="005B7CA4" w:rsidP="00360CB1">
            <w:pPr>
              <w:pStyle w:val="TableText0"/>
              <w:jc w:val="center"/>
            </w:pPr>
            <w:r w:rsidRPr="009A3AE9">
              <w:t>2/370</w:t>
            </w:r>
          </w:p>
          <w:p w14:paraId="7118C67C" w14:textId="77777777" w:rsidR="005B7CA4" w:rsidRPr="009A3AE9" w:rsidRDefault="005B7CA4" w:rsidP="00360CB1">
            <w:pPr>
              <w:pStyle w:val="TableText0"/>
              <w:jc w:val="center"/>
            </w:pPr>
            <w:r w:rsidRPr="009A3AE9">
              <w:t>(0.54%)</w:t>
            </w:r>
          </w:p>
        </w:tc>
        <w:tc>
          <w:tcPr>
            <w:tcW w:w="1470" w:type="dxa"/>
          </w:tcPr>
          <w:p w14:paraId="5E8377B5" w14:textId="77777777" w:rsidR="005B7CA4" w:rsidRPr="009A3AE9" w:rsidRDefault="005B7CA4" w:rsidP="00360CB1">
            <w:pPr>
              <w:pStyle w:val="TableText0"/>
              <w:jc w:val="center"/>
            </w:pPr>
            <w:r w:rsidRPr="009A3AE9">
              <w:t>13/379</w:t>
            </w:r>
          </w:p>
          <w:p w14:paraId="749453E9" w14:textId="77777777" w:rsidR="005B7CA4" w:rsidRPr="009A3AE9" w:rsidRDefault="005B7CA4" w:rsidP="00360CB1">
            <w:pPr>
              <w:pStyle w:val="TableText0"/>
              <w:jc w:val="center"/>
            </w:pPr>
            <w:r w:rsidRPr="009A3AE9">
              <w:t>(3.43%)</w:t>
            </w:r>
          </w:p>
        </w:tc>
        <w:tc>
          <w:tcPr>
            <w:tcW w:w="1207" w:type="dxa"/>
          </w:tcPr>
          <w:p w14:paraId="796406D4" w14:textId="77777777" w:rsidR="005B7CA4" w:rsidRPr="009A3AE9" w:rsidRDefault="005B7CA4" w:rsidP="00360CB1">
            <w:pPr>
              <w:pStyle w:val="TableText0"/>
              <w:jc w:val="center"/>
              <w:rPr>
                <w:b/>
              </w:rPr>
            </w:pPr>
            <w:r w:rsidRPr="009A3AE9">
              <w:rPr>
                <w:b/>
              </w:rPr>
              <w:t>0.15</w:t>
            </w:r>
          </w:p>
          <w:p w14:paraId="0D66F685" w14:textId="77777777" w:rsidR="005B7CA4" w:rsidRPr="009A3AE9" w:rsidRDefault="005B7CA4" w:rsidP="00360CB1">
            <w:pPr>
              <w:pStyle w:val="TableText0"/>
              <w:jc w:val="center"/>
              <w:rPr>
                <w:b/>
              </w:rPr>
            </w:pPr>
            <w:r w:rsidRPr="009A3AE9">
              <w:rPr>
                <w:b/>
              </w:rPr>
              <w:t>[0.03, 0.68]</w:t>
            </w:r>
          </w:p>
        </w:tc>
        <w:tc>
          <w:tcPr>
            <w:tcW w:w="1207" w:type="dxa"/>
          </w:tcPr>
          <w:p w14:paraId="420BF766" w14:textId="77777777" w:rsidR="005B7CA4" w:rsidRPr="009A3AE9" w:rsidRDefault="005B7CA4" w:rsidP="00360CB1">
            <w:pPr>
              <w:pStyle w:val="TableText0"/>
              <w:jc w:val="center"/>
              <w:rPr>
                <w:b/>
              </w:rPr>
            </w:pPr>
            <w:r w:rsidRPr="009A3AE9">
              <w:rPr>
                <w:b/>
              </w:rPr>
              <w:t>0.16</w:t>
            </w:r>
          </w:p>
          <w:p w14:paraId="601EEEE7" w14:textId="77777777" w:rsidR="005B7CA4" w:rsidRPr="009A3AE9" w:rsidRDefault="005B7CA4" w:rsidP="00360CB1">
            <w:pPr>
              <w:pStyle w:val="TableText0"/>
              <w:jc w:val="center"/>
              <w:rPr>
                <w:b/>
              </w:rPr>
            </w:pPr>
            <w:r w:rsidRPr="009A3AE9">
              <w:rPr>
                <w:b/>
              </w:rPr>
              <w:t>[0.04, 0.69]</w:t>
            </w:r>
          </w:p>
        </w:tc>
        <w:tc>
          <w:tcPr>
            <w:tcW w:w="1473" w:type="dxa"/>
          </w:tcPr>
          <w:p w14:paraId="1DBFEE82" w14:textId="77777777" w:rsidR="005B7CA4" w:rsidRPr="009A3AE9" w:rsidRDefault="005B7CA4" w:rsidP="00360CB1">
            <w:pPr>
              <w:pStyle w:val="TableText0"/>
              <w:jc w:val="center"/>
              <w:rPr>
                <w:b/>
              </w:rPr>
            </w:pPr>
            <w:r w:rsidRPr="009A3AE9">
              <w:rPr>
                <w:b/>
              </w:rPr>
              <w:t>-0.03</w:t>
            </w:r>
          </w:p>
          <w:p w14:paraId="672DBBDA" w14:textId="77777777" w:rsidR="005B7CA4" w:rsidRPr="009A3AE9" w:rsidRDefault="005B7CA4" w:rsidP="00360CB1">
            <w:pPr>
              <w:pStyle w:val="TableText0"/>
              <w:jc w:val="center"/>
              <w:rPr>
                <w:b/>
              </w:rPr>
            </w:pPr>
            <w:r w:rsidRPr="009A3AE9">
              <w:rPr>
                <w:b/>
              </w:rPr>
              <w:t>[-0.05, -0.01]</w:t>
            </w:r>
          </w:p>
        </w:tc>
      </w:tr>
      <w:tr w:rsidR="005B7CA4" w:rsidRPr="009A3AE9" w14:paraId="34CBE0E6" w14:textId="77777777" w:rsidTr="000B051A">
        <w:trPr>
          <w:trHeight w:val="199"/>
        </w:trPr>
        <w:tc>
          <w:tcPr>
            <w:tcW w:w="2188" w:type="dxa"/>
          </w:tcPr>
          <w:p w14:paraId="0C8D926C" w14:textId="77777777" w:rsidR="005B7CA4" w:rsidRPr="009A3AE9" w:rsidRDefault="005B7CA4" w:rsidP="00360CB1">
            <w:pPr>
              <w:pStyle w:val="TableText0"/>
            </w:pPr>
            <w:r w:rsidRPr="009A3AE9">
              <w:t>Leukopenia</w:t>
            </w:r>
          </w:p>
        </w:tc>
        <w:tc>
          <w:tcPr>
            <w:tcW w:w="1472" w:type="dxa"/>
          </w:tcPr>
          <w:p w14:paraId="2E36E1C6" w14:textId="77777777" w:rsidR="005B7CA4" w:rsidRPr="009A3AE9" w:rsidRDefault="005B7CA4" w:rsidP="00360CB1">
            <w:pPr>
              <w:pStyle w:val="TableText0"/>
              <w:jc w:val="center"/>
            </w:pPr>
            <w:r w:rsidRPr="009A3AE9">
              <w:t>3/370</w:t>
            </w:r>
          </w:p>
          <w:p w14:paraId="0A8026AD" w14:textId="77777777" w:rsidR="005B7CA4" w:rsidRPr="009A3AE9" w:rsidRDefault="005B7CA4" w:rsidP="00360CB1">
            <w:pPr>
              <w:pStyle w:val="TableText0"/>
              <w:jc w:val="center"/>
            </w:pPr>
            <w:r w:rsidRPr="009A3AE9">
              <w:t>(0.81%)</w:t>
            </w:r>
          </w:p>
        </w:tc>
        <w:tc>
          <w:tcPr>
            <w:tcW w:w="1470" w:type="dxa"/>
          </w:tcPr>
          <w:p w14:paraId="715861BC" w14:textId="77777777" w:rsidR="005B7CA4" w:rsidRPr="009A3AE9" w:rsidRDefault="005B7CA4" w:rsidP="00360CB1">
            <w:pPr>
              <w:pStyle w:val="TableText0"/>
              <w:jc w:val="center"/>
            </w:pPr>
            <w:r w:rsidRPr="009A3AE9">
              <w:t>17/379</w:t>
            </w:r>
          </w:p>
          <w:p w14:paraId="66AA4D8D" w14:textId="77777777" w:rsidR="005B7CA4" w:rsidRPr="009A3AE9" w:rsidRDefault="005B7CA4" w:rsidP="00360CB1">
            <w:pPr>
              <w:pStyle w:val="TableText0"/>
              <w:jc w:val="center"/>
            </w:pPr>
            <w:r w:rsidRPr="009A3AE9">
              <w:t>(4.49%)</w:t>
            </w:r>
          </w:p>
        </w:tc>
        <w:tc>
          <w:tcPr>
            <w:tcW w:w="1207" w:type="dxa"/>
          </w:tcPr>
          <w:p w14:paraId="2E6DF590" w14:textId="77777777" w:rsidR="005B7CA4" w:rsidRPr="009A3AE9" w:rsidRDefault="005B7CA4" w:rsidP="00360CB1">
            <w:pPr>
              <w:pStyle w:val="TableText0"/>
              <w:jc w:val="center"/>
              <w:rPr>
                <w:b/>
              </w:rPr>
            </w:pPr>
            <w:r w:rsidRPr="009A3AE9">
              <w:rPr>
                <w:b/>
              </w:rPr>
              <w:t>0.17</w:t>
            </w:r>
          </w:p>
          <w:p w14:paraId="4B7258E6" w14:textId="77777777" w:rsidR="005B7CA4" w:rsidRPr="009A3AE9" w:rsidRDefault="005B7CA4" w:rsidP="00360CB1">
            <w:pPr>
              <w:pStyle w:val="TableText0"/>
              <w:jc w:val="center"/>
              <w:rPr>
                <w:b/>
              </w:rPr>
            </w:pPr>
            <w:r w:rsidRPr="009A3AE9">
              <w:rPr>
                <w:b/>
              </w:rPr>
              <w:t>[0.05, 0.60]</w:t>
            </w:r>
          </w:p>
        </w:tc>
        <w:tc>
          <w:tcPr>
            <w:tcW w:w="1207" w:type="dxa"/>
          </w:tcPr>
          <w:p w14:paraId="7CC9433F" w14:textId="77777777" w:rsidR="005B7CA4" w:rsidRPr="009A3AE9" w:rsidRDefault="005B7CA4" w:rsidP="00360CB1">
            <w:pPr>
              <w:pStyle w:val="TableText0"/>
              <w:jc w:val="center"/>
              <w:rPr>
                <w:b/>
              </w:rPr>
            </w:pPr>
            <w:r w:rsidRPr="009A3AE9">
              <w:rPr>
                <w:b/>
              </w:rPr>
              <w:t>0.18</w:t>
            </w:r>
          </w:p>
          <w:p w14:paraId="5025C3F8" w14:textId="77777777" w:rsidR="005B7CA4" w:rsidRPr="009A3AE9" w:rsidRDefault="005B7CA4" w:rsidP="00360CB1">
            <w:pPr>
              <w:pStyle w:val="TableText0"/>
              <w:jc w:val="center"/>
              <w:rPr>
                <w:b/>
              </w:rPr>
            </w:pPr>
            <w:r w:rsidRPr="009A3AE9">
              <w:rPr>
                <w:b/>
              </w:rPr>
              <w:t>[0.05, 0.61]</w:t>
            </w:r>
          </w:p>
        </w:tc>
        <w:tc>
          <w:tcPr>
            <w:tcW w:w="1473" w:type="dxa"/>
          </w:tcPr>
          <w:p w14:paraId="53DBD324" w14:textId="77777777" w:rsidR="005B7CA4" w:rsidRPr="009A3AE9" w:rsidRDefault="005B7CA4" w:rsidP="00360CB1">
            <w:pPr>
              <w:pStyle w:val="TableText0"/>
              <w:jc w:val="center"/>
              <w:rPr>
                <w:b/>
              </w:rPr>
            </w:pPr>
            <w:r w:rsidRPr="009A3AE9">
              <w:rPr>
                <w:b/>
              </w:rPr>
              <w:t>-0.04</w:t>
            </w:r>
          </w:p>
          <w:p w14:paraId="333FE1F2" w14:textId="77777777" w:rsidR="005B7CA4" w:rsidRPr="009A3AE9" w:rsidRDefault="005B7CA4" w:rsidP="00360CB1">
            <w:pPr>
              <w:pStyle w:val="TableText0"/>
              <w:jc w:val="center"/>
              <w:rPr>
                <w:b/>
              </w:rPr>
            </w:pPr>
            <w:r w:rsidRPr="009A3AE9">
              <w:rPr>
                <w:b/>
              </w:rPr>
              <w:t>[-0.06, -0.01]</w:t>
            </w:r>
          </w:p>
        </w:tc>
      </w:tr>
      <w:tr w:rsidR="00A1225B" w:rsidRPr="009A3AE9" w14:paraId="56FFE924" w14:textId="77777777" w:rsidTr="000B051A">
        <w:trPr>
          <w:trHeight w:val="199"/>
        </w:trPr>
        <w:tc>
          <w:tcPr>
            <w:tcW w:w="2188" w:type="dxa"/>
          </w:tcPr>
          <w:p w14:paraId="6DBBE4BC" w14:textId="77777777" w:rsidR="00052DE2" w:rsidRPr="009A3AE9" w:rsidRDefault="00052DE2" w:rsidP="00360CB1">
            <w:pPr>
              <w:pStyle w:val="TableText0"/>
            </w:pPr>
            <w:r w:rsidRPr="009A3AE9">
              <w:rPr>
                <w:b/>
              </w:rPr>
              <w:t>Investigations</w:t>
            </w:r>
          </w:p>
        </w:tc>
        <w:tc>
          <w:tcPr>
            <w:tcW w:w="1472" w:type="dxa"/>
          </w:tcPr>
          <w:p w14:paraId="5C42FD20" w14:textId="77777777" w:rsidR="00052DE2" w:rsidRPr="009A3AE9" w:rsidRDefault="00052DE2" w:rsidP="00360CB1">
            <w:pPr>
              <w:pStyle w:val="TableText0"/>
              <w:jc w:val="center"/>
            </w:pPr>
          </w:p>
        </w:tc>
        <w:tc>
          <w:tcPr>
            <w:tcW w:w="1470" w:type="dxa"/>
          </w:tcPr>
          <w:p w14:paraId="10F5A625" w14:textId="77777777" w:rsidR="00052DE2" w:rsidRPr="009A3AE9" w:rsidRDefault="00052DE2" w:rsidP="00360CB1">
            <w:pPr>
              <w:pStyle w:val="TableText0"/>
              <w:jc w:val="center"/>
            </w:pPr>
          </w:p>
        </w:tc>
        <w:tc>
          <w:tcPr>
            <w:tcW w:w="1207" w:type="dxa"/>
          </w:tcPr>
          <w:p w14:paraId="3AF39409" w14:textId="77777777" w:rsidR="00052DE2" w:rsidRPr="009A3AE9" w:rsidRDefault="00052DE2" w:rsidP="00360CB1">
            <w:pPr>
              <w:pStyle w:val="TableText0"/>
              <w:jc w:val="center"/>
            </w:pPr>
          </w:p>
        </w:tc>
        <w:tc>
          <w:tcPr>
            <w:tcW w:w="1207" w:type="dxa"/>
          </w:tcPr>
          <w:p w14:paraId="2D82F8C2" w14:textId="77777777" w:rsidR="00052DE2" w:rsidRPr="009A3AE9" w:rsidRDefault="00052DE2" w:rsidP="00360CB1">
            <w:pPr>
              <w:pStyle w:val="TableText0"/>
              <w:jc w:val="center"/>
            </w:pPr>
          </w:p>
        </w:tc>
        <w:tc>
          <w:tcPr>
            <w:tcW w:w="1473" w:type="dxa"/>
          </w:tcPr>
          <w:p w14:paraId="148DFC00" w14:textId="77777777" w:rsidR="00052DE2" w:rsidRPr="009A3AE9" w:rsidRDefault="00052DE2" w:rsidP="00360CB1">
            <w:pPr>
              <w:pStyle w:val="TableText0"/>
              <w:jc w:val="center"/>
            </w:pPr>
          </w:p>
        </w:tc>
      </w:tr>
      <w:tr w:rsidR="00A1225B" w:rsidRPr="009A3AE9" w14:paraId="3A907E09" w14:textId="77777777" w:rsidTr="000B051A">
        <w:trPr>
          <w:trHeight w:val="199"/>
        </w:trPr>
        <w:tc>
          <w:tcPr>
            <w:tcW w:w="2188" w:type="dxa"/>
          </w:tcPr>
          <w:p w14:paraId="4F6CD39B" w14:textId="77777777" w:rsidR="00052DE2" w:rsidRPr="009A3AE9" w:rsidRDefault="00052DE2" w:rsidP="00360CB1">
            <w:pPr>
              <w:pStyle w:val="TableText0"/>
            </w:pPr>
            <w:r w:rsidRPr="009A3AE9">
              <w:t>Neutrophil count decreased</w:t>
            </w:r>
          </w:p>
        </w:tc>
        <w:tc>
          <w:tcPr>
            <w:tcW w:w="1472" w:type="dxa"/>
          </w:tcPr>
          <w:p w14:paraId="1CFED2AD" w14:textId="77777777" w:rsidR="00052DE2" w:rsidRPr="009A3AE9" w:rsidRDefault="00052DE2" w:rsidP="00360CB1">
            <w:pPr>
              <w:pStyle w:val="TableText0"/>
              <w:jc w:val="center"/>
            </w:pPr>
            <w:r w:rsidRPr="009A3AE9">
              <w:t xml:space="preserve">36/370 </w:t>
            </w:r>
          </w:p>
          <w:p w14:paraId="76E509DD" w14:textId="77777777" w:rsidR="00052DE2" w:rsidRPr="009A3AE9" w:rsidRDefault="00052DE2" w:rsidP="00360CB1">
            <w:pPr>
              <w:pStyle w:val="TableText0"/>
              <w:jc w:val="center"/>
            </w:pPr>
            <w:r w:rsidRPr="009A3AE9">
              <w:t>(9.73%)</w:t>
            </w:r>
          </w:p>
        </w:tc>
        <w:tc>
          <w:tcPr>
            <w:tcW w:w="1470" w:type="dxa"/>
          </w:tcPr>
          <w:p w14:paraId="4BB86D61" w14:textId="77777777" w:rsidR="00052DE2" w:rsidRPr="009A3AE9" w:rsidRDefault="00052DE2" w:rsidP="00360CB1">
            <w:pPr>
              <w:pStyle w:val="TableText0"/>
              <w:jc w:val="center"/>
            </w:pPr>
            <w:r w:rsidRPr="009A3AE9">
              <w:t xml:space="preserve">50/379 </w:t>
            </w:r>
          </w:p>
          <w:p w14:paraId="7D48F315" w14:textId="77777777" w:rsidR="00052DE2" w:rsidRPr="009A3AE9" w:rsidRDefault="00052DE2" w:rsidP="00360CB1">
            <w:pPr>
              <w:pStyle w:val="TableText0"/>
              <w:jc w:val="center"/>
            </w:pPr>
            <w:r w:rsidRPr="009A3AE9">
              <w:t>(13.19%)</w:t>
            </w:r>
          </w:p>
        </w:tc>
        <w:tc>
          <w:tcPr>
            <w:tcW w:w="1207" w:type="dxa"/>
          </w:tcPr>
          <w:p w14:paraId="72A26C74" w14:textId="77777777" w:rsidR="00052DE2" w:rsidRPr="009A3AE9" w:rsidRDefault="00052DE2" w:rsidP="00360CB1">
            <w:pPr>
              <w:pStyle w:val="TableText0"/>
              <w:jc w:val="center"/>
            </w:pPr>
            <w:r w:rsidRPr="009A3AE9">
              <w:t>0.71</w:t>
            </w:r>
          </w:p>
          <w:p w14:paraId="5C2799D9" w14:textId="77777777" w:rsidR="00052DE2" w:rsidRPr="009A3AE9" w:rsidRDefault="00052DE2" w:rsidP="00360CB1">
            <w:pPr>
              <w:pStyle w:val="TableText0"/>
              <w:jc w:val="center"/>
            </w:pPr>
            <w:r w:rsidRPr="009A3AE9">
              <w:t>[0.45, 1.12]</w:t>
            </w:r>
          </w:p>
        </w:tc>
        <w:tc>
          <w:tcPr>
            <w:tcW w:w="1207" w:type="dxa"/>
          </w:tcPr>
          <w:p w14:paraId="7645EF79" w14:textId="77777777" w:rsidR="00052DE2" w:rsidRPr="009A3AE9" w:rsidRDefault="00052DE2" w:rsidP="00360CB1">
            <w:pPr>
              <w:pStyle w:val="TableText0"/>
              <w:jc w:val="center"/>
            </w:pPr>
            <w:r w:rsidRPr="009A3AE9">
              <w:t>0.74</w:t>
            </w:r>
          </w:p>
          <w:p w14:paraId="7400E665" w14:textId="77777777" w:rsidR="00052DE2" w:rsidRPr="009A3AE9" w:rsidRDefault="00052DE2" w:rsidP="00360CB1">
            <w:pPr>
              <w:pStyle w:val="TableText0"/>
              <w:jc w:val="center"/>
            </w:pPr>
            <w:r w:rsidRPr="009A3AE9">
              <w:t>[0.49, 1.10]</w:t>
            </w:r>
          </w:p>
        </w:tc>
        <w:tc>
          <w:tcPr>
            <w:tcW w:w="1473" w:type="dxa"/>
          </w:tcPr>
          <w:p w14:paraId="6193B131" w14:textId="77777777" w:rsidR="00052DE2" w:rsidRPr="009A3AE9" w:rsidRDefault="00052DE2" w:rsidP="00360CB1">
            <w:pPr>
              <w:pStyle w:val="TableText0"/>
              <w:jc w:val="center"/>
            </w:pPr>
            <w:r w:rsidRPr="009A3AE9">
              <w:t>-0.03</w:t>
            </w:r>
          </w:p>
          <w:p w14:paraId="7A01926B" w14:textId="77777777" w:rsidR="00052DE2" w:rsidRPr="009A3AE9" w:rsidRDefault="00052DE2" w:rsidP="00360CB1">
            <w:pPr>
              <w:pStyle w:val="TableText0"/>
              <w:jc w:val="center"/>
            </w:pPr>
            <w:r w:rsidRPr="009A3AE9">
              <w:t>[-0.08, 0.01]</w:t>
            </w:r>
          </w:p>
        </w:tc>
      </w:tr>
      <w:tr w:rsidR="00A1225B" w:rsidRPr="009A3AE9" w14:paraId="5C7B82D8" w14:textId="77777777" w:rsidTr="000B051A">
        <w:trPr>
          <w:trHeight w:val="199"/>
        </w:trPr>
        <w:tc>
          <w:tcPr>
            <w:tcW w:w="2188" w:type="dxa"/>
          </w:tcPr>
          <w:p w14:paraId="247942ED" w14:textId="77777777" w:rsidR="00052DE2" w:rsidRPr="009A3AE9" w:rsidRDefault="00052DE2" w:rsidP="00360CB1">
            <w:pPr>
              <w:pStyle w:val="TableText0"/>
            </w:pPr>
            <w:r w:rsidRPr="009A3AE9">
              <w:t>WBC count decreased</w:t>
            </w:r>
          </w:p>
        </w:tc>
        <w:tc>
          <w:tcPr>
            <w:tcW w:w="1472" w:type="dxa"/>
          </w:tcPr>
          <w:p w14:paraId="5B094A13" w14:textId="77777777" w:rsidR="00052DE2" w:rsidRPr="009A3AE9" w:rsidRDefault="00052DE2" w:rsidP="00360CB1">
            <w:pPr>
              <w:pStyle w:val="TableText0"/>
              <w:jc w:val="center"/>
            </w:pPr>
            <w:r w:rsidRPr="009A3AE9">
              <w:t>6/370</w:t>
            </w:r>
          </w:p>
          <w:p w14:paraId="0E6B9BCA" w14:textId="77777777" w:rsidR="00052DE2" w:rsidRPr="009A3AE9" w:rsidRDefault="00052DE2" w:rsidP="00360CB1">
            <w:pPr>
              <w:pStyle w:val="TableText0"/>
              <w:jc w:val="center"/>
            </w:pPr>
            <w:r w:rsidRPr="009A3AE9">
              <w:t>(1.62%)</w:t>
            </w:r>
          </w:p>
        </w:tc>
        <w:tc>
          <w:tcPr>
            <w:tcW w:w="1470" w:type="dxa"/>
          </w:tcPr>
          <w:p w14:paraId="5144428A" w14:textId="77777777" w:rsidR="00052DE2" w:rsidRPr="009A3AE9" w:rsidRDefault="00052DE2" w:rsidP="00360CB1">
            <w:pPr>
              <w:pStyle w:val="TableText0"/>
              <w:jc w:val="center"/>
            </w:pPr>
            <w:r w:rsidRPr="009A3AE9">
              <w:t>18/379</w:t>
            </w:r>
          </w:p>
          <w:p w14:paraId="42B97DC7" w14:textId="77777777" w:rsidR="00052DE2" w:rsidRPr="009A3AE9" w:rsidRDefault="00052DE2" w:rsidP="00360CB1">
            <w:pPr>
              <w:pStyle w:val="TableText0"/>
              <w:jc w:val="center"/>
            </w:pPr>
            <w:r w:rsidRPr="009A3AE9">
              <w:t>(4.75%)</w:t>
            </w:r>
          </w:p>
        </w:tc>
        <w:tc>
          <w:tcPr>
            <w:tcW w:w="1207" w:type="dxa"/>
          </w:tcPr>
          <w:p w14:paraId="611B065F" w14:textId="77777777" w:rsidR="00052DE2" w:rsidRPr="009A3AE9" w:rsidRDefault="00052DE2" w:rsidP="00360CB1">
            <w:pPr>
              <w:pStyle w:val="TableText0"/>
              <w:jc w:val="center"/>
              <w:rPr>
                <w:b/>
              </w:rPr>
            </w:pPr>
            <w:r w:rsidRPr="009A3AE9">
              <w:rPr>
                <w:b/>
              </w:rPr>
              <w:t>0.33</w:t>
            </w:r>
          </w:p>
          <w:p w14:paraId="64D04480" w14:textId="77777777" w:rsidR="00052DE2" w:rsidRPr="009A3AE9" w:rsidRDefault="00052DE2" w:rsidP="00360CB1">
            <w:pPr>
              <w:pStyle w:val="TableText0"/>
              <w:jc w:val="center"/>
            </w:pPr>
            <w:r w:rsidRPr="009A3AE9">
              <w:rPr>
                <w:b/>
              </w:rPr>
              <w:t>[0.13, 0.84]</w:t>
            </w:r>
          </w:p>
        </w:tc>
        <w:tc>
          <w:tcPr>
            <w:tcW w:w="1207" w:type="dxa"/>
          </w:tcPr>
          <w:p w14:paraId="24E0C21C" w14:textId="77777777" w:rsidR="00052DE2" w:rsidRPr="009A3AE9" w:rsidRDefault="00052DE2" w:rsidP="00360CB1">
            <w:pPr>
              <w:pStyle w:val="TableText0"/>
              <w:jc w:val="center"/>
              <w:rPr>
                <w:b/>
              </w:rPr>
            </w:pPr>
            <w:r w:rsidRPr="009A3AE9">
              <w:rPr>
                <w:b/>
              </w:rPr>
              <w:t>0.34</w:t>
            </w:r>
          </w:p>
          <w:p w14:paraId="5D837D51" w14:textId="77777777" w:rsidR="00052DE2" w:rsidRPr="009A3AE9" w:rsidRDefault="00052DE2" w:rsidP="00360CB1">
            <w:pPr>
              <w:pStyle w:val="TableText0"/>
              <w:jc w:val="center"/>
            </w:pPr>
            <w:r w:rsidRPr="009A3AE9">
              <w:rPr>
                <w:b/>
              </w:rPr>
              <w:t>[0.14, 0.85]</w:t>
            </w:r>
          </w:p>
        </w:tc>
        <w:tc>
          <w:tcPr>
            <w:tcW w:w="1473" w:type="dxa"/>
          </w:tcPr>
          <w:p w14:paraId="186B81C4" w14:textId="77777777" w:rsidR="00052DE2" w:rsidRPr="009A3AE9" w:rsidRDefault="00052DE2" w:rsidP="00360CB1">
            <w:pPr>
              <w:pStyle w:val="TableText0"/>
              <w:jc w:val="center"/>
              <w:rPr>
                <w:b/>
              </w:rPr>
            </w:pPr>
            <w:r w:rsidRPr="009A3AE9">
              <w:rPr>
                <w:b/>
              </w:rPr>
              <w:t>-0.03</w:t>
            </w:r>
          </w:p>
          <w:p w14:paraId="6F5E00E9" w14:textId="77777777" w:rsidR="00052DE2" w:rsidRPr="009A3AE9" w:rsidRDefault="00052DE2" w:rsidP="00360CB1">
            <w:pPr>
              <w:pStyle w:val="TableText0"/>
              <w:jc w:val="center"/>
            </w:pPr>
            <w:r w:rsidRPr="009A3AE9">
              <w:rPr>
                <w:b/>
              </w:rPr>
              <w:t>[-0.06, -0.01]</w:t>
            </w:r>
          </w:p>
        </w:tc>
      </w:tr>
      <w:tr w:rsidR="005B7CA4" w:rsidRPr="009A3AE9" w14:paraId="17F0B672" w14:textId="77777777" w:rsidTr="000B051A">
        <w:trPr>
          <w:trHeight w:val="199"/>
        </w:trPr>
        <w:tc>
          <w:tcPr>
            <w:tcW w:w="9017" w:type="dxa"/>
            <w:gridSpan w:val="6"/>
            <w:shd w:val="clear" w:color="auto" w:fill="auto"/>
          </w:tcPr>
          <w:p w14:paraId="0C7FA52F" w14:textId="77777777" w:rsidR="005B7CA4" w:rsidRPr="009A3AE9" w:rsidRDefault="005B7CA4" w:rsidP="00360CB1">
            <w:pPr>
              <w:pStyle w:val="TableText0"/>
              <w:rPr>
                <w:b/>
              </w:rPr>
            </w:pPr>
            <w:r w:rsidRPr="009A3AE9">
              <w:rPr>
                <w:b/>
              </w:rPr>
              <w:t>Metabolism and nutrition disorders</w:t>
            </w:r>
          </w:p>
        </w:tc>
      </w:tr>
      <w:tr w:rsidR="005B7CA4" w:rsidRPr="009A3AE9" w14:paraId="12784B02" w14:textId="77777777" w:rsidTr="000B051A">
        <w:trPr>
          <w:trHeight w:val="189"/>
        </w:trPr>
        <w:tc>
          <w:tcPr>
            <w:tcW w:w="2188" w:type="dxa"/>
          </w:tcPr>
          <w:p w14:paraId="0893FA00" w14:textId="77777777" w:rsidR="005B7CA4" w:rsidRPr="009A3AE9" w:rsidRDefault="005B7CA4" w:rsidP="00360CB1">
            <w:pPr>
              <w:pStyle w:val="TableText0"/>
            </w:pPr>
            <w:r w:rsidRPr="009A3AE9">
              <w:t>Decreased appetite</w:t>
            </w:r>
          </w:p>
        </w:tc>
        <w:tc>
          <w:tcPr>
            <w:tcW w:w="1472" w:type="dxa"/>
          </w:tcPr>
          <w:p w14:paraId="2FEA8986" w14:textId="77777777" w:rsidR="005B7CA4" w:rsidRPr="009A3AE9" w:rsidRDefault="005B7CA4" w:rsidP="00360CB1">
            <w:pPr>
              <w:pStyle w:val="TableText0"/>
              <w:jc w:val="center"/>
            </w:pPr>
            <w:r w:rsidRPr="009A3AE9">
              <w:t>24/370</w:t>
            </w:r>
          </w:p>
          <w:p w14:paraId="53AAA402" w14:textId="77777777" w:rsidR="005B7CA4" w:rsidRPr="009A3AE9" w:rsidRDefault="005B7CA4" w:rsidP="00360CB1">
            <w:pPr>
              <w:pStyle w:val="TableText0"/>
              <w:jc w:val="center"/>
            </w:pPr>
            <w:r w:rsidRPr="009A3AE9">
              <w:t>(6.49%)</w:t>
            </w:r>
          </w:p>
        </w:tc>
        <w:tc>
          <w:tcPr>
            <w:tcW w:w="1470" w:type="dxa"/>
          </w:tcPr>
          <w:p w14:paraId="5462C1C2" w14:textId="77777777" w:rsidR="005B7CA4" w:rsidRPr="009A3AE9" w:rsidRDefault="005B7CA4" w:rsidP="00360CB1">
            <w:pPr>
              <w:pStyle w:val="TableText0"/>
              <w:jc w:val="center"/>
            </w:pPr>
            <w:r w:rsidRPr="009A3AE9">
              <w:t>2/379</w:t>
            </w:r>
          </w:p>
          <w:p w14:paraId="6BB011EE" w14:textId="77777777" w:rsidR="005B7CA4" w:rsidRPr="009A3AE9" w:rsidRDefault="005B7CA4" w:rsidP="00360CB1">
            <w:pPr>
              <w:pStyle w:val="TableText0"/>
              <w:jc w:val="center"/>
            </w:pPr>
            <w:r w:rsidRPr="009A3AE9">
              <w:t>(0.53%)</w:t>
            </w:r>
          </w:p>
        </w:tc>
        <w:tc>
          <w:tcPr>
            <w:tcW w:w="1207" w:type="dxa"/>
          </w:tcPr>
          <w:p w14:paraId="5CACCB39" w14:textId="77777777" w:rsidR="005B7CA4" w:rsidRPr="009A3AE9" w:rsidRDefault="005B7CA4" w:rsidP="00360CB1">
            <w:pPr>
              <w:pStyle w:val="TableText0"/>
              <w:jc w:val="center"/>
              <w:rPr>
                <w:b/>
              </w:rPr>
            </w:pPr>
            <w:r w:rsidRPr="009A3AE9">
              <w:rPr>
                <w:b/>
              </w:rPr>
              <w:t>13.08</w:t>
            </w:r>
          </w:p>
          <w:p w14:paraId="6BFD3BF8" w14:textId="77777777" w:rsidR="005B7CA4" w:rsidRPr="009A3AE9" w:rsidRDefault="005B7CA4" w:rsidP="00360CB1">
            <w:pPr>
              <w:pStyle w:val="TableText0"/>
              <w:jc w:val="center"/>
              <w:rPr>
                <w:b/>
              </w:rPr>
            </w:pPr>
            <w:r w:rsidRPr="009A3AE9">
              <w:rPr>
                <w:b/>
              </w:rPr>
              <w:t>[3.07, 55.73]</w:t>
            </w:r>
          </w:p>
        </w:tc>
        <w:tc>
          <w:tcPr>
            <w:tcW w:w="1207" w:type="dxa"/>
          </w:tcPr>
          <w:p w14:paraId="6CF2995E" w14:textId="77777777" w:rsidR="005B7CA4" w:rsidRPr="009A3AE9" w:rsidRDefault="005B7CA4" w:rsidP="00360CB1">
            <w:pPr>
              <w:pStyle w:val="TableText0"/>
              <w:jc w:val="center"/>
              <w:rPr>
                <w:b/>
              </w:rPr>
            </w:pPr>
            <w:r w:rsidRPr="009A3AE9">
              <w:rPr>
                <w:b/>
              </w:rPr>
              <w:t>12.29</w:t>
            </w:r>
          </w:p>
          <w:p w14:paraId="31F2AA27" w14:textId="77777777" w:rsidR="005B7CA4" w:rsidRPr="009A3AE9" w:rsidRDefault="005B7CA4" w:rsidP="00360CB1">
            <w:pPr>
              <w:pStyle w:val="TableText0"/>
              <w:jc w:val="center"/>
              <w:rPr>
                <w:b/>
              </w:rPr>
            </w:pPr>
            <w:r w:rsidRPr="009A3AE9">
              <w:rPr>
                <w:b/>
              </w:rPr>
              <w:t>[2.93, 51.64]</w:t>
            </w:r>
          </w:p>
        </w:tc>
        <w:tc>
          <w:tcPr>
            <w:tcW w:w="1473" w:type="dxa"/>
          </w:tcPr>
          <w:p w14:paraId="45766F83" w14:textId="77777777" w:rsidR="005B7CA4" w:rsidRPr="009A3AE9" w:rsidRDefault="005B7CA4" w:rsidP="00360CB1">
            <w:pPr>
              <w:pStyle w:val="TableText0"/>
              <w:jc w:val="center"/>
              <w:rPr>
                <w:b/>
              </w:rPr>
            </w:pPr>
            <w:r w:rsidRPr="009A3AE9">
              <w:rPr>
                <w:b/>
              </w:rPr>
              <w:t>0.06</w:t>
            </w:r>
          </w:p>
          <w:p w14:paraId="6BA0CA28" w14:textId="77777777" w:rsidR="005B7CA4" w:rsidRPr="009A3AE9" w:rsidRDefault="005B7CA4" w:rsidP="00360CB1">
            <w:pPr>
              <w:pStyle w:val="TableText0"/>
              <w:jc w:val="center"/>
              <w:rPr>
                <w:b/>
              </w:rPr>
            </w:pPr>
            <w:r w:rsidRPr="009A3AE9">
              <w:rPr>
                <w:b/>
              </w:rPr>
              <w:t>[0.03, 0.09]</w:t>
            </w:r>
          </w:p>
        </w:tc>
      </w:tr>
      <w:tr w:rsidR="005B7CA4" w:rsidRPr="009A3AE9" w14:paraId="4865D81D" w14:textId="77777777" w:rsidTr="000B051A">
        <w:trPr>
          <w:trHeight w:val="199"/>
        </w:trPr>
        <w:tc>
          <w:tcPr>
            <w:tcW w:w="2188" w:type="dxa"/>
          </w:tcPr>
          <w:p w14:paraId="2BE2438D" w14:textId="77777777" w:rsidR="005B7CA4" w:rsidRPr="009A3AE9" w:rsidRDefault="005B7CA4" w:rsidP="00360CB1">
            <w:pPr>
              <w:pStyle w:val="TableText0"/>
            </w:pPr>
            <w:r w:rsidRPr="009A3AE9">
              <w:t>Hypokalaemia</w:t>
            </w:r>
          </w:p>
        </w:tc>
        <w:tc>
          <w:tcPr>
            <w:tcW w:w="1472" w:type="dxa"/>
          </w:tcPr>
          <w:p w14:paraId="22463810" w14:textId="77777777" w:rsidR="005B7CA4" w:rsidRPr="009A3AE9" w:rsidRDefault="005B7CA4" w:rsidP="00360CB1">
            <w:pPr>
              <w:pStyle w:val="TableText0"/>
              <w:jc w:val="center"/>
            </w:pPr>
            <w:r w:rsidRPr="009A3AE9">
              <w:t>27/370</w:t>
            </w:r>
          </w:p>
          <w:p w14:paraId="7AE18E5B" w14:textId="77777777" w:rsidR="005B7CA4" w:rsidRPr="009A3AE9" w:rsidRDefault="005B7CA4" w:rsidP="00360CB1">
            <w:pPr>
              <w:pStyle w:val="TableText0"/>
              <w:jc w:val="center"/>
            </w:pPr>
            <w:r w:rsidRPr="009A3AE9">
              <w:t>(7.30%)</w:t>
            </w:r>
          </w:p>
        </w:tc>
        <w:tc>
          <w:tcPr>
            <w:tcW w:w="1470" w:type="dxa"/>
          </w:tcPr>
          <w:p w14:paraId="3A1F4360" w14:textId="77777777" w:rsidR="005B7CA4" w:rsidRPr="009A3AE9" w:rsidRDefault="005B7CA4" w:rsidP="00360CB1">
            <w:pPr>
              <w:pStyle w:val="TableText0"/>
              <w:jc w:val="center"/>
            </w:pPr>
            <w:r w:rsidRPr="009A3AE9">
              <w:t>6/379</w:t>
            </w:r>
          </w:p>
          <w:p w14:paraId="5C689FB3" w14:textId="77777777" w:rsidR="005B7CA4" w:rsidRPr="009A3AE9" w:rsidRDefault="005B7CA4" w:rsidP="00360CB1">
            <w:pPr>
              <w:pStyle w:val="TableText0"/>
              <w:jc w:val="center"/>
            </w:pPr>
            <w:r w:rsidRPr="009A3AE9">
              <w:t>(1.58%)</w:t>
            </w:r>
          </w:p>
        </w:tc>
        <w:tc>
          <w:tcPr>
            <w:tcW w:w="1207" w:type="dxa"/>
          </w:tcPr>
          <w:p w14:paraId="34C39076" w14:textId="77777777" w:rsidR="005B7CA4" w:rsidRPr="009A3AE9" w:rsidRDefault="005B7CA4" w:rsidP="00360CB1">
            <w:pPr>
              <w:pStyle w:val="TableText0"/>
              <w:jc w:val="center"/>
              <w:rPr>
                <w:b/>
              </w:rPr>
            </w:pPr>
            <w:r w:rsidRPr="009A3AE9">
              <w:rPr>
                <w:b/>
              </w:rPr>
              <w:t>4.89</w:t>
            </w:r>
          </w:p>
          <w:p w14:paraId="4D89D110" w14:textId="77777777" w:rsidR="005B7CA4" w:rsidRPr="009A3AE9" w:rsidRDefault="005B7CA4" w:rsidP="00360CB1">
            <w:pPr>
              <w:pStyle w:val="TableText0"/>
              <w:jc w:val="center"/>
              <w:rPr>
                <w:b/>
              </w:rPr>
            </w:pPr>
            <w:r w:rsidRPr="009A3AE9">
              <w:rPr>
                <w:b/>
              </w:rPr>
              <w:t>[2.00, 12.00]</w:t>
            </w:r>
          </w:p>
        </w:tc>
        <w:tc>
          <w:tcPr>
            <w:tcW w:w="1207" w:type="dxa"/>
          </w:tcPr>
          <w:p w14:paraId="3B26369E" w14:textId="77777777" w:rsidR="005B7CA4" w:rsidRPr="009A3AE9" w:rsidRDefault="005B7CA4" w:rsidP="00360CB1">
            <w:pPr>
              <w:pStyle w:val="TableText0"/>
              <w:jc w:val="center"/>
              <w:rPr>
                <w:b/>
              </w:rPr>
            </w:pPr>
            <w:r w:rsidRPr="009A3AE9">
              <w:rPr>
                <w:b/>
              </w:rPr>
              <w:t>4.61</w:t>
            </w:r>
          </w:p>
          <w:p w14:paraId="440A2324" w14:textId="77777777" w:rsidR="005B7CA4" w:rsidRPr="009A3AE9" w:rsidRDefault="005B7CA4" w:rsidP="00360CB1">
            <w:pPr>
              <w:pStyle w:val="TableText0"/>
              <w:jc w:val="center"/>
              <w:rPr>
                <w:b/>
              </w:rPr>
            </w:pPr>
            <w:r w:rsidRPr="009A3AE9">
              <w:rPr>
                <w:b/>
              </w:rPr>
              <w:t>[1.93, 11.03]</w:t>
            </w:r>
          </w:p>
        </w:tc>
        <w:tc>
          <w:tcPr>
            <w:tcW w:w="1473" w:type="dxa"/>
          </w:tcPr>
          <w:p w14:paraId="53F2EA74" w14:textId="77777777" w:rsidR="005B7CA4" w:rsidRPr="009A3AE9" w:rsidRDefault="005B7CA4" w:rsidP="00360CB1">
            <w:pPr>
              <w:pStyle w:val="TableText0"/>
              <w:jc w:val="center"/>
              <w:rPr>
                <w:b/>
              </w:rPr>
            </w:pPr>
            <w:r w:rsidRPr="009A3AE9">
              <w:rPr>
                <w:b/>
              </w:rPr>
              <w:t>0.06</w:t>
            </w:r>
          </w:p>
          <w:p w14:paraId="29193DD5" w14:textId="77777777" w:rsidR="005B7CA4" w:rsidRPr="009A3AE9" w:rsidRDefault="005B7CA4" w:rsidP="00360CB1">
            <w:pPr>
              <w:pStyle w:val="TableText0"/>
              <w:jc w:val="center"/>
              <w:rPr>
                <w:b/>
              </w:rPr>
            </w:pPr>
            <w:r w:rsidRPr="009A3AE9">
              <w:rPr>
                <w:b/>
              </w:rPr>
              <w:t>[0.03, 0.09]</w:t>
            </w:r>
          </w:p>
        </w:tc>
      </w:tr>
    </w:tbl>
    <w:p w14:paraId="0620B22C" w14:textId="77777777" w:rsidR="00AC0F4E" w:rsidRPr="009A3AE9" w:rsidRDefault="00AC0F4E" w:rsidP="00AC0F4E">
      <w:pPr>
        <w:pStyle w:val="FooterTableFigure"/>
      </w:pPr>
      <w:r w:rsidRPr="009A3AE9">
        <w:t>Source: Table 37, p87-88 of submission.</w:t>
      </w:r>
    </w:p>
    <w:p w14:paraId="2F5FE919" w14:textId="77777777" w:rsidR="00AC0F4E" w:rsidRPr="009A3AE9" w:rsidRDefault="00AC0F4E" w:rsidP="00AC0F4E">
      <w:pPr>
        <w:pStyle w:val="FooterTableFigure"/>
      </w:pPr>
      <w:r w:rsidRPr="009A3AE9">
        <w:t>Abbreviations; AE, adverse event; CI, confidence interval; Gem+NabP, gemcitabine plus nanoparticle albumin-bound paclitaxel; IMP, investigational medicinal product; NA, not applicable; NALIRIFOX, 5-fluorouracil, leucovorin/folinic acid, nanoliposomal irinotecan (nal-IRI), and oxaliplatin; NE, not estimable; OR, odds ratio; RD, risk difference; RR, relative risk; TEAE, treatment emergent adverse event.</w:t>
      </w:r>
    </w:p>
    <w:p w14:paraId="0D7E36E2" w14:textId="77777777" w:rsidR="00AC0F4E" w:rsidRPr="00456281" w:rsidRDefault="00AC0F4E" w:rsidP="00AC0F4E">
      <w:pPr>
        <w:pStyle w:val="FooterTableFigure"/>
      </w:pPr>
      <w:r w:rsidRPr="009A3AE9">
        <w:t xml:space="preserve">Note: Results in </w:t>
      </w:r>
      <w:r w:rsidRPr="009A3AE9">
        <w:rPr>
          <w:b/>
          <w:bCs/>
        </w:rPr>
        <w:t>bold</w:t>
      </w:r>
      <w:r w:rsidRPr="009A3AE9">
        <w:t xml:space="preserve"> indicate statistically significant difference (p &lt; 0.05) based on post hoc analyses. This analysis was not powered to detect statistical differences in the occurrence of safety events; apparent differences shown in relative measures of effect are exploratory only.</w:t>
      </w:r>
    </w:p>
    <w:p w14:paraId="30F89FD5" w14:textId="6BA08673" w:rsidR="004117A0" w:rsidRPr="00456281" w:rsidRDefault="004117A0" w:rsidP="00620C53">
      <w:pPr>
        <w:pStyle w:val="3-BodyText"/>
      </w:pPr>
      <w:bookmarkStart w:id="86" w:name="_Hlk156998138"/>
      <w:bookmarkStart w:id="87" w:name="_Hlk156998562"/>
      <w:bookmarkEnd w:id="85"/>
      <w:r w:rsidRPr="00456281">
        <w:t xml:space="preserve">Based on post-hoc analyses, statistically significantly more patients in the NALIRIFOX arm than in the Gem+NabP arm reported the following all-cause Grade </w:t>
      </w:r>
      <w:r w:rsidRPr="00456281">
        <w:rPr>
          <w:rFonts w:cstheme="minorHAnsi"/>
        </w:rPr>
        <w:t>3-4</w:t>
      </w:r>
      <w:r w:rsidRPr="00456281">
        <w:t xml:space="preserve"> TEAEs: </w:t>
      </w:r>
      <w:r w:rsidRPr="00456281">
        <w:lastRenderedPageBreak/>
        <w:t>gastrointestinal disorders including diarrhoea (OR=5.41</w:t>
      </w:r>
      <w:r w:rsidR="00A02BAE" w:rsidRPr="00456281">
        <w:t xml:space="preserve">; </w:t>
      </w:r>
      <w:r w:rsidRPr="00456281">
        <w:t>95% CI 3.13, 9.37), nausea (OR=4.98</w:t>
      </w:r>
      <w:r w:rsidR="00A02BAE" w:rsidRPr="00456281">
        <w:t xml:space="preserve">; </w:t>
      </w:r>
      <w:r w:rsidRPr="00456281">
        <w:t>95% CI 2.47, 10.06) and vomiting (OR=3.51</w:t>
      </w:r>
      <w:r w:rsidR="00A02BAE" w:rsidRPr="00456281">
        <w:t xml:space="preserve">; </w:t>
      </w:r>
      <w:r w:rsidRPr="00456281">
        <w:t xml:space="preserve">95% CI 1.57, 7.85); </w:t>
      </w:r>
      <w:r w:rsidR="00A02BAE" w:rsidRPr="00456281">
        <w:t xml:space="preserve">general disorders and administration site conditions including </w:t>
      </w:r>
      <w:r w:rsidRPr="00456281">
        <w:t>asthenia (OR=1.86</w:t>
      </w:r>
      <w:r w:rsidR="00A02BAE" w:rsidRPr="00456281">
        <w:t xml:space="preserve">; </w:t>
      </w:r>
      <w:r w:rsidRPr="00456281">
        <w:t>95% CI 1.04, 3.33</w:t>
      </w:r>
      <w:r w:rsidR="00A02BAE" w:rsidRPr="00456281">
        <w:t>) and mucosal inflammation (OR=8.35; 95% CI 1.04, 67.13)</w:t>
      </w:r>
      <w:r w:rsidRPr="00456281">
        <w:t>, metabolism and nutrition disorders including decreased appetite (OR=3.49</w:t>
      </w:r>
      <w:r w:rsidR="00A02BAE" w:rsidRPr="00456281">
        <w:t xml:space="preserve">; </w:t>
      </w:r>
      <w:r w:rsidRPr="00456281">
        <w:t>95% C</w:t>
      </w:r>
      <w:r w:rsidR="00A02BAE" w:rsidRPr="00456281">
        <w:t>I</w:t>
      </w:r>
      <w:r w:rsidRPr="00456281">
        <w:t xml:space="preserve"> 1.69, 7.21), hypokalaemia (OR=4.33</w:t>
      </w:r>
      <w:r w:rsidR="00A02BAE" w:rsidRPr="00456281">
        <w:t xml:space="preserve">; </w:t>
      </w:r>
      <w:r w:rsidRPr="00456281">
        <w:t>95% CI 2.40, 7.80) and dehydration (OR=3.14</w:t>
      </w:r>
      <w:r w:rsidR="0071393E" w:rsidRPr="00456281">
        <w:t xml:space="preserve">; </w:t>
      </w:r>
      <w:r w:rsidRPr="00456281">
        <w:t>95% CI 1.00, 9.83</w:t>
      </w:r>
      <w:r w:rsidR="0071393E" w:rsidRPr="00456281">
        <w:t>)</w:t>
      </w:r>
      <w:r w:rsidRPr="00456281">
        <w:t xml:space="preserve">; and </w:t>
      </w:r>
      <w:r w:rsidR="00A02BAE" w:rsidRPr="00456281">
        <w:t>weight decreased</w:t>
      </w:r>
      <w:r w:rsidRPr="00456281">
        <w:t xml:space="preserve"> (OR=</w:t>
      </w:r>
      <w:r w:rsidR="00A02BAE" w:rsidRPr="00456281">
        <w:t>11.58</w:t>
      </w:r>
      <w:r w:rsidR="0071393E" w:rsidRPr="00456281">
        <w:t xml:space="preserve">; </w:t>
      </w:r>
      <w:r w:rsidRPr="00456281">
        <w:t>95% CI 1.</w:t>
      </w:r>
      <w:r w:rsidR="00A02BAE" w:rsidRPr="00456281">
        <w:t>49</w:t>
      </w:r>
      <w:r w:rsidRPr="00456281">
        <w:t xml:space="preserve">, </w:t>
      </w:r>
      <w:r w:rsidR="00A02BAE" w:rsidRPr="00456281">
        <w:t>90.17</w:t>
      </w:r>
      <w:r w:rsidRPr="00456281">
        <w:t xml:space="preserve">). Statistically significantly more patients in the Gem+NabP arm than in the NALIRIFOX arm reported the following </w:t>
      </w:r>
      <w:r w:rsidR="00A02BAE" w:rsidRPr="00456281">
        <w:t>all cause</w:t>
      </w:r>
      <w:r w:rsidRPr="00456281">
        <w:t xml:space="preserve"> Grade 3-4 TEAEs: blood and lymphatic system disorders including </w:t>
      </w:r>
      <w:r w:rsidR="00A02BAE" w:rsidRPr="00456281">
        <w:t>anaemia</w:t>
      </w:r>
      <w:r w:rsidRPr="00456281">
        <w:t xml:space="preserve"> (OR=0.5</w:t>
      </w:r>
      <w:r w:rsidR="00A02BAE" w:rsidRPr="00456281">
        <w:t>6</w:t>
      </w:r>
      <w:r w:rsidRPr="00456281">
        <w:t>; 95% CI 0.37, 0.</w:t>
      </w:r>
      <w:r w:rsidR="00A02BAE" w:rsidRPr="00456281">
        <w:t>85</w:t>
      </w:r>
      <w:r w:rsidRPr="00456281">
        <w:t xml:space="preserve">), </w:t>
      </w:r>
      <w:r w:rsidR="00A02BAE" w:rsidRPr="00456281">
        <w:t>neutropenia</w:t>
      </w:r>
      <w:r w:rsidRPr="00456281">
        <w:t xml:space="preserve"> (OR=0.</w:t>
      </w:r>
      <w:r w:rsidR="00A02BAE" w:rsidRPr="00456281">
        <w:t>50</w:t>
      </w:r>
      <w:r w:rsidRPr="00456281">
        <w:t>; 95% CI 0.</w:t>
      </w:r>
      <w:r w:rsidR="00A02BAE" w:rsidRPr="00456281">
        <w:t>35</w:t>
      </w:r>
      <w:r w:rsidRPr="00456281">
        <w:t>, 0.7</w:t>
      </w:r>
      <w:r w:rsidR="00A02BAE" w:rsidRPr="00456281">
        <w:t>3</w:t>
      </w:r>
      <w:r w:rsidRPr="00456281">
        <w:t>), thrombocytopenia (OR=0.</w:t>
      </w:r>
      <w:r w:rsidR="00A02BAE" w:rsidRPr="00456281">
        <w:t>21</w:t>
      </w:r>
      <w:r w:rsidRPr="00456281">
        <w:t>; 95% CI 0.0</w:t>
      </w:r>
      <w:r w:rsidR="00A02BAE" w:rsidRPr="00456281">
        <w:t>6</w:t>
      </w:r>
      <w:r w:rsidRPr="00456281">
        <w:t>, 0.</w:t>
      </w:r>
      <w:r w:rsidR="00A02BAE" w:rsidRPr="00456281">
        <w:t>75</w:t>
      </w:r>
      <w:r w:rsidRPr="00456281">
        <w:t>) and leukopenia (OR=0.</w:t>
      </w:r>
      <w:r w:rsidR="00A02BAE" w:rsidRPr="00456281">
        <w:t>23</w:t>
      </w:r>
      <w:r w:rsidRPr="00456281">
        <w:t>; 95% CI 0.0</w:t>
      </w:r>
      <w:r w:rsidR="00A02BAE" w:rsidRPr="00456281">
        <w:t>8</w:t>
      </w:r>
      <w:r w:rsidRPr="00456281">
        <w:t>, 0.</w:t>
      </w:r>
      <w:r w:rsidR="00A02BAE" w:rsidRPr="00456281">
        <w:t>7</w:t>
      </w:r>
      <w:r w:rsidRPr="00456281">
        <w:t>0); and WBC count decreased (OR=0.33; 95% CI 0.13, 0.84).</w:t>
      </w:r>
    </w:p>
    <w:p w14:paraId="6107F35B" w14:textId="2C88A9EF" w:rsidR="00052DE2" w:rsidRPr="00CE246B" w:rsidRDefault="00052DE2" w:rsidP="00620C53">
      <w:pPr>
        <w:pStyle w:val="3-BodyText"/>
      </w:pPr>
      <w:r w:rsidRPr="00CE246B">
        <w:t>Based on post hoc analyses, statistically significantly more patients in the NALIRIFOX arm than in the Gem+NabP arm reported</w:t>
      </w:r>
      <w:r w:rsidR="0016735F" w:rsidRPr="00CE246B">
        <w:t xml:space="preserve"> drug-related Grade </w:t>
      </w:r>
      <w:r w:rsidR="00CB31D1" w:rsidRPr="00CE246B">
        <w:rPr>
          <w:rFonts w:cstheme="minorHAnsi"/>
        </w:rPr>
        <w:t>3-4</w:t>
      </w:r>
      <w:r w:rsidR="0016735F" w:rsidRPr="00CE246B">
        <w:t xml:space="preserve"> TEAEs</w:t>
      </w:r>
      <w:r w:rsidR="0071393E" w:rsidRPr="00CE246B">
        <w:t xml:space="preserve"> </w:t>
      </w:r>
      <w:r w:rsidR="00AB3975" w:rsidRPr="00CE246B">
        <w:t>in line with</w:t>
      </w:r>
      <w:r w:rsidR="0071393E" w:rsidRPr="00CE246B">
        <w:t xml:space="preserve"> </w:t>
      </w:r>
      <w:r w:rsidR="00AB3975" w:rsidRPr="00CE246B">
        <w:t xml:space="preserve">those seen in the </w:t>
      </w:r>
      <w:r w:rsidR="0071393E" w:rsidRPr="00CE246B">
        <w:t xml:space="preserve">all-cause </w:t>
      </w:r>
      <w:r w:rsidR="00AB3975" w:rsidRPr="00CE246B">
        <w:t>Grade 3-4 TEAEs analysis (i.e. gastrointestinal disorders and metabolism and nutrition disorders). Similarly, s</w:t>
      </w:r>
      <w:r w:rsidRPr="00CE246B">
        <w:t>tatistically significantly more patients in the Gem+NabP arm than in the NALIRIFOX arm reported</w:t>
      </w:r>
      <w:r w:rsidR="00322722" w:rsidRPr="00CE246B">
        <w:t xml:space="preserve"> </w:t>
      </w:r>
      <w:r w:rsidR="00337FD2" w:rsidRPr="00CE246B">
        <w:t xml:space="preserve">drug-related </w:t>
      </w:r>
      <w:r w:rsidR="00CB31D1" w:rsidRPr="00CE246B">
        <w:t xml:space="preserve">Grade 3-4 </w:t>
      </w:r>
      <w:r w:rsidR="00322722" w:rsidRPr="00CE246B">
        <w:t>TEAEs</w:t>
      </w:r>
      <w:r w:rsidR="00AB3975" w:rsidRPr="00CE246B">
        <w:t xml:space="preserve"> in line with those seen in the all-cause Grade 3-4 TEAE analysis (i.e. </w:t>
      </w:r>
      <w:r w:rsidRPr="00CE246B">
        <w:t>blood and lymphatic system disorders including neutropenia and WBC count decreased</w:t>
      </w:r>
      <w:r w:rsidR="00337FD2" w:rsidRPr="00CE246B">
        <w:t>)</w:t>
      </w:r>
      <w:r w:rsidRPr="00CE246B">
        <w:t>.</w:t>
      </w:r>
      <w:r w:rsidR="00AB3975" w:rsidRPr="00CE246B">
        <w:t xml:space="preserve"> Differences in TEAEs between treatments were </w:t>
      </w:r>
      <w:r w:rsidR="00F12922" w:rsidRPr="00CE246B">
        <w:t xml:space="preserve">generally </w:t>
      </w:r>
      <w:r w:rsidR="00AB3975" w:rsidRPr="00CE246B">
        <w:t xml:space="preserve">larger for the drug-related TEAE analysis compared with the all-cause TEAE analysis. </w:t>
      </w:r>
    </w:p>
    <w:p w14:paraId="1629D9DD" w14:textId="5E47368D" w:rsidR="00CB31D1" w:rsidRPr="00456281" w:rsidRDefault="00CB31D1" w:rsidP="00620C53">
      <w:pPr>
        <w:pStyle w:val="3-BodyText"/>
      </w:pPr>
      <w:r w:rsidRPr="00456281">
        <w:t xml:space="preserve">There were six participants (1.6%) with </w:t>
      </w:r>
      <w:r w:rsidR="00EC6AF8" w:rsidRPr="00456281">
        <w:t xml:space="preserve">any treatment-emergent </w:t>
      </w:r>
      <w:r w:rsidRPr="00456281">
        <w:t>TEAEs leading to death related to any study medication in the NALIRIFOX arm</w:t>
      </w:r>
      <w:r w:rsidR="006B5179" w:rsidRPr="00456281">
        <w:t>, each occurring in one patient</w:t>
      </w:r>
      <w:r w:rsidRPr="00456281">
        <w:t xml:space="preserve">: sepsis, febrile neutropenia, pancytopenia, general physical health deterioration, peritumoural oedema and ischaemic stroke. This compares to eight participants (2.1%) with TEAEs leading to death related to </w:t>
      </w:r>
      <w:r w:rsidR="006B5179" w:rsidRPr="00456281">
        <w:t>any</w:t>
      </w:r>
      <w:r w:rsidRPr="00456281">
        <w:t xml:space="preserve"> study medication in the Gem+NabP arm: </w:t>
      </w:r>
      <w:r w:rsidRPr="009A3AE9">
        <w:t>sepsis in five participants (1.3%) and febrile neutropenia, general physical health deterioration and pneumonitis in one participant (0.3%) each.</w:t>
      </w:r>
      <w:r w:rsidR="0061494A" w:rsidRPr="009A3AE9">
        <w:t xml:space="preserve"> </w:t>
      </w:r>
    </w:p>
    <w:bookmarkEnd w:id="86"/>
    <w:bookmarkEnd w:id="87"/>
    <w:p w14:paraId="68314F95" w14:textId="3762B27D" w:rsidR="00016609" w:rsidRPr="00456281" w:rsidRDefault="00016609" w:rsidP="004007D2">
      <w:pPr>
        <w:pStyle w:val="5-SubsectionSubheading"/>
      </w:pPr>
      <w:r w:rsidRPr="00456281">
        <w:t xml:space="preserve">NALIRIFOX </w:t>
      </w:r>
      <w:r w:rsidR="00F63629" w:rsidRPr="00456281">
        <w:t xml:space="preserve">versus </w:t>
      </w:r>
      <w:r w:rsidRPr="00456281">
        <w:t xml:space="preserve">FOLFIRINOX </w:t>
      </w:r>
    </w:p>
    <w:p w14:paraId="58EA8228" w14:textId="3F463AF2" w:rsidR="00016609" w:rsidRPr="00456281" w:rsidRDefault="00016609" w:rsidP="00016609">
      <w:pPr>
        <w:pStyle w:val="3-BodyText"/>
      </w:pPr>
      <w:r w:rsidRPr="00456281">
        <w:t xml:space="preserve">A summary of the most frequently reported </w:t>
      </w:r>
      <w:r w:rsidR="003A1544" w:rsidRPr="00456281">
        <w:t xml:space="preserve">drug-related </w:t>
      </w:r>
      <w:r w:rsidRPr="00456281">
        <w:t>Grade</w:t>
      </w:r>
      <w:r w:rsidR="00B82AF1" w:rsidRPr="00456281">
        <w:t xml:space="preserve"> </w:t>
      </w:r>
      <w:r w:rsidR="003A1544" w:rsidRPr="00456281">
        <w:t>3-4</w:t>
      </w:r>
      <w:r w:rsidRPr="00456281">
        <w:t xml:space="preserve"> AEs in the three trials is presented in </w:t>
      </w:r>
      <w:r w:rsidRPr="00456281">
        <w:fldChar w:fldCharType="begin"/>
      </w:r>
      <w:r w:rsidRPr="00456281">
        <w:instrText xml:space="preserve"> REF _Ref153723457 \h </w:instrText>
      </w:r>
      <w:r w:rsidRPr="00456281">
        <w:fldChar w:fldCharType="separate"/>
      </w:r>
      <w:r w:rsidR="00EE5AD4" w:rsidRPr="00456281">
        <w:t xml:space="preserve">Table </w:t>
      </w:r>
      <w:r w:rsidR="00EE5AD4">
        <w:rPr>
          <w:noProof/>
        </w:rPr>
        <w:t>11</w:t>
      </w:r>
      <w:r w:rsidRPr="00456281">
        <w:fldChar w:fldCharType="end"/>
      </w:r>
      <w:r w:rsidRPr="00456281">
        <w:t>.</w:t>
      </w:r>
      <w:r w:rsidR="008F396F" w:rsidRPr="00456281">
        <w:t xml:space="preserve"> A comparison of drug</w:t>
      </w:r>
      <w:r w:rsidR="00337FD2" w:rsidRPr="00456281">
        <w:t>-</w:t>
      </w:r>
      <w:r w:rsidR="008F396F" w:rsidRPr="00456281">
        <w:t>related AEs is presented</w:t>
      </w:r>
      <w:r w:rsidR="00D80DEE" w:rsidRPr="00456281">
        <w:t>,</w:t>
      </w:r>
      <w:r w:rsidR="008F396F" w:rsidRPr="00456281">
        <w:t xml:space="preserve"> as any cause AEs were not reported in the publications for ACCORD11/PRODIGE4 and MPACT trials.</w:t>
      </w:r>
    </w:p>
    <w:p w14:paraId="37902DF2" w14:textId="5F5ACE3B" w:rsidR="00016609" w:rsidRPr="00456281" w:rsidRDefault="00016609" w:rsidP="00360CB1">
      <w:pPr>
        <w:pStyle w:val="TableFigureHeading"/>
        <w:keepLines/>
        <w:rPr>
          <w:rStyle w:val="CommentReference"/>
          <w:b/>
          <w:szCs w:val="24"/>
        </w:rPr>
      </w:pPr>
      <w:bookmarkStart w:id="88" w:name="_Ref153723457"/>
      <w:bookmarkStart w:id="89" w:name="_Hlk159407634"/>
      <w:r w:rsidRPr="00456281">
        <w:lastRenderedPageBreak/>
        <w:t xml:space="preserve">Table </w:t>
      </w:r>
      <w:r w:rsidR="00B75F7B">
        <w:fldChar w:fldCharType="begin"/>
      </w:r>
      <w:r w:rsidR="00B75F7B">
        <w:instrText xml:space="preserve"> SEQ Table \* ARABIC </w:instrText>
      </w:r>
      <w:r w:rsidR="00B75F7B">
        <w:fldChar w:fldCharType="separate"/>
      </w:r>
      <w:r w:rsidR="00EE5AD4">
        <w:rPr>
          <w:noProof/>
        </w:rPr>
        <w:t>11</w:t>
      </w:r>
      <w:r w:rsidR="00B75F7B">
        <w:fldChar w:fldCharType="end"/>
      </w:r>
      <w:bookmarkEnd w:id="88"/>
      <w:r w:rsidRPr="00456281">
        <w:t xml:space="preserve">: </w:t>
      </w:r>
      <w:r w:rsidRPr="00456281">
        <w:rPr>
          <w:rStyle w:val="CommentReference"/>
          <w:b/>
          <w:szCs w:val="24"/>
        </w:rPr>
        <w:t xml:space="preserve">Summary of </w:t>
      </w:r>
      <w:r w:rsidR="00252092" w:rsidRPr="00456281">
        <w:rPr>
          <w:rStyle w:val="CommentReference"/>
          <w:b/>
          <w:szCs w:val="24"/>
        </w:rPr>
        <w:t xml:space="preserve">most frequently reported </w:t>
      </w:r>
      <w:r w:rsidR="005C1163" w:rsidRPr="00456281">
        <w:t>Grade</w:t>
      </w:r>
      <w:r w:rsidR="00020C06" w:rsidRPr="00456281">
        <w:t xml:space="preserve"> </w:t>
      </w:r>
      <w:r w:rsidR="006B5179" w:rsidRPr="00456281">
        <w:t>3-4</w:t>
      </w:r>
      <w:r w:rsidR="005C1163" w:rsidRPr="00456281">
        <w:rPr>
          <w:rStyle w:val="CommentReference"/>
          <w:b/>
          <w:szCs w:val="24"/>
        </w:rPr>
        <w:t xml:space="preserve"> drug-related</w:t>
      </w:r>
      <w:r w:rsidR="006F75C6" w:rsidRPr="00456281">
        <w:rPr>
          <w:rStyle w:val="CommentReference"/>
          <w:b/>
          <w:szCs w:val="24"/>
        </w:rPr>
        <w:t xml:space="preserve"> </w:t>
      </w:r>
      <w:r w:rsidRPr="00456281">
        <w:rPr>
          <w:rStyle w:val="CommentReference"/>
          <w:b/>
          <w:szCs w:val="24"/>
        </w:rPr>
        <w:t>adverse events in the trials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Summary of most frequently reported Grade 3-4 drug-related adverse events in the trials"/>
      </w:tblPr>
      <w:tblGrid>
        <w:gridCol w:w="2123"/>
        <w:gridCol w:w="1722"/>
        <w:gridCol w:w="1724"/>
        <w:gridCol w:w="1724"/>
        <w:gridCol w:w="1724"/>
      </w:tblGrid>
      <w:tr w:rsidR="00F63629" w:rsidRPr="009A3AE9" w14:paraId="1A5700B9" w14:textId="77777777" w:rsidTr="007C4527">
        <w:trPr>
          <w:cantSplit/>
          <w:tblHeader/>
          <w:jc w:val="center"/>
        </w:trPr>
        <w:tc>
          <w:tcPr>
            <w:tcW w:w="1177" w:type="pct"/>
            <w:vAlign w:val="center"/>
          </w:tcPr>
          <w:p w14:paraId="14A6B9EF" w14:textId="63AD2C38" w:rsidR="00F63629" w:rsidRPr="009A3AE9" w:rsidRDefault="00F63629" w:rsidP="00360CB1">
            <w:pPr>
              <w:pStyle w:val="TableHeading0"/>
              <w:spacing w:before="0" w:after="0" w:line="240" w:lineRule="auto"/>
            </w:pPr>
            <w:r w:rsidRPr="009A3AE9">
              <w:t>TRAE</w:t>
            </w:r>
          </w:p>
        </w:tc>
        <w:tc>
          <w:tcPr>
            <w:tcW w:w="955" w:type="pct"/>
            <w:vAlign w:val="center"/>
          </w:tcPr>
          <w:p w14:paraId="5B37D4F2" w14:textId="00BD5AFE" w:rsidR="00F63629" w:rsidRPr="009A3AE9" w:rsidRDefault="00F63629" w:rsidP="00360CB1">
            <w:pPr>
              <w:pStyle w:val="TableHeading0"/>
              <w:spacing w:before="0" w:after="0" w:line="240" w:lineRule="auto"/>
              <w:jc w:val="center"/>
            </w:pPr>
            <w:r w:rsidRPr="009A3AE9">
              <w:t>Intervention</w:t>
            </w:r>
          </w:p>
        </w:tc>
        <w:tc>
          <w:tcPr>
            <w:tcW w:w="956" w:type="pct"/>
            <w:vAlign w:val="center"/>
          </w:tcPr>
          <w:p w14:paraId="07F140ED" w14:textId="371B7D59" w:rsidR="00F63629" w:rsidRPr="009A3AE9" w:rsidRDefault="00F63629" w:rsidP="00360CB1">
            <w:pPr>
              <w:pStyle w:val="TableHeading0"/>
              <w:spacing w:before="0" w:after="0" w:line="240" w:lineRule="auto"/>
              <w:jc w:val="center"/>
            </w:pPr>
            <w:r w:rsidRPr="009A3AE9">
              <w:t>Comparator</w:t>
            </w:r>
          </w:p>
        </w:tc>
        <w:tc>
          <w:tcPr>
            <w:tcW w:w="1912" w:type="pct"/>
            <w:gridSpan w:val="2"/>
            <w:vAlign w:val="center"/>
          </w:tcPr>
          <w:p w14:paraId="3E7E9CED" w14:textId="48EF0DEA" w:rsidR="00F63629" w:rsidRPr="009A3AE9" w:rsidRDefault="00F63629" w:rsidP="00360CB1">
            <w:pPr>
              <w:pStyle w:val="TableHeading0"/>
              <w:spacing w:before="0" w:after="0" w:line="240" w:lineRule="auto"/>
              <w:jc w:val="center"/>
            </w:pPr>
            <w:r w:rsidRPr="009A3AE9">
              <w:t>Risk estimates</w:t>
            </w:r>
          </w:p>
        </w:tc>
      </w:tr>
      <w:tr w:rsidR="00AC0F4E" w:rsidRPr="009A3AE9" w14:paraId="58B7CFC5" w14:textId="47BE748E" w:rsidTr="007C4527">
        <w:trPr>
          <w:cantSplit/>
          <w:jc w:val="center"/>
        </w:trPr>
        <w:tc>
          <w:tcPr>
            <w:tcW w:w="1177" w:type="pct"/>
            <w:vAlign w:val="center"/>
          </w:tcPr>
          <w:p w14:paraId="313F6898" w14:textId="77777777" w:rsidR="00AC0F4E" w:rsidRPr="009A3AE9" w:rsidRDefault="00AC0F4E" w:rsidP="00360CB1">
            <w:pPr>
              <w:pStyle w:val="TableHeading0"/>
              <w:spacing w:before="0" w:after="0" w:line="240" w:lineRule="auto"/>
            </w:pPr>
            <w:r w:rsidRPr="009A3AE9">
              <w:t>NAPOLI-3</w:t>
            </w:r>
          </w:p>
        </w:tc>
        <w:tc>
          <w:tcPr>
            <w:tcW w:w="955" w:type="pct"/>
            <w:vAlign w:val="center"/>
          </w:tcPr>
          <w:p w14:paraId="689C543A" w14:textId="1332F0B7" w:rsidR="00AC0F4E" w:rsidRPr="009A3AE9" w:rsidRDefault="00AC0F4E" w:rsidP="00360CB1">
            <w:pPr>
              <w:pStyle w:val="TableHeading0"/>
              <w:spacing w:before="0" w:after="0" w:line="240" w:lineRule="auto"/>
              <w:jc w:val="center"/>
            </w:pPr>
            <w:r w:rsidRPr="009A3AE9">
              <w:t>NALIRIFOX</w:t>
            </w:r>
          </w:p>
          <w:p w14:paraId="50581A13" w14:textId="77777777" w:rsidR="00AC0F4E" w:rsidRPr="009A3AE9" w:rsidRDefault="00AC0F4E" w:rsidP="00360CB1">
            <w:pPr>
              <w:pStyle w:val="TableHeading0"/>
              <w:spacing w:before="0" w:after="0" w:line="240" w:lineRule="auto"/>
              <w:jc w:val="center"/>
            </w:pPr>
            <w:r w:rsidRPr="009A3AE9">
              <w:t>n/N (%)</w:t>
            </w:r>
          </w:p>
        </w:tc>
        <w:tc>
          <w:tcPr>
            <w:tcW w:w="956" w:type="pct"/>
            <w:vAlign w:val="center"/>
          </w:tcPr>
          <w:p w14:paraId="5EED1F0C" w14:textId="77777777" w:rsidR="00AC0F4E" w:rsidRPr="009A3AE9" w:rsidRDefault="00AC0F4E" w:rsidP="00360CB1">
            <w:pPr>
              <w:pStyle w:val="TableHeading0"/>
              <w:spacing w:before="0" w:after="0" w:line="240" w:lineRule="auto"/>
              <w:jc w:val="center"/>
            </w:pPr>
            <w:r w:rsidRPr="009A3AE9">
              <w:t>Gem+NabP</w:t>
            </w:r>
          </w:p>
          <w:p w14:paraId="49CCE886" w14:textId="77777777" w:rsidR="00AC0F4E" w:rsidRPr="009A3AE9" w:rsidRDefault="00AC0F4E" w:rsidP="00360CB1">
            <w:pPr>
              <w:pStyle w:val="TableHeading0"/>
              <w:spacing w:before="0" w:after="0" w:line="240" w:lineRule="auto"/>
              <w:jc w:val="center"/>
            </w:pPr>
            <w:r w:rsidRPr="009A3AE9">
              <w:t>n/N (%)</w:t>
            </w:r>
          </w:p>
        </w:tc>
        <w:tc>
          <w:tcPr>
            <w:tcW w:w="956" w:type="pct"/>
            <w:vAlign w:val="center"/>
          </w:tcPr>
          <w:p w14:paraId="38062DAB" w14:textId="24495D98" w:rsidR="00AC0F4E" w:rsidRPr="009A3AE9" w:rsidRDefault="00AC0F4E" w:rsidP="00360CB1">
            <w:pPr>
              <w:pStyle w:val="TableHeading0"/>
              <w:spacing w:before="0" w:after="0" w:line="240" w:lineRule="auto"/>
              <w:jc w:val="center"/>
            </w:pPr>
            <w:r w:rsidRPr="009A3AE9">
              <w:t>OR</w:t>
            </w:r>
          </w:p>
          <w:p w14:paraId="55013C5D" w14:textId="3471D2D8" w:rsidR="00AC0F4E" w:rsidRPr="009A3AE9" w:rsidRDefault="00AC0F4E" w:rsidP="00360CB1">
            <w:pPr>
              <w:pStyle w:val="TableHeading0"/>
              <w:spacing w:before="0" w:after="0" w:line="240" w:lineRule="auto"/>
              <w:jc w:val="center"/>
            </w:pPr>
            <w:r w:rsidRPr="009A3AE9">
              <w:t>(95% CI)</w:t>
            </w:r>
            <w:r w:rsidRPr="009A3AE9">
              <w:rPr>
                <w:vertAlign w:val="superscript"/>
              </w:rPr>
              <w:t>a</w:t>
            </w:r>
          </w:p>
        </w:tc>
        <w:tc>
          <w:tcPr>
            <w:tcW w:w="956" w:type="pct"/>
            <w:vAlign w:val="center"/>
          </w:tcPr>
          <w:p w14:paraId="49DE3F73" w14:textId="2D986424" w:rsidR="00AC0F4E" w:rsidRPr="009A3AE9" w:rsidRDefault="00AC0F4E" w:rsidP="00360CB1">
            <w:pPr>
              <w:pStyle w:val="TableHeading0"/>
              <w:spacing w:before="0" w:after="0" w:line="240" w:lineRule="auto"/>
              <w:jc w:val="center"/>
            </w:pPr>
            <w:r w:rsidRPr="009A3AE9">
              <w:t>RD</w:t>
            </w:r>
          </w:p>
          <w:p w14:paraId="2B7593E7" w14:textId="4CDF98AD" w:rsidR="00AC0F4E" w:rsidRPr="009A3AE9" w:rsidRDefault="00AC0F4E" w:rsidP="00360CB1">
            <w:pPr>
              <w:pStyle w:val="TableHeading0"/>
              <w:spacing w:before="0" w:after="0" w:line="240" w:lineRule="auto"/>
              <w:jc w:val="center"/>
            </w:pPr>
            <w:r w:rsidRPr="009A3AE9">
              <w:t>(95% CI</w:t>
            </w:r>
            <w:r w:rsidR="007C4527" w:rsidRPr="009A3AE9">
              <w:t>)</w:t>
            </w:r>
            <w:r w:rsidRPr="009A3AE9">
              <w:rPr>
                <w:vertAlign w:val="superscript"/>
              </w:rPr>
              <w:t>a</w:t>
            </w:r>
          </w:p>
        </w:tc>
      </w:tr>
      <w:tr w:rsidR="00AC0F4E" w:rsidRPr="009A3AE9" w14:paraId="65594A4C" w14:textId="534149F3" w:rsidTr="004007D2">
        <w:trPr>
          <w:cantSplit/>
          <w:jc w:val="center"/>
        </w:trPr>
        <w:tc>
          <w:tcPr>
            <w:tcW w:w="1177" w:type="pct"/>
            <w:vAlign w:val="center"/>
          </w:tcPr>
          <w:p w14:paraId="1EAAA404" w14:textId="77777777" w:rsidR="00AC0F4E" w:rsidRPr="009C3CBE" w:rsidRDefault="00AC0F4E" w:rsidP="00360CB1">
            <w:pPr>
              <w:pStyle w:val="TableText0"/>
              <w:keepLines/>
              <w:widowControl w:val="0"/>
            </w:pPr>
            <w:r w:rsidRPr="00F41B81">
              <w:t>Grade ≥3 Neutropenia</w:t>
            </w:r>
          </w:p>
        </w:tc>
        <w:tc>
          <w:tcPr>
            <w:tcW w:w="955" w:type="pct"/>
            <w:vAlign w:val="center"/>
          </w:tcPr>
          <w:p w14:paraId="1362F311" w14:textId="77777777" w:rsidR="00AC0F4E" w:rsidRPr="009C3CBE" w:rsidRDefault="00AC0F4E" w:rsidP="00360CB1">
            <w:pPr>
              <w:pStyle w:val="TableText0"/>
              <w:keepLines/>
              <w:widowControl w:val="0"/>
              <w:jc w:val="center"/>
            </w:pPr>
            <w:r w:rsidRPr="009C3CBE">
              <w:t>52/370 (14.05%)</w:t>
            </w:r>
          </w:p>
        </w:tc>
        <w:tc>
          <w:tcPr>
            <w:tcW w:w="956" w:type="pct"/>
            <w:vAlign w:val="center"/>
          </w:tcPr>
          <w:p w14:paraId="56137CD6" w14:textId="77777777" w:rsidR="00AC0F4E" w:rsidRPr="009C3CBE" w:rsidRDefault="00AC0F4E" w:rsidP="00360CB1">
            <w:pPr>
              <w:pStyle w:val="TableText0"/>
              <w:keepLines/>
              <w:widowControl w:val="0"/>
              <w:jc w:val="center"/>
            </w:pPr>
            <w:r w:rsidRPr="009C3CBE">
              <w:t>88/379 (23.22%)</w:t>
            </w:r>
          </w:p>
        </w:tc>
        <w:tc>
          <w:tcPr>
            <w:tcW w:w="956" w:type="pct"/>
            <w:vAlign w:val="center"/>
          </w:tcPr>
          <w:p w14:paraId="379CC091" w14:textId="77777777" w:rsidR="00AC0F4E" w:rsidRPr="009C3CBE" w:rsidRDefault="00AC0F4E" w:rsidP="00360CB1">
            <w:pPr>
              <w:pStyle w:val="TableText0"/>
              <w:keepLines/>
              <w:widowControl w:val="0"/>
              <w:jc w:val="center"/>
              <w:rPr>
                <w:b/>
                <w:bCs w:val="0"/>
              </w:rPr>
            </w:pPr>
            <w:r w:rsidRPr="009C3CBE">
              <w:rPr>
                <w:b/>
                <w:bCs w:val="0"/>
              </w:rPr>
              <w:t xml:space="preserve">0.54 </w:t>
            </w:r>
          </w:p>
          <w:p w14:paraId="44A8F748" w14:textId="08F523EC" w:rsidR="00AC0F4E" w:rsidRPr="009C3CBE" w:rsidRDefault="00AC0F4E" w:rsidP="00360CB1">
            <w:pPr>
              <w:pStyle w:val="TableText0"/>
              <w:keepLines/>
              <w:widowControl w:val="0"/>
              <w:jc w:val="center"/>
            </w:pPr>
            <w:r w:rsidRPr="009C3CBE">
              <w:rPr>
                <w:b/>
                <w:bCs w:val="0"/>
              </w:rPr>
              <w:t>(0.37, 0.79)</w:t>
            </w:r>
          </w:p>
        </w:tc>
        <w:tc>
          <w:tcPr>
            <w:tcW w:w="956" w:type="pct"/>
            <w:vAlign w:val="center"/>
          </w:tcPr>
          <w:p w14:paraId="69C43C1D" w14:textId="77777777" w:rsidR="00AC0F4E" w:rsidRPr="009C3CBE" w:rsidRDefault="00AC0F4E" w:rsidP="00360CB1">
            <w:pPr>
              <w:pStyle w:val="TableText0"/>
              <w:keepLines/>
              <w:widowControl w:val="0"/>
              <w:jc w:val="center"/>
              <w:rPr>
                <w:b/>
                <w:bCs w:val="0"/>
              </w:rPr>
            </w:pPr>
            <w:r w:rsidRPr="009C3CBE">
              <w:rPr>
                <w:b/>
                <w:bCs w:val="0"/>
              </w:rPr>
              <w:t xml:space="preserve">-0.09 </w:t>
            </w:r>
          </w:p>
          <w:p w14:paraId="21236152" w14:textId="7DE39A25" w:rsidR="00AC0F4E" w:rsidRPr="009C3CBE" w:rsidRDefault="00AC0F4E" w:rsidP="00360CB1">
            <w:pPr>
              <w:pStyle w:val="TableText0"/>
              <w:keepLines/>
              <w:widowControl w:val="0"/>
              <w:jc w:val="center"/>
            </w:pPr>
            <w:r w:rsidRPr="009C3CBE">
              <w:rPr>
                <w:b/>
                <w:bCs w:val="0"/>
              </w:rPr>
              <w:t>(-0.15, -0.04)</w:t>
            </w:r>
          </w:p>
        </w:tc>
      </w:tr>
      <w:tr w:rsidR="00AC0F4E" w:rsidRPr="009A3AE9" w14:paraId="699079CF" w14:textId="699D1D84" w:rsidTr="004007D2">
        <w:trPr>
          <w:cantSplit/>
          <w:jc w:val="center"/>
        </w:trPr>
        <w:tc>
          <w:tcPr>
            <w:tcW w:w="1177" w:type="pct"/>
            <w:vAlign w:val="center"/>
          </w:tcPr>
          <w:p w14:paraId="2D8438B3" w14:textId="77777777" w:rsidR="00AC0F4E" w:rsidRPr="009C3CBE" w:rsidRDefault="00AC0F4E" w:rsidP="00360CB1">
            <w:pPr>
              <w:pStyle w:val="TableText0"/>
              <w:keepLines/>
              <w:widowControl w:val="0"/>
            </w:pPr>
            <w:r w:rsidRPr="00F41B81">
              <w:t>Grade ≥3 Leukopenia</w:t>
            </w:r>
          </w:p>
        </w:tc>
        <w:tc>
          <w:tcPr>
            <w:tcW w:w="955" w:type="pct"/>
            <w:vAlign w:val="center"/>
          </w:tcPr>
          <w:p w14:paraId="448004DE" w14:textId="77777777" w:rsidR="00AC0F4E" w:rsidRPr="009C3CBE" w:rsidRDefault="00AC0F4E" w:rsidP="00360CB1">
            <w:pPr>
              <w:pStyle w:val="TableText0"/>
              <w:keepLines/>
              <w:widowControl w:val="0"/>
              <w:jc w:val="center"/>
            </w:pPr>
            <w:r w:rsidRPr="009C3CBE">
              <w:t>3/370 (0.81%)</w:t>
            </w:r>
          </w:p>
        </w:tc>
        <w:tc>
          <w:tcPr>
            <w:tcW w:w="956" w:type="pct"/>
            <w:vAlign w:val="center"/>
          </w:tcPr>
          <w:p w14:paraId="7E478A51" w14:textId="77777777" w:rsidR="00AC0F4E" w:rsidRPr="009C3CBE" w:rsidRDefault="00AC0F4E" w:rsidP="00360CB1">
            <w:pPr>
              <w:pStyle w:val="TableText0"/>
              <w:keepLines/>
              <w:widowControl w:val="0"/>
              <w:jc w:val="center"/>
            </w:pPr>
            <w:r w:rsidRPr="009C3CBE">
              <w:t>17/379 (4.49%)</w:t>
            </w:r>
          </w:p>
        </w:tc>
        <w:tc>
          <w:tcPr>
            <w:tcW w:w="956" w:type="pct"/>
            <w:vAlign w:val="center"/>
          </w:tcPr>
          <w:p w14:paraId="1992452E" w14:textId="77777777" w:rsidR="00AC0F4E" w:rsidRPr="009C3CBE" w:rsidRDefault="00AC0F4E" w:rsidP="00360CB1">
            <w:pPr>
              <w:pStyle w:val="TableText0"/>
              <w:keepLines/>
              <w:widowControl w:val="0"/>
              <w:jc w:val="center"/>
            </w:pPr>
            <w:r w:rsidRPr="009C3CBE">
              <w:t>NS</w:t>
            </w:r>
          </w:p>
        </w:tc>
        <w:tc>
          <w:tcPr>
            <w:tcW w:w="956" w:type="pct"/>
            <w:vAlign w:val="center"/>
          </w:tcPr>
          <w:p w14:paraId="1B74C403" w14:textId="77777777" w:rsidR="00AC0F4E" w:rsidRPr="009C3CBE" w:rsidRDefault="00AC0F4E" w:rsidP="00360CB1">
            <w:pPr>
              <w:pStyle w:val="TableText0"/>
              <w:keepLines/>
              <w:widowControl w:val="0"/>
              <w:jc w:val="center"/>
            </w:pPr>
            <w:r w:rsidRPr="009C3CBE">
              <w:t>NS</w:t>
            </w:r>
          </w:p>
        </w:tc>
      </w:tr>
      <w:tr w:rsidR="00AC0F4E" w:rsidRPr="009A3AE9" w14:paraId="5AA3B0D0" w14:textId="3F322A79" w:rsidTr="004007D2">
        <w:trPr>
          <w:cantSplit/>
          <w:jc w:val="center"/>
        </w:trPr>
        <w:tc>
          <w:tcPr>
            <w:tcW w:w="1177" w:type="pct"/>
            <w:vAlign w:val="center"/>
          </w:tcPr>
          <w:p w14:paraId="669DE86B" w14:textId="77777777" w:rsidR="00AC0F4E" w:rsidRPr="009C3CBE" w:rsidRDefault="00AC0F4E" w:rsidP="00360CB1">
            <w:pPr>
              <w:pStyle w:val="TableText0"/>
              <w:keepLines/>
              <w:widowControl w:val="0"/>
            </w:pPr>
            <w:r w:rsidRPr="00F41B81">
              <w:t>Grade ≥3 Thrombocytopenia</w:t>
            </w:r>
          </w:p>
        </w:tc>
        <w:tc>
          <w:tcPr>
            <w:tcW w:w="955" w:type="pct"/>
            <w:vAlign w:val="center"/>
          </w:tcPr>
          <w:p w14:paraId="52EA3221" w14:textId="77777777" w:rsidR="00AC0F4E" w:rsidRPr="009C3CBE" w:rsidRDefault="00AC0F4E" w:rsidP="00360CB1">
            <w:pPr>
              <w:pStyle w:val="TableText0"/>
              <w:keepLines/>
              <w:widowControl w:val="0"/>
              <w:jc w:val="center"/>
            </w:pPr>
            <w:r w:rsidRPr="009C3CBE">
              <w:t>2/370 (0.54%)</w:t>
            </w:r>
          </w:p>
        </w:tc>
        <w:tc>
          <w:tcPr>
            <w:tcW w:w="956" w:type="pct"/>
            <w:vAlign w:val="center"/>
          </w:tcPr>
          <w:p w14:paraId="7D91ECFB" w14:textId="77777777" w:rsidR="00AC0F4E" w:rsidRPr="009C3CBE" w:rsidRDefault="00AC0F4E" w:rsidP="00360CB1">
            <w:pPr>
              <w:pStyle w:val="TableText0"/>
              <w:keepLines/>
              <w:widowControl w:val="0"/>
              <w:jc w:val="center"/>
            </w:pPr>
            <w:r w:rsidRPr="009C3CBE">
              <w:t>13/379 (3.43%)</w:t>
            </w:r>
          </w:p>
        </w:tc>
        <w:tc>
          <w:tcPr>
            <w:tcW w:w="956" w:type="pct"/>
            <w:vAlign w:val="center"/>
          </w:tcPr>
          <w:p w14:paraId="1224479D" w14:textId="77777777" w:rsidR="00AC0F4E" w:rsidRPr="009C3CBE" w:rsidRDefault="00AC0F4E" w:rsidP="00360CB1">
            <w:pPr>
              <w:pStyle w:val="TableText0"/>
              <w:keepLines/>
              <w:widowControl w:val="0"/>
              <w:jc w:val="center"/>
              <w:rPr>
                <w:b/>
                <w:bCs w:val="0"/>
              </w:rPr>
            </w:pPr>
            <w:r w:rsidRPr="009C3CBE">
              <w:rPr>
                <w:b/>
                <w:bCs w:val="0"/>
              </w:rPr>
              <w:t xml:space="preserve">0.15 </w:t>
            </w:r>
          </w:p>
          <w:p w14:paraId="623D66F2" w14:textId="3F1A051B" w:rsidR="00AC0F4E" w:rsidRPr="009C3CBE" w:rsidRDefault="00AC0F4E" w:rsidP="00360CB1">
            <w:pPr>
              <w:pStyle w:val="TableText0"/>
              <w:keepLines/>
              <w:widowControl w:val="0"/>
              <w:jc w:val="center"/>
            </w:pPr>
            <w:r w:rsidRPr="009C3CBE">
              <w:rPr>
                <w:b/>
                <w:bCs w:val="0"/>
              </w:rPr>
              <w:t>(0.03, 0.68)</w:t>
            </w:r>
          </w:p>
        </w:tc>
        <w:tc>
          <w:tcPr>
            <w:tcW w:w="956" w:type="pct"/>
            <w:vAlign w:val="center"/>
          </w:tcPr>
          <w:p w14:paraId="1B10AB7E" w14:textId="77777777" w:rsidR="00AC0F4E" w:rsidRPr="009C3CBE" w:rsidRDefault="00AC0F4E" w:rsidP="00360CB1">
            <w:pPr>
              <w:pStyle w:val="TableText0"/>
              <w:keepLines/>
              <w:widowControl w:val="0"/>
              <w:jc w:val="center"/>
              <w:rPr>
                <w:b/>
                <w:bCs w:val="0"/>
              </w:rPr>
            </w:pPr>
            <w:r w:rsidRPr="009C3CBE">
              <w:rPr>
                <w:b/>
                <w:bCs w:val="0"/>
              </w:rPr>
              <w:t xml:space="preserve">-0.03 </w:t>
            </w:r>
          </w:p>
          <w:p w14:paraId="68A3453A" w14:textId="25A29A15" w:rsidR="00AC0F4E" w:rsidRPr="009C3CBE" w:rsidRDefault="00AC0F4E" w:rsidP="00360CB1">
            <w:pPr>
              <w:pStyle w:val="TableText0"/>
              <w:keepLines/>
              <w:widowControl w:val="0"/>
              <w:jc w:val="center"/>
            </w:pPr>
            <w:r w:rsidRPr="009C3CBE">
              <w:rPr>
                <w:b/>
                <w:bCs w:val="0"/>
              </w:rPr>
              <w:t>(-0.05, -0.01)</w:t>
            </w:r>
          </w:p>
        </w:tc>
      </w:tr>
      <w:tr w:rsidR="00AC0F4E" w:rsidRPr="009A3AE9" w14:paraId="442ABCE9" w14:textId="47FD63FD" w:rsidTr="004007D2">
        <w:trPr>
          <w:cantSplit/>
          <w:jc w:val="center"/>
        </w:trPr>
        <w:tc>
          <w:tcPr>
            <w:tcW w:w="1177" w:type="pct"/>
            <w:vAlign w:val="center"/>
          </w:tcPr>
          <w:p w14:paraId="54C3073C" w14:textId="77777777" w:rsidR="00AC0F4E" w:rsidRPr="009C3CBE" w:rsidRDefault="00AC0F4E" w:rsidP="00360CB1">
            <w:pPr>
              <w:pStyle w:val="TableText0"/>
              <w:keepLines/>
              <w:widowControl w:val="0"/>
            </w:pPr>
            <w:r w:rsidRPr="00F41B81">
              <w:t>Grade ≥3 Anaemia</w:t>
            </w:r>
          </w:p>
        </w:tc>
        <w:tc>
          <w:tcPr>
            <w:tcW w:w="955" w:type="pct"/>
            <w:vAlign w:val="center"/>
          </w:tcPr>
          <w:p w14:paraId="58F9634F" w14:textId="77777777" w:rsidR="00AC0F4E" w:rsidRPr="009C3CBE" w:rsidRDefault="00AC0F4E" w:rsidP="00360CB1">
            <w:pPr>
              <w:pStyle w:val="TableText0"/>
              <w:keepLines/>
              <w:widowControl w:val="0"/>
              <w:jc w:val="center"/>
            </w:pPr>
            <w:r w:rsidRPr="009C3CBE">
              <w:t>27/370 (7.30%)</w:t>
            </w:r>
          </w:p>
        </w:tc>
        <w:tc>
          <w:tcPr>
            <w:tcW w:w="956" w:type="pct"/>
            <w:vAlign w:val="center"/>
          </w:tcPr>
          <w:p w14:paraId="7263B7B8" w14:textId="77777777" w:rsidR="00AC0F4E" w:rsidRPr="009C3CBE" w:rsidRDefault="00AC0F4E" w:rsidP="00360CB1">
            <w:pPr>
              <w:pStyle w:val="TableText0"/>
              <w:keepLines/>
              <w:widowControl w:val="0"/>
              <w:jc w:val="center"/>
            </w:pPr>
            <w:r w:rsidRPr="009C3CBE">
              <w:t>55/379 (14.51%)</w:t>
            </w:r>
          </w:p>
        </w:tc>
        <w:tc>
          <w:tcPr>
            <w:tcW w:w="956" w:type="pct"/>
            <w:vAlign w:val="center"/>
          </w:tcPr>
          <w:p w14:paraId="4F234E04" w14:textId="77777777" w:rsidR="00AC0F4E" w:rsidRPr="009C3CBE" w:rsidRDefault="00AC0F4E" w:rsidP="00360CB1">
            <w:pPr>
              <w:pStyle w:val="TableText0"/>
              <w:keepLines/>
              <w:widowControl w:val="0"/>
              <w:jc w:val="center"/>
              <w:rPr>
                <w:b/>
                <w:bCs w:val="0"/>
              </w:rPr>
            </w:pPr>
            <w:r w:rsidRPr="009C3CBE">
              <w:rPr>
                <w:b/>
                <w:bCs w:val="0"/>
              </w:rPr>
              <w:t xml:space="preserve">0.46 </w:t>
            </w:r>
          </w:p>
          <w:p w14:paraId="768C0EDE" w14:textId="7084E55D" w:rsidR="00AC0F4E" w:rsidRPr="009C3CBE" w:rsidRDefault="00AC0F4E" w:rsidP="00360CB1">
            <w:pPr>
              <w:pStyle w:val="TableText0"/>
              <w:keepLines/>
              <w:widowControl w:val="0"/>
              <w:jc w:val="center"/>
            </w:pPr>
            <w:r w:rsidRPr="009C3CBE">
              <w:rPr>
                <w:b/>
                <w:bCs w:val="0"/>
              </w:rPr>
              <w:t>(0.29, 0.75)</w:t>
            </w:r>
          </w:p>
        </w:tc>
        <w:tc>
          <w:tcPr>
            <w:tcW w:w="956" w:type="pct"/>
            <w:vAlign w:val="center"/>
          </w:tcPr>
          <w:p w14:paraId="309460E5" w14:textId="77777777" w:rsidR="00AC0F4E" w:rsidRPr="009C3CBE" w:rsidRDefault="00AC0F4E" w:rsidP="00360CB1">
            <w:pPr>
              <w:pStyle w:val="TableText0"/>
              <w:keepLines/>
              <w:widowControl w:val="0"/>
              <w:jc w:val="center"/>
              <w:rPr>
                <w:b/>
                <w:bCs w:val="0"/>
              </w:rPr>
            </w:pPr>
            <w:r w:rsidRPr="009C3CBE">
              <w:rPr>
                <w:b/>
                <w:bCs w:val="0"/>
              </w:rPr>
              <w:t xml:space="preserve">-0.07 </w:t>
            </w:r>
          </w:p>
          <w:p w14:paraId="762352C1" w14:textId="5BA97966" w:rsidR="00AC0F4E" w:rsidRPr="009C3CBE" w:rsidRDefault="00AC0F4E" w:rsidP="00360CB1">
            <w:pPr>
              <w:pStyle w:val="TableText0"/>
              <w:keepLines/>
              <w:widowControl w:val="0"/>
              <w:jc w:val="center"/>
            </w:pPr>
            <w:r w:rsidRPr="009C3CBE">
              <w:rPr>
                <w:b/>
                <w:bCs w:val="0"/>
              </w:rPr>
              <w:t>(-0.12, -0.03)</w:t>
            </w:r>
          </w:p>
        </w:tc>
      </w:tr>
      <w:tr w:rsidR="00AC0F4E" w:rsidRPr="009A3AE9" w14:paraId="63BDF6A7" w14:textId="580999C2" w:rsidTr="004007D2">
        <w:trPr>
          <w:cantSplit/>
          <w:jc w:val="center"/>
        </w:trPr>
        <w:tc>
          <w:tcPr>
            <w:tcW w:w="1177" w:type="pct"/>
            <w:vAlign w:val="center"/>
          </w:tcPr>
          <w:p w14:paraId="369E07CB" w14:textId="77777777" w:rsidR="00AC0F4E" w:rsidRPr="009C3CBE" w:rsidRDefault="00AC0F4E" w:rsidP="00360CB1">
            <w:pPr>
              <w:pStyle w:val="TableText0"/>
              <w:keepNext w:val="0"/>
              <w:widowControl w:val="0"/>
            </w:pPr>
            <w:r w:rsidRPr="00F41B81">
              <w:t>Grade ≥3 Febrile neutropenia</w:t>
            </w:r>
          </w:p>
        </w:tc>
        <w:tc>
          <w:tcPr>
            <w:tcW w:w="955" w:type="pct"/>
            <w:vAlign w:val="center"/>
          </w:tcPr>
          <w:p w14:paraId="679DC5B8" w14:textId="77777777" w:rsidR="00AC0F4E" w:rsidRPr="009C3CBE" w:rsidRDefault="00AC0F4E" w:rsidP="00360CB1">
            <w:pPr>
              <w:pStyle w:val="TableText0"/>
              <w:keepNext w:val="0"/>
              <w:widowControl w:val="0"/>
              <w:jc w:val="center"/>
            </w:pPr>
            <w:r w:rsidRPr="009C3CBE">
              <w:t>7/230 (1.9%)</w:t>
            </w:r>
          </w:p>
        </w:tc>
        <w:tc>
          <w:tcPr>
            <w:tcW w:w="956" w:type="pct"/>
            <w:vAlign w:val="center"/>
          </w:tcPr>
          <w:p w14:paraId="2AB70EEB" w14:textId="77777777" w:rsidR="00AC0F4E" w:rsidRPr="009C3CBE" w:rsidRDefault="00AC0F4E" w:rsidP="00360CB1">
            <w:pPr>
              <w:pStyle w:val="TableText0"/>
              <w:keepNext w:val="0"/>
              <w:widowControl w:val="0"/>
              <w:jc w:val="center"/>
            </w:pPr>
            <w:r w:rsidRPr="009C3CBE">
              <w:t>9/379 (2.4%)</w:t>
            </w:r>
          </w:p>
        </w:tc>
        <w:tc>
          <w:tcPr>
            <w:tcW w:w="956" w:type="pct"/>
            <w:vAlign w:val="center"/>
          </w:tcPr>
          <w:p w14:paraId="5933777C" w14:textId="77777777" w:rsidR="00AC0F4E" w:rsidRPr="009C3CBE" w:rsidRDefault="00AC0F4E" w:rsidP="00360CB1">
            <w:pPr>
              <w:pStyle w:val="TableText0"/>
              <w:keepNext w:val="0"/>
              <w:widowControl w:val="0"/>
              <w:jc w:val="center"/>
            </w:pPr>
            <w:r w:rsidRPr="009C3CBE">
              <w:t xml:space="preserve">0.79 </w:t>
            </w:r>
          </w:p>
          <w:p w14:paraId="4BC41680" w14:textId="4EDEA534" w:rsidR="00AC0F4E" w:rsidRPr="009C3CBE" w:rsidRDefault="00AC0F4E" w:rsidP="00360CB1">
            <w:pPr>
              <w:pStyle w:val="TableText0"/>
              <w:keepNext w:val="0"/>
              <w:widowControl w:val="0"/>
              <w:jc w:val="center"/>
            </w:pPr>
            <w:r w:rsidRPr="009C3CBE">
              <w:t>(0.29, 2.15)</w:t>
            </w:r>
          </w:p>
        </w:tc>
        <w:tc>
          <w:tcPr>
            <w:tcW w:w="956" w:type="pct"/>
            <w:vAlign w:val="center"/>
          </w:tcPr>
          <w:p w14:paraId="2E27EA9A" w14:textId="77777777" w:rsidR="00AC0F4E" w:rsidRPr="009C3CBE" w:rsidRDefault="00AC0F4E" w:rsidP="00360CB1">
            <w:pPr>
              <w:pStyle w:val="TableText0"/>
              <w:keepNext w:val="0"/>
              <w:widowControl w:val="0"/>
              <w:jc w:val="center"/>
            </w:pPr>
            <w:r w:rsidRPr="009C3CBE">
              <w:t xml:space="preserve">0 </w:t>
            </w:r>
          </w:p>
          <w:p w14:paraId="3CA01121" w14:textId="1C72CE4B" w:rsidR="00AC0F4E" w:rsidRPr="009C3CBE" w:rsidRDefault="00AC0F4E" w:rsidP="00360CB1">
            <w:pPr>
              <w:pStyle w:val="TableText0"/>
              <w:keepNext w:val="0"/>
              <w:widowControl w:val="0"/>
              <w:jc w:val="center"/>
            </w:pPr>
            <w:r w:rsidRPr="009C3CBE">
              <w:t>(-0.03, 0.02)</w:t>
            </w:r>
          </w:p>
        </w:tc>
      </w:tr>
      <w:tr w:rsidR="00AC0F4E" w:rsidRPr="009A3AE9" w14:paraId="0856D079" w14:textId="6F3E2B4E" w:rsidTr="004007D2">
        <w:trPr>
          <w:cantSplit/>
          <w:jc w:val="center"/>
        </w:trPr>
        <w:tc>
          <w:tcPr>
            <w:tcW w:w="1177" w:type="pct"/>
            <w:vAlign w:val="center"/>
          </w:tcPr>
          <w:p w14:paraId="09AC5271" w14:textId="77777777" w:rsidR="00AC0F4E" w:rsidRPr="009C3CBE" w:rsidRDefault="00AC0F4E" w:rsidP="00360CB1">
            <w:pPr>
              <w:pStyle w:val="TableText0"/>
              <w:keepNext w:val="0"/>
              <w:widowControl w:val="0"/>
            </w:pPr>
            <w:r w:rsidRPr="00F41B81">
              <w:t>Grade ≥3 Fatigue</w:t>
            </w:r>
          </w:p>
        </w:tc>
        <w:tc>
          <w:tcPr>
            <w:tcW w:w="955" w:type="pct"/>
            <w:vAlign w:val="center"/>
          </w:tcPr>
          <w:p w14:paraId="32E37080" w14:textId="77777777" w:rsidR="00AC0F4E" w:rsidRPr="009C3CBE" w:rsidRDefault="00AC0F4E" w:rsidP="00360CB1">
            <w:pPr>
              <w:pStyle w:val="TableText0"/>
              <w:keepNext w:val="0"/>
              <w:widowControl w:val="0"/>
              <w:jc w:val="center"/>
            </w:pPr>
            <w:r w:rsidRPr="009C3CBE">
              <w:t>20/370 (5.41%)</w:t>
            </w:r>
          </w:p>
        </w:tc>
        <w:tc>
          <w:tcPr>
            <w:tcW w:w="956" w:type="pct"/>
            <w:vAlign w:val="center"/>
          </w:tcPr>
          <w:p w14:paraId="5A5FA1DC" w14:textId="77777777" w:rsidR="00AC0F4E" w:rsidRPr="009C3CBE" w:rsidRDefault="00AC0F4E" w:rsidP="00360CB1">
            <w:pPr>
              <w:pStyle w:val="TableText0"/>
              <w:keepNext w:val="0"/>
              <w:widowControl w:val="0"/>
              <w:jc w:val="center"/>
            </w:pPr>
            <w:r w:rsidRPr="009C3CBE">
              <w:t>14/379 (3.69%)</w:t>
            </w:r>
          </w:p>
        </w:tc>
        <w:tc>
          <w:tcPr>
            <w:tcW w:w="956" w:type="pct"/>
            <w:vAlign w:val="center"/>
          </w:tcPr>
          <w:p w14:paraId="50C89C54" w14:textId="77777777" w:rsidR="00AC0F4E" w:rsidRPr="009C3CBE" w:rsidRDefault="00AC0F4E" w:rsidP="00360CB1">
            <w:pPr>
              <w:pStyle w:val="TableText0"/>
              <w:keepNext w:val="0"/>
              <w:widowControl w:val="0"/>
              <w:jc w:val="center"/>
            </w:pPr>
            <w:r w:rsidRPr="009C3CBE">
              <w:t>1.49</w:t>
            </w:r>
          </w:p>
          <w:p w14:paraId="21D15A14" w14:textId="05BFB2C0" w:rsidR="00AC0F4E" w:rsidRPr="009C3CBE" w:rsidRDefault="00AC0F4E" w:rsidP="00360CB1">
            <w:pPr>
              <w:pStyle w:val="TableText0"/>
              <w:keepNext w:val="0"/>
              <w:widowControl w:val="0"/>
              <w:jc w:val="center"/>
            </w:pPr>
            <w:r w:rsidRPr="009C3CBE">
              <w:t>(0.74, 3)</w:t>
            </w:r>
          </w:p>
        </w:tc>
        <w:tc>
          <w:tcPr>
            <w:tcW w:w="956" w:type="pct"/>
            <w:vAlign w:val="center"/>
          </w:tcPr>
          <w:p w14:paraId="5BA3D01E" w14:textId="77777777" w:rsidR="00AC0F4E" w:rsidRPr="009C3CBE" w:rsidRDefault="00AC0F4E" w:rsidP="00360CB1">
            <w:pPr>
              <w:pStyle w:val="TableText0"/>
              <w:keepNext w:val="0"/>
              <w:widowControl w:val="0"/>
              <w:jc w:val="center"/>
            </w:pPr>
            <w:r w:rsidRPr="009C3CBE">
              <w:t xml:space="preserve">0.02 </w:t>
            </w:r>
          </w:p>
          <w:p w14:paraId="77796CFB" w14:textId="2A7C839F" w:rsidR="00AC0F4E" w:rsidRPr="009C3CBE" w:rsidRDefault="00AC0F4E" w:rsidP="00360CB1">
            <w:pPr>
              <w:pStyle w:val="TableText0"/>
              <w:keepNext w:val="0"/>
              <w:widowControl w:val="0"/>
              <w:jc w:val="center"/>
            </w:pPr>
            <w:r w:rsidRPr="009C3CBE">
              <w:t>(-0.01, 0.05)</w:t>
            </w:r>
          </w:p>
        </w:tc>
      </w:tr>
      <w:tr w:rsidR="00AC0F4E" w:rsidRPr="009A3AE9" w14:paraId="2AB8609C" w14:textId="253B0B58" w:rsidTr="004007D2">
        <w:trPr>
          <w:cantSplit/>
          <w:jc w:val="center"/>
        </w:trPr>
        <w:tc>
          <w:tcPr>
            <w:tcW w:w="1177" w:type="pct"/>
            <w:vAlign w:val="center"/>
          </w:tcPr>
          <w:p w14:paraId="05886C08" w14:textId="77777777" w:rsidR="00AC0F4E" w:rsidRPr="009C3CBE" w:rsidRDefault="00AC0F4E" w:rsidP="00360CB1">
            <w:pPr>
              <w:pStyle w:val="TableText0"/>
              <w:keepNext w:val="0"/>
              <w:widowControl w:val="0"/>
            </w:pPr>
            <w:r w:rsidRPr="00F41B81">
              <w:t>Grade ≥3 Diarrhoea</w:t>
            </w:r>
          </w:p>
        </w:tc>
        <w:tc>
          <w:tcPr>
            <w:tcW w:w="955" w:type="pct"/>
            <w:vAlign w:val="center"/>
          </w:tcPr>
          <w:p w14:paraId="5DA5199D" w14:textId="77777777" w:rsidR="00AC0F4E" w:rsidRPr="009C3CBE" w:rsidRDefault="00AC0F4E" w:rsidP="00360CB1">
            <w:pPr>
              <w:pStyle w:val="TableText0"/>
              <w:keepNext w:val="0"/>
              <w:widowControl w:val="0"/>
              <w:jc w:val="center"/>
            </w:pPr>
            <w:r w:rsidRPr="009C3CBE">
              <w:t>72/370 (19.46%)</w:t>
            </w:r>
          </w:p>
        </w:tc>
        <w:tc>
          <w:tcPr>
            <w:tcW w:w="956" w:type="pct"/>
            <w:vAlign w:val="center"/>
          </w:tcPr>
          <w:p w14:paraId="21D48A68" w14:textId="77777777" w:rsidR="00AC0F4E" w:rsidRPr="009C3CBE" w:rsidRDefault="00AC0F4E" w:rsidP="00360CB1">
            <w:pPr>
              <w:pStyle w:val="TableText0"/>
              <w:keepNext w:val="0"/>
              <w:widowControl w:val="0"/>
              <w:jc w:val="center"/>
            </w:pPr>
            <w:r w:rsidRPr="009C3CBE">
              <w:t>12/379 (3.17%)</w:t>
            </w:r>
          </w:p>
        </w:tc>
        <w:tc>
          <w:tcPr>
            <w:tcW w:w="956" w:type="pct"/>
            <w:vAlign w:val="center"/>
          </w:tcPr>
          <w:p w14:paraId="5B41831A" w14:textId="77777777" w:rsidR="00AC0F4E" w:rsidRPr="009C3CBE" w:rsidRDefault="00AC0F4E" w:rsidP="00360CB1">
            <w:pPr>
              <w:pStyle w:val="TableText0"/>
              <w:keepNext w:val="0"/>
              <w:widowControl w:val="0"/>
              <w:jc w:val="center"/>
              <w:rPr>
                <w:b/>
                <w:bCs w:val="0"/>
              </w:rPr>
            </w:pPr>
            <w:r w:rsidRPr="009C3CBE">
              <w:rPr>
                <w:b/>
                <w:bCs w:val="0"/>
              </w:rPr>
              <w:t xml:space="preserve">7.39 </w:t>
            </w:r>
          </w:p>
          <w:p w14:paraId="71CE809C" w14:textId="64B4DFEB" w:rsidR="00AC0F4E" w:rsidRPr="009C3CBE" w:rsidRDefault="00AC0F4E" w:rsidP="00360CB1">
            <w:pPr>
              <w:pStyle w:val="TableText0"/>
              <w:keepNext w:val="0"/>
              <w:widowControl w:val="0"/>
              <w:jc w:val="center"/>
            </w:pPr>
            <w:r w:rsidRPr="009C3CBE">
              <w:rPr>
                <w:b/>
                <w:bCs w:val="0"/>
              </w:rPr>
              <w:t>(3.94, 13.87)</w:t>
            </w:r>
          </w:p>
        </w:tc>
        <w:tc>
          <w:tcPr>
            <w:tcW w:w="956" w:type="pct"/>
            <w:vAlign w:val="center"/>
          </w:tcPr>
          <w:p w14:paraId="21819DCB" w14:textId="77777777" w:rsidR="00AC0F4E" w:rsidRPr="009C3CBE" w:rsidRDefault="00AC0F4E" w:rsidP="00360CB1">
            <w:pPr>
              <w:pStyle w:val="TableText0"/>
              <w:keepNext w:val="0"/>
              <w:widowControl w:val="0"/>
              <w:jc w:val="center"/>
              <w:rPr>
                <w:b/>
                <w:bCs w:val="0"/>
              </w:rPr>
            </w:pPr>
            <w:r w:rsidRPr="009C3CBE">
              <w:rPr>
                <w:b/>
                <w:bCs w:val="0"/>
              </w:rPr>
              <w:t xml:space="preserve">0.16 </w:t>
            </w:r>
          </w:p>
          <w:p w14:paraId="1A28CFCB" w14:textId="7C3634FB" w:rsidR="00AC0F4E" w:rsidRPr="009C3CBE" w:rsidRDefault="00AC0F4E" w:rsidP="00360CB1">
            <w:pPr>
              <w:pStyle w:val="TableText0"/>
              <w:keepNext w:val="0"/>
              <w:widowControl w:val="0"/>
              <w:jc w:val="center"/>
            </w:pPr>
            <w:r w:rsidRPr="009C3CBE">
              <w:rPr>
                <w:b/>
                <w:bCs w:val="0"/>
              </w:rPr>
              <w:t>(0.12, 0.21)</w:t>
            </w:r>
          </w:p>
        </w:tc>
      </w:tr>
      <w:tr w:rsidR="00AC0F4E" w:rsidRPr="009A3AE9" w14:paraId="111ACDAC" w14:textId="740CDB68" w:rsidTr="004007D2">
        <w:trPr>
          <w:cantSplit/>
          <w:jc w:val="center"/>
        </w:trPr>
        <w:tc>
          <w:tcPr>
            <w:tcW w:w="1177" w:type="pct"/>
            <w:vAlign w:val="center"/>
          </w:tcPr>
          <w:p w14:paraId="7E5F0D8B" w14:textId="090CB532" w:rsidR="00AC0F4E" w:rsidRPr="009C3CBE" w:rsidRDefault="00AC0F4E" w:rsidP="00360CB1">
            <w:pPr>
              <w:pStyle w:val="TableText0"/>
              <w:keepNext w:val="0"/>
              <w:widowControl w:val="0"/>
            </w:pPr>
            <w:r w:rsidRPr="00F41B81">
              <w:t xml:space="preserve">Grade ≥3 Peripheral neuropathy </w:t>
            </w:r>
          </w:p>
        </w:tc>
        <w:tc>
          <w:tcPr>
            <w:tcW w:w="955" w:type="pct"/>
            <w:vAlign w:val="center"/>
          </w:tcPr>
          <w:p w14:paraId="1F979BA3" w14:textId="77777777" w:rsidR="00AC0F4E" w:rsidRPr="009C3CBE" w:rsidRDefault="00AC0F4E" w:rsidP="00360CB1">
            <w:pPr>
              <w:pStyle w:val="TableText0"/>
              <w:keepNext w:val="0"/>
              <w:widowControl w:val="0"/>
              <w:jc w:val="center"/>
            </w:pPr>
            <w:r w:rsidRPr="009C3CBE">
              <w:t>12/370 (3.24%)</w:t>
            </w:r>
          </w:p>
        </w:tc>
        <w:tc>
          <w:tcPr>
            <w:tcW w:w="956" w:type="pct"/>
            <w:vAlign w:val="center"/>
          </w:tcPr>
          <w:p w14:paraId="163A85B9" w14:textId="77777777" w:rsidR="00AC0F4E" w:rsidRPr="009C3CBE" w:rsidRDefault="00AC0F4E" w:rsidP="00360CB1">
            <w:pPr>
              <w:pStyle w:val="TableText0"/>
              <w:keepNext w:val="0"/>
              <w:widowControl w:val="0"/>
              <w:jc w:val="center"/>
            </w:pPr>
            <w:r w:rsidRPr="009C3CBE">
              <w:t>22/379 (5.80%)</w:t>
            </w:r>
          </w:p>
        </w:tc>
        <w:tc>
          <w:tcPr>
            <w:tcW w:w="956" w:type="pct"/>
            <w:vAlign w:val="center"/>
          </w:tcPr>
          <w:p w14:paraId="684C7D53" w14:textId="77777777" w:rsidR="00AC0F4E" w:rsidRPr="009C3CBE" w:rsidRDefault="00AC0F4E" w:rsidP="00360CB1">
            <w:pPr>
              <w:pStyle w:val="TableText0"/>
              <w:keepNext w:val="0"/>
              <w:widowControl w:val="0"/>
              <w:jc w:val="center"/>
            </w:pPr>
            <w:r w:rsidRPr="009C3CBE">
              <w:t xml:space="preserve">0.54 </w:t>
            </w:r>
          </w:p>
          <w:p w14:paraId="5E28C4F3" w14:textId="57027E15" w:rsidR="00AC0F4E" w:rsidRPr="009C3CBE" w:rsidRDefault="00AC0F4E" w:rsidP="00360CB1">
            <w:pPr>
              <w:pStyle w:val="TableText0"/>
              <w:keepNext w:val="0"/>
              <w:widowControl w:val="0"/>
              <w:jc w:val="center"/>
            </w:pPr>
            <w:r w:rsidRPr="009C3CBE">
              <w:t>(0.27, 1.12)</w:t>
            </w:r>
          </w:p>
        </w:tc>
        <w:tc>
          <w:tcPr>
            <w:tcW w:w="956" w:type="pct"/>
            <w:vAlign w:val="center"/>
          </w:tcPr>
          <w:p w14:paraId="32620E23" w14:textId="77777777" w:rsidR="00AC0F4E" w:rsidRPr="009C3CBE" w:rsidRDefault="00AC0F4E" w:rsidP="00360CB1">
            <w:pPr>
              <w:pStyle w:val="TableText0"/>
              <w:keepNext w:val="0"/>
              <w:widowControl w:val="0"/>
              <w:jc w:val="center"/>
            </w:pPr>
            <w:r w:rsidRPr="009C3CBE">
              <w:t xml:space="preserve">-0.03 </w:t>
            </w:r>
          </w:p>
          <w:p w14:paraId="5D1887B3" w14:textId="75B32BE0" w:rsidR="00AC0F4E" w:rsidRPr="009C3CBE" w:rsidRDefault="00AC0F4E" w:rsidP="00360CB1">
            <w:pPr>
              <w:pStyle w:val="TableText0"/>
              <w:keepNext w:val="0"/>
              <w:widowControl w:val="0"/>
              <w:jc w:val="center"/>
            </w:pPr>
            <w:r w:rsidRPr="009C3CBE">
              <w:t>(-0.06, 0.00)</w:t>
            </w:r>
          </w:p>
        </w:tc>
      </w:tr>
      <w:tr w:rsidR="00AC0F4E" w:rsidRPr="009A3AE9" w14:paraId="63BFC9DF" w14:textId="1E9EA552" w:rsidTr="004007D2">
        <w:trPr>
          <w:cantSplit/>
          <w:jc w:val="center"/>
        </w:trPr>
        <w:tc>
          <w:tcPr>
            <w:tcW w:w="1177" w:type="pct"/>
            <w:vAlign w:val="center"/>
          </w:tcPr>
          <w:p w14:paraId="4C510BB0" w14:textId="77777777" w:rsidR="00AC0F4E" w:rsidRPr="009C3CBE" w:rsidRDefault="00AC0F4E" w:rsidP="00360CB1">
            <w:pPr>
              <w:pStyle w:val="TableText0"/>
              <w:keepNext w:val="0"/>
              <w:widowControl w:val="0"/>
            </w:pPr>
            <w:r w:rsidRPr="00F41B81">
              <w:t>Grade ≥3 Vomiting</w:t>
            </w:r>
          </w:p>
        </w:tc>
        <w:tc>
          <w:tcPr>
            <w:tcW w:w="955" w:type="pct"/>
            <w:vAlign w:val="center"/>
          </w:tcPr>
          <w:p w14:paraId="5C3A2E5C" w14:textId="77777777" w:rsidR="00AC0F4E" w:rsidRPr="009C3CBE" w:rsidRDefault="00AC0F4E" w:rsidP="00360CB1">
            <w:pPr>
              <w:pStyle w:val="TableText0"/>
              <w:keepNext w:val="0"/>
              <w:widowControl w:val="0"/>
              <w:jc w:val="center"/>
            </w:pPr>
            <w:r w:rsidRPr="009C3CBE">
              <w:t>20/370 (5.41%)</w:t>
            </w:r>
          </w:p>
        </w:tc>
        <w:tc>
          <w:tcPr>
            <w:tcW w:w="956" w:type="pct"/>
            <w:vAlign w:val="center"/>
          </w:tcPr>
          <w:p w14:paraId="3F116DF1" w14:textId="77777777" w:rsidR="00AC0F4E" w:rsidRPr="009C3CBE" w:rsidRDefault="00AC0F4E" w:rsidP="00360CB1">
            <w:pPr>
              <w:pStyle w:val="TableText0"/>
              <w:keepNext w:val="0"/>
              <w:widowControl w:val="0"/>
              <w:jc w:val="center"/>
            </w:pPr>
            <w:r w:rsidRPr="009C3CBE">
              <w:t>5/379 (1.32%)</w:t>
            </w:r>
          </w:p>
        </w:tc>
        <w:tc>
          <w:tcPr>
            <w:tcW w:w="956" w:type="pct"/>
            <w:vAlign w:val="center"/>
          </w:tcPr>
          <w:p w14:paraId="4647CBCB" w14:textId="77777777" w:rsidR="00AC0F4E" w:rsidRPr="009C3CBE" w:rsidRDefault="00AC0F4E" w:rsidP="00360CB1">
            <w:pPr>
              <w:pStyle w:val="TableText0"/>
              <w:keepNext w:val="0"/>
              <w:widowControl w:val="0"/>
              <w:jc w:val="center"/>
              <w:rPr>
                <w:b/>
                <w:bCs w:val="0"/>
              </w:rPr>
            </w:pPr>
            <w:r w:rsidRPr="009C3CBE">
              <w:rPr>
                <w:b/>
                <w:bCs w:val="0"/>
              </w:rPr>
              <w:t xml:space="preserve">4.27 </w:t>
            </w:r>
          </w:p>
          <w:p w14:paraId="1AB38D52" w14:textId="3279058E" w:rsidR="00AC0F4E" w:rsidRPr="009C3CBE" w:rsidRDefault="00AC0F4E" w:rsidP="00360CB1">
            <w:pPr>
              <w:pStyle w:val="TableText0"/>
              <w:keepNext w:val="0"/>
              <w:widowControl w:val="0"/>
              <w:jc w:val="center"/>
            </w:pPr>
            <w:r w:rsidRPr="009C3CBE">
              <w:rPr>
                <w:b/>
                <w:bCs w:val="0"/>
              </w:rPr>
              <w:t>(1.59, 11.51)</w:t>
            </w:r>
          </w:p>
        </w:tc>
        <w:tc>
          <w:tcPr>
            <w:tcW w:w="956" w:type="pct"/>
            <w:vAlign w:val="center"/>
          </w:tcPr>
          <w:p w14:paraId="04ECF19F" w14:textId="77777777" w:rsidR="00AC0F4E" w:rsidRPr="009C3CBE" w:rsidRDefault="00AC0F4E" w:rsidP="00360CB1">
            <w:pPr>
              <w:pStyle w:val="TableText0"/>
              <w:keepNext w:val="0"/>
              <w:widowControl w:val="0"/>
              <w:jc w:val="center"/>
              <w:rPr>
                <w:b/>
                <w:bCs w:val="0"/>
              </w:rPr>
            </w:pPr>
            <w:r w:rsidRPr="009C3CBE">
              <w:rPr>
                <w:b/>
                <w:bCs w:val="0"/>
              </w:rPr>
              <w:t xml:space="preserve">0.04 </w:t>
            </w:r>
          </w:p>
          <w:p w14:paraId="7541434D" w14:textId="3A81D978" w:rsidR="00AC0F4E" w:rsidRPr="009C3CBE" w:rsidRDefault="00AC0F4E" w:rsidP="00360CB1">
            <w:pPr>
              <w:pStyle w:val="TableText0"/>
              <w:keepNext w:val="0"/>
              <w:widowControl w:val="0"/>
              <w:jc w:val="center"/>
            </w:pPr>
            <w:r w:rsidRPr="009C3CBE">
              <w:rPr>
                <w:b/>
                <w:bCs w:val="0"/>
              </w:rPr>
              <w:t>(0.02, 0.07)</w:t>
            </w:r>
          </w:p>
        </w:tc>
      </w:tr>
      <w:tr w:rsidR="00AC0F4E" w:rsidRPr="009A3AE9" w14:paraId="22B0259B" w14:textId="24142447" w:rsidTr="004007D2">
        <w:trPr>
          <w:cantSplit/>
          <w:jc w:val="center"/>
        </w:trPr>
        <w:tc>
          <w:tcPr>
            <w:tcW w:w="1177" w:type="pct"/>
            <w:vAlign w:val="center"/>
          </w:tcPr>
          <w:p w14:paraId="4FB0553D" w14:textId="77777777" w:rsidR="00AC0F4E" w:rsidRPr="009C3CBE" w:rsidRDefault="00AC0F4E" w:rsidP="00360CB1">
            <w:pPr>
              <w:pStyle w:val="TableText0"/>
              <w:keepNext w:val="0"/>
              <w:widowControl w:val="0"/>
            </w:pPr>
            <w:r w:rsidRPr="00F41B81">
              <w:t>AE leading to death</w:t>
            </w:r>
          </w:p>
        </w:tc>
        <w:tc>
          <w:tcPr>
            <w:tcW w:w="955" w:type="pct"/>
            <w:vAlign w:val="center"/>
          </w:tcPr>
          <w:p w14:paraId="3AC2EE36" w14:textId="77777777" w:rsidR="00AC0F4E" w:rsidRPr="009C3CBE" w:rsidRDefault="00AC0F4E" w:rsidP="00360CB1">
            <w:pPr>
              <w:pStyle w:val="TableText0"/>
              <w:keepNext w:val="0"/>
              <w:widowControl w:val="0"/>
              <w:jc w:val="center"/>
            </w:pPr>
            <w:r w:rsidRPr="009C3CBE">
              <w:t>6/370 (1.62%)</w:t>
            </w:r>
          </w:p>
        </w:tc>
        <w:tc>
          <w:tcPr>
            <w:tcW w:w="956" w:type="pct"/>
            <w:vAlign w:val="center"/>
          </w:tcPr>
          <w:p w14:paraId="63395A6B" w14:textId="77777777" w:rsidR="00AC0F4E" w:rsidRPr="009C3CBE" w:rsidRDefault="00AC0F4E" w:rsidP="00360CB1">
            <w:pPr>
              <w:pStyle w:val="TableText0"/>
              <w:keepNext w:val="0"/>
              <w:widowControl w:val="0"/>
              <w:jc w:val="center"/>
            </w:pPr>
            <w:r w:rsidRPr="009C3CBE">
              <w:t>8/379 (2.11%)</w:t>
            </w:r>
          </w:p>
        </w:tc>
        <w:tc>
          <w:tcPr>
            <w:tcW w:w="956" w:type="pct"/>
            <w:vAlign w:val="center"/>
          </w:tcPr>
          <w:p w14:paraId="22EFBA8F" w14:textId="77777777" w:rsidR="00AC0F4E" w:rsidRPr="009C3CBE" w:rsidRDefault="00AC0F4E" w:rsidP="00360CB1">
            <w:pPr>
              <w:pStyle w:val="TableText0"/>
              <w:keepNext w:val="0"/>
              <w:widowControl w:val="0"/>
              <w:jc w:val="center"/>
            </w:pPr>
            <w:r w:rsidRPr="009C3CBE">
              <w:t xml:space="preserve">0.76 </w:t>
            </w:r>
          </w:p>
          <w:p w14:paraId="2A4E9BAE" w14:textId="041F6BF5" w:rsidR="00AC0F4E" w:rsidRPr="009C3CBE" w:rsidRDefault="00AC0F4E" w:rsidP="00360CB1">
            <w:pPr>
              <w:pStyle w:val="TableText0"/>
              <w:keepNext w:val="0"/>
              <w:widowControl w:val="0"/>
              <w:jc w:val="center"/>
            </w:pPr>
            <w:r w:rsidRPr="009C3CBE">
              <w:t>(0.26, 2.22)</w:t>
            </w:r>
          </w:p>
        </w:tc>
        <w:tc>
          <w:tcPr>
            <w:tcW w:w="956" w:type="pct"/>
            <w:vAlign w:val="center"/>
          </w:tcPr>
          <w:p w14:paraId="035B52D9" w14:textId="77777777" w:rsidR="00AC0F4E" w:rsidRPr="009C3CBE" w:rsidRDefault="00AC0F4E" w:rsidP="00360CB1">
            <w:pPr>
              <w:pStyle w:val="TableText0"/>
              <w:keepNext w:val="0"/>
              <w:widowControl w:val="0"/>
              <w:jc w:val="center"/>
            </w:pPr>
            <w:r w:rsidRPr="009C3CBE">
              <w:t xml:space="preserve">0 </w:t>
            </w:r>
          </w:p>
          <w:p w14:paraId="24B72FC4" w14:textId="3A79C23D" w:rsidR="00AC0F4E" w:rsidRPr="00F41B81" w:rsidRDefault="00AC0F4E" w:rsidP="00360CB1">
            <w:pPr>
              <w:pStyle w:val="TableText0"/>
              <w:keepNext w:val="0"/>
              <w:widowControl w:val="0"/>
              <w:jc w:val="center"/>
            </w:pPr>
            <w:r w:rsidRPr="009C3CBE">
              <w:t>(-0.02, 0.01)</w:t>
            </w:r>
          </w:p>
        </w:tc>
      </w:tr>
      <w:tr w:rsidR="00AC0F4E" w:rsidRPr="009A3AE9" w14:paraId="71BE6121" w14:textId="55ED1CC4" w:rsidTr="004007D2">
        <w:trPr>
          <w:cantSplit/>
          <w:jc w:val="center"/>
        </w:trPr>
        <w:tc>
          <w:tcPr>
            <w:tcW w:w="1177" w:type="pct"/>
            <w:vAlign w:val="center"/>
          </w:tcPr>
          <w:p w14:paraId="5A9F7603" w14:textId="77777777" w:rsidR="00AC0F4E" w:rsidRPr="009A3AE9" w:rsidRDefault="00AC0F4E" w:rsidP="00360CB1">
            <w:pPr>
              <w:pStyle w:val="In-tableHeading"/>
              <w:keepNext w:val="0"/>
              <w:widowControl w:val="0"/>
              <w:rPr>
                <w:lang w:val="en-AU"/>
              </w:rPr>
            </w:pPr>
            <w:r w:rsidRPr="009A3AE9">
              <w:rPr>
                <w:lang w:val="en-AU"/>
              </w:rPr>
              <w:t>ACCORD11/PRODIGE4</w:t>
            </w:r>
          </w:p>
        </w:tc>
        <w:tc>
          <w:tcPr>
            <w:tcW w:w="955" w:type="pct"/>
            <w:vAlign w:val="center"/>
          </w:tcPr>
          <w:p w14:paraId="327F2E9A" w14:textId="77777777" w:rsidR="00AC0F4E" w:rsidRPr="009A3AE9" w:rsidRDefault="00AC0F4E" w:rsidP="00360CB1">
            <w:pPr>
              <w:pStyle w:val="In-tableHeading"/>
              <w:keepNext w:val="0"/>
              <w:widowControl w:val="0"/>
              <w:jc w:val="center"/>
              <w:rPr>
                <w:lang w:val="en-AU"/>
              </w:rPr>
            </w:pPr>
            <w:r w:rsidRPr="009A3AE9">
              <w:rPr>
                <w:lang w:val="en-AU"/>
              </w:rPr>
              <w:t>FOLFIRINOX</w:t>
            </w:r>
          </w:p>
          <w:p w14:paraId="542B97CB" w14:textId="77777777" w:rsidR="00AC0F4E" w:rsidRPr="009A3AE9" w:rsidRDefault="00AC0F4E" w:rsidP="00360CB1">
            <w:pPr>
              <w:pStyle w:val="In-tableHeading"/>
              <w:keepNext w:val="0"/>
              <w:widowControl w:val="0"/>
              <w:jc w:val="center"/>
              <w:rPr>
                <w:lang w:val="en-AU"/>
              </w:rPr>
            </w:pPr>
            <w:r w:rsidRPr="009A3AE9">
              <w:rPr>
                <w:lang w:val="en-AU"/>
              </w:rPr>
              <w:t>n/N (%)</w:t>
            </w:r>
          </w:p>
        </w:tc>
        <w:tc>
          <w:tcPr>
            <w:tcW w:w="956" w:type="pct"/>
            <w:vAlign w:val="center"/>
          </w:tcPr>
          <w:p w14:paraId="276B3C63" w14:textId="77777777" w:rsidR="00AC0F4E" w:rsidRPr="009A3AE9" w:rsidRDefault="00AC0F4E" w:rsidP="00360CB1">
            <w:pPr>
              <w:pStyle w:val="In-tableHeading"/>
              <w:keepNext w:val="0"/>
              <w:widowControl w:val="0"/>
              <w:jc w:val="center"/>
              <w:rPr>
                <w:lang w:val="en-AU"/>
              </w:rPr>
            </w:pPr>
            <w:r w:rsidRPr="009A3AE9">
              <w:rPr>
                <w:lang w:val="en-AU"/>
              </w:rPr>
              <w:t>Gem</w:t>
            </w:r>
          </w:p>
          <w:p w14:paraId="57F85C2F" w14:textId="77777777" w:rsidR="00AC0F4E" w:rsidRPr="009A3AE9" w:rsidRDefault="00AC0F4E" w:rsidP="00360CB1">
            <w:pPr>
              <w:pStyle w:val="In-tableHeading"/>
              <w:keepNext w:val="0"/>
              <w:widowControl w:val="0"/>
              <w:jc w:val="center"/>
              <w:rPr>
                <w:lang w:val="en-AU"/>
              </w:rPr>
            </w:pPr>
            <w:r w:rsidRPr="009A3AE9">
              <w:rPr>
                <w:lang w:val="en-AU"/>
              </w:rPr>
              <w:t>n/N (%)</w:t>
            </w:r>
          </w:p>
        </w:tc>
        <w:tc>
          <w:tcPr>
            <w:tcW w:w="956" w:type="pct"/>
            <w:vAlign w:val="center"/>
          </w:tcPr>
          <w:p w14:paraId="4A701ADC" w14:textId="77777777" w:rsidR="00AC0F4E" w:rsidRPr="009A3AE9" w:rsidRDefault="00AC0F4E" w:rsidP="00360CB1">
            <w:pPr>
              <w:pStyle w:val="In-tableHeading"/>
              <w:keepNext w:val="0"/>
              <w:widowControl w:val="0"/>
              <w:jc w:val="center"/>
              <w:rPr>
                <w:lang w:val="en-AU"/>
              </w:rPr>
            </w:pPr>
            <w:r w:rsidRPr="009A3AE9">
              <w:rPr>
                <w:lang w:val="en-AU"/>
              </w:rPr>
              <w:t xml:space="preserve">OR </w:t>
            </w:r>
          </w:p>
          <w:p w14:paraId="6DF55615" w14:textId="38F0F89E" w:rsidR="00AC0F4E" w:rsidRPr="009A3AE9" w:rsidRDefault="00AC0F4E" w:rsidP="00360CB1">
            <w:pPr>
              <w:pStyle w:val="In-tableHeading"/>
              <w:keepNext w:val="0"/>
              <w:widowControl w:val="0"/>
              <w:jc w:val="center"/>
              <w:rPr>
                <w:lang w:val="en-AU"/>
              </w:rPr>
            </w:pPr>
            <w:r w:rsidRPr="009A3AE9">
              <w:rPr>
                <w:lang w:val="en-AU"/>
              </w:rPr>
              <w:t>(95% CI)</w:t>
            </w:r>
            <w:r w:rsidRPr="009A3AE9">
              <w:rPr>
                <w:vertAlign w:val="superscript"/>
                <w:lang w:val="en-AU"/>
              </w:rPr>
              <w:t>a</w:t>
            </w:r>
          </w:p>
        </w:tc>
        <w:tc>
          <w:tcPr>
            <w:tcW w:w="956" w:type="pct"/>
            <w:vAlign w:val="center"/>
          </w:tcPr>
          <w:p w14:paraId="07F70896" w14:textId="77777777" w:rsidR="00AC0F4E" w:rsidRPr="009A3AE9" w:rsidRDefault="00AC0F4E" w:rsidP="00360CB1">
            <w:pPr>
              <w:pStyle w:val="In-tableHeading"/>
              <w:keepNext w:val="0"/>
              <w:widowControl w:val="0"/>
              <w:jc w:val="center"/>
              <w:rPr>
                <w:lang w:val="en-AU"/>
              </w:rPr>
            </w:pPr>
            <w:r w:rsidRPr="009A3AE9">
              <w:rPr>
                <w:lang w:val="en-AU"/>
              </w:rPr>
              <w:t xml:space="preserve">RD </w:t>
            </w:r>
          </w:p>
          <w:p w14:paraId="77F449C1" w14:textId="0F7EA217" w:rsidR="00AC0F4E" w:rsidRPr="009A3AE9" w:rsidRDefault="00AC0F4E" w:rsidP="00360CB1">
            <w:pPr>
              <w:pStyle w:val="In-tableHeading"/>
              <w:keepNext w:val="0"/>
              <w:widowControl w:val="0"/>
              <w:jc w:val="center"/>
              <w:rPr>
                <w:lang w:val="en-AU"/>
              </w:rPr>
            </w:pPr>
            <w:r w:rsidRPr="009A3AE9">
              <w:rPr>
                <w:lang w:val="en-AU"/>
              </w:rPr>
              <w:t>(95% CI)</w:t>
            </w:r>
            <w:r w:rsidRPr="009A3AE9">
              <w:rPr>
                <w:vertAlign w:val="superscript"/>
                <w:lang w:val="en-AU"/>
              </w:rPr>
              <w:t>a</w:t>
            </w:r>
          </w:p>
        </w:tc>
      </w:tr>
      <w:tr w:rsidR="00AC0F4E" w:rsidRPr="009A3AE9" w14:paraId="6417E211" w14:textId="6EEB9F60" w:rsidTr="004007D2">
        <w:trPr>
          <w:cantSplit/>
          <w:jc w:val="center"/>
        </w:trPr>
        <w:tc>
          <w:tcPr>
            <w:tcW w:w="1177" w:type="pct"/>
            <w:vAlign w:val="center"/>
          </w:tcPr>
          <w:p w14:paraId="2FA11E1C" w14:textId="77777777" w:rsidR="00AC0F4E" w:rsidRPr="009A3AE9" w:rsidRDefault="00AC0F4E" w:rsidP="00360CB1">
            <w:pPr>
              <w:pStyle w:val="TableText0"/>
              <w:keepNext w:val="0"/>
              <w:widowControl w:val="0"/>
            </w:pPr>
            <w:r w:rsidRPr="009A3AE9">
              <w:t>Grade ≥3 Neutropenia</w:t>
            </w:r>
          </w:p>
        </w:tc>
        <w:tc>
          <w:tcPr>
            <w:tcW w:w="955" w:type="pct"/>
            <w:vAlign w:val="center"/>
          </w:tcPr>
          <w:p w14:paraId="530CDA08" w14:textId="77777777" w:rsidR="00AC0F4E" w:rsidRPr="009A3AE9" w:rsidRDefault="00AC0F4E" w:rsidP="00360CB1">
            <w:pPr>
              <w:pStyle w:val="TableText0"/>
              <w:keepNext w:val="0"/>
              <w:widowControl w:val="0"/>
              <w:jc w:val="center"/>
            </w:pPr>
            <w:r w:rsidRPr="009A3AE9">
              <w:t>75/164 (45.73%)</w:t>
            </w:r>
          </w:p>
        </w:tc>
        <w:tc>
          <w:tcPr>
            <w:tcW w:w="956" w:type="pct"/>
            <w:vAlign w:val="center"/>
          </w:tcPr>
          <w:p w14:paraId="2F155826" w14:textId="77777777" w:rsidR="00AC0F4E" w:rsidRPr="009A3AE9" w:rsidRDefault="00AC0F4E" w:rsidP="00360CB1">
            <w:pPr>
              <w:pStyle w:val="TableText0"/>
              <w:keepNext w:val="0"/>
              <w:widowControl w:val="0"/>
              <w:jc w:val="center"/>
            </w:pPr>
            <w:r w:rsidRPr="009A3AE9">
              <w:t>35/167 (20.96%)</w:t>
            </w:r>
          </w:p>
        </w:tc>
        <w:tc>
          <w:tcPr>
            <w:tcW w:w="956" w:type="pct"/>
            <w:vAlign w:val="center"/>
          </w:tcPr>
          <w:p w14:paraId="73249241" w14:textId="77777777" w:rsidR="00AC0F4E" w:rsidRPr="009A3AE9" w:rsidRDefault="00AC0F4E" w:rsidP="00360CB1">
            <w:pPr>
              <w:pStyle w:val="TableText0"/>
              <w:keepNext w:val="0"/>
              <w:widowControl w:val="0"/>
              <w:jc w:val="center"/>
              <w:rPr>
                <w:b/>
                <w:bCs w:val="0"/>
              </w:rPr>
            </w:pPr>
            <w:r w:rsidRPr="009A3AE9">
              <w:rPr>
                <w:b/>
                <w:bCs w:val="0"/>
              </w:rPr>
              <w:t xml:space="preserve">3.18 </w:t>
            </w:r>
          </w:p>
          <w:p w14:paraId="60E36B37" w14:textId="1B2C9F20" w:rsidR="00AC0F4E" w:rsidRPr="009A3AE9" w:rsidRDefault="00AC0F4E" w:rsidP="00360CB1">
            <w:pPr>
              <w:pStyle w:val="TableText0"/>
              <w:keepNext w:val="0"/>
              <w:widowControl w:val="0"/>
              <w:jc w:val="center"/>
            </w:pPr>
            <w:r w:rsidRPr="009A3AE9">
              <w:rPr>
                <w:b/>
                <w:bCs w:val="0"/>
              </w:rPr>
              <w:t>(1.96, 5.15)</w:t>
            </w:r>
          </w:p>
        </w:tc>
        <w:tc>
          <w:tcPr>
            <w:tcW w:w="956" w:type="pct"/>
            <w:vAlign w:val="center"/>
          </w:tcPr>
          <w:p w14:paraId="3D224342" w14:textId="77777777" w:rsidR="00AC0F4E" w:rsidRPr="009A3AE9" w:rsidRDefault="00AC0F4E" w:rsidP="00360CB1">
            <w:pPr>
              <w:pStyle w:val="TableText0"/>
              <w:keepNext w:val="0"/>
              <w:widowControl w:val="0"/>
              <w:jc w:val="center"/>
              <w:rPr>
                <w:b/>
                <w:bCs w:val="0"/>
              </w:rPr>
            </w:pPr>
            <w:r w:rsidRPr="009A3AE9">
              <w:rPr>
                <w:b/>
                <w:bCs w:val="0"/>
              </w:rPr>
              <w:t xml:space="preserve">0.25 </w:t>
            </w:r>
          </w:p>
          <w:p w14:paraId="0F950CC7" w14:textId="7029A7D6" w:rsidR="00AC0F4E" w:rsidRPr="009A3AE9" w:rsidRDefault="00AC0F4E" w:rsidP="00360CB1">
            <w:pPr>
              <w:pStyle w:val="TableText0"/>
              <w:keepNext w:val="0"/>
              <w:widowControl w:val="0"/>
              <w:jc w:val="center"/>
            </w:pPr>
            <w:r w:rsidRPr="009A3AE9">
              <w:rPr>
                <w:b/>
                <w:bCs w:val="0"/>
              </w:rPr>
              <w:t>(0.15, 0.35)</w:t>
            </w:r>
          </w:p>
        </w:tc>
      </w:tr>
      <w:tr w:rsidR="00AC0F4E" w:rsidRPr="009A3AE9" w14:paraId="4BB52189" w14:textId="355AAD0A" w:rsidTr="004007D2">
        <w:trPr>
          <w:cantSplit/>
          <w:jc w:val="center"/>
        </w:trPr>
        <w:tc>
          <w:tcPr>
            <w:tcW w:w="1177" w:type="pct"/>
            <w:vAlign w:val="center"/>
          </w:tcPr>
          <w:p w14:paraId="034893BA" w14:textId="77777777" w:rsidR="00AC0F4E" w:rsidRPr="009A3AE9" w:rsidRDefault="00AC0F4E" w:rsidP="00360CB1">
            <w:pPr>
              <w:pStyle w:val="TableText0"/>
              <w:keepNext w:val="0"/>
              <w:widowControl w:val="0"/>
            </w:pPr>
            <w:r w:rsidRPr="009A3AE9">
              <w:t>Grade ≥3 Thrombocytopenia</w:t>
            </w:r>
          </w:p>
        </w:tc>
        <w:tc>
          <w:tcPr>
            <w:tcW w:w="955" w:type="pct"/>
            <w:vAlign w:val="center"/>
          </w:tcPr>
          <w:p w14:paraId="1257E91E" w14:textId="77777777" w:rsidR="00AC0F4E" w:rsidRPr="009A3AE9" w:rsidRDefault="00AC0F4E" w:rsidP="00360CB1">
            <w:pPr>
              <w:pStyle w:val="TableText0"/>
              <w:keepNext w:val="0"/>
              <w:widowControl w:val="0"/>
              <w:jc w:val="center"/>
            </w:pPr>
            <w:r w:rsidRPr="009A3AE9">
              <w:t>15/165 (9.09%)</w:t>
            </w:r>
          </w:p>
        </w:tc>
        <w:tc>
          <w:tcPr>
            <w:tcW w:w="956" w:type="pct"/>
            <w:vAlign w:val="center"/>
          </w:tcPr>
          <w:p w14:paraId="5196CD43" w14:textId="77777777" w:rsidR="00AC0F4E" w:rsidRPr="009A3AE9" w:rsidRDefault="00AC0F4E" w:rsidP="00360CB1">
            <w:pPr>
              <w:pStyle w:val="TableText0"/>
              <w:keepNext w:val="0"/>
              <w:widowControl w:val="0"/>
              <w:jc w:val="center"/>
            </w:pPr>
            <w:r w:rsidRPr="009A3AE9">
              <w:t>6/168 (3.57%)</w:t>
            </w:r>
          </w:p>
        </w:tc>
        <w:tc>
          <w:tcPr>
            <w:tcW w:w="956" w:type="pct"/>
            <w:vAlign w:val="center"/>
          </w:tcPr>
          <w:p w14:paraId="19B24E9A" w14:textId="77777777" w:rsidR="00AC0F4E" w:rsidRPr="009A3AE9" w:rsidRDefault="00AC0F4E" w:rsidP="00360CB1">
            <w:pPr>
              <w:pStyle w:val="TableText0"/>
              <w:keepNext w:val="0"/>
              <w:widowControl w:val="0"/>
              <w:jc w:val="center"/>
              <w:rPr>
                <w:b/>
                <w:bCs w:val="0"/>
              </w:rPr>
            </w:pPr>
            <w:r w:rsidRPr="009A3AE9">
              <w:rPr>
                <w:b/>
                <w:bCs w:val="0"/>
              </w:rPr>
              <w:t xml:space="preserve">2.7 </w:t>
            </w:r>
          </w:p>
          <w:p w14:paraId="214D5803" w14:textId="45CAC2A3" w:rsidR="00AC0F4E" w:rsidRPr="009A3AE9" w:rsidRDefault="00AC0F4E" w:rsidP="00360CB1">
            <w:pPr>
              <w:pStyle w:val="TableText0"/>
              <w:keepNext w:val="0"/>
              <w:widowControl w:val="0"/>
              <w:jc w:val="center"/>
            </w:pPr>
            <w:r w:rsidRPr="009A3AE9">
              <w:rPr>
                <w:b/>
                <w:bCs w:val="0"/>
              </w:rPr>
              <w:t>(1.02, 7.14)</w:t>
            </w:r>
          </w:p>
        </w:tc>
        <w:tc>
          <w:tcPr>
            <w:tcW w:w="956" w:type="pct"/>
            <w:vAlign w:val="center"/>
          </w:tcPr>
          <w:p w14:paraId="6C80A821" w14:textId="77777777" w:rsidR="00AC0F4E" w:rsidRPr="009A3AE9" w:rsidRDefault="00AC0F4E" w:rsidP="00360CB1">
            <w:pPr>
              <w:pStyle w:val="TableText0"/>
              <w:keepNext w:val="0"/>
              <w:widowControl w:val="0"/>
              <w:jc w:val="center"/>
              <w:rPr>
                <w:b/>
                <w:bCs w:val="0"/>
              </w:rPr>
            </w:pPr>
            <w:r w:rsidRPr="009A3AE9">
              <w:rPr>
                <w:b/>
                <w:bCs w:val="0"/>
              </w:rPr>
              <w:t xml:space="preserve">0.06 </w:t>
            </w:r>
          </w:p>
          <w:p w14:paraId="2F36284F" w14:textId="14F38CD0" w:rsidR="00AC0F4E" w:rsidRPr="009A3AE9" w:rsidRDefault="00AC0F4E" w:rsidP="00360CB1">
            <w:pPr>
              <w:pStyle w:val="TableText0"/>
              <w:keepNext w:val="0"/>
              <w:widowControl w:val="0"/>
              <w:jc w:val="center"/>
            </w:pPr>
            <w:r w:rsidRPr="009A3AE9">
              <w:rPr>
                <w:b/>
                <w:bCs w:val="0"/>
              </w:rPr>
              <w:t>(0, 0.11)</w:t>
            </w:r>
          </w:p>
        </w:tc>
      </w:tr>
      <w:tr w:rsidR="00AC0F4E" w:rsidRPr="009A3AE9" w14:paraId="12DDF5B7" w14:textId="3124F52E" w:rsidTr="004007D2">
        <w:trPr>
          <w:cantSplit/>
          <w:jc w:val="center"/>
        </w:trPr>
        <w:tc>
          <w:tcPr>
            <w:tcW w:w="1177" w:type="pct"/>
            <w:vAlign w:val="center"/>
          </w:tcPr>
          <w:p w14:paraId="7ED45F81" w14:textId="77777777" w:rsidR="00AC0F4E" w:rsidRPr="009A3AE9" w:rsidRDefault="00AC0F4E" w:rsidP="00360CB1">
            <w:pPr>
              <w:pStyle w:val="TableText0"/>
              <w:keepNext w:val="0"/>
              <w:widowControl w:val="0"/>
            </w:pPr>
            <w:r w:rsidRPr="009A3AE9">
              <w:t>Grade ≥3 Anaemia</w:t>
            </w:r>
          </w:p>
        </w:tc>
        <w:tc>
          <w:tcPr>
            <w:tcW w:w="955" w:type="pct"/>
            <w:vAlign w:val="center"/>
          </w:tcPr>
          <w:p w14:paraId="3460D6CB" w14:textId="77777777" w:rsidR="00AC0F4E" w:rsidRPr="009A3AE9" w:rsidRDefault="00AC0F4E" w:rsidP="00360CB1">
            <w:pPr>
              <w:pStyle w:val="TableText0"/>
              <w:keepNext w:val="0"/>
              <w:widowControl w:val="0"/>
              <w:jc w:val="center"/>
            </w:pPr>
            <w:r w:rsidRPr="009A3AE9">
              <w:t>13/166 (7.83%)</w:t>
            </w:r>
          </w:p>
        </w:tc>
        <w:tc>
          <w:tcPr>
            <w:tcW w:w="956" w:type="pct"/>
            <w:vAlign w:val="center"/>
          </w:tcPr>
          <w:p w14:paraId="021CF833" w14:textId="77777777" w:rsidR="00AC0F4E" w:rsidRPr="009A3AE9" w:rsidRDefault="00AC0F4E" w:rsidP="00360CB1">
            <w:pPr>
              <w:pStyle w:val="TableText0"/>
              <w:keepNext w:val="0"/>
              <w:widowControl w:val="0"/>
              <w:jc w:val="center"/>
            </w:pPr>
            <w:r w:rsidRPr="009A3AE9">
              <w:t>10/168 (5.95%)</w:t>
            </w:r>
          </w:p>
        </w:tc>
        <w:tc>
          <w:tcPr>
            <w:tcW w:w="956" w:type="pct"/>
            <w:vAlign w:val="center"/>
          </w:tcPr>
          <w:p w14:paraId="2ACE5558" w14:textId="77777777" w:rsidR="00AC0F4E" w:rsidRPr="009A3AE9" w:rsidRDefault="00AC0F4E" w:rsidP="00360CB1">
            <w:pPr>
              <w:pStyle w:val="TableText0"/>
              <w:keepNext w:val="0"/>
              <w:widowControl w:val="0"/>
              <w:jc w:val="center"/>
            </w:pPr>
            <w:r w:rsidRPr="009A3AE9">
              <w:t xml:space="preserve">1.34 </w:t>
            </w:r>
          </w:p>
          <w:p w14:paraId="2C6A76D3" w14:textId="2F7A311B" w:rsidR="00AC0F4E" w:rsidRPr="009A3AE9" w:rsidRDefault="00AC0F4E" w:rsidP="00360CB1">
            <w:pPr>
              <w:pStyle w:val="TableText0"/>
              <w:keepNext w:val="0"/>
              <w:widowControl w:val="0"/>
              <w:jc w:val="center"/>
            </w:pPr>
            <w:r w:rsidRPr="009A3AE9">
              <w:t>(0.57, 3.15)</w:t>
            </w:r>
          </w:p>
        </w:tc>
        <w:tc>
          <w:tcPr>
            <w:tcW w:w="956" w:type="pct"/>
            <w:vAlign w:val="center"/>
          </w:tcPr>
          <w:p w14:paraId="6E1FB8D7" w14:textId="77777777" w:rsidR="00AC0F4E" w:rsidRPr="009A3AE9" w:rsidRDefault="00AC0F4E" w:rsidP="00360CB1">
            <w:pPr>
              <w:pStyle w:val="TableText0"/>
              <w:keepNext w:val="0"/>
              <w:widowControl w:val="0"/>
              <w:jc w:val="center"/>
            </w:pPr>
            <w:r w:rsidRPr="009A3AE9">
              <w:t xml:space="preserve">0.02 </w:t>
            </w:r>
          </w:p>
          <w:p w14:paraId="0B5D3C46" w14:textId="2DFA8F8B" w:rsidR="00AC0F4E" w:rsidRPr="009A3AE9" w:rsidRDefault="00AC0F4E" w:rsidP="00360CB1">
            <w:pPr>
              <w:pStyle w:val="TableText0"/>
              <w:keepNext w:val="0"/>
              <w:widowControl w:val="0"/>
              <w:jc w:val="center"/>
            </w:pPr>
            <w:r w:rsidRPr="009A3AE9">
              <w:t>(-0.04, 0.07)</w:t>
            </w:r>
          </w:p>
        </w:tc>
      </w:tr>
      <w:tr w:rsidR="00AC0F4E" w:rsidRPr="009A3AE9" w14:paraId="7DBD2C12" w14:textId="44C4DDE1" w:rsidTr="004007D2">
        <w:trPr>
          <w:cantSplit/>
          <w:jc w:val="center"/>
        </w:trPr>
        <w:tc>
          <w:tcPr>
            <w:tcW w:w="1177" w:type="pct"/>
            <w:vAlign w:val="center"/>
          </w:tcPr>
          <w:p w14:paraId="68282E5E" w14:textId="77777777" w:rsidR="00AC0F4E" w:rsidRPr="009A3AE9" w:rsidRDefault="00AC0F4E" w:rsidP="00360CB1">
            <w:pPr>
              <w:pStyle w:val="TableText0"/>
              <w:keepNext w:val="0"/>
              <w:widowControl w:val="0"/>
            </w:pPr>
            <w:r w:rsidRPr="009A3AE9">
              <w:t>Grade ≥3 Febrile neutropenia</w:t>
            </w:r>
          </w:p>
        </w:tc>
        <w:tc>
          <w:tcPr>
            <w:tcW w:w="955" w:type="pct"/>
            <w:vAlign w:val="center"/>
          </w:tcPr>
          <w:p w14:paraId="6887B186" w14:textId="77777777" w:rsidR="00AC0F4E" w:rsidRPr="009A3AE9" w:rsidRDefault="00AC0F4E" w:rsidP="00360CB1">
            <w:pPr>
              <w:pStyle w:val="TableText0"/>
              <w:keepNext w:val="0"/>
              <w:widowControl w:val="0"/>
              <w:jc w:val="center"/>
            </w:pPr>
            <w:r w:rsidRPr="009A3AE9">
              <w:t>9/166 (5.42%)</w:t>
            </w:r>
          </w:p>
        </w:tc>
        <w:tc>
          <w:tcPr>
            <w:tcW w:w="956" w:type="pct"/>
            <w:vAlign w:val="center"/>
          </w:tcPr>
          <w:p w14:paraId="38B258AB" w14:textId="77777777" w:rsidR="00AC0F4E" w:rsidRPr="009A3AE9" w:rsidRDefault="00AC0F4E" w:rsidP="00360CB1">
            <w:pPr>
              <w:pStyle w:val="TableText0"/>
              <w:keepNext w:val="0"/>
              <w:widowControl w:val="0"/>
              <w:jc w:val="center"/>
            </w:pPr>
            <w:r w:rsidRPr="009A3AE9">
              <w:t>2/169 (1.18%)</w:t>
            </w:r>
          </w:p>
        </w:tc>
        <w:tc>
          <w:tcPr>
            <w:tcW w:w="956" w:type="pct"/>
            <w:vAlign w:val="center"/>
          </w:tcPr>
          <w:p w14:paraId="55FF132F" w14:textId="77777777" w:rsidR="00AC0F4E" w:rsidRPr="009A3AE9" w:rsidRDefault="00AC0F4E" w:rsidP="00360CB1">
            <w:pPr>
              <w:pStyle w:val="TableText0"/>
              <w:keepNext w:val="0"/>
              <w:widowControl w:val="0"/>
              <w:jc w:val="center"/>
              <w:rPr>
                <w:b/>
                <w:bCs w:val="0"/>
              </w:rPr>
            </w:pPr>
            <w:r w:rsidRPr="009A3AE9">
              <w:rPr>
                <w:b/>
                <w:bCs w:val="0"/>
              </w:rPr>
              <w:t xml:space="preserve">4.79 </w:t>
            </w:r>
          </w:p>
          <w:p w14:paraId="2D005CAF" w14:textId="037FCE0C" w:rsidR="00AC0F4E" w:rsidRPr="009A3AE9" w:rsidRDefault="00AC0F4E" w:rsidP="00360CB1">
            <w:pPr>
              <w:pStyle w:val="TableText0"/>
              <w:keepNext w:val="0"/>
              <w:widowControl w:val="0"/>
              <w:jc w:val="center"/>
            </w:pPr>
            <w:r w:rsidRPr="009A3AE9">
              <w:rPr>
                <w:b/>
                <w:bCs w:val="0"/>
              </w:rPr>
              <w:t>(1.02, 22.5)</w:t>
            </w:r>
          </w:p>
        </w:tc>
        <w:tc>
          <w:tcPr>
            <w:tcW w:w="956" w:type="pct"/>
            <w:vAlign w:val="center"/>
          </w:tcPr>
          <w:p w14:paraId="1A364E86" w14:textId="77777777" w:rsidR="00AC0F4E" w:rsidRPr="009A3AE9" w:rsidRDefault="00AC0F4E" w:rsidP="00360CB1">
            <w:pPr>
              <w:pStyle w:val="TableText0"/>
              <w:keepNext w:val="0"/>
              <w:widowControl w:val="0"/>
              <w:jc w:val="center"/>
              <w:rPr>
                <w:b/>
                <w:bCs w:val="0"/>
              </w:rPr>
            </w:pPr>
            <w:r w:rsidRPr="009A3AE9">
              <w:rPr>
                <w:b/>
                <w:bCs w:val="0"/>
              </w:rPr>
              <w:t xml:space="preserve">0.04 </w:t>
            </w:r>
          </w:p>
          <w:p w14:paraId="01F060C6" w14:textId="638E7AD8" w:rsidR="00AC0F4E" w:rsidRPr="009A3AE9" w:rsidRDefault="00AC0F4E" w:rsidP="00360CB1">
            <w:pPr>
              <w:pStyle w:val="TableText0"/>
              <w:keepNext w:val="0"/>
              <w:widowControl w:val="0"/>
              <w:jc w:val="center"/>
            </w:pPr>
            <w:r w:rsidRPr="009A3AE9">
              <w:rPr>
                <w:b/>
                <w:bCs w:val="0"/>
              </w:rPr>
              <w:t>0, 0.08)</w:t>
            </w:r>
          </w:p>
        </w:tc>
      </w:tr>
      <w:tr w:rsidR="00AC0F4E" w:rsidRPr="009A3AE9" w14:paraId="5303E2DB" w14:textId="36F66EEB" w:rsidTr="004007D2">
        <w:trPr>
          <w:cantSplit/>
          <w:jc w:val="center"/>
        </w:trPr>
        <w:tc>
          <w:tcPr>
            <w:tcW w:w="1177" w:type="pct"/>
            <w:vAlign w:val="center"/>
          </w:tcPr>
          <w:p w14:paraId="5D50ABD2" w14:textId="77777777" w:rsidR="00AC0F4E" w:rsidRPr="009A3AE9" w:rsidRDefault="00AC0F4E" w:rsidP="00360CB1">
            <w:pPr>
              <w:pStyle w:val="TableText0"/>
              <w:keepNext w:val="0"/>
              <w:widowControl w:val="0"/>
            </w:pPr>
            <w:r w:rsidRPr="009A3AE9">
              <w:t>Grade ≥3 Fatigue</w:t>
            </w:r>
          </w:p>
        </w:tc>
        <w:tc>
          <w:tcPr>
            <w:tcW w:w="955" w:type="pct"/>
            <w:vAlign w:val="center"/>
          </w:tcPr>
          <w:p w14:paraId="7ADC7CD0" w14:textId="77777777" w:rsidR="00AC0F4E" w:rsidRPr="009A3AE9" w:rsidRDefault="00AC0F4E" w:rsidP="00360CB1">
            <w:pPr>
              <w:pStyle w:val="TableText0"/>
              <w:keepNext w:val="0"/>
              <w:widowControl w:val="0"/>
              <w:jc w:val="center"/>
            </w:pPr>
            <w:r w:rsidRPr="009A3AE9">
              <w:t>39/165 (23.64%)</w:t>
            </w:r>
          </w:p>
        </w:tc>
        <w:tc>
          <w:tcPr>
            <w:tcW w:w="956" w:type="pct"/>
            <w:vAlign w:val="center"/>
          </w:tcPr>
          <w:p w14:paraId="77AD3C7B" w14:textId="77777777" w:rsidR="00AC0F4E" w:rsidRPr="009A3AE9" w:rsidRDefault="00AC0F4E" w:rsidP="00360CB1">
            <w:pPr>
              <w:pStyle w:val="TableText0"/>
              <w:keepNext w:val="0"/>
              <w:widowControl w:val="0"/>
              <w:jc w:val="center"/>
            </w:pPr>
            <w:r w:rsidRPr="009A3AE9">
              <w:t>30/169 (17.75%)</w:t>
            </w:r>
          </w:p>
        </w:tc>
        <w:tc>
          <w:tcPr>
            <w:tcW w:w="956" w:type="pct"/>
            <w:vAlign w:val="center"/>
          </w:tcPr>
          <w:p w14:paraId="236864DB" w14:textId="77777777" w:rsidR="00AC0F4E" w:rsidRPr="009A3AE9" w:rsidRDefault="00AC0F4E" w:rsidP="00360CB1">
            <w:pPr>
              <w:pStyle w:val="TableText0"/>
              <w:keepNext w:val="0"/>
              <w:widowControl w:val="0"/>
              <w:jc w:val="center"/>
            </w:pPr>
            <w:r w:rsidRPr="009A3AE9">
              <w:t xml:space="preserve">1.43 </w:t>
            </w:r>
          </w:p>
          <w:p w14:paraId="4BF643E0" w14:textId="09F2741C" w:rsidR="00AC0F4E" w:rsidRPr="009A3AE9" w:rsidRDefault="00AC0F4E" w:rsidP="00360CB1">
            <w:pPr>
              <w:pStyle w:val="TableText0"/>
              <w:keepNext w:val="0"/>
              <w:widowControl w:val="0"/>
              <w:jc w:val="center"/>
            </w:pPr>
            <w:r w:rsidRPr="009A3AE9">
              <w:t>(0.84, 2.45)</w:t>
            </w:r>
          </w:p>
        </w:tc>
        <w:tc>
          <w:tcPr>
            <w:tcW w:w="956" w:type="pct"/>
            <w:vAlign w:val="center"/>
          </w:tcPr>
          <w:p w14:paraId="5820FCEA" w14:textId="77777777" w:rsidR="00AC0F4E" w:rsidRPr="009A3AE9" w:rsidRDefault="00AC0F4E" w:rsidP="00360CB1">
            <w:pPr>
              <w:pStyle w:val="TableText0"/>
              <w:keepNext w:val="0"/>
              <w:widowControl w:val="0"/>
              <w:jc w:val="center"/>
            </w:pPr>
            <w:r w:rsidRPr="009A3AE9">
              <w:t xml:space="preserve">0.06 </w:t>
            </w:r>
          </w:p>
          <w:p w14:paraId="4196D8B1" w14:textId="6AB965BC" w:rsidR="00AC0F4E" w:rsidRPr="009A3AE9" w:rsidRDefault="00AC0F4E" w:rsidP="00360CB1">
            <w:pPr>
              <w:pStyle w:val="TableText0"/>
              <w:keepNext w:val="0"/>
              <w:widowControl w:val="0"/>
              <w:jc w:val="center"/>
            </w:pPr>
            <w:r w:rsidRPr="009A3AE9">
              <w:t>(-0.03, 0.15)</w:t>
            </w:r>
          </w:p>
        </w:tc>
      </w:tr>
      <w:tr w:rsidR="00AC0F4E" w:rsidRPr="009A3AE9" w14:paraId="221BB9DA" w14:textId="71377262" w:rsidTr="004007D2">
        <w:trPr>
          <w:cantSplit/>
          <w:jc w:val="center"/>
        </w:trPr>
        <w:tc>
          <w:tcPr>
            <w:tcW w:w="1177" w:type="pct"/>
            <w:vAlign w:val="center"/>
          </w:tcPr>
          <w:p w14:paraId="5722BC41" w14:textId="77777777" w:rsidR="00AC0F4E" w:rsidRPr="009A3AE9" w:rsidRDefault="00AC0F4E" w:rsidP="00360CB1">
            <w:pPr>
              <w:pStyle w:val="TableText0"/>
              <w:keepNext w:val="0"/>
              <w:widowControl w:val="0"/>
            </w:pPr>
            <w:r w:rsidRPr="009A3AE9">
              <w:t>Grade ≥3 Diarrhoea</w:t>
            </w:r>
          </w:p>
        </w:tc>
        <w:tc>
          <w:tcPr>
            <w:tcW w:w="955" w:type="pct"/>
            <w:vAlign w:val="center"/>
          </w:tcPr>
          <w:p w14:paraId="6A9CFB81" w14:textId="77777777" w:rsidR="00AC0F4E" w:rsidRPr="009A3AE9" w:rsidRDefault="00AC0F4E" w:rsidP="00360CB1">
            <w:pPr>
              <w:pStyle w:val="TableText0"/>
              <w:keepNext w:val="0"/>
              <w:widowControl w:val="0"/>
              <w:jc w:val="center"/>
            </w:pPr>
            <w:r w:rsidRPr="009A3AE9">
              <w:t>21/165 (12.73%)</w:t>
            </w:r>
          </w:p>
        </w:tc>
        <w:tc>
          <w:tcPr>
            <w:tcW w:w="956" w:type="pct"/>
            <w:vAlign w:val="center"/>
          </w:tcPr>
          <w:p w14:paraId="2369614D" w14:textId="77777777" w:rsidR="00AC0F4E" w:rsidRPr="009A3AE9" w:rsidRDefault="00AC0F4E" w:rsidP="00360CB1">
            <w:pPr>
              <w:pStyle w:val="TableText0"/>
              <w:keepNext w:val="0"/>
              <w:widowControl w:val="0"/>
              <w:jc w:val="center"/>
            </w:pPr>
            <w:r w:rsidRPr="009A3AE9">
              <w:t>3/169 (1.78%)</w:t>
            </w:r>
          </w:p>
        </w:tc>
        <w:tc>
          <w:tcPr>
            <w:tcW w:w="956" w:type="pct"/>
            <w:vAlign w:val="center"/>
          </w:tcPr>
          <w:p w14:paraId="5CE9EE25" w14:textId="77777777" w:rsidR="00AC0F4E" w:rsidRPr="009A3AE9" w:rsidRDefault="00AC0F4E" w:rsidP="00360CB1">
            <w:pPr>
              <w:pStyle w:val="TableText0"/>
              <w:keepNext w:val="0"/>
              <w:widowControl w:val="0"/>
              <w:jc w:val="center"/>
              <w:rPr>
                <w:b/>
                <w:bCs w:val="0"/>
              </w:rPr>
            </w:pPr>
            <w:r w:rsidRPr="009A3AE9">
              <w:rPr>
                <w:b/>
                <w:bCs w:val="0"/>
              </w:rPr>
              <w:t xml:space="preserve">8.07 </w:t>
            </w:r>
          </w:p>
          <w:p w14:paraId="1CC68DDB" w14:textId="073773AE" w:rsidR="00AC0F4E" w:rsidRPr="009A3AE9" w:rsidRDefault="00AC0F4E" w:rsidP="00360CB1">
            <w:pPr>
              <w:pStyle w:val="TableText0"/>
              <w:keepNext w:val="0"/>
              <w:widowControl w:val="0"/>
              <w:jc w:val="center"/>
            </w:pPr>
            <w:r w:rsidRPr="009A3AE9">
              <w:rPr>
                <w:b/>
                <w:bCs w:val="0"/>
              </w:rPr>
              <w:t>(2.36, 27.61)</w:t>
            </w:r>
          </w:p>
        </w:tc>
        <w:tc>
          <w:tcPr>
            <w:tcW w:w="956" w:type="pct"/>
            <w:vAlign w:val="center"/>
          </w:tcPr>
          <w:p w14:paraId="6668748C" w14:textId="77777777" w:rsidR="00AC0F4E" w:rsidRPr="009A3AE9" w:rsidRDefault="00AC0F4E" w:rsidP="00360CB1">
            <w:pPr>
              <w:pStyle w:val="TableText0"/>
              <w:keepNext w:val="0"/>
              <w:widowControl w:val="0"/>
              <w:jc w:val="center"/>
              <w:rPr>
                <w:b/>
                <w:bCs w:val="0"/>
              </w:rPr>
            </w:pPr>
            <w:r w:rsidRPr="009A3AE9">
              <w:rPr>
                <w:b/>
                <w:bCs w:val="0"/>
              </w:rPr>
              <w:t xml:space="preserve">0.11 </w:t>
            </w:r>
          </w:p>
          <w:p w14:paraId="083CDDF5" w14:textId="2244FCC6" w:rsidR="00AC0F4E" w:rsidRPr="009A3AE9" w:rsidRDefault="00AC0F4E" w:rsidP="00360CB1">
            <w:pPr>
              <w:pStyle w:val="TableText0"/>
              <w:keepNext w:val="0"/>
              <w:widowControl w:val="0"/>
              <w:jc w:val="center"/>
            </w:pPr>
            <w:r w:rsidRPr="009A3AE9">
              <w:rPr>
                <w:b/>
                <w:bCs w:val="0"/>
              </w:rPr>
              <w:t>(0.05, 0.16)</w:t>
            </w:r>
          </w:p>
        </w:tc>
      </w:tr>
      <w:tr w:rsidR="00AC0F4E" w:rsidRPr="009A3AE9" w14:paraId="116F9627" w14:textId="73758D55" w:rsidTr="004007D2">
        <w:trPr>
          <w:cantSplit/>
          <w:jc w:val="center"/>
        </w:trPr>
        <w:tc>
          <w:tcPr>
            <w:tcW w:w="1177" w:type="pct"/>
            <w:vAlign w:val="center"/>
          </w:tcPr>
          <w:p w14:paraId="1CB59C5D" w14:textId="573739C2" w:rsidR="00AC0F4E" w:rsidRPr="009A3AE9" w:rsidRDefault="00AC0F4E" w:rsidP="00360CB1">
            <w:pPr>
              <w:pStyle w:val="TableText0"/>
              <w:keepNext w:val="0"/>
              <w:widowControl w:val="0"/>
            </w:pPr>
            <w:r w:rsidRPr="009A3AE9">
              <w:t xml:space="preserve">Grade ≥3 Peripheral neuropathy </w:t>
            </w:r>
          </w:p>
        </w:tc>
        <w:tc>
          <w:tcPr>
            <w:tcW w:w="955" w:type="pct"/>
            <w:vAlign w:val="center"/>
          </w:tcPr>
          <w:p w14:paraId="7E3C7027" w14:textId="77777777" w:rsidR="00AC0F4E" w:rsidRPr="009A3AE9" w:rsidRDefault="00AC0F4E" w:rsidP="00360CB1">
            <w:pPr>
              <w:pStyle w:val="TableText0"/>
              <w:keepNext w:val="0"/>
              <w:widowControl w:val="0"/>
              <w:jc w:val="center"/>
            </w:pPr>
            <w:r w:rsidRPr="009A3AE9">
              <w:t>15/166 (9.04%)</w:t>
            </w:r>
          </w:p>
        </w:tc>
        <w:tc>
          <w:tcPr>
            <w:tcW w:w="956" w:type="pct"/>
            <w:vAlign w:val="center"/>
          </w:tcPr>
          <w:p w14:paraId="6FA7763C" w14:textId="77777777" w:rsidR="00AC0F4E" w:rsidRPr="009A3AE9" w:rsidRDefault="00AC0F4E" w:rsidP="00360CB1">
            <w:pPr>
              <w:pStyle w:val="TableText0"/>
              <w:keepNext w:val="0"/>
              <w:widowControl w:val="0"/>
              <w:jc w:val="center"/>
            </w:pPr>
            <w:r w:rsidRPr="009A3AE9">
              <w:t>0.5/169 (0.30%)</w:t>
            </w:r>
          </w:p>
        </w:tc>
        <w:tc>
          <w:tcPr>
            <w:tcW w:w="956" w:type="pct"/>
            <w:vAlign w:val="center"/>
          </w:tcPr>
          <w:p w14:paraId="1EF322EE" w14:textId="77777777" w:rsidR="00AC0F4E" w:rsidRPr="009A3AE9" w:rsidRDefault="00AC0F4E" w:rsidP="00360CB1">
            <w:pPr>
              <w:pStyle w:val="TableText0"/>
              <w:keepNext w:val="0"/>
              <w:widowControl w:val="0"/>
              <w:jc w:val="center"/>
              <w:rPr>
                <w:b/>
                <w:bCs w:val="0"/>
              </w:rPr>
            </w:pPr>
            <w:r w:rsidRPr="009A3AE9">
              <w:rPr>
                <w:b/>
                <w:bCs w:val="0"/>
              </w:rPr>
              <w:t xml:space="preserve">33.48 </w:t>
            </w:r>
          </w:p>
          <w:p w14:paraId="066FD58F" w14:textId="79D20653" w:rsidR="00AC0F4E" w:rsidRPr="009A3AE9" w:rsidRDefault="00AC0F4E" w:rsidP="00360CB1">
            <w:pPr>
              <w:pStyle w:val="TableText0"/>
              <w:keepNext w:val="0"/>
              <w:widowControl w:val="0"/>
              <w:jc w:val="center"/>
            </w:pPr>
            <w:r w:rsidRPr="009A3AE9">
              <w:rPr>
                <w:b/>
                <w:bCs w:val="0"/>
              </w:rPr>
              <w:t>(1.98, 565.14)</w:t>
            </w:r>
          </w:p>
        </w:tc>
        <w:tc>
          <w:tcPr>
            <w:tcW w:w="956" w:type="pct"/>
            <w:vAlign w:val="center"/>
          </w:tcPr>
          <w:p w14:paraId="7FFC5416" w14:textId="77777777" w:rsidR="00AC0F4E" w:rsidRPr="009A3AE9" w:rsidRDefault="00AC0F4E" w:rsidP="00360CB1">
            <w:pPr>
              <w:pStyle w:val="TableText0"/>
              <w:keepNext w:val="0"/>
              <w:widowControl w:val="0"/>
              <w:jc w:val="center"/>
              <w:rPr>
                <w:b/>
                <w:bCs w:val="0"/>
              </w:rPr>
            </w:pPr>
            <w:r w:rsidRPr="009A3AE9">
              <w:rPr>
                <w:b/>
                <w:bCs w:val="0"/>
              </w:rPr>
              <w:t xml:space="preserve">0.09 </w:t>
            </w:r>
          </w:p>
          <w:p w14:paraId="0B6088DF" w14:textId="69890C94" w:rsidR="00AC0F4E" w:rsidRPr="009A3AE9" w:rsidRDefault="00AC0F4E" w:rsidP="00360CB1">
            <w:pPr>
              <w:pStyle w:val="TableText0"/>
              <w:keepNext w:val="0"/>
              <w:widowControl w:val="0"/>
              <w:jc w:val="center"/>
            </w:pPr>
            <w:r w:rsidRPr="009A3AE9">
              <w:rPr>
                <w:b/>
                <w:bCs w:val="0"/>
              </w:rPr>
              <w:t>(0.04, 0.13)</w:t>
            </w:r>
          </w:p>
        </w:tc>
      </w:tr>
      <w:tr w:rsidR="00AC0F4E" w:rsidRPr="009A3AE9" w14:paraId="13171911" w14:textId="315A1D65" w:rsidTr="004007D2">
        <w:trPr>
          <w:cantSplit/>
          <w:jc w:val="center"/>
        </w:trPr>
        <w:tc>
          <w:tcPr>
            <w:tcW w:w="1177" w:type="pct"/>
            <w:vAlign w:val="center"/>
          </w:tcPr>
          <w:p w14:paraId="00E0000F" w14:textId="77777777" w:rsidR="00AC0F4E" w:rsidRPr="009A3AE9" w:rsidRDefault="00AC0F4E" w:rsidP="00360CB1">
            <w:pPr>
              <w:pStyle w:val="TableText0"/>
              <w:keepNext w:val="0"/>
              <w:widowControl w:val="0"/>
            </w:pPr>
            <w:r w:rsidRPr="009A3AE9">
              <w:t>Grade ≥3 Vomiting</w:t>
            </w:r>
          </w:p>
        </w:tc>
        <w:tc>
          <w:tcPr>
            <w:tcW w:w="955" w:type="pct"/>
            <w:vAlign w:val="center"/>
          </w:tcPr>
          <w:p w14:paraId="2C6EE12B" w14:textId="77777777" w:rsidR="00AC0F4E" w:rsidRPr="009A3AE9" w:rsidRDefault="00AC0F4E" w:rsidP="00360CB1">
            <w:pPr>
              <w:pStyle w:val="TableText0"/>
              <w:keepNext w:val="0"/>
              <w:widowControl w:val="0"/>
              <w:jc w:val="center"/>
            </w:pPr>
            <w:r w:rsidRPr="009A3AE9">
              <w:t>24/166 (14.46%)</w:t>
            </w:r>
          </w:p>
        </w:tc>
        <w:tc>
          <w:tcPr>
            <w:tcW w:w="956" w:type="pct"/>
            <w:vAlign w:val="center"/>
          </w:tcPr>
          <w:p w14:paraId="34C0FE6C" w14:textId="77777777" w:rsidR="00AC0F4E" w:rsidRPr="009A3AE9" w:rsidRDefault="00AC0F4E" w:rsidP="00360CB1">
            <w:pPr>
              <w:pStyle w:val="TableText0"/>
              <w:keepNext w:val="0"/>
              <w:widowControl w:val="0"/>
              <w:jc w:val="center"/>
            </w:pPr>
            <w:r w:rsidRPr="009A3AE9">
              <w:t>14/169 (8.28%)</w:t>
            </w:r>
          </w:p>
        </w:tc>
        <w:tc>
          <w:tcPr>
            <w:tcW w:w="956" w:type="pct"/>
            <w:vAlign w:val="center"/>
          </w:tcPr>
          <w:p w14:paraId="023ED473" w14:textId="77777777" w:rsidR="00AC0F4E" w:rsidRPr="009A3AE9" w:rsidRDefault="00AC0F4E" w:rsidP="00360CB1">
            <w:pPr>
              <w:pStyle w:val="TableText0"/>
              <w:keepNext w:val="0"/>
              <w:widowControl w:val="0"/>
              <w:jc w:val="center"/>
            </w:pPr>
            <w:r w:rsidRPr="009A3AE9">
              <w:t>1.87</w:t>
            </w:r>
          </w:p>
          <w:p w14:paraId="6AED455E" w14:textId="6639FA54" w:rsidR="00AC0F4E" w:rsidRPr="009A3AE9" w:rsidRDefault="00AC0F4E" w:rsidP="00360CB1">
            <w:pPr>
              <w:pStyle w:val="TableText0"/>
              <w:keepNext w:val="0"/>
              <w:widowControl w:val="0"/>
              <w:jc w:val="center"/>
            </w:pPr>
            <w:r w:rsidRPr="009A3AE9">
              <w:t>(0.93, 3.76)</w:t>
            </w:r>
          </w:p>
        </w:tc>
        <w:tc>
          <w:tcPr>
            <w:tcW w:w="956" w:type="pct"/>
            <w:vAlign w:val="center"/>
          </w:tcPr>
          <w:p w14:paraId="6248314B" w14:textId="59454307" w:rsidR="00AC0F4E" w:rsidRPr="009A3AE9" w:rsidRDefault="00AC0F4E" w:rsidP="00360CB1">
            <w:pPr>
              <w:pStyle w:val="TableText0"/>
              <w:keepNext w:val="0"/>
              <w:widowControl w:val="0"/>
              <w:jc w:val="center"/>
            </w:pPr>
            <w:r w:rsidRPr="009A3AE9">
              <w:t xml:space="preserve">0.06 </w:t>
            </w:r>
          </w:p>
          <w:p w14:paraId="2B8B1E53" w14:textId="51294D91" w:rsidR="00AC0F4E" w:rsidRPr="009A3AE9" w:rsidRDefault="00AC0F4E" w:rsidP="00360CB1">
            <w:pPr>
              <w:pStyle w:val="TableText0"/>
              <w:keepNext w:val="0"/>
              <w:widowControl w:val="0"/>
              <w:jc w:val="center"/>
            </w:pPr>
            <w:r w:rsidRPr="009A3AE9">
              <w:t>(-0.01, 0.13)</w:t>
            </w:r>
          </w:p>
        </w:tc>
      </w:tr>
      <w:tr w:rsidR="00AC0F4E" w:rsidRPr="009A3AE9" w14:paraId="1B89B911" w14:textId="52C5478D" w:rsidTr="004007D2">
        <w:trPr>
          <w:cantSplit/>
          <w:jc w:val="center"/>
        </w:trPr>
        <w:tc>
          <w:tcPr>
            <w:tcW w:w="1177" w:type="pct"/>
            <w:vAlign w:val="center"/>
          </w:tcPr>
          <w:p w14:paraId="78295C84" w14:textId="77777777" w:rsidR="00AC0F4E" w:rsidRPr="009A3AE9" w:rsidRDefault="00AC0F4E" w:rsidP="00360CB1">
            <w:pPr>
              <w:pStyle w:val="TableText0"/>
              <w:keepNext w:val="0"/>
              <w:widowControl w:val="0"/>
            </w:pPr>
            <w:r w:rsidRPr="009A3AE9">
              <w:t>AE leading to death</w:t>
            </w:r>
          </w:p>
        </w:tc>
        <w:tc>
          <w:tcPr>
            <w:tcW w:w="955" w:type="pct"/>
            <w:vAlign w:val="center"/>
          </w:tcPr>
          <w:p w14:paraId="65CF2EC2" w14:textId="77777777" w:rsidR="00AC0F4E" w:rsidRPr="009A3AE9" w:rsidRDefault="00AC0F4E" w:rsidP="00360CB1">
            <w:pPr>
              <w:pStyle w:val="TableText0"/>
              <w:keepNext w:val="0"/>
              <w:widowControl w:val="0"/>
              <w:jc w:val="center"/>
            </w:pPr>
            <w:r w:rsidRPr="009A3AE9">
              <w:t>1/167 (0.60%)</w:t>
            </w:r>
          </w:p>
        </w:tc>
        <w:tc>
          <w:tcPr>
            <w:tcW w:w="956" w:type="pct"/>
            <w:vAlign w:val="center"/>
          </w:tcPr>
          <w:p w14:paraId="5841BD97" w14:textId="77777777" w:rsidR="00AC0F4E" w:rsidRPr="009A3AE9" w:rsidRDefault="00AC0F4E" w:rsidP="00360CB1">
            <w:pPr>
              <w:pStyle w:val="TableText0"/>
              <w:keepNext w:val="0"/>
              <w:widowControl w:val="0"/>
              <w:jc w:val="center"/>
            </w:pPr>
            <w:r w:rsidRPr="009A3AE9">
              <w:t>1/169 (0.59%)</w:t>
            </w:r>
          </w:p>
        </w:tc>
        <w:tc>
          <w:tcPr>
            <w:tcW w:w="956" w:type="pct"/>
            <w:vAlign w:val="center"/>
          </w:tcPr>
          <w:p w14:paraId="156C8531" w14:textId="77777777" w:rsidR="00AC0F4E" w:rsidRPr="009A3AE9" w:rsidRDefault="00AC0F4E" w:rsidP="00360CB1">
            <w:pPr>
              <w:pStyle w:val="TableText0"/>
              <w:keepNext w:val="0"/>
              <w:widowControl w:val="0"/>
              <w:jc w:val="center"/>
            </w:pPr>
            <w:r w:rsidRPr="009A3AE9">
              <w:t xml:space="preserve">1.01 </w:t>
            </w:r>
          </w:p>
          <w:p w14:paraId="6D132005" w14:textId="1FA79169" w:rsidR="00AC0F4E" w:rsidRPr="009A3AE9" w:rsidRDefault="00AC0F4E" w:rsidP="00360CB1">
            <w:pPr>
              <w:pStyle w:val="TableText0"/>
              <w:keepNext w:val="0"/>
              <w:widowControl w:val="0"/>
              <w:jc w:val="center"/>
            </w:pPr>
            <w:r w:rsidRPr="009A3AE9">
              <w:t>(0.06, 16.32)</w:t>
            </w:r>
          </w:p>
        </w:tc>
        <w:tc>
          <w:tcPr>
            <w:tcW w:w="956" w:type="pct"/>
            <w:vAlign w:val="center"/>
          </w:tcPr>
          <w:p w14:paraId="3FED9B32" w14:textId="77777777" w:rsidR="00AC0F4E" w:rsidRPr="009A3AE9" w:rsidRDefault="00AC0F4E" w:rsidP="00360CB1">
            <w:pPr>
              <w:pStyle w:val="TableText0"/>
              <w:keepNext w:val="0"/>
              <w:widowControl w:val="0"/>
              <w:jc w:val="center"/>
            </w:pPr>
            <w:r w:rsidRPr="009A3AE9">
              <w:t xml:space="preserve">0 </w:t>
            </w:r>
          </w:p>
          <w:p w14:paraId="11C05BAD" w14:textId="7025C82D" w:rsidR="00AC0F4E" w:rsidRPr="009A3AE9" w:rsidRDefault="00AC0F4E" w:rsidP="00360CB1">
            <w:pPr>
              <w:pStyle w:val="TableText0"/>
              <w:keepNext w:val="0"/>
              <w:widowControl w:val="0"/>
              <w:jc w:val="center"/>
            </w:pPr>
            <w:r w:rsidRPr="009A3AE9">
              <w:t>(-0.02, 0.02)</w:t>
            </w:r>
          </w:p>
        </w:tc>
      </w:tr>
      <w:tr w:rsidR="00AC0F4E" w:rsidRPr="009A3AE9" w14:paraId="0A0E7D98" w14:textId="5A876EE9" w:rsidTr="004007D2">
        <w:trPr>
          <w:cantSplit/>
          <w:jc w:val="center"/>
        </w:trPr>
        <w:tc>
          <w:tcPr>
            <w:tcW w:w="1177" w:type="pct"/>
            <w:vAlign w:val="center"/>
          </w:tcPr>
          <w:p w14:paraId="0D8D8404" w14:textId="77777777" w:rsidR="00AC0F4E" w:rsidRPr="009A3AE9" w:rsidRDefault="00AC0F4E" w:rsidP="00360CB1">
            <w:pPr>
              <w:pStyle w:val="In-tableHeading"/>
              <w:keepNext w:val="0"/>
              <w:widowControl w:val="0"/>
              <w:rPr>
                <w:lang w:val="en-AU"/>
              </w:rPr>
            </w:pPr>
            <w:r w:rsidRPr="009A3AE9">
              <w:rPr>
                <w:lang w:val="en-AU"/>
              </w:rPr>
              <w:t>MPACT</w:t>
            </w:r>
          </w:p>
        </w:tc>
        <w:tc>
          <w:tcPr>
            <w:tcW w:w="955" w:type="pct"/>
            <w:vAlign w:val="center"/>
          </w:tcPr>
          <w:p w14:paraId="090E41D5" w14:textId="77777777" w:rsidR="00AC0F4E" w:rsidRPr="009A3AE9" w:rsidRDefault="00AC0F4E" w:rsidP="00360CB1">
            <w:pPr>
              <w:pStyle w:val="In-tableHeading"/>
              <w:keepNext w:val="0"/>
              <w:widowControl w:val="0"/>
              <w:jc w:val="center"/>
              <w:rPr>
                <w:lang w:val="en-AU"/>
              </w:rPr>
            </w:pPr>
            <w:r w:rsidRPr="009A3AE9">
              <w:rPr>
                <w:lang w:val="en-AU"/>
              </w:rPr>
              <w:t>Gem+NabP</w:t>
            </w:r>
          </w:p>
          <w:p w14:paraId="03003A96" w14:textId="77777777" w:rsidR="00AC0F4E" w:rsidRPr="009A3AE9" w:rsidRDefault="00AC0F4E" w:rsidP="00360CB1">
            <w:pPr>
              <w:pStyle w:val="In-tableHeading"/>
              <w:keepNext w:val="0"/>
              <w:widowControl w:val="0"/>
              <w:jc w:val="center"/>
              <w:rPr>
                <w:lang w:val="en-AU"/>
              </w:rPr>
            </w:pPr>
            <w:r w:rsidRPr="009A3AE9">
              <w:rPr>
                <w:lang w:val="en-AU"/>
              </w:rPr>
              <w:t>n/N (%)</w:t>
            </w:r>
          </w:p>
        </w:tc>
        <w:tc>
          <w:tcPr>
            <w:tcW w:w="956" w:type="pct"/>
            <w:vAlign w:val="center"/>
          </w:tcPr>
          <w:p w14:paraId="3AD4346E" w14:textId="77777777" w:rsidR="00AC0F4E" w:rsidRPr="009A3AE9" w:rsidRDefault="00AC0F4E" w:rsidP="00360CB1">
            <w:pPr>
              <w:pStyle w:val="In-tableHeading"/>
              <w:keepNext w:val="0"/>
              <w:widowControl w:val="0"/>
              <w:jc w:val="center"/>
              <w:rPr>
                <w:lang w:val="en-AU"/>
              </w:rPr>
            </w:pPr>
            <w:r w:rsidRPr="009A3AE9">
              <w:rPr>
                <w:lang w:val="en-AU"/>
              </w:rPr>
              <w:t>Gem</w:t>
            </w:r>
          </w:p>
          <w:p w14:paraId="79EC32AE" w14:textId="77777777" w:rsidR="00AC0F4E" w:rsidRPr="009A3AE9" w:rsidRDefault="00AC0F4E" w:rsidP="00360CB1">
            <w:pPr>
              <w:pStyle w:val="In-tableHeading"/>
              <w:keepNext w:val="0"/>
              <w:widowControl w:val="0"/>
              <w:jc w:val="center"/>
              <w:rPr>
                <w:lang w:val="en-AU"/>
              </w:rPr>
            </w:pPr>
            <w:r w:rsidRPr="009A3AE9">
              <w:rPr>
                <w:lang w:val="en-AU"/>
              </w:rPr>
              <w:t>n/N (%)</w:t>
            </w:r>
          </w:p>
        </w:tc>
        <w:tc>
          <w:tcPr>
            <w:tcW w:w="956" w:type="pct"/>
            <w:vAlign w:val="center"/>
          </w:tcPr>
          <w:p w14:paraId="1E40C135" w14:textId="77777777" w:rsidR="00AC0F4E" w:rsidRPr="009A3AE9" w:rsidRDefault="00AC0F4E" w:rsidP="00360CB1">
            <w:pPr>
              <w:pStyle w:val="In-tableHeading"/>
              <w:keepNext w:val="0"/>
              <w:widowControl w:val="0"/>
              <w:jc w:val="center"/>
              <w:rPr>
                <w:lang w:val="en-AU"/>
              </w:rPr>
            </w:pPr>
            <w:r w:rsidRPr="009A3AE9">
              <w:rPr>
                <w:lang w:val="en-AU"/>
              </w:rPr>
              <w:t xml:space="preserve">OR </w:t>
            </w:r>
          </w:p>
          <w:p w14:paraId="7561426E" w14:textId="081CF3EC" w:rsidR="00AC0F4E" w:rsidRPr="009A3AE9" w:rsidRDefault="00AC0F4E" w:rsidP="00360CB1">
            <w:pPr>
              <w:pStyle w:val="In-tableHeading"/>
              <w:keepNext w:val="0"/>
              <w:widowControl w:val="0"/>
              <w:jc w:val="center"/>
              <w:rPr>
                <w:lang w:val="en-AU"/>
              </w:rPr>
            </w:pPr>
            <w:r w:rsidRPr="009A3AE9">
              <w:rPr>
                <w:lang w:val="en-AU"/>
              </w:rPr>
              <w:t>(95% CI)</w:t>
            </w:r>
            <w:r w:rsidRPr="009A3AE9">
              <w:rPr>
                <w:vertAlign w:val="superscript"/>
                <w:lang w:val="en-AU"/>
              </w:rPr>
              <w:t>a</w:t>
            </w:r>
          </w:p>
        </w:tc>
        <w:tc>
          <w:tcPr>
            <w:tcW w:w="956" w:type="pct"/>
            <w:vAlign w:val="center"/>
          </w:tcPr>
          <w:p w14:paraId="04F044B0" w14:textId="77777777" w:rsidR="00AC0F4E" w:rsidRPr="009A3AE9" w:rsidRDefault="00AC0F4E" w:rsidP="00360CB1">
            <w:pPr>
              <w:pStyle w:val="In-tableHeading"/>
              <w:keepNext w:val="0"/>
              <w:widowControl w:val="0"/>
              <w:jc w:val="center"/>
              <w:rPr>
                <w:lang w:val="en-AU"/>
              </w:rPr>
            </w:pPr>
            <w:r w:rsidRPr="009A3AE9">
              <w:rPr>
                <w:lang w:val="en-AU"/>
              </w:rPr>
              <w:t xml:space="preserve">RD </w:t>
            </w:r>
          </w:p>
          <w:p w14:paraId="2F3E74AB" w14:textId="59C6549D" w:rsidR="00AC0F4E" w:rsidRPr="009A3AE9" w:rsidRDefault="00AC0F4E" w:rsidP="00360CB1">
            <w:pPr>
              <w:pStyle w:val="In-tableHeading"/>
              <w:keepNext w:val="0"/>
              <w:widowControl w:val="0"/>
              <w:jc w:val="center"/>
              <w:rPr>
                <w:lang w:val="en-AU"/>
              </w:rPr>
            </w:pPr>
            <w:r w:rsidRPr="009A3AE9">
              <w:rPr>
                <w:lang w:val="en-AU"/>
              </w:rPr>
              <w:t>(95% CI)</w:t>
            </w:r>
            <w:r w:rsidRPr="009A3AE9">
              <w:rPr>
                <w:vertAlign w:val="superscript"/>
                <w:lang w:val="en-AU"/>
              </w:rPr>
              <w:t>a</w:t>
            </w:r>
          </w:p>
        </w:tc>
      </w:tr>
      <w:tr w:rsidR="00AC0F4E" w:rsidRPr="009A3AE9" w14:paraId="6D62128B" w14:textId="09500DB7" w:rsidTr="004007D2">
        <w:trPr>
          <w:cantSplit/>
          <w:jc w:val="center"/>
        </w:trPr>
        <w:tc>
          <w:tcPr>
            <w:tcW w:w="1177" w:type="pct"/>
            <w:vAlign w:val="center"/>
          </w:tcPr>
          <w:p w14:paraId="68F4EFE8" w14:textId="77777777" w:rsidR="00AC0F4E" w:rsidRPr="009A3AE9" w:rsidRDefault="00AC0F4E" w:rsidP="00360CB1">
            <w:pPr>
              <w:pStyle w:val="TableText0"/>
              <w:keepNext w:val="0"/>
              <w:widowControl w:val="0"/>
            </w:pPr>
            <w:r w:rsidRPr="009A3AE9">
              <w:t>Grade ≥3 Neutropenia</w:t>
            </w:r>
          </w:p>
        </w:tc>
        <w:tc>
          <w:tcPr>
            <w:tcW w:w="955" w:type="pct"/>
            <w:vAlign w:val="center"/>
          </w:tcPr>
          <w:p w14:paraId="17A48042" w14:textId="77777777" w:rsidR="00AC0F4E" w:rsidRPr="009A3AE9" w:rsidRDefault="00AC0F4E" w:rsidP="00360CB1">
            <w:pPr>
              <w:pStyle w:val="TableText0"/>
              <w:keepNext w:val="0"/>
              <w:widowControl w:val="0"/>
              <w:jc w:val="center"/>
            </w:pPr>
            <w:r w:rsidRPr="009A3AE9">
              <w:rPr>
                <w:color w:val="000000" w:themeColor="text1"/>
              </w:rPr>
              <w:t>153/405 (37.78%)</w:t>
            </w:r>
          </w:p>
        </w:tc>
        <w:tc>
          <w:tcPr>
            <w:tcW w:w="956" w:type="pct"/>
            <w:vAlign w:val="center"/>
          </w:tcPr>
          <w:p w14:paraId="1CD929D0" w14:textId="77777777" w:rsidR="00AC0F4E" w:rsidRPr="009A3AE9" w:rsidRDefault="00AC0F4E" w:rsidP="00360CB1">
            <w:pPr>
              <w:pStyle w:val="TableText0"/>
              <w:keepNext w:val="0"/>
              <w:widowControl w:val="0"/>
              <w:jc w:val="center"/>
            </w:pPr>
            <w:r w:rsidRPr="009A3AE9">
              <w:t>103/388 (26.55%)</w:t>
            </w:r>
          </w:p>
        </w:tc>
        <w:tc>
          <w:tcPr>
            <w:tcW w:w="956" w:type="pct"/>
            <w:vAlign w:val="center"/>
          </w:tcPr>
          <w:p w14:paraId="3D95CC32" w14:textId="77777777" w:rsidR="00AC0F4E" w:rsidRPr="009A3AE9" w:rsidRDefault="00AC0F4E" w:rsidP="00360CB1">
            <w:pPr>
              <w:pStyle w:val="TableText0"/>
              <w:keepNext w:val="0"/>
              <w:widowControl w:val="0"/>
              <w:jc w:val="center"/>
              <w:rPr>
                <w:b/>
                <w:bCs w:val="0"/>
              </w:rPr>
            </w:pPr>
            <w:r w:rsidRPr="009A3AE9">
              <w:rPr>
                <w:b/>
                <w:bCs w:val="0"/>
              </w:rPr>
              <w:t xml:space="preserve">1.68 </w:t>
            </w:r>
          </w:p>
          <w:p w14:paraId="5225CF20" w14:textId="45B81C91" w:rsidR="00AC0F4E" w:rsidRPr="009A3AE9" w:rsidRDefault="00AC0F4E" w:rsidP="00360CB1">
            <w:pPr>
              <w:pStyle w:val="TableText0"/>
              <w:keepNext w:val="0"/>
              <w:widowControl w:val="0"/>
              <w:jc w:val="center"/>
            </w:pPr>
            <w:r w:rsidRPr="009A3AE9">
              <w:rPr>
                <w:b/>
                <w:bCs w:val="0"/>
              </w:rPr>
              <w:t>(1.24, 2.27)</w:t>
            </w:r>
          </w:p>
        </w:tc>
        <w:tc>
          <w:tcPr>
            <w:tcW w:w="956" w:type="pct"/>
            <w:vAlign w:val="center"/>
          </w:tcPr>
          <w:p w14:paraId="08D9D56F" w14:textId="77777777" w:rsidR="00AC0F4E" w:rsidRPr="009A3AE9" w:rsidRDefault="00AC0F4E" w:rsidP="00360CB1">
            <w:pPr>
              <w:pStyle w:val="TableText0"/>
              <w:keepNext w:val="0"/>
              <w:widowControl w:val="0"/>
              <w:jc w:val="center"/>
              <w:rPr>
                <w:b/>
                <w:bCs w:val="0"/>
              </w:rPr>
            </w:pPr>
            <w:r w:rsidRPr="009A3AE9">
              <w:rPr>
                <w:b/>
                <w:bCs w:val="0"/>
              </w:rPr>
              <w:t xml:space="preserve">0.11 </w:t>
            </w:r>
          </w:p>
          <w:p w14:paraId="0F87F22B" w14:textId="28E2029B" w:rsidR="00AC0F4E" w:rsidRPr="009A3AE9" w:rsidRDefault="00AC0F4E" w:rsidP="00360CB1">
            <w:pPr>
              <w:pStyle w:val="TableText0"/>
              <w:keepNext w:val="0"/>
              <w:widowControl w:val="0"/>
              <w:jc w:val="center"/>
            </w:pPr>
            <w:r w:rsidRPr="009A3AE9">
              <w:rPr>
                <w:b/>
                <w:bCs w:val="0"/>
              </w:rPr>
              <w:t>(0.05, 0.18)</w:t>
            </w:r>
          </w:p>
        </w:tc>
      </w:tr>
      <w:tr w:rsidR="00AC0F4E" w:rsidRPr="009A3AE9" w14:paraId="686258CA" w14:textId="1D0AC525" w:rsidTr="004007D2">
        <w:trPr>
          <w:cantSplit/>
          <w:jc w:val="center"/>
        </w:trPr>
        <w:tc>
          <w:tcPr>
            <w:tcW w:w="1177" w:type="pct"/>
            <w:vAlign w:val="center"/>
          </w:tcPr>
          <w:p w14:paraId="666E3DCE" w14:textId="77777777" w:rsidR="00AC0F4E" w:rsidRPr="009A3AE9" w:rsidRDefault="00AC0F4E" w:rsidP="00360CB1">
            <w:pPr>
              <w:pStyle w:val="TableText0"/>
              <w:keepNext w:val="0"/>
              <w:widowControl w:val="0"/>
            </w:pPr>
            <w:r w:rsidRPr="009A3AE9">
              <w:t>Grade ≥3 Leukopenia</w:t>
            </w:r>
          </w:p>
        </w:tc>
        <w:tc>
          <w:tcPr>
            <w:tcW w:w="955" w:type="pct"/>
            <w:vAlign w:val="center"/>
          </w:tcPr>
          <w:p w14:paraId="2E45E37A" w14:textId="77777777" w:rsidR="00AC0F4E" w:rsidRPr="009A3AE9" w:rsidRDefault="00AC0F4E" w:rsidP="00360CB1">
            <w:pPr>
              <w:pStyle w:val="TableText0"/>
              <w:keepNext w:val="0"/>
              <w:widowControl w:val="0"/>
              <w:jc w:val="center"/>
            </w:pPr>
            <w:r w:rsidRPr="009A3AE9">
              <w:rPr>
                <w:color w:val="000000" w:themeColor="text1"/>
              </w:rPr>
              <w:t>127/405 (31.352%)</w:t>
            </w:r>
          </w:p>
        </w:tc>
        <w:tc>
          <w:tcPr>
            <w:tcW w:w="956" w:type="pct"/>
            <w:vAlign w:val="center"/>
          </w:tcPr>
          <w:p w14:paraId="4A34786A" w14:textId="77777777" w:rsidR="00AC0F4E" w:rsidRPr="009A3AE9" w:rsidRDefault="00AC0F4E" w:rsidP="00360CB1">
            <w:pPr>
              <w:pStyle w:val="TableText0"/>
              <w:keepNext w:val="0"/>
              <w:widowControl w:val="0"/>
              <w:jc w:val="center"/>
            </w:pPr>
            <w:r w:rsidRPr="009A3AE9">
              <w:t>63/388 (16.24%)</w:t>
            </w:r>
          </w:p>
        </w:tc>
        <w:tc>
          <w:tcPr>
            <w:tcW w:w="956" w:type="pct"/>
            <w:vAlign w:val="center"/>
          </w:tcPr>
          <w:p w14:paraId="59FC6415" w14:textId="77777777" w:rsidR="00AC0F4E" w:rsidRPr="009A3AE9" w:rsidRDefault="00AC0F4E" w:rsidP="00360CB1">
            <w:pPr>
              <w:pStyle w:val="TableText0"/>
              <w:keepNext w:val="0"/>
              <w:widowControl w:val="0"/>
              <w:jc w:val="center"/>
            </w:pPr>
            <w:r w:rsidRPr="009A3AE9">
              <w:t>NS</w:t>
            </w:r>
          </w:p>
        </w:tc>
        <w:tc>
          <w:tcPr>
            <w:tcW w:w="956" w:type="pct"/>
            <w:vAlign w:val="center"/>
          </w:tcPr>
          <w:p w14:paraId="429850D8" w14:textId="77777777" w:rsidR="00AC0F4E" w:rsidRPr="009A3AE9" w:rsidRDefault="00AC0F4E" w:rsidP="00360CB1">
            <w:pPr>
              <w:pStyle w:val="TableText0"/>
              <w:keepNext w:val="0"/>
              <w:widowControl w:val="0"/>
              <w:jc w:val="center"/>
            </w:pPr>
            <w:r w:rsidRPr="009A3AE9">
              <w:t>NS</w:t>
            </w:r>
          </w:p>
        </w:tc>
      </w:tr>
      <w:tr w:rsidR="00AC0F4E" w:rsidRPr="009A3AE9" w14:paraId="030C69F2" w14:textId="208F69F2" w:rsidTr="004007D2">
        <w:trPr>
          <w:cantSplit/>
          <w:jc w:val="center"/>
        </w:trPr>
        <w:tc>
          <w:tcPr>
            <w:tcW w:w="1177" w:type="pct"/>
            <w:vAlign w:val="center"/>
          </w:tcPr>
          <w:p w14:paraId="1FF533EC" w14:textId="77777777" w:rsidR="00AC0F4E" w:rsidRPr="009A3AE9" w:rsidRDefault="00AC0F4E" w:rsidP="00360CB1">
            <w:pPr>
              <w:pStyle w:val="TableText0"/>
              <w:keepNext w:val="0"/>
              <w:widowControl w:val="0"/>
            </w:pPr>
            <w:r w:rsidRPr="009A3AE9">
              <w:t>Grade ≥3 Thrombocytopenia</w:t>
            </w:r>
          </w:p>
        </w:tc>
        <w:tc>
          <w:tcPr>
            <w:tcW w:w="955" w:type="pct"/>
            <w:vAlign w:val="center"/>
          </w:tcPr>
          <w:p w14:paraId="1CD5A5D9" w14:textId="77777777" w:rsidR="00AC0F4E" w:rsidRPr="009A3AE9" w:rsidRDefault="00AC0F4E" w:rsidP="00360CB1">
            <w:pPr>
              <w:pStyle w:val="TableText0"/>
              <w:keepNext w:val="0"/>
              <w:widowControl w:val="0"/>
              <w:jc w:val="center"/>
            </w:pPr>
            <w:r w:rsidRPr="009A3AE9">
              <w:rPr>
                <w:color w:val="000000" w:themeColor="text1"/>
              </w:rPr>
              <w:t>52/405 (12.84%)</w:t>
            </w:r>
          </w:p>
        </w:tc>
        <w:tc>
          <w:tcPr>
            <w:tcW w:w="956" w:type="pct"/>
            <w:vAlign w:val="center"/>
          </w:tcPr>
          <w:p w14:paraId="4B4849C0" w14:textId="77777777" w:rsidR="00AC0F4E" w:rsidRPr="009A3AE9" w:rsidRDefault="00AC0F4E" w:rsidP="00360CB1">
            <w:pPr>
              <w:pStyle w:val="TableText0"/>
              <w:keepNext w:val="0"/>
              <w:widowControl w:val="0"/>
              <w:jc w:val="center"/>
            </w:pPr>
            <w:r w:rsidRPr="009A3AE9">
              <w:t>36/388 (9.28%)</w:t>
            </w:r>
          </w:p>
        </w:tc>
        <w:tc>
          <w:tcPr>
            <w:tcW w:w="956" w:type="pct"/>
            <w:vAlign w:val="center"/>
          </w:tcPr>
          <w:p w14:paraId="17B2088A" w14:textId="77777777" w:rsidR="00AC0F4E" w:rsidRPr="009A3AE9" w:rsidRDefault="00AC0F4E" w:rsidP="00360CB1">
            <w:pPr>
              <w:pStyle w:val="TableText0"/>
              <w:keepNext w:val="0"/>
              <w:widowControl w:val="0"/>
              <w:jc w:val="center"/>
            </w:pPr>
            <w:r w:rsidRPr="009A3AE9">
              <w:t xml:space="preserve">1.44 </w:t>
            </w:r>
          </w:p>
          <w:p w14:paraId="2F423560" w14:textId="2B0039D2" w:rsidR="00AC0F4E" w:rsidRPr="009A3AE9" w:rsidRDefault="00AC0F4E" w:rsidP="00360CB1">
            <w:pPr>
              <w:pStyle w:val="TableText0"/>
              <w:keepNext w:val="0"/>
              <w:widowControl w:val="0"/>
              <w:jc w:val="center"/>
            </w:pPr>
            <w:r w:rsidRPr="009A3AE9">
              <w:t>(0.92, 2.26)</w:t>
            </w:r>
          </w:p>
        </w:tc>
        <w:tc>
          <w:tcPr>
            <w:tcW w:w="956" w:type="pct"/>
            <w:vAlign w:val="center"/>
          </w:tcPr>
          <w:p w14:paraId="084FDD86" w14:textId="42B6EE7A" w:rsidR="00AC0F4E" w:rsidRPr="009A3AE9" w:rsidRDefault="00AC0F4E" w:rsidP="00360CB1">
            <w:pPr>
              <w:pStyle w:val="TableText0"/>
              <w:keepNext w:val="0"/>
              <w:widowControl w:val="0"/>
              <w:jc w:val="center"/>
            </w:pPr>
            <w:r w:rsidRPr="009A3AE9">
              <w:t xml:space="preserve">0.04 </w:t>
            </w:r>
          </w:p>
          <w:p w14:paraId="1A066990" w14:textId="7EE79934" w:rsidR="00AC0F4E" w:rsidRPr="009A3AE9" w:rsidRDefault="00AC0F4E" w:rsidP="00360CB1">
            <w:pPr>
              <w:pStyle w:val="TableText0"/>
              <w:keepNext w:val="0"/>
              <w:widowControl w:val="0"/>
              <w:jc w:val="center"/>
            </w:pPr>
            <w:r w:rsidRPr="009A3AE9">
              <w:t>(-0.01, 0.08)</w:t>
            </w:r>
          </w:p>
        </w:tc>
      </w:tr>
      <w:tr w:rsidR="00AC0F4E" w:rsidRPr="009A3AE9" w14:paraId="3CCF705A" w14:textId="03A188F8" w:rsidTr="004007D2">
        <w:trPr>
          <w:cantSplit/>
          <w:jc w:val="center"/>
        </w:trPr>
        <w:tc>
          <w:tcPr>
            <w:tcW w:w="1177" w:type="pct"/>
            <w:vAlign w:val="center"/>
          </w:tcPr>
          <w:p w14:paraId="0E4917F9" w14:textId="77777777" w:rsidR="00AC0F4E" w:rsidRPr="009A3AE9" w:rsidRDefault="00AC0F4E" w:rsidP="00360CB1">
            <w:pPr>
              <w:pStyle w:val="TableText0"/>
              <w:keepNext w:val="0"/>
              <w:widowControl w:val="0"/>
            </w:pPr>
            <w:r w:rsidRPr="009A3AE9">
              <w:t>Grade ≥3 Anaemia</w:t>
            </w:r>
          </w:p>
        </w:tc>
        <w:tc>
          <w:tcPr>
            <w:tcW w:w="955" w:type="pct"/>
            <w:vAlign w:val="center"/>
          </w:tcPr>
          <w:p w14:paraId="252961A2" w14:textId="77777777" w:rsidR="00AC0F4E" w:rsidRPr="009A3AE9" w:rsidRDefault="00AC0F4E" w:rsidP="00360CB1">
            <w:pPr>
              <w:pStyle w:val="TableText0"/>
              <w:keepNext w:val="0"/>
              <w:widowControl w:val="0"/>
              <w:jc w:val="center"/>
            </w:pPr>
            <w:r w:rsidRPr="009A3AE9">
              <w:rPr>
                <w:color w:val="000000" w:themeColor="text1"/>
              </w:rPr>
              <w:t>53/405 (13.09%)</w:t>
            </w:r>
          </w:p>
        </w:tc>
        <w:tc>
          <w:tcPr>
            <w:tcW w:w="956" w:type="pct"/>
            <w:vAlign w:val="center"/>
          </w:tcPr>
          <w:p w14:paraId="3F935AD8" w14:textId="77777777" w:rsidR="00AC0F4E" w:rsidRPr="009A3AE9" w:rsidRDefault="00AC0F4E" w:rsidP="00360CB1">
            <w:pPr>
              <w:pStyle w:val="TableText0"/>
              <w:keepNext w:val="0"/>
              <w:widowControl w:val="0"/>
              <w:jc w:val="center"/>
            </w:pPr>
            <w:r w:rsidRPr="009A3AE9">
              <w:t>48/388 (12.37%)</w:t>
            </w:r>
          </w:p>
        </w:tc>
        <w:tc>
          <w:tcPr>
            <w:tcW w:w="956" w:type="pct"/>
            <w:vAlign w:val="center"/>
          </w:tcPr>
          <w:p w14:paraId="64990AE3" w14:textId="77777777" w:rsidR="00AC0F4E" w:rsidRPr="009A3AE9" w:rsidRDefault="00AC0F4E" w:rsidP="00360CB1">
            <w:pPr>
              <w:pStyle w:val="TableText0"/>
              <w:keepNext w:val="0"/>
              <w:widowControl w:val="0"/>
              <w:jc w:val="center"/>
            </w:pPr>
            <w:r w:rsidRPr="009A3AE9">
              <w:t xml:space="preserve">1.07 </w:t>
            </w:r>
          </w:p>
          <w:p w14:paraId="1310E5E4" w14:textId="380BCE56" w:rsidR="00AC0F4E" w:rsidRPr="009A3AE9" w:rsidRDefault="00AC0F4E" w:rsidP="00360CB1">
            <w:pPr>
              <w:pStyle w:val="TableText0"/>
              <w:keepNext w:val="0"/>
              <w:widowControl w:val="0"/>
              <w:jc w:val="center"/>
            </w:pPr>
            <w:r w:rsidRPr="009A3AE9">
              <w:t>(0.7, 1.62)</w:t>
            </w:r>
          </w:p>
        </w:tc>
        <w:tc>
          <w:tcPr>
            <w:tcW w:w="956" w:type="pct"/>
            <w:vAlign w:val="center"/>
          </w:tcPr>
          <w:p w14:paraId="25FB6A29" w14:textId="77777777" w:rsidR="00AC0F4E" w:rsidRPr="009A3AE9" w:rsidRDefault="00AC0F4E" w:rsidP="00360CB1">
            <w:pPr>
              <w:pStyle w:val="TableText0"/>
              <w:keepNext w:val="0"/>
              <w:widowControl w:val="0"/>
              <w:jc w:val="center"/>
            </w:pPr>
            <w:r w:rsidRPr="009A3AE9">
              <w:t xml:space="preserve">0.01 </w:t>
            </w:r>
          </w:p>
          <w:p w14:paraId="0A501201" w14:textId="3081B66A" w:rsidR="00AC0F4E" w:rsidRPr="009A3AE9" w:rsidRDefault="00AC0F4E" w:rsidP="00360CB1">
            <w:pPr>
              <w:pStyle w:val="TableText0"/>
              <w:keepNext w:val="0"/>
              <w:widowControl w:val="0"/>
              <w:jc w:val="center"/>
            </w:pPr>
            <w:r w:rsidRPr="009A3AE9">
              <w:t>(-0.04, 0.05)</w:t>
            </w:r>
          </w:p>
        </w:tc>
      </w:tr>
      <w:tr w:rsidR="00AC0F4E" w:rsidRPr="009A3AE9" w14:paraId="1A6ED20A" w14:textId="61AA118A" w:rsidTr="004007D2">
        <w:trPr>
          <w:cantSplit/>
          <w:jc w:val="center"/>
        </w:trPr>
        <w:tc>
          <w:tcPr>
            <w:tcW w:w="1177" w:type="pct"/>
            <w:vAlign w:val="center"/>
          </w:tcPr>
          <w:p w14:paraId="7D160B2D" w14:textId="77777777" w:rsidR="00AC0F4E" w:rsidRPr="009A3AE9" w:rsidRDefault="00AC0F4E" w:rsidP="00360CB1">
            <w:pPr>
              <w:pStyle w:val="TableText0"/>
              <w:keepNext w:val="0"/>
              <w:widowControl w:val="0"/>
            </w:pPr>
            <w:r w:rsidRPr="009A3AE9">
              <w:t>Grade ≥3 Febrile neutropenia</w:t>
            </w:r>
          </w:p>
        </w:tc>
        <w:tc>
          <w:tcPr>
            <w:tcW w:w="955" w:type="pct"/>
            <w:vAlign w:val="center"/>
          </w:tcPr>
          <w:p w14:paraId="51B7BF6C" w14:textId="77777777" w:rsidR="00AC0F4E" w:rsidRPr="009A3AE9" w:rsidRDefault="00AC0F4E" w:rsidP="00360CB1">
            <w:pPr>
              <w:pStyle w:val="TableText0"/>
              <w:keepNext w:val="0"/>
              <w:widowControl w:val="0"/>
              <w:jc w:val="center"/>
              <w:rPr>
                <w:color w:val="000000" w:themeColor="text1"/>
              </w:rPr>
            </w:pPr>
            <w:r w:rsidRPr="009A3AE9">
              <w:rPr>
                <w:color w:val="000000" w:themeColor="text1"/>
              </w:rPr>
              <w:t>14/421 (3.33%)</w:t>
            </w:r>
          </w:p>
        </w:tc>
        <w:tc>
          <w:tcPr>
            <w:tcW w:w="956" w:type="pct"/>
            <w:vAlign w:val="center"/>
          </w:tcPr>
          <w:p w14:paraId="113778AA" w14:textId="77777777" w:rsidR="00AC0F4E" w:rsidRPr="009A3AE9" w:rsidRDefault="00AC0F4E" w:rsidP="00360CB1">
            <w:pPr>
              <w:pStyle w:val="TableText0"/>
              <w:keepNext w:val="0"/>
              <w:widowControl w:val="0"/>
              <w:jc w:val="center"/>
            </w:pPr>
            <w:r w:rsidRPr="009A3AE9">
              <w:t>6/402 (1.49%)</w:t>
            </w:r>
          </w:p>
        </w:tc>
        <w:tc>
          <w:tcPr>
            <w:tcW w:w="956" w:type="pct"/>
            <w:vAlign w:val="center"/>
          </w:tcPr>
          <w:p w14:paraId="5EBD435D" w14:textId="77777777" w:rsidR="00AC0F4E" w:rsidRPr="009A3AE9" w:rsidRDefault="00AC0F4E" w:rsidP="00360CB1">
            <w:pPr>
              <w:pStyle w:val="TableText0"/>
              <w:keepNext w:val="0"/>
              <w:widowControl w:val="0"/>
              <w:jc w:val="center"/>
            </w:pPr>
            <w:r w:rsidRPr="009A3AE9">
              <w:t xml:space="preserve">2.27 </w:t>
            </w:r>
          </w:p>
          <w:p w14:paraId="181CD0DA" w14:textId="0B395C9D" w:rsidR="00AC0F4E" w:rsidRPr="009A3AE9" w:rsidRDefault="00AC0F4E" w:rsidP="00360CB1">
            <w:pPr>
              <w:pStyle w:val="TableText0"/>
              <w:keepNext w:val="0"/>
              <w:widowControl w:val="0"/>
              <w:jc w:val="center"/>
            </w:pPr>
            <w:r w:rsidRPr="009A3AE9">
              <w:t>(0.86, 5.97)</w:t>
            </w:r>
          </w:p>
        </w:tc>
        <w:tc>
          <w:tcPr>
            <w:tcW w:w="956" w:type="pct"/>
            <w:vAlign w:val="center"/>
          </w:tcPr>
          <w:p w14:paraId="4DD4EDB2" w14:textId="77777777" w:rsidR="00AC0F4E" w:rsidRPr="009A3AE9" w:rsidRDefault="00AC0F4E" w:rsidP="00360CB1">
            <w:pPr>
              <w:pStyle w:val="TableText0"/>
              <w:keepNext w:val="0"/>
              <w:widowControl w:val="0"/>
              <w:jc w:val="center"/>
              <w:rPr>
                <w:b/>
                <w:bCs w:val="0"/>
              </w:rPr>
            </w:pPr>
            <w:r w:rsidRPr="009A3AE9">
              <w:rPr>
                <w:b/>
                <w:bCs w:val="0"/>
              </w:rPr>
              <w:t xml:space="preserve">0.02 </w:t>
            </w:r>
          </w:p>
          <w:p w14:paraId="2484EC6D" w14:textId="252B3DA4" w:rsidR="00AC0F4E" w:rsidRPr="009A3AE9" w:rsidRDefault="00AC0F4E" w:rsidP="00360CB1">
            <w:pPr>
              <w:pStyle w:val="TableText0"/>
              <w:keepNext w:val="0"/>
              <w:widowControl w:val="0"/>
              <w:jc w:val="center"/>
            </w:pPr>
            <w:r w:rsidRPr="009A3AE9">
              <w:rPr>
                <w:b/>
                <w:bCs w:val="0"/>
              </w:rPr>
              <w:t>(0, 0.04)</w:t>
            </w:r>
          </w:p>
        </w:tc>
      </w:tr>
      <w:tr w:rsidR="00AC0F4E" w:rsidRPr="009A3AE9" w14:paraId="74A891D2" w14:textId="229F7EC9" w:rsidTr="004007D2">
        <w:trPr>
          <w:cantSplit/>
          <w:jc w:val="center"/>
        </w:trPr>
        <w:tc>
          <w:tcPr>
            <w:tcW w:w="1177" w:type="pct"/>
            <w:vAlign w:val="center"/>
          </w:tcPr>
          <w:p w14:paraId="287C8534" w14:textId="77777777" w:rsidR="00AC0F4E" w:rsidRPr="009A3AE9" w:rsidRDefault="00AC0F4E" w:rsidP="00360CB1">
            <w:pPr>
              <w:pStyle w:val="TableText0"/>
              <w:keepNext w:val="0"/>
              <w:widowControl w:val="0"/>
            </w:pPr>
            <w:r w:rsidRPr="009A3AE9">
              <w:lastRenderedPageBreak/>
              <w:t>Grade ≥3 Fatigue</w:t>
            </w:r>
          </w:p>
        </w:tc>
        <w:tc>
          <w:tcPr>
            <w:tcW w:w="955" w:type="pct"/>
            <w:vAlign w:val="center"/>
          </w:tcPr>
          <w:p w14:paraId="4C0EDEE0" w14:textId="77777777" w:rsidR="00AC0F4E" w:rsidRPr="009A3AE9" w:rsidRDefault="00AC0F4E" w:rsidP="00360CB1">
            <w:pPr>
              <w:pStyle w:val="TableText0"/>
              <w:keepNext w:val="0"/>
              <w:widowControl w:val="0"/>
              <w:jc w:val="center"/>
            </w:pPr>
            <w:r w:rsidRPr="009A3AE9">
              <w:rPr>
                <w:color w:val="000000" w:themeColor="text1"/>
              </w:rPr>
              <w:t>70/421 (16.63%)</w:t>
            </w:r>
          </w:p>
        </w:tc>
        <w:tc>
          <w:tcPr>
            <w:tcW w:w="956" w:type="pct"/>
            <w:vAlign w:val="center"/>
          </w:tcPr>
          <w:p w14:paraId="7189200C" w14:textId="77777777" w:rsidR="00AC0F4E" w:rsidRPr="009A3AE9" w:rsidRDefault="00AC0F4E" w:rsidP="00360CB1">
            <w:pPr>
              <w:pStyle w:val="TableText0"/>
              <w:keepNext w:val="0"/>
              <w:widowControl w:val="0"/>
              <w:jc w:val="center"/>
            </w:pPr>
            <w:r w:rsidRPr="009A3AE9">
              <w:t>27/402 (6.72%)</w:t>
            </w:r>
          </w:p>
        </w:tc>
        <w:tc>
          <w:tcPr>
            <w:tcW w:w="956" w:type="pct"/>
            <w:vAlign w:val="center"/>
          </w:tcPr>
          <w:p w14:paraId="545CF8AE" w14:textId="77777777" w:rsidR="00AC0F4E" w:rsidRPr="009A3AE9" w:rsidRDefault="00AC0F4E" w:rsidP="00360CB1">
            <w:pPr>
              <w:pStyle w:val="TableText0"/>
              <w:keepNext w:val="0"/>
              <w:widowControl w:val="0"/>
              <w:jc w:val="center"/>
              <w:rPr>
                <w:b/>
                <w:bCs w:val="0"/>
              </w:rPr>
            </w:pPr>
            <w:r w:rsidRPr="009A3AE9">
              <w:rPr>
                <w:b/>
                <w:bCs w:val="0"/>
              </w:rPr>
              <w:t xml:space="preserve">2.77 </w:t>
            </w:r>
          </w:p>
          <w:p w14:paraId="349F630C" w14:textId="0B71A1AA" w:rsidR="00AC0F4E" w:rsidRPr="009A3AE9" w:rsidRDefault="00AC0F4E" w:rsidP="00360CB1">
            <w:pPr>
              <w:pStyle w:val="TableText0"/>
              <w:keepNext w:val="0"/>
              <w:widowControl w:val="0"/>
              <w:jc w:val="center"/>
            </w:pPr>
            <w:r w:rsidRPr="009A3AE9">
              <w:rPr>
                <w:b/>
                <w:bCs w:val="0"/>
              </w:rPr>
              <w:t>(1.74, 4.42)</w:t>
            </w:r>
          </w:p>
        </w:tc>
        <w:tc>
          <w:tcPr>
            <w:tcW w:w="956" w:type="pct"/>
            <w:vAlign w:val="center"/>
          </w:tcPr>
          <w:p w14:paraId="323A7781" w14:textId="77777777" w:rsidR="00AC0F4E" w:rsidRPr="009A3AE9" w:rsidRDefault="00AC0F4E" w:rsidP="00360CB1">
            <w:pPr>
              <w:pStyle w:val="TableText0"/>
              <w:keepNext w:val="0"/>
              <w:widowControl w:val="0"/>
              <w:jc w:val="center"/>
              <w:rPr>
                <w:b/>
                <w:bCs w:val="0"/>
              </w:rPr>
            </w:pPr>
            <w:r w:rsidRPr="009A3AE9">
              <w:rPr>
                <w:b/>
                <w:bCs w:val="0"/>
              </w:rPr>
              <w:t xml:space="preserve">0.1 </w:t>
            </w:r>
          </w:p>
          <w:p w14:paraId="61A79268" w14:textId="24E6ECBE" w:rsidR="00AC0F4E" w:rsidRPr="009A3AE9" w:rsidRDefault="00AC0F4E" w:rsidP="00360CB1">
            <w:pPr>
              <w:pStyle w:val="TableText0"/>
              <w:keepNext w:val="0"/>
              <w:widowControl w:val="0"/>
              <w:jc w:val="center"/>
            </w:pPr>
            <w:r w:rsidRPr="009A3AE9">
              <w:rPr>
                <w:b/>
                <w:bCs w:val="0"/>
              </w:rPr>
              <w:t>(0.06, 0.14)</w:t>
            </w:r>
          </w:p>
        </w:tc>
      </w:tr>
      <w:tr w:rsidR="00AC0F4E" w:rsidRPr="009A3AE9" w14:paraId="66F35E77" w14:textId="32484957" w:rsidTr="004007D2">
        <w:trPr>
          <w:cantSplit/>
          <w:jc w:val="center"/>
        </w:trPr>
        <w:tc>
          <w:tcPr>
            <w:tcW w:w="1177" w:type="pct"/>
            <w:vAlign w:val="center"/>
          </w:tcPr>
          <w:p w14:paraId="01EF10AA" w14:textId="77777777" w:rsidR="00AC0F4E" w:rsidRPr="009A3AE9" w:rsidRDefault="00AC0F4E" w:rsidP="00360CB1">
            <w:pPr>
              <w:pStyle w:val="TableText0"/>
              <w:keepNext w:val="0"/>
              <w:widowControl w:val="0"/>
            </w:pPr>
            <w:r w:rsidRPr="009A3AE9">
              <w:t>Grade ≥3 Diarrhoea</w:t>
            </w:r>
          </w:p>
        </w:tc>
        <w:tc>
          <w:tcPr>
            <w:tcW w:w="955" w:type="pct"/>
            <w:vAlign w:val="center"/>
          </w:tcPr>
          <w:p w14:paraId="4B5F0879" w14:textId="77777777" w:rsidR="00AC0F4E" w:rsidRPr="009A3AE9" w:rsidRDefault="00AC0F4E" w:rsidP="00360CB1">
            <w:pPr>
              <w:pStyle w:val="TableText0"/>
              <w:keepNext w:val="0"/>
              <w:widowControl w:val="0"/>
              <w:jc w:val="center"/>
              <w:rPr>
                <w:color w:val="000000" w:themeColor="text1"/>
              </w:rPr>
            </w:pPr>
            <w:r w:rsidRPr="009A3AE9">
              <w:rPr>
                <w:color w:val="000000" w:themeColor="text1"/>
              </w:rPr>
              <w:t>24/421 (5.70%)</w:t>
            </w:r>
          </w:p>
        </w:tc>
        <w:tc>
          <w:tcPr>
            <w:tcW w:w="956" w:type="pct"/>
            <w:vAlign w:val="center"/>
          </w:tcPr>
          <w:p w14:paraId="17D4E513" w14:textId="77777777" w:rsidR="00AC0F4E" w:rsidRPr="009A3AE9" w:rsidRDefault="00AC0F4E" w:rsidP="00360CB1">
            <w:pPr>
              <w:pStyle w:val="TableText0"/>
              <w:keepNext w:val="0"/>
              <w:widowControl w:val="0"/>
              <w:jc w:val="center"/>
            </w:pPr>
            <w:r w:rsidRPr="009A3AE9">
              <w:t>3/402 (0.75%)</w:t>
            </w:r>
          </w:p>
        </w:tc>
        <w:tc>
          <w:tcPr>
            <w:tcW w:w="956" w:type="pct"/>
            <w:vAlign w:val="center"/>
          </w:tcPr>
          <w:p w14:paraId="6328F37C" w14:textId="77777777" w:rsidR="00AC0F4E" w:rsidRPr="009A3AE9" w:rsidRDefault="00AC0F4E" w:rsidP="00360CB1">
            <w:pPr>
              <w:pStyle w:val="TableText0"/>
              <w:keepNext w:val="0"/>
              <w:widowControl w:val="0"/>
              <w:jc w:val="center"/>
              <w:rPr>
                <w:b/>
                <w:bCs w:val="0"/>
              </w:rPr>
            </w:pPr>
            <w:r w:rsidRPr="009A3AE9">
              <w:rPr>
                <w:b/>
                <w:bCs w:val="0"/>
              </w:rPr>
              <w:t xml:space="preserve">8.04 </w:t>
            </w:r>
          </w:p>
          <w:p w14:paraId="5D64CF96" w14:textId="6B0ED7FA" w:rsidR="00AC0F4E" w:rsidRPr="009A3AE9" w:rsidRDefault="00AC0F4E" w:rsidP="00360CB1">
            <w:pPr>
              <w:pStyle w:val="TableText0"/>
              <w:keepNext w:val="0"/>
              <w:widowControl w:val="0"/>
              <w:jc w:val="center"/>
            </w:pPr>
            <w:r w:rsidRPr="009A3AE9">
              <w:rPr>
                <w:b/>
                <w:bCs w:val="0"/>
              </w:rPr>
              <w:t>(2.4, 26.92)</w:t>
            </w:r>
          </w:p>
        </w:tc>
        <w:tc>
          <w:tcPr>
            <w:tcW w:w="956" w:type="pct"/>
            <w:vAlign w:val="center"/>
          </w:tcPr>
          <w:p w14:paraId="7E9DF3BF" w14:textId="77777777" w:rsidR="00AC0F4E" w:rsidRPr="009A3AE9" w:rsidRDefault="00AC0F4E" w:rsidP="00360CB1">
            <w:pPr>
              <w:pStyle w:val="TableText0"/>
              <w:keepNext w:val="0"/>
              <w:widowControl w:val="0"/>
              <w:jc w:val="center"/>
              <w:rPr>
                <w:b/>
                <w:bCs w:val="0"/>
              </w:rPr>
            </w:pPr>
            <w:r w:rsidRPr="009A3AE9">
              <w:rPr>
                <w:b/>
                <w:bCs w:val="0"/>
              </w:rPr>
              <w:t xml:space="preserve">0.05 </w:t>
            </w:r>
          </w:p>
          <w:p w14:paraId="7F7C847B" w14:textId="66B97E90" w:rsidR="00AC0F4E" w:rsidRPr="009A3AE9" w:rsidRDefault="00AC0F4E" w:rsidP="00360CB1">
            <w:pPr>
              <w:pStyle w:val="TableText0"/>
              <w:keepNext w:val="0"/>
              <w:widowControl w:val="0"/>
              <w:jc w:val="center"/>
            </w:pPr>
            <w:r w:rsidRPr="009A3AE9">
              <w:rPr>
                <w:b/>
                <w:bCs w:val="0"/>
              </w:rPr>
              <w:t>(0.03, 0.07)</w:t>
            </w:r>
          </w:p>
        </w:tc>
      </w:tr>
      <w:tr w:rsidR="00AC0F4E" w:rsidRPr="009A3AE9" w14:paraId="6016D74D" w14:textId="0509DB76" w:rsidTr="004007D2">
        <w:trPr>
          <w:cantSplit/>
          <w:jc w:val="center"/>
        </w:trPr>
        <w:tc>
          <w:tcPr>
            <w:tcW w:w="1177" w:type="pct"/>
            <w:vAlign w:val="center"/>
          </w:tcPr>
          <w:p w14:paraId="217BD7C5" w14:textId="1DBA0F5E" w:rsidR="00AC0F4E" w:rsidRPr="009A3AE9" w:rsidRDefault="00AC0F4E" w:rsidP="00360CB1">
            <w:pPr>
              <w:pStyle w:val="TableText0"/>
              <w:keepNext w:val="0"/>
              <w:widowControl w:val="0"/>
            </w:pPr>
            <w:r w:rsidRPr="009A3AE9">
              <w:t>Grade ≥3 Sensory neuropathy</w:t>
            </w:r>
          </w:p>
        </w:tc>
        <w:tc>
          <w:tcPr>
            <w:tcW w:w="955" w:type="pct"/>
            <w:vAlign w:val="center"/>
          </w:tcPr>
          <w:p w14:paraId="2711608F" w14:textId="77777777" w:rsidR="00AC0F4E" w:rsidRPr="009A3AE9" w:rsidRDefault="00AC0F4E" w:rsidP="00360CB1">
            <w:pPr>
              <w:pStyle w:val="TableText0"/>
              <w:keepNext w:val="0"/>
              <w:widowControl w:val="0"/>
              <w:jc w:val="center"/>
            </w:pPr>
            <w:r w:rsidRPr="009A3AE9">
              <w:rPr>
                <w:color w:val="000000" w:themeColor="text1"/>
              </w:rPr>
              <w:t>70/421 (16.63%)</w:t>
            </w:r>
          </w:p>
        </w:tc>
        <w:tc>
          <w:tcPr>
            <w:tcW w:w="956" w:type="pct"/>
            <w:vAlign w:val="center"/>
          </w:tcPr>
          <w:p w14:paraId="60B20612" w14:textId="77777777" w:rsidR="00AC0F4E" w:rsidRPr="009A3AE9" w:rsidRDefault="00AC0F4E" w:rsidP="00360CB1">
            <w:pPr>
              <w:pStyle w:val="TableText0"/>
              <w:keepNext w:val="0"/>
              <w:widowControl w:val="0"/>
              <w:jc w:val="center"/>
            </w:pPr>
            <w:r w:rsidRPr="009A3AE9">
              <w:t>3/402 (0.75%)</w:t>
            </w:r>
          </w:p>
        </w:tc>
        <w:tc>
          <w:tcPr>
            <w:tcW w:w="956" w:type="pct"/>
            <w:vAlign w:val="center"/>
          </w:tcPr>
          <w:p w14:paraId="66BF77BA" w14:textId="77777777" w:rsidR="00AC0F4E" w:rsidRPr="009A3AE9" w:rsidRDefault="00AC0F4E" w:rsidP="00360CB1">
            <w:pPr>
              <w:pStyle w:val="TableText0"/>
              <w:keepNext w:val="0"/>
              <w:widowControl w:val="0"/>
              <w:jc w:val="center"/>
              <w:rPr>
                <w:b/>
                <w:bCs w:val="0"/>
              </w:rPr>
            </w:pPr>
            <w:r w:rsidRPr="009A3AE9">
              <w:rPr>
                <w:b/>
                <w:bCs w:val="0"/>
              </w:rPr>
              <w:t xml:space="preserve">26.52 </w:t>
            </w:r>
          </w:p>
          <w:p w14:paraId="289FBC41" w14:textId="5784A241" w:rsidR="00AC0F4E" w:rsidRPr="009A3AE9" w:rsidRDefault="00AC0F4E" w:rsidP="00360CB1">
            <w:pPr>
              <w:pStyle w:val="TableText0"/>
              <w:keepNext w:val="0"/>
              <w:widowControl w:val="0"/>
              <w:jc w:val="center"/>
            </w:pPr>
            <w:r w:rsidRPr="009A3AE9">
              <w:rPr>
                <w:b/>
                <w:bCs w:val="0"/>
              </w:rPr>
              <w:t>(8.28, 84.99)</w:t>
            </w:r>
          </w:p>
        </w:tc>
        <w:tc>
          <w:tcPr>
            <w:tcW w:w="956" w:type="pct"/>
            <w:vAlign w:val="center"/>
          </w:tcPr>
          <w:p w14:paraId="3B951B83" w14:textId="77777777" w:rsidR="00AC0F4E" w:rsidRPr="009A3AE9" w:rsidRDefault="00AC0F4E" w:rsidP="00360CB1">
            <w:pPr>
              <w:pStyle w:val="TableText0"/>
              <w:keepNext w:val="0"/>
              <w:widowControl w:val="0"/>
              <w:jc w:val="center"/>
              <w:rPr>
                <w:b/>
                <w:bCs w:val="0"/>
              </w:rPr>
            </w:pPr>
            <w:r w:rsidRPr="009A3AE9">
              <w:rPr>
                <w:b/>
                <w:bCs w:val="0"/>
              </w:rPr>
              <w:t xml:space="preserve">0.16 </w:t>
            </w:r>
          </w:p>
          <w:p w14:paraId="1305C9AE" w14:textId="50711EAB" w:rsidR="00AC0F4E" w:rsidRPr="009A3AE9" w:rsidRDefault="00AC0F4E" w:rsidP="00360CB1">
            <w:pPr>
              <w:pStyle w:val="TableText0"/>
              <w:keepNext w:val="0"/>
              <w:widowControl w:val="0"/>
              <w:jc w:val="center"/>
            </w:pPr>
            <w:r w:rsidRPr="009A3AE9">
              <w:rPr>
                <w:b/>
                <w:bCs w:val="0"/>
              </w:rPr>
              <w:t>(0.12, 0.20)</w:t>
            </w:r>
          </w:p>
        </w:tc>
      </w:tr>
      <w:tr w:rsidR="00AC0F4E" w:rsidRPr="009A3AE9" w14:paraId="2B8C4460" w14:textId="01BB012C" w:rsidTr="004007D2">
        <w:trPr>
          <w:cantSplit/>
          <w:jc w:val="center"/>
        </w:trPr>
        <w:tc>
          <w:tcPr>
            <w:tcW w:w="1177" w:type="pct"/>
            <w:vAlign w:val="center"/>
          </w:tcPr>
          <w:p w14:paraId="674E7C90" w14:textId="77777777" w:rsidR="00AC0F4E" w:rsidRPr="009A3AE9" w:rsidRDefault="00AC0F4E" w:rsidP="00360CB1">
            <w:pPr>
              <w:pStyle w:val="TableText0"/>
              <w:keepNext w:val="0"/>
              <w:widowControl w:val="0"/>
            </w:pPr>
            <w:r w:rsidRPr="009A3AE9">
              <w:t>Grade ≥3 Vomiting</w:t>
            </w:r>
          </w:p>
        </w:tc>
        <w:tc>
          <w:tcPr>
            <w:tcW w:w="955" w:type="pct"/>
            <w:vAlign w:val="center"/>
          </w:tcPr>
          <w:p w14:paraId="490D871D" w14:textId="77777777" w:rsidR="00AC0F4E" w:rsidRPr="009A3AE9" w:rsidRDefault="00AC0F4E" w:rsidP="00360CB1">
            <w:pPr>
              <w:pStyle w:val="TableText0"/>
              <w:keepNext w:val="0"/>
              <w:widowControl w:val="0"/>
              <w:jc w:val="center"/>
              <w:rPr>
                <w:color w:val="000000" w:themeColor="text1"/>
              </w:rPr>
            </w:pPr>
            <w:r w:rsidRPr="009A3AE9">
              <w:rPr>
                <w:color w:val="000000" w:themeColor="text1"/>
              </w:rPr>
              <w:t>19/421 (4.51%)</w:t>
            </w:r>
          </w:p>
        </w:tc>
        <w:tc>
          <w:tcPr>
            <w:tcW w:w="956" w:type="pct"/>
            <w:vAlign w:val="center"/>
          </w:tcPr>
          <w:p w14:paraId="27054578" w14:textId="77777777" w:rsidR="00AC0F4E" w:rsidRPr="009A3AE9" w:rsidRDefault="00AC0F4E" w:rsidP="00360CB1">
            <w:pPr>
              <w:pStyle w:val="TableText0"/>
              <w:keepNext w:val="0"/>
              <w:widowControl w:val="0"/>
              <w:jc w:val="center"/>
            </w:pPr>
            <w:r w:rsidRPr="009A3AE9">
              <w:t>12/402 (2.99%)</w:t>
            </w:r>
          </w:p>
        </w:tc>
        <w:tc>
          <w:tcPr>
            <w:tcW w:w="956" w:type="pct"/>
            <w:vAlign w:val="center"/>
          </w:tcPr>
          <w:p w14:paraId="1106084C" w14:textId="77777777" w:rsidR="00AC0F4E" w:rsidRPr="009A3AE9" w:rsidRDefault="00AC0F4E" w:rsidP="00360CB1">
            <w:pPr>
              <w:pStyle w:val="TableText0"/>
              <w:keepNext w:val="0"/>
              <w:widowControl w:val="0"/>
              <w:jc w:val="center"/>
            </w:pPr>
            <w:r w:rsidRPr="009A3AE9">
              <w:t xml:space="preserve">1.54 </w:t>
            </w:r>
          </w:p>
          <w:p w14:paraId="1046CF95" w14:textId="10602CB3" w:rsidR="00AC0F4E" w:rsidRPr="009A3AE9" w:rsidRDefault="00AC0F4E" w:rsidP="00360CB1">
            <w:pPr>
              <w:pStyle w:val="TableText0"/>
              <w:keepNext w:val="0"/>
              <w:widowControl w:val="0"/>
              <w:jc w:val="center"/>
            </w:pPr>
            <w:r w:rsidRPr="009A3AE9">
              <w:t>(0.74, 3.21)</w:t>
            </w:r>
          </w:p>
        </w:tc>
        <w:tc>
          <w:tcPr>
            <w:tcW w:w="956" w:type="pct"/>
            <w:vAlign w:val="center"/>
          </w:tcPr>
          <w:p w14:paraId="7337F4A8" w14:textId="77777777" w:rsidR="00AC0F4E" w:rsidRPr="009A3AE9" w:rsidRDefault="00AC0F4E" w:rsidP="00360CB1">
            <w:pPr>
              <w:pStyle w:val="TableText0"/>
              <w:keepNext w:val="0"/>
              <w:widowControl w:val="0"/>
              <w:jc w:val="center"/>
            </w:pPr>
            <w:r w:rsidRPr="009A3AE9">
              <w:t>0.02</w:t>
            </w:r>
          </w:p>
          <w:p w14:paraId="07964972" w14:textId="06CB9BA0" w:rsidR="00AC0F4E" w:rsidRPr="009A3AE9" w:rsidRDefault="00AC0F4E" w:rsidP="00360CB1">
            <w:pPr>
              <w:pStyle w:val="TableText0"/>
              <w:keepNext w:val="0"/>
              <w:widowControl w:val="0"/>
              <w:jc w:val="center"/>
            </w:pPr>
            <w:r w:rsidRPr="009A3AE9">
              <w:t>(-0.01, 0.04)</w:t>
            </w:r>
          </w:p>
        </w:tc>
      </w:tr>
      <w:tr w:rsidR="00AC0F4E" w:rsidRPr="00456281" w14:paraId="723EF9C8" w14:textId="2A0A4C31" w:rsidTr="004007D2">
        <w:trPr>
          <w:cantSplit/>
          <w:jc w:val="center"/>
        </w:trPr>
        <w:tc>
          <w:tcPr>
            <w:tcW w:w="1177" w:type="pct"/>
            <w:vAlign w:val="center"/>
          </w:tcPr>
          <w:p w14:paraId="3F27E5ED" w14:textId="77777777" w:rsidR="00AC0F4E" w:rsidRPr="009A3AE9" w:rsidRDefault="00AC0F4E" w:rsidP="00360CB1">
            <w:pPr>
              <w:pStyle w:val="TableText0"/>
              <w:keepNext w:val="0"/>
              <w:widowControl w:val="0"/>
            </w:pPr>
            <w:r w:rsidRPr="009A3AE9">
              <w:t>AE leading to death</w:t>
            </w:r>
          </w:p>
        </w:tc>
        <w:tc>
          <w:tcPr>
            <w:tcW w:w="955" w:type="pct"/>
            <w:vAlign w:val="center"/>
          </w:tcPr>
          <w:p w14:paraId="78AC80C6" w14:textId="77777777" w:rsidR="00AC0F4E" w:rsidRPr="009A3AE9" w:rsidRDefault="00AC0F4E" w:rsidP="00360CB1">
            <w:pPr>
              <w:pStyle w:val="TableText0"/>
              <w:keepNext w:val="0"/>
              <w:widowControl w:val="0"/>
              <w:jc w:val="center"/>
              <w:rPr>
                <w:color w:val="000000" w:themeColor="text1"/>
              </w:rPr>
            </w:pPr>
            <w:r w:rsidRPr="009A3AE9">
              <w:rPr>
                <w:color w:val="000000" w:themeColor="text1"/>
              </w:rPr>
              <w:t>18/421 (4.28%)</w:t>
            </w:r>
          </w:p>
        </w:tc>
        <w:tc>
          <w:tcPr>
            <w:tcW w:w="956" w:type="pct"/>
            <w:vAlign w:val="center"/>
          </w:tcPr>
          <w:p w14:paraId="0CD5174E" w14:textId="77777777" w:rsidR="00AC0F4E" w:rsidRPr="009A3AE9" w:rsidRDefault="00AC0F4E" w:rsidP="00360CB1">
            <w:pPr>
              <w:pStyle w:val="TableText0"/>
              <w:keepNext w:val="0"/>
              <w:widowControl w:val="0"/>
              <w:jc w:val="center"/>
            </w:pPr>
            <w:r w:rsidRPr="009A3AE9">
              <w:t>18/402 (4.48%)</w:t>
            </w:r>
          </w:p>
        </w:tc>
        <w:tc>
          <w:tcPr>
            <w:tcW w:w="956" w:type="pct"/>
            <w:vAlign w:val="center"/>
          </w:tcPr>
          <w:p w14:paraId="1BCA220B" w14:textId="77777777" w:rsidR="00AC0F4E" w:rsidRPr="009A3AE9" w:rsidRDefault="00AC0F4E" w:rsidP="00360CB1">
            <w:pPr>
              <w:pStyle w:val="TableText0"/>
              <w:keepNext w:val="0"/>
              <w:widowControl w:val="0"/>
              <w:jc w:val="center"/>
            </w:pPr>
            <w:r w:rsidRPr="009A3AE9">
              <w:t xml:space="preserve">0.95 </w:t>
            </w:r>
          </w:p>
          <w:p w14:paraId="65EBCA0D" w14:textId="0CBA70E1" w:rsidR="00AC0F4E" w:rsidRPr="009A3AE9" w:rsidRDefault="00AC0F4E" w:rsidP="00360CB1">
            <w:pPr>
              <w:pStyle w:val="TableText0"/>
              <w:keepNext w:val="0"/>
              <w:widowControl w:val="0"/>
              <w:jc w:val="center"/>
            </w:pPr>
            <w:r w:rsidRPr="009A3AE9">
              <w:t>(0.49, 1.86)</w:t>
            </w:r>
          </w:p>
        </w:tc>
        <w:tc>
          <w:tcPr>
            <w:tcW w:w="956" w:type="pct"/>
            <w:vAlign w:val="center"/>
          </w:tcPr>
          <w:p w14:paraId="70BCBCBC" w14:textId="77777777" w:rsidR="00AC0F4E" w:rsidRPr="009A3AE9" w:rsidRDefault="00AC0F4E" w:rsidP="00360CB1">
            <w:pPr>
              <w:pStyle w:val="TableText0"/>
              <w:keepNext w:val="0"/>
              <w:widowControl w:val="0"/>
              <w:jc w:val="center"/>
            </w:pPr>
            <w:r w:rsidRPr="009A3AE9">
              <w:t xml:space="preserve">0 </w:t>
            </w:r>
          </w:p>
          <w:p w14:paraId="21B32FD6" w14:textId="121F5C12" w:rsidR="00AC0F4E" w:rsidRPr="00456281" w:rsidRDefault="00AC0F4E" w:rsidP="00360CB1">
            <w:pPr>
              <w:pStyle w:val="TableText0"/>
              <w:keepNext w:val="0"/>
              <w:widowControl w:val="0"/>
              <w:jc w:val="center"/>
            </w:pPr>
            <w:r w:rsidRPr="009A3AE9">
              <w:t>(-0.03, 0.03)</w:t>
            </w:r>
          </w:p>
        </w:tc>
      </w:tr>
    </w:tbl>
    <w:p w14:paraId="75017413" w14:textId="77777777" w:rsidR="00016609" w:rsidRPr="00456281" w:rsidRDefault="00016609" w:rsidP="00016609">
      <w:pPr>
        <w:pStyle w:val="FooterTableFigure"/>
      </w:pPr>
      <w:r w:rsidRPr="00456281">
        <w:t>Source: Table 1 and Table 2, p11-12 of Appendix A.</w:t>
      </w:r>
    </w:p>
    <w:p w14:paraId="53CEF802" w14:textId="77583CDA" w:rsidR="00016609" w:rsidRPr="00456281" w:rsidRDefault="00016609" w:rsidP="00016609">
      <w:pPr>
        <w:pStyle w:val="FooterTableFigure"/>
      </w:pPr>
      <w:r w:rsidRPr="00456281">
        <w:t xml:space="preserve">Abbreviations: AE, adverse event; CI, confidence interval; FOLFIRINOX, 5-fluorouracil, Leucovorin/folinic acid, standard irinotecan, and oxaliplatin; Gem+NabP, gemcitabine plus nanoparticle </w:t>
      </w:r>
      <w:r w:rsidR="00D83C9B" w:rsidRPr="00456281">
        <w:t>albumin-bound</w:t>
      </w:r>
      <w:r w:rsidRPr="00456281">
        <w:t xml:space="preserve"> paclitaxel; NALIRIFOX, 5-fluorouracil, Leucovorin/folinic acid, nanoliposomal irinotecan (nal-IRI), and oxaliplatin; NS, not specified; OR, odds ratio; RD, risk difference</w:t>
      </w:r>
      <w:r w:rsidR="00F92A07" w:rsidRPr="00456281">
        <w:t xml:space="preserve">; RR, </w:t>
      </w:r>
      <w:r w:rsidR="00457C53" w:rsidRPr="00456281">
        <w:t>risk ratio</w:t>
      </w:r>
      <w:r w:rsidR="00F63629" w:rsidRPr="00456281">
        <w:t>; TRAE, treatment-related adverse event</w:t>
      </w:r>
      <w:r w:rsidR="00457C53" w:rsidRPr="00456281">
        <w:t>.</w:t>
      </w:r>
    </w:p>
    <w:p w14:paraId="460D4F59" w14:textId="77777777" w:rsidR="00016609" w:rsidRPr="00456281" w:rsidRDefault="00016609" w:rsidP="00016609">
      <w:pPr>
        <w:pStyle w:val="FooterTableFigure"/>
      </w:pPr>
      <w:r w:rsidRPr="00456281">
        <w:rPr>
          <w:vertAlign w:val="superscript"/>
        </w:rPr>
        <w:t>a</w:t>
      </w:r>
      <w:r w:rsidRPr="00456281">
        <w:t xml:space="preserve"> Based on post hoc analyses of direct comparisons included in each trial. All safety analyses were based on safety populations.</w:t>
      </w:r>
    </w:p>
    <w:p w14:paraId="1E37613B" w14:textId="3F4BFA17" w:rsidR="00016609" w:rsidRPr="00456281" w:rsidRDefault="00016609" w:rsidP="00016609">
      <w:pPr>
        <w:pStyle w:val="FooterTableFigure"/>
      </w:pPr>
      <w:r w:rsidRPr="00456281">
        <w:t xml:space="preserve">Note: In the ACCORD11/PRODIGE4 and NAPOLI-3 trials, </w:t>
      </w:r>
      <w:r w:rsidR="003E7065" w:rsidRPr="00456281">
        <w:t>includes</w:t>
      </w:r>
      <w:r w:rsidRPr="00456281">
        <w:t xml:space="preserve"> Grade 3 and Grade 4 events only; In the MPACT trial, includes Grade 3, 4 and possibly Grade 5 events. This is unclear in the publication.</w:t>
      </w:r>
    </w:p>
    <w:p w14:paraId="4D99E9DA" w14:textId="618855C0" w:rsidR="00016609" w:rsidRPr="00456281" w:rsidRDefault="00016609" w:rsidP="00016609">
      <w:pPr>
        <w:pStyle w:val="FooterTableFigure"/>
        <w:rPr>
          <w:i/>
          <w:iCs/>
        </w:rPr>
      </w:pPr>
      <w:r w:rsidRPr="00456281">
        <w:t xml:space="preserve">Results in bold indicate </w:t>
      </w:r>
      <w:r w:rsidR="00D80DEE" w:rsidRPr="00456281">
        <w:t xml:space="preserve">a </w:t>
      </w:r>
      <w:r w:rsidRPr="00456281">
        <w:t>statistically significant difference (p &lt; 0.05) based on post hoc analyses. This analysis was not powered to detect statistical differences in the occurrence of safety events; apparent differences shown in relative measures of effect are exploratory only</w:t>
      </w:r>
      <w:r w:rsidR="00D23FE2" w:rsidRPr="00456281">
        <w:t>.</w:t>
      </w:r>
    </w:p>
    <w:bookmarkEnd w:id="89"/>
    <w:p w14:paraId="24AD2CBC" w14:textId="64D834B0" w:rsidR="00016609" w:rsidRPr="00456281" w:rsidRDefault="00016609" w:rsidP="00016609">
      <w:pPr>
        <w:pStyle w:val="3-BodyText"/>
      </w:pPr>
      <w:r w:rsidRPr="00456281">
        <w:t xml:space="preserve">The most frequent Grade </w:t>
      </w:r>
      <w:r w:rsidR="003E7065" w:rsidRPr="00456281">
        <w:t>3-4</w:t>
      </w:r>
      <w:r w:rsidRPr="00456281">
        <w:t xml:space="preserve"> drug-related AEs (≥ 10% of patients) for FOLFIRINOX were neutropenia (45.7%), fatigue (23.6%), vomiting (14.5%) and diarrhoea (12.7%). In contrast, diarrhoea (19.5%) and neutropenia (14.1%) were the most frequent Grade ≥</w:t>
      </w:r>
      <w:r w:rsidR="00360CB1">
        <w:t> </w:t>
      </w:r>
      <w:r w:rsidRPr="00456281">
        <w:t>3 drug-related AEs (≥</w:t>
      </w:r>
      <w:r w:rsidR="00360CB1">
        <w:t> </w:t>
      </w:r>
      <w:r w:rsidRPr="00456281">
        <w:t xml:space="preserve">10% of patients) for NALIRIFOX. </w:t>
      </w:r>
      <w:r w:rsidR="006E7743" w:rsidRPr="00456281">
        <w:t>W</w:t>
      </w:r>
      <w:r w:rsidRPr="00456281">
        <w:t xml:space="preserve">ith the exception of </w:t>
      </w:r>
      <w:r w:rsidR="00996E3D" w:rsidRPr="00456281">
        <w:t>diarrh</w:t>
      </w:r>
      <w:r w:rsidR="006E7743" w:rsidRPr="00456281">
        <w:t>oea</w:t>
      </w:r>
      <w:r w:rsidR="00996E3D" w:rsidRPr="00456281">
        <w:t xml:space="preserve"> </w:t>
      </w:r>
      <w:r w:rsidRPr="00456281">
        <w:t>and AE</w:t>
      </w:r>
      <w:r w:rsidR="00F63629" w:rsidRPr="00456281">
        <w:t>s</w:t>
      </w:r>
      <w:r w:rsidRPr="00456281">
        <w:t xml:space="preserve"> leading to death</w:t>
      </w:r>
      <w:r w:rsidR="00EC6AF8" w:rsidRPr="00456281">
        <w:t xml:space="preserve"> (which were reported at a higher frequency for NALIRIFOX), and anaemia (which was reported at a similar frequency to NALIRIFOX)</w:t>
      </w:r>
      <w:r w:rsidRPr="00456281">
        <w:t>, all adverse events for which data were available</w:t>
      </w:r>
      <w:r w:rsidR="00EC6AF8" w:rsidRPr="00456281">
        <w:t xml:space="preserve"> </w:t>
      </w:r>
      <w:r w:rsidRPr="00456281">
        <w:t>were reported at a higher frequency with FOLFIRINOX compared to NALIRIFOX</w:t>
      </w:r>
      <w:r w:rsidR="00F63629" w:rsidRPr="00456281">
        <w:t xml:space="preserve">; however, </w:t>
      </w:r>
      <w:r w:rsidR="00EC6AF8" w:rsidRPr="00456281">
        <w:t>t</w:t>
      </w:r>
      <w:r w:rsidR="00940DD6" w:rsidRPr="00456281">
        <w:t xml:space="preserve">he </w:t>
      </w:r>
      <w:r w:rsidR="00634792" w:rsidRPr="00456281">
        <w:t xml:space="preserve">reported </w:t>
      </w:r>
      <w:r w:rsidR="00940DD6" w:rsidRPr="00456281">
        <w:t xml:space="preserve">higher frequency of AEs seen with FOLFIRINOX </w:t>
      </w:r>
      <w:r w:rsidRPr="00456281">
        <w:t xml:space="preserve">may be overestimated due to the longer duration of treatment follow up in the FOLFIRINOX arm in the ACCORD11/PRODIGE4 trial (median 26.6 months [95%CI: 20.5, 44.9]) compared to the NALIRIFOX arm in </w:t>
      </w:r>
      <w:r w:rsidR="00EC6AF8" w:rsidRPr="00456281">
        <w:t xml:space="preserve">the </w:t>
      </w:r>
      <w:r w:rsidRPr="00456281">
        <w:t>NAPOLI-3 trial (median 16.0 months [95%CI: 15.0, 16.8])</w:t>
      </w:r>
      <w:r w:rsidR="00E46A8A" w:rsidRPr="00456281">
        <w:t>.</w:t>
      </w:r>
    </w:p>
    <w:p w14:paraId="2299E84A" w14:textId="77777777" w:rsidR="00016609" w:rsidRPr="00456281" w:rsidRDefault="00016609" w:rsidP="00016609">
      <w:pPr>
        <w:pStyle w:val="3-BodyText"/>
      </w:pPr>
      <w:r w:rsidRPr="00456281">
        <w:t>Based on post hoc analyses, FOLFIRINOX appears to be associated with statistically significantly more adverse events than gemcitabine for neutropenia, thrombocytopenia, febrile neutropenia, diarrhoea and peripheral neuropathy, whereas Gem+NabP is found to be associated with statistically significantly more adverse events than gemcitabine for neutropenia, fatigue, diarrhoea and sensory neuropathy.</w:t>
      </w:r>
    </w:p>
    <w:p w14:paraId="3F8B6E12" w14:textId="09631F69" w:rsidR="000627C4" w:rsidRPr="00456281" w:rsidRDefault="000627C4" w:rsidP="00016609">
      <w:pPr>
        <w:pStyle w:val="3-BodyText"/>
      </w:pPr>
      <w:r w:rsidRPr="00456281">
        <w:t xml:space="preserve">The ESC noted that the Nichetti et al. (2024) meta-analysis presented </w:t>
      </w:r>
      <w:r w:rsidR="004A1D3D" w:rsidRPr="00456281">
        <w:t xml:space="preserve">a comparison of the incidence of </w:t>
      </w:r>
      <w:r w:rsidR="00020C06" w:rsidRPr="00456281">
        <w:t>Grade</w:t>
      </w:r>
      <w:r w:rsidR="00020C06" w:rsidRPr="00456281">
        <w:rPr>
          <w:rFonts w:cstheme="minorHAnsi"/>
        </w:rPr>
        <w:t xml:space="preserve"> </w:t>
      </w:r>
      <w:r w:rsidR="000145C8" w:rsidRPr="00456281">
        <w:rPr>
          <w:rFonts w:cstheme="minorHAnsi"/>
        </w:rPr>
        <w:t>≥</w:t>
      </w:r>
      <w:r w:rsidR="000145C8" w:rsidRPr="00456281">
        <w:t xml:space="preserve">3 </w:t>
      </w:r>
      <w:r w:rsidR="00337FD2" w:rsidRPr="00456281">
        <w:t>AEs</w:t>
      </w:r>
      <w:r w:rsidR="000145C8" w:rsidRPr="00456281">
        <w:t xml:space="preserve"> across NALIRIFOX, FOLFIRINOX and Ge</w:t>
      </w:r>
      <w:r w:rsidR="00BB51FB" w:rsidRPr="00456281">
        <w:t>m</w:t>
      </w:r>
      <w:r w:rsidR="000145C8" w:rsidRPr="00456281">
        <w:t xml:space="preserve">+NabP. As shown in </w:t>
      </w:r>
      <w:r w:rsidR="000145C8" w:rsidRPr="00456281">
        <w:fldChar w:fldCharType="begin"/>
      </w:r>
      <w:r w:rsidR="000145C8" w:rsidRPr="00456281">
        <w:instrText xml:space="preserve"> REF _Ref158797393 \h </w:instrText>
      </w:r>
      <w:r w:rsidR="00D80DEE" w:rsidRPr="00456281">
        <w:instrText xml:space="preserve"> \* MERGEFORMAT </w:instrText>
      </w:r>
      <w:r w:rsidR="000145C8" w:rsidRPr="00456281">
        <w:fldChar w:fldCharType="separate"/>
      </w:r>
      <w:r w:rsidR="00EE5AD4" w:rsidRPr="00456281">
        <w:t xml:space="preserve">Figure </w:t>
      </w:r>
      <w:r w:rsidR="00EE5AD4">
        <w:t>4</w:t>
      </w:r>
      <w:r w:rsidR="000145C8" w:rsidRPr="00456281">
        <w:fldChar w:fldCharType="end"/>
      </w:r>
      <w:r w:rsidR="000145C8" w:rsidRPr="00456281">
        <w:t>, and consistent with the results presented in the submission</w:t>
      </w:r>
      <w:r w:rsidR="00D80DEE" w:rsidRPr="00456281">
        <w:t xml:space="preserve"> and described above</w:t>
      </w:r>
      <w:r w:rsidR="000145C8" w:rsidRPr="00456281">
        <w:t xml:space="preserve">, Gem+NabP is associated with a higher incidence of </w:t>
      </w:r>
      <w:r w:rsidR="000145C8" w:rsidRPr="00456281">
        <w:rPr>
          <w:rFonts w:cstheme="minorHAnsi"/>
        </w:rPr>
        <w:t>≥</w:t>
      </w:r>
      <w:r w:rsidR="00360CB1">
        <w:rPr>
          <w:rFonts w:cstheme="minorHAnsi"/>
        </w:rPr>
        <w:t> </w:t>
      </w:r>
      <w:r w:rsidR="00D80DEE" w:rsidRPr="00456281">
        <w:t>G</w:t>
      </w:r>
      <w:r w:rsidR="000145C8" w:rsidRPr="00456281">
        <w:t>rade</w:t>
      </w:r>
      <w:r w:rsidR="00360CB1">
        <w:t> </w:t>
      </w:r>
      <w:r w:rsidR="000145C8" w:rsidRPr="00456281">
        <w:t xml:space="preserve">3 haematological </w:t>
      </w:r>
      <w:r w:rsidR="00337FD2" w:rsidRPr="00456281">
        <w:t>AEs</w:t>
      </w:r>
      <w:r w:rsidR="000145C8" w:rsidRPr="00456281">
        <w:t xml:space="preserve"> than NALIRIFOX (p</w:t>
      </w:r>
      <w:r w:rsidR="007548CB" w:rsidRPr="00456281">
        <w:t>=</w:t>
      </w:r>
      <w:r w:rsidR="000145C8" w:rsidRPr="00456281">
        <w:t>0.003</w:t>
      </w:r>
      <w:r w:rsidR="007548CB" w:rsidRPr="00456281">
        <w:t>, &lt;0.003 and</w:t>
      </w:r>
      <w:r w:rsidR="000145C8" w:rsidRPr="00456281">
        <w:t xml:space="preserve"> 0.001 for anaemia, </w:t>
      </w:r>
      <w:r w:rsidR="007548CB" w:rsidRPr="00456281">
        <w:t>neutrophil</w:t>
      </w:r>
      <w:r w:rsidR="000145C8" w:rsidRPr="00456281">
        <w:t xml:space="preserve"> count decreased and </w:t>
      </w:r>
      <w:r w:rsidR="007548CB" w:rsidRPr="00456281">
        <w:t>platelet count decreased, respectively)</w:t>
      </w:r>
      <w:r w:rsidR="000145C8" w:rsidRPr="00456281">
        <w:t xml:space="preserve">, while NALIRIFOX is associated with a higher incidence of </w:t>
      </w:r>
      <w:r w:rsidR="000145C8" w:rsidRPr="00456281">
        <w:rPr>
          <w:rFonts w:cstheme="minorHAnsi"/>
        </w:rPr>
        <w:t>≥</w:t>
      </w:r>
      <w:r w:rsidR="000145C8" w:rsidRPr="00456281">
        <w:t xml:space="preserve">grade 3 diarrhoea (p&lt;0.001). The incidence of </w:t>
      </w:r>
      <w:r w:rsidR="003E7065" w:rsidRPr="00456281">
        <w:rPr>
          <w:rFonts w:cstheme="minorHAnsi"/>
        </w:rPr>
        <w:t>Grade ≥</w:t>
      </w:r>
      <w:r w:rsidR="000145C8" w:rsidRPr="00456281">
        <w:t xml:space="preserve">3 diarrhoea was also numerically higher for NALIRIFOX compared </w:t>
      </w:r>
      <w:r w:rsidR="000145C8" w:rsidRPr="00456281">
        <w:lastRenderedPageBreak/>
        <w:t>with FOLFIRINOX</w:t>
      </w:r>
      <w:r w:rsidR="007548CB" w:rsidRPr="00456281">
        <w:t xml:space="preserve"> (20.3% versus 16.8%)</w:t>
      </w:r>
      <w:r w:rsidR="000145C8" w:rsidRPr="00456281">
        <w:t xml:space="preserve">, although this difference was not statistically significant (p=0.35). </w:t>
      </w:r>
    </w:p>
    <w:p w14:paraId="572384E7" w14:textId="68A2615B" w:rsidR="00A66FE7" w:rsidRPr="00456281" w:rsidRDefault="00A66FE7" w:rsidP="00360CB1">
      <w:pPr>
        <w:pStyle w:val="Caption"/>
      </w:pPr>
      <w:bookmarkStart w:id="90" w:name="_Ref158797393"/>
      <w:r w:rsidRPr="00456281">
        <w:t xml:space="preserve">Figure </w:t>
      </w:r>
      <w:r w:rsidR="00B75F7B">
        <w:fldChar w:fldCharType="begin"/>
      </w:r>
      <w:r w:rsidR="00B75F7B">
        <w:instrText xml:space="preserve"> SEQ Figure \* ARABIC </w:instrText>
      </w:r>
      <w:r w:rsidR="00B75F7B">
        <w:fldChar w:fldCharType="separate"/>
      </w:r>
      <w:r w:rsidR="00EE5AD4">
        <w:rPr>
          <w:noProof/>
        </w:rPr>
        <w:t>4</w:t>
      </w:r>
      <w:r w:rsidR="00B75F7B">
        <w:fldChar w:fldCharType="end"/>
      </w:r>
      <w:bookmarkEnd w:id="90"/>
      <w:r w:rsidRPr="00456281">
        <w:t>: Reporting Incidence of Grade 3 or Higher Toxic Effects According to the Pooled Treatment Regimens</w:t>
      </w:r>
    </w:p>
    <w:p w14:paraId="00807DB5" w14:textId="1BA00E64" w:rsidR="00A66FE7" w:rsidRPr="00456281" w:rsidRDefault="00A66FE7" w:rsidP="00360CB1">
      <w:pPr>
        <w:keepNext/>
      </w:pPr>
      <w:r w:rsidRPr="00456281">
        <w:rPr>
          <w:noProof/>
        </w:rPr>
        <w:drawing>
          <wp:inline distT="0" distB="0" distL="0" distR="0" wp14:anchorId="3D407C4F" wp14:editId="10490151">
            <wp:extent cx="4962525" cy="2428875"/>
            <wp:effectExtent l="0" t="0" r="9525" b="9525"/>
            <wp:docPr id="1" name="Picture 1" descr="Figure 4: Reporting Incidence of Grade 3 or Higher Toxic Effects According to the Pooled Treatment Regim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4: Reporting Incidence of Grade 3 or Higher Toxic Effects According to the Pooled Treatment Regime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62525" cy="2428875"/>
                    </a:xfrm>
                    <a:prstGeom prst="rect">
                      <a:avLst/>
                    </a:prstGeom>
                    <a:noFill/>
                    <a:ln>
                      <a:noFill/>
                    </a:ln>
                  </pic:spPr>
                </pic:pic>
              </a:graphicData>
            </a:graphic>
          </wp:inline>
        </w:drawing>
      </w:r>
    </w:p>
    <w:p w14:paraId="1E10FBB1" w14:textId="35C5C0BF" w:rsidR="00A66FE7" w:rsidRPr="00456281" w:rsidRDefault="00A66FE7" w:rsidP="00360CB1">
      <w:pPr>
        <w:pStyle w:val="FooterTableFigure"/>
        <w:keepNext/>
        <w:spacing w:after="0"/>
      </w:pPr>
      <w:r w:rsidRPr="00456281">
        <w:t>Source: Nichetti et al. (2024) – Figure 3, page 8</w:t>
      </w:r>
    </w:p>
    <w:p w14:paraId="23AECAF6" w14:textId="77777777" w:rsidR="00A66FE7" w:rsidRPr="00456281" w:rsidRDefault="00A66FE7" w:rsidP="00360CB1">
      <w:pPr>
        <w:pStyle w:val="FooterTableFigure"/>
        <w:keepNext/>
        <w:spacing w:after="0"/>
      </w:pPr>
      <w:r w:rsidRPr="00456281">
        <w:t>P values of adjusted logistic regression models are plotted for each comparison.</w:t>
      </w:r>
    </w:p>
    <w:p w14:paraId="5F3BD201" w14:textId="0644A966" w:rsidR="00A66FE7" w:rsidRPr="00456281" w:rsidRDefault="00A66FE7" w:rsidP="00360CB1">
      <w:pPr>
        <w:pStyle w:val="FooterTableFigure"/>
        <w:keepNext/>
        <w:spacing w:after="0"/>
      </w:pPr>
      <w:r w:rsidRPr="00456281">
        <w:t xml:space="preserve">FOLFIRINOX indicates irinotecan, oxaliplatin, folinic acid, and </w:t>
      </w:r>
      <w:r w:rsidR="00BB51FB" w:rsidRPr="00456281">
        <w:t>fluorouracil</w:t>
      </w:r>
      <w:r w:rsidRPr="00456281">
        <w:t xml:space="preserve">; GEM-NABP, gemcitabine and nab-paclitaxel; NALIRIFOX, liposomal irinotecan, oxaliplatin, folinic acid, and </w:t>
      </w:r>
      <w:r w:rsidR="00BB51FB" w:rsidRPr="00456281">
        <w:t>fluorouracil</w:t>
      </w:r>
      <w:r w:rsidRPr="00456281">
        <w:t>.</w:t>
      </w:r>
    </w:p>
    <w:p w14:paraId="18E1B448" w14:textId="220F5FF9" w:rsidR="00A66FE7" w:rsidRPr="00456281" w:rsidRDefault="00A66FE7" w:rsidP="00360CB1">
      <w:pPr>
        <w:pStyle w:val="FooterTableFigure"/>
        <w:keepNext/>
        <w:spacing w:after="0"/>
      </w:pPr>
      <w:r w:rsidRPr="00456281">
        <w:rPr>
          <w:vertAlign w:val="superscript"/>
        </w:rPr>
        <w:t>a</w:t>
      </w:r>
      <w:r w:rsidRPr="00456281">
        <w:t xml:space="preserve"> Equivalent terms reported separately in original reports were pooled before the analysis, including neutrophil count decreased and neutropenia, peripheral neuropathy and peripheral sensory neuropathy, and fatigue and asthenia.</w:t>
      </w:r>
    </w:p>
    <w:p w14:paraId="63B8D3AE" w14:textId="5A370F8E" w:rsidR="00A66FE7" w:rsidRPr="00456281" w:rsidRDefault="00A66FE7" w:rsidP="004007D2">
      <w:pPr>
        <w:pStyle w:val="FooterTableFigure"/>
      </w:pPr>
      <w:r w:rsidRPr="00456281">
        <w:rPr>
          <w:vertAlign w:val="superscript"/>
        </w:rPr>
        <w:t>b</w:t>
      </w:r>
      <w:r w:rsidRPr="00456281">
        <w:t xml:space="preserve"> The following toxic effects were not detailed in all trials: platelet count decreased and fatigue rates were not available in CanStem111P trial results; diarrhea rates were not available in HALO trial results; peripheral neuropathy rates were not available in CanStem111P, HALO, and AVENGER500 trial results; vomit rates were not available in CanStem111P, MPACT, HALO, and AVENGER500 trial results.</w:t>
      </w:r>
    </w:p>
    <w:p w14:paraId="05711702" w14:textId="77777777" w:rsidR="00016609" w:rsidRPr="00456281" w:rsidRDefault="00016609" w:rsidP="00016609">
      <w:pPr>
        <w:pStyle w:val="4-SubsectionHeading"/>
      </w:pPr>
      <w:bookmarkStart w:id="91" w:name="_Toc157002552"/>
      <w:r w:rsidRPr="00456281">
        <w:t>Benefits/harms</w:t>
      </w:r>
      <w:bookmarkEnd w:id="91"/>
    </w:p>
    <w:p w14:paraId="2293F46E" w14:textId="5870D40F" w:rsidR="00D80DEE" w:rsidRPr="00456281" w:rsidRDefault="00D80DEE" w:rsidP="004007D2">
      <w:pPr>
        <w:pStyle w:val="5-SubsectionSubheading"/>
      </w:pPr>
      <w:r w:rsidRPr="00456281">
        <w:t>NALIRIFOX versus Gem+NabP</w:t>
      </w:r>
    </w:p>
    <w:p w14:paraId="5E8C5D13" w14:textId="2C92B6A4" w:rsidR="00016609" w:rsidRPr="00456281" w:rsidRDefault="00016609" w:rsidP="004051EC">
      <w:pPr>
        <w:pStyle w:val="3-BodyText"/>
      </w:pPr>
      <w:r w:rsidRPr="00456281">
        <w:t xml:space="preserve">A summary of the comparative benefits </w:t>
      </w:r>
      <w:r w:rsidR="00411C56" w:rsidRPr="00456281">
        <w:t xml:space="preserve">and harms </w:t>
      </w:r>
      <w:r w:rsidRPr="00456281">
        <w:t xml:space="preserve">of NALIRIFOX versus Gem+NabP is presented in </w:t>
      </w:r>
      <w:r w:rsidR="004051EC" w:rsidRPr="00456281">
        <w:fldChar w:fldCharType="begin"/>
      </w:r>
      <w:r w:rsidR="004051EC" w:rsidRPr="00456281">
        <w:instrText xml:space="preserve"> REF _Ref156383693 \h </w:instrText>
      </w:r>
      <w:r w:rsidR="004051EC" w:rsidRPr="00456281">
        <w:fldChar w:fldCharType="separate"/>
      </w:r>
      <w:r w:rsidR="00EE5AD4" w:rsidRPr="00456281">
        <w:t xml:space="preserve">Table </w:t>
      </w:r>
      <w:r w:rsidR="00EE5AD4">
        <w:rPr>
          <w:noProof/>
        </w:rPr>
        <w:t>12</w:t>
      </w:r>
      <w:r w:rsidR="004051EC" w:rsidRPr="00456281">
        <w:fldChar w:fldCharType="end"/>
      </w:r>
      <w:r w:rsidRPr="00456281">
        <w:t xml:space="preserve">. </w:t>
      </w:r>
    </w:p>
    <w:p w14:paraId="447B78AF" w14:textId="6705773B" w:rsidR="00016609" w:rsidRPr="00456281" w:rsidRDefault="00016609" w:rsidP="002B3A12">
      <w:pPr>
        <w:pStyle w:val="TableFigureHeading"/>
        <w:rPr>
          <w:rStyle w:val="CommentReference"/>
          <w:b/>
          <w:szCs w:val="24"/>
        </w:rPr>
      </w:pPr>
      <w:bookmarkStart w:id="92" w:name="_Ref153723481"/>
      <w:bookmarkStart w:id="93" w:name="_Ref156383693"/>
      <w:r w:rsidRPr="00456281">
        <w:lastRenderedPageBreak/>
        <w:t xml:space="preserve">Table </w:t>
      </w:r>
      <w:r w:rsidR="00B75F7B">
        <w:fldChar w:fldCharType="begin"/>
      </w:r>
      <w:r w:rsidR="00B75F7B">
        <w:instrText xml:space="preserve"> SEQ Table \* ARABIC </w:instrText>
      </w:r>
      <w:r w:rsidR="00B75F7B">
        <w:fldChar w:fldCharType="separate"/>
      </w:r>
      <w:r w:rsidR="00EE5AD4">
        <w:rPr>
          <w:noProof/>
        </w:rPr>
        <w:t>12</w:t>
      </w:r>
      <w:r w:rsidR="00B75F7B">
        <w:fldChar w:fldCharType="end"/>
      </w:r>
      <w:bookmarkEnd w:id="92"/>
      <w:bookmarkEnd w:id="93"/>
      <w:r w:rsidRPr="00456281">
        <w:t xml:space="preserve">: </w:t>
      </w:r>
      <w:r w:rsidRPr="00456281">
        <w:rPr>
          <w:rStyle w:val="CommentReference"/>
          <w:b/>
          <w:szCs w:val="24"/>
        </w:rPr>
        <w:t xml:space="preserve">Summary of comparative benefits </w:t>
      </w:r>
      <w:r w:rsidR="0074319D" w:rsidRPr="00456281">
        <w:rPr>
          <w:rStyle w:val="CommentReference"/>
          <w:b/>
          <w:szCs w:val="24"/>
        </w:rPr>
        <w:t xml:space="preserve">and harms </w:t>
      </w:r>
      <w:r w:rsidRPr="00456281">
        <w:rPr>
          <w:rStyle w:val="CommentReference"/>
          <w:b/>
          <w:szCs w:val="24"/>
        </w:rPr>
        <w:t xml:space="preserve">for </w:t>
      </w:r>
      <w:r w:rsidR="00844202" w:rsidRPr="00456281">
        <w:rPr>
          <w:rStyle w:val="CommentReference"/>
          <w:b/>
          <w:szCs w:val="24"/>
        </w:rPr>
        <w:t>NALIRIFOX</w:t>
      </w:r>
      <w:r w:rsidRPr="00456281">
        <w:rPr>
          <w:rStyle w:val="CommentReference"/>
          <w:b/>
          <w:szCs w:val="24"/>
        </w:rPr>
        <w:t xml:space="preserve"> and </w:t>
      </w:r>
      <w:r w:rsidR="00844202" w:rsidRPr="00456281">
        <w:rPr>
          <w:rStyle w:val="CommentReference"/>
          <w:b/>
          <w:szCs w:val="24"/>
        </w:rPr>
        <w:t>Gem+NabP</w:t>
      </w:r>
    </w:p>
    <w:tbl>
      <w:tblPr>
        <w:tblStyle w:val="TableGrid"/>
        <w:tblW w:w="5000" w:type="pct"/>
        <w:tblLayout w:type="fixed"/>
        <w:tblCellMar>
          <w:left w:w="28" w:type="dxa"/>
          <w:right w:w="28" w:type="dxa"/>
        </w:tblCellMar>
        <w:tblLook w:val="04A0" w:firstRow="1" w:lastRow="0" w:firstColumn="1" w:lastColumn="0" w:noHBand="0" w:noVBand="1"/>
        <w:tblCaption w:val="Table 12: Summary of comparative benefits and harms for NALIRIFOX and Gem+NabP"/>
      </w:tblPr>
      <w:tblGrid>
        <w:gridCol w:w="2122"/>
        <w:gridCol w:w="992"/>
        <w:gridCol w:w="157"/>
        <w:gridCol w:w="1149"/>
        <w:gridCol w:w="397"/>
        <w:gridCol w:w="696"/>
        <w:gridCol w:w="1006"/>
        <w:gridCol w:w="200"/>
        <w:gridCol w:w="936"/>
        <w:gridCol w:w="213"/>
        <w:gridCol w:w="7"/>
        <w:gridCol w:w="1142"/>
      </w:tblGrid>
      <w:tr w:rsidR="009E2A20" w:rsidRPr="009A3AE9" w14:paraId="02A0CECD" w14:textId="77777777" w:rsidTr="00AE0F42">
        <w:trPr>
          <w:trHeight w:val="20"/>
        </w:trPr>
        <w:tc>
          <w:tcPr>
            <w:tcW w:w="1727" w:type="pct"/>
            <w:gridSpan w:val="2"/>
            <w:tcBorders>
              <w:bottom w:val="single" w:sz="4" w:space="0" w:color="auto"/>
            </w:tcBorders>
            <w:shd w:val="clear" w:color="auto" w:fill="auto"/>
          </w:tcPr>
          <w:p w14:paraId="4FD1B860" w14:textId="77777777" w:rsidR="009E2A20" w:rsidRPr="009A3AE9" w:rsidRDefault="009E2A20" w:rsidP="00956744">
            <w:pPr>
              <w:pStyle w:val="In-tableHeading"/>
              <w:rPr>
                <w:lang w:val="en-AU"/>
              </w:rPr>
            </w:pPr>
            <w:r w:rsidRPr="009A3AE9">
              <w:rPr>
                <w:lang w:val="en-AU"/>
              </w:rPr>
              <w:t>Event</w:t>
            </w:r>
          </w:p>
        </w:tc>
        <w:tc>
          <w:tcPr>
            <w:tcW w:w="944" w:type="pct"/>
            <w:gridSpan w:val="3"/>
            <w:tcBorders>
              <w:bottom w:val="single" w:sz="4" w:space="0" w:color="auto"/>
            </w:tcBorders>
            <w:shd w:val="clear" w:color="auto" w:fill="auto"/>
          </w:tcPr>
          <w:p w14:paraId="3B9B1CCF" w14:textId="77777777" w:rsidR="009E2A20" w:rsidRPr="009A3AE9" w:rsidRDefault="009E2A20" w:rsidP="00956744">
            <w:pPr>
              <w:pStyle w:val="In-tableHeading"/>
              <w:jc w:val="center"/>
              <w:rPr>
                <w:lang w:val="en-AU"/>
              </w:rPr>
            </w:pPr>
            <w:r w:rsidRPr="009A3AE9">
              <w:rPr>
                <w:lang w:val="en-AU"/>
              </w:rPr>
              <w:t>NALIRIFOX</w:t>
            </w:r>
          </w:p>
          <w:p w14:paraId="48ACF42F" w14:textId="33A417D8" w:rsidR="009E2A20" w:rsidRPr="009A3AE9" w:rsidRDefault="009E2A20" w:rsidP="000B4DE7">
            <w:pPr>
              <w:pStyle w:val="In-tableHeading"/>
              <w:jc w:val="center"/>
              <w:rPr>
                <w:lang w:val="en-AU"/>
              </w:rPr>
            </w:pPr>
            <w:r w:rsidRPr="009A3AE9">
              <w:rPr>
                <w:lang w:val="en-AU"/>
              </w:rPr>
              <w:t>n (%)</w:t>
            </w:r>
          </w:p>
        </w:tc>
        <w:tc>
          <w:tcPr>
            <w:tcW w:w="944" w:type="pct"/>
            <w:gridSpan w:val="2"/>
            <w:tcBorders>
              <w:bottom w:val="single" w:sz="4" w:space="0" w:color="auto"/>
            </w:tcBorders>
            <w:shd w:val="clear" w:color="auto" w:fill="auto"/>
          </w:tcPr>
          <w:p w14:paraId="2E2097C0" w14:textId="77777777" w:rsidR="009E2A20" w:rsidRPr="009A3AE9" w:rsidRDefault="009E2A20" w:rsidP="00956744">
            <w:pPr>
              <w:pStyle w:val="In-tableHeading"/>
              <w:jc w:val="center"/>
              <w:rPr>
                <w:lang w:val="en-AU"/>
              </w:rPr>
            </w:pPr>
            <w:r w:rsidRPr="009A3AE9">
              <w:rPr>
                <w:lang w:val="en-AU"/>
              </w:rPr>
              <w:t>Gem+NabP</w:t>
            </w:r>
          </w:p>
          <w:p w14:paraId="336A7113" w14:textId="2257CC2A" w:rsidR="009E2A20" w:rsidRPr="009A3AE9" w:rsidRDefault="009E2A20" w:rsidP="00956744">
            <w:pPr>
              <w:pStyle w:val="In-tableHeading"/>
              <w:jc w:val="center"/>
              <w:rPr>
                <w:lang w:val="en-AU"/>
              </w:rPr>
            </w:pPr>
            <w:r w:rsidRPr="009A3AE9">
              <w:rPr>
                <w:lang w:val="en-AU"/>
              </w:rPr>
              <w:t>n (%)</w:t>
            </w:r>
          </w:p>
        </w:tc>
        <w:tc>
          <w:tcPr>
            <w:tcW w:w="630" w:type="pct"/>
            <w:gridSpan w:val="2"/>
            <w:vMerge w:val="restart"/>
            <w:shd w:val="clear" w:color="auto" w:fill="auto"/>
          </w:tcPr>
          <w:p w14:paraId="1580B4F4" w14:textId="1C5E1265" w:rsidR="009E2A20" w:rsidRPr="009A3AE9" w:rsidRDefault="009E2A20" w:rsidP="009E2A20">
            <w:pPr>
              <w:pStyle w:val="In-tableHeading"/>
              <w:jc w:val="center"/>
              <w:rPr>
                <w:rFonts w:asciiTheme="minorHAnsi" w:hAnsiTheme="minorHAnsi"/>
                <w:lang w:val="en-AU"/>
              </w:rPr>
            </w:pPr>
            <w:r w:rsidRPr="009A3AE9">
              <w:rPr>
                <w:lang w:val="en-AU"/>
              </w:rPr>
              <w:t>Absolute Difference</w:t>
            </w:r>
          </w:p>
        </w:tc>
        <w:tc>
          <w:tcPr>
            <w:tcW w:w="755" w:type="pct"/>
            <w:gridSpan w:val="3"/>
            <w:vMerge w:val="restart"/>
            <w:shd w:val="clear" w:color="auto" w:fill="auto"/>
          </w:tcPr>
          <w:p w14:paraId="05AAC052" w14:textId="28A8E780" w:rsidR="009E2A20" w:rsidRPr="009A3AE9" w:rsidRDefault="009E2A20" w:rsidP="00360CB1">
            <w:pPr>
              <w:pStyle w:val="In-tableHeading"/>
              <w:jc w:val="center"/>
              <w:rPr>
                <w:lang w:val="en-AU"/>
              </w:rPr>
            </w:pPr>
            <w:r w:rsidRPr="009A3AE9">
              <w:rPr>
                <w:lang w:val="en-AU"/>
              </w:rPr>
              <w:t>HR (95% CI)</w:t>
            </w:r>
            <w:r w:rsidRPr="009A3AE9">
              <w:rPr>
                <w:vertAlign w:val="superscript"/>
                <w:lang w:val="en-AU"/>
              </w:rPr>
              <w:t>a</w:t>
            </w:r>
          </w:p>
        </w:tc>
      </w:tr>
      <w:tr w:rsidR="009E2A20" w:rsidRPr="009A3AE9" w14:paraId="704E933F" w14:textId="77777777" w:rsidTr="00AE0F42">
        <w:trPr>
          <w:trHeight w:val="20"/>
        </w:trPr>
        <w:tc>
          <w:tcPr>
            <w:tcW w:w="1727" w:type="pct"/>
            <w:gridSpan w:val="2"/>
            <w:tcBorders>
              <w:bottom w:val="single" w:sz="4" w:space="0" w:color="auto"/>
              <w:right w:val="single" w:sz="4" w:space="0" w:color="auto"/>
            </w:tcBorders>
            <w:shd w:val="clear" w:color="auto" w:fill="auto"/>
          </w:tcPr>
          <w:p w14:paraId="70F36E7E" w14:textId="77777777" w:rsidR="009E2A20" w:rsidRPr="009A3AE9" w:rsidRDefault="009E2A20" w:rsidP="00DE0F36">
            <w:pPr>
              <w:pStyle w:val="In-tableHeading"/>
              <w:rPr>
                <w:lang w:val="en-AU"/>
              </w:rPr>
            </w:pPr>
            <w:r w:rsidRPr="009A3AE9">
              <w:rPr>
                <w:lang w:val="en-AU"/>
              </w:rPr>
              <w:t>BENEFITS</w:t>
            </w:r>
          </w:p>
        </w:tc>
        <w:tc>
          <w:tcPr>
            <w:tcW w:w="944" w:type="pct"/>
            <w:gridSpan w:val="3"/>
            <w:tcBorders>
              <w:bottom w:val="single" w:sz="4" w:space="0" w:color="auto"/>
              <w:right w:val="single" w:sz="4" w:space="0" w:color="auto"/>
            </w:tcBorders>
            <w:shd w:val="clear" w:color="auto" w:fill="auto"/>
          </w:tcPr>
          <w:p w14:paraId="45E2BD60" w14:textId="5EE77418" w:rsidR="009E2A20" w:rsidRPr="009A3AE9" w:rsidRDefault="009E2A20" w:rsidP="009E2A20">
            <w:pPr>
              <w:pStyle w:val="In-tableHeading"/>
              <w:jc w:val="center"/>
              <w:rPr>
                <w:lang w:val="en-AU"/>
              </w:rPr>
            </w:pPr>
            <w:r w:rsidRPr="009A3AE9">
              <w:rPr>
                <w:lang w:val="en-AU"/>
              </w:rPr>
              <w:t>N=383</w:t>
            </w:r>
          </w:p>
        </w:tc>
        <w:tc>
          <w:tcPr>
            <w:tcW w:w="944" w:type="pct"/>
            <w:gridSpan w:val="2"/>
            <w:tcBorders>
              <w:bottom w:val="single" w:sz="4" w:space="0" w:color="auto"/>
              <w:right w:val="single" w:sz="4" w:space="0" w:color="auto"/>
            </w:tcBorders>
            <w:shd w:val="clear" w:color="auto" w:fill="auto"/>
          </w:tcPr>
          <w:p w14:paraId="2687F168" w14:textId="5CF9AB21" w:rsidR="009E2A20" w:rsidRPr="009A3AE9" w:rsidRDefault="009E2A20" w:rsidP="009E2A20">
            <w:pPr>
              <w:pStyle w:val="In-tableHeading"/>
              <w:jc w:val="center"/>
              <w:rPr>
                <w:lang w:val="en-AU"/>
              </w:rPr>
            </w:pPr>
            <w:r w:rsidRPr="009A3AE9">
              <w:rPr>
                <w:lang w:val="en-AU"/>
              </w:rPr>
              <w:t>N=387</w:t>
            </w:r>
          </w:p>
        </w:tc>
        <w:tc>
          <w:tcPr>
            <w:tcW w:w="630" w:type="pct"/>
            <w:gridSpan w:val="2"/>
            <w:vMerge/>
            <w:tcBorders>
              <w:bottom w:val="single" w:sz="4" w:space="0" w:color="auto"/>
            </w:tcBorders>
            <w:shd w:val="clear" w:color="auto" w:fill="auto"/>
          </w:tcPr>
          <w:p w14:paraId="4844DAFA" w14:textId="7DBB7AAC" w:rsidR="009E2A20" w:rsidRPr="009A3AE9" w:rsidRDefault="009E2A20" w:rsidP="009E2A20">
            <w:pPr>
              <w:pStyle w:val="In-tableHeading"/>
              <w:jc w:val="center"/>
              <w:rPr>
                <w:lang w:val="en-AU"/>
              </w:rPr>
            </w:pPr>
          </w:p>
        </w:tc>
        <w:tc>
          <w:tcPr>
            <w:tcW w:w="755" w:type="pct"/>
            <w:gridSpan w:val="3"/>
            <w:vMerge/>
            <w:tcBorders>
              <w:bottom w:val="single" w:sz="4" w:space="0" w:color="auto"/>
            </w:tcBorders>
            <w:shd w:val="clear" w:color="auto" w:fill="auto"/>
          </w:tcPr>
          <w:p w14:paraId="178F80E1" w14:textId="54276B92" w:rsidR="009E2A20" w:rsidRPr="009A3AE9" w:rsidRDefault="009E2A20" w:rsidP="00DE0F36">
            <w:pPr>
              <w:pStyle w:val="In-tableHeading"/>
              <w:rPr>
                <w:lang w:val="en-AU"/>
              </w:rPr>
            </w:pPr>
          </w:p>
        </w:tc>
      </w:tr>
      <w:tr w:rsidR="00DE0F36" w:rsidRPr="009A3AE9" w14:paraId="67DD25AE" w14:textId="77777777" w:rsidTr="00956744">
        <w:trPr>
          <w:trHeight w:val="20"/>
        </w:trPr>
        <w:tc>
          <w:tcPr>
            <w:tcW w:w="5000" w:type="pct"/>
            <w:gridSpan w:val="12"/>
            <w:tcBorders>
              <w:bottom w:val="single" w:sz="4" w:space="0" w:color="auto"/>
              <w:right w:val="single" w:sz="4" w:space="0" w:color="auto"/>
            </w:tcBorders>
            <w:shd w:val="clear" w:color="auto" w:fill="auto"/>
          </w:tcPr>
          <w:p w14:paraId="6E2A4D1C" w14:textId="77777777" w:rsidR="00DE0F36" w:rsidRPr="009A3AE9" w:rsidRDefault="00DE0F36" w:rsidP="00DE0F36">
            <w:pPr>
              <w:pStyle w:val="In-tableHeading"/>
              <w:rPr>
                <w:szCs w:val="20"/>
                <w:lang w:val="en-AU"/>
              </w:rPr>
            </w:pPr>
            <w:r w:rsidRPr="009A3AE9">
              <w:rPr>
                <w:lang w:val="en-AU"/>
              </w:rPr>
              <w:t>Overall survival (median duration of follow up 16.0 months in NALIRIFOX and 16.3 months in Gem+NabP)</w:t>
            </w:r>
          </w:p>
        </w:tc>
      </w:tr>
      <w:tr w:rsidR="00DE0F36" w:rsidRPr="009A3AE9" w14:paraId="55037529" w14:textId="77777777" w:rsidTr="009E2A20">
        <w:trPr>
          <w:trHeight w:val="20"/>
        </w:trPr>
        <w:tc>
          <w:tcPr>
            <w:tcW w:w="1727" w:type="pct"/>
            <w:gridSpan w:val="2"/>
            <w:tcBorders>
              <w:bottom w:val="single" w:sz="4" w:space="0" w:color="auto"/>
              <w:right w:val="single" w:sz="4" w:space="0" w:color="auto"/>
            </w:tcBorders>
            <w:shd w:val="clear" w:color="auto" w:fill="auto"/>
          </w:tcPr>
          <w:p w14:paraId="29FB7461" w14:textId="77777777" w:rsidR="00DE0F36" w:rsidRPr="009A3AE9" w:rsidRDefault="00DE0F36" w:rsidP="00DE0F36">
            <w:pPr>
              <w:pStyle w:val="TableText0"/>
              <w:keepLines/>
              <w:widowControl w:val="0"/>
            </w:pPr>
            <w:r w:rsidRPr="009A3AE9">
              <w:t xml:space="preserve">Deaths, n/N (%) </w:t>
            </w:r>
          </w:p>
        </w:tc>
        <w:tc>
          <w:tcPr>
            <w:tcW w:w="944" w:type="pct"/>
            <w:gridSpan w:val="3"/>
            <w:tcBorders>
              <w:left w:val="single" w:sz="4" w:space="0" w:color="auto"/>
              <w:bottom w:val="single" w:sz="4" w:space="0" w:color="auto"/>
              <w:right w:val="single" w:sz="4" w:space="0" w:color="auto"/>
            </w:tcBorders>
            <w:shd w:val="clear" w:color="auto" w:fill="auto"/>
          </w:tcPr>
          <w:p w14:paraId="2EAC83DB" w14:textId="77777777" w:rsidR="00DE0F36" w:rsidRPr="009A3AE9" w:rsidRDefault="00DE0F36" w:rsidP="00DE0F36">
            <w:pPr>
              <w:pStyle w:val="TableText0"/>
              <w:keepLines/>
              <w:widowControl w:val="0"/>
              <w:jc w:val="center"/>
              <w:rPr>
                <w:rFonts w:cs="Times New Roman"/>
                <w:szCs w:val="20"/>
              </w:rPr>
            </w:pPr>
            <w:r w:rsidRPr="009A3AE9">
              <w:t>259/383 (67.6)</w:t>
            </w:r>
          </w:p>
        </w:tc>
        <w:tc>
          <w:tcPr>
            <w:tcW w:w="944" w:type="pct"/>
            <w:gridSpan w:val="2"/>
            <w:tcBorders>
              <w:left w:val="single" w:sz="4" w:space="0" w:color="auto"/>
              <w:bottom w:val="single" w:sz="4" w:space="0" w:color="auto"/>
              <w:right w:val="single" w:sz="4" w:space="0" w:color="auto"/>
            </w:tcBorders>
            <w:shd w:val="clear" w:color="auto" w:fill="auto"/>
          </w:tcPr>
          <w:p w14:paraId="2B4B4180" w14:textId="77777777" w:rsidR="00DE0F36" w:rsidRPr="009A3AE9" w:rsidRDefault="00DE0F36" w:rsidP="00DE0F36">
            <w:pPr>
              <w:pStyle w:val="TableText0"/>
              <w:keepLines/>
              <w:widowControl w:val="0"/>
              <w:jc w:val="center"/>
              <w:rPr>
                <w:rFonts w:cs="Times New Roman"/>
                <w:szCs w:val="20"/>
              </w:rPr>
            </w:pPr>
            <w:r w:rsidRPr="009A3AE9">
              <w:t>285/387 (73.6)</w:t>
            </w:r>
          </w:p>
        </w:tc>
        <w:tc>
          <w:tcPr>
            <w:tcW w:w="630" w:type="pct"/>
            <w:gridSpan w:val="2"/>
            <w:tcBorders>
              <w:left w:val="single" w:sz="4" w:space="0" w:color="auto"/>
              <w:bottom w:val="single" w:sz="4" w:space="0" w:color="auto"/>
              <w:right w:val="single" w:sz="4" w:space="0" w:color="auto"/>
            </w:tcBorders>
            <w:shd w:val="clear" w:color="auto" w:fill="auto"/>
          </w:tcPr>
          <w:p w14:paraId="011C9648" w14:textId="77777777" w:rsidR="00DE0F36" w:rsidRPr="009A3AE9" w:rsidRDefault="00DE0F36" w:rsidP="00DE0F36">
            <w:pPr>
              <w:pStyle w:val="TableText0"/>
              <w:keepLines/>
              <w:widowControl w:val="0"/>
              <w:jc w:val="center"/>
            </w:pPr>
            <w:r w:rsidRPr="009A3AE9">
              <w:rPr>
                <w:bCs w:val="0"/>
              </w:rPr>
              <w:t>-</w:t>
            </w:r>
            <w:r w:rsidRPr="009A3AE9">
              <w:t xml:space="preserve"> </w:t>
            </w:r>
          </w:p>
        </w:tc>
        <w:tc>
          <w:tcPr>
            <w:tcW w:w="755" w:type="pct"/>
            <w:gridSpan w:val="3"/>
            <w:tcBorders>
              <w:top w:val="single" w:sz="4" w:space="0" w:color="auto"/>
              <w:left w:val="single" w:sz="4" w:space="0" w:color="auto"/>
              <w:bottom w:val="nil"/>
              <w:right w:val="single" w:sz="4" w:space="0" w:color="auto"/>
            </w:tcBorders>
            <w:shd w:val="clear" w:color="auto" w:fill="auto"/>
          </w:tcPr>
          <w:p w14:paraId="40BE0646" w14:textId="77777777" w:rsidR="00DE0F36" w:rsidRPr="009A3AE9" w:rsidRDefault="00DE0F36" w:rsidP="00DE0F36">
            <w:pPr>
              <w:pStyle w:val="TableText0"/>
              <w:keepLines/>
              <w:widowControl w:val="0"/>
              <w:jc w:val="center"/>
              <w:rPr>
                <w:szCs w:val="20"/>
              </w:rPr>
            </w:pPr>
          </w:p>
        </w:tc>
      </w:tr>
      <w:tr w:rsidR="00DE0F36" w:rsidRPr="009A3AE9" w14:paraId="5D17C079" w14:textId="77777777" w:rsidTr="009E2A20">
        <w:trPr>
          <w:trHeight w:val="20"/>
        </w:trPr>
        <w:tc>
          <w:tcPr>
            <w:tcW w:w="1727" w:type="pct"/>
            <w:gridSpan w:val="2"/>
            <w:tcBorders>
              <w:bottom w:val="single" w:sz="4" w:space="0" w:color="auto"/>
              <w:right w:val="single" w:sz="4" w:space="0" w:color="auto"/>
            </w:tcBorders>
            <w:shd w:val="clear" w:color="auto" w:fill="auto"/>
          </w:tcPr>
          <w:p w14:paraId="00B28103" w14:textId="77777777" w:rsidR="00DE0F36" w:rsidRPr="009A3AE9" w:rsidRDefault="00DE0F36" w:rsidP="00DE0F36">
            <w:pPr>
              <w:pStyle w:val="TableText0"/>
              <w:keepLines/>
              <w:widowControl w:val="0"/>
            </w:pPr>
            <w:r w:rsidRPr="009A3AE9">
              <w:t>Median OS, months (95% CI)</w:t>
            </w:r>
          </w:p>
        </w:tc>
        <w:tc>
          <w:tcPr>
            <w:tcW w:w="944" w:type="pct"/>
            <w:gridSpan w:val="3"/>
            <w:tcBorders>
              <w:left w:val="single" w:sz="4" w:space="0" w:color="auto"/>
              <w:bottom w:val="single" w:sz="4" w:space="0" w:color="auto"/>
              <w:right w:val="single" w:sz="4" w:space="0" w:color="auto"/>
            </w:tcBorders>
            <w:shd w:val="clear" w:color="auto" w:fill="auto"/>
          </w:tcPr>
          <w:p w14:paraId="5B0BFEC5" w14:textId="77777777" w:rsidR="00DE0F36" w:rsidRPr="009A3AE9" w:rsidRDefault="00DE0F36" w:rsidP="00DE0F36">
            <w:pPr>
              <w:pStyle w:val="TableText0"/>
              <w:keepLines/>
              <w:widowControl w:val="0"/>
              <w:jc w:val="center"/>
              <w:rPr>
                <w:rFonts w:cs="Times New Roman"/>
                <w:szCs w:val="20"/>
              </w:rPr>
            </w:pPr>
            <w:r w:rsidRPr="009A3AE9">
              <w:t>11.1 (10.0, 12.1)</w:t>
            </w:r>
          </w:p>
        </w:tc>
        <w:tc>
          <w:tcPr>
            <w:tcW w:w="944" w:type="pct"/>
            <w:gridSpan w:val="2"/>
            <w:tcBorders>
              <w:left w:val="single" w:sz="4" w:space="0" w:color="auto"/>
              <w:bottom w:val="single" w:sz="4" w:space="0" w:color="auto"/>
              <w:right w:val="single" w:sz="4" w:space="0" w:color="auto"/>
            </w:tcBorders>
            <w:shd w:val="clear" w:color="auto" w:fill="auto"/>
          </w:tcPr>
          <w:p w14:paraId="7639AB9F" w14:textId="77777777" w:rsidR="00DE0F36" w:rsidRPr="009A3AE9" w:rsidRDefault="00DE0F36" w:rsidP="00DE0F36">
            <w:pPr>
              <w:pStyle w:val="TableText0"/>
              <w:keepLines/>
              <w:widowControl w:val="0"/>
              <w:jc w:val="center"/>
              <w:rPr>
                <w:rFonts w:cs="Times New Roman"/>
                <w:szCs w:val="20"/>
              </w:rPr>
            </w:pPr>
            <w:r w:rsidRPr="009A3AE9">
              <w:t>9.2 (8.3, 10.6)</w:t>
            </w:r>
          </w:p>
        </w:tc>
        <w:tc>
          <w:tcPr>
            <w:tcW w:w="630" w:type="pct"/>
            <w:gridSpan w:val="2"/>
            <w:tcBorders>
              <w:left w:val="single" w:sz="4" w:space="0" w:color="auto"/>
              <w:bottom w:val="single" w:sz="4" w:space="0" w:color="auto"/>
              <w:right w:val="single" w:sz="4" w:space="0" w:color="auto"/>
            </w:tcBorders>
            <w:shd w:val="clear" w:color="auto" w:fill="auto"/>
          </w:tcPr>
          <w:p w14:paraId="1D79F92F" w14:textId="77777777" w:rsidR="00DE0F36" w:rsidRPr="009A3AE9" w:rsidRDefault="00DE0F36" w:rsidP="00DE0F36">
            <w:pPr>
              <w:pStyle w:val="TableText0"/>
              <w:keepLines/>
              <w:widowControl w:val="0"/>
              <w:jc w:val="center"/>
            </w:pPr>
            <w:r w:rsidRPr="009A3AE9">
              <w:t>1.9</w:t>
            </w:r>
          </w:p>
        </w:tc>
        <w:tc>
          <w:tcPr>
            <w:tcW w:w="755" w:type="pct"/>
            <w:gridSpan w:val="3"/>
            <w:tcBorders>
              <w:top w:val="nil"/>
              <w:left w:val="single" w:sz="4" w:space="0" w:color="auto"/>
              <w:bottom w:val="nil"/>
              <w:right w:val="single" w:sz="4" w:space="0" w:color="auto"/>
            </w:tcBorders>
            <w:shd w:val="clear" w:color="auto" w:fill="auto"/>
          </w:tcPr>
          <w:p w14:paraId="6B5954D1" w14:textId="77777777" w:rsidR="00DE0F36" w:rsidRPr="009A3AE9" w:rsidRDefault="00DE0F36" w:rsidP="00DE0F36">
            <w:pPr>
              <w:pStyle w:val="TableText0"/>
              <w:keepLines/>
              <w:widowControl w:val="0"/>
              <w:jc w:val="center"/>
              <w:rPr>
                <w:b/>
              </w:rPr>
            </w:pPr>
            <w:r w:rsidRPr="009A3AE9">
              <w:rPr>
                <w:b/>
              </w:rPr>
              <w:t xml:space="preserve">0.83 (0.70, 0.99) </w:t>
            </w:r>
          </w:p>
        </w:tc>
      </w:tr>
      <w:tr w:rsidR="00DE0F36" w:rsidRPr="009A3AE9" w14:paraId="3F8844CF" w14:textId="77777777" w:rsidTr="009E2A20">
        <w:trPr>
          <w:trHeight w:val="20"/>
        </w:trPr>
        <w:tc>
          <w:tcPr>
            <w:tcW w:w="1727" w:type="pct"/>
            <w:gridSpan w:val="2"/>
            <w:tcBorders>
              <w:bottom w:val="single" w:sz="4" w:space="0" w:color="auto"/>
              <w:right w:val="single" w:sz="4" w:space="0" w:color="auto"/>
            </w:tcBorders>
            <w:shd w:val="clear" w:color="auto" w:fill="auto"/>
          </w:tcPr>
          <w:p w14:paraId="733FC72F" w14:textId="77777777" w:rsidR="00DE0F36" w:rsidRPr="009C3CBE" w:rsidRDefault="00DE0F36" w:rsidP="00DE0F36">
            <w:pPr>
              <w:pStyle w:val="TableText0"/>
              <w:keepLines/>
              <w:widowControl w:val="0"/>
            </w:pPr>
            <w:r w:rsidRPr="00F41B81">
              <w:t xml:space="preserve">% Alive at 3 months (95% CI) </w:t>
            </w:r>
          </w:p>
        </w:tc>
        <w:tc>
          <w:tcPr>
            <w:tcW w:w="944" w:type="pct"/>
            <w:gridSpan w:val="3"/>
            <w:tcBorders>
              <w:left w:val="single" w:sz="4" w:space="0" w:color="auto"/>
              <w:bottom w:val="single" w:sz="4" w:space="0" w:color="auto"/>
              <w:right w:val="single" w:sz="4" w:space="0" w:color="auto"/>
            </w:tcBorders>
            <w:shd w:val="clear" w:color="auto" w:fill="auto"/>
          </w:tcPr>
          <w:p w14:paraId="70C93F1F" w14:textId="77777777" w:rsidR="00DE0F36" w:rsidRPr="009C3CBE" w:rsidRDefault="00DE0F36" w:rsidP="00DE0F36">
            <w:pPr>
              <w:pStyle w:val="TableText0"/>
              <w:keepLines/>
              <w:widowControl w:val="0"/>
              <w:jc w:val="center"/>
              <w:rPr>
                <w:rFonts w:cs="Times New Roman"/>
                <w:szCs w:val="20"/>
              </w:rPr>
            </w:pPr>
            <w:r w:rsidRPr="009C3CBE">
              <w:t>84.2 (80.2, 87.5)</w:t>
            </w:r>
          </w:p>
        </w:tc>
        <w:tc>
          <w:tcPr>
            <w:tcW w:w="944" w:type="pct"/>
            <w:gridSpan w:val="2"/>
            <w:tcBorders>
              <w:left w:val="single" w:sz="4" w:space="0" w:color="auto"/>
              <w:bottom w:val="single" w:sz="4" w:space="0" w:color="auto"/>
              <w:right w:val="single" w:sz="4" w:space="0" w:color="auto"/>
            </w:tcBorders>
            <w:shd w:val="clear" w:color="auto" w:fill="auto"/>
          </w:tcPr>
          <w:p w14:paraId="73877B93" w14:textId="77777777" w:rsidR="00DE0F36" w:rsidRPr="009C3CBE" w:rsidRDefault="00DE0F36" w:rsidP="00DE0F36">
            <w:pPr>
              <w:pStyle w:val="TableText0"/>
              <w:keepLines/>
              <w:widowControl w:val="0"/>
              <w:jc w:val="center"/>
              <w:rPr>
                <w:rFonts w:cs="Times New Roman"/>
                <w:szCs w:val="20"/>
              </w:rPr>
            </w:pPr>
            <w:r w:rsidRPr="009C3CBE">
              <w:t>82.5 (78.3, 86.0)</w:t>
            </w:r>
          </w:p>
        </w:tc>
        <w:tc>
          <w:tcPr>
            <w:tcW w:w="630" w:type="pct"/>
            <w:gridSpan w:val="2"/>
            <w:tcBorders>
              <w:left w:val="single" w:sz="4" w:space="0" w:color="auto"/>
              <w:bottom w:val="single" w:sz="4" w:space="0" w:color="auto"/>
              <w:right w:val="single" w:sz="4" w:space="0" w:color="auto"/>
            </w:tcBorders>
            <w:shd w:val="clear" w:color="auto" w:fill="auto"/>
          </w:tcPr>
          <w:p w14:paraId="2F9CA539" w14:textId="77777777" w:rsidR="00DE0F36" w:rsidRPr="00F41B81" w:rsidRDefault="00DE0F36" w:rsidP="00DE0F36">
            <w:pPr>
              <w:pStyle w:val="TableText0"/>
              <w:keepLines/>
              <w:widowControl w:val="0"/>
              <w:jc w:val="center"/>
            </w:pPr>
            <w:r w:rsidRPr="009C3CBE">
              <w:t>1.7%</w:t>
            </w:r>
          </w:p>
        </w:tc>
        <w:tc>
          <w:tcPr>
            <w:tcW w:w="755" w:type="pct"/>
            <w:gridSpan w:val="3"/>
            <w:tcBorders>
              <w:top w:val="nil"/>
              <w:left w:val="single" w:sz="4" w:space="0" w:color="auto"/>
              <w:bottom w:val="nil"/>
              <w:right w:val="single" w:sz="4" w:space="0" w:color="auto"/>
            </w:tcBorders>
            <w:shd w:val="clear" w:color="auto" w:fill="auto"/>
          </w:tcPr>
          <w:p w14:paraId="277B4810" w14:textId="77777777" w:rsidR="00DE0F36" w:rsidRPr="009A3AE9" w:rsidRDefault="00DE0F36" w:rsidP="00DE0F36">
            <w:pPr>
              <w:pStyle w:val="TableText0"/>
              <w:keepLines/>
              <w:widowControl w:val="0"/>
              <w:jc w:val="center"/>
              <w:rPr>
                <w:b/>
                <w:szCs w:val="20"/>
              </w:rPr>
            </w:pPr>
            <w:r w:rsidRPr="009A3AE9">
              <w:rPr>
                <w:b/>
              </w:rPr>
              <w:t>p=0.04</w:t>
            </w:r>
          </w:p>
        </w:tc>
      </w:tr>
      <w:tr w:rsidR="00DE0F36" w:rsidRPr="009A3AE9" w14:paraId="116ECFBC" w14:textId="77777777" w:rsidTr="009E2A20">
        <w:trPr>
          <w:trHeight w:val="20"/>
        </w:trPr>
        <w:tc>
          <w:tcPr>
            <w:tcW w:w="1727" w:type="pct"/>
            <w:gridSpan w:val="2"/>
            <w:tcBorders>
              <w:bottom w:val="single" w:sz="4" w:space="0" w:color="auto"/>
              <w:right w:val="single" w:sz="4" w:space="0" w:color="auto"/>
            </w:tcBorders>
            <w:shd w:val="clear" w:color="auto" w:fill="auto"/>
          </w:tcPr>
          <w:p w14:paraId="69C49F79" w14:textId="77777777" w:rsidR="00DE0F36" w:rsidRPr="009A3AE9" w:rsidRDefault="00DE0F36" w:rsidP="00DE0F36">
            <w:pPr>
              <w:pStyle w:val="TableText0"/>
              <w:keepLines/>
              <w:widowControl w:val="0"/>
            </w:pPr>
            <w:r w:rsidRPr="009A3AE9">
              <w:t>% Alive at 6 months (95% CI)</w:t>
            </w:r>
          </w:p>
        </w:tc>
        <w:tc>
          <w:tcPr>
            <w:tcW w:w="944" w:type="pct"/>
            <w:gridSpan w:val="3"/>
            <w:tcBorders>
              <w:left w:val="single" w:sz="4" w:space="0" w:color="auto"/>
              <w:bottom w:val="single" w:sz="4" w:space="0" w:color="auto"/>
              <w:right w:val="single" w:sz="4" w:space="0" w:color="auto"/>
            </w:tcBorders>
            <w:shd w:val="clear" w:color="auto" w:fill="auto"/>
          </w:tcPr>
          <w:p w14:paraId="3726E2D6" w14:textId="77777777" w:rsidR="00DE0F36" w:rsidRPr="009A3AE9" w:rsidRDefault="00DE0F36" w:rsidP="00DE0F36">
            <w:pPr>
              <w:pStyle w:val="TableText0"/>
              <w:keepLines/>
              <w:widowControl w:val="0"/>
              <w:jc w:val="center"/>
              <w:rPr>
                <w:rFonts w:cs="Times New Roman"/>
                <w:szCs w:val="20"/>
              </w:rPr>
            </w:pPr>
            <w:r w:rsidRPr="009A3AE9">
              <w:t>72.4 (67.6, 76.6)</w:t>
            </w:r>
          </w:p>
        </w:tc>
        <w:tc>
          <w:tcPr>
            <w:tcW w:w="944" w:type="pct"/>
            <w:gridSpan w:val="2"/>
            <w:tcBorders>
              <w:left w:val="single" w:sz="4" w:space="0" w:color="auto"/>
              <w:bottom w:val="single" w:sz="4" w:space="0" w:color="auto"/>
              <w:right w:val="single" w:sz="4" w:space="0" w:color="auto"/>
            </w:tcBorders>
            <w:shd w:val="clear" w:color="auto" w:fill="auto"/>
          </w:tcPr>
          <w:p w14:paraId="69D90B93" w14:textId="77777777" w:rsidR="00DE0F36" w:rsidRPr="009A3AE9" w:rsidRDefault="00DE0F36" w:rsidP="00DE0F36">
            <w:pPr>
              <w:pStyle w:val="TableText0"/>
              <w:keepLines/>
              <w:widowControl w:val="0"/>
              <w:jc w:val="center"/>
              <w:rPr>
                <w:rFonts w:cs="Times New Roman"/>
                <w:szCs w:val="20"/>
              </w:rPr>
            </w:pPr>
            <w:r w:rsidRPr="009A3AE9">
              <w:t>68.4 (63.5, 72.8)</w:t>
            </w:r>
          </w:p>
        </w:tc>
        <w:tc>
          <w:tcPr>
            <w:tcW w:w="630" w:type="pct"/>
            <w:gridSpan w:val="2"/>
            <w:tcBorders>
              <w:left w:val="single" w:sz="4" w:space="0" w:color="auto"/>
              <w:bottom w:val="single" w:sz="4" w:space="0" w:color="auto"/>
              <w:right w:val="single" w:sz="4" w:space="0" w:color="auto"/>
            </w:tcBorders>
            <w:shd w:val="clear" w:color="auto" w:fill="auto"/>
          </w:tcPr>
          <w:p w14:paraId="469DEC74" w14:textId="562905AE" w:rsidR="00DE0F36" w:rsidRPr="009A3AE9" w:rsidRDefault="00DE0F36" w:rsidP="00DE0F36">
            <w:pPr>
              <w:pStyle w:val="TableText0"/>
              <w:keepLines/>
              <w:widowControl w:val="0"/>
              <w:jc w:val="center"/>
            </w:pPr>
            <w:r w:rsidRPr="009A3AE9">
              <w:t>4</w:t>
            </w:r>
            <w:r w:rsidR="00323B09" w:rsidRPr="009A3AE9">
              <w:t>.0</w:t>
            </w:r>
            <w:r w:rsidRPr="009A3AE9">
              <w:t>%</w:t>
            </w:r>
          </w:p>
        </w:tc>
        <w:tc>
          <w:tcPr>
            <w:tcW w:w="755" w:type="pct"/>
            <w:gridSpan w:val="3"/>
            <w:tcBorders>
              <w:top w:val="nil"/>
              <w:left w:val="single" w:sz="4" w:space="0" w:color="auto"/>
              <w:bottom w:val="nil"/>
              <w:right w:val="single" w:sz="4" w:space="0" w:color="auto"/>
            </w:tcBorders>
            <w:shd w:val="clear" w:color="auto" w:fill="auto"/>
          </w:tcPr>
          <w:p w14:paraId="3385071E" w14:textId="77777777" w:rsidR="00DE0F36" w:rsidRPr="009A3AE9" w:rsidRDefault="00DE0F36" w:rsidP="00DE0F36">
            <w:pPr>
              <w:pStyle w:val="TableText0"/>
              <w:keepLines/>
              <w:widowControl w:val="0"/>
              <w:jc w:val="center"/>
              <w:rPr>
                <w:b/>
                <w:szCs w:val="20"/>
              </w:rPr>
            </w:pPr>
          </w:p>
        </w:tc>
      </w:tr>
      <w:tr w:rsidR="00DE0F36" w:rsidRPr="009A3AE9" w14:paraId="7586B639" w14:textId="77777777" w:rsidTr="009E2A20">
        <w:trPr>
          <w:trHeight w:val="20"/>
        </w:trPr>
        <w:tc>
          <w:tcPr>
            <w:tcW w:w="1727" w:type="pct"/>
            <w:gridSpan w:val="2"/>
            <w:tcBorders>
              <w:bottom w:val="single" w:sz="4" w:space="0" w:color="auto"/>
              <w:right w:val="single" w:sz="4" w:space="0" w:color="auto"/>
            </w:tcBorders>
            <w:shd w:val="clear" w:color="auto" w:fill="auto"/>
          </w:tcPr>
          <w:p w14:paraId="63241DDC" w14:textId="77777777" w:rsidR="00DE0F36" w:rsidRPr="009C3CBE" w:rsidRDefault="00DE0F36" w:rsidP="00DE0F36">
            <w:pPr>
              <w:pStyle w:val="TableText0"/>
              <w:keepLines/>
              <w:widowControl w:val="0"/>
            </w:pPr>
            <w:r w:rsidRPr="00F41B81">
              <w:t xml:space="preserve">% Alive at 9 months (95% CI) </w:t>
            </w:r>
          </w:p>
        </w:tc>
        <w:tc>
          <w:tcPr>
            <w:tcW w:w="944" w:type="pct"/>
            <w:gridSpan w:val="3"/>
            <w:tcBorders>
              <w:left w:val="single" w:sz="4" w:space="0" w:color="auto"/>
              <w:bottom w:val="single" w:sz="4" w:space="0" w:color="auto"/>
              <w:right w:val="single" w:sz="4" w:space="0" w:color="auto"/>
            </w:tcBorders>
            <w:shd w:val="clear" w:color="auto" w:fill="auto"/>
          </w:tcPr>
          <w:p w14:paraId="7B9A7475" w14:textId="77777777" w:rsidR="00DE0F36" w:rsidRPr="009C3CBE" w:rsidRDefault="00DE0F36" w:rsidP="00DE0F36">
            <w:pPr>
              <w:pStyle w:val="TableText0"/>
              <w:keepLines/>
              <w:widowControl w:val="0"/>
              <w:jc w:val="center"/>
              <w:rPr>
                <w:rFonts w:cs="Times New Roman"/>
                <w:szCs w:val="20"/>
              </w:rPr>
            </w:pPr>
            <w:r w:rsidRPr="009C3CBE">
              <w:t>58.1 (53.0, 62.9)</w:t>
            </w:r>
          </w:p>
        </w:tc>
        <w:tc>
          <w:tcPr>
            <w:tcW w:w="944" w:type="pct"/>
            <w:gridSpan w:val="2"/>
            <w:tcBorders>
              <w:left w:val="single" w:sz="4" w:space="0" w:color="auto"/>
              <w:bottom w:val="single" w:sz="4" w:space="0" w:color="auto"/>
              <w:right w:val="single" w:sz="4" w:space="0" w:color="auto"/>
            </w:tcBorders>
            <w:shd w:val="clear" w:color="auto" w:fill="auto"/>
          </w:tcPr>
          <w:p w14:paraId="6F72B026" w14:textId="77777777" w:rsidR="00DE0F36" w:rsidRPr="009C3CBE" w:rsidRDefault="00DE0F36" w:rsidP="00DE0F36">
            <w:pPr>
              <w:pStyle w:val="TableText0"/>
              <w:keepLines/>
              <w:widowControl w:val="0"/>
              <w:jc w:val="center"/>
              <w:rPr>
                <w:rFonts w:cs="Times New Roman"/>
                <w:szCs w:val="20"/>
              </w:rPr>
            </w:pPr>
            <w:r w:rsidRPr="009C3CBE">
              <w:t>51.8 (46.7, 56.7)</w:t>
            </w:r>
          </w:p>
        </w:tc>
        <w:tc>
          <w:tcPr>
            <w:tcW w:w="630" w:type="pct"/>
            <w:gridSpan w:val="2"/>
            <w:tcBorders>
              <w:left w:val="single" w:sz="4" w:space="0" w:color="auto"/>
              <w:bottom w:val="single" w:sz="4" w:space="0" w:color="auto"/>
              <w:right w:val="single" w:sz="4" w:space="0" w:color="auto"/>
            </w:tcBorders>
            <w:shd w:val="clear" w:color="auto" w:fill="auto"/>
          </w:tcPr>
          <w:p w14:paraId="1DDCA78E" w14:textId="77777777" w:rsidR="00DE0F36" w:rsidRPr="00F41B81" w:rsidRDefault="00DE0F36" w:rsidP="00DE0F36">
            <w:pPr>
              <w:pStyle w:val="TableText0"/>
              <w:keepLines/>
              <w:widowControl w:val="0"/>
              <w:jc w:val="center"/>
            </w:pPr>
            <w:r w:rsidRPr="009C3CBE">
              <w:t>6.3%</w:t>
            </w:r>
          </w:p>
        </w:tc>
        <w:tc>
          <w:tcPr>
            <w:tcW w:w="755" w:type="pct"/>
            <w:gridSpan w:val="3"/>
            <w:tcBorders>
              <w:top w:val="nil"/>
              <w:left w:val="single" w:sz="4" w:space="0" w:color="auto"/>
              <w:bottom w:val="nil"/>
              <w:right w:val="single" w:sz="4" w:space="0" w:color="auto"/>
            </w:tcBorders>
            <w:shd w:val="clear" w:color="auto" w:fill="auto"/>
          </w:tcPr>
          <w:p w14:paraId="3514AEE7" w14:textId="77777777" w:rsidR="00DE0F36" w:rsidRPr="009A3AE9" w:rsidRDefault="00DE0F36" w:rsidP="00DE0F36">
            <w:pPr>
              <w:pStyle w:val="TableText0"/>
              <w:keepLines/>
              <w:widowControl w:val="0"/>
              <w:jc w:val="center"/>
              <w:rPr>
                <w:b/>
                <w:szCs w:val="20"/>
              </w:rPr>
            </w:pPr>
          </w:p>
        </w:tc>
      </w:tr>
      <w:tr w:rsidR="00DE0F36" w:rsidRPr="009A3AE9" w14:paraId="4BBB4903" w14:textId="77777777" w:rsidTr="009E2A20">
        <w:trPr>
          <w:trHeight w:val="20"/>
        </w:trPr>
        <w:tc>
          <w:tcPr>
            <w:tcW w:w="1727" w:type="pct"/>
            <w:gridSpan w:val="2"/>
            <w:tcBorders>
              <w:bottom w:val="single" w:sz="4" w:space="0" w:color="auto"/>
              <w:right w:val="single" w:sz="4" w:space="0" w:color="auto"/>
            </w:tcBorders>
            <w:shd w:val="clear" w:color="auto" w:fill="auto"/>
          </w:tcPr>
          <w:p w14:paraId="4C098E89" w14:textId="77777777" w:rsidR="00DE0F36" w:rsidRPr="009A3AE9" w:rsidRDefault="00DE0F36" w:rsidP="00DE0F36">
            <w:pPr>
              <w:pStyle w:val="TableText0"/>
              <w:keepLines/>
              <w:widowControl w:val="0"/>
            </w:pPr>
            <w:r w:rsidRPr="009A3AE9">
              <w:t>% Alive at 12 months (95% CI)</w:t>
            </w:r>
          </w:p>
        </w:tc>
        <w:tc>
          <w:tcPr>
            <w:tcW w:w="944" w:type="pct"/>
            <w:gridSpan w:val="3"/>
            <w:tcBorders>
              <w:left w:val="single" w:sz="4" w:space="0" w:color="auto"/>
              <w:bottom w:val="single" w:sz="4" w:space="0" w:color="auto"/>
              <w:right w:val="single" w:sz="4" w:space="0" w:color="auto"/>
            </w:tcBorders>
            <w:shd w:val="clear" w:color="auto" w:fill="auto"/>
          </w:tcPr>
          <w:p w14:paraId="25ADF1EA" w14:textId="77777777" w:rsidR="00DE0F36" w:rsidRPr="009A3AE9" w:rsidRDefault="00DE0F36" w:rsidP="00DE0F36">
            <w:pPr>
              <w:pStyle w:val="TableText0"/>
              <w:keepLines/>
              <w:widowControl w:val="0"/>
              <w:jc w:val="center"/>
              <w:rPr>
                <w:rFonts w:cs="Times New Roman"/>
                <w:szCs w:val="20"/>
              </w:rPr>
            </w:pPr>
            <w:r w:rsidRPr="009A3AE9">
              <w:t>45.6 (40.5, 50.5)</w:t>
            </w:r>
          </w:p>
        </w:tc>
        <w:tc>
          <w:tcPr>
            <w:tcW w:w="944" w:type="pct"/>
            <w:gridSpan w:val="2"/>
            <w:tcBorders>
              <w:left w:val="single" w:sz="4" w:space="0" w:color="auto"/>
              <w:bottom w:val="single" w:sz="4" w:space="0" w:color="auto"/>
              <w:right w:val="single" w:sz="4" w:space="0" w:color="auto"/>
            </w:tcBorders>
            <w:shd w:val="clear" w:color="auto" w:fill="auto"/>
          </w:tcPr>
          <w:p w14:paraId="1D26772D" w14:textId="77777777" w:rsidR="00DE0F36" w:rsidRPr="009A3AE9" w:rsidRDefault="00DE0F36" w:rsidP="00DE0F36">
            <w:pPr>
              <w:pStyle w:val="TableText0"/>
              <w:keepLines/>
              <w:widowControl w:val="0"/>
              <w:jc w:val="center"/>
              <w:rPr>
                <w:rFonts w:cs="Times New Roman"/>
                <w:szCs w:val="20"/>
              </w:rPr>
            </w:pPr>
            <w:r w:rsidRPr="009A3AE9">
              <w:t>39.5 (34.6, 44.4)</w:t>
            </w:r>
          </w:p>
        </w:tc>
        <w:tc>
          <w:tcPr>
            <w:tcW w:w="630" w:type="pct"/>
            <w:gridSpan w:val="2"/>
            <w:tcBorders>
              <w:left w:val="single" w:sz="4" w:space="0" w:color="auto"/>
              <w:bottom w:val="single" w:sz="4" w:space="0" w:color="auto"/>
              <w:right w:val="single" w:sz="4" w:space="0" w:color="auto"/>
            </w:tcBorders>
            <w:shd w:val="clear" w:color="auto" w:fill="auto"/>
          </w:tcPr>
          <w:p w14:paraId="67B6B2AA" w14:textId="77777777" w:rsidR="00DE0F36" w:rsidRPr="009A3AE9" w:rsidRDefault="00DE0F36" w:rsidP="00DE0F36">
            <w:pPr>
              <w:pStyle w:val="TableText0"/>
              <w:keepLines/>
              <w:widowControl w:val="0"/>
              <w:jc w:val="center"/>
            </w:pPr>
            <w:r w:rsidRPr="009A3AE9">
              <w:t>6.1%</w:t>
            </w:r>
          </w:p>
        </w:tc>
        <w:tc>
          <w:tcPr>
            <w:tcW w:w="755" w:type="pct"/>
            <w:gridSpan w:val="3"/>
            <w:tcBorders>
              <w:top w:val="nil"/>
              <w:left w:val="single" w:sz="4" w:space="0" w:color="auto"/>
              <w:bottom w:val="nil"/>
              <w:right w:val="single" w:sz="4" w:space="0" w:color="auto"/>
            </w:tcBorders>
            <w:shd w:val="clear" w:color="auto" w:fill="auto"/>
          </w:tcPr>
          <w:p w14:paraId="66F1223C" w14:textId="77777777" w:rsidR="00DE0F36" w:rsidRPr="009A3AE9" w:rsidRDefault="00DE0F36" w:rsidP="00DE0F36">
            <w:pPr>
              <w:pStyle w:val="TableText0"/>
              <w:keepLines/>
              <w:widowControl w:val="0"/>
              <w:jc w:val="center"/>
              <w:rPr>
                <w:b/>
                <w:szCs w:val="20"/>
              </w:rPr>
            </w:pPr>
          </w:p>
        </w:tc>
      </w:tr>
      <w:tr w:rsidR="00DE0F36" w:rsidRPr="009A3AE9" w14:paraId="5BB4D18E" w14:textId="77777777" w:rsidTr="009E2A20">
        <w:trPr>
          <w:trHeight w:val="20"/>
        </w:trPr>
        <w:tc>
          <w:tcPr>
            <w:tcW w:w="1727" w:type="pct"/>
            <w:gridSpan w:val="2"/>
            <w:tcBorders>
              <w:bottom w:val="single" w:sz="4" w:space="0" w:color="auto"/>
              <w:right w:val="single" w:sz="4" w:space="0" w:color="auto"/>
            </w:tcBorders>
            <w:shd w:val="clear" w:color="auto" w:fill="auto"/>
          </w:tcPr>
          <w:p w14:paraId="6AECE389" w14:textId="77777777" w:rsidR="00DE0F36" w:rsidRPr="009A3AE9" w:rsidRDefault="00DE0F36" w:rsidP="00DE0F36">
            <w:pPr>
              <w:pStyle w:val="TableText0"/>
              <w:keepLines/>
              <w:widowControl w:val="0"/>
            </w:pPr>
            <w:r w:rsidRPr="009A3AE9">
              <w:t>% Alive at 18 months (95% CI)</w:t>
            </w:r>
          </w:p>
        </w:tc>
        <w:tc>
          <w:tcPr>
            <w:tcW w:w="944" w:type="pct"/>
            <w:gridSpan w:val="3"/>
            <w:tcBorders>
              <w:left w:val="single" w:sz="4" w:space="0" w:color="auto"/>
              <w:bottom w:val="single" w:sz="4" w:space="0" w:color="auto"/>
              <w:right w:val="single" w:sz="4" w:space="0" w:color="auto"/>
            </w:tcBorders>
            <w:shd w:val="clear" w:color="auto" w:fill="auto"/>
          </w:tcPr>
          <w:p w14:paraId="1CE1EABE" w14:textId="77777777" w:rsidR="00DE0F36" w:rsidRPr="009A3AE9" w:rsidRDefault="00DE0F36" w:rsidP="00DE0F36">
            <w:pPr>
              <w:pStyle w:val="TableText0"/>
              <w:keepLines/>
              <w:widowControl w:val="0"/>
              <w:jc w:val="center"/>
              <w:rPr>
                <w:rFonts w:cs="Times New Roman"/>
                <w:szCs w:val="20"/>
              </w:rPr>
            </w:pPr>
            <w:r w:rsidRPr="009A3AE9">
              <w:t>26.2 (20.9, 31.7)</w:t>
            </w:r>
          </w:p>
        </w:tc>
        <w:tc>
          <w:tcPr>
            <w:tcW w:w="944" w:type="pct"/>
            <w:gridSpan w:val="2"/>
            <w:tcBorders>
              <w:left w:val="single" w:sz="4" w:space="0" w:color="auto"/>
              <w:bottom w:val="single" w:sz="4" w:space="0" w:color="auto"/>
              <w:right w:val="single" w:sz="4" w:space="0" w:color="auto"/>
            </w:tcBorders>
            <w:shd w:val="clear" w:color="auto" w:fill="auto"/>
          </w:tcPr>
          <w:p w14:paraId="21F74B20" w14:textId="77777777" w:rsidR="00DE0F36" w:rsidRPr="009A3AE9" w:rsidRDefault="00DE0F36" w:rsidP="00DE0F36">
            <w:pPr>
              <w:pStyle w:val="TableText0"/>
              <w:keepLines/>
              <w:widowControl w:val="0"/>
              <w:jc w:val="center"/>
              <w:rPr>
                <w:rFonts w:cs="Times New Roman"/>
                <w:szCs w:val="20"/>
              </w:rPr>
            </w:pPr>
            <w:r w:rsidRPr="009A3AE9">
              <w:t>19.3 (14.8, 24.2)</w:t>
            </w:r>
          </w:p>
        </w:tc>
        <w:tc>
          <w:tcPr>
            <w:tcW w:w="630" w:type="pct"/>
            <w:gridSpan w:val="2"/>
            <w:tcBorders>
              <w:left w:val="single" w:sz="4" w:space="0" w:color="auto"/>
              <w:bottom w:val="single" w:sz="4" w:space="0" w:color="auto"/>
              <w:right w:val="single" w:sz="4" w:space="0" w:color="auto"/>
            </w:tcBorders>
            <w:shd w:val="clear" w:color="auto" w:fill="auto"/>
          </w:tcPr>
          <w:p w14:paraId="2709C4C5" w14:textId="77777777" w:rsidR="00DE0F36" w:rsidRPr="009A3AE9" w:rsidRDefault="00DE0F36" w:rsidP="00DE0F36">
            <w:pPr>
              <w:pStyle w:val="TableText0"/>
              <w:keepLines/>
              <w:widowControl w:val="0"/>
              <w:jc w:val="center"/>
            </w:pPr>
            <w:r w:rsidRPr="009A3AE9">
              <w:t>6.9%</w:t>
            </w:r>
          </w:p>
        </w:tc>
        <w:tc>
          <w:tcPr>
            <w:tcW w:w="755" w:type="pct"/>
            <w:gridSpan w:val="3"/>
            <w:tcBorders>
              <w:top w:val="nil"/>
              <w:left w:val="single" w:sz="4" w:space="0" w:color="auto"/>
              <w:bottom w:val="single" w:sz="4" w:space="0" w:color="auto"/>
              <w:right w:val="single" w:sz="4" w:space="0" w:color="auto"/>
            </w:tcBorders>
            <w:shd w:val="clear" w:color="auto" w:fill="auto"/>
          </w:tcPr>
          <w:p w14:paraId="3CCE919C" w14:textId="77777777" w:rsidR="00DE0F36" w:rsidRPr="009A3AE9" w:rsidRDefault="00DE0F36" w:rsidP="00DE0F36">
            <w:pPr>
              <w:pStyle w:val="TableText0"/>
              <w:keepLines/>
              <w:widowControl w:val="0"/>
              <w:jc w:val="center"/>
              <w:rPr>
                <w:b/>
                <w:szCs w:val="20"/>
              </w:rPr>
            </w:pPr>
          </w:p>
        </w:tc>
      </w:tr>
      <w:tr w:rsidR="00DE0F36" w:rsidRPr="009A3AE9" w14:paraId="78EFD7C3" w14:textId="77777777" w:rsidTr="00956744">
        <w:trPr>
          <w:trHeight w:val="20"/>
        </w:trPr>
        <w:tc>
          <w:tcPr>
            <w:tcW w:w="5000" w:type="pct"/>
            <w:gridSpan w:val="12"/>
            <w:tcBorders>
              <w:bottom w:val="single" w:sz="4" w:space="0" w:color="auto"/>
              <w:right w:val="single" w:sz="4" w:space="0" w:color="auto"/>
            </w:tcBorders>
            <w:shd w:val="clear" w:color="auto" w:fill="auto"/>
          </w:tcPr>
          <w:p w14:paraId="42D82428" w14:textId="77777777" w:rsidR="00DE0F36" w:rsidRPr="009A3AE9" w:rsidRDefault="00DE0F36" w:rsidP="00DE0F36">
            <w:pPr>
              <w:pStyle w:val="In-tableHeading"/>
              <w:rPr>
                <w:lang w:val="en-AU"/>
              </w:rPr>
            </w:pPr>
            <w:r w:rsidRPr="009A3AE9">
              <w:rPr>
                <w:lang w:val="en-AU"/>
              </w:rPr>
              <w:t>Progression free survival</w:t>
            </w:r>
          </w:p>
        </w:tc>
      </w:tr>
      <w:tr w:rsidR="00DE0F36" w:rsidRPr="009A3AE9" w14:paraId="3BFFBA6B" w14:textId="77777777" w:rsidTr="009E2A20">
        <w:trPr>
          <w:trHeight w:val="20"/>
        </w:trPr>
        <w:tc>
          <w:tcPr>
            <w:tcW w:w="1727" w:type="pct"/>
            <w:gridSpan w:val="2"/>
            <w:tcBorders>
              <w:bottom w:val="single" w:sz="4" w:space="0" w:color="auto"/>
              <w:right w:val="single" w:sz="4" w:space="0" w:color="auto"/>
            </w:tcBorders>
            <w:shd w:val="clear" w:color="auto" w:fill="auto"/>
          </w:tcPr>
          <w:p w14:paraId="24354DC0" w14:textId="77777777" w:rsidR="00DE0F36" w:rsidRPr="009A3AE9" w:rsidRDefault="00DE0F36" w:rsidP="00DE0F36">
            <w:pPr>
              <w:pStyle w:val="TableText0"/>
              <w:keepLines/>
              <w:widowControl w:val="0"/>
            </w:pPr>
            <w:r w:rsidRPr="009A3AE9">
              <w:t>Progressed, n (%)</w:t>
            </w:r>
          </w:p>
        </w:tc>
        <w:tc>
          <w:tcPr>
            <w:tcW w:w="944" w:type="pct"/>
            <w:gridSpan w:val="3"/>
            <w:tcBorders>
              <w:left w:val="single" w:sz="4" w:space="0" w:color="auto"/>
              <w:bottom w:val="single" w:sz="4" w:space="0" w:color="auto"/>
              <w:right w:val="single" w:sz="4" w:space="0" w:color="auto"/>
            </w:tcBorders>
            <w:shd w:val="clear" w:color="auto" w:fill="auto"/>
          </w:tcPr>
          <w:p w14:paraId="2BF4869C" w14:textId="77777777" w:rsidR="00DE0F36" w:rsidRPr="009A3AE9" w:rsidRDefault="00DE0F36" w:rsidP="00DE0F36">
            <w:pPr>
              <w:pStyle w:val="TableText0"/>
              <w:keepLines/>
              <w:widowControl w:val="0"/>
              <w:jc w:val="center"/>
            </w:pPr>
            <w:r w:rsidRPr="009A3AE9">
              <w:t>249/383 (65.0)</w:t>
            </w:r>
          </w:p>
        </w:tc>
        <w:tc>
          <w:tcPr>
            <w:tcW w:w="944" w:type="pct"/>
            <w:gridSpan w:val="2"/>
            <w:tcBorders>
              <w:left w:val="single" w:sz="4" w:space="0" w:color="auto"/>
              <w:bottom w:val="single" w:sz="4" w:space="0" w:color="auto"/>
              <w:right w:val="single" w:sz="4" w:space="0" w:color="auto"/>
            </w:tcBorders>
            <w:shd w:val="clear" w:color="auto" w:fill="auto"/>
          </w:tcPr>
          <w:p w14:paraId="5EDCC990" w14:textId="77777777" w:rsidR="00DE0F36" w:rsidRPr="009A3AE9" w:rsidRDefault="00DE0F36" w:rsidP="00DE0F36">
            <w:pPr>
              <w:pStyle w:val="TableText0"/>
              <w:keepLines/>
              <w:widowControl w:val="0"/>
              <w:jc w:val="center"/>
            </w:pPr>
            <w:r w:rsidRPr="009A3AE9">
              <w:t>259/387 (66.9)</w:t>
            </w:r>
          </w:p>
        </w:tc>
        <w:tc>
          <w:tcPr>
            <w:tcW w:w="630" w:type="pct"/>
            <w:gridSpan w:val="2"/>
            <w:tcBorders>
              <w:left w:val="single" w:sz="4" w:space="0" w:color="auto"/>
              <w:bottom w:val="single" w:sz="4" w:space="0" w:color="auto"/>
              <w:right w:val="single" w:sz="4" w:space="0" w:color="auto"/>
            </w:tcBorders>
            <w:shd w:val="clear" w:color="auto" w:fill="auto"/>
          </w:tcPr>
          <w:p w14:paraId="572D90AC" w14:textId="77777777" w:rsidR="00DE0F36" w:rsidRPr="009A3AE9" w:rsidRDefault="00DE0F36" w:rsidP="00DE0F36">
            <w:pPr>
              <w:pStyle w:val="TableText0"/>
              <w:keepLines/>
              <w:widowControl w:val="0"/>
              <w:jc w:val="center"/>
            </w:pPr>
            <w:r w:rsidRPr="009A3AE9">
              <w:rPr>
                <w:bCs w:val="0"/>
              </w:rPr>
              <w:t>-</w:t>
            </w:r>
          </w:p>
        </w:tc>
        <w:tc>
          <w:tcPr>
            <w:tcW w:w="755" w:type="pct"/>
            <w:gridSpan w:val="3"/>
            <w:tcBorders>
              <w:top w:val="single" w:sz="4" w:space="0" w:color="auto"/>
              <w:left w:val="single" w:sz="4" w:space="0" w:color="auto"/>
              <w:bottom w:val="nil"/>
              <w:right w:val="single" w:sz="4" w:space="0" w:color="auto"/>
            </w:tcBorders>
            <w:shd w:val="clear" w:color="auto" w:fill="auto"/>
          </w:tcPr>
          <w:p w14:paraId="0A13FDE4" w14:textId="77777777" w:rsidR="00DE0F36" w:rsidRPr="009A3AE9" w:rsidRDefault="00DE0F36" w:rsidP="00DE0F36">
            <w:pPr>
              <w:pStyle w:val="TableText0"/>
              <w:keepLines/>
              <w:widowControl w:val="0"/>
              <w:jc w:val="center"/>
              <w:rPr>
                <w:b/>
              </w:rPr>
            </w:pPr>
          </w:p>
        </w:tc>
      </w:tr>
      <w:tr w:rsidR="00DE0F36" w:rsidRPr="009A3AE9" w14:paraId="5B51C472" w14:textId="77777777" w:rsidTr="009E2A20">
        <w:trPr>
          <w:trHeight w:val="20"/>
        </w:trPr>
        <w:tc>
          <w:tcPr>
            <w:tcW w:w="1727" w:type="pct"/>
            <w:gridSpan w:val="2"/>
            <w:tcBorders>
              <w:bottom w:val="single" w:sz="4" w:space="0" w:color="auto"/>
              <w:right w:val="single" w:sz="4" w:space="0" w:color="auto"/>
            </w:tcBorders>
            <w:shd w:val="clear" w:color="auto" w:fill="auto"/>
          </w:tcPr>
          <w:p w14:paraId="5C9F6340" w14:textId="77777777" w:rsidR="00DE0F36" w:rsidRPr="009A3AE9" w:rsidRDefault="00DE0F36" w:rsidP="00DE0F36">
            <w:pPr>
              <w:pStyle w:val="TableText0"/>
              <w:keepLines/>
              <w:widowControl w:val="0"/>
            </w:pPr>
            <w:r w:rsidRPr="009A3AE9">
              <w:t>Median PFS, months (95% CI)</w:t>
            </w:r>
          </w:p>
        </w:tc>
        <w:tc>
          <w:tcPr>
            <w:tcW w:w="944" w:type="pct"/>
            <w:gridSpan w:val="3"/>
            <w:tcBorders>
              <w:left w:val="single" w:sz="4" w:space="0" w:color="auto"/>
              <w:bottom w:val="single" w:sz="4" w:space="0" w:color="auto"/>
              <w:right w:val="single" w:sz="4" w:space="0" w:color="auto"/>
            </w:tcBorders>
            <w:shd w:val="clear" w:color="auto" w:fill="auto"/>
          </w:tcPr>
          <w:p w14:paraId="69AF79EB" w14:textId="77777777" w:rsidR="00DE0F36" w:rsidRPr="009A3AE9" w:rsidRDefault="00DE0F36" w:rsidP="00DE0F36">
            <w:pPr>
              <w:pStyle w:val="TableText0"/>
              <w:keepLines/>
              <w:widowControl w:val="0"/>
              <w:jc w:val="center"/>
              <w:rPr>
                <w:rFonts w:cs="Times New Roman"/>
                <w:szCs w:val="20"/>
              </w:rPr>
            </w:pPr>
            <w:r w:rsidRPr="009A3AE9">
              <w:t>7.4 (6.0, 7.7)</w:t>
            </w:r>
          </w:p>
        </w:tc>
        <w:tc>
          <w:tcPr>
            <w:tcW w:w="944" w:type="pct"/>
            <w:gridSpan w:val="2"/>
            <w:tcBorders>
              <w:left w:val="single" w:sz="4" w:space="0" w:color="auto"/>
              <w:bottom w:val="single" w:sz="4" w:space="0" w:color="auto"/>
              <w:right w:val="single" w:sz="4" w:space="0" w:color="auto"/>
            </w:tcBorders>
            <w:shd w:val="clear" w:color="auto" w:fill="auto"/>
          </w:tcPr>
          <w:p w14:paraId="0BE52D40" w14:textId="77777777" w:rsidR="00DE0F36" w:rsidRPr="009A3AE9" w:rsidRDefault="00DE0F36" w:rsidP="00DE0F36">
            <w:pPr>
              <w:pStyle w:val="TableText0"/>
              <w:keepLines/>
              <w:widowControl w:val="0"/>
              <w:jc w:val="center"/>
              <w:rPr>
                <w:rFonts w:cs="Times New Roman"/>
                <w:szCs w:val="20"/>
              </w:rPr>
            </w:pPr>
            <w:r w:rsidRPr="009A3AE9">
              <w:t>5.6 (5.3, 5.8)</w:t>
            </w:r>
          </w:p>
        </w:tc>
        <w:tc>
          <w:tcPr>
            <w:tcW w:w="630" w:type="pct"/>
            <w:gridSpan w:val="2"/>
            <w:tcBorders>
              <w:left w:val="single" w:sz="4" w:space="0" w:color="auto"/>
              <w:bottom w:val="single" w:sz="4" w:space="0" w:color="auto"/>
              <w:right w:val="single" w:sz="4" w:space="0" w:color="auto"/>
            </w:tcBorders>
            <w:shd w:val="clear" w:color="auto" w:fill="auto"/>
          </w:tcPr>
          <w:p w14:paraId="7205B3E8" w14:textId="77777777" w:rsidR="00DE0F36" w:rsidRPr="009A3AE9" w:rsidRDefault="00DE0F36" w:rsidP="00DE0F36">
            <w:pPr>
              <w:pStyle w:val="TableText0"/>
              <w:keepLines/>
              <w:widowControl w:val="0"/>
              <w:jc w:val="center"/>
            </w:pPr>
            <w:r w:rsidRPr="009A3AE9">
              <w:t>1.8</w:t>
            </w:r>
          </w:p>
        </w:tc>
        <w:tc>
          <w:tcPr>
            <w:tcW w:w="755" w:type="pct"/>
            <w:gridSpan w:val="3"/>
            <w:tcBorders>
              <w:top w:val="nil"/>
              <w:left w:val="single" w:sz="4" w:space="0" w:color="auto"/>
              <w:bottom w:val="nil"/>
              <w:right w:val="single" w:sz="4" w:space="0" w:color="auto"/>
            </w:tcBorders>
            <w:shd w:val="clear" w:color="auto" w:fill="auto"/>
          </w:tcPr>
          <w:p w14:paraId="5FD3CC4E" w14:textId="77777777" w:rsidR="00DE0F36" w:rsidRPr="009A3AE9" w:rsidRDefault="00DE0F36" w:rsidP="00DE0F36">
            <w:pPr>
              <w:pStyle w:val="TableText0"/>
              <w:keepLines/>
              <w:widowControl w:val="0"/>
              <w:jc w:val="center"/>
              <w:rPr>
                <w:b/>
              </w:rPr>
            </w:pPr>
            <w:r w:rsidRPr="009A3AE9">
              <w:rPr>
                <w:b/>
              </w:rPr>
              <w:t>0.69 (0.58, 0.83)</w:t>
            </w:r>
          </w:p>
        </w:tc>
      </w:tr>
      <w:tr w:rsidR="00DE0F36" w:rsidRPr="009A3AE9" w14:paraId="5F3D613E" w14:textId="77777777" w:rsidTr="009E2A20">
        <w:trPr>
          <w:trHeight w:val="20"/>
        </w:trPr>
        <w:tc>
          <w:tcPr>
            <w:tcW w:w="1727" w:type="pct"/>
            <w:gridSpan w:val="2"/>
            <w:tcBorders>
              <w:top w:val="single" w:sz="4" w:space="0" w:color="auto"/>
              <w:bottom w:val="single" w:sz="4" w:space="0" w:color="auto"/>
              <w:right w:val="single" w:sz="4" w:space="0" w:color="auto"/>
            </w:tcBorders>
            <w:shd w:val="clear" w:color="auto" w:fill="auto"/>
          </w:tcPr>
          <w:p w14:paraId="6AEA29C5" w14:textId="77777777" w:rsidR="00DE0F36" w:rsidRPr="009C3CBE" w:rsidRDefault="00DE0F36" w:rsidP="00DE0F36">
            <w:pPr>
              <w:pStyle w:val="TableText0"/>
              <w:keepLines/>
              <w:widowControl w:val="0"/>
            </w:pPr>
            <w:r w:rsidRPr="00F41B81">
              <w:t>% not progressed at 3 months (95% CI)</w:t>
            </w:r>
          </w:p>
        </w:tc>
        <w:tc>
          <w:tcPr>
            <w:tcW w:w="944" w:type="pct"/>
            <w:gridSpan w:val="3"/>
            <w:tcBorders>
              <w:top w:val="single" w:sz="4" w:space="0" w:color="auto"/>
              <w:left w:val="single" w:sz="4" w:space="0" w:color="auto"/>
              <w:bottom w:val="single" w:sz="4" w:space="0" w:color="auto"/>
              <w:right w:val="single" w:sz="4" w:space="0" w:color="auto"/>
            </w:tcBorders>
            <w:shd w:val="clear" w:color="auto" w:fill="auto"/>
          </w:tcPr>
          <w:p w14:paraId="34515B09" w14:textId="77777777" w:rsidR="00DE0F36" w:rsidRPr="009C3CBE" w:rsidRDefault="00DE0F36" w:rsidP="00DE0F36">
            <w:pPr>
              <w:pStyle w:val="TableText0"/>
              <w:keepLines/>
              <w:widowControl w:val="0"/>
              <w:jc w:val="center"/>
            </w:pPr>
            <w:r w:rsidRPr="009C3CBE">
              <w:t>76.9 (72.1, 81.1)</w:t>
            </w:r>
          </w:p>
        </w:tc>
        <w:tc>
          <w:tcPr>
            <w:tcW w:w="944" w:type="pct"/>
            <w:gridSpan w:val="2"/>
            <w:tcBorders>
              <w:top w:val="single" w:sz="4" w:space="0" w:color="auto"/>
              <w:left w:val="single" w:sz="4" w:space="0" w:color="auto"/>
              <w:bottom w:val="single" w:sz="4" w:space="0" w:color="auto"/>
              <w:right w:val="single" w:sz="4" w:space="0" w:color="auto"/>
            </w:tcBorders>
            <w:shd w:val="clear" w:color="auto" w:fill="auto"/>
          </w:tcPr>
          <w:p w14:paraId="301E3479" w14:textId="77777777" w:rsidR="00DE0F36" w:rsidRPr="009C3CBE" w:rsidRDefault="00DE0F36" w:rsidP="00DE0F36">
            <w:pPr>
              <w:pStyle w:val="TableText0"/>
              <w:keepLines/>
              <w:widowControl w:val="0"/>
              <w:jc w:val="center"/>
              <w:rPr>
                <w:szCs w:val="20"/>
              </w:rPr>
            </w:pPr>
            <w:r w:rsidRPr="009C3CBE">
              <w:t>71.5 (66.5, 75.9)</w:t>
            </w:r>
          </w:p>
        </w:tc>
        <w:tc>
          <w:tcPr>
            <w:tcW w:w="630" w:type="pct"/>
            <w:gridSpan w:val="2"/>
            <w:tcBorders>
              <w:top w:val="single" w:sz="4" w:space="0" w:color="auto"/>
              <w:left w:val="single" w:sz="4" w:space="0" w:color="auto"/>
              <w:bottom w:val="single" w:sz="4" w:space="0" w:color="auto"/>
              <w:right w:val="single" w:sz="4" w:space="0" w:color="auto"/>
            </w:tcBorders>
            <w:shd w:val="clear" w:color="auto" w:fill="auto"/>
          </w:tcPr>
          <w:p w14:paraId="11CFD562" w14:textId="77777777" w:rsidR="00DE0F36" w:rsidRPr="00F41B81" w:rsidRDefault="00DE0F36" w:rsidP="00DE0F36">
            <w:pPr>
              <w:pStyle w:val="TableText0"/>
              <w:keepLines/>
              <w:widowControl w:val="0"/>
              <w:jc w:val="center"/>
            </w:pPr>
            <w:r w:rsidRPr="009C3CBE">
              <w:t>5.4%</w:t>
            </w:r>
          </w:p>
        </w:tc>
        <w:tc>
          <w:tcPr>
            <w:tcW w:w="755" w:type="pct"/>
            <w:gridSpan w:val="3"/>
            <w:tcBorders>
              <w:top w:val="nil"/>
              <w:left w:val="single" w:sz="4" w:space="0" w:color="auto"/>
              <w:bottom w:val="nil"/>
              <w:right w:val="single" w:sz="4" w:space="0" w:color="auto"/>
            </w:tcBorders>
            <w:shd w:val="clear" w:color="auto" w:fill="auto"/>
          </w:tcPr>
          <w:p w14:paraId="6D39D8C1" w14:textId="77777777" w:rsidR="00DE0F36" w:rsidRPr="009A3AE9" w:rsidRDefault="00DE0F36" w:rsidP="00DE0F36">
            <w:pPr>
              <w:pStyle w:val="TableText0"/>
              <w:keepLines/>
              <w:widowControl w:val="0"/>
              <w:jc w:val="center"/>
              <w:rPr>
                <w:b/>
              </w:rPr>
            </w:pPr>
            <w:r w:rsidRPr="009A3AE9">
              <w:rPr>
                <w:b/>
              </w:rPr>
              <w:t>p&lt;0.0001</w:t>
            </w:r>
          </w:p>
        </w:tc>
      </w:tr>
      <w:tr w:rsidR="00DE0F36" w:rsidRPr="009A3AE9" w14:paraId="5EE263A2" w14:textId="77777777" w:rsidTr="009E2A20">
        <w:trPr>
          <w:trHeight w:val="20"/>
        </w:trPr>
        <w:tc>
          <w:tcPr>
            <w:tcW w:w="1727" w:type="pct"/>
            <w:gridSpan w:val="2"/>
            <w:tcBorders>
              <w:top w:val="single" w:sz="4" w:space="0" w:color="auto"/>
              <w:bottom w:val="single" w:sz="4" w:space="0" w:color="auto"/>
              <w:right w:val="single" w:sz="4" w:space="0" w:color="auto"/>
            </w:tcBorders>
            <w:shd w:val="clear" w:color="auto" w:fill="auto"/>
          </w:tcPr>
          <w:p w14:paraId="50C86E8D" w14:textId="77777777" w:rsidR="00DE0F36" w:rsidRPr="009A3AE9" w:rsidRDefault="00DE0F36" w:rsidP="00DE0F36">
            <w:pPr>
              <w:pStyle w:val="TableText0"/>
              <w:keepLines/>
              <w:widowControl w:val="0"/>
            </w:pPr>
            <w:r w:rsidRPr="009A3AE9">
              <w:t>% not progressed at 6 months (95% CI)</w:t>
            </w:r>
          </w:p>
        </w:tc>
        <w:tc>
          <w:tcPr>
            <w:tcW w:w="944" w:type="pct"/>
            <w:gridSpan w:val="3"/>
            <w:tcBorders>
              <w:top w:val="single" w:sz="4" w:space="0" w:color="auto"/>
              <w:left w:val="single" w:sz="4" w:space="0" w:color="auto"/>
              <w:bottom w:val="single" w:sz="4" w:space="0" w:color="auto"/>
              <w:right w:val="single" w:sz="4" w:space="0" w:color="auto"/>
            </w:tcBorders>
            <w:shd w:val="clear" w:color="auto" w:fill="auto"/>
          </w:tcPr>
          <w:p w14:paraId="3445E7B2" w14:textId="77777777" w:rsidR="00DE0F36" w:rsidRPr="009A3AE9" w:rsidRDefault="00DE0F36" w:rsidP="00DE0F36">
            <w:pPr>
              <w:pStyle w:val="TableText0"/>
              <w:keepLines/>
              <w:widowControl w:val="0"/>
              <w:jc w:val="center"/>
              <w:rPr>
                <w:szCs w:val="20"/>
              </w:rPr>
            </w:pPr>
            <w:r w:rsidRPr="009A3AE9">
              <w:t>56.4 (50.7, 61.6)</w:t>
            </w:r>
          </w:p>
        </w:tc>
        <w:tc>
          <w:tcPr>
            <w:tcW w:w="944" w:type="pct"/>
            <w:gridSpan w:val="2"/>
            <w:tcBorders>
              <w:top w:val="single" w:sz="4" w:space="0" w:color="auto"/>
              <w:left w:val="single" w:sz="4" w:space="0" w:color="auto"/>
              <w:bottom w:val="single" w:sz="4" w:space="0" w:color="auto"/>
              <w:right w:val="single" w:sz="4" w:space="0" w:color="auto"/>
            </w:tcBorders>
            <w:shd w:val="clear" w:color="auto" w:fill="auto"/>
          </w:tcPr>
          <w:p w14:paraId="78D674A6" w14:textId="77777777" w:rsidR="00DE0F36" w:rsidRPr="009A3AE9" w:rsidRDefault="00DE0F36" w:rsidP="00DE0F36">
            <w:pPr>
              <w:pStyle w:val="TableText0"/>
              <w:keepLines/>
              <w:widowControl w:val="0"/>
              <w:jc w:val="center"/>
              <w:rPr>
                <w:szCs w:val="20"/>
              </w:rPr>
            </w:pPr>
            <w:r w:rsidRPr="009A3AE9">
              <w:t>43.2 (37.6, 48.6)</w:t>
            </w:r>
          </w:p>
        </w:tc>
        <w:tc>
          <w:tcPr>
            <w:tcW w:w="630" w:type="pct"/>
            <w:gridSpan w:val="2"/>
            <w:tcBorders>
              <w:top w:val="single" w:sz="4" w:space="0" w:color="auto"/>
              <w:left w:val="single" w:sz="4" w:space="0" w:color="auto"/>
              <w:bottom w:val="single" w:sz="4" w:space="0" w:color="auto"/>
              <w:right w:val="single" w:sz="4" w:space="0" w:color="auto"/>
            </w:tcBorders>
            <w:shd w:val="clear" w:color="auto" w:fill="auto"/>
          </w:tcPr>
          <w:p w14:paraId="5645EE1A" w14:textId="77777777" w:rsidR="00DE0F36" w:rsidRPr="009A3AE9" w:rsidRDefault="00DE0F36" w:rsidP="00DE0F36">
            <w:pPr>
              <w:pStyle w:val="TableText0"/>
              <w:keepLines/>
              <w:widowControl w:val="0"/>
              <w:jc w:val="center"/>
              <w:rPr>
                <w:rFonts w:cs="Times New Roman"/>
                <w:szCs w:val="20"/>
              </w:rPr>
            </w:pPr>
            <w:r w:rsidRPr="009A3AE9">
              <w:rPr>
                <w:rFonts w:cs="Times New Roman"/>
                <w:szCs w:val="20"/>
              </w:rPr>
              <w:t>13.2%</w:t>
            </w:r>
          </w:p>
        </w:tc>
        <w:tc>
          <w:tcPr>
            <w:tcW w:w="755" w:type="pct"/>
            <w:gridSpan w:val="3"/>
            <w:tcBorders>
              <w:top w:val="nil"/>
              <w:left w:val="single" w:sz="4" w:space="0" w:color="auto"/>
              <w:bottom w:val="nil"/>
              <w:right w:val="single" w:sz="4" w:space="0" w:color="auto"/>
            </w:tcBorders>
            <w:shd w:val="clear" w:color="auto" w:fill="auto"/>
          </w:tcPr>
          <w:p w14:paraId="53CC4791" w14:textId="77777777" w:rsidR="00DE0F36" w:rsidRPr="009A3AE9" w:rsidRDefault="00DE0F36" w:rsidP="00DE0F36">
            <w:pPr>
              <w:pStyle w:val="TableText0"/>
              <w:keepLines/>
              <w:widowControl w:val="0"/>
              <w:jc w:val="center"/>
              <w:rPr>
                <w:b/>
              </w:rPr>
            </w:pPr>
          </w:p>
        </w:tc>
      </w:tr>
      <w:tr w:rsidR="00DE0F36" w:rsidRPr="009A3AE9" w14:paraId="0CD94E87" w14:textId="77777777" w:rsidTr="009E2A20">
        <w:trPr>
          <w:trHeight w:val="20"/>
        </w:trPr>
        <w:tc>
          <w:tcPr>
            <w:tcW w:w="1727" w:type="pct"/>
            <w:gridSpan w:val="2"/>
            <w:tcBorders>
              <w:top w:val="single" w:sz="4" w:space="0" w:color="auto"/>
              <w:bottom w:val="single" w:sz="4" w:space="0" w:color="auto"/>
              <w:right w:val="single" w:sz="4" w:space="0" w:color="auto"/>
            </w:tcBorders>
            <w:shd w:val="clear" w:color="auto" w:fill="auto"/>
          </w:tcPr>
          <w:p w14:paraId="2E153583" w14:textId="77777777" w:rsidR="00DE0F36" w:rsidRPr="009C3CBE" w:rsidRDefault="00DE0F36" w:rsidP="00DE0F36">
            <w:pPr>
              <w:pStyle w:val="TableText0"/>
              <w:keepLines/>
              <w:widowControl w:val="0"/>
            </w:pPr>
            <w:r w:rsidRPr="00F41B81">
              <w:t xml:space="preserve">% not progressed at 9 months </w:t>
            </w:r>
            <w:r w:rsidRPr="009C3CBE">
              <w:t>(95% CI)</w:t>
            </w:r>
          </w:p>
        </w:tc>
        <w:tc>
          <w:tcPr>
            <w:tcW w:w="944" w:type="pct"/>
            <w:gridSpan w:val="3"/>
            <w:tcBorders>
              <w:top w:val="single" w:sz="4" w:space="0" w:color="auto"/>
              <w:left w:val="single" w:sz="4" w:space="0" w:color="auto"/>
              <w:bottom w:val="single" w:sz="4" w:space="0" w:color="auto"/>
              <w:right w:val="single" w:sz="4" w:space="0" w:color="auto"/>
            </w:tcBorders>
            <w:shd w:val="clear" w:color="auto" w:fill="auto"/>
          </w:tcPr>
          <w:p w14:paraId="7EB2BF7F" w14:textId="77777777" w:rsidR="00DE0F36" w:rsidRPr="009C3CBE" w:rsidRDefault="00DE0F36" w:rsidP="00DE0F36">
            <w:pPr>
              <w:pStyle w:val="TableText0"/>
              <w:keepLines/>
              <w:widowControl w:val="0"/>
              <w:jc w:val="center"/>
              <w:rPr>
                <w:szCs w:val="20"/>
              </w:rPr>
            </w:pPr>
            <w:r w:rsidRPr="009C3CBE">
              <w:t>40.9 (35.3, 46.4)</w:t>
            </w:r>
          </w:p>
        </w:tc>
        <w:tc>
          <w:tcPr>
            <w:tcW w:w="944" w:type="pct"/>
            <w:gridSpan w:val="2"/>
            <w:tcBorders>
              <w:top w:val="single" w:sz="4" w:space="0" w:color="auto"/>
              <w:left w:val="single" w:sz="4" w:space="0" w:color="auto"/>
              <w:bottom w:val="single" w:sz="4" w:space="0" w:color="auto"/>
              <w:right w:val="single" w:sz="4" w:space="0" w:color="auto"/>
            </w:tcBorders>
            <w:shd w:val="clear" w:color="auto" w:fill="auto"/>
          </w:tcPr>
          <w:p w14:paraId="2A697455" w14:textId="77777777" w:rsidR="00DE0F36" w:rsidRPr="009C3CBE" w:rsidRDefault="00DE0F36" w:rsidP="00DE0F36">
            <w:pPr>
              <w:pStyle w:val="TableText0"/>
              <w:keepLines/>
              <w:widowControl w:val="0"/>
              <w:jc w:val="center"/>
              <w:rPr>
                <w:szCs w:val="20"/>
              </w:rPr>
            </w:pPr>
            <w:r w:rsidRPr="009C3CBE">
              <w:t>24.9 (19.8, 30.2)</w:t>
            </w:r>
          </w:p>
        </w:tc>
        <w:tc>
          <w:tcPr>
            <w:tcW w:w="630" w:type="pct"/>
            <w:gridSpan w:val="2"/>
            <w:tcBorders>
              <w:top w:val="single" w:sz="4" w:space="0" w:color="auto"/>
              <w:left w:val="single" w:sz="4" w:space="0" w:color="auto"/>
              <w:bottom w:val="single" w:sz="4" w:space="0" w:color="auto"/>
              <w:right w:val="single" w:sz="4" w:space="0" w:color="auto"/>
            </w:tcBorders>
            <w:shd w:val="clear" w:color="auto" w:fill="auto"/>
          </w:tcPr>
          <w:p w14:paraId="2AA0AAD6" w14:textId="1E795E8A" w:rsidR="00DE0F36" w:rsidRPr="00F41B81" w:rsidRDefault="00DE0F36" w:rsidP="00DE0F36">
            <w:pPr>
              <w:pStyle w:val="TableText0"/>
              <w:keepLines/>
              <w:widowControl w:val="0"/>
              <w:jc w:val="center"/>
              <w:rPr>
                <w:rFonts w:cs="Times New Roman"/>
                <w:szCs w:val="20"/>
              </w:rPr>
            </w:pPr>
            <w:r w:rsidRPr="009C3CBE">
              <w:t>16</w:t>
            </w:r>
            <w:r w:rsidR="00323B09" w:rsidRPr="009C3CBE">
              <w:t>.0</w:t>
            </w:r>
            <w:r w:rsidRPr="009C3CBE">
              <w:t>%</w:t>
            </w:r>
          </w:p>
        </w:tc>
        <w:tc>
          <w:tcPr>
            <w:tcW w:w="755" w:type="pct"/>
            <w:gridSpan w:val="3"/>
            <w:tcBorders>
              <w:top w:val="nil"/>
              <w:left w:val="single" w:sz="4" w:space="0" w:color="auto"/>
              <w:bottom w:val="nil"/>
              <w:right w:val="single" w:sz="4" w:space="0" w:color="auto"/>
            </w:tcBorders>
            <w:shd w:val="clear" w:color="auto" w:fill="auto"/>
          </w:tcPr>
          <w:p w14:paraId="70C691EE" w14:textId="77777777" w:rsidR="00DE0F36" w:rsidRPr="009A3AE9" w:rsidRDefault="00DE0F36" w:rsidP="00DE0F36">
            <w:pPr>
              <w:pStyle w:val="TableText0"/>
              <w:keepLines/>
              <w:widowControl w:val="0"/>
              <w:jc w:val="center"/>
            </w:pPr>
          </w:p>
        </w:tc>
      </w:tr>
      <w:tr w:rsidR="00DE0F36" w:rsidRPr="009A3AE9" w14:paraId="282127A7" w14:textId="77777777" w:rsidTr="009E2A20">
        <w:trPr>
          <w:trHeight w:val="20"/>
        </w:trPr>
        <w:tc>
          <w:tcPr>
            <w:tcW w:w="1727" w:type="pct"/>
            <w:gridSpan w:val="2"/>
            <w:tcBorders>
              <w:top w:val="single" w:sz="4" w:space="0" w:color="auto"/>
              <w:bottom w:val="single" w:sz="4" w:space="0" w:color="auto"/>
              <w:right w:val="single" w:sz="4" w:space="0" w:color="auto"/>
            </w:tcBorders>
            <w:shd w:val="clear" w:color="auto" w:fill="auto"/>
          </w:tcPr>
          <w:p w14:paraId="07A63649" w14:textId="77777777" w:rsidR="00DE0F36" w:rsidRPr="009A3AE9" w:rsidRDefault="00DE0F36" w:rsidP="00DE0F36">
            <w:pPr>
              <w:pStyle w:val="TableText0"/>
              <w:keepLines/>
              <w:widowControl w:val="0"/>
            </w:pPr>
            <w:r w:rsidRPr="009A3AE9">
              <w:t>% not progressed at 12 months (95% CI)</w:t>
            </w:r>
          </w:p>
        </w:tc>
        <w:tc>
          <w:tcPr>
            <w:tcW w:w="944" w:type="pct"/>
            <w:gridSpan w:val="3"/>
            <w:tcBorders>
              <w:top w:val="single" w:sz="4" w:space="0" w:color="auto"/>
              <w:left w:val="single" w:sz="4" w:space="0" w:color="auto"/>
              <w:bottom w:val="single" w:sz="4" w:space="0" w:color="auto"/>
              <w:right w:val="single" w:sz="4" w:space="0" w:color="auto"/>
            </w:tcBorders>
            <w:shd w:val="clear" w:color="auto" w:fill="auto"/>
          </w:tcPr>
          <w:p w14:paraId="0E7D4C90" w14:textId="77777777" w:rsidR="00DE0F36" w:rsidRPr="009A3AE9" w:rsidRDefault="00DE0F36" w:rsidP="00DE0F36">
            <w:pPr>
              <w:pStyle w:val="TableText0"/>
              <w:keepLines/>
              <w:widowControl w:val="0"/>
              <w:jc w:val="center"/>
              <w:rPr>
                <w:szCs w:val="20"/>
              </w:rPr>
            </w:pPr>
            <w:r w:rsidRPr="009A3AE9">
              <w:t>27.4 (22.3, 32.7)</w:t>
            </w:r>
          </w:p>
        </w:tc>
        <w:tc>
          <w:tcPr>
            <w:tcW w:w="944" w:type="pct"/>
            <w:gridSpan w:val="2"/>
            <w:tcBorders>
              <w:top w:val="single" w:sz="4" w:space="0" w:color="auto"/>
              <w:left w:val="single" w:sz="4" w:space="0" w:color="auto"/>
              <w:bottom w:val="single" w:sz="4" w:space="0" w:color="auto"/>
              <w:right w:val="single" w:sz="4" w:space="0" w:color="auto"/>
            </w:tcBorders>
            <w:shd w:val="clear" w:color="auto" w:fill="auto"/>
          </w:tcPr>
          <w:p w14:paraId="77EEF312" w14:textId="77777777" w:rsidR="00DE0F36" w:rsidRPr="009A3AE9" w:rsidRDefault="00DE0F36" w:rsidP="00DE0F36">
            <w:pPr>
              <w:pStyle w:val="TableText0"/>
              <w:keepLines/>
              <w:widowControl w:val="0"/>
              <w:jc w:val="center"/>
              <w:rPr>
                <w:szCs w:val="20"/>
              </w:rPr>
            </w:pPr>
            <w:r w:rsidRPr="009A3AE9">
              <w:t>13.9 (9.7, 18.9)</w:t>
            </w:r>
          </w:p>
        </w:tc>
        <w:tc>
          <w:tcPr>
            <w:tcW w:w="630" w:type="pct"/>
            <w:gridSpan w:val="2"/>
            <w:tcBorders>
              <w:top w:val="single" w:sz="4" w:space="0" w:color="auto"/>
              <w:left w:val="single" w:sz="4" w:space="0" w:color="auto"/>
              <w:bottom w:val="single" w:sz="4" w:space="0" w:color="auto"/>
              <w:right w:val="single" w:sz="4" w:space="0" w:color="auto"/>
            </w:tcBorders>
            <w:shd w:val="clear" w:color="auto" w:fill="auto"/>
          </w:tcPr>
          <w:p w14:paraId="24EFF3AD" w14:textId="77777777" w:rsidR="00DE0F36" w:rsidRPr="009A3AE9" w:rsidRDefault="00DE0F36" w:rsidP="00DE0F36">
            <w:pPr>
              <w:pStyle w:val="TableText0"/>
              <w:keepLines/>
              <w:widowControl w:val="0"/>
              <w:jc w:val="center"/>
              <w:rPr>
                <w:rFonts w:cs="Times New Roman"/>
                <w:szCs w:val="20"/>
              </w:rPr>
            </w:pPr>
            <w:r w:rsidRPr="009A3AE9">
              <w:t>13.5%</w:t>
            </w:r>
          </w:p>
        </w:tc>
        <w:tc>
          <w:tcPr>
            <w:tcW w:w="755" w:type="pct"/>
            <w:gridSpan w:val="3"/>
            <w:tcBorders>
              <w:top w:val="nil"/>
              <w:left w:val="single" w:sz="4" w:space="0" w:color="auto"/>
              <w:bottom w:val="nil"/>
              <w:right w:val="single" w:sz="4" w:space="0" w:color="auto"/>
            </w:tcBorders>
            <w:shd w:val="clear" w:color="auto" w:fill="auto"/>
          </w:tcPr>
          <w:p w14:paraId="2463EA53" w14:textId="77777777" w:rsidR="00DE0F36" w:rsidRPr="009A3AE9" w:rsidRDefault="00DE0F36" w:rsidP="00DE0F36">
            <w:pPr>
              <w:pStyle w:val="TableText0"/>
              <w:keepLines/>
              <w:widowControl w:val="0"/>
              <w:jc w:val="center"/>
            </w:pPr>
          </w:p>
        </w:tc>
      </w:tr>
      <w:tr w:rsidR="00DE0F36" w:rsidRPr="009A3AE9" w14:paraId="597D88E1" w14:textId="77777777" w:rsidTr="009E2A20">
        <w:trPr>
          <w:trHeight w:val="20"/>
        </w:trPr>
        <w:tc>
          <w:tcPr>
            <w:tcW w:w="1727" w:type="pct"/>
            <w:gridSpan w:val="2"/>
            <w:tcBorders>
              <w:top w:val="single" w:sz="4" w:space="0" w:color="auto"/>
              <w:bottom w:val="double" w:sz="4" w:space="0" w:color="auto"/>
              <w:right w:val="single" w:sz="4" w:space="0" w:color="auto"/>
            </w:tcBorders>
            <w:shd w:val="clear" w:color="auto" w:fill="auto"/>
          </w:tcPr>
          <w:p w14:paraId="1AFAFFAC" w14:textId="77777777" w:rsidR="00DE0F36" w:rsidRPr="009A3AE9" w:rsidRDefault="00DE0F36" w:rsidP="00DE0F36">
            <w:pPr>
              <w:pStyle w:val="TableText0"/>
              <w:keepLines/>
              <w:widowControl w:val="0"/>
            </w:pPr>
            <w:r w:rsidRPr="009A3AE9">
              <w:t>% not progressed at 18 months (95% CI)</w:t>
            </w:r>
          </w:p>
        </w:tc>
        <w:tc>
          <w:tcPr>
            <w:tcW w:w="944" w:type="pct"/>
            <w:gridSpan w:val="3"/>
            <w:tcBorders>
              <w:top w:val="single" w:sz="4" w:space="0" w:color="auto"/>
              <w:left w:val="single" w:sz="4" w:space="0" w:color="auto"/>
              <w:bottom w:val="double" w:sz="4" w:space="0" w:color="auto"/>
              <w:right w:val="single" w:sz="4" w:space="0" w:color="auto"/>
            </w:tcBorders>
            <w:shd w:val="clear" w:color="auto" w:fill="auto"/>
          </w:tcPr>
          <w:p w14:paraId="2A2F2055" w14:textId="77777777" w:rsidR="00DE0F36" w:rsidRPr="009A3AE9" w:rsidRDefault="00DE0F36" w:rsidP="00DE0F36">
            <w:pPr>
              <w:pStyle w:val="TableText0"/>
              <w:keepLines/>
              <w:widowControl w:val="0"/>
              <w:jc w:val="center"/>
              <w:rPr>
                <w:szCs w:val="20"/>
              </w:rPr>
            </w:pPr>
            <w:r w:rsidRPr="009A3AE9">
              <w:t>11.4 (7.1, 16.9)</w:t>
            </w:r>
          </w:p>
        </w:tc>
        <w:tc>
          <w:tcPr>
            <w:tcW w:w="944" w:type="pct"/>
            <w:gridSpan w:val="2"/>
            <w:tcBorders>
              <w:top w:val="single" w:sz="4" w:space="0" w:color="auto"/>
              <w:left w:val="single" w:sz="4" w:space="0" w:color="auto"/>
              <w:bottom w:val="double" w:sz="4" w:space="0" w:color="auto"/>
              <w:right w:val="single" w:sz="4" w:space="0" w:color="auto"/>
            </w:tcBorders>
            <w:shd w:val="clear" w:color="auto" w:fill="auto"/>
          </w:tcPr>
          <w:p w14:paraId="6CF83538" w14:textId="77777777" w:rsidR="00DE0F36" w:rsidRPr="009A3AE9" w:rsidRDefault="00DE0F36" w:rsidP="00DE0F36">
            <w:pPr>
              <w:pStyle w:val="TableText0"/>
              <w:keepLines/>
              <w:widowControl w:val="0"/>
              <w:jc w:val="center"/>
              <w:rPr>
                <w:szCs w:val="20"/>
              </w:rPr>
            </w:pPr>
            <w:r w:rsidRPr="009A3AE9">
              <w:t>3.6 (0.5, 12.3)</w:t>
            </w:r>
          </w:p>
        </w:tc>
        <w:tc>
          <w:tcPr>
            <w:tcW w:w="630" w:type="pct"/>
            <w:gridSpan w:val="2"/>
            <w:tcBorders>
              <w:top w:val="single" w:sz="4" w:space="0" w:color="auto"/>
              <w:left w:val="single" w:sz="4" w:space="0" w:color="auto"/>
              <w:bottom w:val="double" w:sz="4" w:space="0" w:color="auto"/>
              <w:right w:val="single" w:sz="4" w:space="0" w:color="auto"/>
            </w:tcBorders>
            <w:shd w:val="clear" w:color="auto" w:fill="auto"/>
          </w:tcPr>
          <w:p w14:paraId="091E851B" w14:textId="77777777" w:rsidR="00DE0F36" w:rsidRPr="009A3AE9" w:rsidRDefault="00DE0F36" w:rsidP="00DE0F36">
            <w:pPr>
              <w:pStyle w:val="TableText0"/>
              <w:keepLines/>
              <w:widowControl w:val="0"/>
              <w:jc w:val="center"/>
              <w:rPr>
                <w:rFonts w:cs="Times New Roman"/>
                <w:szCs w:val="20"/>
              </w:rPr>
            </w:pPr>
            <w:r w:rsidRPr="009A3AE9">
              <w:rPr>
                <w:rFonts w:cs="Times New Roman"/>
                <w:szCs w:val="20"/>
              </w:rPr>
              <w:t>7.8%</w:t>
            </w:r>
          </w:p>
        </w:tc>
        <w:tc>
          <w:tcPr>
            <w:tcW w:w="755" w:type="pct"/>
            <w:gridSpan w:val="3"/>
            <w:tcBorders>
              <w:top w:val="nil"/>
              <w:left w:val="single" w:sz="4" w:space="0" w:color="auto"/>
              <w:bottom w:val="double" w:sz="4" w:space="0" w:color="auto"/>
              <w:right w:val="single" w:sz="4" w:space="0" w:color="auto"/>
            </w:tcBorders>
            <w:shd w:val="clear" w:color="auto" w:fill="auto"/>
          </w:tcPr>
          <w:p w14:paraId="72E515AD" w14:textId="77777777" w:rsidR="00DE0F36" w:rsidRPr="009A3AE9" w:rsidRDefault="00DE0F36" w:rsidP="00DE0F36">
            <w:pPr>
              <w:pStyle w:val="TableText0"/>
              <w:keepLines/>
              <w:widowControl w:val="0"/>
              <w:jc w:val="center"/>
            </w:pPr>
          </w:p>
        </w:tc>
      </w:tr>
      <w:tr w:rsidR="009E2A20" w:rsidRPr="009A3AE9" w14:paraId="324DF99B" w14:textId="77777777" w:rsidTr="00AC2C8D">
        <w:trPr>
          <w:trHeight w:val="20"/>
        </w:trPr>
        <w:tc>
          <w:tcPr>
            <w:tcW w:w="1177" w:type="pct"/>
            <w:vMerge w:val="restart"/>
            <w:tcBorders>
              <w:top w:val="double" w:sz="4" w:space="0" w:color="auto"/>
              <w:right w:val="single" w:sz="4" w:space="0" w:color="auto"/>
            </w:tcBorders>
            <w:shd w:val="clear" w:color="auto" w:fill="auto"/>
          </w:tcPr>
          <w:p w14:paraId="661B6C6F" w14:textId="190A7AD8" w:rsidR="00921FAA" w:rsidRPr="009A3AE9" w:rsidRDefault="00921FAA" w:rsidP="006F6A94">
            <w:pPr>
              <w:pStyle w:val="In-tableHeading"/>
              <w:rPr>
                <w:lang w:val="en-AU"/>
              </w:rPr>
            </w:pPr>
            <w:bookmarkStart w:id="94" w:name="_Hlk159420812"/>
            <w:r w:rsidRPr="009A3AE9">
              <w:rPr>
                <w:lang w:val="en-AU"/>
              </w:rPr>
              <w:t>HARMS (Grade 3-4)</w:t>
            </w:r>
          </w:p>
        </w:tc>
        <w:tc>
          <w:tcPr>
            <w:tcW w:w="637" w:type="pct"/>
            <w:gridSpan w:val="2"/>
            <w:vMerge w:val="restart"/>
            <w:tcBorders>
              <w:top w:val="double" w:sz="4" w:space="0" w:color="auto"/>
              <w:right w:val="single" w:sz="4" w:space="0" w:color="auto"/>
            </w:tcBorders>
            <w:shd w:val="clear" w:color="auto" w:fill="auto"/>
          </w:tcPr>
          <w:p w14:paraId="451BD815" w14:textId="77777777" w:rsidR="00921FAA" w:rsidRPr="009A3AE9" w:rsidRDefault="00921FAA" w:rsidP="00AC2C8D">
            <w:pPr>
              <w:pStyle w:val="In-tableHeading"/>
              <w:jc w:val="center"/>
              <w:rPr>
                <w:lang w:val="en-AU"/>
              </w:rPr>
            </w:pPr>
            <w:r w:rsidRPr="009A3AE9">
              <w:rPr>
                <w:lang w:val="en-AU"/>
              </w:rPr>
              <w:t>N=370</w:t>
            </w:r>
          </w:p>
        </w:tc>
        <w:tc>
          <w:tcPr>
            <w:tcW w:w="637" w:type="pct"/>
            <w:vMerge w:val="restart"/>
            <w:tcBorders>
              <w:top w:val="double" w:sz="4" w:space="0" w:color="auto"/>
              <w:right w:val="single" w:sz="4" w:space="0" w:color="auto"/>
            </w:tcBorders>
            <w:shd w:val="clear" w:color="auto" w:fill="auto"/>
          </w:tcPr>
          <w:p w14:paraId="583D7DD6" w14:textId="77777777" w:rsidR="00921FAA" w:rsidRPr="009A3AE9" w:rsidRDefault="00921FAA" w:rsidP="00AC2C8D">
            <w:pPr>
              <w:pStyle w:val="In-tableHeading"/>
              <w:jc w:val="center"/>
              <w:rPr>
                <w:lang w:val="en-AU"/>
              </w:rPr>
            </w:pPr>
            <w:r w:rsidRPr="009A3AE9">
              <w:rPr>
                <w:lang w:val="en-AU"/>
              </w:rPr>
              <w:t>N=379</w:t>
            </w:r>
          </w:p>
        </w:tc>
        <w:tc>
          <w:tcPr>
            <w:tcW w:w="606" w:type="pct"/>
            <w:gridSpan w:val="2"/>
            <w:vMerge w:val="restart"/>
            <w:tcBorders>
              <w:top w:val="double" w:sz="4" w:space="0" w:color="auto"/>
            </w:tcBorders>
          </w:tcPr>
          <w:p w14:paraId="4FF5CC8B" w14:textId="1B4680CE" w:rsidR="00921FAA" w:rsidRPr="009A3AE9" w:rsidRDefault="00921FAA" w:rsidP="009E2A20">
            <w:pPr>
              <w:pStyle w:val="In-tableHeading"/>
              <w:jc w:val="center"/>
              <w:rPr>
                <w:lang w:val="en-AU"/>
              </w:rPr>
            </w:pPr>
            <w:r w:rsidRPr="009A3AE9">
              <w:rPr>
                <w:lang w:val="en-AU"/>
              </w:rPr>
              <w:t>RR (95% CI)</w:t>
            </w:r>
          </w:p>
        </w:tc>
        <w:tc>
          <w:tcPr>
            <w:tcW w:w="1310" w:type="pct"/>
            <w:gridSpan w:val="5"/>
            <w:tcBorders>
              <w:top w:val="double" w:sz="4" w:space="0" w:color="auto"/>
              <w:bottom w:val="single" w:sz="4" w:space="0" w:color="auto"/>
            </w:tcBorders>
          </w:tcPr>
          <w:p w14:paraId="6BF1A453" w14:textId="161C5892" w:rsidR="00921FAA" w:rsidRPr="009A3AE9" w:rsidRDefault="00921FAA" w:rsidP="009E2A20">
            <w:pPr>
              <w:pStyle w:val="In-tableHeading"/>
              <w:jc w:val="center"/>
              <w:rPr>
                <w:lang w:val="en-AU"/>
              </w:rPr>
            </w:pPr>
            <w:r w:rsidRPr="009A3AE9">
              <w:rPr>
                <w:lang w:val="en-AU"/>
              </w:rPr>
              <w:t>Event rate/100 patients</w:t>
            </w:r>
          </w:p>
        </w:tc>
        <w:tc>
          <w:tcPr>
            <w:tcW w:w="633" w:type="pct"/>
            <w:vMerge w:val="restart"/>
            <w:tcBorders>
              <w:top w:val="double" w:sz="4" w:space="0" w:color="auto"/>
              <w:right w:val="single" w:sz="4" w:space="0" w:color="auto"/>
            </w:tcBorders>
            <w:shd w:val="clear" w:color="auto" w:fill="auto"/>
          </w:tcPr>
          <w:p w14:paraId="17341ACD" w14:textId="77777777" w:rsidR="00921FAA" w:rsidRPr="009A3AE9" w:rsidRDefault="00921FAA" w:rsidP="009E2A20">
            <w:pPr>
              <w:pStyle w:val="In-tableHeading"/>
              <w:jc w:val="center"/>
              <w:rPr>
                <w:lang w:val="en-AU"/>
              </w:rPr>
            </w:pPr>
            <w:r w:rsidRPr="009A3AE9">
              <w:rPr>
                <w:lang w:val="en-AU"/>
              </w:rPr>
              <w:t>RD (95% CI)</w:t>
            </w:r>
          </w:p>
        </w:tc>
      </w:tr>
      <w:tr w:rsidR="009E2A20" w:rsidRPr="009A3AE9" w14:paraId="1734172E" w14:textId="77777777" w:rsidTr="00AC2C8D">
        <w:trPr>
          <w:trHeight w:val="20"/>
        </w:trPr>
        <w:tc>
          <w:tcPr>
            <w:tcW w:w="1177" w:type="pct"/>
            <w:vMerge/>
            <w:tcBorders>
              <w:bottom w:val="single" w:sz="4" w:space="0" w:color="auto"/>
              <w:right w:val="single" w:sz="4" w:space="0" w:color="auto"/>
            </w:tcBorders>
            <w:shd w:val="clear" w:color="auto" w:fill="auto"/>
          </w:tcPr>
          <w:p w14:paraId="3E641238" w14:textId="77777777" w:rsidR="00921FAA" w:rsidRPr="009A3AE9" w:rsidRDefault="00921FAA" w:rsidP="006F6A94">
            <w:pPr>
              <w:pStyle w:val="In-tableHeading"/>
              <w:rPr>
                <w:lang w:val="en-AU"/>
              </w:rPr>
            </w:pPr>
          </w:p>
        </w:tc>
        <w:tc>
          <w:tcPr>
            <w:tcW w:w="637" w:type="pct"/>
            <w:gridSpan w:val="2"/>
            <w:vMerge/>
            <w:tcBorders>
              <w:bottom w:val="single" w:sz="4" w:space="0" w:color="auto"/>
              <w:right w:val="single" w:sz="4" w:space="0" w:color="auto"/>
            </w:tcBorders>
            <w:shd w:val="clear" w:color="auto" w:fill="auto"/>
          </w:tcPr>
          <w:p w14:paraId="201BC2B7" w14:textId="77777777" w:rsidR="00921FAA" w:rsidRPr="009A3AE9" w:rsidRDefault="00921FAA" w:rsidP="00AC2C8D">
            <w:pPr>
              <w:pStyle w:val="In-tableHeading"/>
              <w:jc w:val="center"/>
              <w:rPr>
                <w:lang w:val="en-AU"/>
              </w:rPr>
            </w:pPr>
          </w:p>
        </w:tc>
        <w:tc>
          <w:tcPr>
            <w:tcW w:w="637" w:type="pct"/>
            <w:vMerge/>
            <w:tcBorders>
              <w:bottom w:val="single" w:sz="4" w:space="0" w:color="auto"/>
              <w:right w:val="single" w:sz="4" w:space="0" w:color="auto"/>
            </w:tcBorders>
            <w:shd w:val="clear" w:color="auto" w:fill="auto"/>
          </w:tcPr>
          <w:p w14:paraId="6409AE2F" w14:textId="77777777" w:rsidR="00921FAA" w:rsidRPr="009A3AE9" w:rsidRDefault="00921FAA" w:rsidP="00AC2C8D">
            <w:pPr>
              <w:pStyle w:val="In-tableHeading"/>
              <w:jc w:val="center"/>
              <w:rPr>
                <w:lang w:val="en-AU"/>
              </w:rPr>
            </w:pPr>
          </w:p>
        </w:tc>
        <w:tc>
          <w:tcPr>
            <w:tcW w:w="606" w:type="pct"/>
            <w:gridSpan w:val="2"/>
            <w:vMerge/>
            <w:tcBorders>
              <w:bottom w:val="single" w:sz="4" w:space="0" w:color="auto"/>
            </w:tcBorders>
          </w:tcPr>
          <w:p w14:paraId="626C3AC2" w14:textId="77777777" w:rsidR="00921FAA" w:rsidRPr="009A3AE9" w:rsidRDefault="00921FAA" w:rsidP="009E2A20">
            <w:pPr>
              <w:pStyle w:val="In-tableHeading"/>
              <w:jc w:val="center"/>
              <w:rPr>
                <w:lang w:val="en-AU"/>
              </w:rPr>
            </w:pPr>
          </w:p>
        </w:tc>
        <w:tc>
          <w:tcPr>
            <w:tcW w:w="669" w:type="pct"/>
            <w:gridSpan w:val="2"/>
            <w:tcBorders>
              <w:bottom w:val="single" w:sz="4" w:space="0" w:color="auto"/>
            </w:tcBorders>
          </w:tcPr>
          <w:p w14:paraId="6D16FDB7" w14:textId="35EEBB1C" w:rsidR="00921FAA" w:rsidRPr="009A3AE9" w:rsidRDefault="00921FAA" w:rsidP="009E2A20">
            <w:pPr>
              <w:pStyle w:val="In-tableHeading"/>
              <w:jc w:val="center"/>
              <w:rPr>
                <w:lang w:val="en-AU"/>
              </w:rPr>
            </w:pPr>
            <w:r w:rsidRPr="009A3AE9">
              <w:rPr>
                <w:lang w:val="en-AU"/>
              </w:rPr>
              <w:t>NAL</w:t>
            </w:r>
            <w:r w:rsidR="00AC2C8D" w:rsidRPr="009A3AE9">
              <w:rPr>
                <w:lang w:val="en-AU"/>
              </w:rPr>
              <w:t>IRIFOX</w:t>
            </w:r>
          </w:p>
        </w:tc>
        <w:tc>
          <w:tcPr>
            <w:tcW w:w="641" w:type="pct"/>
            <w:gridSpan w:val="3"/>
            <w:tcBorders>
              <w:bottom w:val="single" w:sz="4" w:space="0" w:color="auto"/>
            </w:tcBorders>
          </w:tcPr>
          <w:p w14:paraId="26103C22" w14:textId="7E9A44B5" w:rsidR="00921FAA" w:rsidRPr="009A3AE9" w:rsidRDefault="00AC2C8D" w:rsidP="009E2A20">
            <w:pPr>
              <w:pStyle w:val="In-tableHeading"/>
              <w:jc w:val="center"/>
              <w:rPr>
                <w:lang w:val="en-AU"/>
              </w:rPr>
            </w:pPr>
            <w:r w:rsidRPr="009A3AE9">
              <w:rPr>
                <w:lang w:val="en-AU"/>
              </w:rPr>
              <w:t>Gem+NabP</w:t>
            </w:r>
          </w:p>
        </w:tc>
        <w:tc>
          <w:tcPr>
            <w:tcW w:w="633" w:type="pct"/>
            <w:vMerge/>
            <w:tcBorders>
              <w:bottom w:val="single" w:sz="4" w:space="0" w:color="auto"/>
              <w:right w:val="single" w:sz="4" w:space="0" w:color="auto"/>
            </w:tcBorders>
            <w:shd w:val="clear" w:color="auto" w:fill="auto"/>
          </w:tcPr>
          <w:p w14:paraId="57DFB87F" w14:textId="77777777" w:rsidR="00921FAA" w:rsidRPr="009A3AE9" w:rsidRDefault="00921FAA" w:rsidP="009E2A20">
            <w:pPr>
              <w:pStyle w:val="In-tableHeading"/>
              <w:jc w:val="center"/>
              <w:rPr>
                <w:lang w:val="en-AU"/>
              </w:rPr>
            </w:pPr>
          </w:p>
        </w:tc>
      </w:tr>
      <w:tr w:rsidR="009E2A20" w:rsidRPr="009A3AE9" w14:paraId="359D063E" w14:textId="77777777" w:rsidTr="00AC2C8D">
        <w:trPr>
          <w:trHeight w:val="20"/>
        </w:trPr>
        <w:tc>
          <w:tcPr>
            <w:tcW w:w="1177" w:type="pct"/>
            <w:tcBorders>
              <w:right w:val="single" w:sz="4" w:space="0" w:color="auto"/>
            </w:tcBorders>
            <w:shd w:val="clear" w:color="auto" w:fill="auto"/>
          </w:tcPr>
          <w:p w14:paraId="03FBA209" w14:textId="3FBDA498" w:rsidR="00AC2C8D" w:rsidRPr="009A3AE9" w:rsidRDefault="00AC2C8D" w:rsidP="00AC2C8D">
            <w:pPr>
              <w:pStyle w:val="TableText0"/>
              <w:keepLines/>
              <w:widowControl w:val="0"/>
            </w:pPr>
            <w:r w:rsidRPr="009A3AE9">
              <w:t>Diarrhoea</w:t>
            </w:r>
          </w:p>
        </w:tc>
        <w:tc>
          <w:tcPr>
            <w:tcW w:w="637" w:type="pct"/>
            <w:gridSpan w:val="2"/>
            <w:tcBorders>
              <w:left w:val="single" w:sz="4" w:space="0" w:color="auto"/>
              <w:right w:val="single" w:sz="4" w:space="0" w:color="auto"/>
            </w:tcBorders>
            <w:shd w:val="clear" w:color="auto" w:fill="auto"/>
          </w:tcPr>
          <w:p w14:paraId="6783E625" w14:textId="3937404A" w:rsidR="00AC2C8D" w:rsidRPr="009A3AE9" w:rsidRDefault="00AC2C8D" w:rsidP="00AC2C8D">
            <w:pPr>
              <w:pStyle w:val="TableText0"/>
              <w:keepNext w:val="0"/>
              <w:jc w:val="center"/>
              <w:rPr>
                <w:rFonts w:cs="Times New Roman"/>
                <w:szCs w:val="20"/>
              </w:rPr>
            </w:pPr>
            <w:r w:rsidRPr="009A3AE9">
              <w:t>75</w:t>
            </w:r>
          </w:p>
        </w:tc>
        <w:tc>
          <w:tcPr>
            <w:tcW w:w="637" w:type="pct"/>
            <w:tcBorders>
              <w:left w:val="single" w:sz="4" w:space="0" w:color="auto"/>
              <w:right w:val="single" w:sz="4" w:space="0" w:color="auto"/>
            </w:tcBorders>
            <w:shd w:val="clear" w:color="auto" w:fill="auto"/>
          </w:tcPr>
          <w:p w14:paraId="4A210018" w14:textId="4C076AC6" w:rsidR="00AC2C8D" w:rsidRPr="009A3AE9" w:rsidRDefault="00AC2C8D" w:rsidP="00AC2C8D">
            <w:pPr>
              <w:pStyle w:val="TableText0"/>
              <w:keepNext w:val="0"/>
              <w:jc w:val="center"/>
              <w:rPr>
                <w:rFonts w:cs="Times New Roman"/>
                <w:szCs w:val="20"/>
              </w:rPr>
            </w:pPr>
            <w:r w:rsidRPr="009A3AE9">
              <w:t>17</w:t>
            </w:r>
          </w:p>
        </w:tc>
        <w:tc>
          <w:tcPr>
            <w:tcW w:w="606" w:type="pct"/>
            <w:gridSpan w:val="2"/>
            <w:tcBorders>
              <w:left w:val="single" w:sz="4" w:space="0" w:color="auto"/>
              <w:right w:val="single" w:sz="4" w:space="0" w:color="auto"/>
            </w:tcBorders>
          </w:tcPr>
          <w:p w14:paraId="328DB2EB" w14:textId="77777777" w:rsidR="00AC2C8D" w:rsidRPr="009A3AE9" w:rsidRDefault="00AC2C8D" w:rsidP="00AC2C8D">
            <w:pPr>
              <w:pStyle w:val="TableText0"/>
              <w:keepNext w:val="0"/>
              <w:jc w:val="center"/>
              <w:rPr>
                <w:b/>
                <w:bCs w:val="0"/>
              </w:rPr>
            </w:pPr>
            <w:r w:rsidRPr="009A3AE9">
              <w:rPr>
                <w:b/>
                <w:bCs w:val="0"/>
              </w:rPr>
              <w:t>4.52</w:t>
            </w:r>
          </w:p>
          <w:p w14:paraId="6A419139" w14:textId="0115BFEF" w:rsidR="00AC2C8D" w:rsidRPr="009A3AE9" w:rsidRDefault="00AC2C8D" w:rsidP="00AC2C8D">
            <w:pPr>
              <w:pStyle w:val="TableText0"/>
              <w:keepLines/>
              <w:widowControl w:val="0"/>
              <w:jc w:val="center"/>
              <w:rPr>
                <w:b/>
                <w:bCs w:val="0"/>
              </w:rPr>
            </w:pPr>
            <w:r w:rsidRPr="009A3AE9">
              <w:rPr>
                <w:b/>
                <w:bCs w:val="0"/>
              </w:rPr>
              <w:t>[2.72, 7.50]</w:t>
            </w:r>
          </w:p>
        </w:tc>
        <w:tc>
          <w:tcPr>
            <w:tcW w:w="669" w:type="pct"/>
            <w:gridSpan w:val="2"/>
            <w:tcBorders>
              <w:left w:val="single" w:sz="4" w:space="0" w:color="auto"/>
              <w:right w:val="single" w:sz="4" w:space="0" w:color="auto"/>
            </w:tcBorders>
          </w:tcPr>
          <w:p w14:paraId="2A488EF9" w14:textId="50BC83FB" w:rsidR="00AC2C8D" w:rsidRPr="009A3AE9" w:rsidRDefault="00AC2C8D" w:rsidP="00AC2C8D">
            <w:pPr>
              <w:pStyle w:val="TableText0"/>
              <w:keepLines/>
              <w:widowControl w:val="0"/>
              <w:jc w:val="center"/>
            </w:pPr>
            <w:r w:rsidRPr="009A3AE9">
              <w:t>20.3</w:t>
            </w:r>
          </w:p>
        </w:tc>
        <w:tc>
          <w:tcPr>
            <w:tcW w:w="637" w:type="pct"/>
            <w:gridSpan w:val="2"/>
            <w:tcBorders>
              <w:left w:val="single" w:sz="4" w:space="0" w:color="auto"/>
              <w:right w:val="single" w:sz="4" w:space="0" w:color="auto"/>
            </w:tcBorders>
          </w:tcPr>
          <w:p w14:paraId="39872E42" w14:textId="478711EC" w:rsidR="00AC2C8D" w:rsidRPr="009A3AE9" w:rsidRDefault="00AC2C8D" w:rsidP="00AC2C8D">
            <w:pPr>
              <w:pStyle w:val="TableText0"/>
              <w:keepLines/>
              <w:widowControl w:val="0"/>
              <w:jc w:val="center"/>
            </w:pPr>
            <w:r w:rsidRPr="009A3AE9">
              <w:t>4.5</w:t>
            </w:r>
          </w:p>
        </w:tc>
        <w:tc>
          <w:tcPr>
            <w:tcW w:w="637" w:type="pct"/>
            <w:gridSpan w:val="2"/>
            <w:tcBorders>
              <w:top w:val="single" w:sz="4" w:space="0" w:color="auto"/>
              <w:left w:val="single" w:sz="4" w:space="0" w:color="auto"/>
              <w:bottom w:val="single" w:sz="4" w:space="0" w:color="auto"/>
              <w:right w:val="single" w:sz="4" w:space="0" w:color="auto"/>
            </w:tcBorders>
            <w:shd w:val="clear" w:color="auto" w:fill="auto"/>
          </w:tcPr>
          <w:p w14:paraId="3A660AED" w14:textId="77777777" w:rsidR="00AC2C8D" w:rsidRPr="009A3AE9" w:rsidRDefault="00AC2C8D" w:rsidP="00AC2C8D">
            <w:pPr>
              <w:pStyle w:val="TableText0"/>
              <w:keepNext w:val="0"/>
              <w:jc w:val="center"/>
              <w:rPr>
                <w:b/>
                <w:bCs w:val="0"/>
              </w:rPr>
            </w:pPr>
            <w:r w:rsidRPr="009A3AE9">
              <w:rPr>
                <w:b/>
                <w:bCs w:val="0"/>
              </w:rPr>
              <w:t>0.16</w:t>
            </w:r>
          </w:p>
          <w:p w14:paraId="711073B5" w14:textId="77BE0088" w:rsidR="00AC2C8D" w:rsidRPr="009A3AE9" w:rsidRDefault="00AC2C8D" w:rsidP="00AC2C8D">
            <w:pPr>
              <w:pStyle w:val="TableText0"/>
              <w:keepLines/>
              <w:widowControl w:val="0"/>
              <w:jc w:val="center"/>
              <w:rPr>
                <w:b/>
                <w:bCs w:val="0"/>
                <w:szCs w:val="20"/>
              </w:rPr>
            </w:pPr>
            <w:r w:rsidRPr="009A3AE9">
              <w:rPr>
                <w:b/>
                <w:bCs w:val="0"/>
              </w:rPr>
              <w:t>[0.11, 0.20]</w:t>
            </w:r>
          </w:p>
        </w:tc>
      </w:tr>
      <w:tr w:rsidR="009E2A20" w:rsidRPr="009A3AE9" w14:paraId="4EE9509D" w14:textId="77777777" w:rsidTr="003833BB">
        <w:trPr>
          <w:trHeight w:val="20"/>
        </w:trPr>
        <w:tc>
          <w:tcPr>
            <w:tcW w:w="1177" w:type="pct"/>
            <w:tcBorders>
              <w:bottom w:val="single" w:sz="4" w:space="0" w:color="auto"/>
              <w:right w:val="single" w:sz="4" w:space="0" w:color="auto"/>
            </w:tcBorders>
            <w:shd w:val="clear" w:color="auto" w:fill="auto"/>
          </w:tcPr>
          <w:p w14:paraId="07515128" w14:textId="77777777" w:rsidR="00AC2C8D" w:rsidRPr="009A3AE9" w:rsidRDefault="00AC2C8D" w:rsidP="003833BB">
            <w:pPr>
              <w:pStyle w:val="TableText0"/>
              <w:keepLines/>
              <w:widowControl w:val="0"/>
            </w:pPr>
            <w:r w:rsidRPr="009A3AE9">
              <w:t>Hypokalaemia</w:t>
            </w:r>
          </w:p>
        </w:tc>
        <w:tc>
          <w:tcPr>
            <w:tcW w:w="637" w:type="pct"/>
            <w:gridSpan w:val="2"/>
            <w:tcBorders>
              <w:left w:val="single" w:sz="4" w:space="0" w:color="auto"/>
              <w:bottom w:val="single" w:sz="4" w:space="0" w:color="auto"/>
              <w:right w:val="single" w:sz="4" w:space="0" w:color="auto"/>
            </w:tcBorders>
            <w:shd w:val="clear" w:color="auto" w:fill="auto"/>
          </w:tcPr>
          <w:p w14:paraId="55A317BD" w14:textId="77777777" w:rsidR="00AC2C8D" w:rsidRPr="009A3AE9" w:rsidRDefault="00AC2C8D" w:rsidP="003833BB">
            <w:pPr>
              <w:pStyle w:val="TableText0"/>
              <w:keepNext w:val="0"/>
              <w:jc w:val="center"/>
            </w:pPr>
            <w:r w:rsidRPr="009A3AE9">
              <w:t>56</w:t>
            </w:r>
          </w:p>
        </w:tc>
        <w:tc>
          <w:tcPr>
            <w:tcW w:w="637" w:type="pct"/>
            <w:tcBorders>
              <w:left w:val="single" w:sz="4" w:space="0" w:color="auto"/>
              <w:bottom w:val="single" w:sz="4" w:space="0" w:color="auto"/>
              <w:right w:val="single" w:sz="4" w:space="0" w:color="auto"/>
            </w:tcBorders>
            <w:shd w:val="clear" w:color="auto" w:fill="auto"/>
          </w:tcPr>
          <w:p w14:paraId="6CD28DF1" w14:textId="77777777" w:rsidR="00AC2C8D" w:rsidRPr="009A3AE9" w:rsidRDefault="00AC2C8D" w:rsidP="003833BB">
            <w:pPr>
              <w:pStyle w:val="TableText0"/>
              <w:keepNext w:val="0"/>
              <w:jc w:val="center"/>
            </w:pPr>
            <w:r w:rsidRPr="009A3AE9">
              <w:t>15</w:t>
            </w:r>
          </w:p>
        </w:tc>
        <w:tc>
          <w:tcPr>
            <w:tcW w:w="606" w:type="pct"/>
            <w:gridSpan w:val="2"/>
            <w:tcBorders>
              <w:left w:val="single" w:sz="4" w:space="0" w:color="auto"/>
              <w:bottom w:val="single" w:sz="4" w:space="0" w:color="auto"/>
              <w:right w:val="single" w:sz="4" w:space="0" w:color="auto"/>
            </w:tcBorders>
          </w:tcPr>
          <w:p w14:paraId="649C400C" w14:textId="77777777" w:rsidR="00AC2C8D" w:rsidRPr="009A3AE9" w:rsidRDefault="00AC2C8D" w:rsidP="003833BB">
            <w:pPr>
              <w:pStyle w:val="TableText0"/>
              <w:keepNext w:val="0"/>
              <w:jc w:val="center"/>
              <w:rPr>
                <w:b/>
                <w:bCs w:val="0"/>
              </w:rPr>
            </w:pPr>
            <w:r w:rsidRPr="009A3AE9">
              <w:rPr>
                <w:b/>
                <w:bCs w:val="0"/>
              </w:rPr>
              <w:t>3.82</w:t>
            </w:r>
          </w:p>
          <w:p w14:paraId="595202F8" w14:textId="77777777" w:rsidR="00AC2C8D" w:rsidRPr="009A3AE9" w:rsidRDefault="00AC2C8D" w:rsidP="003833BB">
            <w:pPr>
              <w:pStyle w:val="TableText0"/>
              <w:keepLines/>
              <w:widowControl w:val="0"/>
              <w:jc w:val="center"/>
              <w:rPr>
                <w:b/>
                <w:bCs w:val="0"/>
              </w:rPr>
            </w:pPr>
            <w:r w:rsidRPr="009A3AE9">
              <w:rPr>
                <w:b/>
                <w:bCs w:val="0"/>
              </w:rPr>
              <w:t>[2.20, 6.64]</w:t>
            </w:r>
          </w:p>
        </w:tc>
        <w:tc>
          <w:tcPr>
            <w:tcW w:w="669" w:type="pct"/>
            <w:gridSpan w:val="2"/>
            <w:tcBorders>
              <w:left w:val="single" w:sz="4" w:space="0" w:color="auto"/>
              <w:bottom w:val="single" w:sz="4" w:space="0" w:color="auto"/>
              <w:right w:val="single" w:sz="4" w:space="0" w:color="auto"/>
            </w:tcBorders>
          </w:tcPr>
          <w:p w14:paraId="3A48D28A" w14:textId="77777777" w:rsidR="00AC2C8D" w:rsidRPr="009A3AE9" w:rsidRDefault="00AC2C8D" w:rsidP="003833BB">
            <w:pPr>
              <w:pStyle w:val="TableText0"/>
              <w:keepLines/>
              <w:widowControl w:val="0"/>
              <w:jc w:val="center"/>
            </w:pPr>
            <w:r w:rsidRPr="009A3AE9">
              <w:t>15.1</w:t>
            </w:r>
          </w:p>
        </w:tc>
        <w:tc>
          <w:tcPr>
            <w:tcW w:w="637" w:type="pct"/>
            <w:gridSpan w:val="2"/>
            <w:tcBorders>
              <w:left w:val="single" w:sz="4" w:space="0" w:color="auto"/>
              <w:bottom w:val="single" w:sz="4" w:space="0" w:color="auto"/>
              <w:right w:val="single" w:sz="4" w:space="0" w:color="auto"/>
            </w:tcBorders>
          </w:tcPr>
          <w:p w14:paraId="16C1C7EF" w14:textId="77777777" w:rsidR="00AC2C8D" w:rsidRPr="009A3AE9" w:rsidRDefault="00AC2C8D" w:rsidP="003833BB">
            <w:pPr>
              <w:pStyle w:val="TableText0"/>
              <w:keepLines/>
              <w:widowControl w:val="0"/>
              <w:jc w:val="center"/>
            </w:pPr>
            <w:r w:rsidRPr="009A3AE9">
              <w:t>4.0</w:t>
            </w:r>
          </w:p>
        </w:tc>
        <w:tc>
          <w:tcPr>
            <w:tcW w:w="637" w:type="pct"/>
            <w:gridSpan w:val="2"/>
            <w:tcBorders>
              <w:top w:val="single" w:sz="4" w:space="0" w:color="auto"/>
              <w:left w:val="single" w:sz="4" w:space="0" w:color="auto"/>
              <w:bottom w:val="single" w:sz="4" w:space="0" w:color="auto"/>
              <w:right w:val="single" w:sz="4" w:space="0" w:color="auto"/>
            </w:tcBorders>
            <w:shd w:val="clear" w:color="auto" w:fill="auto"/>
          </w:tcPr>
          <w:p w14:paraId="231FE076" w14:textId="77777777" w:rsidR="00AC2C8D" w:rsidRPr="009A3AE9" w:rsidRDefault="00AC2C8D" w:rsidP="003833BB">
            <w:pPr>
              <w:pStyle w:val="TableText0"/>
              <w:keepNext w:val="0"/>
              <w:jc w:val="center"/>
              <w:rPr>
                <w:b/>
                <w:bCs w:val="0"/>
              </w:rPr>
            </w:pPr>
            <w:r w:rsidRPr="009A3AE9">
              <w:rPr>
                <w:b/>
                <w:bCs w:val="0"/>
              </w:rPr>
              <w:t xml:space="preserve">0.11 </w:t>
            </w:r>
          </w:p>
          <w:p w14:paraId="18F2D108" w14:textId="77777777" w:rsidR="00AC2C8D" w:rsidRPr="009A3AE9" w:rsidRDefault="00AC2C8D" w:rsidP="003833BB">
            <w:pPr>
              <w:pStyle w:val="TableText0"/>
              <w:keepLines/>
              <w:widowControl w:val="0"/>
              <w:jc w:val="center"/>
              <w:rPr>
                <w:b/>
                <w:bCs w:val="0"/>
                <w:szCs w:val="20"/>
              </w:rPr>
            </w:pPr>
            <w:r w:rsidRPr="009A3AE9">
              <w:rPr>
                <w:b/>
                <w:bCs w:val="0"/>
              </w:rPr>
              <w:t>[0.07, 0.15]</w:t>
            </w:r>
          </w:p>
        </w:tc>
      </w:tr>
      <w:tr w:rsidR="009E2A20" w:rsidRPr="009A3AE9" w14:paraId="73DC6704" w14:textId="77777777" w:rsidTr="00AC2C8D">
        <w:trPr>
          <w:trHeight w:val="20"/>
        </w:trPr>
        <w:tc>
          <w:tcPr>
            <w:tcW w:w="1177" w:type="pct"/>
            <w:tcBorders>
              <w:bottom w:val="single" w:sz="4" w:space="0" w:color="auto"/>
              <w:right w:val="single" w:sz="4" w:space="0" w:color="auto"/>
            </w:tcBorders>
            <w:shd w:val="clear" w:color="auto" w:fill="auto"/>
          </w:tcPr>
          <w:p w14:paraId="218CC0A8" w14:textId="45A035AF" w:rsidR="00AC2C8D" w:rsidRPr="009A3AE9" w:rsidRDefault="00AC2C8D" w:rsidP="00AC2C8D">
            <w:pPr>
              <w:pStyle w:val="TableText0"/>
              <w:keepLines/>
              <w:widowControl w:val="0"/>
            </w:pPr>
            <w:r w:rsidRPr="009A3AE9">
              <w:t xml:space="preserve">Nausea </w:t>
            </w:r>
          </w:p>
        </w:tc>
        <w:tc>
          <w:tcPr>
            <w:tcW w:w="637" w:type="pct"/>
            <w:gridSpan w:val="2"/>
            <w:tcBorders>
              <w:left w:val="single" w:sz="4" w:space="0" w:color="auto"/>
              <w:bottom w:val="single" w:sz="4" w:space="0" w:color="auto"/>
              <w:right w:val="single" w:sz="4" w:space="0" w:color="auto"/>
            </w:tcBorders>
            <w:shd w:val="clear" w:color="auto" w:fill="auto"/>
          </w:tcPr>
          <w:p w14:paraId="2FC79F89" w14:textId="54D4A7FF" w:rsidR="00AC2C8D" w:rsidRPr="009A3AE9" w:rsidRDefault="00AC2C8D" w:rsidP="00AC2C8D">
            <w:pPr>
              <w:pStyle w:val="TableText0"/>
              <w:keepNext w:val="0"/>
              <w:jc w:val="center"/>
            </w:pPr>
            <w:r w:rsidRPr="009A3AE9">
              <w:t>44</w:t>
            </w:r>
          </w:p>
        </w:tc>
        <w:tc>
          <w:tcPr>
            <w:tcW w:w="637" w:type="pct"/>
            <w:tcBorders>
              <w:left w:val="single" w:sz="4" w:space="0" w:color="auto"/>
              <w:bottom w:val="single" w:sz="4" w:space="0" w:color="auto"/>
              <w:right w:val="single" w:sz="4" w:space="0" w:color="auto"/>
            </w:tcBorders>
            <w:shd w:val="clear" w:color="auto" w:fill="auto"/>
          </w:tcPr>
          <w:p w14:paraId="18400E95" w14:textId="797C8024" w:rsidR="00AC2C8D" w:rsidRPr="009A3AE9" w:rsidRDefault="00AC2C8D" w:rsidP="00AC2C8D">
            <w:pPr>
              <w:pStyle w:val="TableText0"/>
              <w:keepNext w:val="0"/>
              <w:jc w:val="center"/>
            </w:pPr>
            <w:r w:rsidRPr="009A3AE9">
              <w:t>10</w:t>
            </w:r>
          </w:p>
        </w:tc>
        <w:tc>
          <w:tcPr>
            <w:tcW w:w="606" w:type="pct"/>
            <w:gridSpan w:val="2"/>
            <w:tcBorders>
              <w:left w:val="single" w:sz="4" w:space="0" w:color="auto"/>
              <w:bottom w:val="single" w:sz="4" w:space="0" w:color="auto"/>
              <w:right w:val="single" w:sz="4" w:space="0" w:color="auto"/>
            </w:tcBorders>
          </w:tcPr>
          <w:p w14:paraId="3A70F024" w14:textId="6319FC06" w:rsidR="00AC2C8D" w:rsidRPr="009A3AE9" w:rsidRDefault="00AC2C8D" w:rsidP="00AC2C8D">
            <w:pPr>
              <w:pStyle w:val="TableText0"/>
              <w:keepNext w:val="0"/>
              <w:jc w:val="center"/>
              <w:rPr>
                <w:b/>
                <w:bCs w:val="0"/>
              </w:rPr>
            </w:pPr>
            <w:r w:rsidRPr="009A3AE9">
              <w:rPr>
                <w:b/>
                <w:bCs w:val="0"/>
              </w:rPr>
              <w:t>4.51</w:t>
            </w:r>
          </w:p>
          <w:p w14:paraId="24C82834" w14:textId="19B97763" w:rsidR="00AC2C8D" w:rsidRPr="009A3AE9" w:rsidRDefault="00AC2C8D" w:rsidP="00AC2C8D">
            <w:pPr>
              <w:pStyle w:val="TableText0"/>
              <w:keepLines/>
              <w:widowControl w:val="0"/>
              <w:jc w:val="center"/>
              <w:rPr>
                <w:b/>
                <w:bCs w:val="0"/>
              </w:rPr>
            </w:pPr>
            <w:r w:rsidRPr="009A3AE9">
              <w:rPr>
                <w:b/>
                <w:bCs w:val="0"/>
              </w:rPr>
              <w:t>[2.30, 8.82]</w:t>
            </w:r>
          </w:p>
        </w:tc>
        <w:tc>
          <w:tcPr>
            <w:tcW w:w="669" w:type="pct"/>
            <w:gridSpan w:val="2"/>
            <w:tcBorders>
              <w:left w:val="single" w:sz="4" w:space="0" w:color="auto"/>
              <w:bottom w:val="single" w:sz="4" w:space="0" w:color="auto"/>
              <w:right w:val="single" w:sz="4" w:space="0" w:color="auto"/>
            </w:tcBorders>
          </w:tcPr>
          <w:p w14:paraId="201F460A" w14:textId="381DABFF" w:rsidR="00AC2C8D" w:rsidRPr="009A3AE9" w:rsidRDefault="00AC2C8D" w:rsidP="00AC2C8D">
            <w:pPr>
              <w:pStyle w:val="TableText0"/>
              <w:keepLines/>
              <w:widowControl w:val="0"/>
              <w:jc w:val="center"/>
            </w:pPr>
            <w:r w:rsidRPr="009A3AE9">
              <w:t>11.9</w:t>
            </w:r>
          </w:p>
        </w:tc>
        <w:tc>
          <w:tcPr>
            <w:tcW w:w="637" w:type="pct"/>
            <w:gridSpan w:val="2"/>
            <w:tcBorders>
              <w:left w:val="single" w:sz="4" w:space="0" w:color="auto"/>
              <w:bottom w:val="single" w:sz="4" w:space="0" w:color="auto"/>
              <w:right w:val="single" w:sz="4" w:space="0" w:color="auto"/>
            </w:tcBorders>
          </w:tcPr>
          <w:p w14:paraId="191DB290" w14:textId="46FAF9FF" w:rsidR="00AC2C8D" w:rsidRPr="009A3AE9" w:rsidRDefault="00AC2C8D" w:rsidP="00AC2C8D">
            <w:pPr>
              <w:pStyle w:val="TableText0"/>
              <w:keepLines/>
              <w:widowControl w:val="0"/>
              <w:jc w:val="center"/>
            </w:pPr>
            <w:r w:rsidRPr="009A3AE9">
              <w:t>2.6</w:t>
            </w:r>
          </w:p>
        </w:tc>
        <w:tc>
          <w:tcPr>
            <w:tcW w:w="637" w:type="pct"/>
            <w:gridSpan w:val="2"/>
            <w:tcBorders>
              <w:top w:val="single" w:sz="4" w:space="0" w:color="auto"/>
              <w:left w:val="single" w:sz="4" w:space="0" w:color="auto"/>
              <w:bottom w:val="single" w:sz="4" w:space="0" w:color="auto"/>
              <w:right w:val="single" w:sz="4" w:space="0" w:color="auto"/>
            </w:tcBorders>
            <w:shd w:val="clear" w:color="auto" w:fill="auto"/>
          </w:tcPr>
          <w:p w14:paraId="4F276AD3" w14:textId="77777777" w:rsidR="00AC2C8D" w:rsidRPr="009A3AE9" w:rsidRDefault="00AC2C8D" w:rsidP="00AC2C8D">
            <w:pPr>
              <w:pStyle w:val="TableText0"/>
              <w:keepNext w:val="0"/>
              <w:jc w:val="center"/>
              <w:rPr>
                <w:b/>
                <w:bCs w:val="0"/>
              </w:rPr>
            </w:pPr>
            <w:r w:rsidRPr="009A3AE9">
              <w:rPr>
                <w:b/>
                <w:bCs w:val="0"/>
              </w:rPr>
              <w:t xml:space="preserve">0.09 </w:t>
            </w:r>
          </w:p>
          <w:p w14:paraId="72BEDB80" w14:textId="3639FF96" w:rsidR="00AC2C8D" w:rsidRPr="009A3AE9" w:rsidRDefault="00AC2C8D" w:rsidP="00AC2C8D">
            <w:pPr>
              <w:pStyle w:val="TableText0"/>
              <w:keepLines/>
              <w:widowControl w:val="0"/>
              <w:jc w:val="center"/>
              <w:rPr>
                <w:b/>
                <w:bCs w:val="0"/>
                <w:szCs w:val="20"/>
              </w:rPr>
            </w:pPr>
            <w:r w:rsidRPr="009A3AE9">
              <w:rPr>
                <w:b/>
                <w:bCs w:val="0"/>
              </w:rPr>
              <w:t>[0.06, 0.13]</w:t>
            </w:r>
          </w:p>
        </w:tc>
      </w:tr>
      <w:tr w:rsidR="009E2A20" w:rsidRPr="009A3AE9" w14:paraId="793BB8DE" w14:textId="77777777" w:rsidTr="003833BB">
        <w:trPr>
          <w:trHeight w:val="20"/>
        </w:trPr>
        <w:tc>
          <w:tcPr>
            <w:tcW w:w="1177" w:type="pct"/>
            <w:tcBorders>
              <w:bottom w:val="single" w:sz="4" w:space="0" w:color="auto"/>
              <w:right w:val="single" w:sz="4" w:space="0" w:color="auto"/>
            </w:tcBorders>
            <w:shd w:val="clear" w:color="auto" w:fill="auto"/>
          </w:tcPr>
          <w:p w14:paraId="2FC190DB" w14:textId="77777777" w:rsidR="00AC2C8D" w:rsidRPr="009A3AE9" w:rsidRDefault="00AC2C8D" w:rsidP="003833BB">
            <w:pPr>
              <w:pStyle w:val="TableText0"/>
              <w:keepLines/>
              <w:widowControl w:val="0"/>
            </w:pPr>
            <w:r w:rsidRPr="009A3AE9">
              <w:t>Decreased appetite</w:t>
            </w:r>
          </w:p>
        </w:tc>
        <w:tc>
          <w:tcPr>
            <w:tcW w:w="637" w:type="pct"/>
            <w:gridSpan w:val="2"/>
            <w:tcBorders>
              <w:left w:val="single" w:sz="4" w:space="0" w:color="auto"/>
              <w:bottom w:val="single" w:sz="4" w:space="0" w:color="auto"/>
              <w:right w:val="single" w:sz="4" w:space="0" w:color="auto"/>
            </w:tcBorders>
            <w:shd w:val="clear" w:color="auto" w:fill="auto"/>
          </w:tcPr>
          <w:p w14:paraId="2FDEEA04" w14:textId="77777777" w:rsidR="00AC2C8D" w:rsidRPr="009A3AE9" w:rsidRDefault="00AC2C8D" w:rsidP="003833BB">
            <w:pPr>
              <w:pStyle w:val="TableText0"/>
              <w:keepNext w:val="0"/>
              <w:jc w:val="center"/>
            </w:pPr>
            <w:r w:rsidRPr="009A3AE9">
              <w:t>32</w:t>
            </w:r>
          </w:p>
        </w:tc>
        <w:tc>
          <w:tcPr>
            <w:tcW w:w="637" w:type="pct"/>
            <w:tcBorders>
              <w:left w:val="single" w:sz="4" w:space="0" w:color="auto"/>
              <w:bottom w:val="single" w:sz="4" w:space="0" w:color="auto"/>
              <w:right w:val="single" w:sz="4" w:space="0" w:color="auto"/>
            </w:tcBorders>
            <w:shd w:val="clear" w:color="auto" w:fill="auto"/>
          </w:tcPr>
          <w:p w14:paraId="15C467BC" w14:textId="77777777" w:rsidR="00AC2C8D" w:rsidRPr="009A3AE9" w:rsidRDefault="00AC2C8D" w:rsidP="003833BB">
            <w:pPr>
              <w:pStyle w:val="TableText0"/>
              <w:keepNext w:val="0"/>
              <w:jc w:val="center"/>
            </w:pPr>
            <w:r w:rsidRPr="009A3AE9">
              <w:t>10</w:t>
            </w:r>
          </w:p>
        </w:tc>
        <w:tc>
          <w:tcPr>
            <w:tcW w:w="606" w:type="pct"/>
            <w:gridSpan w:val="2"/>
            <w:tcBorders>
              <w:left w:val="single" w:sz="4" w:space="0" w:color="auto"/>
              <w:bottom w:val="single" w:sz="4" w:space="0" w:color="auto"/>
              <w:right w:val="single" w:sz="4" w:space="0" w:color="auto"/>
            </w:tcBorders>
          </w:tcPr>
          <w:p w14:paraId="2ACC4754" w14:textId="77777777" w:rsidR="00AC2C8D" w:rsidRPr="009A3AE9" w:rsidRDefault="00AC2C8D" w:rsidP="003833BB">
            <w:pPr>
              <w:pStyle w:val="TableText0"/>
              <w:keepNext w:val="0"/>
              <w:jc w:val="center"/>
              <w:rPr>
                <w:b/>
                <w:bCs w:val="0"/>
              </w:rPr>
            </w:pPr>
            <w:r w:rsidRPr="009A3AE9">
              <w:rPr>
                <w:b/>
                <w:bCs w:val="0"/>
              </w:rPr>
              <w:t>3.28</w:t>
            </w:r>
          </w:p>
          <w:p w14:paraId="79D9258C" w14:textId="77777777" w:rsidR="00AC2C8D" w:rsidRPr="009A3AE9" w:rsidRDefault="00AC2C8D" w:rsidP="003833BB">
            <w:pPr>
              <w:pStyle w:val="TableText0"/>
              <w:keepLines/>
              <w:widowControl w:val="0"/>
              <w:jc w:val="center"/>
              <w:rPr>
                <w:b/>
                <w:bCs w:val="0"/>
              </w:rPr>
            </w:pPr>
            <w:r w:rsidRPr="009A3AE9">
              <w:rPr>
                <w:b/>
                <w:bCs w:val="0"/>
              </w:rPr>
              <w:t>[1.64, 6.57]</w:t>
            </w:r>
          </w:p>
        </w:tc>
        <w:tc>
          <w:tcPr>
            <w:tcW w:w="669" w:type="pct"/>
            <w:gridSpan w:val="2"/>
            <w:tcBorders>
              <w:left w:val="single" w:sz="4" w:space="0" w:color="auto"/>
              <w:bottom w:val="single" w:sz="4" w:space="0" w:color="auto"/>
              <w:right w:val="single" w:sz="4" w:space="0" w:color="auto"/>
            </w:tcBorders>
          </w:tcPr>
          <w:p w14:paraId="1A82695E" w14:textId="77777777" w:rsidR="00AC2C8D" w:rsidRPr="009A3AE9" w:rsidRDefault="00AC2C8D" w:rsidP="003833BB">
            <w:pPr>
              <w:pStyle w:val="TableText0"/>
              <w:keepLines/>
              <w:widowControl w:val="0"/>
              <w:jc w:val="center"/>
            </w:pPr>
            <w:r w:rsidRPr="009A3AE9">
              <w:t>8.7</w:t>
            </w:r>
          </w:p>
        </w:tc>
        <w:tc>
          <w:tcPr>
            <w:tcW w:w="637" w:type="pct"/>
            <w:gridSpan w:val="2"/>
            <w:tcBorders>
              <w:left w:val="single" w:sz="4" w:space="0" w:color="auto"/>
              <w:bottom w:val="single" w:sz="4" w:space="0" w:color="auto"/>
              <w:right w:val="single" w:sz="4" w:space="0" w:color="auto"/>
            </w:tcBorders>
          </w:tcPr>
          <w:p w14:paraId="1810F838" w14:textId="77777777" w:rsidR="00AC2C8D" w:rsidRPr="009A3AE9" w:rsidRDefault="00AC2C8D" w:rsidP="003833BB">
            <w:pPr>
              <w:pStyle w:val="TableText0"/>
              <w:keepLines/>
              <w:widowControl w:val="0"/>
              <w:jc w:val="center"/>
            </w:pPr>
            <w:r w:rsidRPr="009A3AE9">
              <w:t>2.6</w:t>
            </w:r>
          </w:p>
        </w:tc>
        <w:tc>
          <w:tcPr>
            <w:tcW w:w="637" w:type="pct"/>
            <w:gridSpan w:val="2"/>
            <w:tcBorders>
              <w:top w:val="single" w:sz="4" w:space="0" w:color="auto"/>
              <w:left w:val="single" w:sz="4" w:space="0" w:color="auto"/>
              <w:bottom w:val="single" w:sz="4" w:space="0" w:color="auto"/>
              <w:right w:val="single" w:sz="4" w:space="0" w:color="auto"/>
            </w:tcBorders>
            <w:shd w:val="clear" w:color="auto" w:fill="auto"/>
          </w:tcPr>
          <w:p w14:paraId="5E0F313E" w14:textId="77777777" w:rsidR="00AC2C8D" w:rsidRPr="009A3AE9" w:rsidRDefault="00AC2C8D" w:rsidP="003833BB">
            <w:pPr>
              <w:pStyle w:val="TableText0"/>
              <w:keepNext w:val="0"/>
              <w:jc w:val="center"/>
              <w:rPr>
                <w:b/>
                <w:bCs w:val="0"/>
              </w:rPr>
            </w:pPr>
            <w:r w:rsidRPr="009A3AE9">
              <w:rPr>
                <w:b/>
                <w:bCs w:val="0"/>
              </w:rPr>
              <w:t xml:space="preserve">0.06 </w:t>
            </w:r>
          </w:p>
          <w:p w14:paraId="07E0FA82" w14:textId="77777777" w:rsidR="00AC2C8D" w:rsidRPr="009A3AE9" w:rsidRDefault="00AC2C8D" w:rsidP="003833BB">
            <w:pPr>
              <w:pStyle w:val="TableText0"/>
              <w:keepLines/>
              <w:widowControl w:val="0"/>
              <w:jc w:val="center"/>
              <w:rPr>
                <w:b/>
                <w:bCs w:val="0"/>
                <w:szCs w:val="20"/>
              </w:rPr>
            </w:pPr>
            <w:r w:rsidRPr="009A3AE9">
              <w:rPr>
                <w:b/>
                <w:bCs w:val="0"/>
              </w:rPr>
              <w:t>[0.03, 0.09]</w:t>
            </w:r>
          </w:p>
        </w:tc>
      </w:tr>
      <w:tr w:rsidR="009E2A20" w:rsidRPr="009A3AE9" w14:paraId="2985E7B7" w14:textId="77777777" w:rsidTr="00AC2C8D">
        <w:trPr>
          <w:trHeight w:val="20"/>
        </w:trPr>
        <w:tc>
          <w:tcPr>
            <w:tcW w:w="1177" w:type="pct"/>
            <w:tcBorders>
              <w:bottom w:val="single" w:sz="4" w:space="0" w:color="auto"/>
              <w:right w:val="single" w:sz="4" w:space="0" w:color="auto"/>
            </w:tcBorders>
            <w:shd w:val="clear" w:color="auto" w:fill="auto"/>
          </w:tcPr>
          <w:p w14:paraId="20387F85" w14:textId="0677AEC4" w:rsidR="00AC2C8D" w:rsidRPr="009A3AE9" w:rsidRDefault="00AC2C8D" w:rsidP="00AC2C8D">
            <w:pPr>
              <w:pStyle w:val="TableText0"/>
              <w:keepLines/>
              <w:widowControl w:val="0"/>
            </w:pPr>
            <w:r w:rsidRPr="009A3AE9">
              <w:t>Vomiting</w:t>
            </w:r>
          </w:p>
        </w:tc>
        <w:tc>
          <w:tcPr>
            <w:tcW w:w="637" w:type="pct"/>
            <w:gridSpan w:val="2"/>
            <w:tcBorders>
              <w:left w:val="single" w:sz="4" w:space="0" w:color="auto"/>
              <w:bottom w:val="single" w:sz="4" w:space="0" w:color="auto"/>
              <w:right w:val="single" w:sz="4" w:space="0" w:color="auto"/>
            </w:tcBorders>
            <w:shd w:val="clear" w:color="auto" w:fill="auto"/>
          </w:tcPr>
          <w:p w14:paraId="3280DCB2" w14:textId="67EC5AA7" w:rsidR="00AC2C8D" w:rsidRPr="009A3AE9" w:rsidRDefault="00AC2C8D" w:rsidP="00AC2C8D">
            <w:pPr>
              <w:pStyle w:val="TableText0"/>
              <w:keepNext w:val="0"/>
              <w:jc w:val="center"/>
            </w:pPr>
            <w:r w:rsidRPr="009A3AE9">
              <w:t>26</w:t>
            </w:r>
          </w:p>
        </w:tc>
        <w:tc>
          <w:tcPr>
            <w:tcW w:w="637" w:type="pct"/>
            <w:tcBorders>
              <w:left w:val="single" w:sz="4" w:space="0" w:color="auto"/>
              <w:bottom w:val="single" w:sz="4" w:space="0" w:color="auto"/>
              <w:right w:val="single" w:sz="4" w:space="0" w:color="auto"/>
            </w:tcBorders>
            <w:shd w:val="clear" w:color="auto" w:fill="auto"/>
          </w:tcPr>
          <w:p w14:paraId="149F682A" w14:textId="6109AD89" w:rsidR="00AC2C8D" w:rsidRPr="009A3AE9" w:rsidRDefault="00AC2C8D" w:rsidP="00AC2C8D">
            <w:pPr>
              <w:pStyle w:val="TableText0"/>
              <w:keepNext w:val="0"/>
              <w:jc w:val="center"/>
            </w:pPr>
            <w:r w:rsidRPr="009A3AE9">
              <w:t>8</w:t>
            </w:r>
          </w:p>
        </w:tc>
        <w:tc>
          <w:tcPr>
            <w:tcW w:w="606" w:type="pct"/>
            <w:gridSpan w:val="2"/>
            <w:tcBorders>
              <w:left w:val="single" w:sz="4" w:space="0" w:color="auto"/>
              <w:bottom w:val="single" w:sz="4" w:space="0" w:color="auto"/>
              <w:right w:val="single" w:sz="4" w:space="0" w:color="auto"/>
            </w:tcBorders>
          </w:tcPr>
          <w:p w14:paraId="7B25DBE4" w14:textId="76E65934" w:rsidR="00AC2C8D" w:rsidRPr="009A3AE9" w:rsidRDefault="00AC2C8D" w:rsidP="00AC2C8D">
            <w:pPr>
              <w:pStyle w:val="TableText0"/>
              <w:keepNext w:val="0"/>
              <w:jc w:val="center"/>
              <w:rPr>
                <w:b/>
                <w:bCs w:val="0"/>
              </w:rPr>
            </w:pPr>
            <w:r w:rsidRPr="009A3AE9">
              <w:rPr>
                <w:b/>
                <w:bCs w:val="0"/>
              </w:rPr>
              <w:t>3.33</w:t>
            </w:r>
          </w:p>
          <w:p w14:paraId="7E59EE80" w14:textId="7671AC3E" w:rsidR="00AC2C8D" w:rsidRPr="009A3AE9" w:rsidRDefault="00AC2C8D" w:rsidP="00AC2C8D">
            <w:pPr>
              <w:pStyle w:val="TableText0"/>
              <w:keepLines/>
              <w:widowControl w:val="0"/>
              <w:jc w:val="center"/>
              <w:rPr>
                <w:b/>
                <w:bCs w:val="0"/>
              </w:rPr>
            </w:pPr>
            <w:r w:rsidRPr="009A3AE9">
              <w:rPr>
                <w:b/>
                <w:bCs w:val="0"/>
              </w:rPr>
              <w:t>[1.53, 7.26]</w:t>
            </w:r>
          </w:p>
        </w:tc>
        <w:tc>
          <w:tcPr>
            <w:tcW w:w="669" w:type="pct"/>
            <w:gridSpan w:val="2"/>
            <w:tcBorders>
              <w:left w:val="single" w:sz="4" w:space="0" w:color="auto"/>
              <w:bottom w:val="single" w:sz="4" w:space="0" w:color="auto"/>
              <w:right w:val="single" w:sz="4" w:space="0" w:color="auto"/>
            </w:tcBorders>
          </w:tcPr>
          <w:p w14:paraId="16D340A5" w14:textId="77B73D54" w:rsidR="00AC2C8D" w:rsidRPr="009A3AE9" w:rsidRDefault="00AC2C8D" w:rsidP="00AC2C8D">
            <w:pPr>
              <w:pStyle w:val="TableText0"/>
              <w:keepLines/>
              <w:widowControl w:val="0"/>
              <w:jc w:val="center"/>
            </w:pPr>
            <w:r w:rsidRPr="009A3AE9">
              <w:t>7.0</w:t>
            </w:r>
          </w:p>
        </w:tc>
        <w:tc>
          <w:tcPr>
            <w:tcW w:w="637" w:type="pct"/>
            <w:gridSpan w:val="2"/>
            <w:tcBorders>
              <w:left w:val="single" w:sz="4" w:space="0" w:color="auto"/>
              <w:bottom w:val="single" w:sz="4" w:space="0" w:color="auto"/>
              <w:right w:val="single" w:sz="4" w:space="0" w:color="auto"/>
            </w:tcBorders>
          </w:tcPr>
          <w:p w14:paraId="00EEF808" w14:textId="442E1AC3" w:rsidR="00AC2C8D" w:rsidRPr="009A3AE9" w:rsidRDefault="00AC2C8D" w:rsidP="00AC2C8D">
            <w:pPr>
              <w:pStyle w:val="TableText0"/>
              <w:keepLines/>
              <w:widowControl w:val="0"/>
              <w:jc w:val="center"/>
            </w:pPr>
            <w:r w:rsidRPr="009A3AE9">
              <w:t>2.1</w:t>
            </w:r>
          </w:p>
        </w:tc>
        <w:tc>
          <w:tcPr>
            <w:tcW w:w="637" w:type="pct"/>
            <w:gridSpan w:val="2"/>
            <w:tcBorders>
              <w:top w:val="single" w:sz="4" w:space="0" w:color="auto"/>
              <w:left w:val="single" w:sz="4" w:space="0" w:color="auto"/>
              <w:bottom w:val="single" w:sz="4" w:space="0" w:color="auto"/>
              <w:right w:val="single" w:sz="4" w:space="0" w:color="auto"/>
            </w:tcBorders>
            <w:shd w:val="clear" w:color="auto" w:fill="auto"/>
          </w:tcPr>
          <w:p w14:paraId="6A0EFCA6" w14:textId="77777777" w:rsidR="00AC2C8D" w:rsidRPr="009A3AE9" w:rsidRDefault="00AC2C8D" w:rsidP="00AC2C8D">
            <w:pPr>
              <w:pStyle w:val="TableText0"/>
              <w:keepNext w:val="0"/>
              <w:jc w:val="center"/>
              <w:rPr>
                <w:b/>
                <w:bCs w:val="0"/>
              </w:rPr>
            </w:pPr>
            <w:r w:rsidRPr="009A3AE9">
              <w:rPr>
                <w:b/>
                <w:bCs w:val="0"/>
              </w:rPr>
              <w:t xml:space="preserve">0.05 </w:t>
            </w:r>
          </w:p>
          <w:p w14:paraId="3FD89C3F" w14:textId="5BFF605E" w:rsidR="00AC2C8D" w:rsidRPr="009A3AE9" w:rsidRDefault="00AC2C8D" w:rsidP="00AC2C8D">
            <w:pPr>
              <w:pStyle w:val="TableText0"/>
              <w:keepLines/>
              <w:widowControl w:val="0"/>
              <w:jc w:val="center"/>
              <w:rPr>
                <w:b/>
                <w:bCs w:val="0"/>
                <w:szCs w:val="20"/>
              </w:rPr>
            </w:pPr>
            <w:r w:rsidRPr="009A3AE9">
              <w:rPr>
                <w:b/>
                <w:bCs w:val="0"/>
              </w:rPr>
              <w:t>[0.02, 0.08]</w:t>
            </w:r>
          </w:p>
        </w:tc>
      </w:tr>
      <w:tr w:rsidR="009E2A20" w:rsidRPr="009A3AE9" w14:paraId="15FAA671" w14:textId="77777777" w:rsidTr="00AC2C8D">
        <w:trPr>
          <w:trHeight w:val="20"/>
        </w:trPr>
        <w:tc>
          <w:tcPr>
            <w:tcW w:w="1177" w:type="pct"/>
            <w:tcBorders>
              <w:bottom w:val="single" w:sz="4" w:space="0" w:color="auto"/>
              <w:right w:val="single" w:sz="4" w:space="0" w:color="auto"/>
            </w:tcBorders>
            <w:shd w:val="clear" w:color="auto" w:fill="auto"/>
          </w:tcPr>
          <w:p w14:paraId="337E9818" w14:textId="1AE8F464" w:rsidR="00AC2C8D" w:rsidRPr="009A3AE9" w:rsidRDefault="00AC2C8D" w:rsidP="00AC2C8D">
            <w:pPr>
              <w:pStyle w:val="TableText0"/>
              <w:keepLines/>
              <w:widowControl w:val="0"/>
            </w:pPr>
            <w:r w:rsidRPr="009A3AE9">
              <w:t>Asthenia</w:t>
            </w:r>
          </w:p>
        </w:tc>
        <w:tc>
          <w:tcPr>
            <w:tcW w:w="637" w:type="pct"/>
            <w:gridSpan w:val="2"/>
            <w:tcBorders>
              <w:left w:val="single" w:sz="4" w:space="0" w:color="auto"/>
              <w:bottom w:val="single" w:sz="4" w:space="0" w:color="auto"/>
              <w:right w:val="single" w:sz="4" w:space="0" w:color="auto"/>
            </w:tcBorders>
            <w:shd w:val="clear" w:color="auto" w:fill="auto"/>
          </w:tcPr>
          <w:p w14:paraId="1A9DA16B" w14:textId="6462A8D3" w:rsidR="00AC2C8D" w:rsidRPr="009A3AE9" w:rsidRDefault="00AC2C8D" w:rsidP="00AC2C8D">
            <w:pPr>
              <w:pStyle w:val="TableText0"/>
              <w:keepNext w:val="0"/>
              <w:jc w:val="center"/>
            </w:pPr>
            <w:r w:rsidRPr="009A3AE9">
              <w:t>33</w:t>
            </w:r>
          </w:p>
        </w:tc>
        <w:tc>
          <w:tcPr>
            <w:tcW w:w="637" w:type="pct"/>
            <w:tcBorders>
              <w:left w:val="single" w:sz="4" w:space="0" w:color="auto"/>
              <w:bottom w:val="single" w:sz="4" w:space="0" w:color="auto"/>
              <w:right w:val="single" w:sz="4" w:space="0" w:color="auto"/>
            </w:tcBorders>
            <w:shd w:val="clear" w:color="auto" w:fill="auto"/>
          </w:tcPr>
          <w:p w14:paraId="2C465166" w14:textId="169190B1" w:rsidR="00AC2C8D" w:rsidRPr="009A3AE9" w:rsidRDefault="00AC2C8D" w:rsidP="00AC2C8D">
            <w:pPr>
              <w:pStyle w:val="TableText0"/>
              <w:keepNext w:val="0"/>
              <w:jc w:val="center"/>
            </w:pPr>
            <w:r w:rsidRPr="009A3AE9">
              <w:t>19</w:t>
            </w:r>
          </w:p>
        </w:tc>
        <w:tc>
          <w:tcPr>
            <w:tcW w:w="606" w:type="pct"/>
            <w:gridSpan w:val="2"/>
            <w:tcBorders>
              <w:left w:val="single" w:sz="4" w:space="0" w:color="auto"/>
              <w:bottom w:val="single" w:sz="4" w:space="0" w:color="auto"/>
              <w:right w:val="single" w:sz="4" w:space="0" w:color="auto"/>
            </w:tcBorders>
          </w:tcPr>
          <w:p w14:paraId="17DD462C" w14:textId="7DF916B9" w:rsidR="00AC2C8D" w:rsidRPr="009A3AE9" w:rsidRDefault="00AC2C8D" w:rsidP="00AC2C8D">
            <w:pPr>
              <w:pStyle w:val="TableText0"/>
              <w:keepNext w:val="0"/>
              <w:jc w:val="center"/>
              <w:rPr>
                <w:b/>
                <w:bCs w:val="0"/>
              </w:rPr>
            </w:pPr>
            <w:r w:rsidRPr="009A3AE9">
              <w:rPr>
                <w:b/>
                <w:bCs w:val="0"/>
              </w:rPr>
              <w:t>1.78</w:t>
            </w:r>
          </w:p>
          <w:p w14:paraId="69E70926" w14:textId="1ED9B5F1" w:rsidR="00AC2C8D" w:rsidRPr="009A3AE9" w:rsidRDefault="00AC2C8D" w:rsidP="00AC2C8D">
            <w:pPr>
              <w:pStyle w:val="TableText0"/>
              <w:keepLines/>
              <w:widowControl w:val="0"/>
              <w:jc w:val="center"/>
              <w:rPr>
                <w:b/>
                <w:bCs w:val="0"/>
              </w:rPr>
            </w:pPr>
            <w:r w:rsidRPr="009A3AE9">
              <w:rPr>
                <w:b/>
                <w:bCs w:val="0"/>
              </w:rPr>
              <w:t>[1.03, 3.07]</w:t>
            </w:r>
          </w:p>
        </w:tc>
        <w:tc>
          <w:tcPr>
            <w:tcW w:w="669" w:type="pct"/>
            <w:gridSpan w:val="2"/>
            <w:tcBorders>
              <w:left w:val="single" w:sz="4" w:space="0" w:color="auto"/>
              <w:bottom w:val="single" w:sz="4" w:space="0" w:color="auto"/>
              <w:right w:val="single" w:sz="4" w:space="0" w:color="auto"/>
            </w:tcBorders>
          </w:tcPr>
          <w:p w14:paraId="29652382" w14:textId="7BEFAD7C" w:rsidR="00AC2C8D" w:rsidRPr="009A3AE9" w:rsidRDefault="00AC2C8D" w:rsidP="00AC2C8D">
            <w:pPr>
              <w:pStyle w:val="TableText0"/>
              <w:keepLines/>
              <w:widowControl w:val="0"/>
              <w:jc w:val="center"/>
            </w:pPr>
            <w:r w:rsidRPr="009A3AE9">
              <w:t>8.9</w:t>
            </w:r>
          </w:p>
        </w:tc>
        <w:tc>
          <w:tcPr>
            <w:tcW w:w="637" w:type="pct"/>
            <w:gridSpan w:val="2"/>
            <w:tcBorders>
              <w:left w:val="single" w:sz="4" w:space="0" w:color="auto"/>
              <w:bottom w:val="single" w:sz="4" w:space="0" w:color="auto"/>
              <w:right w:val="single" w:sz="4" w:space="0" w:color="auto"/>
            </w:tcBorders>
          </w:tcPr>
          <w:p w14:paraId="3001E768" w14:textId="1B2358B9" w:rsidR="00AC2C8D" w:rsidRPr="009A3AE9" w:rsidRDefault="00AC2C8D" w:rsidP="00AC2C8D">
            <w:pPr>
              <w:pStyle w:val="TableText0"/>
              <w:keepLines/>
              <w:widowControl w:val="0"/>
              <w:jc w:val="center"/>
            </w:pPr>
            <w:r w:rsidRPr="009A3AE9">
              <w:t>5.0</w:t>
            </w:r>
          </w:p>
        </w:tc>
        <w:tc>
          <w:tcPr>
            <w:tcW w:w="637" w:type="pct"/>
            <w:gridSpan w:val="2"/>
            <w:tcBorders>
              <w:top w:val="single" w:sz="4" w:space="0" w:color="auto"/>
              <w:left w:val="single" w:sz="4" w:space="0" w:color="auto"/>
              <w:bottom w:val="single" w:sz="4" w:space="0" w:color="auto"/>
              <w:right w:val="single" w:sz="4" w:space="0" w:color="auto"/>
            </w:tcBorders>
            <w:shd w:val="clear" w:color="auto" w:fill="auto"/>
          </w:tcPr>
          <w:p w14:paraId="4BE93CE5" w14:textId="77777777" w:rsidR="00AC2C8D" w:rsidRPr="009A3AE9" w:rsidRDefault="00AC2C8D" w:rsidP="00AC2C8D">
            <w:pPr>
              <w:pStyle w:val="TableText0"/>
              <w:keepNext w:val="0"/>
              <w:jc w:val="center"/>
              <w:rPr>
                <w:b/>
                <w:bCs w:val="0"/>
              </w:rPr>
            </w:pPr>
            <w:r w:rsidRPr="009A3AE9">
              <w:rPr>
                <w:b/>
                <w:bCs w:val="0"/>
              </w:rPr>
              <w:t xml:space="preserve">0.04 </w:t>
            </w:r>
          </w:p>
          <w:p w14:paraId="3E000FA8" w14:textId="4DD1F981" w:rsidR="00AC2C8D" w:rsidRPr="009A3AE9" w:rsidRDefault="00AC2C8D" w:rsidP="00AC2C8D">
            <w:pPr>
              <w:pStyle w:val="TableText0"/>
              <w:keepLines/>
              <w:widowControl w:val="0"/>
              <w:jc w:val="center"/>
              <w:rPr>
                <w:b/>
                <w:bCs w:val="0"/>
                <w:szCs w:val="20"/>
              </w:rPr>
            </w:pPr>
            <w:r w:rsidRPr="009A3AE9">
              <w:rPr>
                <w:b/>
                <w:bCs w:val="0"/>
              </w:rPr>
              <w:t>[0.00, 0.08]</w:t>
            </w:r>
          </w:p>
        </w:tc>
      </w:tr>
      <w:tr w:rsidR="009E2A20" w:rsidRPr="009A3AE9" w14:paraId="60A719C0" w14:textId="77777777" w:rsidTr="003833BB">
        <w:trPr>
          <w:trHeight w:val="20"/>
        </w:trPr>
        <w:tc>
          <w:tcPr>
            <w:tcW w:w="1177" w:type="pct"/>
            <w:tcBorders>
              <w:bottom w:val="single" w:sz="4" w:space="0" w:color="auto"/>
              <w:right w:val="single" w:sz="4" w:space="0" w:color="auto"/>
            </w:tcBorders>
            <w:shd w:val="clear" w:color="auto" w:fill="auto"/>
          </w:tcPr>
          <w:p w14:paraId="3EC8629A" w14:textId="77777777" w:rsidR="00AC2C8D" w:rsidRPr="009A3AE9" w:rsidRDefault="00AC2C8D" w:rsidP="003833BB">
            <w:pPr>
              <w:pStyle w:val="TableText0"/>
              <w:keepLines/>
              <w:widowControl w:val="0"/>
            </w:pPr>
            <w:r w:rsidRPr="009A3AE9">
              <w:t>Weight decreased</w:t>
            </w:r>
          </w:p>
        </w:tc>
        <w:tc>
          <w:tcPr>
            <w:tcW w:w="637" w:type="pct"/>
            <w:gridSpan w:val="2"/>
            <w:tcBorders>
              <w:left w:val="single" w:sz="4" w:space="0" w:color="auto"/>
              <w:bottom w:val="single" w:sz="4" w:space="0" w:color="auto"/>
              <w:right w:val="single" w:sz="4" w:space="0" w:color="auto"/>
            </w:tcBorders>
            <w:shd w:val="clear" w:color="auto" w:fill="auto"/>
          </w:tcPr>
          <w:p w14:paraId="287B908D" w14:textId="77777777" w:rsidR="00AC2C8D" w:rsidRPr="009A3AE9" w:rsidRDefault="00AC2C8D" w:rsidP="003833BB">
            <w:pPr>
              <w:pStyle w:val="TableText0"/>
              <w:keepNext w:val="0"/>
              <w:jc w:val="center"/>
            </w:pPr>
            <w:r w:rsidRPr="009A3AE9">
              <w:t>11</w:t>
            </w:r>
          </w:p>
        </w:tc>
        <w:tc>
          <w:tcPr>
            <w:tcW w:w="637" w:type="pct"/>
            <w:tcBorders>
              <w:left w:val="single" w:sz="4" w:space="0" w:color="auto"/>
              <w:bottom w:val="single" w:sz="4" w:space="0" w:color="auto"/>
              <w:right w:val="single" w:sz="4" w:space="0" w:color="auto"/>
            </w:tcBorders>
            <w:shd w:val="clear" w:color="auto" w:fill="auto"/>
          </w:tcPr>
          <w:p w14:paraId="27654C90" w14:textId="77777777" w:rsidR="00AC2C8D" w:rsidRPr="009A3AE9" w:rsidRDefault="00AC2C8D" w:rsidP="003833BB">
            <w:pPr>
              <w:pStyle w:val="TableText0"/>
              <w:keepNext w:val="0"/>
              <w:jc w:val="center"/>
            </w:pPr>
            <w:r w:rsidRPr="009A3AE9">
              <w:t>1</w:t>
            </w:r>
          </w:p>
        </w:tc>
        <w:tc>
          <w:tcPr>
            <w:tcW w:w="606" w:type="pct"/>
            <w:gridSpan w:val="2"/>
            <w:tcBorders>
              <w:left w:val="single" w:sz="4" w:space="0" w:color="auto"/>
              <w:bottom w:val="single" w:sz="4" w:space="0" w:color="auto"/>
              <w:right w:val="single" w:sz="4" w:space="0" w:color="auto"/>
            </w:tcBorders>
          </w:tcPr>
          <w:p w14:paraId="7436F3E5" w14:textId="77777777" w:rsidR="00AC2C8D" w:rsidRPr="009A3AE9" w:rsidRDefault="00AC2C8D" w:rsidP="003833BB">
            <w:pPr>
              <w:pStyle w:val="TableText0"/>
              <w:keepNext w:val="0"/>
              <w:jc w:val="center"/>
              <w:rPr>
                <w:b/>
                <w:bCs w:val="0"/>
              </w:rPr>
            </w:pPr>
            <w:r w:rsidRPr="009A3AE9">
              <w:rPr>
                <w:b/>
                <w:bCs w:val="0"/>
              </w:rPr>
              <w:t>11.27</w:t>
            </w:r>
          </w:p>
          <w:p w14:paraId="7B37923F" w14:textId="77777777" w:rsidR="00AC2C8D" w:rsidRPr="009A3AE9" w:rsidRDefault="00AC2C8D" w:rsidP="003833BB">
            <w:pPr>
              <w:pStyle w:val="TableText0"/>
              <w:keepLines/>
              <w:widowControl w:val="0"/>
              <w:jc w:val="center"/>
              <w:rPr>
                <w:b/>
                <w:bCs w:val="0"/>
              </w:rPr>
            </w:pPr>
            <w:r w:rsidRPr="009A3AE9">
              <w:rPr>
                <w:b/>
                <w:bCs w:val="0"/>
              </w:rPr>
              <w:t>[1.46, 86.84]</w:t>
            </w:r>
          </w:p>
        </w:tc>
        <w:tc>
          <w:tcPr>
            <w:tcW w:w="669" w:type="pct"/>
            <w:gridSpan w:val="2"/>
            <w:tcBorders>
              <w:left w:val="single" w:sz="4" w:space="0" w:color="auto"/>
              <w:bottom w:val="single" w:sz="4" w:space="0" w:color="auto"/>
              <w:right w:val="single" w:sz="4" w:space="0" w:color="auto"/>
            </w:tcBorders>
          </w:tcPr>
          <w:p w14:paraId="1DF2770C" w14:textId="77777777" w:rsidR="00AC2C8D" w:rsidRPr="009A3AE9" w:rsidRDefault="00AC2C8D" w:rsidP="003833BB">
            <w:pPr>
              <w:pStyle w:val="TableText0"/>
              <w:keepLines/>
              <w:widowControl w:val="0"/>
              <w:jc w:val="center"/>
            </w:pPr>
            <w:r w:rsidRPr="009A3AE9">
              <w:t>3.0</w:t>
            </w:r>
          </w:p>
        </w:tc>
        <w:tc>
          <w:tcPr>
            <w:tcW w:w="637" w:type="pct"/>
            <w:gridSpan w:val="2"/>
            <w:tcBorders>
              <w:left w:val="single" w:sz="4" w:space="0" w:color="auto"/>
              <w:bottom w:val="single" w:sz="4" w:space="0" w:color="auto"/>
              <w:right w:val="single" w:sz="4" w:space="0" w:color="auto"/>
            </w:tcBorders>
          </w:tcPr>
          <w:p w14:paraId="79CDBA15" w14:textId="77777777" w:rsidR="00AC2C8D" w:rsidRPr="009A3AE9" w:rsidRDefault="00AC2C8D" w:rsidP="003833BB">
            <w:pPr>
              <w:pStyle w:val="TableText0"/>
              <w:keepLines/>
              <w:widowControl w:val="0"/>
              <w:jc w:val="center"/>
            </w:pPr>
            <w:r w:rsidRPr="009A3AE9">
              <w:t>0.3</w:t>
            </w:r>
          </w:p>
        </w:tc>
        <w:tc>
          <w:tcPr>
            <w:tcW w:w="637" w:type="pct"/>
            <w:gridSpan w:val="2"/>
            <w:tcBorders>
              <w:top w:val="single" w:sz="4" w:space="0" w:color="auto"/>
              <w:left w:val="single" w:sz="4" w:space="0" w:color="auto"/>
              <w:bottom w:val="single" w:sz="4" w:space="0" w:color="auto"/>
              <w:right w:val="single" w:sz="4" w:space="0" w:color="auto"/>
            </w:tcBorders>
            <w:shd w:val="clear" w:color="auto" w:fill="auto"/>
          </w:tcPr>
          <w:p w14:paraId="6468B6B5" w14:textId="77777777" w:rsidR="00AC2C8D" w:rsidRPr="009A3AE9" w:rsidRDefault="00AC2C8D" w:rsidP="003833BB">
            <w:pPr>
              <w:pStyle w:val="TableText0"/>
              <w:keepNext w:val="0"/>
              <w:jc w:val="center"/>
              <w:rPr>
                <w:b/>
                <w:bCs w:val="0"/>
              </w:rPr>
            </w:pPr>
            <w:r w:rsidRPr="009A3AE9">
              <w:rPr>
                <w:b/>
                <w:bCs w:val="0"/>
              </w:rPr>
              <w:t xml:space="preserve">0.03 </w:t>
            </w:r>
          </w:p>
          <w:p w14:paraId="203619FE" w14:textId="77777777" w:rsidR="00AC2C8D" w:rsidRPr="009A3AE9" w:rsidRDefault="00AC2C8D" w:rsidP="003833BB">
            <w:pPr>
              <w:pStyle w:val="TableText0"/>
              <w:keepLines/>
              <w:widowControl w:val="0"/>
              <w:jc w:val="center"/>
              <w:rPr>
                <w:b/>
                <w:bCs w:val="0"/>
                <w:szCs w:val="20"/>
              </w:rPr>
            </w:pPr>
            <w:r w:rsidRPr="009A3AE9">
              <w:rPr>
                <w:b/>
                <w:bCs w:val="0"/>
              </w:rPr>
              <w:t>[0.01, 0.05]</w:t>
            </w:r>
          </w:p>
        </w:tc>
      </w:tr>
      <w:tr w:rsidR="009E2A20" w:rsidRPr="009A3AE9" w14:paraId="30DC4A75" w14:textId="77777777" w:rsidTr="00AC2C8D">
        <w:trPr>
          <w:trHeight w:val="20"/>
        </w:trPr>
        <w:tc>
          <w:tcPr>
            <w:tcW w:w="1177" w:type="pct"/>
            <w:tcBorders>
              <w:bottom w:val="single" w:sz="4" w:space="0" w:color="auto"/>
              <w:right w:val="single" w:sz="4" w:space="0" w:color="auto"/>
            </w:tcBorders>
            <w:shd w:val="clear" w:color="auto" w:fill="auto"/>
          </w:tcPr>
          <w:p w14:paraId="0609FCCF" w14:textId="61360BCC" w:rsidR="00AC2C8D" w:rsidRPr="009A3AE9" w:rsidRDefault="00AC2C8D" w:rsidP="00AC2C8D">
            <w:pPr>
              <w:pStyle w:val="TableText0"/>
              <w:keepLines/>
              <w:widowControl w:val="0"/>
            </w:pPr>
            <w:r w:rsidRPr="009A3AE9">
              <w:t>Mucosal inflammation</w:t>
            </w:r>
          </w:p>
        </w:tc>
        <w:tc>
          <w:tcPr>
            <w:tcW w:w="637" w:type="pct"/>
            <w:gridSpan w:val="2"/>
            <w:tcBorders>
              <w:left w:val="single" w:sz="4" w:space="0" w:color="auto"/>
              <w:bottom w:val="single" w:sz="4" w:space="0" w:color="auto"/>
              <w:right w:val="single" w:sz="4" w:space="0" w:color="auto"/>
            </w:tcBorders>
            <w:shd w:val="clear" w:color="auto" w:fill="auto"/>
          </w:tcPr>
          <w:p w14:paraId="48344D5E" w14:textId="000CA71C" w:rsidR="00AC2C8D" w:rsidRPr="009A3AE9" w:rsidRDefault="00AC2C8D" w:rsidP="00AC2C8D">
            <w:pPr>
              <w:pStyle w:val="TableText0"/>
              <w:keepNext w:val="0"/>
              <w:jc w:val="center"/>
            </w:pPr>
            <w:r w:rsidRPr="009A3AE9">
              <w:t>8</w:t>
            </w:r>
          </w:p>
        </w:tc>
        <w:tc>
          <w:tcPr>
            <w:tcW w:w="637" w:type="pct"/>
            <w:tcBorders>
              <w:left w:val="single" w:sz="4" w:space="0" w:color="auto"/>
              <w:bottom w:val="single" w:sz="4" w:space="0" w:color="auto"/>
              <w:right w:val="single" w:sz="4" w:space="0" w:color="auto"/>
            </w:tcBorders>
            <w:shd w:val="clear" w:color="auto" w:fill="auto"/>
          </w:tcPr>
          <w:p w14:paraId="1988E385" w14:textId="5924A6C3" w:rsidR="00AC2C8D" w:rsidRPr="009A3AE9" w:rsidRDefault="00AC2C8D" w:rsidP="00AC2C8D">
            <w:pPr>
              <w:pStyle w:val="TableText0"/>
              <w:keepNext w:val="0"/>
              <w:jc w:val="center"/>
            </w:pPr>
            <w:r w:rsidRPr="009A3AE9">
              <w:t>1</w:t>
            </w:r>
          </w:p>
        </w:tc>
        <w:tc>
          <w:tcPr>
            <w:tcW w:w="606" w:type="pct"/>
            <w:gridSpan w:val="2"/>
            <w:tcBorders>
              <w:left w:val="single" w:sz="4" w:space="0" w:color="auto"/>
              <w:bottom w:val="single" w:sz="4" w:space="0" w:color="auto"/>
              <w:right w:val="single" w:sz="4" w:space="0" w:color="auto"/>
            </w:tcBorders>
          </w:tcPr>
          <w:p w14:paraId="131D5724" w14:textId="57E9BAB4" w:rsidR="00AC2C8D" w:rsidRPr="009A3AE9" w:rsidRDefault="00AC2C8D" w:rsidP="00AC2C8D">
            <w:pPr>
              <w:pStyle w:val="TableText0"/>
              <w:keepNext w:val="0"/>
              <w:jc w:val="center"/>
              <w:rPr>
                <w:b/>
                <w:bCs w:val="0"/>
              </w:rPr>
            </w:pPr>
            <w:r w:rsidRPr="009A3AE9">
              <w:rPr>
                <w:b/>
                <w:bCs w:val="0"/>
              </w:rPr>
              <w:t>8.19</w:t>
            </w:r>
          </w:p>
          <w:p w14:paraId="25C7BF7B" w14:textId="67A4AE88" w:rsidR="00AC2C8D" w:rsidRPr="009A3AE9" w:rsidRDefault="00AC2C8D" w:rsidP="00AC2C8D">
            <w:pPr>
              <w:pStyle w:val="TableText0"/>
              <w:keepLines/>
              <w:widowControl w:val="0"/>
              <w:jc w:val="center"/>
              <w:rPr>
                <w:b/>
                <w:bCs w:val="0"/>
              </w:rPr>
            </w:pPr>
            <w:r w:rsidRPr="009A3AE9">
              <w:rPr>
                <w:b/>
                <w:bCs w:val="0"/>
              </w:rPr>
              <w:t>[1.03, 65.20]</w:t>
            </w:r>
          </w:p>
        </w:tc>
        <w:tc>
          <w:tcPr>
            <w:tcW w:w="669" w:type="pct"/>
            <w:gridSpan w:val="2"/>
            <w:tcBorders>
              <w:left w:val="single" w:sz="4" w:space="0" w:color="auto"/>
              <w:bottom w:val="single" w:sz="4" w:space="0" w:color="auto"/>
              <w:right w:val="single" w:sz="4" w:space="0" w:color="auto"/>
            </w:tcBorders>
          </w:tcPr>
          <w:p w14:paraId="08C30FD6" w14:textId="4A1399FB" w:rsidR="00AC2C8D" w:rsidRPr="009A3AE9" w:rsidRDefault="00AC2C8D" w:rsidP="00AC2C8D">
            <w:pPr>
              <w:pStyle w:val="TableText0"/>
              <w:keepLines/>
              <w:widowControl w:val="0"/>
              <w:jc w:val="center"/>
            </w:pPr>
            <w:r w:rsidRPr="009A3AE9">
              <w:t>2.2</w:t>
            </w:r>
          </w:p>
        </w:tc>
        <w:tc>
          <w:tcPr>
            <w:tcW w:w="637" w:type="pct"/>
            <w:gridSpan w:val="2"/>
            <w:tcBorders>
              <w:left w:val="single" w:sz="4" w:space="0" w:color="auto"/>
              <w:bottom w:val="single" w:sz="4" w:space="0" w:color="auto"/>
              <w:right w:val="single" w:sz="4" w:space="0" w:color="auto"/>
            </w:tcBorders>
          </w:tcPr>
          <w:p w14:paraId="1B813F87" w14:textId="3FCB4E69" w:rsidR="00AC2C8D" w:rsidRPr="009A3AE9" w:rsidRDefault="00AC2C8D" w:rsidP="00AC2C8D">
            <w:pPr>
              <w:pStyle w:val="TableText0"/>
              <w:keepLines/>
              <w:widowControl w:val="0"/>
              <w:jc w:val="center"/>
            </w:pPr>
            <w:r w:rsidRPr="009A3AE9">
              <w:t>0.3</w:t>
            </w:r>
          </w:p>
        </w:tc>
        <w:tc>
          <w:tcPr>
            <w:tcW w:w="637" w:type="pct"/>
            <w:gridSpan w:val="2"/>
            <w:tcBorders>
              <w:top w:val="single" w:sz="4" w:space="0" w:color="auto"/>
              <w:left w:val="single" w:sz="4" w:space="0" w:color="auto"/>
              <w:bottom w:val="single" w:sz="4" w:space="0" w:color="auto"/>
              <w:right w:val="single" w:sz="4" w:space="0" w:color="auto"/>
            </w:tcBorders>
            <w:shd w:val="clear" w:color="auto" w:fill="auto"/>
          </w:tcPr>
          <w:p w14:paraId="6A3E64FB" w14:textId="77777777" w:rsidR="00AC2C8D" w:rsidRPr="009A3AE9" w:rsidRDefault="00AC2C8D" w:rsidP="00AC2C8D">
            <w:pPr>
              <w:pStyle w:val="TableText0"/>
              <w:keepNext w:val="0"/>
              <w:jc w:val="center"/>
              <w:rPr>
                <w:b/>
                <w:bCs w:val="0"/>
              </w:rPr>
            </w:pPr>
            <w:r w:rsidRPr="009A3AE9">
              <w:rPr>
                <w:b/>
                <w:bCs w:val="0"/>
              </w:rPr>
              <w:t xml:space="preserve">0.02 </w:t>
            </w:r>
          </w:p>
          <w:p w14:paraId="4A051280" w14:textId="76B4D728" w:rsidR="00AC2C8D" w:rsidRPr="009A3AE9" w:rsidRDefault="00AC2C8D" w:rsidP="00AC2C8D">
            <w:pPr>
              <w:pStyle w:val="TableText0"/>
              <w:keepLines/>
              <w:widowControl w:val="0"/>
              <w:jc w:val="center"/>
              <w:rPr>
                <w:b/>
                <w:bCs w:val="0"/>
                <w:szCs w:val="20"/>
              </w:rPr>
            </w:pPr>
            <w:r w:rsidRPr="009A3AE9">
              <w:rPr>
                <w:b/>
                <w:bCs w:val="0"/>
              </w:rPr>
              <w:t>[0.00, 0.03]</w:t>
            </w:r>
          </w:p>
        </w:tc>
      </w:tr>
      <w:tr w:rsidR="009E2A20" w:rsidRPr="009A3AE9" w14:paraId="2F6DCF23" w14:textId="77777777" w:rsidTr="00AC2C8D">
        <w:trPr>
          <w:trHeight w:val="20"/>
        </w:trPr>
        <w:tc>
          <w:tcPr>
            <w:tcW w:w="1177" w:type="pct"/>
            <w:tcBorders>
              <w:bottom w:val="single" w:sz="4" w:space="0" w:color="auto"/>
              <w:right w:val="single" w:sz="4" w:space="0" w:color="auto"/>
            </w:tcBorders>
            <w:shd w:val="clear" w:color="auto" w:fill="auto"/>
          </w:tcPr>
          <w:p w14:paraId="7D418E8C" w14:textId="47E4AEF6" w:rsidR="00AC2C8D" w:rsidRPr="009A3AE9" w:rsidRDefault="00AC2C8D" w:rsidP="00AC2C8D">
            <w:pPr>
              <w:pStyle w:val="TableText0"/>
              <w:keepLines/>
              <w:widowControl w:val="0"/>
            </w:pPr>
            <w:r w:rsidRPr="009A3AE9">
              <w:t>Dehydration</w:t>
            </w:r>
          </w:p>
        </w:tc>
        <w:tc>
          <w:tcPr>
            <w:tcW w:w="637" w:type="pct"/>
            <w:gridSpan w:val="2"/>
            <w:tcBorders>
              <w:left w:val="single" w:sz="4" w:space="0" w:color="auto"/>
              <w:bottom w:val="single" w:sz="4" w:space="0" w:color="auto"/>
              <w:right w:val="single" w:sz="4" w:space="0" w:color="auto"/>
            </w:tcBorders>
            <w:shd w:val="clear" w:color="auto" w:fill="auto"/>
          </w:tcPr>
          <w:p w14:paraId="57069927" w14:textId="13B76FB1" w:rsidR="00AC2C8D" w:rsidRPr="009A3AE9" w:rsidRDefault="00AC2C8D" w:rsidP="00AC2C8D">
            <w:pPr>
              <w:pStyle w:val="TableText0"/>
              <w:keepNext w:val="0"/>
              <w:jc w:val="center"/>
            </w:pPr>
            <w:r w:rsidRPr="009A3AE9">
              <w:t>12</w:t>
            </w:r>
          </w:p>
        </w:tc>
        <w:tc>
          <w:tcPr>
            <w:tcW w:w="637" w:type="pct"/>
            <w:tcBorders>
              <w:left w:val="single" w:sz="4" w:space="0" w:color="auto"/>
              <w:bottom w:val="single" w:sz="4" w:space="0" w:color="auto"/>
              <w:right w:val="single" w:sz="4" w:space="0" w:color="auto"/>
            </w:tcBorders>
            <w:shd w:val="clear" w:color="auto" w:fill="auto"/>
          </w:tcPr>
          <w:p w14:paraId="332E5698" w14:textId="1E6F6442" w:rsidR="00AC2C8D" w:rsidRPr="009A3AE9" w:rsidRDefault="00AC2C8D" w:rsidP="00AC2C8D">
            <w:pPr>
              <w:pStyle w:val="TableText0"/>
              <w:keepNext w:val="0"/>
              <w:jc w:val="center"/>
            </w:pPr>
            <w:r w:rsidRPr="009A3AE9">
              <w:t>4</w:t>
            </w:r>
          </w:p>
        </w:tc>
        <w:tc>
          <w:tcPr>
            <w:tcW w:w="606" w:type="pct"/>
            <w:gridSpan w:val="2"/>
            <w:tcBorders>
              <w:left w:val="single" w:sz="4" w:space="0" w:color="auto"/>
              <w:bottom w:val="single" w:sz="4" w:space="0" w:color="auto"/>
              <w:right w:val="single" w:sz="4" w:space="0" w:color="auto"/>
            </w:tcBorders>
          </w:tcPr>
          <w:p w14:paraId="19A17010" w14:textId="16FC18CB" w:rsidR="00AC2C8D" w:rsidRPr="009A3AE9" w:rsidRDefault="00AC2C8D" w:rsidP="00AC2C8D">
            <w:pPr>
              <w:pStyle w:val="TableText0"/>
              <w:keepNext w:val="0"/>
              <w:jc w:val="center"/>
            </w:pPr>
            <w:r w:rsidRPr="009A3AE9">
              <w:t>3.07</w:t>
            </w:r>
          </w:p>
          <w:p w14:paraId="2AB5EB89" w14:textId="6154DD38" w:rsidR="00AC2C8D" w:rsidRPr="009A3AE9" w:rsidRDefault="00AC2C8D" w:rsidP="00AC2C8D">
            <w:pPr>
              <w:pStyle w:val="TableText0"/>
              <w:keepLines/>
              <w:widowControl w:val="0"/>
              <w:jc w:val="center"/>
            </w:pPr>
            <w:r w:rsidRPr="009A3AE9">
              <w:t>[1.00, 9.44]</w:t>
            </w:r>
          </w:p>
        </w:tc>
        <w:tc>
          <w:tcPr>
            <w:tcW w:w="669" w:type="pct"/>
            <w:gridSpan w:val="2"/>
            <w:tcBorders>
              <w:left w:val="single" w:sz="4" w:space="0" w:color="auto"/>
              <w:bottom w:val="single" w:sz="4" w:space="0" w:color="auto"/>
              <w:right w:val="single" w:sz="4" w:space="0" w:color="auto"/>
            </w:tcBorders>
          </w:tcPr>
          <w:p w14:paraId="057B1D3C" w14:textId="52CDD423" w:rsidR="00AC2C8D" w:rsidRPr="009A3AE9" w:rsidRDefault="00AC2C8D" w:rsidP="00AC2C8D">
            <w:pPr>
              <w:pStyle w:val="TableText0"/>
              <w:keepLines/>
              <w:widowControl w:val="0"/>
              <w:jc w:val="center"/>
            </w:pPr>
            <w:r w:rsidRPr="009A3AE9">
              <w:t>3.2</w:t>
            </w:r>
          </w:p>
        </w:tc>
        <w:tc>
          <w:tcPr>
            <w:tcW w:w="637" w:type="pct"/>
            <w:gridSpan w:val="2"/>
            <w:tcBorders>
              <w:left w:val="single" w:sz="4" w:space="0" w:color="auto"/>
              <w:bottom w:val="single" w:sz="4" w:space="0" w:color="auto"/>
              <w:right w:val="single" w:sz="4" w:space="0" w:color="auto"/>
            </w:tcBorders>
          </w:tcPr>
          <w:p w14:paraId="34FD832D" w14:textId="788E8059" w:rsidR="00AC2C8D" w:rsidRPr="009A3AE9" w:rsidRDefault="00AC2C8D" w:rsidP="00AC2C8D">
            <w:pPr>
              <w:pStyle w:val="TableText0"/>
              <w:keepLines/>
              <w:widowControl w:val="0"/>
              <w:jc w:val="center"/>
            </w:pPr>
            <w:r w:rsidRPr="009A3AE9">
              <w:t>1.1</w:t>
            </w:r>
          </w:p>
        </w:tc>
        <w:tc>
          <w:tcPr>
            <w:tcW w:w="637" w:type="pct"/>
            <w:gridSpan w:val="2"/>
            <w:tcBorders>
              <w:top w:val="single" w:sz="4" w:space="0" w:color="auto"/>
              <w:left w:val="single" w:sz="4" w:space="0" w:color="auto"/>
              <w:bottom w:val="single" w:sz="4" w:space="0" w:color="auto"/>
              <w:right w:val="single" w:sz="4" w:space="0" w:color="auto"/>
            </w:tcBorders>
            <w:shd w:val="clear" w:color="auto" w:fill="auto"/>
          </w:tcPr>
          <w:p w14:paraId="7A194361" w14:textId="77777777" w:rsidR="00AC2C8D" w:rsidRPr="009A3AE9" w:rsidRDefault="00AC2C8D" w:rsidP="00AC2C8D">
            <w:pPr>
              <w:pStyle w:val="TableText0"/>
              <w:keepNext w:val="0"/>
              <w:jc w:val="center"/>
              <w:rPr>
                <w:b/>
                <w:bCs w:val="0"/>
              </w:rPr>
            </w:pPr>
            <w:r w:rsidRPr="009A3AE9">
              <w:rPr>
                <w:b/>
                <w:bCs w:val="0"/>
              </w:rPr>
              <w:t xml:space="preserve">0.02 </w:t>
            </w:r>
          </w:p>
          <w:p w14:paraId="4D4AD0B4" w14:textId="363ACF95" w:rsidR="00AC2C8D" w:rsidRPr="009A3AE9" w:rsidRDefault="00AC2C8D" w:rsidP="00AC2C8D">
            <w:pPr>
              <w:pStyle w:val="TableText0"/>
              <w:keepLines/>
              <w:widowControl w:val="0"/>
              <w:jc w:val="center"/>
              <w:rPr>
                <w:b/>
                <w:bCs w:val="0"/>
                <w:szCs w:val="20"/>
              </w:rPr>
            </w:pPr>
            <w:r w:rsidRPr="009A3AE9">
              <w:rPr>
                <w:b/>
                <w:bCs w:val="0"/>
              </w:rPr>
              <w:t>[0.00, 0.04]</w:t>
            </w:r>
          </w:p>
        </w:tc>
      </w:tr>
      <w:tr w:rsidR="009E2A20" w:rsidRPr="009A3AE9" w14:paraId="5BB66A96" w14:textId="77777777" w:rsidTr="003833BB">
        <w:trPr>
          <w:trHeight w:val="20"/>
        </w:trPr>
        <w:tc>
          <w:tcPr>
            <w:tcW w:w="1177" w:type="pct"/>
            <w:tcBorders>
              <w:bottom w:val="single" w:sz="4" w:space="0" w:color="auto"/>
              <w:right w:val="single" w:sz="4" w:space="0" w:color="auto"/>
            </w:tcBorders>
            <w:shd w:val="clear" w:color="auto" w:fill="auto"/>
          </w:tcPr>
          <w:p w14:paraId="158C3C27" w14:textId="77777777" w:rsidR="00AC2C8D" w:rsidRPr="009A3AE9" w:rsidRDefault="00AC2C8D" w:rsidP="003833BB">
            <w:pPr>
              <w:pStyle w:val="TableText0"/>
              <w:keepLines/>
              <w:widowControl w:val="0"/>
            </w:pPr>
            <w:r w:rsidRPr="009A3AE9">
              <w:t>Neutropenia</w:t>
            </w:r>
          </w:p>
        </w:tc>
        <w:tc>
          <w:tcPr>
            <w:tcW w:w="637" w:type="pct"/>
            <w:gridSpan w:val="2"/>
            <w:tcBorders>
              <w:left w:val="single" w:sz="4" w:space="0" w:color="auto"/>
              <w:bottom w:val="single" w:sz="4" w:space="0" w:color="auto"/>
              <w:right w:val="single" w:sz="4" w:space="0" w:color="auto"/>
            </w:tcBorders>
            <w:shd w:val="clear" w:color="auto" w:fill="auto"/>
          </w:tcPr>
          <w:p w14:paraId="3FEC70AC" w14:textId="77777777" w:rsidR="00AC2C8D" w:rsidRPr="009A3AE9" w:rsidRDefault="00AC2C8D" w:rsidP="003833BB">
            <w:pPr>
              <w:pStyle w:val="TableText0"/>
              <w:keepNext w:val="0"/>
              <w:jc w:val="center"/>
            </w:pPr>
            <w:r w:rsidRPr="009A3AE9">
              <w:t>52</w:t>
            </w:r>
          </w:p>
        </w:tc>
        <w:tc>
          <w:tcPr>
            <w:tcW w:w="637" w:type="pct"/>
            <w:tcBorders>
              <w:left w:val="single" w:sz="4" w:space="0" w:color="auto"/>
              <w:bottom w:val="single" w:sz="4" w:space="0" w:color="auto"/>
              <w:right w:val="single" w:sz="4" w:space="0" w:color="auto"/>
            </w:tcBorders>
            <w:shd w:val="clear" w:color="auto" w:fill="auto"/>
          </w:tcPr>
          <w:p w14:paraId="6CAB3B6A" w14:textId="77777777" w:rsidR="00AC2C8D" w:rsidRPr="009A3AE9" w:rsidRDefault="00AC2C8D" w:rsidP="003833BB">
            <w:pPr>
              <w:pStyle w:val="TableText0"/>
              <w:keepNext w:val="0"/>
              <w:jc w:val="center"/>
            </w:pPr>
            <w:r w:rsidRPr="009A3AE9">
              <w:t>93</w:t>
            </w:r>
          </w:p>
        </w:tc>
        <w:tc>
          <w:tcPr>
            <w:tcW w:w="606" w:type="pct"/>
            <w:gridSpan w:val="2"/>
            <w:tcBorders>
              <w:left w:val="single" w:sz="4" w:space="0" w:color="auto"/>
              <w:bottom w:val="single" w:sz="4" w:space="0" w:color="auto"/>
              <w:right w:val="single" w:sz="4" w:space="0" w:color="auto"/>
            </w:tcBorders>
          </w:tcPr>
          <w:p w14:paraId="001355E9" w14:textId="77777777" w:rsidR="00AC2C8D" w:rsidRPr="009A3AE9" w:rsidRDefault="00AC2C8D" w:rsidP="003833BB">
            <w:pPr>
              <w:pStyle w:val="TableText0"/>
              <w:keepNext w:val="0"/>
              <w:jc w:val="center"/>
              <w:rPr>
                <w:b/>
                <w:bCs w:val="0"/>
              </w:rPr>
            </w:pPr>
            <w:r w:rsidRPr="009A3AE9">
              <w:rPr>
                <w:b/>
                <w:bCs w:val="0"/>
              </w:rPr>
              <w:t>0.57</w:t>
            </w:r>
          </w:p>
          <w:p w14:paraId="00D37DA0" w14:textId="77777777" w:rsidR="00AC2C8D" w:rsidRPr="009A3AE9" w:rsidRDefault="00AC2C8D" w:rsidP="003833BB">
            <w:pPr>
              <w:pStyle w:val="TableText0"/>
              <w:keepLines/>
              <w:widowControl w:val="0"/>
              <w:jc w:val="center"/>
              <w:rPr>
                <w:b/>
                <w:bCs w:val="0"/>
              </w:rPr>
            </w:pPr>
            <w:r w:rsidRPr="009A3AE9">
              <w:rPr>
                <w:b/>
                <w:bCs w:val="0"/>
              </w:rPr>
              <w:t>[0.42, 0.78]</w:t>
            </w:r>
          </w:p>
        </w:tc>
        <w:tc>
          <w:tcPr>
            <w:tcW w:w="669" w:type="pct"/>
            <w:gridSpan w:val="2"/>
            <w:tcBorders>
              <w:left w:val="single" w:sz="4" w:space="0" w:color="auto"/>
              <w:bottom w:val="single" w:sz="4" w:space="0" w:color="auto"/>
              <w:right w:val="single" w:sz="4" w:space="0" w:color="auto"/>
            </w:tcBorders>
          </w:tcPr>
          <w:p w14:paraId="4C871C85" w14:textId="77777777" w:rsidR="00AC2C8D" w:rsidRPr="009A3AE9" w:rsidRDefault="00AC2C8D" w:rsidP="003833BB">
            <w:pPr>
              <w:pStyle w:val="TableText0"/>
              <w:keepLines/>
              <w:widowControl w:val="0"/>
              <w:jc w:val="center"/>
            </w:pPr>
            <w:r w:rsidRPr="009A3AE9">
              <w:t>14.1</w:t>
            </w:r>
          </w:p>
        </w:tc>
        <w:tc>
          <w:tcPr>
            <w:tcW w:w="637" w:type="pct"/>
            <w:gridSpan w:val="2"/>
            <w:tcBorders>
              <w:left w:val="single" w:sz="4" w:space="0" w:color="auto"/>
              <w:bottom w:val="single" w:sz="4" w:space="0" w:color="auto"/>
              <w:right w:val="single" w:sz="4" w:space="0" w:color="auto"/>
            </w:tcBorders>
          </w:tcPr>
          <w:p w14:paraId="765E070D" w14:textId="77777777" w:rsidR="00AC2C8D" w:rsidRPr="009A3AE9" w:rsidRDefault="00AC2C8D" w:rsidP="003833BB">
            <w:pPr>
              <w:pStyle w:val="TableText0"/>
              <w:keepLines/>
              <w:widowControl w:val="0"/>
              <w:jc w:val="center"/>
            </w:pPr>
            <w:r w:rsidRPr="009A3AE9">
              <w:t>24.5</w:t>
            </w:r>
          </w:p>
        </w:tc>
        <w:tc>
          <w:tcPr>
            <w:tcW w:w="637" w:type="pct"/>
            <w:gridSpan w:val="2"/>
            <w:tcBorders>
              <w:top w:val="single" w:sz="4" w:space="0" w:color="auto"/>
              <w:left w:val="single" w:sz="4" w:space="0" w:color="auto"/>
              <w:bottom w:val="single" w:sz="4" w:space="0" w:color="auto"/>
              <w:right w:val="single" w:sz="4" w:space="0" w:color="auto"/>
            </w:tcBorders>
            <w:shd w:val="clear" w:color="auto" w:fill="auto"/>
          </w:tcPr>
          <w:p w14:paraId="104185DF" w14:textId="77777777" w:rsidR="00AC2C8D" w:rsidRPr="009A3AE9" w:rsidRDefault="00AC2C8D" w:rsidP="003833BB">
            <w:pPr>
              <w:pStyle w:val="TableText0"/>
              <w:keepNext w:val="0"/>
              <w:jc w:val="center"/>
              <w:rPr>
                <w:b/>
                <w:bCs w:val="0"/>
              </w:rPr>
            </w:pPr>
            <w:r w:rsidRPr="009A3AE9">
              <w:rPr>
                <w:b/>
                <w:bCs w:val="0"/>
              </w:rPr>
              <w:t xml:space="preserve">-0.10 </w:t>
            </w:r>
          </w:p>
          <w:p w14:paraId="3CB97123" w14:textId="77777777" w:rsidR="00AC2C8D" w:rsidRPr="009A3AE9" w:rsidRDefault="00AC2C8D" w:rsidP="003833BB">
            <w:pPr>
              <w:pStyle w:val="TableText0"/>
              <w:keepLines/>
              <w:widowControl w:val="0"/>
              <w:jc w:val="center"/>
              <w:rPr>
                <w:b/>
                <w:bCs w:val="0"/>
                <w:szCs w:val="20"/>
              </w:rPr>
            </w:pPr>
            <w:r w:rsidRPr="009A3AE9">
              <w:rPr>
                <w:b/>
                <w:bCs w:val="0"/>
              </w:rPr>
              <w:t>[-0.16, -0.05]</w:t>
            </w:r>
          </w:p>
        </w:tc>
      </w:tr>
      <w:tr w:rsidR="009E2A20" w:rsidRPr="009A3AE9" w14:paraId="07FD1CB9" w14:textId="77777777" w:rsidTr="003833BB">
        <w:trPr>
          <w:trHeight w:val="20"/>
        </w:trPr>
        <w:tc>
          <w:tcPr>
            <w:tcW w:w="1177" w:type="pct"/>
            <w:tcBorders>
              <w:bottom w:val="single" w:sz="4" w:space="0" w:color="auto"/>
              <w:right w:val="single" w:sz="4" w:space="0" w:color="auto"/>
            </w:tcBorders>
            <w:shd w:val="clear" w:color="auto" w:fill="auto"/>
          </w:tcPr>
          <w:p w14:paraId="17EDEE4D" w14:textId="77777777" w:rsidR="00AC2C8D" w:rsidRPr="009A3AE9" w:rsidRDefault="00AC2C8D" w:rsidP="003833BB">
            <w:pPr>
              <w:pStyle w:val="TableText0"/>
              <w:keepLines/>
              <w:widowControl w:val="0"/>
            </w:pPr>
            <w:r w:rsidRPr="009A3AE9">
              <w:t>Anaemia</w:t>
            </w:r>
          </w:p>
        </w:tc>
        <w:tc>
          <w:tcPr>
            <w:tcW w:w="637" w:type="pct"/>
            <w:gridSpan w:val="2"/>
            <w:tcBorders>
              <w:left w:val="single" w:sz="4" w:space="0" w:color="auto"/>
              <w:bottom w:val="single" w:sz="4" w:space="0" w:color="auto"/>
              <w:right w:val="single" w:sz="4" w:space="0" w:color="auto"/>
            </w:tcBorders>
            <w:shd w:val="clear" w:color="auto" w:fill="auto"/>
          </w:tcPr>
          <w:p w14:paraId="1DDBB0E7" w14:textId="77777777" w:rsidR="00AC2C8D" w:rsidRPr="009A3AE9" w:rsidRDefault="00AC2C8D" w:rsidP="003833BB">
            <w:pPr>
              <w:pStyle w:val="TableText0"/>
              <w:keepNext w:val="0"/>
              <w:jc w:val="center"/>
            </w:pPr>
            <w:r w:rsidRPr="009A3AE9">
              <w:t>39</w:t>
            </w:r>
          </w:p>
        </w:tc>
        <w:tc>
          <w:tcPr>
            <w:tcW w:w="637" w:type="pct"/>
            <w:tcBorders>
              <w:left w:val="single" w:sz="4" w:space="0" w:color="auto"/>
              <w:bottom w:val="single" w:sz="4" w:space="0" w:color="auto"/>
              <w:right w:val="single" w:sz="4" w:space="0" w:color="auto"/>
            </w:tcBorders>
            <w:shd w:val="clear" w:color="auto" w:fill="auto"/>
          </w:tcPr>
          <w:p w14:paraId="101E58D9" w14:textId="77777777" w:rsidR="00AC2C8D" w:rsidRPr="009A3AE9" w:rsidRDefault="00AC2C8D" w:rsidP="003833BB">
            <w:pPr>
              <w:pStyle w:val="TableText0"/>
              <w:keepNext w:val="0"/>
              <w:jc w:val="center"/>
            </w:pPr>
            <w:r w:rsidRPr="009A3AE9">
              <w:t>66</w:t>
            </w:r>
          </w:p>
        </w:tc>
        <w:tc>
          <w:tcPr>
            <w:tcW w:w="606" w:type="pct"/>
            <w:gridSpan w:val="2"/>
            <w:tcBorders>
              <w:left w:val="single" w:sz="4" w:space="0" w:color="auto"/>
              <w:bottom w:val="single" w:sz="4" w:space="0" w:color="auto"/>
              <w:right w:val="single" w:sz="4" w:space="0" w:color="auto"/>
            </w:tcBorders>
          </w:tcPr>
          <w:p w14:paraId="774348E2" w14:textId="77777777" w:rsidR="00AC2C8D" w:rsidRPr="009A3AE9" w:rsidRDefault="00AC2C8D" w:rsidP="003833BB">
            <w:pPr>
              <w:pStyle w:val="TableText0"/>
              <w:keepNext w:val="0"/>
              <w:jc w:val="center"/>
              <w:rPr>
                <w:b/>
                <w:bCs w:val="0"/>
              </w:rPr>
            </w:pPr>
            <w:r w:rsidRPr="009A3AE9">
              <w:rPr>
                <w:b/>
                <w:bCs w:val="0"/>
              </w:rPr>
              <w:t>0.61</w:t>
            </w:r>
          </w:p>
          <w:p w14:paraId="6B4FEDF3" w14:textId="77777777" w:rsidR="00AC2C8D" w:rsidRPr="009A3AE9" w:rsidRDefault="00AC2C8D" w:rsidP="003833BB">
            <w:pPr>
              <w:pStyle w:val="TableText0"/>
              <w:keepLines/>
              <w:widowControl w:val="0"/>
              <w:jc w:val="center"/>
              <w:rPr>
                <w:b/>
                <w:bCs w:val="0"/>
              </w:rPr>
            </w:pPr>
            <w:r w:rsidRPr="009A3AE9">
              <w:rPr>
                <w:b/>
                <w:bCs w:val="0"/>
              </w:rPr>
              <w:t>[0.42, 0.88]</w:t>
            </w:r>
          </w:p>
        </w:tc>
        <w:tc>
          <w:tcPr>
            <w:tcW w:w="669" w:type="pct"/>
            <w:gridSpan w:val="2"/>
            <w:tcBorders>
              <w:left w:val="single" w:sz="4" w:space="0" w:color="auto"/>
              <w:bottom w:val="single" w:sz="4" w:space="0" w:color="auto"/>
              <w:right w:val="single" w:sz="4" w:space="0" w:color="auto"/>
            </w:tcBorders>
          </w:tcPr>
          <w:p w14:paraId="74687A30" w14:textId="77777777" w:rsidR="00AC2C8D" w:rsidRPr="009A3AE9" w:rsidRDefault="00AC2C8D" w:rsidP="003833BB">
            <w:pPr>
              <w:pStyle w:val="TableText0"/>
              <w:keepLines/>
              <w:widowControl w:val="0"/>
              <w:jc w:val="center"/>
            </w:pPr>
            <w:r w:rsidRPr="009A3AE9">
              <w:t>10.5</w:t>
            </w:r>
          </w:p>
        </w:tc>
        <w:tc>
          <w:tcPr>
            <w:tcW w:w="637" w:type="pct"/>
            <w:gridSpan w:val="2"/>
            <w:tcBorders>
              <w:left w:val="single" w:sz="4" w:space="0" w:color="auto"/>
              <w:bottom w:val="single" w:sz="4" w:space="0" w:color="auto"/>
              <w:right w:val="single" w:sz="4" w:space="0" w:color="auto"/>
            </w:tcBorders>
          </w:tcPr>
          <w:p w14:paraId="67246777" w14:textId="77777777" w:rsidR="00AC2C8D" w:rsidRPr="009A3AE9" w:rsidRDefault="00AC2C8D" w:rsidP="003833BB">
            <w:pPr>
              <w:pStyle w:val="TableText0"/>
              <w:keepLines/>
              <w:widowControl w:val="0"/>
              <w:jc w:val="center"/>
            </w:pPr>
            <w:r w:rsidRPr="009A3AE9">
              <w:t>17.4</w:t>
            </w:r>
          </w:p>
        </w:tc>
        <w:tc>
          <w:tcPr>
            <w:tcW w:w="637" w:type="pct"/>
            <w:gridSpan w:val="2"/>
            <w:tcBorders>
              <w:top w:val="single" w:sz="4" w:space="0" w:color="auto"/>
              <w:left w:val="single" w:sz="4" w:space="0" w:color="auto"/>
              <w:bottom w:val="single" w:sz="4" w:space="0" w:color="auto"/>
              <w:right w:val="single" w:sz="4" w:space="0" w:color="auto"/>
            </w:tcBorders>
            <w:shd w:val="clear" w:color="auto" w:fill="auto"/>
          </w:tcPr>
          <w:p w14:paraId="7AA22CF3" w14:textId="77777777" w:rsidR="00AC2C8D" w:rsidRPr="009A3AE9" w:rsidRDefault="00AC2C8D" w:rsidP="003833BB">
            <w:pPr>
              <w:pStyle w:val="TableText0"/>
              <w:keepNext w:val="0"/>
              <w:jc w:val="center"/>
              <w:rPr>
                <w:b/>
                <w:bCs w:val="0"/>
              </w:rPr>
            </w:pPr>
            <w:r w:rsidRPr="009A3AE9">
              <w:rPr>
                <w:b/>
                <w:bCs w:val="0"/>
              </w:rPr>
              <w:t xml:space="preserve">-0.07 </w:t>
            </w:r>
          </w:p>
          <w:p w14:paraId="3AA3559F" w14:textId="77777777" w:rsidR="00AC2C8D" w:rsidRPr="009A3AE9" w:rsidRDefault="00AC2C8D" w:rsidP="003833BB">
            <w:pPr>
              <w:pStyle w:val="TableText0"/>
              <w:keepLines/>
              <w:widowControl w:val="0"/>
              <w:jc w:val="center"/>
              <w:rPr>
                <w:b/>
                <w:bCs w:val="0"/>
                <w:szCs w:val="20"/>
              </w:rPr>
            </w:pPr>
            <w:r w:rsidRPr="009A3AE9">
              <w:rPr>
                <w:b/>
                <w:bCs w:val="0"/>
              </w:rPr>
              <w:t>[-0.12, -0.02]</w:t>
            </w:r>
          </w:p>
        </w:tc>
      </w:tr>
      <w:tr w:rsidR="009E2A20" w:rsidRPr="009A3AE9" w14:paraId="7EA16425" w14:textId="77777777" w:rsidTr="003833BB">
        <w:trPr>
          <w:trHeight w:val="20"/>
        </w:trPr>
        <w:tc>
          <w:tcPr>
            <w:tcW w:w="1177" w:type="pct"/>
            <w:tcBorders>
              <w:bottom w:val="single" w:sz="4" w:space="0" w:color="auto"/>
              <w:right w:val="single" w:sz="4" w:space="0" w:color="auto"/>
            </w:tcBorders>
            <w:shd w:val="clear" w:color="auto" w:fill="auto"/>
          </w:tcPr>
          <w:p w14:paraId="50EBB19F" w14:textId="77777777" w:rsidR="00AC2C8D" w:rsidRPr="009A3AE9" w:rsidRDefault="00AC2C8D" w:rsidP="003833BB">
            <w:pPr>
              <w:pStyle w:val="TableText0"/>
              <w:keepLines/>
              <w:widowControl w:val="0"/>
            </w:pPr>
            <w:r w:rsidRPr="009A3AE9">
              <w:t>Thrombocytopenia</w:t>
            </w:r>
          </w:p>
        </w:tc>
        <w:tc>
          <w:tcPr>
            <w:tcW w:w="637" w:type="pct"/>
            <w:gridSpan w:val="2"/>
            <w:tcBorders>
              <w:left w:val="single" w:sz="4" w:space="0" w:color="auto"/>
              <w:bottom w:val="single" w:sz="4" w:space="0" w:color="auto"/>
              <w:right w:val="single" w:sz="4" w:space="0" w:color="auto"/>
            </w:tcBorders>
            <w:shd w:val="clear" w:color="auto" w:fill="auto"/>
          </w:tcPr>
          <w:p w14:paraId="7D0A03BD" w14:textId="77777777" w:rsidR="00AC2C8D" w:rsidRPr="009A3AE9" w:rsidRDefault="00AC2C8D" w:rsidP="003833BB">
            <w:pPr>
              <w:pStyle w:val="TableText0"/>
              <w:keepNext w:val="0"/>
              <w:jc w:val="center"/>
            </w:pPr>
            <w:r w:rsidRPr="009A3AE9">
              <w:t>3</w:t>
            </w:r>
          </w:p>
        </w:tc>
        <w:tc>
          <w:tcPr>
            <w:tcW w:w="637" w:type="pct"/>
            <w:tcBorders>
              <w:left w:val="single" w:sz="4" w:space="0" w:color="auto"/>
              <w:bottom w:val="single" w:sz="4" w:space="0" w:color="auto"/>
              <w:right w:val="single" w:sz="4" w:space="0" w:color="auto"/>
            </w:tcBorders>
            <w:shd w:val="clear" w:color="auto" w:fill="auto"/>
          </w:tcPr>
          <w:p w14:paraId="043E67D8" w14:textId="77777777" w:rsidR="00AC2C8D" w:rsidRPr="009A3AE9" w:rsidRDefault="00AC2C8D" w:rsidP="003833BB">
            <w:pPr>
              <w:pStyle w:val="TableText0"/>
              <w:keepNext w:val="0"/>
              <w:jc w:val="center"/>
            </w:pPr>
            <w:r w:rsidRPr="009A3AE9">
              <w:t>14</w:t>
            </w:r>
          </w:p>
        </w:tc>
        <w:tc>
          <w:tcPr>
            <w:tcW w:w="606" w:type="pct"/>
            <w:gridSpan w:val="2"/>
            <w:tcBorders>
              <w:left w:val="single" w:sz="4" w:space="0" w:color="auto"/>
              <w:bottom w:val="single" w:sz="4" w:space="0" w:color="auto"/>
              <w:right w:val="single" w:sz="4" w:space="0" w:color="auto"/>
            </w:tcBorders>
          </w:tcPr>
          <w:p w14:paraId="69227872" w14:textId="77777777" w:rsidR="00AC2C8D" w:rsidRPr="009A3AE9" w:rsidRDefault="00AC2C8D" w:rsidP="003833BB">
            <w:pPr>
              <w:pStyle w:val="TableText0"/>
              <w:keepNext w:val="0"/>
              <w:jc w:val="center"/>
              <w:rPr>
                <w:b/>
                <w:bCs w:val="0"/>
              </w:rPr>
            </w:pPr>
            <w:r w:rsidRPr="009A3AE9">
              <w:rPr>
                <w:b/>
                <w:bCs w:val="0"/>
              </w:rPr>
              <w:t>0.22</w:t>
            </w:r>
          </w:p>
          <w:p w14:paraId="6A73A958" w14:textId="77777777" w:rsidR="00AC2C8D" w:rsidRPr="009A3AE9" w:rsidRDefault="00AC2C8D" w:rsidP="003833BB">
            <w:pPr>
              <w:pStyle w:val="TableText0"/>
              <w:keepLines/>
              <w:widowControl w:val="0"/>
              <w:jc w:val="center"/>
              <w:rPr>
                <w:b/>
                <w:bCs w:val="0"/>
              </w:rPr>
            </w:pPr>
            <w:r w:rsidRPr="009A3AE9">
              <w:rPr>
                <w:b/>
                <w:bCs w:val="0"/>
              </w:rPr>
              <w:t>[0.06, 0.76]</w:t>
            </w:r>
          </w:p>
        </w:tc>
        <w:tc>
          <w:tcPr>
            <w:tcW w:w="669" w:type="pct"/>
            <w:gridSpan w:val="2"/>
            <w:tcBorders>
              <w:left w:val="single" w:sz="4" w:space="0" w:color="auto"/>
              <w:bottom w:val="single" w:sz="4" w:space="0" w:color="auto"/>
              <w:right w:val="single" w:sz="4" w:space="0" w:color="auto"/>
            </w:tcBorders>
          </w:tcPr>
          <w:p w14:paraId="72347F70" w14:textId="77777777" w:rsidR="00AC2C8D" w:rsidRPr="009A3AE9" w:rsidRDefault="00AC2C8D" w:rsidP="003833BB">
            <w:pPr>
              <w:pStyle w:val="TableText0"/>
              <w:keepLines/>
              <w:widowControl w:val="0"/>
              <w:jc w:val="center"/>
            </w:pPr>
            <w:r w:rsidRPr="009A3AE9">
              <w:t>0.8</w:t>
            </w:r>
          </w:p>
        </w:tc>
        <w:tc>
          <w:tcPr>
            <w:tcW w:w="637" w:type="pct"/>
            <w:gridSpan w:val="2"/>
            <w:tcBorders>
              <w:left w:val="single" w:sz="4" w:space="0" w:color="auto"/>
              <w:bottom w:val="single" w:sz="4" w:space="0" w:color="auto"/>
              <w:right w:val="single" w:sz="4" w:space="0" w:color="auto"/>
            </w:tcBorders>
          </w:tcPr>
          <w:p w14:paraId="6309F029" w14:textId="77777777" w:rsidR="00AC2C8D" w:rsidRPr="009A3AE9" w:rsidRDefault="00AC2C8D" w:rsidP="003833BB">
            <w:pPr>
              <w:pStyle w:val="TableText0"/>
              <w:keepLines/>
              <w:widowControl w:val="0"/>
              <w:jc w:val="center"/>
            </w:pPr>
            <w:r w:rsidRPr="009A3AE9">
              <w:t>3.7</w:t>
            </w:r>
          </w:p>
        </w:tc>
        <w:tc>
          <w:tcPr>
            <w:tcW w:w="637" w:type="pct"/>
            <w:gridSpan w:val="2"/>
            <w:tcBorders>
              <w:top w:val="single" w:sz="4" w:space="0" w:color="auto"/>
              <w:left w:val="single" w:sz="4" w:space="0" w:color="auto"/>
              <w:bottom w:val="single" w:sz="4" w:space="0" w:color="auto"/>
              <w:right w:val="single" w:sz="4" w:space="0" w:color="auto"/>
            </w:tcBorders>
            <w:shd w:val="clear" w:color="auto" w:fill="auto"/>
          </w:tcPr>
          <w:p w14:paraId="0F4F3422" w14:textId="77777777" w:rsidR="00AC2C8D" w:rsidRPr="009A3AE9" w:rsidRDefault="00AC2C8D" w:rsidP="003833BB">
            <w:pPr>
              <w:pStyle w:val="TableText0"/>
              <w:keepNext w:val="0"/>
              <w:jc w:val="center"/>
              <w:rPr>
                <w:b/>
                <w:bCs w:val="0"/>
              </w:rPr>
            </w:pPr>
            <w:r w:rsidRPr="009A3AE9">
              <w:rPr>
                <w:b/>
                <w:bCs w:val="0"/>
              </w:rPr>
              <w:t xml:space="preserve">-0.03 </w:t>
            </w:r>
          </w:p>
          <w:p w14:paraId="6C8FAAA8" w14:textId="77777777" w:rsidR="00AC2C8D" w:rsidRPr="009A3AE9" w:rsidRDefault="00AC2C8D" w:rsidP="003833BB">
            <w:pPr>
              <w:pStyle w:val="TableText0"/>
              <w:keepLines/>
              <w:widowControl w:val="0"/>
              <w:jc w:val="center"/>
              <w:rPr>
                <w:b/>
                <w:bCs w:val="0"/>
                <w:szCs w:val="20"/>
              </w:rPr>
            </w:pPr>
            <w:r w:rsidRPr="009A3AE9">
              <w:rPr>
                <w:b/>
                <w:bCs w:val="0"/>
              </w:rPr>
              <w:t>[-0.05, -0.01]</w:t>
            </w:r>
          </w:p>
        </w:tc>
      </w:tr>
      <w:tr w:rsidR="009E2A20" w:rsidRPr="009A3AE9" w14:paraId="48A94FA6" w14:textId="77777777" w:rsidTr="003833BB">
        <w:trPr>
          <w:trHeight w:val="20"/>
        </w:trPr>
        <w:tc>
          <w:tcPr>
            <w:tcW w:w="1177" w:type="pct"/>
            <w:tcBorders>
              <w:bottom w:val="single" w:sz="4" w:space="0" w:color="auto"/>
              <w:right w:val="single" w:sz="4" w:space="0" w:color="auto"/>
            </w:tcBorders>
            <w:shd w:val="clear" w:color="auto" w:fill="auto"/>
          </w:tcPr>
          <w:p w14:paraId="41A693F2" w14:textId="77777777" w:rsidR="00AC2C8D" w:rsidRPr="009A3AE9" w:rsidRDefault="00AC2C8D" w:rsidP="003833BB">
            <w:pPr>
              <w:pStyle w:val="TableText0"/>
              <w:keepLines/>
              <w:widowControl w:val="0"/>
            </w:pPr>
            <w:r w:rsidRPr="009A3AE9">
              <w:t>Leukopenia</w:t>
            </w:r>
          </w:p>
        </w:tc>
        <w:tc>
          <w:tcPr>
            <w:tcW w:w="637" w:type="pct"/>
            <w:gridSpan w:val="2"/>
            <w:tcBorders>
              <w:left w:val="single" w:sz="4" w:space="0" w:color="auto"/>
              <w:bottom w:val="single" w:sz="4" w:space="0" w:color="auto"/>
              <w:right w:val="single" w:sz="4" w:space="0" w:color="auto"/>
            </w:tcBorders>
            <w:shd w:val="clear" w:color="auto" w:fill="auto"/>
          </w:tcPr>
          <w:p w14:paraId="2E868C9F" w14:textId="77777777" w:rsidR="00AC2C8D" w:rsidRPr="009A3AE9" w:rsidRDefault="00AC2C8D" w:rsidP="003833BB">
            <w:pPr>
              <w:pStyle w:val="TableText0"/>
              <w:keepNext w:val="0"/>
              <w:jc w:val="center"/>
            </w:pPr>
            <w:r w:rsidRPr="009A3AE9">
              <w:t>4</w:t>
            </w:r>
          </w:p>
        </w:tc>
        <w:tc>
          <w:tcPr>
            <w:tcW w:w="637" w:type="pct"/>
            <w:tcBorders>
              <w:left w:val="single" w:sz="4" w:space="0" w:color="auto"/>
              <w:bottom w:val="single" w:sz="4" w:space="0" w:color="auto"/>
              <w:right w:val="single" w:sz="4" w:space="0" w:color="auto"/>
            </w:tcBorders>
            <w:shd w:val="clear" w:color="auto" w:fill="auto"/>
          </w:tcPr>
          <w:p w14:paraId="7ACD8434" w14:textId="77777777" w:rsidR="00AC2C8D" w:rsidRPr="009A3AE9" w:rsidRDefault="00AC2C8D" w:rsidP="003833BB">
            <w:pPr>
              <w:pStyle w:val="TableText0"/>
              <w:keepNext w:val="0"/>
              <w:jc w:val="center"/>
            </w:pPr>
            <w:r w:rsidRPr="009A3AE9">
              <w:t>17</w:t>
            </w:r>
          </w:p>
        </w:tc>
        <w:tc>
          <w:tcPr>
            <w:tcW w:w="606" w:type="pct"/>
            <w:gridSpan w:val="2"/>
            <w:tcBorders>
              <w:left w:val="single" w:sz="4" w:space="0" w:color="auto"/>
              <w:bottom w:val="single" w:sz="4" w:space="0" w:color="auto"/>
              <w:right w:val="single" w:sz="4" w:space="0" w:color="auto"/>
            </w:tcBorders>
          </w:tcPr>
          <w:p w14:paraId="3955B3EE" w14:textId="77777777" w:rsidR="00AC2C8D" w:rsidRPr="009A3AE9" w:rsidRDefault="00AC2C8D" w:rsidP="003833BB">
            <w:pPr>
              <w:pStyle w:val="TableText0"/>
              <w:keepNext w:val="0"/>
              <w:jc w:val="center"/>
              <w:rPr>
                <w:b/>
                <w:bCs w:val="0"/>
              </w:rPr>
            </w:pPr>
            <w:r w:rsidRPr="009A3AE9">
              <w:rPr>
                <w:b/>
                <w:bCs w:val="0"/>
              </w:rPr>
              <w:t>0.24</w:t>
            </w:r>
          </w:p>
          <w:p w14:paraId="27E480D0" w14:textId="77777777" w:rsidR="00AC2C8D" w:rsidRPr="009A3AE9" w:rsidRDefault="00AC2C8D" w:rsidP="003833BB">
            <w:pPr>
              <w:pStyle w:val="TableText0"/>
              <w:keepLines/>
              <w:widowControl w:val="0"/>
              <w:jc w:val="center"/>
              <w:rPr>
                <w:b/>
                <w:bCs w:val="0"/>
              </w:rPr>
            </w:pPr>
            <w:r w:rsidRPr="009A3AE9">
              <w:rPr>
                <w:b/>
                <w:bCs w:val="0"/>
              </w:rPr>
              <w:t>[0.08, 0.71]</w:t>
            </w:r>
          </w:p>
        </w:tc>
        <w:tc>
          <w:tcPr>
            <w:tcW w:w="669" w:type="pct"/>
            <w:gridSpan w:val="2"/>
            <w:tcBorders>
              <w:left w:val="single" w:sz="4" w:space="0" w:color="auto"/>
              <w:bottom w:val="single" w:sz="4" w:space="0" w:color="auto"/>
              <w:right w:val="single" w:sz="4" w:space="0" w:color="auto"/>
            </w:tcBorders>
          </w:tcPr>
          <w:p w14:paraId="042E6CC1" w14:textId="77777777" w:rsidR="00AC2C8D" w:rsidRPr="009A3AE9" w:rsidRDefault="00AC2C8D" w:rsidP="003833BB">
            <w:pPr>
              <w:pStyle w:val="TableText0"/>
              <w:keepLines/>
              <w:widowControl w:val="0"/>
              <w:jc w:val="center"/>
            </w:pPr>
            <w:r w:rsidRPr="009A3AE9">
              <w:t>1.1</w:t>
            </w:r>
          </w:p>
        </w:tc>
        <w:tc>
          <w:tcPr>
            <w:tcW w:w="637" w:type="pct"/>
            <w:gridSpan w:val="2"/>
            <w:tcBorders>
              <w:left w:val="single" w:sz="4" w:space="0" w:color="auto"/>
              <w:bottom w:val="single" w:sz="4" w:space="0" w:color="auto"/>
              <w:right w:val="single" w:sz="4" w:space="0" w:color="auto"/>
            </w:tcBorders>
          </w:tcPr>
          <w:p w14:paraId="040EDCA4" w14:textId="77777777" w:rsidR="00AC2C8D" w:rsidRPr="009A3AE9" w:rsidRDefault="00AC2C8D" w:rsidP="003833BB">
            <w:pPr>
              <w:pStyle w:val="TableText0"/>
              <w:keepLines/>
              <w:widowControl w:val="0"/>
              <w:jc w:val="center"/>
            </w:pPr>
            <w:r w:rsidRPr="009A3AE9">
              <w:t>4.5</w:t>
            </w:r>
          </w:p>
        </w:tc>
        <w:tc>
          <w:tcPr>
            <w:tcW w:w="637" w:type="pct"/>
            <w:gridSpan w:val="2"/>
            <w:tcBorders>
              <w:top w:val="single" w:sz="4" w:space="0" w:color="auto"/>
              <w:left w:val="single" w:sz="4" w:space="0" w:color="auto"/>
              <w:bottom w:val="single" w:sz="4" w:space="0" w:color="auto"/>
              <w:right w:val="single" w:sz="4" w:space="0" w:color="auto"/>
            </w:tcBorders>
            <w:shd w:val="clear" w:color="auto" w:fill="auto"/>
          </w:tcPr>
          <w:p w14:paraId="49333FB7" w14:textId="77777777" w:rsidR="00AC2C8D" w:rsidRPr="009A3AE9" w:rsidRDefault="00AC2C8D" w:rsidP="003833BB">
            <w:pPr>
              <w:pStyle w:val="TableText0"/>
              <w:keepNext w:val="0"/>
              <w:jc w:val="center"/>
              <w:rPr>
                <w:b/>
                <w:bCs w:val="0"/>
              </w:rPr>
            </w:pPr>
            <w:r w:rsidRPr="009A3AE9">
              <w:rPr>
                <w:b/>
                <w:bCs w:val="0"/>
              </w:rPr>
              <w:t xml:space="preserve">-0.03 </w:t>
            </w:r>
          </w:p>
          <w:p w14:paraId="4E203BE7" w14:textId="77777777" w:rsidR="00AC2C8D" w:rsidRPr="009A3AE9" w:rsidRDefault="00AC2C8D" w:rsidP="003833BB">
            <w:pPr>
              <w:pStyle w:val="TableText0"/>
              <w:keepLines/>
              <w:widowControl w:val="0"/>
              <w:jc w:val="center"/>
              <w:rPr>
                <w:b/>
                <w:bCs w:val="0"/>
                <w:szCs w:val="20"/>
              </w:rPr>
            </w:pPr>
            <w:r w:rsidRPr="009A3AE9">
              <w:rPr>
                <w:b/>
                <w:bCs w:val="0"/>
              </w:rPr>
              <w:t>[-0.06, -0.01]</w:t>
            </w:r>
          </w:p>
        </w:tc>
      </w:tr>
      <w:tr w:rsidR="009E2A20" w:rsidRPr="00456281" w14:paraId="42B48CB5" w14:textId="77777777" w:rsidTr="00AC2C8D">
        <w:trPr>
          <w:trHeight w:val="20"/>
        </w:trPr>
        <w:tc>
          <w:tcPr>
            <w:tcW w:w="1177" w:type="pct"/>
            <w:tcBorders>
              <w:right w:val="single" w:sz="4" w:space="0" w:color="auto"/>
            </w:tcBorders>
            <w:shd w:val="clear" w:color="auto" w:fill="auto"/>
          </w:tcPr>
          <w:p w14:paraId="462F50AC" w14:textId="74CB91E3" w:rsidR="00AC2C8D" w:rsidRPr="009A3AE9" w:rsidRDefault="00AC2C8D" w:rsidP="00AC2C8D">
            <w:pPr>
              <w:pStyle w:val="TableText0"/>
              <w:keepLines/>
              <w:widowControl w:val="0"/>
            </w:pPr>
            <w:r w:rsidRPr="009A3AE9">
              <w:t>White blood cell decreased</w:t>
            </w:r>
          </w:p>
        </w:tc>
        <w:tc>
          <w:tcPr>
            <w:tcW w:w="637" w:type="pct"/>
            <w:gridSpan w:val="2"/>
            <w:tcBorders>
              <w:left w:val="single" w:sz="4" w:space="0" w:color="auto"/>
              <w:right w:val="single" w:sz="4" w:space="0" w:color="auto"/>
            </w:tcBorders>
            <w:shd w:val="clear" w:color="auto" w:fill="auto"/>
          </w:tcPr>
          <w:p w14:paraId="2036B472" w14:textId="2C7BF91D" w:rsidR="00AC2C8D" w:rsidRPr="009A3AE9" w:rsidRDefault="00AC2C8D" w:rsidP="00AC2C8D">
            <w:pPr>
              <w:pStyle w:val="TableText0"/>
              <w:keepNext w:val="0"/>
              <w:jc w:val="center"/>
            </w:pPr>
            <w:r w:rsidRPr="009A3AE9">
              <w:t>6</w:t>
            </w:r>
          </w:p>
        </w:tc>
        <w:tc>
          <w:tcPr>
            <w:tcW w:w="637" w:type="pct"/>
            <w:tcBorders>
              <w:left w:val="single" w:sz="4" w:space="0" w:color="auto"/>
              <w:right w:val="single" w:sz="4" w:space="0" w:color="auto"/>
            </w:tcBorders>
            <w:shd w:val="clear" w:color="auto" w:fill="auto"/>
          </w:tcPr>
          <w:p w14:paraId="6DB54AB5" w14:textId="1752B65C" w:rsidR="00AC2C8D" w:rsidRPr="009A3AE9" w:rsidRDefault="00AC2C8D" w:rsidP="00AC2C8D">
            <w:pPr>
              <w:pStyle w:val="TableText0"/>
              <w:keepNext w:val="0"/>
              <w:jc w:val="center"/>
            </w:pPr>
            <w:r w:rsidRPr="009A3AE9">
              <w:t>18</w:t>
            </w:r>
          </w:p>
        </w:tc>
        <w:tc>
          <w:tcPr>
            <w:tcW w:w="606" w:type="pct"/>
            <w:gridSpan w:val="2"/>
            <w:tcBorders>
              <w:left w:val="single" w:sz="4" w:space="0" w:color="auto"/>
              <w:right w:val="single" w:sz="4" w:space="0" w:color="auto"/>
            </w:tcBorders>
          </w:tcPr>
          <w:p w14:paraId="049309E7" w14:textId="738A45A9" w:rsidR="00AC2C8D" w:rsidRPr="009A3AE9" w:rsidRDefault="00AC2C8D" w:rsidP="00AC2C8D">
            <w:pPr>
              <w:pStyle w:val="TableText0"/>
              <w:keepNext w:val="0"/>
              <w:jc w:val="center"/>
              <w:rPr>
                <w:b/>
                <w:bCs w:val="0"/>
              </w:rPr>
            </w:pPr>
            <w:r w:rsidRPr="009A3AE9">
              <w:rPr>
                <w:b/>
                <w:bCs w:val="0"/>
              </w:rPr>
              <w:t>0.34</w:t>
            </w:r>
          </w:p>
          <w:p w14:paraId="6119824C" w14:textId="17EFA77B" w:rsidR="00AC2C8D" w:rsidRPr="009A3AE9" w:rsidRDefault="00AC2C8D" w:rsidP="00AC2C8D">
            <w:pPr>
              <w:pStyle w:val="TableText0"/>
              <w:keepLines/>
              <w:widowControl w:val="0"/>
              <w:jc w:val="center"/>
              <w:rPr>
                <w:b/>
                <w:bCs w:val="0"/>
              </w:rPr>
            </w:pPr>
            <w:r w:rsidRPr="009A3AE9">
              <w:rPr>
                <w:b/>
                <w:bCs w:val="0"/>
              </w:rPr>
              <w:t>[0.14, 0.85]</w:t>
            </w:r>
          </w:p>
        </w:tc>
        <w:tc>
          <w:tcPr>
            <w:tcW w:w="669" w:type="pct"/>
            <w:gridSpan w:val="2"/>
            <w:tcBorders>
              <w:left w:val="single" w:sz="4" w:space="0" w:color="auto"/>
              <w:right w:val="single" w:sz="4" w:space="0" w:color="auto"/>
            </w:tcBorders>
          </w:tcPr>
          <w:p w14:paraId="11B57AB6" w14:textId="3ADA5A3E" w:rsidR="00AC2C8D" w:rsidRPr="009A3AE9" w:rsidRDefault="00AC2C8D" w:rsidP="00AC2C8D">
            <w:pPr>
              <w:pStyle w:val="TableText0"/>
              <w:keepLines/>
              <w:widowControl w:val="0"/>
              <w:jc w:val="center"/>
            </w:pPr>
            <w:r w:rsidRPr="009A3AE9">
              <w:t>1.6</w:t>
            </w:r>
          </w:p>
        </w:tc>
        <w:tc>
          <w:tcPr>
            <w:tcW w:w="637" w:type="pct"/>
            <w:gridSpan w:val="2"/>
            <w:tcBorders>
              <w:left w:val="single" w:sz="4" w:space="0" w:color="auto"/>
              <w:right w:val="single" w:sz="4" w:space="0" w:color="auto"/>
            </w:tcBorders>
          </w:tcPr>
          <w:p w14:paraId="766677F0" w14:textId="6379FFF3" w:rsidR="00AC2C8D" w:rsidRPr="009A3AE9" w:rsidRDefault="00AC2C8D" w:rsidP="00AC2C8D">
            <w:pPr>
              <w:pStyle w:val="TableText0"/>
              <w:keepLines/>
              <w:widowControl w:val="0"/>
              <w:jc w:val="center"/>
            </w:pPr>
            <w:r w:rsidRPr="009A3AE9">
              <w:t>4.8</w:t>
            </w:r>
          </w:p>
        </w:tc>
        <w:tc>
          <w:tcPr>
            <w:tcW w:w="637" w:type="pct"/>
            <w:gridSpan w:val="2"/>
            <w:tcBorders>
              <w:top w:val="single" w:sz="4" w:space="0" w:color="auto"/>
              <w:left w:val="single" w:sz="4" w:space="0" w:color="auto"/>
              <w:bottom w:val="single" w:sz="4" w:space="0" w:color="auto"/>
              <w:right w:val="single" w:sz="4" w:space="0" w:color="auto"/>
            </w:tcBorders>
            <w:shd w:val="clear" w:color="auto" w:fill="auto"/>
          </w:tcPr>
          <w:p w14:paraId="716A7189" w14:textId="77777777" w:rsidR="00AC2C8D" w:rsidRPr="009A3AE9" w:rsidRDefault="00AC2C8D" w:rsidP="00AC2C8D">
            <w:pPr>
              <w:pStyle w:val="TableText0"/>
              <w:keepNext w:val="0"/>
              <w:jc w:val="center"/>
              <w:rPr>
                <w:b/>
                <w:bCs w:val="0"/>
              </w:rPr>
            </w:pPr>
            <w:r w:rsidRPr="009A3AE9">
              <w:rPr>
                <w:b/>
                <w:bCs w:val="0"/>
              </w:rPr>
              <w:t xml:space="preserve">-0.03 </w:t>
            </w:r>
          </w:p>
          <w:p w14:paraId="1ECDC060" w14:textId="1B928F92" w:rsidR="00AC2C8D" w:rsidRPr="00456281" w:rsidRDefault="00AC2C8D" w:rsidP="00AC2C8D">
            <w:pPr>
              <w:pStyle w:val="TableText0"/>
              <w:keepLines/>
              <w:widowControl w:val="0"/>
              <w:jc w:val="center"/>
              <w:rPr>
                <w:b/>
                <w:bCs w:val="0"/>
                <w:szCs w:val="20"/>
              </w:rPr>
            </w:pPr>
            <w:r w:rsidRPr="009A3AE9">
              <w:rPr>
                <w:b/>
                <w:bCs w:val="0"/>
              </w:rPr>
              <w:t>[-0.06, -0.01]</w:t>
            </w:r>
          </w:p>
        </w:tc>
      </w:tr>
    </w:tbl>
    <w:p w14:paraId="3FF90378" w14:textId="669A7AD7" w:rsidR="00016609" w:rsidRPr="00456281" w:rsidRDefault="00016609" w:rsidP="00016609">
      <w:pPr>
        <w:pStyle w:val="FooterTableFigure"/>
      </w:pPr>
      <w:r w:rsidRPr="00456281">
        <w:t>Source: Table 30 and Table 31</w:t>
      </w:r>
      <w:bookmarkEnd w:id="94"/>
      <w:r w:rsidRPr="00456281">
        <w:t xml:space="preserve">, p66-68 </w:t>
      </w:r>
      <w:r w:rsidR="00AC2C8D" w:rsidRPr="00456281">
        <w:t xml:space="preserve">and Table 35, p81-82 </w:t>
      </w:r>
      <w:r w:rsidRPr="00456281">
        <w:t>of submission.</w:t>
      </w:r>
    </w:p>
    <w:p w14:paraId="4F06E35E" w14:textId="39982F93" w:rsidR="00016609" w:rsidRPr="00456281" w:rsidRDefault="00016609" w:rsidP="00016609">
      <w:pPr>
        <w:pStyle w:val="FooterTableFigure"/>
      </w:pPr>
      <w:r w:rsidRPr="00456281">
        <w:t xml:space="preserve">Abbreviations: CI, confidence interval; Gem+NabP, gemcitabine plus nanoparticle </w:t>
      </w:r>
      <w:r w:rsidR="00D83C9B" w:rsidRPr="00456281">
        <w:t>albumin-bound</w:t>
      </w:r>
      <w:r w:rsidRPr="00456281">
        <w:t xml:space="preserve"> paclitaxel; HR, hazard ratio; NALIRIFOX, 5-fluorouracil, Leucovorin/folinic acid, nanoliposomal irinotecan (nal-IRI), and oxaliplatin; OS, overall survival; PFS, progression free survival</w:t>
      </w:r>
      <w:r w:rsidR="008B47BA" w:rsidRPr="00456281">
        <w:t>; RD, risk difference; RR, risk ratio.</w:t>
      </w:r>
    </w:p>
    <w:p w14:paraId="564D5FA5" w14:textId="4CC1548F" w:rsidR="00016609" w:rsidRPr="00456281" w:rsidRDefault="005C476E" w:rsidP="00016609">
      <w:pPr>
        <w:pStyle w:val="FooterTableFigure"/>
      </w:pPr>
      <w:r w:rsidRPr="00456281">
        <w:rPr>
          <w:vertAlign w:val="superscript"/>
        </w:rPr>
        <w:lastRenderedPageBreak/>
        <w:t>a</w:t>
      </w:r>
      <w:r w:rsidR="00016609" w:rsidRPr="00456281">
        <w:t xml:space="preserve"> Hazar</w:t>
      </w:r>
      <w:r w:rsidRPr="00456281">
        <w:t>d</w:t>
      </w:r>
      <w:r w:rsidR="00016609" w:rsidRPr="00456281">
        <w:t xml:space="preserve"> ratio and 95% CI stratified by ECOG performance status (0/1), region (North America/East Asia/Rest of the world), and liver metastases (Yes/No). A hazard ratio &lt;1 indicates an advantage for NALIRIFOX.</w:t>
      </w:r>
    </w:p>
    <w:p w14:paraId="61F7D706" w14:textId="0AE75AB1" w:rsidR="00D078D5" w:rsidRPr="00456281" w:rsidRDefault="00A13F4C" w:rsidP="00A13F4C">
      <w:pPr>
        <w:pStyle w:val="FooterTableFigure"/>
      </w:pPr>
      <w:r w:rsidRPr="00456281">
        <w:t xml:space="preserve">Note: Results in </w:t>
      </w:r>
      <w:r w:rsidRPr="00456281">
        <w:rPr>
          <w:b/>
          <w:bCs/>
        </w:rPr>
        <w:t xml:space="preserve">bold </w:t>
      </w:r>
      <w:r w:rsidRPr="00456281">
        <w:t>indicate statistically significant difference (p &lt; 0.05).</w:t>
      </w:r>
    </w:p>
    <w:p w14:paraId="35F037C5" w14:textId="14B3CFE2" w:rsidR="00D80DEE" w:rsidRPr="00456281" w:rsidRDefault="00D80DEE" w:rsidP="004007D2">
      <w:pPr>
        <w:pStyle w:val="5-SubsectionSubheading"/>
      </w:pPr>
      <w:r w:rsidRPr="00456281">
        <w:t>NALIRIFOX versus FOLFIRINOX</w:t>
      </w:r>
    </w:p>
    <w:p w14:paraId="14211A89" w14:textId="4483BB0A" w:rsidR="006B33C5" w:rsidRPr="00456281" w:rsidRDefault="004051EC" w:rsidP="006B33C5">
      <w:pPr>
        <w:pStyle w:val="3-BodyText"/>
      </w:pPr>
      <w:bookmarkStart w:id="95" w:name="_Ref164240331"/>
      <w:r w:rsidRPr="00456281">
        <w:t xml:space="preserve">The ‘side by side’ comparison between NALIRIFOX and FOLFIRINOX presented in the submission did not allow for a quantitative comparison of the benefits and harms of NALIRIFOX and FOLFIRINOX. </w:t>
      </w:r>
      <w:r w:rsidR="00411C56" w:rsidRPr="00456281">
        <w:t>T</w:t>
      </w:r>
      <w:r w:rsidRPr="00456281">
        <w:t>he multistep ITC conducted during the evaluation</w:t>
      </w:r>
      <w:r w:rsidR="00D80DEE" w:rsidRPr="00456281">
        <w:t>, as well as the results of the recent N</w:t>
      </w:r>
      <w:r w:rsidR="00411C56" w:rsidRPr="00456281">
        <w:t>i</w:t>
      </w:r>
      <w:r w:rsidR="00D80DEE" w:rsidRPr="00456281">
        <w:t>chetti et al. (2024) meta-analysis,</w:t>
      </w:r>
      <w:r w:rsidRPr="00456281">
        <w:t xml:space="preserve"> suggest no difference between NALIRIFOX and FOLFIRINOX in </w:t>
      </w:r>
      <w:r w:rsidR="005A0491" w:rsidRPr="00456281">
        <w:t xml:space="preserve">effectiveness </w:t>
      </w:r>
      <w:r w:rsidRPr="00456281">
        <w:t>outcomes. Accordingly, a benefits/harms table has not been presented for this indirect comparison.</w:t>
      </w:r>
      <w:bookmarkEnd w:id="95"/>
    </w:p>
    <w:p w14:paraId="46859BF5" w14:textId="77777777" w:rsidR="00016609" w:rsidRPr="009C3CBE" w:rsidRDefault="00016609" w:rsidP="00016609">
      <w:pPr>
        <w:pStyle w:val="4-SubsectionHeading"/>
        <w:rPr>
          <w:lang w:val="pt-PT"/>
        </w:rPr>
      </w:pPr>
      <w:bookmarkStart w:id="96" w:name="_Toc22897644"/>
      <w:bookmarkStart w:id="97" w:name="_Toc107927630"/>
      <w:bookmarkStart w:id="98" w:name="_Toc157002553"/>
      <w:r w:rsidRPr="009C3CBE">
        <w:rPr>
          <w:lang w:val="pt-PT"/>
        </w:rPr>
        <w:t>Clinical claim</w:t>
      </w:r>
      <w:bookmarkEnd w:id="96"/>
      <w:bookmarkEnd w:id="97"/>
      <w:bookmarkEnd w:id="98"/>
    </w:p>
    <w:p w14:paraId="65719C5D" w14:textId="60DBA2E4" w:rsidR="00D80DEE" w:rsidRPr="009C3CBE" w:rsidRDefault="00D80DEE" w:rsidP="004007D2">
      <w:pPr>
        <w:pStyle w:val="5-SubsectionSubheading"/>
        <w:rPr>
          <w:lang w:val="pt-PT"/>
        </w:rPr>
      </w:pPr>
      <w:r w:rsidRPr="009C3CBE">
        <w:rPr>
          <w:lang w:val="pt-PT"/>
        </w:rPr>
        <w:t>NALIRIFOX versus Gem+NabP</w:t>
      </w:r>
    </w:p>
    <w:p w14:paraId="0EBCE671" w14:textId="201D2A3D" w:rsidR="00016609" w:rsidRPr="00456281" w:rsidRDefault="00016609" w:rsidP="00016609">
      <w:pPr>
        <w:pStyle w:val="3-BodyText"/>
      </w:pPr>
      <w:bookmarkStart w:id="99" w:name="_Hlk156910916"/>
      <w:r w:rsidRPr="00456281">
        <w:t xml:space="preserve">The submission </w:t>
      </w:r>
      <w:r w:rsidR="008A16F1" w:rsidRPr="00456281">
        <w:t xml:space="preserve">claimed that NALIRIFOX is superior in terms of effectiveness compared to Gem+NabP </w:t>
      </w:r>
      <w:r w:rsidRPr="00456281">
        <w:t>based on a direct comparison (NAPOLI-3 trial). Th</w:t>
      </w:r>
      <w:r w:rsidR="00BA48CB" w:rsidRPr="00456281">
        <w:t>e ESC considered th</w:t>
      </w:r>
      <w:r w:rsidRPr="00456281">
        <w:t xml:space="preserve">is claim may </w:t>
      </w:r>
      <w:r w:rsidR="00BA48CB" w:rsidRPr="00456281">
        <w:t xml:space="preserve">not be </w:t>
      </w:r>
      <w:r w:rsidRPr="00456281">
        <w:t>adequately supported because:</w:t>
      </w:r>
    </w:p>
    <w:p w14:paraId="7FE127C2" w14:textId="7A66AC3C" w:rsidR="00016609" w:rsidRPr="00456281" w:rsidRDefault="00016609" w:rsidP="00690769">
      <w:pPr>
        <w:pStyle w:val="ListParagraph"/>
        <w:numPr>
          <w:ilvl w:val="0"/>
          <w:numId w:val="21"/>
        </w:numPr>
      </w:pPr>
      <w:r w:rsidRPr="00456281">
        <w:t>Although the trial results indicate an overall improved survival with NALIRIFOX compared to Gem+NabP</w:t>
      </w:r>
      <w:r w:rsidR="006C4AC3" w:rsidRPr="00456281">
        <w:t xml:space="preserve"> (HR 0.83 [95% CI: 0.70, 0.99] p-value = 0.04)</w:t>
      </w:r>
      <w:r w:rsidRPr="00456281">
        <w:t>, the 95%</w:t>
      </w:r>
      <w:r w:rsidR="005322FC" w:rsidRPr="00456281">
        <w:t xml:space="preserve"> </w:t>
      </w:r>
      <w:r w:rsidRPr="00456281">
        <w:t xml:space="preserve">CI had an upper limit that is very close to 1. </w:t>
      </w:r>
    </w:p>
    <w:p w14:paraId="7001ECBC" w14:textId="1F445B9D" w:rsidR="00016609" w:rsidRPr="00456281" w:rsidRDefault="00016609" w:rsidP="00690769">
      <w:pPr>
        <w:pStyle w:val="ListParagraph"/>
        <w:numPr>
          <w:ilvl w:val="0"/>
          <w:numId w:val="21"/>
        </w:numPr>
      </w:pPr>
      <w:r w:rsidRPr="00456281">
        <w:t>The submission claimed that the improvement</w:t>
      </w:r>
      <w:r w:rsidR="00166AC0" w:rsidRPr="00456281">
        <w:t>s</w:t>
      </w:r>
      <w:r w:rsidRPr="00456281">
        <w:t xml:space="preserve"> in the median OS </w:t>
      </w:r>
      <w:r w:rsidR="00905D26" w:rsidRPr="00456281">
        <w:t>(</w:t>
      </w:r>
      <w:r w:rsidR="00E8364F" w:rsidRPr="00456281">
        <w:t>1.</w:t>
      </w:r>
      <w:r w:rsidR="0003249C" w:rsidRPr="00456281">
        <w:t>9 months)</w:t>
      </w:r>
      <w:r w:rsidRPr="00456281">
        <w:t xml:space="preserve"> and median PFS </w:t>
      </w:r>
      <w:r w:rsidR="0003249C" w:rsidRPr="00456281">
        <w:t>(1.8 months)</w:t>
      </w:r>
      <w:r w:rsidRPr="00456281">
        <w:t xml:space="preserve"> were clinically meaningful</w:t>
      </w:r>
      <w:r w:rsidR="00055941" w:rsidRPr="00456281">
        <w:t xml:space="preserve"> for pancreatic cancer and </w:t>
      </w:r>
      <w:r w:rsidR="13DDB92F" w:rsidRPr="00456281">
        <w:t>were</w:t>
      </w:r>
      <w:r w:rsidR="00055941" w:rsidRPr="00456281">
        <w:t xml:space="preserve"> similar to the magnitude of OS benefit accepted for Gem+NabP (1.8 months) when the PBAC recommended its inclusion on the PBS in March 2014. </w:t>
      </w:r>
      <w:r w:rsidR="00D1478E" w:rsidRPr="00456281">
        <w:t>However</w:t>
      </w:r>
      <w:r w:rsidR="00B60E96" w:rsidRPr="00456281">
        <w:t>, the</w:t>
      </w:r>
      <w:r w:rsidRPr="00456281">
        <w:t xml:space="preserve"> ASCO group </w:t>
      </w:r>
      <w:r w:rsidR="00172B4B" w:rsidRPr="00456281">
        <w:t xml:space="preserve">considered </w:t>
      </w:r>
      <w:r w:rsidRPr="00456281">
        <w:t>an incremental gain ranging from 3 to 5 months in the median OS and PFS to be clinically meaningful</w:t>
      </w:r>
      <w:r w:rsidR="00EE4F69" w:rsidRPr="00456281">
        <w:t xml:space="preserve"> (</w:t>
      </w:r>
      <w:r w:rsidR="00744832" w:rsidRPr="00456281">
        <w:t>para</w:t>
      </w:r>
      <w:r w:rsidR="00B60E96" w:rsidRPr="00456281">
        <w:t>graph</w:t>
      </w:r>
      <w:r w:rsidR="00172B4B" w:rsidRPr="00456281">
        <w:t xml:space="preserve"> </w:t>
      </w:r>
      <w:r w:rsidR="00172B4B" w:rsidRPr="00456281">
        <w:fldChar w:fldCharType="begin"/>
      </w:r>
      <w:r w:rsidR="00172B4B" w:rsidRPr="00456281">
        <w:instrText xml:space="preserve"> REF _Ref156310180 \r \h </w:instrText>
      </w:r>
      <w:r w:rsidR="00E46A8A" w:rsidRPr="00456281">
        <w:instrText xml:space="preserve"> \* MERGEFORMAT </w:instrText>
      </w:r>
      <w:r w:rsidR="00172B4B" w:rsidRPr="00456281">
        <w:fldChar w:fldCharType="separate"/>
      </w:r>
      <w:r w:rsidR="00EE5AD4">
        <w:t>6.28</w:t>
      </w:r>
      <w:r w:rsidR="00172B4B" w:rsidRPr="00456281">
        <w:fldChar w:fldCharType="end"/>
      </w:r>
      <w:r w:rsidR="00744832" w:rsidRPr="00456281">
        <w:t>)</w:t>
      </w:r>
      <w:r w:rsidRPr="00456281">
        <w:t>. Neither the primary OS nor PFS outcomes from the NAPOLI-3 trial me</w:t>
      </w:r>
      <w:r w:rsidR="00172B4B" w:rsidRPr="00456281">
        <w:t>e</w:t>
      </w:r>
      <w:r w:rsidRPr="00456281">
        <w:t>t these criteria.</w:t>
      </w:r>
      <w:r w:rsidR="00956A09" w:rsidRPr="00456281">
        <w:t xml:space="preserve"> </w:t>
      </w:r>
      <w:bookmarkStart w:id="100" w:name="_Hlk162424365"/>
      <w:r w:rsidRPr="00456281">
        <w:t xml:space="preserve">The </w:t>
      </w:r>
      <w:r w:rsidR="006B2C04" w:rsidRPr="00456281">
        <w:t xml:space="preserve">pivotal </w:t>
      </w:r>
      <w:r w:rsidRPr="00456281">
        <w:t xml:space="preserve">evidence </w:t>
      </w:r>
      <w:r w:rsidR="006B2C04" w:rsidRPr="00456281">
        <w:t xml:space="preserve">to support the claim was </w:t>
      </w:r>
      <w:r w:rsidRPr="00456281">
        <w:t>a</w:t>
      </w:r>
      <w:r w:rsidR="006B2C04" w:rsidRPr="00456281">
        <w:t>n</w:t>
      </w:r>
      <w:r w:rsidRPr="00456281">
        <w:t xml:space="preserve"> open label</w:t>
      </w:r>
      <w:r w:rsidR="006B2C04" w:rsidRPr="00456281">
        <w:t xml:space="preserve"> trial (NAPOLI-3)</w:t>
      </w:r>
      <w:r w:rsidRPr="00456281">
        <w:t xml:space="preserve">. There were some concerns of attrition bias given the high proportion of patients who were censored mainly due to receiving subsequent anticancer therapy without </w:t>
      </w:r>
      <w:r w:rsidRPr="009A3AE9">
        <w:t>disease progression (</w:t>
      </w:r>
      <w:r w:rsidRPr="00F41B81">
        <w:t>22.5% vs 14.6%),</w:t>
      </w:r>
      <w:r w:rsidRPr="009A3AE9">
        <w:t xml:space="preserve"> which</w:t>
      </w:r>
      <w:r w:rsidRPr="00456281">
        <w:t xml:space="preserve"> may bias PFS results in favour of NALIRIFOX. </w:t>
      </w:r>
    </w:p>
    <w:bookmarkEnd w:id="100"/>
    <w:p w14:paraId="04DA1995" w14:textId="44D08972" w:rsidR="00016609" w:rsidRPr="00456281" w:rsidRDefault="00016609" w:rsidP="00690769">
      <w:pPr>
        <w:pStyle w:val="ListParagraph"/>
        <w:numPr>
          <w:ilvl w:val="0"/>
          <w:numId w:val="21"/>
        </w:numPr>
      </w:pPr>
      <w:r w:rsidRPr="00456281">
        <w:t xml:space="preserve">A higher proportion of subsequent anticancer therapies was observed in the trial </w:t>
      </w:r>
      <w:r w:rsidR="00B93CA4" w:rsidRPr="00456281">
        <w:t xml:space="preserve">compared with the Australian setting, </w:t>
      </w:r>
      <w:r w:rsidR="006D0279" w:rsidRPr="00456281">
        <w:t>and these therapies appear to differ across treatment interventions</w:t>
      </w:r>
      <w:r w:rsidRPr="00456281">
        <w:t xml:space="preserve"> compared to the Australian setting</w:t>
      </w:r>
      <w:r w:rsidR="00933886" w:rsidRPr="00456281">
        <w:t xml:space="preserve"> (para</w:t>
      </w:r>
      <w:r w:rsidR="005E6EC7" w:rsidRPr="00456281">
        <w:t xml:space="preserve">graph </w:t>
      </w:r>
      <w:r w:rsidR="0060093A" w:rsidRPr="00456281">
        <w:fldChar w:fldCharType="begin"/>
      </w:r>
      <w:r w:rsidR="0060093A" w:rsidRPr="00456281">
        <w:instrText xml:space="preserve"> REF _Ref156312255 \r \h </w:instrText>
      </w:r>
      <w:r w:rsidR="00E46A8A" w:rsidRPr="00456281">
        <w:instrText xml:space="preserve"> \* MERGEFORMAT </w:instrText>
      </w:r>
      <w:r w:rsidR="0060093A" w:rsidRPr="00456281">
        <w:fldChar w:fldCharType="separate"/>
      </w:r>
      <w:r w:rsidR="00EE5AD4">
        <w:t>6.16</w:t>
      </w:r>
      <w:r w:rsidR="0060093A" w:rsidRPr="00456281">
        <w:fldChar w:fldCharType="end"/>
      </w:r>
      <w:r w:rsidR="00933886" w:rsidRPr="00456281">
        <w:t>)</w:t>
      </w:r>
      <w:r w:rsidRPr="00456281">
        <w:t xml:space="preserve">. </w:t>
      </w:r>
      <w:r w:rsidR="00BD3298" w:rsidRPr="00456281">
        <w:t>Patients in the Australian setting used Gem+NabP as second line treatment even though the current PBS restriction for NabP restricts use to first-line treatment only.</w:t>
      </w:r>
      <w:r w:rsidR="00DB1BCF" w:rsidRPr="00456281">
        <w:t xml:space="preserve"> </w:t>
      </w:r>
      <w:r w:rsidRPr="00456281">
        <w:t>It is unclear how these differences may impact the applicability of treatment effects.</w:t>
      </w:r>
    </w:p>
    <w:p w14:paraId="1B7208F1" w14:textId="226F075E" w:rsidR="003E7065" w:rsidRPr="00456281" w:rsidRDefault="00016609" w:rsidP="00625FFA">
      <w:pPr>
        <w:pStyle w:val="3-BodyText"/>
      </w:pPr>
      <w:bookmarkStart w:id="101" w:name="_Ref164109074"/>
      <w:bookmarkStart w:id="102" w:name="_Ref156837432"/>
      <w:r w:rsidRPr="00456281">
        <w:t xml:space="preserve">The submission </w:t>
      </w:r>
      <w:r w:rsidR="008A16F1" w:rsidRPr="00456281">
        <w:t xml:space="preserve">claimed that NALIRIFOX is non-inferior in terms of overall safety compared to Gem+NabP, noting that these treatments have differing adverse event </w:t>
      </w:r>
      <w:r w:rsidR="008A16F1" w:rsidRPr="00456281">
        <w:lastRenderedPageBreak/>
        <w:t xml:space="preserve">profiles. </w:t>
      </w:r>
      <w:r w:rsidR="00250AC8" w:rsidRPr="00456281">
        <w:t>The ESC considered</w:t>
      </w:r>
      <w:r w:rsidR="00250AC8" w:rsidRPr="00456281">
        <w:rPr>
          <w:i/>
          <w:iCs/>
        </w:rPr>
        <w:t xml:space="preserve"> </w:t>
      </w:r>
      <w:r w:rsidR="00250AC8" w:rsidRPr="00456281">
        <w:t>t</w:t>
      </w:r>
      <w:r w:rsidRPr="00456281">
        <w:t>his claim is uncertain based on the clinical data presented in th</w:t>
      </w:r>
      <w:r w:rsidR="009D42E9" w:rsidRPr="00456281">
        <w:t>e</w:t>
      </w:r>
      <w:r w:rsidRPr="00456281">
        <w:t xml:space="preserve"> submission</w:t>
      </w:r>
      <w:r w:rsidR="003E7065" w:rsidRPr="00456281">
        <w:t xml:space="preserve"> for the following reasons:</w:t>
      </w:r>
      <w:bookmarkEnd w:id="101"/>
    </w:p>
    <w:p w14:paraId="1D41D80C" w14:textId="7363AF44" w:rsidR="003E7065" w:rsidRPr="00456281" w:rsidRDefault="003E7065" w:rsidP="00690769">
      <w:pPr>
        <w:pStyle w:val="ListParagraph"/>
        <w:numPr>
          <w:ilvl w:val="0"/>
          <w:numId w:val="21"/>
        </w:numPr>
      </w:pPr>
      <w:r w:rsidRPr="00456281">
        <w:t>The pivotal evidence to support the safety claim was an open label trial (NAPOLI</w:t>
      </w:r>
      <w:r w:rsidR="007D4293" w:rsidRPr="00456281">
        <w:noBreakHyphen/>
      </w:r>
      <w:r w:rsidRPr="00456281">
        <w:t xml:space="preserve">3). The unblinded nature of the trial may have introduced detection bias in the measurement adverse events outcomes. </w:t>
      </w:r>
    </w:p>
    <w:p w14:paraId="610F3578" w14:textId="505384FB" w:rsidR="0086744B" w:rsidRPr="00456281" w:rsidRDefault="00E31CE1" w:rsidP="00690769">
      <w:pPr>
        <w:pStyle w:val="ListParagraph"/>
        <w:numPr>
          <w:ilvl w:val="0"/>
          <w:numId w:val="21"/>
        </w:numPr>
      </w:pPr>
      <w:r w:rsidRPr="00456281">
        <w:t xml:space="preserve">Based on post hoc analyses, there were statistically significantly more patients in the NALIRIFOX arm who reported </w:t>
      </w:r>
      <w:r w:rsidR="009A044C" w:rsidRPr="00456281">
        <w:t xml:space="preserve">all-cause and </w:t>
      </w:r>
      <w:r w:rsidRPr="00456281">
        <w:t>drug-related TEAEs leading to interruption of the treatment regimen (</w:t>
      </w:r>
      <w:r w:rsidR="009A044C" w:rsidRPr="00456281">
        <w:t xml:space="preserve">OR 4.24; 95% CI 1.40, 12.80 and </w:t>
      </w:r>
      <w:r w:rsidRPr="00456281">
        <w:t>OR 4.20; 95% CI: 1.18, 15.01</w:t>
      </w:r>
      <w:r w:rsidR="009A044C" w:rsidRPr="00456281">
        <w:t>, respectively</w:t>
      </w:r>
      <w:r w:rsidRPr="00456281">
        <w:t xml:space="preserve">) and drug-related serious adverse events (OR 1.54; 95% CI: 1.09, 2.17). </w:t>
      </w:r>
      <w:r w:rsidR="00016609" w:rsidRPr="00456281">
        <w:t>The safety profile</w:t>
      </w:r>
      <w:r w:rsidR="00487D0C" w:rsidRPr="00456281">
        <w:t>s</w:t>
      </w:r>
      <w:r w:rsidR="00016609" w:rsidRPr="00456281">
        <w:t xml:space="preserve"> of NALIRIFOX and Gem+NabP appear to be different, with more </w:t>
      </w:r>
      <w:r w:rsidR="00935BB3" w:rsidRPr="00456281">
        <w:t xml:space="preserve">Gastrointestinal </w:t>
      </w:r>
      <w:r w:rsidR="00620C53" w:rsidRPr="00456281">
        <w:t xml:space="preserve">disorder </w:t>
      </w:r>
      <w:r w:rsidR="00935BB3" w:rsidRPr="00456281">
        <w:t xml:space="preserve">(diarrhoea, nausea and vomiting) and Metabolism and nutrition </w:t>
      </w:r>
      <w:r w:rsidR="00620C53" w:rsidRPr="00456281">
        <w:t xml:space="preserve">disorder </w:t>
      </w:r>
      <w:r w:rsidR="00935BB3" w:rsidRPr="00456281">
        <w:t>(decreased appetite</w:t>
      </w:r>
      <w:r w:rsidR="00A1225B" w:rsidRPr="00456281">
        <w:t>,</w:t>
      </w:r>
      <w:r w:rsidR="00935BB3" w:rsidRPr="00456281">
        <w:t xml:space="preserve"> and hypokalaemia) </w:t>
      </w:r>
      <w:r w:rsidR="00016609" w:rsidRPr="00456281">
        <w:t>drug-related Grade 3-4 TEAES</w:t>
      </w:r>
      <w:r w:rsidR="00620C53" w:rsidRPr="00456281">
        <w:t>, as well as drug-related Grade 3-4 asthenia,</w:t>
      </w:r>
      <w:r w:rsidR="00016609" w:rsidRPr="00456281">
        <w:t xml:space="preserve"> reported in the NALIRIFOX arm</w:t>
      </w:r>
      <w:r w:rsidR="00620C53" w:rsidRPr="00456281">
        <w:t>,</w:t>
      </w:r>
      <w:r w:rsidR="00016609" w:rsidRPr="00456281">
        <w:t xml:space="preserve"> and more </w:t>
      </w:r>
      <w:r w:rsidR="00935BB3" w:rsidRPr="00456281">
        <w:t xml:space="preserve">Blood </w:t>
      </w:r>
      <w:r w:rsidR="00016609" w:rsidRPr="00456281">
        <w:t>and lymphatic system</w:t>
      </w:r>
      <w:r w:rsidR="00935BB3" w:rsidRPr="00456281">
        <w:t xml:space="preserve"> disorder (neutropenia, anaemia, thrombocytopenia</w:t>
      </w:r>
      <w:r w:rsidR="00A1225B" w:rsidRPr="00456281">
        <w:t>,</w:t>
      </w:r>
      <w:r w:rsidR="00935BB3" w:rsidRPr="00456281">
        <w:t xml:space="preserve"> leukopenia</w:t>
      </w:r>
      <w:r w:rsidR="00A1225B" w:rsidRPr="00456281">
        <w:t xml:space="preserve"> and WBC count decreased</w:t>
      </w:r>
      <w:r w:rsidR="00935BB3" w:rsidRPr="00456281">
        <w:t>)</w:t>
      </w:r>
      <w:r w:rsidR="00016609" w:rsidRPr="00456281">
        <w:t xml:space="preserve"> Grade 3-4 TEAES in </w:t>
      </w:r>
      <w:r w:rsidR="008A16F1" w:rsidRPr="00456281">
        <w:t xml:space="preserve">the </w:t>
      </w:r>
      <w:r w:rsidR="00016609" w:rsidRPr="00456281">
        <w:t>Gem+NabP arm.</w:t>
      </w:r>
      <w:bookmarkEnd w:id="102"/>
      <w:r w:rsidR="00016609" w:rsidRPr="00456281">
        <w:t xml:space="preserve"> </w:t>
      </w:r>
    </w:p>
    <w:p w14:paraId="445EC536" w14:textId="74A725BD" w:rsidR="00BB0A29" w:rsidRPr="00456281" w:rsidRDefault="0086744B" w:rsidP="003512CC">
      <w:pPr>
        <w:pStyle w:val="3-BodyText"/>
      </w:pPr>
      <w:r w:rsidRPr="00456281">
        <w:t>The PSCR noted the following statement regarding comparable safety between NALIRIFOX and Gem+NabP in the TGA Delegate’s Overview): it has “a similar level of toxicity overall, and a toxicity profile that is acceptable in the context of this fatal disease and the toxicities of existing therapeutic options.” However, t</w:t>
      </w:r>
      <w:r w:rsidR="00B93CA4" w:rsidRPr="00456281">
        <w:t xml:space="preserve">he ESC considered that the higher incidence of Grade </w:t>
      </w:r>
      <w:r w:rsidR="00B93CA4" w:rsidRPr="00456281">
        <w:rPr>
          <w:rFonts w:cstheme="minorHAnsi"/>
        </w:rPr>
        <w:t>≥</w:t>
      </w:r>
      <w:r w:rsidR="00031123">
        <w:rPr>
          <w:rFonts w:cstheme="minorHAnsi"/>
        </w:rPr>
        <w:t> </w:t>
      </w:r>
      <w:r w:rsidR="00354E5F" w:rsidRPr="00456281">
        <w:t xml:space="preserve">3 </w:t>
      </w:r>
      <w:r w:rsidR="00B93CA4" w:rsidRPr="00456281">
        <w:t>diarrhoea was clinically relevant in this population</w:t>
      </w:r>
      <w:r w:rsidR="0067438D" w:rsidRPr="00456281">
        <w:t xml:space="preserve"> because it presents a risk to the elderly and unwell</w:t>
      </w:r>
      <w:r w:rsidR="00B93CA4" w:rsidRPr="00456281">
        <w:t xml:space="preserve">, and is a reason that the use of NALIRIFOX (like FOLFIRINOX) will likely be limited to younger, fitter patients. </w:t>
      </w:r>
      <w:r w:rsidR="009C296E" w:rsidRPr="00456281">
        <w:t xml:space="preserve">The PBAC </w:t>
      </w:r>
      <w:r w:rsidR="00505367" w:rsidRPr="00456281">
        <w:t xml:space="preserve">considered </w:t>
      </w:r>
      <w:r w:rsidR="009C296E" w:rsidRPr="00456281">
        <w:t xml:space="preserve">that severe diarrhoea was a </w:t>
      </w:r>
      <w:r w:rsidR="00505367" w:rsidRPr="00456281">
        <w:t xml:space="preserve">significant concern for this population (see paragraph </w:t>
      </w:r>
      <w:r w:rsidR="00505367" w:rsidRPr="00456281">
        <w:fldChar w:fldCharType="begin"/>
      </w:r>
      <w:r w:rsidR="00505367" w:rsidRPr="00456281">
        <w:instrText xml:space="preserve"> REF _Ref164154789 \r \h </w:instrText>
      </w:r>
      <w:r w:rsidR="00505367" w:rsidRPr="00456281">
        <w:fldChar w:fldCharType="separate"/>
      </w:r>
      <w:r w:rsidR="00EE5AD4">
        <w:t>7.9</w:t>
      </w:r>
      <w:r w:rsidR="00505367" w:rsidRPr="00456281">
        <w:fldChar w:fldCharType="end"/>
      </w:r>
      <w:r w:rsidR="00505367" w:rsidRPr="00456281">
        <w:t>).</w:t>
      </w:r>
    </w:p>
    <w:p w14:paraId="6FF3CDCA" w14:textId="01B40447" w:rsidR="00505367" w:rsidRPr="00456281" w:rsidRDefault="004D408E" w:rsidP="00505367">
      <w:pPr>
        <w:pStyle w:val="3-BodyText"/>
        <w:widowControl w:val="0"/>
        <w:rPr>
          <w:szCs w:val="20"/>
        </w:rPr>
      </w:pPr>
      <w:r w:rsidRPr="00456281">
        <w:rPr>
          <w:iCs/>
        </w:rPr>
        <w:t>The</w:t>
      </w:r>
      <w:r w:rsidRPr="00456281">
        <w:rPr>
          <w:szCs w:val="20"/>
        </w:rPr>
        <w:t xml:space="preserve"> PBAC considered that the claim of superior comparative effectiveness of NALIRIFOX versus Gem+NabP was supported by the data</w:t>
      </w:r>
      <w:r w:rsidR="006D7A59" w:rsidRPr="00456281">
        <w:rPr>
          <w:szCs w:val="20"/>
        </w:rPr>
        <w:t xml:space="preserve">, based on </w:t>
      </w:r>
      <w:r w:rsidR="006344FF">
        <w:rPr>
          <w:szCs w:val="20"/>
        </w:rPr>
        <w:t xml:space="preserve">statistically </w:t>
      </w:r>
      <w:r w:rsidR="00CB756F" w:rsidRPr="00456281">
        <w:rPr>
          <w:szCs w:val="20"/>
        </w:rPr>
        <w:t xml:space="preserve">significant </w:t>
      </w:r>
      <w:r w:rsidR="006D7A59" w:rsidRPr="00456281">
        <w:rPr>
          <w:szCs w:val="20"/>
        </w:rPr>
        <w:t>improvements in PFS and OS</w:t>
      </w:r>
      <w:r w:rsidR="00AF30D1" w:rsidRPr="00456281">
        <w:rPr>
          <w:szCs w:val="20"/>
        </w:rPr>
        <w:t xml:space="preserve"> for NALIRIFOX patients in NAPOLI-3</w:t>
      </w:r>
      <w:r w:rsidR="00CB756F" w:rsidRPr="00456281">
        <w:rPr>
          <w:szCs w:val="20"/>
        </w:rPr>
        <w:t xml:space="preserve">, although the magnitude was </w:t>
      </w:r>
      <w:r w:rsidR="00566471">
        <w:rPr>
          <w:szCs w:val="20"/>
        </w:rPr>
        <w:t>small</w:t>
      </w:r>
      <w:r w:rsidR="00566471" w:rsidRPr="00456281">
        <w:rPr>
          <w:szCs w:val="20"/>
        </w:rPr>
        <w:t xml:space="preserve"> </w:t>
      </w:r>
      <w:r w:rsidR="00566471">
        <w:rPr>
          <w:szCs w:val="20"/>
        </w:rPr>
        <w:t xml:space="preserve">and may not be clinically meaningful </w:t>
      </w:r>
      <w:r w:rsidR="00CB756F" w:rsidRPr="00456281">
        <w:rPr>
          <w:szCs w:val="20"/>
        </w:rPr>
        <w:t>(1.8 months for PFS, 1.9</w:t>
      </w:r>
      <w:r w:rsidR="00031123">
        <w:rPr>
          <w:szCs w:val="20"/>
        </w:rPr>
        <w:t> </w:t>
      </w:r>
      <w:r w:rsidR="00CB756F" w:rsidRPr="00456281">
        <w:rPr>
          <w:szCs w:val="20"/>
        </w:rPr>
        <w:t xml:space="preserve">months for OS; </w:t>
      </w:r>
      <w:r w:rsidR="00CB756F" w:rsidRPr="00456281">
        <w:rPr>
          <w:szCs w:val="20"/>
        </w:rPr>
        <w:fldChar w:fldCharType="begin"/>
      </w:r>
      <w:r w:rsidR="00CB756F" w:rsidRPr="00456281">
        <w:rPr>
          <w:szCs w:val="20"/>
        </w:rPr>
        <w:instrText xml:space="preserve"> REF _Ref153568670 \h </w:instrText>
      </w:r>
      <w:r w:rsidR="00CB756F" w:rsidRPr="00456281">
        <w:rPr>
          <w:szCs w:val="20"/>
        </w:rPr>
      </w:r>
      <w:r w:rsidR="00CB756F" w:rsidRPr="00456281">
        <w:rPr>
          <w:szCs w:val="20"/>
        </w:rPr>
        <w:fldChar w:fldCharType="separate"/>
      </w:r>
      <w:r w:rsidR="00EE5AD4" w:rsidRPr="00456281">
        <w:t xml:space="preserve">Table </w:t>
      </w:r>
      <w:r w:rsidR="00EE5AD4">
        <w:rPr>
          <w:rStyle w:val="CommentReference"/>
          <w:b w:val="0"/>
          <w:bCs/>
          <w:noProof/>
          <w:szCs w:val="24"/>
        </w:rPr>
        <w:t>4</w:t>
      </w:r>
      <w:r w:rsidR="00CB756F" w:rsidRPr="00456281">
        <w:rPr>
          <w:szCs w:val="20"/>
        </w:rPr>
        <w:fldChar w:fldCharType="end"/>
      </w:r>
      <w:r w:rsidR="00CB756F" w:rsidRPr="00456281">
        <w:rPr>
          <w:szCs w:val="20"/>
        </w:rPr>
        <w:t>)</w:t>
      </w:r>
      <w:r w:rsidRPr="00456281">
        <w:rPr>
          <w:szCs w:val="20"/>
        </w:rPr>
        <w:t>.</w:t>
      </w:r>
    </w:p>
    <w:p w14:paraId="5DBE4C9A" w14:textId="4623081C" w:rsidR="00CB756F" w:rsidRPr="00456281" w:rsidRDefault="004D408E" w:rsidP="00505367">
      <w:pPr>
        <w:pStyle w:val="3-BodyText"/>
        <w:widowControl w:val="0"/>
        <w:rPr>
          <w:szCs w:val="20"/>
        </w:rPr>
      </w:pPr>
      <w:bookmarkStart w:id="103" w:name="_Ref164242360"/>
      <w:r w:rsidRPr="00456281">
        <w:rPr>
          <w:szCs w:val="20"/>
        </w:rPr>
        <w:t xml:space="preserve">The PBAC considered that the claim of non-inferior comparative safety of NALIRIFOX versus Gem+NabP was not adequately supported by the data, </w:t>
      </w:r>
      <w:r w:rsidR="00AF30D1" w:rsidRPr="00456281">
        <w:rPr>
          <w:szCs w:val="20"/>
        </w:rPr>
        <w:t xml:space="preserve">noting increased rates of </w:t>
      </w:r>
      <w:r w:rsidR="00895658" w:rsidRPr="00456281">
        <w:rPr>
          <w:szCs w:val="20"/>
        </w:rPr>
        <w:t>drug</w:t>
      </w:r>
      <w:r w:rsidR="00895658" w:rsidRPr="00456281">
        <w:rPr>
          <w:szCs w:val="20"/>
        </w:rPr>
        <w:noBreakHyphen/>
        <w:t xml:space="preserve">related serious adverse events, as well as </w:t>
      </w:r>
      <w:r w:rsidR="00AF30D1" w:rsidRPr="00456281">
        <w:rPr>
          <w:szCs w:val="20"/>
        </w:rPr>
        <w:t>all-cause and drug-related TEAEs leading to interruption of treatment</w:t>
      </w:r>
      <w:r w:rsidR="00895658" w:rsidRPr="00456281">
        <w:rPr>
          <w:szCs w:val="20"/>
        </w:rPr>
        <w:t>,</w:t>
      </w:r>
      <w:r w:rsidR="00AF30D1" w:rsidRPr="00456281">
        <w:rPr>
          <w:szCs w:val="20"/>
        </w:rPr>
        <w:t xml:space="preserve"> for NALIRIFOX patients in NAPOLI-3</w:t>
      </w:r>
      <w:r w:rsidR="00895658" w:rsidRPr="00456281">
        <w:rPr>
          <w:szCs w:val="20"/>
        </w:rPr>
        <w:t xml:space="preserve"> (</w:t>
      </w:r>
      <w:r w:rsidR="00895658" w:rsidRPr="00456281">
        <w:rPr>
          <w:szCs w:val="20"/>
        </w:rPr>
        <w:fldChar w:fldCharType="begin"/>
      </w:r>
      <w:r w:rsidR="00895658" w:rsidRPr="00456281">
        <w:rPr>
          <w:szCs w:val="20"/>
        </w:rPr>
        <w:instrText xml:space="preserve"> REF _Ref153723424 \h </w:instrText>
      </w:r>
      <w:r w:rsidR="00895658" w:rsidRPr="00456281">
        <w:rPr>
          <w:szCs w:val="20"/>
        </w:rPr>
      </w:r>
      <w:r w:rsidR="00895658" w:rsidRPr="00456281">
        <w:rPr>
          <w:szCs w:val="20"/>
        </w:rPr>
        <w:fldChar w:fldCharType="separate"/>
      </w:r>
      <w:r w:rsidR="00EE5AD4" w:rsidRPr="00456281">
        <w:t xml:space="preserve">Table </w:t>
      </w:r>
      <w:r w:rsidR="00EE5AD4">
        <w:rPr>
          <w:noProof/>
        </w:rPr>
        <w:t>8</w:t>
      </w:r>
      <w:r w:rsidR="00895658" w:rsidRPr="00456281">
        <w:rPr>
          <w:szCs w:val="20"/>
        </w:rPr>
        <w:fldChar w:fldCharType="end"/>
      </w:r>
      <w:r w:rsidR="00895658" w:rsidRPr="00456281">
        <w:rPr>
          <w:szCs w:val="20"/>
        </w:rPr>
        <w:t>)</w:t>
      </w:r>
      <w:r w:rsidR="00AF30D1" w:rsidRPr="00456281">
        <w:rPr>
          <w:szCs w:val="20"/>
        </w:rPr>
        <w:t>.</w:t>
      </w:r>
      <w:r w:rsidR="00895658" w:rsidRPr="00456281">
        <w:rPr>
          <w:szCs w:val="20"/>
        </w:rPr>
        <w:t xml:space="preserve"> The PBAC also noted that the safety profiles of NALIRIFOX and Gem+NabP appear to be different as outlined in paragraph </w:t>
      </w:r>
      <w:r w:rsidR="00895658" w:rsidRPr="00456281">
        <w:rPr>
          <w:szCs w:val="20"/>
        </w:rPr>
        <w:fldChar w:fldCharType="begin"/>
      </w:r>
      <w:r w:rsidR="00895658" w:rsidRPr="00456281">
        <w:rPr>
          <w:szCs w:val="20"/>
        </w:rPr>
        <w:instrText xml:space="preserve"> REF _Ref164109074 \r \h </w:instrText>
      </w:r>
      <w:r w:rsidR="00895658" w:rsidRPr="00456281">
        <w:rPr>
          <w:szCs w:val="20"/>
        </w:rPr>
      </w:r>
      <w:r w:rsidR="00895658" w:rsidRPr="00456281">
        <w:rPr>
          <w:szCs w:val="20"/>
        </w:rPr>
        <w:fldChar w:fldCharType="separate"/>
      </w:r>
      <w:r w:rsidR="00EE5AD4">
        <w:rPr>
          <w:szCs w:val="20"/>
        </w:rPr>
        <w:t>6.55</w:t>
      </w:r>
      <w:r w:rsidR="00895658" w:rsidRPr="00456281">
        <w:rPr>
          <w:szCs w:val="20"/>
        </w:rPr>
        <w:fldChar w:fldCharType="end"/>
      </w:r>
      <w:r w:rsidR="00895658" w:rsidRPr="00456281">
        <w:rPr>
          <w:szCs w:val="20"/>
        </w:rPr>
        <w:t xml:space="preserve">. </w:t>
      </w:r>
      <w:bookmarkEnd w:id="103"/>
    </w:p>
    <w:p w14:paraId="1407916C" w14:textId="1F5AE1A7" w:rsidR="004773EA" w:rsidRPr="00456281" w:rsidRDefault="004773EA" w:rsidP="00DB71A1">
      <w:pPr>
        <w:pStyle w:val="5-SubsectionSubheading"/>
      </w:pPr>
      <w:r w:rsidRPr="00456281">
        <w:t>NALIRIFOX versus FOLFIRINOX</w:t>
      </w:r>
    </w:p>
    <w:p w14:paraId="3E140BE5" w14:textId="4138134F" w:rsidR="00016609" w:rsidRPr="00456281" w:rsidRDefault="00016609" w:rsidP="00016609">
      <w:pPr>
        <w:pStyle w:val="3-BodyText"/>
      </w:pPr>
      <w:bookmarkStart w:id="104" w:name="_Ref159310192"/>
      <w:r w:rsidRPr="00456281">
        <w:t xml:space="preserve">The submission </w:t>
      </w:r>
      <w:r w:rsidR="008A16F1" w:rsidRPr="00456281">
        <w:t xml:space="preserve">claimed that NALIRIFOX is superior to FOLFIRINOX </w:t>
      </w:r>
      <w:r w:rsidR="006407A3" w:rsidRPr="00456281">
        <w:t xml:space="preserve">in terms of effectiveness </w:t>
      </w:r>
      <w:r w:rsidR="008A16F1" w:rsidRPr="00456281">
        <w:t>because NALIRIFOX has a proven survival benefit over Gem+NabP, whereas FOLFIRINOX does not. This was based on the findings of three trials: NAPOLI</w:t>
      </w:r>
      <w:r w:rsidR="00F3696E" w:rsidRPr="00456281">
        <w:noBreakHyphen/>
      </w:r>
      <w:r w:rsidR="008A16F1" w:rsidRPr="00456281">
        <w:t xml:space="preserve">3 </w:t>
      </w:r>
      <w:r w:rsidR="008A16F1" w:rsidRPr="00456281">
        <w:lastRenderedPageBreak/>
        <w:t xml:space="preserve">(NALIRIFOX versus Gem+NabP), MPACT (Gem+NabP versus </w:t>
      </w:r>
      <w:r w:rsidR="00892ACC" w:rsidRPr="00456281">
        <w:t>gemcitabine</w:t>
      </w:r>
      <w:r w:rsidR="008A16F1" w:rsidRPr="00456281">
        <w:t xml:space="preserve">) and ACCORD11/PRODIGE4 (FOLFIRINOX versus </w:t>
      </w:r>
      <w:r w:rsidR="00A50C7C" w:rsidRPr="00456281">
        <w:t>gemcitabine</w:t>
      </w:r>
      <w:r w:rsidR="008A16F1" w:rsidRPr="00456281">
        <w:t xml:space="preserve">). </w:t>
      </w:r>
      <w:r w:rsidRPr="00456281">
        <w:t>Th</w:t>
      </w:r>
      <w:r w:rsidR="00F3696E" w:rsidRPr="00456281">
        <w:t>e ESC considered th</w:t>
      </w:r>
      <w:r w:rsidRPr="00456281">
        <w:t xml:space="preserve">is claim </w:t>
      </w:r>
      <w:r w:rsidR="00F3696E" w:rsidRPr="00456281">
        <w:t>was</w:t>
      </w:r>
      <w:r w:rsidRPr="00456281">
        <w:t xml:space="preserve"> </w:t>
      </w:r>
      <w:r w:rsidR="006B2C04" w:rsidRPr="00456281">
        <w:t>not supported</w:t>
      </w:r>
      <w:r w:rsidRPr="00456281">
        <w:t xml:space="preserve"> based on the evidence presented because:</w:t>
      </w:r>
      <w:bookmarkEnd w:id="104"/>
      <w:r w:rsidR="00A1225B" w:rsidRPr="00456281">
        <w:rPr>
          <w:i/>
          <w:iCs/>
        </w:rPr>
        <w:t xml:space="preserve"> </w:t>
      </w:r>
    </w:p>
    <w:p w14:paraId="12643EBA" w14:textId="3507E44C" w:rsidR="00F3696E" w:rsidRPr="00456281" w:rsidRDefault="00E07477" w:rsidP="00690769">
      <w:pPr>
        <w:pStyle w:val="ListParagraph"/>
        <w:numPr>
          <w:ilvl w:val="0"/>
          <w:numId w:val="24"/>
        </w:numPr>
        <w:rPr>
          <w:i/>
          <w:iCs/>
        </w:rPr>
      </w:pPr>
      <w:r w:rsidRPr="00456281">
        <w:t xml:space="preserve">The </w:t>
      </w:r>
      <w:r w:rsidR="00040AAF" w:rsidRPr="00456281">
        <w:t xml:space="preserve">submission’s </w:t>
      </w:r>
      <w:r w:rsidR="004B3F02" w:rsidRPr="00456281">
        <w:t xml:space="preserve">clinical claim </w:t>
      </w:r>
      <w:r w:rsidR="00D968CC" w:rsidRPr="00456281">
        <w:t xml:space="preserve">was not supported by a robust clinical comparison but </w:t>
      </w:r>
      <w:r w:rsidR="004B3F02" w:rsidRPr="00456281">
        <w:t xml:space="preserve">was </w:t>
      </w:r>
      <w:r w:rsidRPr="00456281">
        <w:t>‘</w:t>
      </w:r>
      <w:r w:rsidR="004B3F02" w:rsidRPr="00456281">
        <w:t>inferred</w:t>
      </w:r>
      <w:r w:rsidRPr="00456281">
        <w:t>’</w:t>
      </w:r>
      <w:r w:rsidR="00016609" w:rsidRPr="00456281">
        <w:t xml:space="preserve"> </w:t>
      </w:r>
      <w:r w:rsidR="00F3696E" w:rsidRPr="00456281">
        <w:t>on</w:t>
      </w:r>
      <w:r w:rsidR="00A421AC" w:rsidRPr="00456281">
        <w:t xml:space="preserve"> the </w:t>
      </w:r>
      <w:r w:rsidR="00F3696E" w:rsidRPr="00456281">
        <w:t>basis that NALIRIFOX has a proven survival benefit over Gem+NabP, whereas FOLFIRINOX does not</w:t>
      </w:r>
      <w:r w:rsidR="00D968CC" w:rsidRPr="00456281">
        <w:t>.</w:t>
      </w:r>
    </w:p>
    <w:p w14:paraId="1CCAD53D" w14:textId="77D0C4E2" w:rsidR="007B635F" w:rsidRPr="00456281" w:rsidRDefault="00ED65EF" w:rsidP="00690769">
      <w:pPr>
        <w:pStyle w:val="ListParagraph"/>
        <w:numPr>
          <w:ilvl w:val="0"/>
          <w:numId w:val="24"/>
        </w:numPr>
      </w:pPr>
      <w:r w:rsidRPr="00456281">
        <w:t>B</w:t>
      </w:r>
      <w:r w:rsidR="004715EE" w:rsidRPr="00456281">
        <w:t xml:space="preserve">ased on a naïve (unanchored) </w:t>
      </w:r>
      <w:r w:rsidR="00040AAF" w:rsidRPr="00456281">
        <w:t>comparison</w:t>
      </w:r>
      <w:r w:rsidR="004715EE" w:rsidRPr="00456281">
        <w:t xml:space="preserve">, </w:t>
      </w:r>
      <w:r w:rsidR="00016609" w:rsidRPr="00456281">
        <w:t xml:space="preserve">NALIRIFOX </w:t>
      </w:r>
      <w:r w:rsidR="004715EE" w:rsidRPr="00456281">
        <w:t xml:space="preserve">appears to </w:t>
      </w:r>
      <w:r w:rsidR="00016609" w:rsidRPr="00456281">
        <w:t xml:space="preserve">have a longer median PFS compared to FOLFIRINOX </w:t>
      </w:r>
      <w:r w:rsidR="006202B8" w:rsidRPr="00456281">
        <w:t>(7.4 months [95% CI: 6.0, 7.7] vs 6.4 months [95% CI: 5.5, 7.2]</w:t>
      </w:r>
      <w:r w:rsidR="00016609" w:rsidRPr="00456281">
        <w:t xml:space="preserve">), </w:t>
      </w:r>
      <w:r w:rsidR="00306F3A" w:rsidRPr="00456281">
        <w:t xml:space="preserve">however, </w:t>
      </w:r>
      <w:r w:rsidR="004472CC" w:rsidRPr="00456281">
        <w:t>there was substantial overlap of the 95% C</w:t>
      </w:r>
      <w:r w:rsidR="00323B09" w:rsidRPr="00456281">
        <w:t>I</w:t>
      </w:r>
      <w:r w:rsidR="004472CC" w:rsidRPr="00456281">
        <w:t>s</w:t>
      </w:r>
      <w:r w:rsidR="00203296" w:rsidRPr="00456281">
        <w:t>.</w:t>
      </w:r>
      <w:r w:rsidR="00306F3A" w:rsidRPr="00456281">
        <w:t xml:space="preserve"> </w:t>
      </w:r>
      <w:r w:rsidR="00294116" w:rsidRPr="00456281">
        <w:t xml:space="preserve">There was no </w:t>
      </w:r>
      <w:r w:rsidR="00B01E3F" w:rsidRPr="00456281">
        <w:t xml:space="preserve">observed </w:t>
      </w:r>
      <w:r w:rsidR="00294116" w:rsidRPr="00456281">
        <w:t xml:space="preserve">difference in the </w:t>
      </w:r>
      <w:r w:rsidR="00016609" w:rsidRPr="00456281">
        <w:t xml:space="preserve">median OS </w:t>
      </w:r>
      <w:r w:rsidR="00B01E3F" w:rsidRPr="00456281">
        <w:t>between NALIRIFOX and FOLFIRINOX</w:t>
      </w:r>
      <w:r w:rsidR="00016609" w:rsidRPr="00456281">
        <w:t xml:space="preserve"> (11.1 months in both arms). A higher ORR was observed for NALIRIFOX (41.8%) compared to FOLFIRINOX (31.6%). </w:t>
      </w:r>
    </w:p>
    <w:p w14:paraId="60FE3444" w14:textId="5BFCBBFE" w:rsidR="00B16EA8" w:rsidRPr="00456281" w:rsidRDefault="008C2BE4" w:rsidP="00690769">
      <w:pPr>
        <w:pStyle w:val="ListParagraph"/>
        <w:numPr>
          <w:ilvl w:val="0"/>
          <w:numId w:val="24"/>
        </w:numPr>
      </w:pPr>
      <w:r w:rsidRPr="00456281">
        <w:t xml:space="preserve">The results of the </w:t>
      </w:r>
      <w:r w:rsidR="00306F3A" w:rsidRPr="00456281">
        <w:t xml:space="preserve">multistep </w:t>
      </w:r>
      <w:r w:rsidRPr="00456281">
        <w:t xml:space="preserve">ITC of NALIRIFOX vs FOLFIRINOX (via common reference groups) </w:t>
      </w:r>
      <w:r w:rsidR="00E07477" w:rsidRPr="00456281">
        <w:t xml:space="preserve">conducted during the evaluation </w:t>
      </w:r>
      <w:r w:rsidRPr="00456281">
        <w:t>showed no statistically significant difference for PFS, OS or ORR (HR 1.01 [95% CI: 0.72, 1.43], HR 1.05 [95% CI: 0.76, 1.46] and OR 1.09 [95% CI: 0.49, 2.41], respectively).</w:t>
      </w:r>
      <w:r w:rsidR="00016609" w:rsidRPr="00456281">
        <w:t xml:space="preserve"> </w:t>
      </w:r>
      <w:r w:rsidR="00F81ADA" w:rsidRPr="00456281">
        <w:t>Th</w:t>
      </w:r>
      <w:r w:rsidR="00C0574B" w:rsidRPr="00456281">
        <w:t>e</w:t>
      </w:r>
      <w:r w:rsidR="007F5DC2" w:rsidRPr="00456281">
        <w:t>se</w:t>
      </w:r>
      <w:r w:rsidR="00901B32" w:rsidRPr="00456281">
        <w:t xml:space="preserve"> </w:t>
      </w:r>
      <w:r w:rsidR="00C0574B" w:rsidRPr="00456281">
        <w:t xml:space="preserve">ITC results </w:t>
      </w:r>
      <w:r w:rsidR="00575871" w:rsidRPr="00456281">
        <w:t xml:space="preserve">appear to be </w:t>
      </w:r>
      <w:r w:rsidR="00F151D9" w:rsidRPr="00456281">
        <w:t>consistent</w:t>
      </w:r>
      <w:r w:rsidR="00643A6E" w:rsidRPr="00456281">
        <w:t xml:space="preserve"> </w:t>
      </w:r>
      <w:r w:rsidR="005D2B44" w:rsidRPr="00456281">
        <w:t xml:space="preserve">with </w:t>
      </w:r>
      <w:r w:rsidR="00F81ADA" w:rsidRPr="00456281">
        <w:t>the NCCN</w:t>
      </w:r>
      <w:r w:rsidR="006407A3" w:rsidRPr="00456281">
        <w:t xml:space="preserve"> </w:t>
      </w:r>
      <w:r w:rsidR="00F81ADA" w:rsidRPr="00456281">
        <w:t>guidelines, which state that the NALIRIFOX regimen does not appear to have an advantage over FOLFIRINOX and adds considerably more expense.</w:t>
      </w:r>
      <w:r w:rsidR="00F81ADA" w:rsidRPr="00456281">
        <w:rPr>
          <w:vertAlign w:val="superscript"/>
        </w:rPr>
        <w:footnoteReference w:id="10"/>
      </w:r>
      <w:r w:rsidR="00F81ADA" w:rsidRPr="00456281">
        <w:t xml:space="preserve"> </w:t>
      </w:r>
    </w:p>
    <w:p w14:paraId="16870BD0" w14:textId="43008077" w:rsidR="004773EA" w:rsidRPr="00456281" w:rsidRDefault="004773EA" w:rsidP="00690769">
      <w:pPr>
        <w:pStyle w:val="ListParagraph"/>
        <w:numPr>
          <w:ilvl w:val="0"/>
          <w:numId w:val="24"/>
        </w:numPr>
      </w:pPr>
      <w:r w:rsidRPr="00456281">
        <w:t xml:space="preserve">The ESC noted that the results of a recent meta-analysis by Nichetti et al. (2024) also showed no statistically significant difference </w:t>
      </w:r>
      <w:r w:rsidR="00FD7549" w:rsidRPr="00456281">
        <w:t xml:space="preserve">between FOLFIRINOX and NALIRIFOX </w:t>
      </w:r>
      <w:r w:rsidRPr="00456281">
        <w:t>for OS</w:t>
      </w:r>
      <w:r w:rsidR="00FD7549" w:rsidRPr="00456281">
        <w:t>,</w:t>
      </w:r>
      <w:r w:rsidRPr="00456281">
        <w:t xml:space="preserve"> PFS </w:t>
      </w:r>
      <w:r w:rsidR="00FD7549" w:rsidRPr="00456281">
        <w:t>and ORR</w:t>
      </w:r>
      <w:r w:rsidR="00940DD6" w:rsidRPr="00456281">
        <w:t xml:space="preserve">. </w:t>
      </w:r>
    </w:p>
    <w:p w14:paraId="650555DF" w14:textId="7797F8F1" w:rsidR="00E07477" w:rsidRPr="00456281" w:rsidRDefault="00E07477" w:rsidP="00AD3B73">
      <w:pPr>
        <w:pStyle w:val="3-BodyText"/>
      </w:pPr>
      <w:bookmarkStart w:id="105" w:name="_Ref159605832"/>
      <w:bookmarkStart w:id="106" w:name="_Ref164149092"/>
      <w:r w:rsidRPr="00456281">
        <w:t xml:space="preserve">The submission claimed that NALIRIFOX is superior to FOLFIRINOX </w:t>
      </w:r>
      <w:r w:rsidR="006407A3" w:rsidRPr="00456281">
        <w:t xml:space="preserve">in terms of overall safety </w:t>
      </w:r>
      <w:r w:rsidRPr="00456281">
        <w:t xml:space="preserve">because NALIRIFOX has proven to be of similar levels of toxicity to Gem+NabP, whereas FOLFIRINOX has historically been reserved for fitter and younger patients due to its unfavourable safety profile. This claim </w:t>
      </w:r>
      <w:r w:rsidR="00D81955" w:rsidRPr="00456281">
        <w:t xml:space="preserve">was </w:t>
      </w:r>
      <w:r w:rsidRPr="00456281">
        <w:t>not supported based on the evidence presented because:</w:t>
      </w:r>
      <w:bookmarkEnd w:id="105"/>
      <w:bookmarkEnd w:id="106"/>
    </w:p>
    <w:p w14:paraId="681AC141" w14:textId="5E93193A" w:rsidR="00E07477" w:rsidRPr="00456281" w:rsidRDefault="00E07477" w:rsidP="00690769">
      <w:pPr>
        <w:pStyle w:val="ListParagraph"/>
        <w:numPr>
          <w:ilvl w:val="0"/>
          <w:numId w:val="24"/>
        </w:numPr>
      </w:pPr>
      <w:r w:rsidRPr="00456281">
        <w:t xml:space="preserve">The clinical claim was ‘inferred’ based on the results of studies that had different durations of follow-up </w:t>
      </w:r>
      <w:r w:rsidR="007D0B2A" w:rsidRPr="00456281">
        <w:t>(median 16.0 months for NAPOLI-3 versus 26.6 months for ACCORD11/PRODIGE4),</w:t>
      </w:r>
      <w:r w:rsidR="007D0B2A" w:rsidRPr="00456281">
        <w:rPr>
          <w:i/>
          <w:iCs/>
        </w:rPr>
        <w:t xml:space="preserve"> </w:t>
      </w:r>
      <w:r w:rsidR="007D0B2A" w:rsidRPr="00456281">
        <w:t>which is likely to bias in favour of NALIRIFOX.</w:t>
      </w:r>
      <w:r w:rsidR="007D0B2A" w:rsidRPr="00456281">
        <w:rPr>
          <w:i/>
          <w:iCs/>
        </w:rPr>
        <w:t xml:space="preserve"> </w:t>
      </w:r>
      <w:r w:rsidR="007D0B2A" w:rsidRPr="00456281">
        <w:t>In addition, as previously noted, there were some</w:t>
      </w:r>
      <w:r w:rsidRPr="00456281">
        <w:t xml:space="preserve"> concerns in terms of risk of bias, including differences in trial design, setting and baseline characteristics such as age, performance status, metastatic disease burden and liver metastases. The direction and magnitude of the impact of these differences on outcome results is uncertain.</w:t>
      </w:r>
      <w:r w:rsidR="0067438D" w:rsidRPr="00456281">
        <w:t xml:space="preserve"> </w:t>
      </w:r>
    </w:p>
    <w:p w14:paraId="48C02BA7" w14:textId="5D1CB805" w:rsidR="00E07477" w:rsidRPr="00456281" w:rsidRDefault="00D81955" w:rsidP="00690769">
      <w:pPr>
        <w:pStyle w:val="ListParagraph"/>
        <w:numPr>
          <w:ilvl w:val="0"/>
          <w:numId w:val="24"/>
        </w:numPr>
      </w:pPr>
      <w:r w:rsidRPr="00456281">
        <w:t>the</w:t>
      </w:r>
      <w:r w:rsidR="00E07477" w:rsidRPr="00456281">
        <w:t xml:space="preserve"> non-inferior safety claim against Gem-NabP </w:t>
      </w:r>
      <w:r w:rsidRPr="00456281">
        <w:t>was not accepted (paragraph</w:t>
      </w:r>
      <w:r w:rsidR="005A3170" w:rsidRPr="00456281">
        <w:t xml:space="preserve"> </w:t>
      </w:r>
      <w:r w:rsidR="005A3170" w:rsidRPr="00456281">
        <w:fldChar w:fldCharType="begin"/>
      </w:r>
      <w:r w:rsidR="005A3170" w:rsidRPr="00456281">
        <w:instrText xml:space="preserve"> REF _Ref164242360 \r \h </w:instrText>
      </w:r>
      <w:r w:rsidR="005A3170" w:rsidRPr="00456281">
        <w:fldChar w:fldCharType="separate"/>
      </w:r>
      <w:r w:rsidR="00EE5AD4">
        <w:t>6.58</w:t>
      </w:r>
      <w:r w:rsidR="005A3170" w:rsidRPr="00456281">
        <w:fldChar w:fldCharType="end"/>
      </w:r>
      <w:r w:rsidRPr="00456281">
        <w:t xml:space="preserve">, therefore </w:t>
      </w:r>
      <w:r w:rsidR="00E07477" w:rsidRPr="00456281">
        <w:t>the inference does not hold.</w:t>
      </w:r>
    </w:p>
    <w:p w14:paraId="1DF3E3EB" w14:textId="2B1969CD" w:rsidR="0067438D" w:rsidRPr="00456281" w:rsidRDefault="00E265F7" w:rsidP="00690769">
      <w:pPr>
        <w:pStyle w:val="ListParagraph"/>
        <w:numPr>
          <w:ilvl w:val="0"/>
          <w:numId w:val="24"/>
        </w:numPr>
      </w:pPr>
      <w:r w:rsidRPr="00456281">
        <w:t>The ESC noted that the results of a recent meta-analysis by Nichetti et al. (2024) suggest</w:t>
      </w:r>
      <w:r w:rsidR="00D81955" w:rsidRPr="00456281">
        <w:t>ed</w:t>
      </w:r>
      <w:r w:rsidRPr="00456281">
        <w:t xml:space="preserve"> that </w:t>
      </w:r>
      <w:r w:rsidR="00126511" w:rsidRPr="00456281">
        <w:t xml:space="preserve">NALIRIFOX was associated with lower incidence of </w:t>
      </w:r>
      <w:r w:rsidR="00726516" w:rsidRPr="00456281">
        <w:t xml:space="preserve">some </w:t>
      </w:r>
      <w:r w:rsidR="00126511" w:rsidRPr="00456281">
        <w:t xml:space="preserve">grade 3 or </w:t>
      </w:r>
      <w:r w:rsidR="00126511" w:rsidRPr="00456281">
        <w:lastRenderedPageBreak/>
        <w:t xml:space="preserve">higher </w:t>
      </w:r>
      <w:r w:rsidR="00726516" w:rsidRPr="00456281">
        <w:t>haematological</w:t>
      </w:r>
      <w:r w:rsidR="00126511" w:rsidRPr="00456281">
        <w:t xml:space="preserve"> adverse events compared with FOLFIRINOX</w:t>
      </w:r>
      <w:r w:rsidR="00726516" w:rsidRPr="00456281">
        <w:t xml:space="preserve"> (see </w:t>
      </w:r>
      <w:r w:rsidR="00726516" w:rsidRPr="00456281">
        <w:fldChar w:fldCharType="begin"/>
      </w:r>
      <w:r w:rsidR="00726516" w:rsidRPr="00456281">
        <w:instrText xml:space="preserve"> REF _Ref158797393 \h </w:instrText>
      </w:r>
      <w:r w:rsidR="008D1D33" w:rsidRPr="00456281">
        <w:instrText xml:space="preserve"> \* MERGEFORMAT </w:instrText>
      </w:r>
      <w:r w:rsidR="00726516" w:rsidRPr="00456281">
        <w:fldChar w:fldCharType="separate"/>
      </w:r>
      <w:r w:rsidR="00EE5AD4" w:rsidRPr="00456281">
        <w:t xml:space="preserve">Figure </w:t>
      </w:r>
      <w:r w:rsidR="00EE5AD4">
        <w:t>4</w:t>
      </w:r>
      <w:r w:rsidR="00726516" w:rsidRPr="00456281">
        <w:fldChar w:fldCharType="end"/>
      </w:r>
      <w:r w:rsidR="00726516" w:rsidRPr="00456281">
        <w:t>)</w:t>
      </w:r>
      <w:r w:rsidR="00126511" w:rsidRPr="00456281">
        <w:t xml:space="preserve">, however </w:t>
      </w:r>
      <w:r w:rsidRPr="00456281">
        <w:t xml:space="preserve">the incidence of Grade </w:t>
      </w:r>
      <w:r w:rsidRPr="00456281">
        <w:rPr>
          <w:rFonts w:cstheme="minorHAnsi"/>
        </w:rPr>
        <w:t>≥</w:t>
      </w:r>
      <w:r w:rsidR="00031123">
        <w:rPr>
          <w:rFonts w:cstheme="minorHAnsi"/>
        </w:rPr>
        <w:t> </w:t>
      </w:r>
      <w:r w:rsidRPr="00456281">
        <w:t>3 diarrhoea may be higher with NALIRIFOX compared with FOLFIRINOX (20.3% versus 16.8%, respectively), although this did not reach statistical significance (p=0.35).</w:t>
      </w:r>
    </w:p>
    <w:p w14:paraId="3B3823E4" w14:textId="01F2D149" w:rsidR="00663B4D" w:rsidRPr="00456281" w:rsidRDefault="00663B4D" w:rsidP="004007D2">
      <w:pPr>
        <w:pStyle w:val="3-BodyText"/>
      </w:pPr>
      <w:r w:rsidRPr="00456281">
        <w:t xml:space="preserve">The ESC </w:t>
      </w:r>
      <w:r w:rsidR="00E265F7" w:rsidRPr="00456281">
        <w:t xml:space="preserve">also </w:t>
      </w:r>
      <w:r w:rsidRPr="00456281">
        <w:t>consider</w:t>
      </w:r>
      <w:r w:rsidR="00D968CC" w:rsidRPr="00456281">
        <w:t>ed</w:t>
      </w:r>
      <w:r w:rsidRPr="00456281">
        <w:t xml:space="preserve"> that the statement above that “NALIRIFOX has proven to be of similar levels of toxicity to G</w:t>
      </w:r>
      <w:r w:rsidR="00D968CC" w:rsidRPr="00456281">
        <w:t>em</w:t>
      </w:r>
      <w:r w:rsidRPr="00456281">
        <w:t xml:space="preserve">+NabP” does not represent clinical consensus. </w:t>
      </w:r>
      <w:r w:rsidR="00E265F7" w:rsidRPr="00456281">
        <w:t xml:space="preserve">Due to its toxicity profile, </w:t>
      </w:r>
      <w:r w:rsidRPr="00456281">
        <w:t xml:space="preserve">NALIRIFOX </w:t>
      </w:r>
      <w:r w:rsidR="002B7C61" w:rsidRPr="00456281">
        <w:t>like FOLF</w:t>
      </w:r>
      <w:r w:rsidR="00D968CC" w:rsidRPr="00456281">
        <w:t>I</w:t>
      </w:r>
      <w:r w:rsidR="002B7C61" w:rsidRPr="00456281">
        <w:t xml:space="preserve">RINOX, </w:t>
      </w:r>
      <w:r w:rsidRPr="00456281">
        <w:t xml:space="preserve">will likely be reserved for younger, fitter patients. </w:t>
      </w:r>
    </w:p>
    <w:p w14:paraId="183C8604" w14:textId="1F1E033F" w:rsidR="00DE02D4" w:rsidRPr="00456281" w:rsidRDefault="00DE02D4" w:rsidP="00DE02D4">
      <w:pPr>
        <w:pStyle w:val="3-BodyText"/>
        <w:widowControl w:val="0"/>
        <w:rPr>
          <w:szCs w:val="20"/>
        </w:rPr>
      </w:pPr>
      <w:bookmarkStart w:id="107" w:name="_Hlk76376200"/>
      <w:r w:rsidRPr="00456281">
        <w:rPr>
          <w:iCs/>
        </w:rPr>
        <w:t>The</w:t>
      </w:r>
      <w:r w:rsidRPr="00456281">
        <w:rPr>
          <w:szCs w:val="20"/>
        </w:rPr>
        <w:t xml:space="preserve"> PBAC considered that the claim of superior comparative effectiveness </w:t>
      </w:r>
      <w:r w:rsidR="004D408E" w:rsidRPr="00456281">
        <w:rPr>
          <w:szCs w:val="20"/>
        </w:rPr>
        <w:t xml:space="preserve">of NALIRIFOX over FOLFIRINOX </w:t>
      </w:r>
      <w:r w:rsidRPr="00456281">
        <w:rPr>
          <w:szCs w:val="20"/>
        </w:rPr>
        <w:t xml:space="preserve">was </w:t>
      </w:r>
      <w:r w:rsidR="004D408E" w:rsidRPr="00456281">
        <w:rPr>
          <w:szCs w:val="20"/>
        </w:rPr>
        <w:t xml:space="preserve">not </w:t>
      </w:r>
      <w:r w:rsidRPr="00456281">
        <w:rPr>
          <w:szCs w:val="20"/>
        </w:rPr>
        <w:t>supported by the data.</w:t>
      </w:r>
    </w:p>
    <w:p w14:paraId="0C5CE2D4" w14:textId="711FA8F2" w:rsidR="00DE02D4" w:rsidRPr="00456281" w:rsidRDefault="00DE02D4" w:rsidP="00DE02D4">
      <w:pPr>
        <w:pStyle w:val="3-BodyText"/>
        <w:widowControl w:val="0"/>
        <w:rPr>
          <w:szCs w:val="20"/>
        </w:rPr>
      </w:pPr>
      <w:r w:rsidRPr="00456281">
        <w:rPr>
          <w:szCs w:val="20"/>
        </w:rPr>
        <w:t xml:space="preserve">The PBAC considered that the claim of superior comparative safety </w:t>
      </w:r>
      <w:r w:rsidR="004D408E" w:rsidRPr="00456281">
        <w:rPr>
          <w:szCs w:val="20"/>
        </w:rPr>
        <w:t xml:space="preserve">of NALIRIFOX over FOLFIRINOX </w:t>
      </w:r>
      <w:r w:rsidRPr="00456281">
        <w:rPr>
          <w:szCs w:val="20"/>
        </w:rPr>
        <w:t>was not supported</w:t>
      </w:r>
      <w:r w:rsidR="00874B27" w:rsidRPr="00456281">
        <w:rPr>
          <w:szCs w:val="20"/>
        </w:rPr>
        <w:t xml:space="preserve"> </w:t>
      </w:r>
      <w:r w:rsidRPr="00456281">
        <w:rPr>
          <w:szCs w:val="20"/>
        </w:rPr>
        <w:t>by the data.</w:t>
      </w:r>
      <w:bookmarkEnd w:id="107"/>
    </w:p>
    <w:p w14:paraId="025949FD" w14:textId="77777777" w:rsidR="00873E01" w:rsidRPr="00456281" w:rsidRDefault="00873E01" w:rsidP="006D65E0">
      <w:pPr>
        <w:pStyle w:val="4-SubsectionHeading"/>
      </w:pPr>
      <w:bookmarkStart w:id="108" w:name="_Toc22897645"/>
      <w:bookmarkStart w:id="109" w:name="_Toc107927631"/>
      <w:bookmarkStart w:id="110" w:name="_Toc157002554"/>
      <w:bookmarkStart w:id="111" w:name="_Toc22897646"/>
      <w:bookmarkStart w:id="112" w:name="_Toc107927632"/>
      <w:bookmarkEnd w:id="99"/>
      <w:r w:rsidRPr="00456281">
        <w:t>Economic analysis</w:t>
      </w:r>
      <w:bookmarkEnd w:id="108"/>
      <w:bookmarkEnd w:id="109"/>
      <w:bookmarkEnd w:id="110"/>
      <w:r w:rsidRPr="00456281">
        <w:t xml:space="preserve"> </w:t>
      </w:r>
    </w:p>
    <w:p w14:paraId="59A7D22E" w14:textId="77777777" w:rsidR="00087F37" w:rsidRPr="00456281" w:rsidRDefault="00504051" w:rsidP="00031123">
      <w:pPr>
        <w:pStyle w:val="3-BodyText"/>
        <w:keepNext/>
        <w:numPr>
          <w:ilvl w:val="0"/>
          <w:numId w:val="0"/>
        </w:numPr>
        <w:ind w:left="720" w:hanging="720"/>
      </w:pPr>
      <w:r w:rsidRPr="00456281">
        <w:rPr>
          <w:b/>
          <w:bCs/>
        </w:rPr>
        <w:t xml:space="preserve">Base case </w:t>
      </w:r>
      <w:r w:rsidR="00315993" w:rsidRPr="00456281">
        <w:rPr>
          <w:b/>
          <w:bCs/>
        </w:rPr>
        <w:t xml:space="preserve">and alternative scenario </w:t>
      </w:r>
    </w:p>
    <w:p w14:paraId="7B330238" w14:textId="3701C322" w:rsidR="00504051" w:rsidRPr="00456281" w:rsidRDefault="00873E01" w:rsidP="00504051">
      <w:pPr>
        <w:pStyle w:val="3-BodyText"/>
      </w:pPr>
      <w:r w:rsidRPr="00456281">
        <w:t xml:space="preserve">The submission presented a stepped economic evaluation, including cost-effectiveness and cost-utility analyses </w:t>
      </w:r>
      <w:r w:rsidR="00EF381F" w:rsidRPr="00456281">
        <w:t xml:space="preserve">versus Gem+NabP </w:t>
      </w:r>
      <w:r w:rsidRPr="00456281">
        <w:t>based on the results from the NAPOLI-3 trial</w:t>
      </w:r>
      <w:r w:rsidR="00EF381F" w:rsidRPr="00456281">
        <w:t xml:space="preserve"> as the base case</w:t>
      </w:r>
      <w:r w:rsidRPr="00456281">
        <w:t xml:space="preserve">. </w:t>
      </w:r>
    </w:p>
    <w:p w14:paraId="257C355B" w14:textId="38204872" w:rsidR="00753495" w:rsidRPr="00456281" w:rsidRDefault="00A37C4B" w:rsidP="00B55037">
      <w:pPr>
        <w:pStyle w:val="3-BodyText"/>
      </w:pPr>
      <w:bookmarkStart w:id="113" w:name="_Ref159310739"/>
      <w:bookmarkStart w:id="114" w:name="_Ref159392892"/>
      <w:r w:rsidRPr="00456281">
        <w:t>The submission presented an alternative scenario using a mixed weighted comparator incorporating FOLFIRINOX</w:t>
      </w:r>
      <w:r w:rsidR="0056225D" w:rsidRPr="00456281">
        <w:t xml:space="preserve"> and assuming superiority of NALIRIFOX over FOLFIRINOX.</w:t>
      </w:r>
      <w:r w:rsidRPr="00456281">
        <w:t xml:space="preserve"> </w:t>
      </w:r>
      <w:r w:rsidR="00B3484B" w:rsidRPr="00456281">
        <w:t xml:space="preserve">Two approaches were used for modelling </w:t>
      </w:r>
      <w:r w:rsidR="0064054F" w:rsidRPr="00456281">
        <w:t>the FOLFIRINOX arm of the model</w:t>
      </w:r>
      <w:r w:rsidR="00B3484B" w:rsidRPr="00456281">
        <w:t>.</w:t>
      </w:r>
      <w:r w:rsidR="0064054F" w:rsidRPr="00456281">
        <w:t xml:space="preserve"> </w:t>
      </w:r>
      <w:r w:rsidR="00B3484B" w:rsidRPr="00456281">
        <w:t>T</w:t>
      </w:r>
      <w:r w:rsidRPr="00456281">
        <w:t xml:space="preserve">he first analysis </w:t>
      </w:r>
      <w:r w:rsidR="0064054F" w:rsidRPr="00456281">
        <w:t xml:space="preserve">presented in the submission </w:t>
      </w:r>
      <w:r w:rsidRPr="00456281">
        <w:t xml:space="preserve">used FOLFIRINOX data from the OS and PFS curves </w:t>
      </w:r>
      <w:r w:rsidR="00315993" w:rsidRPr="00456281">
        <w:t xml:space="preserve">from ACCORD11/PRODIGE4 </w:t>
      </w:r>
      <w:r w:rsidRPr="00456281">
        <w:t xml:space="preserve">presented in Conroy et al. (2011), with extrapolation of OS and PFS using the Weibull and Gompertz functions, respectively, based on </w:t>
      </w:r>
      <w:r w:rsidR="005E0D74" w:rsidRPr="00456281">
        <w:t>Akaike Information Criterion (AIC) and Bayesian Information Criterion (BIC)</w:t>
      </w:r>
      <w:r w:rsidR="00E15F33" w:rsidRPr="00456281">
        <w:t xml:space="preserve"> </w:t>
      </w:r>
      <w:r w:rsidRPr="00456281">
        <w:t xml:space="preserve">assessments. </w:t>
      </w:r>
      <w:r w:rsidR="00085DFF" w:rsidRPr="00456281">
        <w:t xml:space="preserve">The effect of the application of results for FOLFIRINOX as reported by Conroy 2011 is that it indirectly assumes that FOLFIRINOX is superior to Gem+NabP (consistent with </w:t>
      </w:r>
      <w:r w:rsidR="00085DFF" w:rsidRPr="00456281">
        <w:fldChar w:fldCharType="begin"/>
      </w:r>
      <w:r w:rsidR="00085DFF" w:rsidRPr="00456281">
        <w:instrText xml:space="preserve"> REF _Ref153723390 \h </w:instrText>
      </w:r>
      <w:r w:rsidR="00085DFF" w:rsidRPr="00456281">
        <w:fldChar w:fldCharType="separate"/>
      </w:r>
      <w:r w:rsidR="00EE5AD4" w:rsidRPr="00456281">
        <w:t xml:space="preserve">Table </w:t>
      </w:r>
      <w:r w:rsidR="00EE5AD4">
        <w:rPr>
          <w:noProof/>
        </w:rPr>
        <w:t>5</w:t>
      </w:r>
      <w:r w:rsidR="00085DFF" w:rsidRPr="00456281">
        <w:fldChar w:fldCharType="end"/>
      </w:r>
      <w:r w:rsidR="00085DFF" w:rsidRPr="00456281">
        <w:t xml:space="preserve"> and </w:t>
      </w:r>
      <w:r w:rsidR="00085DFF" w:rsidRPr="00456281">
        <w:fldChar w:fldCharType="begin"/>
      </w:r>
      <w:r w:rsidR="00085DFF" w:rsidRPr="00456281">
        <w:instrText xml:space="preserve"> REF _Ref158833336 \h </w:instrText>
      </w:r>
      <w:r w:rsidR="00085DFF" w:rsidRPr="00456281">
        <w:fldChar w:fldCharType="separate"/>
      </w:r>
      <w:r w:rsidR="00EE5AD4" w:rsidRPr="00456281">
        <w:t xml:space="preserve">Table </w:t>
      </w:r>
      <w:r w:rsidR="00EE5AD4">
        <w:rPr>
          <w:noProof/>
        </w:rPr>
        <w:t>6</w:t>
      </w:r>
      <w:r w:rsidR="00085DFF" w:rsidRPr="00456281">
        <w:fldChar w:fldCharType="end"/>
      </w:r>
      <w:r w:rsidR="00085DFF" w:rsidRPr="00456281">
        <w:t>).</w:t>
      </w:r>
    </w:p>
    <w:p w14:paraId="5C43DB3C" w14:textId="5409B8E5" w:rsidR="00113CC1" w:rsidRPr="00456281" w:rsidRDefault="00A37C4B" w:rsidP="00B55037">
      <w:pPr>
        <w:pStyle w:val="3-BodyText"/>
      </w:pPr>
      <w:bookmarkStart w:id="115" w:name="_Ref164112542"/>
      <w:r w:rsidRPr="00456281">
        <w:t xml:space="preserve">A second analysis </w:t>
      </w:r>
      <w:r w:rsidR="0064054F" w:rsidRPr="00456281">
        <w:t xml:space="preserve">proposed by the submission </w:t>
      </w:r>
      <w:r w:rsidRPr="00456281">
        <w:t>assumed non-inferiority of FOLFIRINOX to Gem+NabP and us</w:t>
      </w:r>
      <w:r w:rsidR="0056225D" w:rsidRPr="00456281">
        <w:t>ed</w:t>
      </w:r>
      <w:r w:rsidRPr="00456281">
        <w:t xml:space="preserve"> the OS and PFS curves for Gem+NabP from the NAPOLI-3 trial</w:t>
      </w:r>
      <w:r w:rsidR="0064054F" w:rsidRPr="00456281">
        <w:t xml:space="preserve"> to inform the FOLFIRINOX arm of the model</w:t>
      </w:r>
      <w:r w:rsidRPr="00456281">
        <w:t>.</w:t>
      </w:r>
      <w:bookmarkEnd w:id="113"/>
      <w:r w:rsidRPr="00456281">
        <w:t xml:space="preserve"> </w:t>
      </w:r>
      <w:r w:rsidR="006D466D" w:rsidRPr="00456281">
        <w:t>The ESC noted the limitations of the data available to assess the comparative effectiveness and safety of FOLFIRINOX and Gem+NabP, however</w:t>
      </w:r>
      <w:r w:rsidR="00F37F8A" w:rsidRPr="00456281">
        <w:t xml:space="preserve"> for the purposes of economic modelling, considered</w:t>
      </w:r>
      <w:r w:rsidR="006D466D" w:rsidRPr="00456281">
        <w:t xml:space="preserve"> </w:t>
      </w:r>
      <w:r w:rsidR="00113CC1" w:rsidRPr="00456281">
        <w:t xml:space="preserve">it was reasonable to consider </w:t>
      </w:r>
      <w:r w:rsidR="006D466D" w:rsidRPr="00456281">
        <w:t>that FOLFIRINOX was more effective than Gem+NabP</w:t>
      </w:r>
      <w:r w:rsidR="00F37F8A" w:rsidRPr="00456281">
        <w:t xml:space="preserve"> based on the evidence presented in the commentary</w:t>
      </w:r>
      <w:r w:rsidR="006D466D" w:rsidRPr="00456281">
        <w:t xml:space="preserve"> (</w:t>
      </w:r>
      <w:r w:rsidR="00F37F8A" w:rsidRPr="00456281">
        <w:fldChar w:fldCharType="begin"/>
      </w:r>
      <w:r w:rsidR="00F37F8A" w:rsidRPr="00456281">
        <w:instrText xml:space="preserve"> REF _Ref153723390 \h  \* MERGEFORMAT </w:instrText>
      </w:r>
      <w:r w:rsidR="00F37F8A" w:rsidRPr="00456281">
        <w:fldChar w:fldCharType="separate"/>
      </w:r>
      <w:r w:rsidR="00EE5AD4" w:rsidRPr="00456281">
        <w:t xml:space="preserve">Table </w:t>
      </w:r>
      <w:r w:rsidR="00EE5AD4">
        <w:t>5</w:t>
      </w:r>
      <w:r w:rsidR="00F37F8A" w:rsidRPr="00456281">
        <w:fldChar w:fldCharType="end"/>
      </w:r>
      <w:r w:rsidR="00F37F8A" w:rsidRPr="00456281">
        <w:t xml:space="preserve">, </w:t>
      </w:r>
      <w:r w:rsidR="00F37F8A" w:rsidRPr="00456281">
        <w:fldChar w:fldCharType="begin"/>
      </w:r>
      <w:r w:rsidR="00F37F8A" w:rsidRPr="00456281">
        <w:instrText xml:space="preserve"> REF _Ref158833336 \h  \* MERGEFORMAT </w:instrText>
      </w:r>
      <w:r w:rsidR="00F37F8A" w:rsidRPr="00456281">
        <w:fldChar w:fldCharType="separate"/>
      </w:r>
      <w:r w:rsidR="00EE5AD4" w:rsidRPr="00456281">
        <w:t xml:space="preserve">Table </w:t>
      </w:r>
      <w:r w:rsidR="00EE5AD4">
        <w:t>6</w:t>
      </w:r>
      <w:r w:rsidR="00F37F8A" w:rsidRPr="00456281">
        <w:fldChar w:fldCharType="end"/>
      </w:r>
      <w:r w:rsidR="006D466D" w:rsidRPr="00456281">
        <w:t>)</w:t>
      </w:r>
      <w:r w:rsidR="00113CC1" w:rsidRPr="00456281">
        <w:t xml:space="preserve"> </w:t>
      </w:r>
      <w:r w:rsidR="00F37F8A" w:rsidRPr="00456281">
        <w:t xml:space="preserve">and </w:t>
      </w:r>
      <w:r w:rsidR="00113CC1" w:rsidRPr="00456281">
        <w:t>consistent with the meta-analysis published by Nichetti 2024</w:t>
      </w:r>
      <w:r w:rsidR="006D466D" w:rsidRPr="00456281">
        <w:t xml:space="preserve">. The ESC </w:t>
      </w:r>
      <w:r w:rsidR="00113CC1" w:rsidRPr="00456281">
        <w:t xml:space="preserve">noted that conflicting evidence was reported in the abstract and presentation slides of the GENERATE study, which appeared to favour Gem+NabP in comparison with FOLFIRINOX for OS, however there was insufficient information available to assess the study (see paragraph </w:t>
      </w:r>
      <w:r w:rsidR="00113CC1" w:rsidRPr="00456281">
        <w:fldChar w:fldCharType="begin"/>
      </w:r>
      <w:r w:rsidR="00113CC1" w:rsidRPr="00456281">
        <w:instrText xml:space="preserve"> REF _Ref159268519 \r \h </w:instrText>
      </w:r>
      <w:r w:rsidR="00F37F8A" w:rsidRPr="00456281">
        <w:instrText xml:space="preserve"> \* MERGEFORMAT </w:instrText>
      </w:r>
      <w:r w:rsidR="00113CC1" w:rsidRPr="00456281">
        <w:fldChar w:fldCharType="separate"/>
      </w:r>
      <w:r w:rsidR="00EE5AD4">
        <w:t>6.7</w:t>
      </w:r>
      <w:r w:rsidR="00113CC1" w:rsidRPr="00456281">
        <w:fldChar w:fldCharType="end"/>
      </w:r>
      <w:r w:rsidR="00113CC1" w:rsidRPr="00456281">
        <w:t>).</w:t>
      </w:r>
      <w:bookmarkEnd w:id="114"/>
      <w:bookmarkEnd w:id="115"/>
    </w:p>
    <w:p w14:paraId="367810A1" w14:textId="3FEFA372" w:rsidR="00873E01" w:rsidRPr="00456281" w:rsidRDefault="00873E01" w:rsidP="00873E01">
      <w:pPr>
        <w:pStyle w:val="3-BodyText"/>
      </w:pPr>
      <w:r w:rsidRPr="00456281">
        <w:lastRenderedPageBreak/>
        <w:t xml:space="preserve">A summary of the key components of the economic evaluation is presented in </w:t>
      </w:r>
      <w:r w:rsidRPr="00456281">
        <w:fldChar w:fldCharType="begin"/>
      </w:r>
      <w:r w:rsidRPr="00456281">
        <w:instrText xml:space="preserve"> REF _Ref152746715 \h </w:instrText>
      </w:r>
      <w:r w:rsidRPr="00456281">
        <w:fldChar w:fldCharType="separate"/>
      </w:r>
      <w:r w:rsidR="00EE5AD4" w:rsidRPr="00456281">
        <w:t xml:space="preserve">Table </w:t>
      </w:r>
      <w:r w:rsidR="00EE5AD4">
        <w:rPr>
          <w:noProof/>
        </w:rPr>
        <w:t>13</w:t>
      </w:r>
      <w:r w:rsidRPr="00456281">
        <w:fldChar w:fldCharType="end"/>
      </w:r>
      <w:r w:rsidRPr="00456281">
        <w:t>.</w:t>
      </w:r>
    </w:p>
    <w:p w14:paraId="3722C04A" w14:textId="13A65300" w:rsidR="00873E01" w:rsidRPr="00456281" w:rsidRDefault="00873E01" w:rsidP="00873E01">
      <w:pPr>
        <w:pStyle w:val="TableFigureHeading"/>
        <w:rPr>
          <w:rStyle w:val="CommentReference"/>
          <w:b/>
          <w:szCs w:val="24"/>
        </w:rPr>
      </w:pPr>
      <w:bookmarkStart w:id="116" w:name="_Ref152746715"/>
      <w:bookmarkStart w:id="117" w:name="_Ref156389508"/>
      <w:r w:rsidRPr="00456281">
        <w:t xml:space="preserve">Table </w:t>
      </w:r>
      <w:r w:rsidR="00B75F7B">
        <w:fldChar w:fldCharType="begin"/>
      </w:r>
      <w:r w:rsidR="00B75F7B">
        <w:instrText xml:space="preserve"> SEQ Table \* ARABIC </w:instrText>
      </w:r>
      <w:r w:rsidR="00B75F7B">
        <w:fldChar w:fldCharType="separate"/>
      </w:r>
      <w:r w:rsidR="00EE5AD4">
        <w:rPr>
          <w:noProof/>
        </w:rPr>
        <w:t>13</w:t>
      </w:r>
      <w:r w:rsidR="00B75F7B">
        <w:fldChar w:fldCharType="end"/>
      </w:r>
      <w:bookmarkEnd w:id="116"/>
      <w:r w:rsidRPr="00456281">
        <w:t>:</w:t>
      </w:r>
      <w:r w:rsidRPr="00456281">
        <w:rPr>
          <w:rStyle w:val="CommentReference"/>
          <w:b/>
          <w:szCs w:val="24"/>
        </w:rPr>
        <w:t xml:space="preserve"> Summary of model structure, key inputs and rationale</w:t>
      </w:r>
      <w:bookmarkEnd w:id="1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3: Summary of model structure, key inputs and rationale"/>
      </w:tblPr>
      <w:tblGrid>
        <w:gridCol w:w="2518"/>
        <w:gridCol w:w="6499"/>
      </w:tblGrid>
      <w:tr w:rsidR="00873E01" w:rsidRPr="00456281" w14:paraId="4FA7D081" w14:textId="77777777" w:rsidTr="008064C4">
        <w:trPr>
          <w:tblHeader/>
        </w:trPr>
        <w:tc>
          <w:tcPr>
            <w:tcW w:w="1396" w:type="pct"/>
            <w:shd w:val="clear" w:color="auto" w:fill="auto"/>
            <w:vAlign w:val="center"/>
          </w:tcPr>
          <w:p w14:paraId="4B37B285" w14:textId="77777777" w:rsidR="00873E01" w:rsidRPr="00456281" w:rsidRDefault="00873E01" w:rsidP="008064C4">
            <w:pPr>
              <w:pStyle w:val="In-tableHeading"/>
              <w:rPr>
                <w:lang w:val="en-AU"/>
              </w:rPr>
            </w:pPr>
            <w:r w:rsidRPr="00456281">
              <w:rPr>
                <w:lang w:val="en-AU"/>
              </w:rPr>
              <w:t>Component</w:t>
            </w:r>
          </w:p>
        </w:tc>
        <w:tc>
          <w:tcPr>
            <w:tcW w:w="3604" w:type="pct"/>
            <w:shd w:val="clear" w:color="auto" w:fill="auto"/>
            <w:vAlign w:val="center"/>
          </w:tcPr>
          <w:p w14:paraId="32C877C7" w14:textId="77777777" w:rsidR="00873E01" w:rsidRPr="00456281" w:rsidRDefault="00873E01" w:rsidP="008064C4">
            <w:pPr>
              <w:pStyle w:val="In-tableHeading"/>
              <w:rPr>
                <w:lang w:val="en-AU"/>
              </w:rPr>
            </w:pPr>
            <w:r w:rsidRPr="00456281">
              <w:rPr>
                <w:lang w:val="en-AU"/>
              </w:rPr>
              <w:t>Summary</w:t>
            </w:r>
          </w:p>
        </w:tc>
      </w:tr>
      <w:tr w:rsidR="00873E01" w:rsidRPr="00456281" w14:paraId="09EB7DE5" w14:textId="77777777" w:rsidTr="008064C4">
        <w:tc>
          <w:tcPr>
            <w:tcW w:w="1396" w:type="pct"/>
            <w:shd w:val="clear" w:color="auto" w:fill="auto"/>
            <w:vAlign w:val="center"/>
          </w:tcPr>
          <w:p w14:paraId="73F6BC14" w14:textId="77777777" w:rsidR="00873E01" w:rsidRPr="00456281" w:rsidRDefault="00873E01" w:rsidP="008064C4">
            <w:pPr>
              <w:pStyle w:val="TableText0"/>
            </w:pPr>
            <w:r w:rsidRPr="00456281">
              <w:t>Treatments</w:t>
            </w:r>
          </w:p>
        </w:tc>
        <w:tc>
          <w:tcPr>
            <w:tcW w:w="3604" w:type="pct"/>
            <w:shd w:val="clear" w:color="auto" w:fill="auto"/>
            <w:vAlign w:val="center"/>
          </w:tcPr>
          <w:p w14:paraId="5B9A3596" w14:textId="05B59F30" w:rsidR="00873E01" w:rsidRPr="00456281" w:rsidRDefault="004E43D1" w:rsidP="008064C4">
            <w:pPr>
              <w:pStyle w:val="TableText0"/>
            </w:pPr>
            <w:r w:rsidRPr="00456281">
              <w:t xml:space="preserve">Submission </w:t>
            </w:r>
            <w:r w:rsidR="00873E01" w:rsidRPr="00456281">
              <w:t>base case: NALIRIFOX vs. Gem+NabP</w:t>
            </w:r>
          </w:p>
          <w:p w14:paraId="4606B21B" w14:textId="5A900260" w:rsidR="00873E01" w:rsidRPr="00456281" w:rsidRDefault="00873E01" w:rsidP="008064C4">
            <w:pPr>
              <w:pStyle w:val="TableText0"/>
            </w:pPr>
            <w:r w:rsidRPr="00456281">
              <w:t xml:space="preserve">Alternative scenario (mixed weighted comparator): NALIRIFOX vs. Gem+NabP vs. FOLFIRINOX </w:t>
            </w:r>
          </w:p>
        </w:tc>
      </w:tr>
      <w:tr w:rsidR="00873E01" w:rsidRPr="00456281" w14:paraId="302C79CA" w14:textId="77777777" w:rsidTr="008064C4">
        <w:tc>
          <w:tcPr>
            <w:tcW w:w="1396" w:type="pct"/>
            <w:shd w:val="clear" w:color="auto" w:fill="auto"/>
            <w:vAlign w:val="center"/>
          </w:tcPr>
          <w:p w14:paraId="2A4963A1" w14:textId="77777777" w:rsidR="00873E01" w:rsidRPr="00456281" w:rsidRDefault="00873E01" w:rsidP="008064C4">
            <w:pPr>
              <w:pStyle w:val="TableText0"/>
            </w:pPr>
            <w:r w:rsidRPr="00456281">
              <w:t>Time horizon</w:t>
            </w:r>
          </w:p>
        </w:tc>
        <w:tc>
          <w:tcPr>
            <w:tcW w:w="3604" w:type="pct"/>
            <w:shd w:val="clear" w:color="auto" w:fill="auto"/>
            <w:vAlign w:val="center"/>
          </w:tcPr>
          <w:p w14:paraId="5C7FDC1F" w14:textId="77777777" w:rsidR="00873E01" w:rsidRPr="00456281" w:rsidRDefault="00873E01" w:rsidP="008064C4">
            <w:pPr>
              <w:pStyle w:val="TableText0"/>
            </w:pPr>
            <w:r w:rsidRPr="00456281">
              <w:t>5 years in the model base case versus 16.1 months (median follow-up) in trial</w:t>
            </w:r>
          </w:p>
        </w:tc>
      </w:tr>
      <w:tr w:rsidR="00873E01" w:rsidRPr="00456281" w14:paraId="4714193F" w14:textId="77777777" w:rsidTr="008064C4">
        <w:tc>
          <w:tcPr>
            <w:tcW w:w="1396" w:type="pct"/>
            <w:shd w:val="clear" w:color="auto" w:fill="auto"/>
            <w:vAlign w:val="center"/>
          </w:tcPr>
          <w:p w14:paraId="3548FCC5" w14:textId="77777777" w:rsidR="00873E01" w:rsidRPr="00456281" w:rsidRDefault="00873E01" w:rsidP="008064C4">
            <w:pPr>
              <w:pStyle w:val="TableText0"/>
            </w:pPr>
            <w:r w:rsidRPr="00456281">
              <w:t xml:space="preserve">Discounting </w:t>
            </w:r>
          </w:p>
        </w:tc>
        <w:tc>
          <w:tcPr>
            <w:tcW w:w="3604" w:type="pct"/>
            <w:shd w:val="clear" w:color="auto" w:fill="auto"/>
          </w:tcPr>
          <w:p w14:paraId="4C15E8DC" w14:textId="77777777" w:rsidR="00873E01" w:rsidRPr="00456281" w:rsidRDefault="00873E01" w:rsidP="008064C4">
            <w:pPr>
              <w:pStyle w:val="TableText0"/>
              <w:rPr>
                <w:szCs w:val="20"/>
              </w:rPr>
            </w:pPr>
            <w:r w:rsidRPr="00456281">
              <w:rPr>
                <w:szCs w:val="20"/>
              </w:rPr>
              <w:t>5% per annum (applied to outcomes and end-of-life costs)</w:t>
            </w:r>
          </w:p>
          <w:p w14:paraId="7F930AD9" w14:textId="77777777" w:rsidR="00873E01" w:rsidRPr="00456281" w:rsidRDefault="00873E01" w:rsidP="008064C4">
            <w:pPr>
              <w:pStyle w:val="TableText0"/>
            </w:pPr>
            <w:r w:rsidRPr="00456281">
              <w:t>Drug and drug administration costs, costs of subsequent therapies and costs of treating AEs were applied as a one-off cost at the start of the model, therefore not discounted.</w:t>
            </w:r>
          </w:p>
        </w:tc>
      </w:tr>
      <w:tr w:rsidR="00873E01" w:rsidRPr="00456281" w14:paraId="40CE505A" w14:textId="77777777" w:rsidTr="008064C4">
        <w:tc>
          <w:tcPr>
            <w:tcW w:w="1396" w:type="pct"/>
            <w:shd w:val="clear" w:color="auto" w:fill="auto"/>
            <w:vAlign w:val="center"/>
          </w:tcPr>
          <w:p w14:paraId="69196DCF" w14:textId="77777777" w:rsidR="00873E01" w:rsidRPr="00456281" w:rsidRDefault="00873E01" w:rsidP="008064C4">
            <w:pPr>
              <w:pStyle w:val="TableText0"/>
            </w:pPr>
            <w:r w:rsidRPr="00456281">
              <w:t>Outcomes</w:t>
            </w:r>
          </w:p>
        </w:tc>
        <w:tc>
          <w:tcPr>
            <w:tcW w:w="3604" w:type="pct"/>
            <w:shd w:val="clear" w:color="auto" w:fill="auto"/>
            <w:vAlign w:val="center"/>
          </w:tcPr>
          <w:p w14:paraId="0F969BEF" w14:textId="77777777" w:rsidR="00873E01" w:rsidRPr="00456281" w:rsidRDefault="00873E01" w:rsidP="008064C4">
            <w:pPr>
              <w:autoSpaceDE w:val="0"/>
              <w:autoSpaceDN w:val="0"/>
              <w:adjustRightInd w:val="0"/>
              <w:rPr>
                <w:rFonts w:ascii="Arial Narrow" w:hAnsi="Arial Narrow"/>
                <w:sz w:val="20"/>
                <w:szCs w:val="20"/>
              </w:rPr>
            </w:pPr>
            <w:r w:rsidRPr="00456281">
              <w:rPr>
                <w:rFonts w:ascii="Arial Narrow" w:hAnsi="Arial Narrow"/>
                <w:sz w:val="20"/>
                <w:szCs w:val="20"/>
              </w:rPr>
              <w:t>Quality-adjusted life-years gained</w:t>
            </w:r>
          </w:p>
          <w:p w14:paraId="1FE8CB5C" w14:textId="77777777" w:rsidR="00873E01" w:rsidRPr="00456281" w:rsidRDefault="00873E01" w:rsidP="008064C4">
            <w:pPr>
              <w:pStyle w:val="TableText0"/>
            </w:pPr>
            <w:r w:rsidRPr="00456281">
              <w:rPr>
                <w:szCs w:val="20"/>
              </w:rPr>
              <w:t>Life-years gained</w:t>
            </w:r>
          </w:p>
        </w:tc>
      </w:tr>
      <w:tr w:rsidR="00873E01" w:rsidRPr="00456281" w14:paraId="21A7AA65" w14:textId="77777777" w:rsidTr="008064C4">
        <w:tc>
          <w:tcPr>
            <w:tcW w:w="1396" w:type="pct"/>
            <w:shd w:val="clear" w:color="auto" w:fill="auto"/>
            <w:vAlign w:val="center"/>
          </w:tcPr>
          <w:p w14:paraId="45ED74EC" w14:textId="77777777" w:rsidR="00873E01" w:rsidRPr="00456281" w:rsidRDefault="00873E01" w:rsidP="008064C4">
            <w:pPr>
              <w:pStyle w:val="TableText0"/>
            </w:pPr>
            <w:r w:rsidRPr="00456281">
              <w:t>Health states</w:t>
            </w:r>
          </w:p>
        </w:tc>
        <w:tc>
          <w:tcPr>
            <w:tcW w:w="3604" w:type="pct"/>
            <w:shd w:val="clear" w:color="auto" w:fill="auto"/>
            <w:vAlign w:val="center"/>
          </w:tcPr>
          <w:p w14:paraId="41AB4E9C" w14:textId="77777777" w:rsidR="00873E01" w:rsidRPr="00456281" w:rsidRDefault="00873E01" w:rsidP="008064C4">
            <w:pPr>
              <w:pStyle w:val="TableText0"/>
            </w:pPr>
            <w:r w:rsidRPr="00456281">
              <w:t>Free of progression</w:t>
            </w:r>
          </w:p>
          <w:p w14:paraId="63F39E72" w14:textId="77777777" w:rsidR="00873E01" w:rsidRPr="00456281" w:rsidRDefault="00873E01" w:rsidP="008064C4">
            <w:pPr>
              <w:pStyle w:val="TableText0"/>
            </w:pPr>
            <w:r w:rsidRPr="00456281">
              <w:t>Progressed</w:t>
            </w:r>
          </w:p>
          <w:p w14:paraId="14126B36" w14:textId="77777777" w:rsidR="00873E01" w:rsidRPr="00456281" w:rsidRDefault="00873E01" w:rsidP="008064C4">
            <w:pPr>
              <w:pStyle w:val="TableText0"/>
              <w:rPr>
                <w:szCs w:val="20"/>
              </w:rPr>
            </w:pPr>
            <w:r w:rsidRPr="00456281">
              <w:t>Dead</w:t>
            </w:r>
          </w:p>
        </w:tc>
      </w:tr>
      <w:tr w:rsidR="00873E01" w:rsidRPr="00456281" w14:paraId="392931C5" w14:textId="77777777" w:rsidTr="008064C4">
        <w:tc>
          <w:tcPr>
            <w:tcW w:w="1396" w:type="pct"/>
            <w:shd w:val="clear" w:color="auto" w:fill="auto"/>
            <w:vAlign w:val="center"/>
          </w:tcPr>
          <w:p w14:paraId="3840ABE0" w14:textId="77777777" w:rsidR="00873E01" w:rsidRPr="00456281" w:rsidRDefault="00873E01" w:rsidP="008064C4">
            <w:pPr>
              <w:pStyle w:val="TableText0"/>
            </w:pPr>
            <w:r w:rsidRPr="00456281">
              <w:t>Methods used to generate results</w:t>
            </w:r>
          </w:p>
        </w:tc>
        <w:tc>
          <w:tcPr>
            <w:tcW w:w="3604" w:type="pct"/>
            <w:shd w:val="clear" w:color="auto" w:fill="auto"/>
            <w:vAlign w:val="center"/>
          </w:tcPr>
          <w:p w14:paraId="240E7948" w14:textId="77777777" w:rsidR="00873E01" w:rsidRPr="00456281" w:rsidRDefault="00873E01" w:rsidP="008064C4">
            <w:pPr>
              <w:pStyle w:val="TableText0"/>
            </w:pPr>
            <w:r w:rsidRPr="00456281">
              <w:t xml:space="preserve">Partitioned survival analysis model. </w:t>
            </w:r>
          </w:p>
          <w:p w14:paraId="5A4F8EE1" w14:textId="77777777" w:rsidR="00873E01" w:rsidRPr="00456281" w:rsidRDefault="00873E01" w:rsidP="008064C4">
            <w:pPr>
              <w:pStyle w:val="TableText0"/>
              <w:rPr>
                <w:szCs w:val="20"/>
              </w:rPr>
            </w:pPr>
            <w:r w:rsidRPr="00456281">
              <w:t>The model was informed by PFS and OS time-to-event data from the NAPOLI-3 trial which determined the distribution of patients across the three health states.</w:t>
            </w:r>
          </w:p>
        </w:tc>
      </w:tr>
      <w:tr w:rsidR="00873E01" w:rsidRPr="00456281" w14:paraId="227EAD55" w14:textId="77777777" w:rsidTr="008064C4">
        <w:tc>
          <w:tcPr>
            <w:tcW w:w="1396" w:type="pct"/>
            <w:shd w:val="clear" w:color="auto" w:fill="auto"/>
            <w:vAlign w:val="center"/>
          </w:tcPr>
          <w:p w14:paraId="7C6718D9" w14:textId="77777777" w:rsidR="00873E01" w:rsidRPr="00456281" w:rsidRDefault="00873E01" w:rsidP="008064C4">
            <w:pPr>
              <w:pStyle w:val="TableText0"/>
            </w:pPr>
            <w:r w:rsidRPr="00456281">
              <w:t>Extrapolation method</w:t>
            </w:r>
          </w:p>
        </w:tc>
        <w:tc>
          <w:tcPr>
            <w:tcW w:w="3604" w:type="pct"/>
            <w:shd w:val="clear" w:color="auto" w:fill="auto"/>
            <w:vAlign w:val="center"/>
          </w:tcPr>
          <w:p w14:paraId="1A312536" w14:textId="77777777" w:rsidR="00873E01" w:rsidRPr="00456281" w:rsidRDefault="00873E01" w:rsidP="008064C4">
            <w:pPr>
              <w:pStyle w:val="TableText0"/>
            </w:pPr>
            <w:r w:rsidRPr="00456281">
              <w:t xml:space="preserve">OS and PFS KM data from the NAPOLI-3 trial were truncated at selected time points where 10% of patients remain at risk. Parametric models were fit to the data from these time points and extrapolated over the 5-year time horizon. The selection for best fitting curve was based on AIC and BIC assessments. </w:t>
            </w:r>
          </w:p>
          <w:p w14:paraId="6A6D3D24" w14:textId="77777777" w:rsidR="00873E01" w:rsidRPr="00456281" w:rsidRDefault="00873E01" w:rsidP="008064C4">
            <w:pPr>
              <w:pStyle w:val="TableText0"/>
            </w:pPr>
          </w:p>
          <w:p w14:paraId="7BCF7494" w14:textId="77777777" w:rsidR="00873E01" w:rsidRPr="00456281" w:rsidRDefault="00873E01" w:rsidP="008064C4">
            <w:pPr>
              <w:pStyle w:val="TableText0"/>
            </w:pPr>
            <w:r w:rsidRPr="00456281">
              <w:t>The submission assumed a constant and continuous treatment effect for both endpoints (assuming proportional hazards assumptions were met).</w:t>
            </w:r>
          </w:p>
          <w:p w14:paraId="60B83E2F" w14:textId="77777777" w:rsidR="00873E01" w:rsidRPr="00456281" w:rsidRDefault="00873E01" w:rsidP="008064C4">
            <w:pPr>
              <w:pStyle w:val="TableText0"/>
            </w:pPr>
          </w:p>
          <w:p w14:paraId="17368AFC" w14:textId="77777777" w:rsidR="00873E01" w:rsidRPr="00456281" w:rsidRDefault="00873E01" w:rsidP="008064C4">
            <w:pPr>
              <w:pStyle w:val="TableText0"/>
              <w:rPr>
                <w:szCs w:val="20"/>
              </w:rPr>
            </w:pPr>
            <w:r w:rsidRPr="00456281">
              <w:t xml:space="preserve">23% of QALYs (and 13% of costs) for the NALIRIFOX arm and 30% of QALYs (11% of costs) for the Gem+NabP occur in the extrapolated period. About 45% of incremental LYs were accrued in the extrapolated period. </w:t>
            </w:r>
          </w:p>
        </w:tc>
      </w:tr>
      <w:tr w:rsidR="00873E01" w:rsidRPr="00456281" w14:paraId="4FEDCFAB" w14:textId="77777777" w:rsidTr="008064C4">
        <w:tc>
          <w:tcPr>
            <w:tcW w:w="1396" w:type="pct"/>
            <w:shd w:val="clear" w:color="auto" w:fill="auto"/>
            <w:vAlign w:val="center"/>
          </w:tcPr>
          <w:p w14:paraId="70CC49CD" w14:textId="77777777" w:rsidR="00873E01" w:rsidRPr="00456281" w:rsidRDefault="00873E01" w:rsidP="008064C4">
            <w:pPr>
              <w:pStyle w:val="TableText0"/>
            </w:pPr>
            <w:r w:rsidRPr="00456281">
              <w:t>Cycle length</w:t>
            </w:r>
          </w:p>
        </w:tc>
        <w:tc>
          <w:tcPr>
            <w:tcW w:w="3604" w:type="pct"/>
            <w:shd w:val="clear" w:color="auto" w:fill="auto"/>
            <w:vAlign w:val="center"/>
          </w:tcPr>
          <w:p w14:paraId="683838F4" w14:textId="77777777" w:rsidR="00873E01" w:rsidRPr="00456281" w:rsidRDefault="00873E01" w:rsidP="008064C4">
            <w:pPr>
              <w:pStyle w:val="TableText0"/>
            </w:pPr>
            <w:r w:rsidRPr="00456281">
              <w:t>28 days</w:t>
            </w:r>
          </w:p>
        </w:tc>
      </w:tr>
      <w:tr w:rsidR="00873E01" w:rsidRPr="00456281" w14:paraId="799A43C3" w14:textId="77777777" w:rsidTr="008064C4">
        <w:tc>
          <w:tcPr>
            <w:tcW w:w="1396" w:type="pct"/>
            <w:shd w:val="clear" w:color="auto" w:fill="auto"/>
            <w:vAlign w:val="center"/>
          </w:tcPr>
          <w:p w14:paraId="7144A397" w14:textId="77777777" w:rsidR="00873E01" w:rsidRPr="00456281" w:rsidRDefault="00873E01" w:rsidP="008064C4">
            <w:pPr>
              <w:pStyle w:val="TableText0"/>
            </w:pPr>
            <w:r w:rsidRPr="00456281">
              <w:t>Health related quality of life</w:t>
            </w:r>
          </w:p>
        </w:tc>
        <w:tc>
          <w:tcPr>
            <w:tcW w:w="3604" w:type="pct"/>
            <w:shd w:val="clear" w:color="auto" w:fill="auto"/>
            <w:vAlign w:val="center"/>
          </w:tcPr>
          <w:p w14:paraId="63854288" w14:textId="67A71BAD" w:rsidR="00CD65AA" w:rsidRPr="00456281" w:rsidRDefault="00873E01" w:rsidP="008064C4">
            <w:pPr>
              <w:autoSpaceDE w:val="0"/>
              <w:autoSpaceDN w:val="0"/>
              <w:adjustRightInd w:val="0"/>
              <w:rPr>
                <w:rFonts w:ascii="Arial Narrow" w:hAnsi="Arial Narrow"/>
                <w:sz w:val="20"/>
                <w:szCs w:val="20"/>
              </w:rPr>
            </w:pPr>
            <w:r w:rsidRPr="00456281">
              <w:rPr>
                <w:rFonts w:ascii="Arial Narrow" w:hAnsi="Arial Narrow"/>
                <w:sz w:val="20"/>
                <w:szCs w:val="20"/>
              </w:rPr>
              <w:t xml:space="preserve">EQ-5D-5L data from the NAPOLI-3 trial were used to inform the utility values for the Free of Progression and Progressed health states. </w:t>
            </w:r>
            <w:r w:rsidR="00CD65AA" w:rsidRPr="00456281">
              <w:rPr>
                <w:rFonts w:ascii="Arial Narrow" w:hAnsi="Arial Narrow"/>
                <w:sz w:val="20"/>
                <w:szCs w:val="20"/>
              </w:rPr>
              <w:t>Sensitivity analyses were based on published results (SIEGE trial and Romanus 2012).</w:t>
            </w:r>
          </w:p>
          <w:p w14:paraId="7144DB34" w14:textId="2B688363" w:rsidR="00873E01" w:rsidRPr="00456281" w:rsidRDefault="00873E01" w:rsidP="008064C4">
            <w:pPr>
              <w:autoSpaceDE w:val="0"/>
              <w:autoSpaceDN w:val="0"/>
              <w:adjustRightInd w:val="0"/>
              <w:rPr>
                <w:rFonts w:ascii="Arial Narrow" w:hAnsi="Arial Narrow"/>
                <w:sz w:val="20"/>
                <w:szCs w:val="20"/>
              </w:rPr>
            </w:pPr>
            <w:r w:rsidRPr="00456281">
              <w:rPr>
                <w:rFonts w:ascii="Arial Narrow" w:hAnsi="Arial Narrow"/>
                <w:sz w:val="20"/>
                <w:szCs w:val="20"/>
              </w:rPr>
              <w:t>Disutilities related to AEs for each of the treatment arms were based on TEAE rates from the NAPOLI-3 trial and average disutility values from literature (Takumoto et al, 2022; Attard et al, 2014; Tam et al, 2013).</w:t>
            </w:r>
          </w:p>
        </w:tc>
      </w:tr>
      <w:tr w:rsidR="00873E01" w:rsidRPr="00456281" w14:paraId="45CFAB68" w14:textId="77777777" w:rsidTr="008064C4">
        <w:tc>
          <w:tcPr>
            <w:tcW w:w="1396" w:type="pct"/>
            <w:shd w:val="clear" w:color="auto" w:fill="auto"/>
            <w:vAlign w:val="center"/>
          </w:tcPr>
          <w:p w14:paraId="2E268302" w14:textId="77777777" w:rsidR="00873E01" w:rsidRPr="00456281" w:rsidRDefault="00873E01" w:rsidP="008064C4">
            <w:pPr>
              <w:pStyle w:val="TableText0"/>
            </w:pPr>
            <w:r w:rsidRPr="00456281">
              <w:t xml:space="preserve">Costs related to subsequent anticancer therapy </w:t>
            </w:r>
          </w:p>
        </w:tc>
        <w:tc>
          <w:tcPr>
            <w:tcW w:w="3604" w:type="pct"/>
            <w:shd w:val="clear" w:color="auto" w:fill="auto"/>
            <w:vAlign w:val="center"/>
          </w:tcPr>
          <w:p w14:paraId="167C9E40" w14:textId="77777777" w:rsidR="00873E01" w:rsidRPr="00456281" w:rsidRDefault="00873E01" w:rsidP="008064C4">
            <w:pPr>
              <w:pStyle w:val="TableText0"/>
            </w:pPr>
            <w:r w:rsidRPr="00456281">
              <w:t xml:space="preserve">Current PBS restriction does not allow for the use of NabP second- or subsequent-line and nal-IRI is not PBS-listed; therefore, the submission applied the lower cost PBS-listed paclitaxel and irinotecan as substitutes, and actual costs of these medications were tested in sensitivity analysis. </w:t>
            </w:r>
          </w:p>
        </w:tc>
      </w:tr>
      <w:tr w:rsidR="00873E01" w:rsidRPr="00456281" w14:paraId="6C70C0D6" w14:textId="77777777" w:rsidTr="008064C4">
        <w:tc>
          <w:tcPr>
            <w:tcW w:w="1396" w:type="pct"/>
            <w:shd w:val="clear" w:color="auto" w:fill="auto"/>
            <w:vAlign w:val="center"/>
          </w:tcPr>
          <w:p w14:paraId="4AEF8A6D" w14:textId="77777777" w:rsidR="00873E01" w:rsidRPr="00456281" w:rsidRDefault="00873E01" w:rsidP="008064C4">
            <w:pPr>
              <w:pStyle w:val="TableText0"/>
            </w:pPr>
            <w:r w:rsidRPr="00456281">
              <w:t>Costs related to AE management</w:t>
            </w:r>
          </w:p>
        </w:tc>
        <w:tc>
          <w:tcPr>
            <w:tcW w:w="3604" w:type="pct"/>
            <w:shd w:val="clear" w:color="auto" w:fill="auto"/>
            <w:vAlign w:val="center"/>
          </w:tcPr>
          <w:p w14:paraId="629E42AD" w14:textId="77777777" w:rsidR="00873E01" w:rsidRPr="00456281" w:rsidRDefault="00873E01" w:rsidP="008064C4">
            <w:pPr>
              <w:autoSpaceDE w:val="0"/>
              <w:autoSpaceDN w:val="0"/>
              <w:adjustRightInd w:val="0"/>
              <w:rPr>
                <w:rFonts w:ascii="Arial Narrow" w:hAnsi="Arial Narrow"/>
                <w:sz w:val="20"/>
                <w:szCs w:val="20"/>
              </w:rPr>
            </w:pPr>
            <w:r w:rsidRPr="00456281">
              <w:rPr>
                <w:rFonts w:ascii="Arial Narrow" w:hAnsi="Arial Narrow"/>
                <w:sz w:val="20"/>
                <w:szCs w:val="20"/>
              </w:rPr>
              <w:t>Clinician advice was sought to inform the management of AEs and these were costed in accordance with the recommendations of the PBAC Manual of Resource Items and their Associated Costs.</w:t>
            </w:r>
          </w:p>
        </w:tc>
      </w:tr>
    </w:tbl>
    <w:p w14:paraId="3CA2B15A" w14:textId="77777777" w:rsidR="00873E01" w:rsidRPr="00456281" w:rsidRDefault="00873E01" w:rsidP="00873E01">
      <w:pPr>
        <w:pStyle w:val="FooterTableFigure"/>
      </w:pPr>
      <w:r w:rsidRPr="00456281">
        <w:t xml:space="preserve">Source: Compiled during the evaluation using data from Table 46, p111 of the submission Sections 3.4, 3.5 and 3.6 </w:t>
      </w:r>
    </w:p>
    <w:p w14:paraId="487A9AD8" w14:textId="52376636" w:rsidR="00873E01" w:rsidRPr="00456281" w:rsidRDefault="00873E01" w:rsidP="00873E01">
      <w:pPr>
        <w:pStyle w:val="FooterTableFigure"/>
      </w:pPr>
      <w:r w:rsidRPr="00456281">
        <w:t xml:space="preserve">Abbreviations: AEs, adverse events; AIC, Akaike Information Criterion; BIC, Bayesian Information Criterion; Gem+NabP, gemcitabine plus nanoparticle albumin-bound paclitaxel; EQ-5D-5L, EuroQol 5-dimension health status questionnaire (5 level); FOLFIRINOX, Fluorouracil, Folinic Acid, Irinotecan, Oxaliplatin; KM, Kaplan-Meier; </w:t>
      </w:r>
      <w:r w:rsidR="00E43A2C" w:rsidRPr="00456281">
        <w:t>NabP</w:t>
      </w:r>
      <w:r w:rsidRPr="00456281">
        <w:t>, nanoparticle albumin-bound paclitaxel; nal-IRI, nanoliposomal irinotecan;  NALIRIFOX, nanoliposomal irinotecan (nal-IRI) in combination with 5-fluorouracil, leucovorin/folinic acid; OS, overall survival; PBAC; Pharmaceutical Benefits Advisory Committee; PBS, Pharmaceutical Benefits Scheme; PFS, progression-free survival; QALYs, quality-adjusted life years; TEAE, treatment emergent adverse event</w:t>
      </w:r>
    </w:p>
    <w:p w14:paraId="28C5B128" w14:textId="1A335D1D" w:rsidR="00873E01" w:rsidRPr="00456281" w:rsidRDefault="00873E01" w:rsidP="00410CB8">
      <w:pPr>
        <w:pStyle w:val="3-BodyText"/>
      </w:pPr>
      <w:r w:rsidRPr="00456281">
        <w:t xml:space="preserve">The model relied on the PFS and OS time-to-event data from the NAPOLI-3 trial to determine the distribution of patients across the health states. Although the trial </w:t>
      </w:r>
      <w:r w:rsidRPr="00456281">
        <w:lastRenderedPageBreak/>
        <w:t xml:space="preserve">results indicate an overall improved survival with NALIRIFOX compared to Gem+NabP (HR of 0.834; 95% CI, 0.705, 0.988), the 95% CI had an upper limit that is very close to 1. This measure of uncertainty is not reflected in the results presented, </w:t>
      </w:r>
      <w:r w:rsidR="00987213" w:rsidRPr="00456281">
        <w:t xml:space="preserve">and </w:t>
      </w:r>
      <w:r w:rsidRPr="00456281">
        <w:t>therefore results should be interpreted with caution.</w:t>
      </w:r>
      <w:r w:rsidR="0049589D" w:rsidRPr="00456281">
        <w:t xml:space="preserve"> The ESC </w:t>
      </w:r>
      <w:r w:rsidR="003C13CD" w:rsidRPr="00456281">
        <w:t xml:space="preserve">acknowledged that while the approach taken </w:t>
      </w:r>
      <w:r w:rsidR="00320B25" w:rsidRPr="00456281">
        <w:t>was</w:t>
      </w:r>
      <w:r w:rsidR="003C13CD" w:rsidRPr="00456281">
        <w:t xml:space="preserve"> </w:t>
      </w:r>
      <w:r w:rsidR="006D402F" w:rsidRPr="00456281">
        <w:t xml:space="preserve">reasonable and </w:t>
      </w:r>
      <w:r w:rsidR="003C13CD" w:rsidRPr="00456281">
        <w:t xml:space="preserve">consistent with PBAC guidelines, </w:t>
      </w:r>
      <w:r w:rsidR="005E3EBA" w:rsidRPr="00456281">
        <w:t>the</w:t>
      </w:r>
      <w:r w:rsidR="0049589D" w:rsidRPr="00456281">
        <w:t xml:space="preserve"> </w:t>
      </w:r>
      <w:r w:rsidR="008A78B1" w:rsidRPr="00456281">
        <w:t xml:space="preserve">use of </w:t>
      </w:r>
      <w:r w:rsidR="000942E7" w:rsidRPr="00456281">
        <w:t xml:space="preserve">KM </w:t>
      </w:r>
      <w:r w:rsidR="008A78B1" w:rsidRPr="00456281">
        <w:t xml:space="preserve">data and </w:t>
      </w:r>
      <w:r w:rsidR="00861FDB" w:rsidRPr="00456281">
        <w:t xml:space="preserve">extrapolations </w:t>
      </w:r>
      <w:r w:rsidR="000942E7" w:rsidRPr="00456281">
        <w:t xml:space="preserve">do not </w:t>
      </w:r>
      <w:r w:rsidR="001416ED" w:rsidRPr="00456281">
        <w:t>implicitly capture uncertainty</w:t>
      </w:r>
      <w:r w:rsidR="00861FDB" w:rsidRPr="00456281">
        <w:t xml:space="preserve"> with regard to the treatment effect</w:t>
      </w:r>
      <w:r w:rsidR="005E3EBA" w:rsidRPr="00456281">
        <w:t>. The ESC noted</w:t>
      </w:r>
      <w:r w:rsidR="00F8538C" w:rsidRPr="00456281">
        <w:t xml:space="preserve"> that </w:t>
      </w:r>
      <w:r w:rsidR="0055640C" w:rsidRPr="00456281">
        <w:t xml:space="preserve">more conservative </w:t>
      </w:r>
      <w:r w:rsidR="0049589D" w:rsidRPr="00456281">
        <w:t>extrapolation approaches were tested in sensitivity analyses.</w:t>
      </w:r>
    </w:p>
    <w:p w14:paraId="3EF1CCD6" w14:textId="4A139625" w:rsidR="00873E01" w:rsidRPr="00456281" w:rsidRDefault="00873E01" w:rsidP="000C0AB1">
      <w:pPr>
        <w:pStyle w:val="3-BodyText"/>
        <w:rPr>
          <w:i/>
          <w:iCs/>
        </w:rPr>
      </w:pPr>
      <w:r w:rsidRPr="00456281">
        <w:rPr>
          <w:rFonts w:cstheme="minorBidi"/>
        </w:rPr>
        <w:t>The submission applied a time horizon of 5 years. The duration of the time horizon is long relative to the NAPOLI-3 trial duration (median follow up of 16.1 months)</w:t>
      </w:r>
      <w:r w:rsidRPr="00456281">
        <w:t xml:space="preserve"> and for</w:t>
      </w:r>
      <w:r w:rsidRPr="00456281">
        <w:rPr>
          <w:i/>
          <w:iCs/>
        </w:rPr>
        <w:t xml:space="preserve"> </w:t>
      </w:r>
      <w:r w:rsidRPr="00456281">
        <w:t>the type of cancer considered (3-year net survival for distant cancers reported to be 4%, Cabasag et al. 2022).</w:t>
      </w:r>
      <w:r w:rsidR="002430A7" w:rsidRPr="00456281">
        <w:t xml:space="preserve"> </w:t>
      </w:r>
      <w:r w:rsidR="00C43BF2" w:rsidRPr="00456281">
        <w:t xml:space="preserve">The </w:t>
      </w:r>
      <w:r w:rsidR="002430A7" w:rsidRPr="00456281">
        <w:t xml:space="preserve">ESC </w:t>
      </w:r>
      <w:r w:rsidR="00957DD3" w:rsidRPr="00456281">
        <w:t>noted that when the PBAC considered NabP in March 2014, the NabP submission used the time horizon directly from the trial data (3.6 years in the treatment arm and 2.9 years in the comparator arm)</w:t>
      </w:r>
      <w:r w:rsidR="009C3CBE" w:rsidRPr="00456281">
        <w:t xml:space="preserve">. </w:t>
      </w:r>
      <w:r w:rsidR="00D00C7C" w:rsidRPr="00456281">
        <w:t xml:space="preserve">The ESC </w:t>
      </w:r>
      <w:r w:rsidR="002430A7" w:rsidRPr="00456281">
        <w:t xml:space="preserve">considered </w:t>
      </w:r>
      <w:r w:rsidR="00D00C7C" w:rsidRPr="00456281">
        <w:t xml:space="preserve">that </w:t>
      </w:r>
      <w:r w:rsidR="002430A7" w:rsidRPr="00456281">
        <w:t xml:space="preserve">a shorter time horizon </w:t>
      </w:r>
      <w:r w:rsidR="006F19D0" w:rsidRPr="00456281">
        <w:t>of 3</w:t>
      </w:r>
      <w:r w:rsidR="00957DD3" w:rsidRPr="00456281">
        <w:t xml:space="preserve"> to </w:t>
      </w:r>
      <w:r w:rsidR="006F19D0" w:rsidRPr="00456281">
        <w:t xml:space="preserve">4 years </w:t>
      </w:r>
      <w:r w:rsidR="002430A7" w:rsidRPr="00456281">
        <w:t xml:space="preserve">may be </w:t>
      </w:r>
      <w:r w:rsidR="00D00C7C" w:rsidRPr="00456281">
        <w:t>appropriate for the current submission, however noted that reducing the time horizon to 3 years had minimal impact on the ICER.</w:t>
      </w:r>
    </w:p>
    <w:p w14:paraId="5D4C040F" w14:textId="77777777" w:rsidR="00873E01" w:rsidRPr="00456281" w:rsidRDefault="00873E01" w:rsidP="00873E01">
      <w:pPr>
        <w:pStyle w:val="3-BodyText"/>
        <w:numPr>
          <w:ilvl w:val="0"/>
          <w:numId w:val="0"/>
        </w:numPr>
        <w:rPr>
          <w:b/>
          <w:bCs/>
        </w:rPr>
      </w:pPr>
      <w:bookmarkStart w:id="118" w:name="_Hlk159323086"/>
      <w:r w:rsidRPr="00456281">
        <w:rPr>
          <w:b/>
          <w:bCs/>
        </w:rPr>
        <w:t>Extrapolation time points</w:t>
      </w:r>
    </w:p>
    <w:bookmarkEnd w:id="118"/>
    <w:p w14:paraId="484496E1" w14:textId="4FF840C7" w:rsidR="00873E01" w:rsidRPr="00456281" w:rsidRDefault="00873E01" w:rsidP="00873E01">
      <w:pPr>
        <w:pStyle w:val="3-BodyText"/>
      </w:pPr>
      <w:r w:rsidRPr="00456281">
        <w:t>The submission applied the KM data from the NAPOLI-3 trial for both PFS and OS up until the point where 10% of patients remained at risk (Pocock et al, 2002). Based on this</w:t>
      </w:r>
      <w:r w:rsidR="00987213" w:rsidRPr="00456281">
        <w:t>,</w:t>
      </w:r>
      <w:r w:rsidRPr="00456281">
        <w:t xml:space="preserve"> the NALIRIFOX OS and PFS KM functions were used for 19 (17.5 months) and 16 (14.7 months) cycles, respectively</w:t>
      </w:r>
      <w:r w:rsidR="00987213" w:rsidRPr="00456281">
        <w:t>,</w:t>
      </w:r>
      <w:r w:rsidRPr="00456281">
        <w:t xml:space="preserve"> and the Gem+NabP OS and PFS KM functions were used for 18 (16.6 months) and 11 (10.1 months) cycles, respectively. </w:t>
      </w:r>
      <w:r w:rsidRPr="00456281">
        <w:rPr>
          <w:rFonts w:cstheme="minorBidi"/>
        </w:rPr>
        <w:t>Parametric models were fit</w:t>
      </w:r>
      <w:r w:rsidR="00D00C7C" w:rsidRPr="00456281">
        <w:rPr>
          <w:rFonts w:cstheme="minorBidi"/>
        </w:rPr>
        <w:t>ted</w:t>
      </w:r>
      <w:r w:rsidRPr="00456281">
        <w:rPr>
          <w:rFonts w:cstheme="minorBidi"/>
        </w:rPr>
        <w:t xml:space="preserve"> to the data from these time points and extrapolated over the 5-year time horizon.</w:t>
      </w:r>
    </w:p>
    <w:p w14:paraId="0A5D1101" w14:textId="2B54D46C" w:rsidR="00873E01" w:rsidRPr="00456281" w:rsidRDefault="00873E01" w:rsidP="00873E01">
      <w:pPr>
        <w:pStyle w:val="3-BodyText"/>
        <w:rPr>
          <w:iCs/>
        </w:rPr>
      </w:pPr>
      <w:r w:rsidRPr="00456281">
        <w:rPr>
          <w:rFonts w:cstheme="minorBidi"/>
          <w:iCs/>
        </w:rPr>
        <w:t>The submission’s nominated time points resulted in the exclusion of a substantial number of patients (77 out of 770 patients in the NAPOLI-3 trial) from the base case analysis. These time points also represent</w:t>
      </w:r>
      <w:r w:rsidR="00987213" w:rsidRPr="00456281">
        <w:rPr>
          <w:rFonts w:cstheme="minorBidi"/>
          <w:iCs/>
        </w:rPr>
        <w:t>ed</w:t>
      </w:r>
      <w:r w:rsidRPr="00456281">
        <w:rPr>
          <w:rFonts w:cstheme="minorBidi"/>
          <w:iCs/>
        </w:rPr>
        <w:t xml:space="preserve"> those where the observed incremental difference for OS was the largest (i.e. the widest gap between the KM curves) </w:t>
      </w:r>
      <w:r w:rsidR="001A0E06" w:rsidRPr="00456281">
        <w:rPr>
          <w:rFonts w:cstheme="minorBidi"/>
          <w:iCs/>
        </w:rPr>
        <w:t>which favoured</w:t>
      </w:r>
      <w:r w:rsidRPr="00456281">
        <w:rPr>
          <w:rFonts w:cstheme="minorBidi"/>
          <w:iCs/>
        </w:rPr>
        <w:t xml:space="preserve"> NALIRIFOX. The ICER </w:t>
      </w:r>
      <w:r w:rsidR="00987213" w:rsidRPr="00456281">
        <w:rPr>
          <w:rFonts w:cstheme="minorBidi"/>
          <w:iCs/>
        </w:rPr>
        <w:t xml:space="preserve">was </w:t>
      </w:r>
      <w:r w:rsidRPr="00456281">
        <w:rPr>
          <w:rFonts w:cstheme="minorBidi"/>
          <w:iCs/>
        </w:rPr>
        <w:t xml:space="preserve">sensitive to the time point selected, and the selected extrapolation point (10%) was associated with the most favourable ICER compared to the 5% and 15% timepoints tested in sensitivity analyses. </w:t>
      </w:r>
    </w:p>
    <w:p w14:paraId="2F620FFB" w14:textId="6C1F8622" w:rsidR="00873E01" w:rsidRPr="00456281" w:rsidRDefault="00873E01" w:rsidP="00873E01">
      <w:pPr>
        <w:pStyle w:val="3-BodyText"/>
        <w:rPr>
          <w:iCs/>
        </w:rPr>
      </w:pPr>
      <w:bookmarkStart w:id="119" w:name="_Ref157588461"/>
      <w:bookmarkStart w:id="120" w:name="_Ref159604371"/>
      <w:r w:rsidRPr="00456281">
        <w:rPr>
          <w:iCs/>
        </w:rPr>
        <w:t xml:space="preserve">Using an approach from </w:t>
      </w:r>
      <w:r w:rsidRPr="00456281">
        <w:rPr>
          <w:rFonts w:cstheme="minorBidi"/>
          <w:iCs/>
        </w:rPr>
        <w:t>Gebski et al, 2018</w:t>
      </w:r>
      <w:r w:rsidRPr="00456281">
        <w:rPr>
          <w:rStyle w:val="FootnoteReference"/>
          <w:rFonts w:cstheme="minorBidi"/>
          <w:iCs/>
        </w:rPr>
        <w:footnoteReference w:id="11"/>
      </w:r>
      <w:r w:rsidRPr="00456281">
        <w:rPr>
          <w:rFonts w:cstheme="minorBidi"/>
          <w:iCs/>
        </w:rPr>
        <w:t xml:space="preserve">, the optimal time points for commencing extrapolation </w:t>
      </w:r>
      <w:r w:rsidRPr="00456281">
        <w:rPr>
          <w:iCs/>
        </w:rPr>
        <w:t>with sufficient number of patients at risk for meaningful interpretation of the KM plot would be Cycle 24 for OS and Cycle 18 for PFS. These timepoints were tested during the evaluation (</w:t>
      </w:r>
      <w:r w:rsidRPr="00456281">
        <w:rPr>
          <w:iCs/>
        </w:rPr>
        <w:fldChar w:fldCharType="begin"/>
      </w:r>
      <w:r w:rsidRPr="00456281">
        <w:rPr>
          <w:iCs/>
        </w:rPr>
        <w:instrText xml:space="preserve"> REF _Ref104804865 \h  \* MERGEFORMAT </w:instrText>
      </w:r>
      <w:r w:rsidRPr="00456281">
        <w:rPr>
          <w:iCs/>
        </w:rPr>
      </w:r>
      <w:r w:rsidRPr="00456281">
        <w:rPr>
          <w:iCs/>
        </w:rPr>
        <w:fldChar w:fldCharType="separate"/>
      </w:r>
      <w:r w:rsidR="00EE5AD4" w:rsidRPr="00EE5AD4">
        <w:rPr>
          <w:iCs/>
        </w:rPr>
        <w:t>Table 17</w:t>
      </w:r>
      <w:r w:rsidRPr="00456281">
        <w:rPr>
          <w:iCs/>
        </w:rPr>
        <w:fldChar w:fldCharType="end"/>
      </w:r>
      <w:r w:rsidRPr="00456281">
        <w:rPr>
          <w:iCs/>
        </w:rPr>
        <w:t>) and the ICER increased to $</w:t>
      </w:r>
      <w:r w:rsidR="00883AD6" w:rsidRPr="00883AD6">
        <w:rPr>
          <w:iCs/>
        </w:rPr>
        <w:t>35,000</w:t>
      </w:r>
      <w:r w:rsidR="00031123">
        <w:rPr>
          <w:iCs/>
        </w:rPr>
        <w:t> </w:t>
      </w:r>
      <w:r w:rsidR="00883AD6" w:rsidRPr="00883AD6">
        <w:rPr>
          <w:iCs/>
        </w:rPr>
        <w:t>to &lt;</w:t>
      </w:r>
      <w:r w:rsidR="00031123">
        <w:rPr>
          <w:iCs/>
        </w:rPr>
        <w:t> </w:t>
      </w:r>
      <w:r w:rsidR="00883AD6" w:rsidRPr="00883AD6">
        <w:rPr>
          <w:iCs/>
        </w:rPr>
        <w:t>$45,000</w:t>
      </w:r>
      <w:r w:rsidRPr="00456281">
        <w:rPr>
          <w:iCs/>
        </w:rPr>
        <w:t>/</w:t>
      </w:r>
      <w:r w:rsidR="00E74721" w:rsidRPr="00456281">
        <w:rPr>
          <w:iCs/>
        </w:rPr>
        <w:t>quality-adjusted life year (</w:t>
      </w:r>
      <w:r w:rsidRPr="00456281">
        <w:rPr>
          <w:iCs/>
        </w:rPr>
        <w:t>QALY</w:t>
      </w:r>
      <w:r w:rsidR="00E74721" w:rsidRPr="00456281">
        <w:rPr>
          <w:iCs/>
        </w:rPr>
        <w:t>)</w:t>
      </w:r>
      <w:r w:rsidRPr="00456281">
        <w:rPr>
          <w:iCs/>
        </w:rPr>
        <w:t xml:space="preserve"> gained (+15% increase from base case).</w:t>
      </w:r>
      <w:bookmarkEnd w:id="119"/>
      <w:r w:rsidR="00B73A59" w:rsidRPr="00456281">
        <w:rPr>
          <w:iCs/>
        </w:rPr>
        <w:t xml:space="preserve"> </w:t>
      </w:r>
      <w:r w:rsidR="00D00C7C" w:rsidRPr="00456281">
        <w:rPr>
          <w:iCs/>
        </w:rPr>
        <w:t xml:space="preserve">The </w:t>
      </w:r>
      <w:r w:rsidR="00B73A59" w:rsidRPr="00456281">
        <w:rPr>
          <w:iCs/>
        </w:rPr>
        <w:t xml:space="preserve">ESC considered the Gebski approach to be a more robust method for determining </w:t>
      </w:r>
      <w:r w:rsidR="00B73A59" w:rsidRPr="00456281">
        <w:rPr>
          <w:iCs/>
        </w:rPr>
        <w:lastRenderedPageBreak/>
        <w:t>extrapolation points within the model</w:t>
      </w:r>
      <w:r w:rsidR="00905EEE" w:rsidRPr="00456281">
        <w:rPr>
          <w:iCs/>
        </w:rPr>
        <w:t xml:space="preserve"> for PFS and OS</w:t>
      </w:r>
      <w:r w:rsidR="00B73A59" w:rsidRPr="00456281">
        <w:rPr>
          <w:iCs/>
        </w:rPr>
        <w:t>.</w:t>
      </w:r>
      <w:bookmarkEnd w:id="120"/>
      <w:r w:rsidR="00F3578B" w:rsidRPr="00456281">
        <w:rPr>
          <w:i/>
        </w:rPr>
        <w:t xml:space="preserve"> </w:t>
      </w:r>
      <w:r w:rsidR="00987213" w:rsidRPr="00456281">
        <w:rPr>
          <w:iCs/>
        </w:rPr>
        <w:t>The Pre-PBAC response noted that extending the KM data used in the model to 24 cycles, as proposed in the ESC advice, result</w:t>
      </w:r>
      <w:r w:rsidR="00872FD6" w:rsidRPr="00456281">
        <w:rPr>
          <w:iCs/>
        </w:rPr>
        <w:t>ed</w:t>
      </w:r>
      <w:r w:rsidR="00987213" w:rsidRPr="00456281">
        <w:rPr>
          <w:iCs/>
        </w:rPr>
        <w:t xml:space="preserve"> in a switch from the KM data at a point where only 6 (1.6%) and 7 (1.8%) patients remain at-risk in the NALIRIFOX and Gem+NabP arms, respectively. The Pre-PBAC response note</w:t>
      </w:r>
      <w:r w:rsidR="003F1302" w:rsidRPr="00456281">
        <w:rPr>
          <w:iCs/>
        </w:rPr>
        <w:t>d</w:t>
      </w:r>
      <w:r w:rsidR="00987213" w:rsidRPr="00456281">
        <w:rPr>
          <w:iCs/>
        </w:rPr>
        <w:t xml:space="preserve"> that the result of this change is that the model assumes a plateau in the survival curve from Cycle 21 to Cycle 24</w:t>
      </w:r>
      <w:r w:rsidR="005E0D74" w:rsidRPr="00456281">
        <w:rPr>
          <w:iCs/>
        </w:rPr>
        <w:t>, suggesting that</w:t>
      </w:r>
      <w:r w:rsidR="00987213" w:rsidRPr="00456281">
        <w:rPr>
          <w:iCs/>
        </w:rPr>
        <w:t xml:space="preserve"> no patients die in either arm for a period of approximately 3 months. </w:t>
      </w:r>
    </w:p>
    <w:p w14:paraId="600BE7FF" w14:textId="77777777" w:rsidR="00873E01" w:rsidRPr="00456281" w:rsidRDefault="00873E01" w:rsidP="00873E01">
      <w:pPr>
        <w:pStyle w:val="3-BodyText"/>
        <w:numPr>
          <w:ilvl w:val="0"/>
          <w:numId w:val="0"/>
        </w:numPr>
        <w:rPr>
          <w:b/>
          <w:bCs/>
        </w:rPr>
      </w:pPr>
      <w:r w:rsidRPr="00456281">
        <w:rPr>
          <w:b/>
          <w:bCs/>
        </w:rPr>
        <w:t>Extrapolation of OS</w:t>
      </w:r>
    </w:p>
    <w:p w14:paraId="43D01D58" w14:textId="5F3C0B8D" w:rsidR="00873E01" w:rsidRPr="00456281" w:rsidRDefault="00873E01" w:rsidP="00873E01">
      <w:pPr>
        <w:pStyle w:val="3-BodyText"/>
      </w:pPr>
      <w:r w:rsidRPr="00456281">
        <w:t xml:space="preserve">The submission assumed a constant and continuous treatment effect for the OS end point for the full horizon of the model based on the conclusion that the proportional hazards assumption was not violated. </w:t>
      </w:r>
    </w:p>
    <w:p w14:paraId="70A16CF1" w14:textId="4B18CC3B" w:rsidR="000E68E7" w:rsidRPr="00456281" w:rsidRDefault="00873E01" w:rsidP="000E68E7">
      <w:pPr>
        <w:pStyle w:val="3-BodyText"/>
      </w:pPr>
      <w:bookmarkStart w:id="121" w:name="_Ref159604444"/>
      <w:r w:rsidRPr="00456281">
        <w:t xml:space="preserve">The submission applied the Weibull function to extrapolate the OS survival curve based on AIC and BIC assessments. The AIC and BIC values for the Weibull, Gompertz and Generalised gamma functions were very similar. The </w:t>
      </w:r>
      <w:r w:rsidR="00872FD6" w:rsidRPr="00456281">
        <w:t xml:space="preserve">commentary noted that the </w:t>
      </w:r>
      <w:r w:rsidRPr="00456281">
        <w:t xml:space="preserve">selected Weibull function may be plausible, however it </w:t>
      </w:r>
      <w:r w:rsidR="00872FD6" w:rsidRPr="00456281">
        <w:t xml:space="preserve">did </w:t>
      </w:r>
      <w:r w:rsidRPr="00456281">
        <w:t>not necessarily fit the data well. Considerations of clinical plausibility were not discussed in the submission. One of the key differences between the Weibull, Gompertz and Generalised Gamma functions was the degree of narrowing between the intervention and comparator curves (</w:t>
      </w:r>
      <w:r w:rsidRPr="00456281">
        <w:fldChar w:fldCharType="begin"/>
      </w:r>
      <w:r w:rsidRPr="00456281">
        <w:instrText xml:space="preserve"> REF _Ref153374894 \h  \* MERGEFORMAT </w:instrText>
      </w:r>
      <w:r w:rsidRPr="00456281">
        <w:fldChar w:fldCharType="separate"/>
      </w:r>
      <w:r w:rsidR="00EE5AD4" w:rsidRPr="00456281">
        <w:t xml:space="preserve">Figure </w:t>
      </w:r>
      <w:r w:rsidR="00EE5AD4">
        <w:t>5</w:t>
      </w:r>
      <w:r w:rsidRPr="00456281">
        <w:fldChar w:fldCharType="end"/>
      </w:r>
      <w:r w:rsidRPr="00456281">
        <w:t xml:space="preserve">). Gompertz produced a more conservative approach with an obvious narrowing of the curves and that reached zero by </w:t>
      </w:r>
      <w:r w:rsidR="005E0D74" w:rsidRPr="00456281">
        <w:t xml:space="preserve">Cycle </w:t>
      </w:r>
      <w:r w:rsidRPr="00456281">
        <w:t xml:space="preserve">61 </w:t>
      </w:r>
      <w:r w:rsidR="000E68E7" w:rsidRPr="00456281">
        <w:t xml:space="preserve">(compared to </w:t>
      </w:r>
      <w:r w:rsidR="005E0D74" w:rsidRPr="00456281">
        <w:t>Cycles</w:t>
      </w:r>
      <w:r w:rsidR="00031123">
        <w:t> </w:t>
      </w:r>
      <w:r w:rsidR="000E68E7" w:rsidRPr="00456281">
        <w:t>102 for Weibull and 107 for Gen</w:t>
      </w:r>
      <w:r w:rsidR="005E0D74" w:rsidRPr="00456281">
        <w:t>eralised</w:t>
      </w:r>
      <w:r w:rsidR="000E68E7" w:rsidRPr="00456281">
        <w:t xml:space="preserve"> gamma) </w:t>
      </w:r>
      <w:r w:rsidRPr="00456281">
        <w:t>which is likely to be more clinically plausible.</w:t>
      </w:r>
      <w:r w:rsidR="000E68E7" w:rsidRPr="00456281">
        <w:t xml:space="preserve"> </w:t>
      </w:r>
      <w:r w:rsidRPr="00456281">
        <w:t>The choice of the parametric function used for the extrapolation of OS is an important driver of the ICER (</w:t>
      </w:r>
      <w:r w:rsidRPr="00456281">
        <w:fldChar w:fldCharType="begin"/>
      </w:r>
      <w:r w:rsidRPr="00456281">
        <w:instrText xml:space="preserve"> REF _Ref104804865 \h </w:instrText>
      </w:r>
      <w:r w:rsidR="00E46A8A" w:rsidRPr="00456281">
        <w:instrText xml:space="preserve"> \* MERGEFORMAT </w:instrText>
      </w:r>
      <w:r w:rsidRPr="00456281">
        <w:fldChar w:fldCharType="separate"/>
      </w:r>
      <w:r w:rsidR="00EE5AD4" w:rsidRPr="00456281">
        <w:t xml:space="preserve">Table </w:t>
      </w:r>
      <w:r w:rsidR="00EE5AD4">
        <w:t>17</w:t>
      </w:r>
      <w:r w:rsidRPr="00456281">
        <w:fldChar w:fldCharType="end"/>
      </w:r>
      <w:r w:rsidRPr="00456281">
        <w:t>).</w:t>
      </w:r>
      <w:r w:rsidR="00B73A59" w:rsidRPr="00456281">
        <w:t xml:space="preserve"> </w:t>
      </w:r>
      <w:r w:rsidR="000E68E7" w:rsidRPr="00456281">
        <w:t xml:space="preserve">The·PSCR stated that the application of a Gompertz function for extrapolation of OS was inappropriate as it was statistically not the best fitting model. </w:t>
      </w:r>
      <w:r w:rsidR="00596D0E" w:rsidRPr="00456281">
        <w:t xml:space="preserve">The </w:t>
      </w:r>
      <w:r w:rsidR="00B73A59" w:rsidRPr="00456281">
        <w:t xml:space="preserve">ESC </w:t>
      </w:r>
      <w:r w:rsidR="000E68E7" w:rsidRPr="00456281">
        <w:t xml:space="preserve">agreed with the commentary that </w:t>
      </w:r>
      <w:r w:rsidR="00B73A59" w:rsidRPr="00456281">
        <w:t>the Gompertz extrapolation provide</w:t>
      </w:r>
      <w:r w:rsidR="000E68E7" w:rsidRPr="00456281">
        <w:t>d</w:t>
      </w:r>
      <w:r w:rsidR="00B73A59" w:rsidRPr="00456281">
        <w:t xml:space="preserve"> more clinically plausible OS outcomes</w:t>
      </w:r>
      <w:r w:rsidR="00872FD6" w:rsidRPr="00456281">
        <w:t>, as it reached zero by Cycle 61 compared with Cycle 102 for Weibull</w:t>
      </w:r>
      <w:bookmarkEnd w:id="121"/>
      <w:r w:rsidR="009C3CBE" w:rsidRPr="00456281">
        <w:t xml:space="preserve">. </w:t>
      </w:r>
      <w:r w:rsidR="00C75C5C" w:rsidRPr="00456281">
        <w:t xml:space="preserve">The pre-PBAC response disagreed with </w:t>
      </w:r>
      <w:r w:rsidR="006479C9" w:rsidRPr="00456281">
        <w:t xml:space="preserve">the ESC’s </w:t>
      </w:r>
      <w:r w:rsidR="006479C9" w:rsidRPr="00456281">
        <w:rPr>
          <w:rFonts w:eastAsiaTheme="majorEastAsia"/>
        </w:rPr>
        <w:t>advice regarding extrapolation function for the OS survival curve, maintaining that the Weibull function was most appropriate based on AIC and BIC.</w:t>
      </w:r>
    </w:p>
    <w:p w14:paraId="5723083E" w14:textId="08D8AEEE" w:rsidR="00873E01" w:rsidRPr="00456281" w:rsidRDefault="00873E01" w:rsidP="00992A62">
      <w:pPr>
        <w:pStyle w:val="Caption"/>
      </w:pPr>
      <w:bookmarkStart w:id="122" w:name="_Ref153374894"/>
      <w:r w:rsidRPr="00456281">
        <w:lastRenderedPageBreak/>
        <w:t xml:space="preserve">Figure </w:t>
      </w:r>
      <w:r w:rsidR="00B75F7B">
        <w:fldChar w:fldCharType="begin"/>
      </w:r>
      <w:r w:rsidR="00B75F7B">
        <w:instrText xml:space="preserve"> SEQ Figure \* ARABIC </w:instrText>
      </w:r>
      <w:r w:rsidR="00B75F7B">
        <w:fldChar w:fldCharType="separate"/>
      </w:r>
      <w:r w:rsidR="00EE5AD4">
        <w:rPr>
          <w:noProof/>
        </w:rPr>
        <w:t>5</w:t>
      </w:r>
      <w:r w:rsidR="00B75F7B">
        <w:fldChar w:fldCharType="end"/>
      </w:r>
      <w:bookmarkEnd w:id="122"/>
      <w:r w:rsidRPr="00456281">
        <w:t>: Extrapolation of OS in the NALIRIFOX and Gem+NabP treatment arms using different parametric function (base case = Weibull)</w:t>
      </w:r>
    </w:p>
    <w:p w14:paraId="760010A1" w14:textId="77777777" w:rsidR="00873E01" w:rsidRPr="00456281" w:rsidRDefault="00873E01" w:rsidP="00992A62">
      <w:pPr>
        <w:keepNext/>
        <w:keepLines/>
      </w:pPr>
      <w:r w:rsidRPr="00456281">
        <w:rPr>
          <w:noProof/>
        </w:rPr>
        <w:drawing>
          <wp:inline distT="0" distB="0" distL="0" distR="0" wp14:anchorId="5DF8DA75" wp14:editId="233CC7E0">
            <wp:extent cx="5461200" cy="3668400"/>
            <wp:effectExtent l="0" t="0" r="6350" b="8255"/>
            <wp:docPr id="10" name="Picture 10" descr="Figure 5: Extrapolation of OS in the NALIRIFOX and Gem+NabP treatment arms using different parametric function (base case = Weib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igure 5: Extrapolation of OS in the NALIRIFOX and Gem+NabP treatment arms using different parametric function (base case = Weibu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61200" cy="3668400"/>
                    </a:xfrm>
                    <a:prstGeom prst="rect">
                      <a:avLst/>
                    </a:prstGeom>
                    <a:noFill/>
                  </pic:spPr>
                </pic:pic>
              </a:graphicData>
            </a:graphic>
          </wp:inline>
        </w:drawing>
      </w:r>
    </w:p>
    <w:p w14:paraId="1D0F7EBD" w14:textId="77777777" w:rsidR="00873E01" w:rsidRPr="00456281" w:rsidRDefault="00873E01" w:rsidP="00992A62">
      <w:pPr>
        <w:pStyle w:val="FooterTableFigure"/>
        <w:keepNext/>
        <w:keepLines/>
      </w:pPr>
      <w:r w:rsidRPr="00456281">
        <w:t>Source: Tab ‘OS extrapolation 28-day’ Attachment 8 of the submission</w:t>
      </w:r>
    </w:p>
    <w:p w14:paraId="767DDCEB" w14:textId="77777777" w:rsidR="00873E01" w:rsidRPr="00456281" w:rsidRDefault="00873E01" w:rsidP="00873E01">
      <w:pPr>
        <w:pStyle w:val="FooterTableFigure"/>
      </w:pPr>
      <w:r w:rsidRPr="00456281">
        <w:t xml:space="preserve">Abbreviations: Gem+NabP, gemcitabine plus nanoparticle albumin-bound paclitaxel; GNP, gemcitabine and (nab-) paclitaxel; NAL, NALIRIFOX; NALIRIFOX, nanoliposomal irinotecan (nal-IRI) in combination with 5-fluorouracil, leucovorin/folinic acid, and oxaliplatin; OS, overall survival; KM, </w:t>
      </w:r>
      <w:r w:rsidRPr="00456281">
        <w:rPr>
          <w:rFonts w:cstheme="minorHAnsi"/>
        </w:rPr>
        <w:t>Kaplan-Meier.</w:t>
      </w:r>
    </w:p>
    <w:p w14:paraId="55910F6B" w14:textId="77777777" w:rsidR="00873E01" w:rsidRPr="00456281" w:rsidRDefault="00873E01" w:rsidP="00873E01">
      <w:pPr>
        <w:pStyle w:val="3-BodyText"/>
        <w:numPr>
          <w:ilvl w:val="0"/>
          <w:numId w:val="0"/>
        </w:numPr>
        <w:rPr>
          <w:b/>
          <w:bCs/>
        </w:rPr>
      </w:pPr>
      <w:r w:rsidRPr="00456281">
        <w:rPr>
          <w:b/>
          <w:bCs/>
        </w:rPr>
        <w:t>Extrapolation of PFS</w:t>
      </w:r>
    </w:p>
    <w:p w14:paraId="39095303" w14:textId="09AA2D8F" w:rsidR="00873E01" w:rsidRPr="00456281" w:rsidRDefault="00873E01" w:rsidP="00873E01">
      <w:pPr>
        <w:pStyle w:val="3-BodyText"/>
      </w:pPr>
      <w:r w:rsidRPr="00456281">
        <w:t xml:space="preserve">The submission assumed a constant and continuous treatment effect for the PFS end point for the full horizon of the model based on their conclusion that proportional hazards assumption was not violated. </w:t>
      </w:r>
    </w:p>
    <w:p w14:paraId="35C27D72" w14:textId="7A6F2333" w:rsidR="00873E01" w:rsidRPr="00456281" w:rsidRDefault="00873E01" w:rsidP="00873E01">
      <w:pPr>
        <w:pStyle w:val="3-BodyText"/>
        <w:rPr>
          <w:iCs/>
        </w:rPr>
      </w:pPr>
      <w:r w:rsidRPr="00456281">
        <w:t xml:space="preserve">The submission applied the Weibull function to extrapolate the PFS curve based on AIC and BIC assessments. </w:t>
      </w:r>
      <w:r w:rsidRPr="00456281">
        <w:rPr>
          <w:iCs/>
        </w:rPr>
        <w:t>The comparisons of the parametric functions and the KM data from NAPOLI-3 presented by the submission were difficult to interpret. Based on visual inspection, the best fitting curves appear to be the Weibull, Gompertz and Generalised gamma functions. The choice of parametric function for the PFS was not identified to be an important driver of the ICER (</w:t>
      </w:r>
      <w:r w:rsidRPr="00456281">
        <w:rPr>
          <w:iCs/>
        </w:rPr>
        <w:fldChar w:fldCharType="begin"/>
      </w:r>
      <w:r w:rsidRPr="00456281">
        <w:rPr>
          <w:iCs/>
        </w:rPr>
        <w:instrText xml:space="preserve"> REF _Ref104804865 \h  \* MERGEFORMAT </w:instrText>
      </w:r>
      <w:r w:rsidRPr="00456281">
        <w:rPr>
          <w:iCs/>
        </w:rPr>
      </w:r>
      <w:r w:rsidRPr="00456281">
        <w:rPr>
          <w:iCs/>
        </w:rPr>
        <w:fldChar w:fldCharType="separate"/>
      </w:r>
      <w:r w:rsidR="00EE5AD4" w:rsidRPr="00EE5AD4">
        <w:rPr>
          <w:iCs/>
        </w:rPr>
        <w:t>Table 17</w:t>
      </w:r>
      <w:r w:rsidRPr="00456281">
        <w:rPr>
          <w:iCs/>
        </w:rPr>
        <w:fldChar w:fldCharType="end"/>
      </w:r>
      <w:r w:rsidRPr="00456281">
        <w:rPr>
          <w:iCs/>
        </w:rPr>
        <w:t xml:space="preserve">). </w:t>
      </w:r>
    </w:p>
    <w:p w14:paraId="015352B6" w14:textId="31A7EE2F" w:rsidR="00873E01" w:rsidRPr="00456281" w:rsidRDefault="00B36C54" w:rsidP="00873E01">
      <w:pPr>
        <w:pStyle w:val="3-BodyText"/>
        <w:keepNext/>
        <w:numPr>
          <w:ilvl w:val="0"/>
          <w:numId w:val="0"/>
        </w:numPr>
        <w:rPr>
          <w:b/>
          <w:bCs/>
        </w:rPr>
      </w:pPr>
      <w:r w:rsidRPr="00456281">
        <w:rPr>
          <w:b/>
          <w:bCs/>
        </w:rPr>
        <w:t xml:space="preserve">Model </w:t>
      </w:r>
      <w:r w:rsidR="00315993" w:rsidRPr="00456281">
        <w:rPr>
          <w:b/>
          <w:bCs/>
        </w:rPr>
        <w:t>inputs and e</w:t>
      </w:r>
      <w:r w:rsidR="00873E01" w:rsidRPr="00456281">
        <w:rPr>
          <w:b/>
          <w:bCs/>
        </w:rPr>
        <w:t>xtrapolation of OS and PFS for FOLFIRINOX</w:t>
      </w:r>
    </w:p>
    <w:p w14:paraId="7498D0DA" w14:textId="4D3F44EC" w:rsidR="00873E01" w:rsidRPr="00456281" w:rsidRDefault="00873E01" w:rsidP="00873E01">
      <w:pPr>
        <w:pStyle w:val="3-BodyText"/>
      </w:pPr>
      <w:r w:rsidRPr="00456281">
        <w:t>The submission presented two analyses based on assumptions made on the clinical claims of FOLFIRINOX against Gem+NabP</w:t>
      </w:r>
      <w:r w:rsidR="00315993" w:rsidRPr="00456281">
        <w:t xml:space="preserve">, as discussed in paragraph </w:t>
      </w:r>
      <w:r w:rsidR="00B36C54" w:rsidRPr="00456281">
        <w:fldChar w:fldCharType="begin"/>
      </w:r>
      <w:r w:rsidR="00B36C54" w:rsidRPr="00456281">
        <w:instrText xml:space="preserve"> REF _Ref159392892 \r \h </w:instrText>
      </w:r>
      <w:r w:rsidR="00B36C54" w:rsidRPr="00456281">
        <w:fldChar w:fldCharType="separate"/>
      </w:r>
      <w:r w:rsidR="00EE5AD4">
        <w:t>6.65</w:t>
      </w:r>
      <w:r w:rsidR="00B36C54" w:rsidRPr="00456281">
        <w:fldChar w:fldCharType="end"/>
      </w:r>
      <w:r w:rsidRPr="00456281">
        <w:t xml:space="preserve">. </w:t>
      </w:r>
    </w:p>
    <w:p w14:paraId="1804AEF8" w14:textId="3D07C60E" w:rsidR="00544D2F" w:rsidRPr="00456281" w:rsidRDefault="00873E01" w:rsidP="00873E01">
      <w:pPr>
        <w:pStyle w:val="3-BodyText"/>
      </w:pPr>
      <w:r w:rsidRPr="00456281">
        <w:rPr>
          <w:rFonts w:cstheme="minorBidi"/>
        </w:rPr>
        <w:t xml:space="preserve">In the analysis where the submission considered FOLFIRINOX is </w:t>
      </w:r>
      <w:r w:rsidRPr="00456281">
        <w:t>superior to Gem+NabP</w:t>
      </w:r>
      <w:r w:rsidR="00544D2F" w:rsidRPr="00456281">
        <w:t xml:space="preserve"> (aligned with the clinical data in </w:t>
      </w:r>
      <w:r w:rsidR="006F19D0" w:rsidRPr="00456281">
        <w:fldChar w:fldCharType="begin"/>
      </w:r>
      <w:r w:rsidR="006F19D0" w:rsidRPr="00456281">
        <w:instrText xml:space="preserve"> REF _Ref153723390 \h </w:instrText>
      </w:r>
      <w:r w:rsidR="006F19D0" w:rsidRPr="00456281">
        <w:fldChar w:fldCharType="separate"/>
      </w:r>
      <w:r w:rsidR="00EE5AD4" w:rsidRPr="00456281">
        <w:t xml:space="preserve">Table </w:t>
      </w:r>
      <w:r w:rsidR="00EE5AD4">
        <w:rPr>
          <w:noProof/>
        </w:rPr>
        <w:t>5</w:t>
      </w:r>
      <w:r w:rsidR="006F19D0" w:rsidRPr="00456281">
        <w:fldChar w:fldCharType="end"/>
      </w:r>
      <w:r w:rsidR="00544D2F" w:rsidRPr="00456281">
        <w:t xml:space="preserve"> and</w:t>
      </w:r>
      <w:r w:rsidR="00337965" w:rsidRPr="00456281">
        <w:t xml:space="preserve"> </w:t>
      </w:r>
      <w:r w:rsidR="00337965" w:rsidRPr="00456281">
        <w:fldChar w:fldCharType="begin"/>
      </w:r>
      <w:r w:rsidR="00337965" w:rsidRPr="00456281">
        <w:instrText xml:space="preserve"> REF _Ref158833336 \h </w:instrText>
      </w:r>
      <w:r w:rsidR="00337965" w:rsidRPr="00456281">
        <w:fldChar w:fldCharType="separate"/>
      </w:r>
      <w:r w:rsidR="00EE5AD4" w:rsidRPr="00456281">
        <w:t xml:space="preserve">Table </w:t>
      </w:r>
      <w:r w:rsidR="00EE5AD4">
        <w:rPr>
          <w:noProof/>
        </w:rPr>
        <w:t>6</w:t>
      </w:r>
      <w:r w:rsidR="00337965" w:rsidRPr="00456281">
        <w:fldChar w:fldCharType="end"/>
      </w:r>
      <w:r w:rsidR="00315993" w:rsidRPr="00456281">
        <w:t>)</w:t>
      </w:r>
      <w:r w:rsidRPr="00456281">
        <w:t xml:space="preserve">, the submission </w:t>
      </w:r>
      <w:r w:rsidR="00315993" w:rsidRPr="00456281">
        <w:t xml:space="preserve">utilised </w:t>
      </w:r>
      <w:r w:rsidRPr="00456281">
        <w:t>the OS and PFS curves as presented in Conroy et al, 2011 and applied the Weibull function for OS and Gompertz function for PFS based on AIC and BIC assessments</w:t>
      </w:r>
      <w:r w:rsidR="002915D8" w:rsidRPr="00456281">
        <w:t xml:space="preserve"> (alternative </w:t>
      </w:r>
      <w:r w:rsidR="002915D8" w:rsidRPr="00456281">
        <w:lastRenderedPageBreak/>
        <w:t>scenario 1)</w:t>
      </w:r>
      <w:r w:rsidRPr="00456281">
        <w:t xml:space="preserve">. None of the selected and tested parametric functions fit the data well, thus the reliability of the extrapolation and impact on the results is highly uncertain. </w:t>
      </w:r>
    </w:p>
    <w:p w14:paraId="18C22033" w14:textId="17E5C3AD" w:rsidR="00370CD0" w:rsidRPr="00456281" w:rsidRDefault="00873E01" w:rsidP="00C64D58">
      <w:pPr>
        <w:pStyle w:val="3-BodyText"/>
        <w:rPr>
          <w:i/>
          <w:iCs/>
        </w:rPr>
      </w:pPr>
      <w:r w:rsidRPr="00456281">
        <w:rPr>
          <w:rFonts w:cstheme="minorBidi"/>
        </w:rPr>
        <w:t xml:space="preserve">The submission also presented an analysis that considered FOLFIRINOX is </w:t>
      </w:r>
      <w:r w:rsidRPr="00456281">
        <w:t xml:space="preserve">non-inferior to Gem+NabP, which assumed that the Gem+NabP OS and PFS curves </w:t>
      </w:r>
      <w:r w:rsidR="00911528" w:rsidRPr="00456281">
        <w:t xml:space="preserve">from NAPOLI-3 </w:t>
      </w:r>
      <w:r w:rsidRPr="00456281">
        <w:t>are directly applicable to the FOLFIRINOX arm</w:t>
      </w:r>
      <w:r w:rsidR="002915D8" w:rsidRPr="00456281">
        <w:t xml:space="preserve"> (alternative scenario 2)</w:t>
      </w:r>
      <w:r w:rsidR="006479C9" w:rsidRPr="00456281">
        <w:t>, i.e. the analysis assumed that FOLFIRINOX was non-inferior to Gem+NabP</w:t>
      </w:r>
      <w:r w:rsidRPr="00456281">
        <w:t xml:space="preserve">. </w:t>
      </w:r>
      <w:r w:rsidR="002915D8" w:rsidRPr="00456281">
        <w:t>The ESC considered that alternative scenario 2 was not informative for decision making</w:t>
      </w:r>
      <w:r w:rsidR="006479C9" w:rsidRPr="00456281">
        <w:t xml:space="preserve"> </w:t>
      </w:r>
      <w:r w:rsidR="00753FC4" w:rsidRPr="00456281">
        <w:t xml:space="preserve">(see paragraph </w:t>
      </w:r>
      <w:r w:rsidR="00753FC4" w:rsidRPr="00456281">
        <w:rPr>
          <w:rFonts w:cstheme="minorBidi"/>
        </w:rPr>
        <w:fldChar w:fldCharType="begin"/>
      </w:r>
      <w:r w:rsidR="00753FC4" w:rsidRPr="00456281">
        <w:instrText xml:space="preserve"> REF _Ref164112542 \r \h </w:instrText>
      </w:r>
      <w:r w:rsidR="00753FC4" w:rsidRPr="00456281">
        <w:rPr>
          <w:rFonts w:cstheme="minorBidi"/>
        </w:rPr>
        <w:instrText xml:space="preserve"> \* MERGEFORMAT </w:instrText>
      </w:r>
      <w:r w:rsidR="00753FC4" w:rsidRPr="00456281">
        <w:rPr>
          <w:rFonts w:cstheme="minorBidi"/>
        </w:rPr>
      </w:r>
      <w:r w:rsidR="00753FC4" w:rsidRPr="00456281">
        <w:rPr>
          <w:rFonts w:cstheme="minorBidi"/>
        </w:rPr>
        <w:fldChar w:fldCharType="separate"/>
      </w:r>
      <w:r w:rsidR="00EE5AD4">
        <w:t>6.66</w:t>
      </w:r>
      <w:r w:rsidR="00753FC4" w:rsidRPr="00456281">
        <w:rPr>
          <w:rFonts w:cstheme="minorBidi"/>
        </w:rPr>
        <w:fldChar w:fldCharType="end"/>
      </w:r>
      <w:r w:rsidR="00753FC4" w:rsidRPr="00456281">
        <w:rPr>
          <w:rFonts w:cstheme="minorBidi"/>
        </w:rPr>
        <w:t>).</w:t>
      </w:r>
      <w:r w:rsidR="0020353C" w:rsidRPr="00456281">
        <w:t xml:space="preserve"> It was noted that incremental QALYs calculated in alternative scenario 2 exceeded the incremental QALYs calculated in the submission’s base case</w:t>
      </w:r>
      <w:r w:rsidR="00C1341A" w:rsidRPr="00456281">
        <w:t xml:space="preserve"> (</w:t>
      </w:r>
      <w:r w:rsidR="00C1341A" w:rsidRPr="00456281">
        <w:fldChar w:fldCharType="begin"/>
      </w:r>
      <w:r w:rsidR="00C1341A" w:rsidRPr="00456281">
        <w:instrText xml:space="preserve"> REF _Ref104804865 \h  \* MERGEFORMAT </w:instrText>
      </w:r>
      <w:r w:rsidR="00C1341A" w:rsidRPr="00456281">
        <w:fldChar w:fldCharType="separate"/>
      </w:r>
      <w:r w:rsidR="00EE5AD4" w:rsidRPr="00456281">
        <w:t xml:space="preserve">Table </w:t>
      </w:r>
      <w:r w:rsidR="00EE5AD4">
        <w:t>17</w:t>
      </w:r>
      <w:r w:rsidR="00C1341A" w:rsidRPr="00456281">
        <w:fldChar w:fldCharType="end"/>
      </w:r>
      <w:r w:rsidR="00C1341A" w:rsidRPr="00456281">
        <w:t>)</w:t>
      </w:r>
      <w:r w:rsidR="0020353C" w:rsidRPr="00456281">
        <w:t xml:space="preserve">, due to the use of Gem+NabP </w:t>
      </w:r>
      <w:r w:rsidR="00911528" w:rsidRPr="00456281">
        <w:t xml:space="preserve">OS and PFS </w:t>
      </w:r>
      <w:r w:rsidR="0020353C" w:rsidRPr="00456281">
        <w:t xml:space="preserve">data </w:t>
      </w:r>
      <w:r w:rsidR="00911528" w:rsidRPr="00456281">
        <w:t xml:space="preserve">from the NAPOLI-3 trial </w:t>
      </w:r>
      <w:r w:rsidR="0020353C" w:rsidRPr="00456281">
        <w:t xml:space="preserve">(as </w:t>
      </w:r>
      <w:r w:rsidR="00C1341A" w:rsidRPr="00456281">
        <w:t>in</w:t>
      </w:r>
      <w:r w:rsidR="0020353C" w:rsidRPr="00456281">
        <w:t xml:space="preserve"> submission base case), with </w:t>
      </w:r>
      <w:r w:rsidR="00911528" w:rsidRPr="00456281">
        <w:t xml:space="preserve">an </w:t>
      </w:r>
      <w:r w:rsidR="0020353C" w:rsidRPr="00456281">
        <w:t xml:space="preserve">additional QALY </w:t>
      </w:r>
      <w:r w:rsidR="00C1341A" w:rsidRPr="00456281">
        <w:t xml:space="preserve">gain </w:t>
      </w:r>
      <w:r w:rsidR="0020353C" w:rsidRPr="00456281">
        <w:t xml:space="preserve">due to </w:t>
      </w:r>
      <w:r w:rsidR="00C1341A" w:rsidRPr="00456281">
        <w:t xml:space="preserve">reduced AEs </w:t>
      </w:r>
      <w:r w:rsidR="0020353C" w:rsidRPr="00456281">
        <w:t xml:space="preserve">for FOLFIRINOX </w:t>
      </w:r>
      <w:r w:rsidR="00C1341A" w:rsidRPr="00456281">
        <w:t xml:space="preserve">patients (derived </w:t>
      </w:r>
      <w:r w:rsidR="0020353C" w:rsidRPr="00456281">
        <w:t>from Conroy et al, 2011</w:t>
      </w:r>
      <w:r w:rsidR="00C1341A" w:rsidRPr="00456281">
        <w:t>)</w:t>
      </w:r>
      <w:r w:rsidR="0020353C" w:rsidRPr="00456281">
        <w:t>.</w:t>
      </w:r>
    </w:p>
    <w:p w14:paraId="20952B29" w14:textId="77777777" w:rsidR="00873E01" w:rsidRPr="00456281" w:rsidRDefault="00873E01" w:rsidP="00873E01">
      <w:pPr>
        <w:pStyle w:val="3-BodyText"/>
        <w:numPr>
          <w:ilvl w:val="0"/>
          <w:numId w:val="0"/>
        </w:numPr>
      </w:pPr>
      <w:r w:rsidRPr="00456281">
        <w:rPr>
          <w:b/>
          <w:bCs/>
        </w:rPr>
        <w:t>Health state utility values</w:t>
      </w:r>
    </w:p>
    <w:p w14:paraId="15A57A98" w14:textId="57A075E8" w:rsidR="00873E01" w:rsidRPr="00456281" w:rsidRDefault="00873E01" w:rsidP="00873E01">
      <w:pPr>
        <w:pStyle w:val="3-BodyText"/>
        <w:rPr>
          <w:i/>
          <w:iCs/>
        </w:rPr>
      </w:pPr>
      <w:r w:rsidRPr="00456281">
        <w:t>Quality-of-life data using EQ-5D-5L from the NAPOLI-3 trial were used to inform the utility values for the Free of Progression and Progressed health states for the base case analysis. The submission did not describe from which time points the utility values from the NAPOLI-3 trial were derived and how these were used to inform the utility values for the health states</w:t>
      </w:r>
      <w:r w:rsidR="00094D10" w:rsidRPr="00456281">
        <w:t xml:space="preserve">; however, the PSCR clarified that the Free of Progression health state utility value was the averaged utility observed at visits prior to the date of progression while Progressed health state was the averaged utility observed at visits after date of progression. </w:t>
      </w:r>
      <w:r w:rsidR="00E06EE1" w:rsidRPr="00456281">
        <w:t>The ESC noted t</w:t>
      </w:r>
      <w:r w:rsidR="00D864AB" w:rsidRPr="00456281">
        <w:t xml:space="preserve">hese values </w:t>
      </w:r>
      <w:r w:rsidR="00E06EE1" w:rsidRPr="00456281">
        <w:t>were</w:t>
      </w:r>
      <w:r w:rsidR="0073255F" w:rsidRPr="00456281">
        <w:t xml:space="preserve"> unpublished and </w:t>
      </w:r>
      <w:r w:rsidR="00E15D53" w:rsidRPr="00456281">
        <w:t xml:space="preserve">were </w:t>
      </w:r>
      <w:r w:rsidR="0073255F" w:rsidRPr="00456281">
        <w:t xml:space="preserve">not able to be externally verified. </w:t>
      </w:r>
      <w:r w:rsidRPr="00456281">
        <w:t>The utility values applied for the base case analysis were higher than those available from the literature</w:t>
      </w:r>
      <w:r w:rsidRPr="00456281">
        <w:rPr>
          <w:rStyle w:val="FootnoteReference"/>
        </w:rPr>
        <w:footnoteReference w:id="12"/>
      </w:r>
      <w:r w:rsidRPr="00456281">
        <w:rPr>
          <w:vertAlign w:val="superscript"/>
        </w:rPr>
        <w:t>,</w:t>
      </w:r>
      <w:r w:rsidRPr="00456281">
        <w:rPr>
          <w:rStyle w:val="FootnoteReference"/>
        </w:rPr>
        <w:footnoteReference w:id="13"/>
      </w:r>
      <w:r w:rsidRPr="00456281">
        <w:rPr>
          <w:vertAlign w:val="superscript"/>
        </w:rPr>
        <w:t xml:space="preserve"> </w:t>
      </w:r>
      <w:r w:rsidRPr="00456281">
        <w:t>and those reported at baseline and end of treatment in the NAPOLI-3 trial. The difference between</w:t>
      </w:r>
      <w:r w:rsidRPr="00456281">
        <w:rPr>
          <w:bCs/>
        </w:rPr>
        <w:t xml:space="preserve"> Free of progression and Progressed </w:t>
      </w:r>
      <w:r w:rsidRPr="009A3AE9">
        <w:rPr>
          <w:bCs/>
        </w:rPr>
        <w:t xml:space="preserve">values was </w:t>
      </w:r>
      <w:r w:rsidRPr="00F41B81">
        <w:rPr>
          <w:bCs/>
        </w:rPr>
        <w:t>larger</w:t>
      </w:r>
      <w:r w:rsidRPr="009A3AE9">
        <w:rPr>
          <w:bCs/>
        </w:rPr>
        <w:t xml:space="preserve"> (</w:t>
      </w:r>
      <w:r w:rsidRPr="00F41B81">
        <w:rPr>
          <w:bCs/>
        </w:rPr>
        <w:t>0.07</w:t>
      </w:r>
      <w:r w:rsidRPr="009A3AE9">
        <w:rPr>
          <w:bCs/>
        </w:rPr>
        <w:t>) in</w:t>
      </w:r>
      <w:r w:rsidRPr="00456281">
        <w:rPr>
          <w:bCs/>
        </w:rPr>
        <w:t xml:space="preserve"> the base case than those in literature (range from 0.04 to 0.07). These comparisons and utility values used in the economic evaluation are presented in </w:t>
      </w:r>
      <w:r w:rsidRPr="00456281">
        <w:rPr>
          <w:bCs/>
        </w:rPr>
        <w:fldChar w:fldCharType="begin"/>
      </w:r>
      <w:r w:rsidRPr="00456281">
        <w:rPr>
          <w:bCs/>
        </w:rPr>
        <w:instrText xml:space="preserve"> REF _Ref153445044 \h </w:instrText>
      </w:r>
      <w:r w:rsidR="00E46A8A" w:rsidRPr="00456281">
        <w:rPr>
          <w:bCs/>
        </w:rPr>
        <w:instrText xml:space="preserve"> \* MERGEFORMAT </w:instrText>
      </w:r>
      <w:r w:rsidRPr="00456281">
        <w:rPr>
          <w:bCs/>
        </w:rPr>
      </w:r>
      <w:r w:rsidRPr="00456281">
        <w:rPr>
          <w:bCs/>
        </w:rPr>
        <w:fldChar w:fldCharType="separate"/>
      </w:r>
      <w:r w:rsidR="00EE5AD4" w:rsidRPr="00456281">
        <w:t xml:space="preserve">Table </w:t>
      </w:r>
      <w:r w:rsidR="00EE5AD4">
        <w:t>14</w:t>
      </w:r>
      <w:r w:rsidRPr="00456281">
        <w:rPr>
          <w:bCs/>
        </w:rPr>
        <w:fldChar w:fldCharType="end"/>
      </w:r>
      <w:r w:rsidRPr="00456281">
        <w:rPr>
          <w:bCs/>
        </w:rPr>
        <w:t xml:space="preserve">. </w:t>
      </w:r>
      <w:r w:rsidR="00B24B37" w:rsidRPr="00456281">
        <w:rPr>
          <w:bCs/>
        </w:rPr>
        <w:t xml:space="preserve">The ESC noted that </w:t>
      </w:r>
      <w:r w:rsidR="00B24B37" w:rsidRPr="00456281">
        <w:t xml:space="preserve">utility </w:t>
      </w:r>
      <w:r w:rsidRPr="00456281">
        <w:t xml:space="preserve">values </w:t>
      </w:r>
      <w:r w:rsidR="00B24B37" w:rsidRPr="00456281">
        <w:t>were</w:t>
      </w:r>
      <w:r w:rsidRPr="00456281">
        <w:t xml:space="preserve"> as an important driver of the ICER</w:t>
      </w:r>
      <w:r w:rsidR="00B24B37" w:rsidRPr="00456281">
        <w:t>, however considered that the use of trial</w:t>
      </w:r>
      <w:r w:rsidR="00702B57" w:rsidRPr="00456281">
        <w:t>-</w:t>
      </w:r>
      <w:r w:rsidR="00B24B37" w:rsidRPr="00456281">
        <w:t>based utilities as described in the PSCR was appropriate</w:t>
      </w:r>
      <w:r w:rsidR="00BB1130" w:rsidRPr="00456281">
        <w:t>.</w:t>
      </w:r>
      <w:r w:rsidR="00B24B37" w:rsidRPr="00456281">
        <w:rPr>
          <w:i/>
          <w:iCs/>
        </w:rPr>
        <w:t xml:space="preserve"> </w:t>
      </w:r>
    </w:p>
    <w:p w14:paraId="085CE3A0" w14:textId="0F352AA8" w:rsidR="00873E01" w:rsidRPr="00456281" w:rsidRDefault="00873E01" w:rsidP="00030F50">
      <w:pPr>
        <w:pStyle w:val="Caption"/>
      </w:pPr>
      <w:bookmarkStart w:id="123" w:name="_Ref153445044"/>
      <w:r w:rsidRPr="00456281">
        <w:lastRenderedPageBreak/>
        <w:t xml:space="preserve">Table </w:t>
      </w:r>
      <w:r w:rsidR="00B75F7B">
        <w:fldChar w:fldCharType="begin"/>
      </w:r>
      <w:r w:rsidR="00B75F7B">
        <w:instrText xml:space="preserve"> SEQ Table \* ARABIC </w:instrText>
      </w:r>
      <w:r w:rsidR="00B75F7B">
        <w:fldChar w:fldCharType="separate"/>
      </w:r>
      <w:r w:rsidR="00EE5AD4">
        <w:rPr>
          <w:noProof/>
        </w:rPr>
        <w:t>14</w:t>
      </w:r>
      <w:r w:rsidR="00B75F7B">
        <w:fldChar w:fldCharType="end"/>
      </w:r>
      <w:bookmarkEnd w:id="123"/>
      <w:r w:rsidRPr="00456281">
        <w:t xml:space="preserve"> : Utility values used in the economic evaluation and comparisons to trial and literature</w:t>
      </w:r>
    </w:p>
    <w:tbl>
      <w:tblPr>
        <w:tblStyle w:val="TableGrid"/>
        <w:tblW w:w="0" w:type="auto"/>
        <w:tblLook w:val="04A0" w:firstRow="1" w:lastRow="0" w:firstColumn="1" w:lastColumn="0" w:noHBand="0" w:noVBand="1"/>
        <w:tblCaption w:val="Table 14 : Utility values used in the economic evaluation and comparisons to trial and literature"/>
      </w:tblPr>
      <w:tblGrid>
        <w:gridCol w:w="2547"/>
        <w:gridCol w:w="1617"/>
        <w:gridCol w:w="1617"/>
        <w:gridCol w:w="1617"/>
        <w:gridCol w:w="1618"/>
      </w:tblGrid>
      <w:tr w:rsidR="00873E01" w:rsidRPr="009A3AE9" w14:paraId="55F758E0" w14:textId="77777777" w:rsidTr="00031123">
        <w:trPr>
          <w:trHeight w:val="113"/>
        </w:trPr>
        <w:tc>
          <w:tcPr>
            <w:tcW w:w="2547" w:type="dxa"/>
            <w:vAlign w:val="center"/>
          </w:tcPr>
          <w:p w14:paraId="6E9532C2" w14:textId="77777777" w:rsidR="00873E01" w:rsidRPr="00456281" w:rsidRDefault="00873E01" w:rsidP="00031123">
            <w:pPr>
              <w:keepNext/>
              <w:keepLines/>
              <w:rPr>
                <w:rFonts w:ascii="Arial Narrow" w:hAnsi="Arial Narrow"/>
                <w:sz w:val="20"/>
                <w:szCs w:val="20"/>
              </w:rPr>
            </w:pPr>
          </w:p>
        </w:tc>
        <w:tc>
          <w:tcPr>
            <w:tcW w:w="3234" w:type="dxa"/>
            <w:gridSpan w:val="2"/>
            <w:vAlign w:val="center"/>
          </w:tcPr>
          <w:p w14:paraId="6CC9412C" w14:textId="77777777" w:rsidR="00873E01" w:rsidRPr="009A3AE9" w:rsidRDefault="00873E01" w:rsidP="00031123">
            <w:pPr>
              <w:keepNext/>
              <w:keepLines/>
              <w:jc w:val="center"/>
              <w:rPr>
                <w:rFonts w:ascii="Arial Narrow" w:hAnsi="Arial Narrow"/>
                <w:b/>
                <w:bCs/>
                <w:sz w:val="20"/>
                <w:szCs w:val="20"/>
              </w:rPr>
            </w:pPr>
            <w:r w:rsidRPr="009A3AE9">
              <w:rPr>
                <w:rFonts w:ascii="Arial Narrow" w:hAnsi="Arial Narrow"/>
                <w:b/>
                <w:bCs/>
                <w:sz w:val="20"/>
                <w:szCs w:val="20"/>
              </w:rPr>
              <w:t>Base case</w:t>
            </w:r>
          </w:p>
        </w:tc>
        <w:tc>
          <w:tcPr>
            <w:tcW w:w="3235" w:type="dxa"/>
            <w:gridSpan w:val="2"/>
            <w:vAlign w:val="center"/>
          </w:tcPr>
          <w:p w14:paraId="7FD62932" w14:textId="77777777" w:rsidR="00873E01" w:rsidRPr="009A3AE9" w:rsidRDefault="00873E01" w:rsidP="00031123">
            <w:pPr>
              <w:keepNext/>
              <w:keepLines/>
              <w:jc w:val="center"/>
              <w:rPr>
                <w:rFonts w:ascii="Arial Narrow" w:hAnsi="Arial Narrow"/>
                <w:b/>
                <w:bCs/>
                <w:sz w:val="20"/>
                <w:szCs w:val="20"/>
              </w:rPr>
            </w:pPr>
            <w:r w:rsidRPr="009A3AE9">
              <w:rPr>
                <w:rFonts w:ascii="Arial Narrow" w:hAnsi="Arial Narrow"/>
                <w:b/>
                <w:bCs/>
                <w:sz w:val="20"/>
                <w:szCs w:val="20"/>
              </w:rPr>
              <w:t>Used in sensitivity analyses</w:t>
            </w:r>
          </w:p>
        </w:tc>
      </w:tr>
      <w:tr w:rsidR="00873E01" w:rsidRPr="009A3AE9" w14:paraId="2410EEDC" w14:textId="77777777" w:rsidTr="00031123">
        <w:trPr>
          <w:trHeight w:val="113"/>
        </w:trPr>
        <w:tc>
          <w:tcPr>
            <w:tcW w:w="9016" w:type="dxa"/>
            <w:gridSpan w:val="5"/>
            <w:vAlign w:val="center"/>
          </w:tcPr>
          <w:p w14:paraId="0D197101" w14:textId="77777777" w:rsidR="00873E01" w:rsidRPr="009A3AE9" w:rsidRDefault="00873E01" w:rsidP="00031123">
            <w:pPr>
              <w:keepNext/>
              <w:keepLines/>
              <w:jc w:val="left"/>
              <w:rPr>
                <w:rFonts w:ascii="Arial Narrow" w:hAnsi="Arial Narrow"/>
                <w:b/>
                <w:bCs/>
                <w:sz w:val="20"/>
                <w:szCs w:val="20"/>
              </w:rPr>
            </w:pPr>
            <w:r w:rsidRPr="009A3AE9">
              <w:rPr>
                <w:rFonts w:ascii="Arial Narrow" w:hAnsi="Arial Narrow"/>
                <w:b/>
                <w:bCs/>
                <w:sz w:val="20"/>
                <w:szCs w:val="20"/>
              </w:rPr>
              <w:t>Applied in the economic evaluation</w:t>
            </w:r>
          </w:p>
        </w:tc>
      </w:tr>
      <w:tr w:rsidR="00873E01" w:rsidRPr="009A3AE9" w14:paraId="206D5383" w14:textId="77777777" w:rsidTr="00031123">
        <w:trPr>
          <w:trHeight w:val="113"/>
        </w:trPr>
        <w:tc>
          <w:tcPr>
            <w:tcW w:w="2547" w:type="dxa"/>
            <w:vAlign w:val="center"/>
          </w:tcPr>
          <w:p w14:paraId="38A829F1" w14:textId="77777777" w:rsidR="00873E01" w:rsidRPr="009A3AE9" w:rsidRDefault="00873E01" w:rsidP="00031123">
            <w:pPr>
              <w:keepNext/>
              <w:keepLines/>
              <w:rPr>
                <w:rFonts w:ascii="Arial Narrow" w:hAnsi="Arial Narrow"/>
                <w:b/>
                <w:bCs/>
                <w:sz w:val="20"/>
                <w:szCs w:val="20"/>
              </w:rPr>
            </w:pPr>
            <w:r w:rsidRPr="009A3AE9">
              <w:rPr>
                <w:rFonts w:ascii="Arial Narrow" w:hAnsi="Arial Narrow"/>
                <w:b/>
                <w:bCs/>
                <w:sz w:val="20"/>
                <w:szCs w:val="20"/>
              </w:rPr>
              <w:t>Health state</w:t>
            </w:r>
          </w:p>
        </w:tc>
        <w:tc>
          <w:tcPr>
            <w:tcW w:w="1617" w:type="dxa"/>
            <w:vAlign w:val="center"/>
          </w:tcPr>
          <w:p w14:paraId="265DC8FC" w14:textId="77777777" w:rsidR="00873E01" w:rsidRPr="009A3AE9" w:rsidRDefault="00873E01" w:rsidP="00031123">
            <w:pPr>
              <w:keepNext/>
              <w:keepLines/>
              <w:jc w:val="center"/>
              <w:rPr>
                <w:rFonts w:ascii="Arial Narrow" w:hAnsi="Arial Narrow"/>
                <w:b/>
                <w:bCs/>
                <w:sz w:val="20"/>
                <w:szCs w:val="20"/>
              </w:rPr>
            </w:pPr>
            <w:r w:rsidRPr="009A3AE9">
              <w:rPr>
                <w:rFonts w:ascii="Arial Narrow" w:hAnsi="Arial Narrow"/>
                <w:b/>
                <w:bCs/>
                <w:sz w:val="20"/>
                <w:szCs w:val="20"/>
              </w:rPr>
              <w:t xml:space="preserve">NAPOLI-3 </w:t>
            </w:r>
          </w:p>
        </w:tc>
        <w:tc>
          <w:tcPr>
            <w:tcW w:w="1617" w:type="dxa"/>
            <w:vAlign w:val="center"/>
          </w:tcPr>
          <w:p w14:paraId="76F43B7E" w14:textId="587B73B3" w:rsidR="00873E01" w:rsidRPr="009A3AE9" w:rsidRDefault="00873E01" w:rsidP="00031123">
            <w:pPr>
              <w:keepNext/>
              <w:keepLines/>
              <w:jc w:val="center"/>
              <w:rPr>
                <w:rFonts w:ascii="Arial Narrow" w:hAnsi="Arial Narrow"/>
                <w:b/>
                <w:bCs/>
                <w:sz w:val="20"/>
                <w:szCs w:val="20"/>
              </w:rPr>
            </w:pPr>
            <w:r w:rsidRPr="009A3AE9">
              <w:rPr>
                <w:rFonts w:ascii="Arial Narrow" w:hAnsi="Arial Narrow"/>
                <w:b/>
                <w:bCs/>
                <w:sz w:val="20"/>
                <w:szCs w:val="20"/>
              </w:rPr>
              <w:t>SEIGE trial</w:t>
            </w:r>
            <w:r w:rsidRPr="009A3AE9">
              <w:rPr>
                <w:rFonts w:ascii="Arial Narrow" w:hAnsi="Arial Narrow"/>
                <w:b/>
                <w:bCs/>
                <w:sz w:val="20"/>
                <w:szCs w:val="20"/>
                <w:vertAlign w:val="superscript"/>
              </w:rPr>
              <w:t>a</w:t>
            </w:r>
            <w:r w:rsidRPr="009A3AE9">
              <w:rPr>
                <w:rFonts w:ascii="Arial Narrow" w:hAnsi="Arial Narrow"/>
                <w:b/>
                <w:bCs/>
                <w:sz w:val="20"/>
                <w:szCs w:val="20"/>
              </w:rPr>
              <w:t xml:space="preserve"> – Devlin value set</w:t>
            </w:r>
          </w:p>
        </w:tc>
        <w:tc>
          <w:tcPr>
            <w:tcW w:w="1617" w:type="dxa"/>
            <w:vAlign w:val="center"/>
          </w:tcPr>
          <w:p w14:paraId="129B49B6" w14:textId="131287BA" w:rsidR="00873E01" w:rsidRPr="009A3AE9" w:rsidRDefault="00873E01" w:rsidP="00031123">
            <w:pPr>
              <w:keepNext/>
              <w:keepLines/>
              <w:jc w:val="center"/>
              <w:rPr>
                <w:rFonts w:ascii="Arial Narrow" w:hAnsi="Arial Narrow"/>
                <w:b/>
                <w:bCs/>
                <w:sz w:val="20"/>
                <w:szCs w:val="20"/>
              </w:rPr>
            </w:pPr>
            <w:r w:rsidRPr="009A3AE9">
              <w:rPr>
                <w:rFonts w:ascii="Arial Narrow" w:hAnsi="Arial Narrow"/>
                <w:b/>
                <w:bCs/>
                <w:sz w:val="20"/>
                <w:szCs w:val="20"/>
              </w:rPr>
              <w:t>SEIGE trial</w:t>
            </w:r>
            <w:r w:rsidRPr="009A3AE9">
              <w:rPr>
                <w:rFonts w:ascii="Arial Narrow" w:hAnsi="Arial Narrow"/>
                <w:b/>
                <w:bCs/>
                <w:sz w:val="20"/>
                <w:szCs w:val="20"/>
                <w:vertAlign w:val="superscript"/>
              </w:rPr>
              <w:t>a</w:t>
            </w:r>
            <w:r w:rsidRPr="009A3AE9">
              <w:rPr>
                <w:rFonts w:ascii="Arial Narrow" w:hAnsi="Arial Narrow"/>
                <w:b/>
                <w:bCs/>
                <w:sz w:val="20"/>
                <w:szCs w:val="20"/>
              </w:rPr>
              <w:t xml:space="preserve"> – crosswalk method</w:t>
            </w:r>
          </w:p>
        </w:tc>
        <w:tc>
          <w:tcPr>
            <w:tcW w:w="1618" w:type="dxa"/>
            <w:vAlign w:val="center"/>
          </w:tcPr>
          <w:p w14:paraId="6A67852F" w14:textId="364229BA" w:rsidR="00873E01" w:rsidRPr="009A3AE9" w:rsidRDefault="00873E01" w:rsidP="00031123">
            <w:pPr>
              <w:keepNext/>
              <w:keepLines/>
              <w:jc w:val="center"/>
              <w:rPr>
                <w:rFonts w:ascii="Arial Narrow" w:hAnsi="Arial Narrow"/>
                <w:b/>
                <w:bCs/>
                <w:sz w:val="20"/>
                <w:szCs w:val="20"/>
              </w:rPr>
            </w:pPr>
            <w:r w:rsidRPr="009A3AE9">
              <w:rPr>
                <w:rFonts w:ascii="Arial Narrow" w:hAnsi="Arial Narrow"/>
                <w:b/>
                <w:bCs/>
                <w:sz w:val="20"/>
                <w:szCs w:val="20"/>
              </w:rPr>
              <w:t>Romanus 2012</w:t>
            </w:r>
            <w:r w:rsidRPr="009A3AE9">
              <w:rPr>
                <w:rFonts w:ascii="Arial Narrow" w:hAnsi="Arial Narrow"/>
                <w:b/>
                <w:bCs/>
                <w:sz w:val="20"/>
                <w:szCs w:val="20"/>
                <w:vertAlign w:val="superscript"/>
              </w:rPr>
              <w:t>b</w:t>
            </w:r>
            <w:r w:rsidRPr="009A3AE9">
              <w:rPr>
                <w:rFonts w:ascii="Arial Narrow" w:hAnsi="Arial Narrow"/>
                <w:b/>
                <w:bCs/>
                <w:sz w:val="20"/>
                <w:szCs w:val="20"/>
              </w:rPr>
              <w:t xml:space="preserve"> – UK adjustment</w:t>
            </w:r>
          </w:p>
        </w:tc>
      </w:tr>
      <w:tr w:rsidR="00873E01" w:rsidRPr="009A3AE9" w14:paraId="75E1E91B" w14:textId="77777777" w:rsidTr="00031123">
        <w:trPr>
          <w:trHeight w:val="113"/>
        </w:trPr>
        <w:tc>
          <w:tcPr>
            <w:tcW w:w="2547" w:type="dxa"/>
            <w:vAlign w:val="center"/>
          </w:tcPr>
          <w:p w14:paraId="1D299099" w14:textId="77777777" w:rsidR="00873E01" w:rsidRPr="009A3AE9" w:rsidRDefault="00873E01" w:rsidP="00031123">
            <w:pPr>
              <w:keepNext/>
              <w:keepLines/>
              <w:rPr>
                <w:rFonts w:ascii="Arial Narrow" w:hAnsi="Arial Narrow"/>
                <w:sz w:val="20"/>
                <w:szCs w:val="20"/>
              </w:rPr>
            </w:pPr>
            <w:r w:rsidRPr="009A3AE9">
              <w:rPr>
                <w:rFonts w:ascii="Arial Narrow" w:hAnsi="Arial Narrow"/>
                <w:sz w:val="20"/>
                <w:szCs w:val="20"/>
              </w:rPr>
              <w:t>Free of progression</w:t>
            </w:r>
          </w:p>
        </w:tc>
        <w:tc>
          <w:tcPr>
            <w:tcW w:w="1617" w:type="dxa"/>
            <w:vAlign w:val="center"/>
          </w:tcPr>
          <w:p w14:paraId="5E9D0669" w14:textId="77777777" w:rsidR="00873E01" w:rsidRPr="009A3AE9" w:rsidRDefault="00873E01" w:rsidP="00031123">
            <w:pPr>
              <w:keepNext/>
              <w:keepLines/>
              <w:jc w:val="center"/>
              <w:rPr>
                <w:rFonts w:ascii="Arial Narrow" w:hAnsi="Arial Narrow"/>
                <w:sz w:val="20"/>
                <w:szCs w:val="20"/>
              </w:rPr>
            </w:pPr>
            <w:r w:rsidRPr="00F41B81">
              <w:rPr>
                <w:rFonts w:ascii="Arial Narrow" w:hAnsi="Arial Narrow"/>
                <w:sz w:val="20"/>
                <w:szCs w:val="20"/>
              </w:rPr>
              <w:t>0.85</w:t>
            </w:r>
          </w:p>
        </w:tc>
        <w:tc>
          <w:tcPr>
            <w:tcW w:w="1617" w:type="dxa"/>
            <w:vAlign w:val="center"/>
          </w:tcPr>
          <w:p w14:paraId="490BD943" w14:textId="77777777" w:rsidR="00873E01" w:rsidRPr="009A3AE9" w:rsidRDefault="00873E01" w:rsidP="00031123">
            <w:pPr>
              <w:keepNext/>
              <w:keepLines/>
              <w:jc w:val="center"/>
              <w:rPr>
                <w:rFonts w:ascii="Arial Narrow" w:hAnsi="Arial Narrow"/>
                <w:sz w:val="20"/>
                <w:szCs w:val="20"/>
              </w:rPr>
            </w:pPr>
            <w:r w:rsidRPr="009A3AE9">
              <w:rPr>
                <w:rFonts w:ascii="Arial Narrow" w:hAnsi="Arial Narrow"/>
                <w:sz w:val="20"/>
                <w:szCs w:val="20"/>
              </w:rPr>
              <w:t>0.79</w:t>
            </w:r>
          </w:p>
        </w:tc>
        <w:tc>
          <w:tcPr>
            <w:tcW w:w="1617" w:type="dxa"/>
            <w:vAlign w:val="center"/>
          </w:tcPr>
          <w:p w14:paraId="669AC77D" w14:textId="77777777" w:rsidR="00873E01" w:rsidRPr="009A3AE9" w:rsidRDefault="00873E01" w:rsidP="00031123">
            <w:pPr>
              <w:keepNext/>
              <w:keepLines/>
              <w:jc w:val="center"/>
              <w:rPr>
                <w:rFonts w:ascii="Arial Narrow" w:hAnsi="Arial Narrow"/>
                <w:sz w:val="20"/>
                <w:szCs w:val="20"/>
              </w:rPr>
            </w:pPr>
            <w:r w:rsidRPr="009A3AE9">
              <w:rPr>
                <w:rFonts w:ascii="Arial Narrow" w:hAnsi="Arial Narrow"/>
                <w:sz w:val="20"/>
                <w:szCs w:val="20"/>
              </w:rPr>
              <w:t>0.70</w:t>
            </w:r>
          </w:p>
        </w:tc>
        <w:tc>
          <w:tcPr>
            <w:tcW w:w="1618" w:type="dxa"/>
            <w:vAlign w:val="center"/>
          </w:tcPr>
          <w:p w14:paraId="5AE3F2AE" w14:textId="77777777" w:rsidR="00873E01" w:rsidRPr="009A3AE9" w:rsidRDefault="00873E01" w:rsidP="00031123">
            <w:pPr>
              <w:keepNext/>
              <w:keepLines/>
              <w:jc w:val="center"/>
              <w:rPr>
                <w:rFonts w:ascii="Arial Narrow" w:hAnsi="Arial Narrow"/>
                <w:sz w:val="20"/>
                <w:szCs w:val="20"/>
              </w:rPr>
            </w:pPr>
            <w:r w:rsidRPr="009A3AE9">
              <w:rPr>
                <w:rFonts w:ascii="Arial Narrow" w:hAnsi="Arial Narrow"/>
                <w:sz w:val="20"/>
                <w:szCs w:val="20"/>
              </w:rPr>
              <w:t>0.74</w:t>
            </w:r>
          </w:p>
        </w:tc>
      </w:tr>
      <w:tr w:rsidR="00873E01" w:rsidRPr="009A3AE9" w14:paraId="2BD2A550" w14:textId="77777777" w:rsidTr="00031123">
        <w:trPr>
          <w:trHeight w:val="113"/>
        </w:trPr>
        <w:tc>
          <w:tcPr>
            <w:tcW w:w="2547" w:type="dxa"/>
            <w:vAlign w:val="center"/>
          </w:tcPr>
          <w:p w14:paraId="76B8A039" w14:textId="77777777" w:rsidR="00873E01" w:rsidRPr="009A3AE9" w:rsidRDefault="00873E01" w:rsidP="00031123">
            <w:pPr>
              <w:keepNext/>
              <w:keepLines/>
              <w:rPr>
                <w:rFonts w:ascii="Arial Narrow" w:hAnsi="Arial Narrow"/>
                <w:sz w:val="20"/>
                <w:szCs w:val="20"/>
              </w:rPr>
            </w:pPr>
            <w:r w:rsidRPr="009A3AE9">
              <w:rPr>
                <w:rFonts w:ascii="Arial Narrow" w:hAnsi="Arial Narrow"/>
                <w:sz w:val="20"/>
                <w:szCs w:val="20"/>
              </w:rPr>
              <w:t>Progressed</w:t>
            </w:r>
          </w:p>
        </w:tc>
        <w:tc>
          <w:tcPr>
            <w:tcW w:w="1617" w:type="dxa"/>
            <w:vAlign w:val="center"/>
          </w:tcPr>
          <w:p w14:paraId="23E7AECF" w14:textId="77777777" w:rsidR="00873E01" w:rsidRPr="009A3AE9" w:rsidRDefault="00873E01" w:rsidP="00031123">
            <w:pPr>
              <w:keepNext/>
              <w:keepLines/>
              <w:jc w:val="center"/>
              <w:rPr>
                <w:rFonts w:ascii="Arial Narrow" w:hAnsi="Arial Narrow"/>
                <w:sz w:val="20"/>
                <w:szCs w:val="20"/>
              </w:rPr>
            </w:pPr>
            <w:r w:rsidRPr="00F41B81">
              <w:rPr>
                <w:rFonts w:ascii="Arial Narrow" w:hAnsi="Arial Narrow"/>
                <w:sz w:val="20"/>
                <w:szCs w:val="20"/>
              </w:rPr>
              <w:t>0.78</w:t>
            </w:r>
          </w:p>
        </w:tc>
        <w:tc>
          <w:tcPr>
            <w:tcW w:w="1617" w:type="dxa"/>
            <w:vAlign w:val="center"/>
          </w:tcPr>
          <w:p w14:paraId="0A29F7AC" w14:textId="77777777" w:rsidR="00873E01" w:rsidRPr="009A3AE9" w:rsidRDefault="00873E01" w:rsidP="00031123">
            <w:pPr>
              <w:keepNext/>
              <w:keepLines/>
              <w:jc w:val="center"/>
              <w:rPr>
                <w:rFonts w:ascii="Arial Narrow" w:hAnsi="Arial Narrow"/>
                <w:sz w:val="20"/>
                <w:szCs w:val="20"/>
              </w:rPr>
            </w:pPr>
            <w:r w:rsidRPr="009A3AE9">
              <w:rPr>
                <w:rFonts w:ascii="Arial Narrow" w:hAnsi="Arial Narrow"/>
                <w:sz w:val="20"/>
                <w:szCs w:val="20"/>
              </w:rPr>
              <w:t>0.75</w:t>
            </w:r>
          </w:p>
        </w:tc>
        <w:tc>
          <w:tcPr>
            <w:tcW w:w="1617" w:type="dxa"/>
            <w:vAlign w:val="center"/>
          </w:tcPr>
          <w:p w14:paraId="070F2501" w14:textId="77777777" w:rsidR="00873E01" w:rsidRPr="009A3AE9" w:rsidRDefault="00873E01" w:rsidP="00031123">
            <w:pPr>
              <w:keepNext/>
              <w:keepLines/>
              <w:jc w:val="center"/>
              <w:rPr>
                <w:rFonts w:ascii="Arial Narrow" w:hAnsi="Arial Narrow"/>
                <w:sz w:val="20"/>
                <w:szCs w:val="20"/>
              </w:rPr>
            </w:pPr>
            <w:r w:rsidRPr="009A3AE9">
              <w:rPr>
                <w:rFonts w:ascii="Arial Narrow" w:hAnsi="Arial Narrow"/>
                <w:sz w:val="20"/>
                <w:szCs w:val="20"/>
              </w:rPr>
              <w:t>0.65</w:t>
            </w:r>
          </w:p>
        </w:tc>
        <w:tc>
          <w:tcPr>
            <w:tcW w:w="1618" w:type="dxa"/>
            <w:vAlign w:val="center"/>
          </w:tcPr>
          <w:p w14:paraId="6B0B4E95" w14:textId="77777777" w:rsidR="00873E01" w:rsidRPr="009A3AE9" w:rsidRDefault="00873E01" w:rsidP="00031123">
            <w:pPr>
              <w:keepNext/>
              <w:keepLines/>
              <w:jc w:val="center"/>
              <w:rPr>
                <w:rFonts w:ascii="Arial Narrow" w:hAnsi="Arial Narrow"/>
                <w:sz w:val="20"/>
                <w:szCs w:val="20"/>
              </w:rPr>
            </w:pPr>
            <w:r w:rsidRPr="009A3AE9">
              <w:rPr>
                <w:rFonts w:ascii="Arial Narrow" w:hAnsi="Arial Narrow"/>
                <w:sz w:val="20"/>
                <w:szCs w:val="20"/>
              </w:rPr>
              <w:t>0.67</w:t>
            </w:r>
          </w:p>
        </w:tc>
      </w:tr>
      <w:tr w:rsidR="00873E01" w:rsidRPr="009A3AE9" w14:paraId="21857033" w14:textId="77777777" w:rsidTr="00031123">
        <w:trPr>
          <w:trHeight w:val="113"/>
        </w:trPr>
        <w:tc>
          <w:tcPr>
            <w:tcW w:w="2547" w:type="dxa"/>
            <w:vAlign w:val="center"/>
          </w:tcPr>
          <w:p w14:paraId="4B1CB937" w14:textId="77777777" w:rsidR="00873E01" w:rsidRPr="009A3AE9" w:rsidRDefault="00873E01" w:rsidP="00031123">
            <w:pPr>
              <w:keepNext/>
              <w:keepLines/>
              <w:rPr>
                <w:rFonts w:ascii="Arial Narrow" w:hAnsi="Arial Narrow"/>
                <w:sz w:val="20"/>
                <w:szCs w:val="20"/>
              </w:rPr>
            </w:pPr>
            <w:r w:rsidRPr="009A3AE9">
              <w:rPr>
                <w:rFonts w:ascii="Arial Narrow" w:hAnsi="Arial Narrow"/>
                <w:sz w:val="20"/>
                <w:szCs w:val="20"/>
              </w:rPr>
              <w:t>Differences between health states</w:t>
            </w:r>
          </w:p>
        </w:tc>
        <w:tc>
          <w:tcPr>
            <w:tcW w:w="1617" w:type="dxa"/>
            <w:vAlign w:val="center"/>
          </w:tcPr>
          <w:p w14:paraId="27FA53F1" w14:textId="77777777" w:rsidR="00873E01" w:rsidRPr="009A3AE9" w:rsidRDefault="00873E01" w:rsidP="00031123">
            <w:pPr>
              <w:pStyle w:val="TableText0"/>
              <w:keepLines/>
              <w:jc w:val="center"/>
              <w:rPr>
                <w:szCs w:val="20"/>
              </w:rPr>
            </w:pPr>
            <w:r w:rsidRPr="00F41B81">
              <w:t>0.07</w:t>
            </w:r>
          </w:p>
        </w:tc>
        <w:tc>
          <w:tcPr>
            <w:tcW w:w="1617" w:type="dxa"/>
            <w:vAlign w:val="center"/>
          </w:tcPr>
          <w:p w14:paraId="4972F9AD" w14:textId="77777777" w:rsidR="00873E01" w:rsidRPr="009A3AE9" w:rsidRDefault="00873E01" w:rsidP="00031123">
            <w:pPr>
              <w:pStyle w:val="TableText0"/>
              <w:keepLines/>
              <w:jc w:val="center"/>
              <w:rPr>
                <w:szCs w:val="20"/>
              </w:rPr>
            </w:pPr>
            <w:r w:rsidRPr="009A3AE9">
              <w:t>0.04</w:t>
            </w:r>
          </w:p>
        </w:tc>
        <w:tc>
          <w:tcPr>
            <w:tcW w:w="1617" w:type="dxa"/>
            <w:vAlign w:val="center"/>
          </w:tcPr>
          <w:p w14:paraId="5AE1335E" w14:textId="77777777" w:rsidR="00873E01" w:rsidRPr="009A3AE9" w:rsidRDefault="00873E01" w:rsidP="00031123">
            <w:pPr>
              <w:pStyle w:val="TableText0"/>
              <w:keepLines/>
              <w:jc w:val="center"/>
              <w:rPr>
                <w:szCs w:val="20"/>
              </w:rPr>
            </w:pPr>
            <w:r w:rsidRPr="009A3AE9">
              <w:t>0.05</w:t>
            </w:r>
          </w:p>
        </w:tc>
        <w:tc>
          <w:tcPr>
            <w:tcW w:w="1618" w:type="dxa"/>
            <w:vAlign w:val="center"/>
          </w:tcPr>
          <w:p w14:paraId="0C7C8EF8" w14:textId="77777777" w:rsidR="00873E01" w:rsidRPr="009A3AE9" w:rsidRDefault="00873E01" w:rsidP="00031123">
            <w:pPr>
              <w:pStyle w:val="TableText0"/>
              <w:keepLines/>
              <w:jc w:val="center"/>
              <w:rPr>
                <w:szCs w:val="20"/>
              </w:rPr>
            </w:pPr>
            <w:r w:rsidRPr="009A3AE9">
              <w:t>0.07</w:t>
            </w:r>
          </w:p>
        </w:tc>
      </w:tr>
      <w:tr w:rsidR="00873E01" w:rsidRPr="009A3AE9" w14:paraId="5F7C776D" w14:textId="77777777" w:rsidTr="00031123">
        <w:trPr>
          <w:trHeight w:val="113"/>
        </w:trPr>
        <w:tc>
          <w:tcPr>
            <w:tcW w:w="9016" w:type="dxa"/>
            <w:gridSpan w:val="5"/>
            <w:vAlign w:val="center"/>
          </w:tcPr>
          <w:p w14:paraId="172E1F89" w14:textId="77777777" w:rsidR="00873E01" w:rsidRPr="009A3AE9" w:rsidRDefault="00873E01" w:rsidP="00031123">
            <w:pPr>
              <w:pStyle w:val="TableText0"/>
              <w:keepLines/>
            </w:pPr>
            <w:r w:rsidRPr="009A3AE9">
              <w:rPr>
                <w:b/>
                <w:bCs w:val="0"/>
                <w:szCs w:val="20"/>
              </w:rPr>
              <w:t>Comparison to trial and literature</w:t>
            </w:r>
          </w:p>
        </w:tc>
      </w:tr>
      <w:tr w:rsidR="00873E01" w:rsidRPr="009A3AE9" w14:paraId="1FF62AA1" w14:textId="77777777" w:rsidTr="00031123">
        <w:trPr>
          <w:trHeight w:val="113"/>
        </w:trPr>
        <w:tc>
          <w:tcPr>
            <w:tcW w:w="2547" w:type="dxa"/>
            <w:vAlign w:val="center"/>
          </w:tcPr>
          <w:p w14:paraId="44FE7454" w14:textId="77777777" w:rsidR="00873E01" w:rsidRPr="009A3AE9" w:rsidRDefault="00873E01" w:rsidP="00031123">
            <w:pPr>
              <w:keepNext/>
              <w:keepLines/>
              <w:rPr>
                <w:rFonts w:ascii="Arial Narrow" w:hAnsi="Arial Narrow"/>
                <w:b/>
                <w:bCs/>
                <w:sz w:val="20"/>
                <w:szCs w:val="20"/>
              </w:rPr>
            </w:pPr>
            <w:r w:rsidRPr="009A3AE9">
              <w:rPr>
                <w:rFonts w:ascii="Arial Narrow" w:hAnsi="Arial Narrow"/>
                <w:b/>
                <w:bCs/>
                <w:sz w:val="20"/>
                <w:szCs w:val="20"/>
              </w:rPr>
              <w:t>As reported in NAPOLI-3 trial</w:t>
            </w:r>
          </w:p>
        </w:tc>
        <w:tc>
          <w:tcPr>
            <w:tcW w:w="3234" w:type="dxa"/>
            <w:gridSpan w:val="2"/>
            <w:vAlign w:val="center"/>
          </w:tcPr>
          <w:p w14:paraId="70C18B49" w14:textId="77777777" w:rsidR="00873E01" w:rsidRPr="009A3AE9" w:rsidRDefault="00873E01" w:rsidP="00031123">
            <w:pPr>
              <w:pStyle w:val="TableText0"/>
              <w:keepLines/>
              <w:jc w:val="center"/>
              <w:rPr>
                <w:b/>
                <w:bCs w:val="0"/>
              </w:rPr>
            </w:pPr>
            <w:r w:rsidRPr="009A3AE9">
              <w:rPr>
                <w:b/>
                <w:bCs w:val="0"/>
              </w:rPr>
              <w:t>NALIRIFOX</w:t>
            </w:r>
          </w:p>
        </w:tc>
        <w:tc>
          <w:tcPr>
            <w:tcW w:w="3235" w:type="dxa"/>
            <w:gridSpan w:val="2"/>
            <w:vAlign w:val="center"/>
          </w:tcPr>
          <w:p w14:paraId="4C096861" w14:textId="77777777" w:rsidR="00873E01" w:rsidRPr="009A3AE9" w:rsidRDefault="00873E01" w:rsidP="00031123">
            <w:pPr>
              <w:pStyle w:val="TableText0"/>
              <w:keepLines/>
              <w:jc w:val="center"/>
            </w:pPr>
            <w:r w:rsidRPr="009A3AE9">
              <w:rPr>
                <w:b/>
                <w:bCs w:val="0"/>
              </w:rPr>
              <w:t>Gem+NabP</w:t>
            </w:r>
          </w:p>
        </w:tc>
      </w:tr>
      <w:tr w:rsidR="00873E01" w:rsidRPr="009A3AE9" w14:paraId="685D79CF" w14:textId="77777777" w:rsidTr="00031123">
        <w:trPr>
          <w:trHeight w:val="113"/>
        </w:trPr>
        <w:tc>
          <w:tcPr>
            <w:tcW w:w="2547" w:type="dxa"/>
            <w:vAlign w:val="center"/>
          </w:tcPr>
          <w:p w14:paraId="41CE30B7" w14:textId="77777777" w:rsidR="00873E01" w:rsidRPr="009A3AE9" w:rsidRDefault="00873E01" w:rsidP="00031123">
            <w:pPr>
              <w:keepNext/>
              <w:keepLines/>
              <w:rPr>
                <w:rFonts w:ascii="Arial Narrow" w:hAnsi="Arial Narrow"/>
                <w:sz w:val="20"/>
                <w:szCs w:val="20"/>
              </w:rPr>
            </w:pPr>
            <w:r w:rsidRPr="009A3AE9">
              <w:rPr>
                <w:rFonts w:ascii="Arial Narrow" w:hAnsi="Arial Narrow"/>
                <w:sz w:val="20"/>
                <w:szCs w:val="20"/>
              </w:rPr>
              <w:t>Baseline, mean (SD)</w:t>
            </w:r>
          </w:p>
        </w:tc>
        <w:tc>
          <w:tcPr>
            <w:tcW w:w="3234" w:type="dxa"/>
            <w:gridSpan w:val="2"/>
            <w:vAlign w:val="center"/>
          </w:tcPr>
          <w:p w14:paraId="1E2FA83C" w14:textId="77777777" w:rsidR="00873E01" w:rsidRPr="009A3AE9" w:rsidRDefault="00873E01" w:rsidP="00031123">
            <w:pPr>
              <w:pStyle w:val="TableText0"/>
              <w:keepLines/>
              <w:jc w:val="center"/>
            </w:pPr>
            <w:r w:rsidRPr="00F41B81">
              <w:t>0.803 (0.1266)</w:t>
            </w:r>
          </w:p>
        </w:tc>
        <w:tc>
          <w:tcPr>
            <w:tcW w:w="3235" w:type="dxa"/>
            <w:gridSpan w:val="2"/>
            <w:vAlign w:val="center"/>
          </w:tcPr>
          <w:p w14:paraId="2555D1C7" w14:textId="77777777" w:rsidR="00873E01" w:rsidRPr="00F41B81" w:rsidRDefault="00873E01" w:rsidP="00031123">
            <w:pPr>
              <w:pStyle w:val="TableText0"/>
              <w:keepLines/>
              <w:jc w:val="center"/>
            </w:pPr>
            <w:r w:rsidRPr="00F41B81">
              <w:t>0.804 (0.1350)</w:t>
            </w:r>
          </w:p>
        </w:tc>
      </w:tr>
      <w:tr w:rsidR="00873E01" w:rsidRPr="009A3AE9" w14:paraId="0FFB5938" w14:textId="77777777" w:rsidTr="00031123">
        <w:trPr>
          <w:trHeight w:val="113"/>
        </w:trPr>
        <w:tc>
          <w:tcPr>
            <w:tcW w:w="2547" w:type="dxa"/>
            <w:vAlign w:val="center"/>
          </w:tcPr>
          <w:p w14:paraId="6516F514" w14:textId="77777777" w:rsidR="00873E01" w:rsidRPr="009A3AE9" w:rsidRDefault="00873E01" w:rsidP="00031123">
            <w:pPr>
              <w:keepNext/>
              <w:keepLines/>
              <w:rPr>
                <w:rFonts w:ascii="Arial Narrow" w:hAnsi="Arial Narrow"/>
                <w:sz w:val="20"/>
                <w:szCs w:val="20"/>
              </w:rPr>
            </w:pPr>
            <w:r w:rsidRPr="009A3AE9">
              <w:rPr>
                <w:rFonts w:ascii="Arial Narrow" w:hAnsi="Arial Narrow"/>
                <w:sz w:val="20"/>
                <w:szCs w:val="20"/>
              </w:rPr>
              <w:t>End of treatment, mean (SD)</w:t>
            </w:r>
          </w:p>
        </w:tc>
        <w:tc>
          <w:tcPr>
            <w:tcW w:w="3234" w:type="dxa"/>
            <w:gridSpan w:val="2"/>
            <w:vAlign w:val="center"/>
          </w:tcPr>
          <w:p w14:paraId="3CC4FC46" w14:textId="77777777" w:rsidR="00873E01" w:rsidRPr="009A3AE9" w:rsidRDefault="00873E01" w:rsidP="00031123">
            <w:pPr>
              <w:pStyle w:val="TableText0"/>
              <w:keepLines/>
              <w:jc w:val="center"/>
            </w:pPr>
            <w:r w:rsidRPr="00F41B81">
              <w:t>0.747 (0.1846)</w:t>
            </w:r>
          </w:p>
        </w:tc>
        <w:tc>
          <w:tcPr>
            <w:tcW w:w="3235" w:type="dxa"/>
            <w:gridSpan w:val="2"/>
            <w:vAlign w:val="center"/>
          </w:tcPr>
          <w:p w14:paraId="6C0ED481" w14:textId="77777777" w:rsidR="00873E01" w:rsidRPr="00F41B81" w:rsidRDefault="00873E01" w:rsidP="00031123">
            <w:pPr>
              <w:pStyle w:val="TableText0"/>
              <w:keepLines/>
              <w:jc w:val="center"/>
            </w:pPr>
            <w:r w:rsidRPr="00F41B81">
              <w:t>0.754 (0.2047)</w:t>
            </w:r>
          </w:p>
        </w:tc>
      </w:tr>
      <w:tr w:rsidR="00873E01" w:rsidRPr="009A3AE9" w14:paraId="208BDB85" w14:textId="77777777" w:rsidTr="00031123">
        <w:trPr>
          <w:trHeight w:val="113"/>
        </w:trPr>
        <w:tc>
          <w:tcPr>
            <w:tcW w:w="2547" w:type="dxa"/>
            <w:vAlign w:val="center"/>
          </w:tcPr>
          <w:p w14:paraId="389A72AA" w14:textId="77777777" w:rsidR="00873E01" w:rsidRPr="009A3AE9" w:rsidRDefault="00873E01" w:rsidP="00031123">
            <w:pPr>
              <w:keepNext/>
              <w:keepLines/>
              <w:rPr>
                <w:rFonts w:ascii="Arial Narrow" w:hAnsi="Arial Narrow"/>
                <w:sz w:val="20"/>
                <w:szCs w:val="20"/>
              </w:rPr>
            </w:pPr>
            <w:r w:rsidRPr="009A3AE9">
              <w:rPr>
                <w:rFonts w:ascii="Arial Narrow" w:hAnsi="Arial Narrow"/>
                <w:sz w:val="20"/>
                <w:szCs w:val="20"/>
              </w:rPr>
              <w:t>Change from baseline to end of treatment, mean (SD)</w:t>
            </w:r>
          </w:p>
        </w:tc>
        <w:tc>
          <w:tcPr>
            <w:tcW w:w="3234" w:type="dxa"/>
            <w:gridSpan w:val="2"/>
            <w:vAlign w:val="center"/>
          </w:tcPr>
          <w:p w14:paraId="182DBBE0" w14:textId="77777777" w:rsidR="00873E01" w:rsidRPr="009A3AE9" w:rsidRDefault="00873E01" w:rsidP="00031123">
            <w:pPr>
              <w:pStyle w:val="TableText0"/>
              <w:keepLines/>
              <w:jc w:val="center"/>
            </w:pPr>
            <w:r w:rsidRPr="00F41B81">
              <w:t>-0.063 (0.1852)</w:t>
            </w:r>
          </w:p>
        </w:tc>
        <w:tc>
          <w:tcPr>
            <w:tcW w:w="3235" w:type="dxa"/>
            <w:gridSpan w:val="2"/>
            <w:vAlign w:val="center"/>
          </w:tcPr>
          <w:p w14:paraId="2D8D4B3B" w14:textId="77777777" w:rsidR="00873E01" w:rsidRPr="009A3AE9" w:rsidRDefault="00873E01" w:rsidP="00031123">
            <w:pPr>
              <w:pStyle w:val="TableText0"/>
              <w:keepLines/>
              <w:jc w:val="center"/>
            </w:pPr>
            <w:r w:rsidRPr="00F41B81">
              <w:t>-0.080 (0.2184)</w:t>
            </w:r>
          </w:p>
        </w:tc>
      </w:tr>
      <w:tr w:rsidR="00873E01" w:rsidRPr="009A3AE9" w14:paraId="0FF698A3" w14:textId="77777777" w:rsidTr="00031123">
        <w:trPr>
          <w:trHeight w:val="113"/>
        </w:trPr>
        <w:tc>
          <w:tcPr>
            <w:tcW w:w="2547" w:type="dxa"/>
            <w:vMerge w:val="restart"/>
            <w:vAlign w:val="center"/>
          </w:tcPr>
          <w:p w14:paraId="307142ED" w14:textId="77777777" w:rsidR="00873E01" w:rsidRPr="009A3AE9" w:rsidRDefault="00873E01" w:rsidP="00031123">
            <w:pPr>
              <w:keepNext/>
              <w:keepLines/>
              <w:rPr>
                <w:rFonts w:ascii="Arial Narrow" w:hAnsi="Arial Narrow"/>
                <w:b/>
                <w:bCs/>
                <w:sz w:val="20"/>
                <w:szCs w:val="20"/>
              </w:rPr>
            </w:pPr>
            <w:r w:rsidRPr="009A3AE9">
              <w:rPr>
                <w:rFonts w:ascii="Arial Narrow" w:hAnsi="Arial Narrow"/>
                <w:b/>
                <w:bCs/>
                <w:sz w:val="20"/>
                <w:szCs w:val="20"/>
              </w:rPr>
              <w:t>Literature</w:t>
            </w:r>
          </w:p>
        </w:tc>
        <w:tc>
          <w:tcPr>
            <w:tcW w:w="3234" w:type="dxa"/>
            <w:gridSpan w:val="2"/>
            <w:vAlign w:val="center"/>
          </w:tcPr>
          <w:p w14:paraId="04214E20" w14:textId="77777777" w:rsidR="00873E01" w:rsidRPr="009A3AE9" w:rsidRDefault="00873E01" w:rsidP="00031123">
            <w:pPr>
              <w:pStyle w:val="TableText0"/>
              <w:keepLines/>
              <w:jc w:val="center"/>
            </w:pPr>
            <w:r w:rsidRPr="009A3AE9">
              <w:rPr>
                <w:b/>
                <w:bCs w:val="0"/>
                <w:szCs w:val="20"/>
              </w:rPr>
              <w:t>Yoo et al, 2022</w:t>
            </w:r>
          </w:p>
        </w:tc>
        <w:tc>
          <w:tcPr>
            <w:tcW w:w="3235" w:type="dxa"/>
            <w:gridSpan w:val="2"/>
            <w:vAlign w:val="center"/>
          </w:tcPr>
          <w:p w14:paraId="0CBED4CE" w14:textId="77777777" w:rsidR="00873E01" w:rsidRPr="009A3AE9" w:rsidRDefault="00873E01" w:rsidP="00031123">
            <w:pPr>
              <w:pStyle w:val="TableText0"/>
              <w:keepLines/>
              <w:jc w:val="center"/>
              <w:rPr>
                <w:b/>
                <w:bCs w:val="0"/>
              </w:rPr>
            </w:pPr>
            <w:r w:rsidRPr="009A3AE9">
              <w:rPr>
                <w:b/>
                <w:bCs w:val="0"/>
              </w:rPr>
              <w:t>Takumoto et al, 2022</w:t>
            </w:r>
          </w:p>
        </w:tc>
      </w:tr>
      <w:tr w:rsidR="00873E01" w:rsidRPr="009A3AE9" w14:paraId="128CF748" w14:textId="77777777" w:rsidTr="00031123">
        <w:trPr>
          <w:trHeight w:val="113"/>
        </w:trPr>
        <w:tc>
          <w:tcPr>
            <w:tcW w:w="2547" w:type="dxa"/>
            <w:vMerge/>
            <w:vAlign w:val="center"/>
          </w:tcPr>
          <w:p w14:paraId="024A68BB" w14:textId="77777777" w:rsidR="00873E01" w:rsidRPr="009A3AE9" w:rsidRDefault="00873E01" w:rsidP="00031123">
            <w:pPr>
              <w:keepNext/>
              <w:keepLines/>
              <w:rPr>
                <w:rFonts w:ascii="Arial Narrow" w:hAnsi="Arial Narrow"/>
                <w:b/>
                <w:bCs/>
                <w:sz w:val="20"/>
                <w:szCs w:val="20"/>
              </w:rPr>
            </w:pPr>
          </w:p>
        </w:tc>
        <w:tc>
          <w:tcPr>
            <w:tcW w:w="1617" w:type="dxa"/>
            <w:vAlign w:val="center"/>
          </w:tcPr>
          <w:p w14:paraId="7BA0744B" w14:textId="77777777" w:rsidR="00873E01" w:rsidRPr="009A3AE9" w:rsidRDefault="00873E01" w:rsidP="00031123">
            <w:pPr>
              <w:pStyle w:val="TableText0"/>
              <w:keepLines/>
            </w:pPr>
            <w:r w:rsidRPr="009A3AE9">
              <w:rPr>
                <w:szCs w:val="20"/>
              </w:rPr>
              <w:t xml:space="preserve">Newly diagnosed </w:t>
            </w:r>
          </w:p>
        </w:tc>
        <w:tc>
          <w:tcPr>
            <w:tcW w:w="1617" w:type="dxa"/>
            <w:vAlign w:val="center"/>
          </w:tcPr>
          <w:p w14:paraId="559A6173" w14:textId="77777777" w:rsidR="00873E01" w:rsidRPr="009A3AE9" w:rsidRDefault="00873E01" w:rsidP="00031123">
            <w:pPr>
              <w:pStyle w:val="TableText0"/>
              <w:keepLines/>
              <w:jc w:val="center"/>
            </w:pPr>
            <w:r w:rsidRPr="009A3AE9">
              <w:t>0.46 to 0.75</w:t>
            </w:r>
          </w:p>
        </w:tc>
        <w:tc>
          <w:tcPr>
            <w:tcW w:w="1617" w:type="dxa"/>
            <w:vAlign w:val="center"/>
          </w:tcPr>
          <w:p w14:paraId="1E996174" w14:textId="77777777" w:rsidR="00873E01" w:rsidRPr="009A3AE9" w:rsidRDefault="00873E01" w:rsidP="00031123">
            <w:pPr>
              <w:pStyle w:val="TableText0"/>
              <w:keepLines/>
            </w:pPr>
            <w:r w:rsidRPr="009A3AE9">
              <w:t>Stable health state without AEs</w:t>
            </w:r>
          </w:p>
        </w:tc>
        <w:tc>
          <w:tcPr>
            <w:tcW w:w="1618" w:type="dxa"/>
            <w:vAlign w:val="center"/>
          </w:tcPr>
          <w:p w14:paraId="7D3C6F76" w14:textId="77777777" w:rsidR="00873E01" w:rsidRPr="009A3AE9" w:rsidRDefault="00873E01" w:rsidP="00031123">
            <w:pPr>
              <w:pStyle w:val="TableText0"/>
              <w:keepLines/>
              <w:jc w:val="center"/>
            </w:pPr>
            <w:r w:rsidRPr="009A3AE9">
              <w:t>0.468 to 0.634</w:t>
            </w:r>
          </w:p>
        </w:tc>
      </w:tr>
      <w:tr w:rsidR="00873E01" w:rsidRPr="00456281" w14:paraId="055B08AC" w14:textId="77777777" w:rsidTr="00031123">
        <w:trPr>
          <w:trHeight w:val="113"/>
        </w:trPr>
        <w:tc>
          <w:tcPr>
            <w:tcW w:w="2547" w:type="dxa"/>
            <w:vMerge/>
            <w:vAlign w:val="center"/>
          </w:tcPr>
          <w:p w14:paraId="44F750E9" w14:textId="77777777" w:rsidR="00873E01" w:rsidRPr="009A3AE9" w:rsidRDefault="00873E01" w:rsidP="00031123">
            <w:pPr>
              <w:keepNext/>
              <w:keepLines/>
              <w:rPr>
                <w:rFonts w:ascii="Arial Narrow" w:hAnsi="Arial Narrow"/>
                <w:b/>
                <w:bCs/>
                <w:sz w:val="20"/>
                <w:szCs w:val="20"/>
              </w:rPr>
            </w:pPr>
          </w:p>
        </w:tc>
        <w:tc>
          <w:tcPr>
            <w:tcW w:w="1617" w:type="dxa"/>
            <w:vAlign w:val="center"/>
          </w:tcPr>
          <w:p w14:paraId="5EE7C69F" w14:textId="77777777" w:rsidR="00873E01" w:rsidRPr="009A3AE9" w:rsidRDefault="00873E01" w:rsidP="00031123">
            <w:pPr>
              <w:pStyle w:val="TableText0"/>
              <w:keepLines/>
            </w:pPr>
            <w:r w:rsidRPr="009A3AE9">
              <w:rPr>
                <w:szCs w:val="20"/>
              </w:rPr>
              <w:t>Previously treated</w:t>
            </w:r>
          </w:p>
        </w:tc>
        <w:tc>
          <w:tcPr>
            <w:tcW w:w="1617" w:type="dxa"/>
            <w:vAlign w:val="center"/>
          </w:tcPr>
          <w:p w14:paraId="7CBBA2A4" w14:textId="77777777" w:rsidR="00873E01" w:rsidRPr="009A3AE9" w:rsidRDefault="00873E01" w:rsidP="00031123">
            <w:pPr>
              <w:pStyle w:val="TableText0"/>
              <w:keepLines/>
              <w:jc w:val="center"/>
            </w:pPr>
            <w:r w:rsidRPr="009A3AE9">
              <w:t>0.72</w:t>
            </w:r>
          </w:p>
        </w:tc>
        <w:tc>
          <w:tcPr>
            <w:tcW w:w="1617" w:type="dxa"/>
            <w:vAlign w:val="center"/>
          </w:tcPr>
          <w:p w14:paraId="455B6876" w14:textId="77777777" w:rsidR="00873E01" w:rsidRPr="009A3AE9" w:rsidRDefault="00873E01" w:rsidP="00031123">
            <w:pPr>
              <w:pStyle w:val="TableText0"/>
              <w:keepLines/>
            </w:pPr>
            <w:r w:rsidRPr="009A3AE9">
              <w:t>Progressive disease</w:t>
            </w:r>
          </w:p>
        </w:tc>
        <w:tc>
          <w:tcPr>
            <w:tcW w:w="1618" w:type="dxa"/>
            <w:vAlign w:val="center"/>
          </w:tcPr>
          <w:p w14:paraId="5EC34C82" w14:textId="77777777" w:rsidR="00873E01" w:rsidRPr="00456281" w:rsidRDefault="00873E01" w:rsidP="00031123">
            <w:pPr>
              <w:pStyle w:val="TableText0"/>
              <w:keepLines/>
              <w:jc w:val="center"/>
            </w:pPr>
            <w:r w:rsidRPr="009A3AE9">
              <w:t>-0.119 to 0.112</w:t>
            </w:r>
          </w:p>
        </w:tc>
      </w:tr>
    </w:tbl>
    <w:p w14:paraId="1068621D" w14:textId="77777777" w:rsidR="00873E01" w:rsidRPr="00456281" w:rsidRDefault="00873E01" w:rsidP="00030F50">
      <w:pPr>
        <w:pStyle w:val="FooterTableFigure"/>
        <w:keepNext/>
        <w:keepLines/>
      </w:pPr>
      <w:r w:rsidRPr="00456281">
        <w:t>Source: Table 52, p135 of the submission and added to during the evaluation</w:t>
      </w:r>
    </w:p>
    <w:p w14:paraId="0F88ABC9" w14:textId="293CCE47" w:rsidR="00873E01" w:rsidRPr="00456281" w:rsidRDefault="00873E01" w:rsidP="00030F50">
      <w:pPr>
        <w:pStyle w:val="FooterTableFigure"/>
        <w:keepNext/>
        <w:keepLines/>
      </w:pPr>
      <w:r w:rsidRPr="00456281">
        <w:t>Abbreviations: Gem+NabP, gemcitabine plus nanoparticle albumin-bound paclitaxel; NALIRIFOX, nanoliposomal irinotecan (nal-IRI) in combination with 5-fluorouracil, leucovorin/folinic acid, and oxaliplatin; SD, standard deviation; UK, United Kingdom.</w:t>
      </w:r>
    </w:p>
    <w:p w14:paraId="0932E8CF" w14:textId="77777777" w:rsidR="00873E01" w:rsidRPr="00456281" w:rsidRDefault="00873E01" w:rsidP="00030F50">
      <w:pPr>
        <w:pStyle w:val="FooterTableFigure"/>
        <w:keepNext/>
        <w:keepLines/>
      </w:pPr>
      <w:r w:rsidRPr="00456281">
        <w:rPr>
          <w:vertAlign w:val="superscript"/>
        </w:rPr>
        <w:t xml:space="preserve">a </w:t>
      </w:r>
      <w:r w:rsidRPr="00456281">
        <w:t>The SEIGE trial was a Phase II, dose-scheduling trial of Gem+NabP with EQ-5D-5L data captured over a period of 12 months.</w:t>
      </w:r>
    </w:p>
    <w:p w14:paraId="0119F5D1" w14:textId="77777777" w:rsidR="00873E01" w:rsidRPr="00456281" w:rsidRDefault="00873E01" w:rsidP="00873E01">
      <w:pPr>
        <w:pStyle w:val="FooterTableFigure"/>
      </w:pPr>
      <w:r w:rsidRPr="00456281">
        <w:rPr>
          <w:vertAlign w:val="superscript"/>
        </w:rPr>
        <w:t xml:space="preserve">b </w:t>
      </w:r>
      <w:r w:rsidRPr="00456281">
        <w:t xml:space="preserve">Romanus et al, 2012 was a health-related quality of life study of US patients with advanced pancreatic cancer deemed not appropriate for surgical resection. Utility values adjusted to the UK population were from </w:t>
      </w:r>
      <w:r w:rsidRPr="00456281">
        <w:rPr>
          <w:iCs/>
        </w:rPr>
        <w:t>NICE’s assessment of Gem+NabP.</w:t>
      </w:r>
    </w:p>
    <w:p w14:paraId="51EFD38F" w14:textId="2CBEE15A" w:rsidR="00873E01" w:rsidRPr="00456281" w:rsidRDefault="00E74721" w:rsidP="00873E01">
      <w:pPr>
        <w:pStyle w:val="3-BodyText"/>
      </w:pPr>
      <w:r w:rsidRPr="00456281">
        <w:t xml:space="preserve">Disutilities </w:t>
      </w:r>
      <w:r w:rsidR="00873E01" w:rsidRPr="00456281">
        <w:t>associated with AEs from each of the treatment arms were included in the economic model as a one-off QALY loss. The incremental QALY loss applied for NALIRIFOX vs Gem+NabP was -0.0006</w:t>
      </w:r>
      <w:r w:rsidRPr="00456281">
        <w:t>,</w:t>
      </w:r>
      <w:r w:rsidR="00873E01" w:rsidRPr="00456281">
        <w:t xml:space="preserve"> and </w:t>
      </w:r>
      <w:r w:rsidRPr="00456281">
        <w:t xml:space="preserve">for </w:t>
      </w:r>
      <w:r w:rsidR="00873E01" w:rsidRPr="00456281">
        <w:t>NALIRIFOX vs FOLF</w:t>
      </w:r>
      <w:r w:rsidR="00E95A8F" w:rsidRPr="00456281">
        <w:t>I</w:t>
      </w:r>
      <w:r w:rsidR="00873E01" w:rsidRPr="00456281">
        <w:t xml:space="preserve">RINOX was 0.0074. </w:t>
      </w:r>
      <w:r w:rsidRPr="00456281">
        <w:t xml:space="preserve">These were </w:t>
      </w:r>
      <w:r w:rsidR="00873E01" w:rsidRPr="00456281">
        <w:t>estimated based on:</w:t>
      </w:r>
    </w:p>
    <w:p w14:paraId="7894050A" w14:textId="77777777" w:rsidR="00873E01" w:rsidRPr="00456281" w:rsidRDefault="00873E01" w:rsidP="00690769">
      <w:pPr>
        <w:pStyle w:val="3-BodyText"/>
        <w:numPr>
          <w:ilvl w:val="0"/>
          <w:numId w:val="15"/>
        </w:numPr>
      </w:pPr>
      <w:r w:rsidRPr="00456281">
        <w:t>Averaged reported disutility values from three publications (Takumoto et al, 2022; Attard et al, 2014; Tam et al, 2013).</w:t>
      </w:r>
    </w:p>
    <w:p w14:paraId="619246A5" w14:textId="678C60F7" w:rsidR="00873E01" w:rsidRPr="00456281" w:rsidRDefault="00873E01" w:rsidP="00690769">
      <w:pPr>
        <w:pStyle w:val="3-BodyText"/>
        <w:numPr>
          <w:ilvl w:val="0"/>
          <w:numId w:val="15"/>
        </w:numPr>
      </w:pPr>
      <w:r w:rsidRPr="00456281">
        <w:t xml:space="preserve">TEAE event rates from the NAPOLI-3 trial to inform the NALIRIFOX and Gem+NabP arms (and Conroy et al, 2011 to inform the FOLFIRINOX arm for the alternative scenario). </w:t>
      </w:r>
    </w:p>
    <w:p w14:paraId="43AD0514" w14:textId="548BB46B" w:rsidR="00873E01" w:rsidRPr="00456281" w:rsidRDefault="00873E01" w:rsidP="00690769">
      <w:pPr>
        <w:pStyle w:val="3-BodyText"/>
        <w:numPr>
          <w:ilvl w:val="0"/>
          <w:numId w:val="15"/>
        </w:numPr>
      </w:pPr>
      <w:r w:rsidRPr="00456281">
        <w:t xml:space="preserve">Duration of AEs from responses to </w:t>
      </w:r>
      <w:r w:rsidR="00E74721" w:rsidRPr="00456281">
        <w:t xml:space="preserve">a </w:t>
      </w:r>
      <w:r w:rsidRPr="00456281">
        <w:t>clinician survey. No further information regarding the nature of the survey, type and number of clinicians surveyed, method of collecting and collation of data was provided, contrary to recommendations in Appendix 1 of the PBAC Guidelines.</w:t>
      </w:r>
    </w:p>
    <w:p w14:paraId="5FA8A1A3" w14:textId="39169B59" w:rsidR="00873E01" w:rsidRPr="00456281" w:rsidRDefault="00873E01" w:rsidP="00873E01">
      <w:pPr>
        <w:pStyle w:val="3-BodyText"/>
      </w:pPr>
      <w:r w:rsidRPr="00456281">
        <w:t>Given that the utility values from patients in the NAPOLI-3 trial were used to inform the base case analysis, it would be inappropriate to include disutility related to AEs because these would likely have been captured within the trial and would result in double counting. This was tested during the evaluation and removal of AE-related disutility had a small impact on the ICER (&lt;</w:t>
      </w:r>
      <w:r w:rsidR="00031123">
        <w:t> </w:t>
      </w:r>
      <w:r w:rsidRPr="00456281">
        <w:t xml:space="preserve">1% change). </w:t>
      </w:r>
    </w:p>
    <w:p w14:paraId="634DCE18" w14:textId="77777777" w:rsidR="00873E01" w:rsidRPr="00456281" w:rsidRDefault="00873E01" w:rsidP="00031123">
      <w:pPr>
        <w:keepNext/>
        <w:spacing w:after="120"/>
        <w:rPr>
          <w:b/>
          <w:bCs/>
        </w:rPr>
      </w:pPr>
      <w:r w:rsidRPr="00456281">
        <w:rPr>
          <w:b/>
          <w:bCs/>
        </w:rPr>
        <w:lastRenderedPageBreak/>
        <w:t>Costs</w:t>
      </w:r>
    </w:p>
    <w:p w14:paraId="3AE84D6E" w14:textId="013B87B9" w:rsidR="00873E01" w:rsidRPr="00456281" w:rsidRDefault="00873E01" w:rsidP="00873E01">
      <w:pPr>
        <w:pStyle w:val="3-BodyText"/>
      </w:pPr>
      <w:r w:rsidRPr="00456281">
        <w:t xml:space="preserve">The costs of first-line drug and administration costs were based on regimens administered to patients in the NAPOLI-3 trial (and Conroy et al, 2011 for FOLFIRINOX), the average number of treatment cycles reported, and relevant PBS and </w:t>
      </w:r>
      <w:r w:rsidR="00E74721" w:rsidRPr="00456281">
        <w:t>Medicare Benefits Schedule (</w:t>
      </w:r>
      <w:r w:rsidRPr="00456281">
        <w:t>MBS</w:t>
      </w:r>
      <w:r w:rsidR="00E74721" w:rsidRPr="00456281">
        <w:t>)</w:t>
      </w:r>
      <w:r w:rsidRPr="00456281">
        <w:t xml:space="preserve"> listed costs. This </w:t>
      </w:r>
      <w:r w:rsidR="00753FC4" w:rsidRPr="00456281">
        <w:t>was</w:t>
      </w:r>
      <w:r w:rsidRPr="00456281">
        <w:t xml:space="preserve"> appropriate.</w:t>
      </w:r>
      <w:r w:rsidRPr="00456281">
        <w:rPr>
          <w:i/>
          <w:iCs/>
        </w:rPr>
        <w:t xml:space="preserve"> </w:t>
      </w:r>
    </w:p>
    <w:p w14:paraId="7CEF3F36" w14:textId="556CCDB6" w:rsidR="00873E01" w:rsidRPr="00456281" w:rsidRDefault="00873E01" w:rsidP="00873E01">
      <w:pPr>
        <w:pStyle w:val="3-BodyText"/>
      </w:pPr>
      <w:bookmarkStart w:id="124" w:name="_Ref155786150"/>
      <w:r w:rsidRPr="00456281">
        <w:t xml:space="preserve">The submission also included costs of subsequent systemic anticancer </w:t>
      </w:r>
      <w:r w:rsidR="002E184B" w:rsidRPr="00456281">
        <w:t xml:space="preserve">therapies </w:t>
      </w:r>
      <w:r w:rsidRPr="00456281">
        <w:t xml:space="preserve">as reported in the NAPOLI-3 trial, which includes the use of Gem+NabP, NabP </w:t>
      </w:r>
      <w:r w:rsidR="002E184B" w:rsidRPr="00456281">
        <w:t xml:space="preserve">monotherapy </w:t>
      </w:r>
      <w:r w:rsidRPr="00456281">
        <w:t>and nal</w:t>
      </w:r>
      <w:r w:rsidR="00BF62AA" w:rsidRPr="00456281">
        <w:noBreakHyphen/>
      </w:r>
      <w:r w:rsidRPr="00456281">
        <w:t xml:space="preserve">IRI. Given that these medications are not PBS-listed for subsequent-line therapy, the submission applied the lower cost PBS-listed paclitaxel and irinotecan as substitutes. This adds uncertainty to the analysis because the treatment effect of the use of subsequent therapies </w:t>
      </w:r>
      <w:r w:rsidR="009D0619" w:rsidRPr="00456281">
        <w:t>was</w:t>
      </w:r>
      <w:r w:rsidRPr="00456281">
        <w:t xml:space="preserve"> captured within the OS outcome, but </w:t>
      </w:r>
      <w:r w:rsidR="002E184B" w:rsidRPr="00456281">
        <w:t xml:space="preserve">the costs </w:t>
      </w:r>
      <w:r w:rsidR="009D0619" w:rsidRPr="00456281">
        <w:t>were</w:t>
      </w:r>
      <w:r w:rsidR="002E184B" w:rsidRPr="00456281">
        <w:t xml:space="preserve"> </w:t>
      </w:r>
      <w:r w:rsidRPr="00456281">
        <w:t xml:space="preserve">underestimated. </w:t>
      </w:r>
      <w:r w:rsidR="002E184B" w:rsidRPr="00456281">
        <w:t>In the NAPOLI-3 trial, m</w:t>
      </w:r>
      <w:r w:rsidRPr="00456281">
        <w:t xml:space="preserve">ore patients in the </w:t>
      </w:r>
      <w:r w:rsidRPr="009A3AE9">
        <w:t>NALIRIFOX arm (</w:t>
      </w:r>
      <w:r w:rsidRPr="00F41B81">
        <w:t>33%</w:t>
      </w:r>
      <w:r w:rsidRPr="009A3AE9">
        <w:t xml:space="preserve">) </w:t>
      </w:r>
      <w:r w:rsidR="002E184B" w:rsidRPr="009A3AE9">
        <w:t xml:space="preserve">received subsequent treatment with </w:t>
      </w:r>
      <w:r w:rsidRPr="00F41B81">
        <w:t>Gem+NabP</w:t>
      </w:r>
      <w:r w:rsidRPr="009A3AE9">
        <w:t xml:space="preserve"> and </w:t>
      </w:r>
      <w:r w:rsidRPr="00F41B81">
        <w:t xml:space="preserve">NabP </w:t>
      </w:r>
      <w:r w:rsidR="002E184B" w:rsidRPr="009C3CBE">
        <w:t>monotherapy</w:t>
      </w:r>
      <w:r w:rsidR="002E184B" w:rsidRPr="009A3AE9">
        <w:t xml:space="preserve"> compared with patients </w:t>
      </w:r>
      <w:r w:rsidRPr="009A3AE9">
        <w:t>in the Gem+NabP arm (</w:t>
      </w:r>
      <w:r w:rsidRPr="00F41B81">
        <w:t>12</w:t>
      </w:r>
      <w:bookmarkEnd w:id="124"/>
      <w:r w:rsidRPr="00F41B81">
        <w:t>%</w:t>
      </w:r>
      <w:r w:rsidRPr="009A3AE9">
        <w:t>).</w:t>
      </w:r>
    </w:p>
    <w:p w14:paraId="0158FB0C" w14:textId="634287BE" w:rsidR="00873E01" w:rsidRPr="00456281" w:rsidRDefault="00873E01" w:rsidP="00873E01">
      <w:pPr>
        <w:pStyle w:val="3-BodyText"/>
      </w:pPr>
      <w:bookmarkStart w:id="125" w:name="_Ref156379619"/>
      <w:r w:rsidRPr="00456281">
        <w:t>Overall, the cost of subsequent therapies was not identified to be an important driver of the ICER. However, in a scenario presented in the submission where nal-IRI and NabP were available for use as subsequent therapies, the ICER increased to $</w:t>
      </w:r>
      <w:r w:rsidR="00883AD6" w:rsidRPr="00883AD6">
        <w:t>35,000</w:t>
      </w:r>
      <w:r w:rsidR="00031123">
        <w:t> </w:t>
      </w:r>
      <w:r w:rsidR="00883AD6" w:rsidRPr="00883AD6">
        <w:t>to</w:t>
      </w:r>
      <w:r w:rsidR="00031123">
        <w:t> </w:t>
      </w:r>
      <w:r w:rsidR="00883AD6" w:rsidRPr="00883AD6">
        <w:t>&lt;</w:t>
      </w:r>
      <w:r w:rsidR="00031123">
        <w:t> </w:t>
      </w:r>
      <w:r w:rsidR="00883AD6" w:rsidRPr="00883AD6">
        <w:t>$45,000</w:t>
      </w:r>
      <w:r w:rsidR="00031123">
        <w:t xml:space="preserve"> </w:t>
      </w:r>
      <w:r w:rsidRPr="00456281">
        <w:t xml:space="preserve">per QALY gained (+17%) from </w:t>
      </w:r>
      <w:r w:rsidR="002E184B" w:rsidRPr="00456281">
        <w:t xml:space="preserve">the </w:t>
      </w:r>
      <w:r w:rsidRPr="00456281">
        <w:t>base case. This indicates that the ICER is likely sensitive to the cost of the drugs, specifically nal-IRI and NabP,</w:t>
      </w:r>
      <w:r w:rsidR="00E43A2C" w:rsidRPr="00456281">
        <w:t xml:space="preserve"> </w:t>
      </w:r>
      <w:r w:rsidRPr="00456281">
        <w:t>which are substantially more expensive compared to the other chemotherapy drugs.</w:t>
      </w:r>
      <w:bookmarkEnd w:id="125"/>
    </w:p>
    <w:p w14:paraId="4DA3BBB9" w14:textId="5851A916" w:rsidR="00873E01" w:rsidRPr="00456281" w:rsidRDefault="00873E01" w:rsidP="00873E01">
      <w:pPr>
        <w:pStyle w:val="3-BodyText"/>
      </w:pPr>
      <w:bookmarkStart w:id="126" w:name="_Ref158901948"/>
      <w:r w:rsidRPr="00456281">
        <w:t>The economic evaluation incorporated the costs associated with Grade 3 or 4 TEAEs as reported from the NAPOLI-3 trial. The cost per AE was multiplied by the difference in the proportion of patients experiencing each AE across treatment arms to estimate the overall cost</w:t>
      </w:r>
      <w:r w:rsidR="002E184B" w:rsidRPr="00456281">
        <w:t>,</w:t>
      </w:r>
      <w:r w:rsidRPr="00456281">
        <w:t xml:space="preserve"> and applied this as a one-off cost. The submission estimated that the cost of managing AEs was $1,651.43 for the NALIRIFOX treatment group and $1,495.85 for the Gem+NabP treatment group.</w:t>
      </w:r>
      <w:bookmarkEnd w:id="126"/>
      <w:r w:rsidRPr="00456281">
        <w:t xml:space="preserve"> </w:t>
      </w:r>
    </w:p>
    <w:p w14:paraId="08F86081" w14:textId="225619FB" w:rsidR="000A572D" w:rsidRPr="00456281" w:rsidRDefault="00873E01" w:rsidP="00A110F7">
      <w:pPr>
        <w:pStyle w:val="3-BodyText"/>
      </w:pPr>
      <w:bookmarkStart w:id="127" w:name="_Ref159604483"/>
      <w:bookmarkStart w:id="128" w:name="_Ref164237962"/>
      <w:r w:rsidRPr="00456281">
        <w:t xml:space="preserve">The </w:t>
      </w:r>
      <w:r w:rsidR="009D0619" w:rsidRPr="00456281">
        <w:t xml:space="preserve">commentary considered that the </w:t>
      </w:r>
      <w:r w:rsidRPr="00456281">
        <w:t xml:space="preserve">estimates were mostly reasonable except for the costs of managing </w:t>
      </w:r>
      <w:r w:rsidR="00E25E82" w:rsidRPr="00456281">
        <w:t>Grade 3</w:t>
      </w:r>
      <w:r w:rsidR="00AB2846" w:rsidRPr="00456281">
        <w:t xml:space="preserve"> to 4</w:t>
      </w:r>
      <w:r w:rsidR="00E25E82" w:rsidRPr="00456281">
        <w:t xml:space="preserve"> </w:t>
      </w:r>
      <w:r w:rsidRPr="00456281">
        <w:t>diarrhoea and mucosal inflammation which</w:t>
      </w:r>
      <w:r w:rsidR="000A572D" w:rsidRPr="00456281">
        <w:t xml:space="preserve"> was</w:t>
      </w:r>
      <w:r w:rsidRPr="00456281">
        <w:t xml:space="preserve"> </w:t>
      </w:r>
      <w:r w:rsidR="000A572D" w:rsidRPr="00456281">
        <w:t xml:space="preserve">substantially </w:t>
      </w:r>
      <w:r w:rsidRPr="00456281">
        <w:t xml:space="preserve">underestimated. </w:t>
      </w:r>
      <w:r w:rsidR="00AB2846" w:rsidRPr="00456281">
        <w:t xml:space="preserve">The PSCR suggested that not all patients experiencing </w:t>
      </w:r>
      <w:r w:rsidR="00AB2846" w:rsidRPr="00456281">
        <w:rPr>
          <w:rFonts w:eastAsia="Calibri" w:cs="Calibri"/>
        </w:rPr>
        <w:t>diarrhoea and mucosal inflammation</w:t>
      </w:r>
      <w:r w:rsidR="00AB2846" w:rsidRPr="00456281">
        <w:t xml:space="preserve"> due to treatment are hospitalised for these events, however </w:t>
      </w:r>
      <w:r w:rsidR="00E34753" w:rsidRPr="00456281">
        <w:t>did not acknowledge</w:t>
      </w:r>
      <w:r w:rsidR="00AB2846" w:rsidRPr="00456281">
        <w:t xml:space="preserve"> that only Grade 3 and 4 events were costed in the economic model.</w:t>
      </w:r>
      <w:r w:rsidRPr="00456281">
        <w:t xml:space="preserve"> </w:t>
      </w:r>
      <w:r w:rsidR="00AB2846" w:rsidRPr="00456281">
        <w:t>The ESC noted that t</w:t>
      </w:r>
      <w:r w:rsidRPr="00456281">
        <w:t xml:space="preserve">he ICER </w:t>
      </w:r>
      <w:r w:rsidR="00AB2846" w:rsidRPr="00456281">
        <w:t xml:space="preserve">was </w:t>
      </w:r>
      <w:r w:rsidRPr="00456281">
        <w:t>sensitive to this cost</w:t>
      </w:r>
      <w:r w:rsidR="00AB2846" w:rsidRPr="00456281">
        <w:t>, and advised that the alternative AE costs provided in the evaluation should be applied</w:t>
      </w:r>
      <w:r w:rsidRPr="00456281">
        <w:t>.</w:t>
      </w:r>
      <w:bookmarkEnd w:id="127"/>
      <w:r w:rsidRPr="00456281">
        <w:t xml:space="preserve"> </w:t>
      </w:r>
      <w:r w:rsidR="000A572D" w:rsidRPr="00456281">
        <w:t>The pre-PBAC response disagreed with the proposed amendment to the AE costs for diarrhoea and mucosal inflammation. The pre-PBAC response stated that a more reasonable assumption could be that 50% of patients with Grade 3 mucosal inflammation are hospitalised (derived from is DRG G70) which would result in the application of a cost of $</w:t>
      </w:r>
      <w:r w:rsidR="000A572D" w:rsidRPr="00196AE0">
        <w:t>1,689.32</w:t>
      </w:r>
      <w:r w:rsidR="000A572D" w:rsidRPr="00456281">
        <w:t xml:space="preserve"> (=$</w:t>
      </w:r>
      <w:r w:rsidR="000A572D" w:rsidRPr="00196AE0">
        <w:t>3,378.63</w:t>
      </w:r>
      <w:r w:rsidR="000A572D" w:rsidRPr="00456281">
        <w:t xml:space="preserve"> x 50%) to the proportion of patients experiencing Grade 3 mucosal inflammation in the economic model.</w:t>
      </w:r>
      <w:bookmarkEnd w:id="128"/>
    </w:p>
    <w:p w14:paraId="5A66018E" w14:textId="22D98DC6" w:rsidR="00873E01" w:rsidRPr="00456281" w:rsidRDefault="00873E01" w:rsidP="00873E01">
      <w:pPr>
        <w:pStyle w:val="3-BodyText"/>
        <w:ind w:left="0" w:firstLine="0"/>
        <w:rPr>
          <w:b/>
          <w:bCs/>
        </w:rPr>
      </w:pPr>
      <w:r w:rsidRPr="00456281">
        <w:t xml:space="preserve">A summary of the key drivers of the model is provided in the </w:t>
      </w:r>
      <w:r w:rsidRPr="00456281">
        <w:fldChar w:fldCharType="begin"/>
      </w:r>
      <w:r w:rsidRPr="00456281">
        <w:instrText xml:space="preserve"> REF _Ref104805122 \h </w:instrText>
      </w:r>
      <w:r w:rsidRPr="00456281">
        <w:fldChar w:fldCharType="separate"/>
      </w:r>
      <w:r w:rsidR="00EE5AD4" w:rsidRPr="00456281">
        <w:t xml:space="preserve">Table </w:t>
      </w:r>
      <w:r w:rsidR="00EE5AD4">
        <w:rPr>
          <w:noProof/>
        </w:rPr>
        <w:t>15</w:t>
      </w:r>
      <w:r w:rsidRPr="00456281">
        <w:fldChar w:fldCharType="end"/>
      </w:r>
      <w:r w:rsidRPr="00456281">
        <w:t>.</w:t>
      </w:r>
    </w:p>
    <w:p w14:paraId="165684DF" w14:textId="23359F77" w:rsidR="00873E01" w:rsidRPr="00456281" w:rsidRDefault="00873E01" w:rsidP="00873E01">
      <w:pPr>
        <w:pStyle w:val="TableFigureHeading"/>
        <w:rPr>
          <w:rStyle w:val="CommentReference"/>
          <w:b/>
          <w:szCs w:val="24"/>
        </w:rPr>
      </w:pPr>
      <w:bookmarkStart w:id="129" w:name="_Ref104805122"/>
      <w:r w:rsidRPr="00456281">
        <w:lastRenderedPageBreak/>
        <w:t xml:space="preserve">Table </w:t>
      </w:r>
      <w:r w:rsidR="00B75F7B">
        <w:fldChar w:fldCharType="begin"/>
      </w:r>
      <w:r w:rsidR="00B75F7B">
        <w:instrText xml:space="preserve"> SEQ Table \* ARABIC </w:instrText>
      </w:r>
      <w:r w:rsidR="00B75F7B">
        <w:fldChar w:fldCharType="separate"/>
      </w:r>
      <w:r w:rsidR="00EE5AD4">
        <w:rPr>
          <w:noProof/>
        </w:rPr>
        <w:t>15</w:t>
      </w:r>
      <w:r w:rsidR="00B75F7B">
        <w:fldChar w:fldCharType="end"/>
      </w:r>
      <w:bookmarkEnd w:id="129"/>
      <w:r w:rsidRPr="00456281">
        <w:t>:</w:t>
      </w:r>
      <w:r w:rsidRPr="00456281">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5: Key drivers of the model"/>
      </w:tblPr>
      <w:tblGrid>
        <w:gridCol w:w="1129"/>
        <w:gridCol w:w="4963"/>
        <w:gridCol w:w="2925"/>
      </w:tblGrid>
      <w:tr w:rsidR="00873E01" w:rsidRPr="00456281" w14:paraId="7DB785DE" w14:textId="77777777" w:rsidTr="00031123">
        <w:trPr>
          <w:tblHeader/>
        </w:trPr>
        <w:tc>
          <w:tcPr>
            <w:tcW w:w="626" w:type="pct"/>
            <w:shd w:val="clear" w:color="auto" w:fill="auto"/>
            <w:vAlign w:val="center"/>
          </w:tcPr>
          <w:p w14:paraId="10342227" w14:textId="77777777" w:rsidR="00873E01" w:rsidRPr="00456281" w:rsidRDefault="00873E01" w:rsidP="008064C4">
            <w:pPr>
              <w:pStyle w:val="In-tableHeading"/>
              <w:jc w:val="center"/>
              <w:rPr>
                <w:lang w:val="en-AU"/>
              </w:rPr>
            </w:pPr>
            <w:r w:rsidRPr="00456281">
              <w:rPr>
                <w:lang w:val="en-AU"/>
              </w:rPr>
              <w:t>Description</w:t>
            </w:r>
          </w:p>
        </w:tc>
        <w:tc>
          <w:tcPr>
            <w:tcW w:w="2751" w:type="pct"/>
            <w:shd w:val="clear" w:color="auto" w:fill="auto"/>
            <w:vAlign w:val="center"/>
          </w:tcPr>
          <w:p w14:paraId="3B0EDC0E" w14:textId="77777777" w:rsidR="00873E01" w:rsidRPr="00456281" w:rsidRDefault="00873E01" w:rsidP="008064C4">
            <w:pPr>
              <w:pStyle w:val="In-tableHeading"/>
              <w:jc w:val="center"/>
              <w:rPr>
                <w:lang w:val="en-AU"/>
              </w:rPr>
            </w:pPr>
            <w:r w:rsidRPr="00456281">
              <w:rPr>
                <w:lang w:val="en-AU"/>
              </w:rPr>
              <w:t>Method/Value</w:t>
            </w:r>
          </w:p>
        </w:tc>
        <w:tc>
          <w:tcPr>
            <w:tcW w:w="1622" w:type="pct"/>
            <w:shd w:val="clear" w:color="auto" w:fill="auto"/>
            <w:vAlign w:val="center"/>
          </w:tcPr>
          <w:p w14:paraId="441CCD2B" w14:textId="77777777" w:rsidR="00873E01" w:rsidRPr="00456281" w:rsidRDefault="00873E01" w:rsidP="008064C4">
            <w:pPr>
              <w:pStyle w:val="In-tableHeading"/>
              <w:jc w:val="center"/>
              <w:rPr>
                <w:lang w:val="en-AU"/>
              </w:rPr>
            </w:pPr>
            <w:r w:rsidRPr="00456281">
              <w:rPr>
                <w:lang w:val="en-AU"/>
              </w:rPr>
              <w:t>Impact</w:t>
            </w:r>
          </w:p>
          <w:p w14:paraId="1FF7BA6C" w14:textId="01C423D9" w:rsidR="00873E01" w:rsidRPr="00456281" w:rsidRDefault="00873E01" w:rsidP="008064C4">
            <w:pPr>
              <w:pStyle w:val="In-tableHeading"/>
              <w:jc w:val="center"/>
              <w:rPr>
                <w:lang w:val="en-AU"/>
              </w:rPr>
            </w:pPr>
            <w:r w:rsidRPr="00456281">
              <w:rPr>
                <w:rFonts w:cs="Arial"/>
                <w:szCs w:val="20"/>
                <w:lang w:val="en-AU"/>
              </w:rPr>
              <w:t>Base case: $</w:t>
            </w:r>
            <w:r w:rsidR="00F16C78" w:rsidRPr="00F16C78">
              <w:rPr>
                <w:color w:val="000000"/>
                <w:spacing w:val="37"/>
                <w:shd w:val="solid" w:color="000000" w:fill="000000"/>
                <w:fitText w:val="464" w:id="-961860859"/>
                <w:lang w:val="en-AU"/>
                <w14:textFill>
                  <w14:solidFill>
                    <w14:srgbClr w14:val="000000">
                      <w14:alpha w14:val="100000"/>
                    </w14:srgbClr>
                  </w14:solidFill>
                </w14:textFill>
              </w:rPr>
              <w:t>|||||</w:t>
            </w:r>
            <w:r w:rsidR="00F16C78" w:rsidRPr="00F16C78">
              <w:rPr>
                <w:color w:val="000000"/>
                <w:spacing w:val="4"/>
                <w:shd w:val="solid" w:color="000000" w:fill="000000"/>
                <w:fitText w:val="464" w:id="-961860859"/>
                <w:lang w:val="en-AU"/>
                <w14:textFill>
                  <w14:solidFill>
                    <w14:srgbClr w14:val="000000">
                      <w14:alpha w14:val="100000"/>
                    </w14:srgbClr>
                  </w14:solidFill>
                </w14:textFill>
              </w:rPr>
              <w:t>|</w:t>
            </w:r>
            <w:r w:rsidR="005F273A" w:rsidRPr="009C3CBE">
              <w:rPr>
                <w:vertAlign w:val="superscript"/>
                <w:lang w:val="en-AU"/>
              </w:rPr>
              <w:t>1</w:t>
            </w:r>
            <w:r w:rsidRPr="00456281">
              <w:rPr>
                <w:rFonts w:cs="Arial"/>
                <w:szCs w:val="20"/>
                <w:lang w:val="en-AU"/>
              </w:rPr>
              <w:t>/QALY gained</w:t>
            </w:r>
          </w:p>
        </w:tc>
      </w:tr>
      <w:tr w:rsidR="00AD3B73" w:rsidRPr="00456281" w14:paraId="2C590ABE" w14:textId="77777777" w:rsidTr="00031123">
        <w:tc>
          <w:tcPr>
            <w:tcW w:w="626" w:type="pct"/>
            <w:shd w:val="clear" w:color="auto" w:fill="auto"/>
            <w:vAlign w:val="center"/>
          </w:tcPr>
          <w:p w14:paraId="04977E2D" w14:textId="6F3CBF16" w:rsidR="00AD3B73" w:rsidRPr="00456281" w:rsidRDefault="00AD3B73" w:rsidP="00AD3B73">
            <w:pPr>
              <w:pStyle w:val="TableText0"/>
            </w:pPr>
            <w:r w:rsidRPr="00456281">
              <w:t xml:space="preserve">Including FOLFIRINOX as secondary comparator </w:t>
            </w:r>
            <w:r w:rsidRPr="00456281">
              <w:rPr>
                <w:vertAlign w:val="superscript"/>
              </w:rPr>
              <w:t>a</w:t>
            </w:r>
            <w:r w:rsidRPr="00456281">
              <w:t xml:space="preserve"> </w:t>
            </w:r>
          </w:p>
        </w:tc>
        <w:tc>
          <w:tcPr>
            <w:tcW w:w="2751" w:type="pct"/>
            <w:shd w:val="clear" w:color="auto" w:fill="auto"/>
            <w:vAlign w:val="center"/>
          </w:tcPr>
          <w:p w14:paraId="70F6E2AC" w14:textId="5E916899" w:rsidR="00AD3B73" w:rsidRPr="00456281" w:rsidRDefault="00AD3B73" w:rsidP="00AD3B73">
            <w:pPr>
              <w:pStyle w:val="TableText0"/>
            </w:pPr>
            <w:r w:rsidRPr="00456281">
              <w:t xml:space="preserve">About </w:t>
            </w:r>
            <w:r w:rsidRPr="00F41B81">
              <w:t>11%</w:t>
            </w:r>
            <w:r w:rsidRPr="009A3AE9">
              <w:t xml:space="preserve"> of patients in Australia receive FOLFIRINOX as first-line treatment.</w:t>
            </w:r>
            <w:r w:rsidRPr="00F41B81">
              <w:rPr>
                <w:rStyle w:val="FootnoteReference"/>
              </w:rPr>
              <w:footnoteReference w:id="14"/>
            </w:r>
            <w:r w:rsidRPr="009A3AE9">
              <w:t xml:space="preserve"> FOLFIRINOX and NALI</w:t>
            </w:r>
            <w:r w:rsidR="00E95A8F" w:rsidRPr="009A3AE9">
              <w:t>RIF</w:t>
            </w:r>
            <w:r w:rsidRPr="009A3AE9">
              <w:t>OX are both fluoropyrimidine-based regimens</w:t>
            </w:r>
            <w:r w:rsidRPr="00456281">
              <w:t xml:space="preserve"> (only difference being the preparation of irinotecan) and likely to be used for treatment of similar types of patients (younger, better ECOG performance status, less comorbid). </w:t>
            </w:r>
            <w:r w:rsidR="00AB2846" w:rsidRPr="00456281">
              <w:t xml:space="preserve">The ESC agreed with the commentary that </w:t>
            </w:r>
            <w:r w:rsidRPr="00456281">
              <w:t xml:space="preserve">FOLFIRINOX is a relevant comparator. </w:t>
            </w:r>
          </w:p>
        </w:tc>
        <w:tc>
          <w:tcPr>
            <w:tcW w:w="1622" w:type="pct"/>
            <w:shd w:val="clear" w:color="auto" w:fill="auto"/>
            <w:vAlign w:val="center"/>
          </w:tcPr>
          <w:p w14:paraId="2118299C" w14:textId="77777777" w:rsidR="00AD3B73" w:rsidRPr="00456281" w:rsidRDefault="00AD3B73" w:rsidP="00AD3B73">
            <w:pPr>
              <w:pStyle w:val="TableText0"/>
            </w:pPr>
            <w:r w:rsidRPr="00456281">
              <w:t xml:space="preserve">High, favours NALIRIFOX. </w:t>
            </w:r>
          </w:p>
          <w:p w14:paraId="370104D6" w14:textId="77777777" w:rsidR="00AD3B73" w:rsidRPr="00456281" w:rsidRDefault="00AD3B73" w:rsidP="00AD3B73">
            <w:pPr>
              <w:pStyle w:val="TableText0"/>
            </w:pPr>
          </w:p>
          <w:p w14:paraId="3D23644D" w14:textId="7B15B1CC" w:rsidR="00AD3B73" w:rsidRPr="00456281" w:rsidRDefault="00AD3B73" w:rsidP="00AD3B73">
            <w:pPr>
              <w:pStyle w:val="TableText0"/>
            </w:pPr>
            <w:r w:rsidRPr="00456281">
              <w:t xml:space="preserve">Incorporating 10% use of FOLFIRINOX increases the ICER to </w:t>
            </w:r>
            <w:r w:rsidRPr="00456281">
              <w:rPr>
                <w:szCs w:val="20"/>
              </w:rPr>
              <w:t>$</w:t>
            </w:r>
            <w:r w:rsidR="00F16C78" w:rsidRPr="00F16C78">
              <w:rPr>
                <w:color w:val="000000"/>
                <w:spacing w:val="36"/>
                <w:shd w:val="solid" w:color="000000" w:fill="000000"/>
                <w:fitText w:val="438" w:id="-961860858"/>
                <w14:textFill>
                  <w14:solidFill>
                    <w14:srgbClr w14:val="000000">
                      <w14:alpha w14:val="100000"/>
                    </w14:srgbClr>
                  </w14:solidFill>
                </w14:textFill>
              </w:rPr>
              <w:t>|||||</w:t>
            </w:r>
            <w:r w:rsidR="00F16C78" w:rsidRPr="00F16C78">
              <w:rPr>
                <w:color w:val="000000"/>
                <w:spacing w:val="3"/>
                <w:shd w:val="solid" w:color="000000" w:fill="000000"/>
                <w:fitText w:val="438" w:id="-961860858"/>
                <w14:textFill>
                  <w14:solidFill>
                    <w14:srgbClr w14:val="000000">
                      <w14:alpha w14:val="100000"/>
                    </w14:srgbClr>
                  </w14:solidFill>
                </w14:textFill>
              </w:rPr>
              <w:t>|</w:t>
            </w:r>
            <w:r w:rsidR="005F273A" w:rsidRPr="009C3CBE">
              <w:rPr>
                <w:vertAlign w:val="superscript"/>
              </w:rPr>
              <w:t>2</w:t>
            </w:r>
            <w:r w:rsidRPr="00456281">
              <w:rPr>
                <w:szCs w:val="20"/>
              </w:rPr>
              <w:t xml:space="preserve">/QALY gained (+27%) </w:t>
            </w:r>
            <w:r w:rsidRPr="00456281">
              <w:rPr>
                <w:szCs w:val="20"/>
                <w:vertAlign w:val="superscript"/>
              </w:rPr>
              <w:t>c</w:t>
            </w:r>
            <w:r w:rsidRPr="00456281">
              <w:rPr>
                <w:szCs w:val="20"/>
              </w:rPr>
              <w:t>.</w:t>
            </w:r>
          </w:p>
          <w:p w14:paraId="385556B5" w14:textId="77777777" w:rsidR="00AD3B73" w:rsidRPr="00456281" w:rsidRDefault="00AD3B73" w:rsidP="00AD3B73">
            <w:pPr>
              <w:pStyle w:val="TableText0"/>
            </w:pPr>
          </w:p>
          <w:p w14:paraId="356CDCA2" w14:textId="234783BD" w:rsidR="00AB2846" w:rsidRPr="00456281" w:rsidRDefault="00AB2846" w:rsidP="00AD3B73">
            <w:pPr>
              <w:pStyle w:val="TableText0"/>
            </w:pPr>
            <w:r w:rsidRPr="00456281">
              <w:t>Alternative assumptions are explored in sensitivity analyses, see below.</w:t>
            </w:r>
          </w:p>
        </w:tc>
      </w:tr>
      <w:tr w:rsidR="00AD3B73" w:rsidRPr="00456281" w14:paraId="77DF61FA" w14:textId="77777777" w:rsidTr="00031123">
        <w:tc>
          <w:tcPr>
            <w:tcW w:w="626" w:type="pct"/>
            <w:shd w:val="clear" w:color="auto" w:fill="auto"/>
            <w:vAlign w:val="center"/>
          </w:tcPr>
          <w:p w14:paraId="2CB0D81D" w14:textId="55B0F6E3" w:rsidR="00AD3B73" w:rsidRPr="00456281" w:rsidRDefault="00AD3B73" w:rsidP="00AD3B73">
            <w:pPr>
              <w:pStyle w:val="TableText0"/>
            </w:pPr>
            <w:r w:rsidRPr="00456281">
              <w:t xml:space="preserve">Utilities </w:t>
            </w:r>
          </w:p>
        </w:tc>
        <w:tc>
          <w:tcPr>
            <w:tcW w:w="2751" w:type="pct"/>
            <w:shd w:val="clear" w:color="auto" w:fill="auto"/>
            <w:vAlign w:val="center"/>
          </w:tcPr>
          <w:p w14:paraId="00FC4E11" w14:textId="77777777" w:rsidR="00AD3B73" w:rsidRPr="009A3AE9" w:rsidRDefault="00AD3B73" w:rsidP="00AD3B73">
            <w:pPr>
              <w:pStyle w:val="TableText0"/>
            </w:pPr>
            <w:r w:rsidRPr="00456281">
              <w:t>From NAPOLI-3 trial. Free of progression</w:t>
            </w:r>
            <w:r w:rsidRPr="00F41B81">
              <w:t xml:space="preserve">: </w:t>
            </w:r>
            <w:r w:rsidRPr="009C3CBE">
              <w:t>0</w:t>
            </w:r>
            <w:r w:rsidRPr="00F41B81">
              <w:t>.85</w:t>
            </w:r>
            <w:r w:rsidRPr="009A3AE9">
              <w:t xml:space="preserve">; Progressed: </w:t>
            </w:r>
            <w:r w:rsidRPr="00F41B81">
              <w:t>0.78</w:t>
            </w:r>
          </w:p>
          <w:p w14:paraId="6A4B8F5B" w14:textId="77777777" w:rsidR="00AD3B73" w:rsidRPr="009A3AE9" w:rsidRDefault="00AD3B73" w:rsidP="00AD3B73">
            <w:pPr>
              <w:pStyle w:val="TableText0"/>
            </w:pPr>
          </w:p>
          <w:p w14:paraId="175FA3B5" w14:textId="165E2765" w:rsidR="00AD3B73" w:rsidRPr="00456281" w:rsidRDefault="00AD3B73" w:rsidP="00AD3B73">
            <w:pPr>
              <w:pStyle w:val="TableText0"/>
            </w:pPr>
            <w:r w:rsidRPr="009A3AE9">
              <w:t>The utility values applied for the base case analysis</w:t>
            </w:r>
            <w:r w:rsidRPr="00456281">
              <w:t xml:space="preserve"> were higher than those available from the literature</w:t>
            </w:r>
            <w:r w:rsidRPr="00456281">
              <w:rPr>
                <w:vertAlign w:val="superscript"/>
              </w:rPr>
              <w:t xml:space="preserve"> </w:t>
            </w:r>
            <w:r w:rsidRPr="00456281">
              <w:t>and those reported at baseline and end of treatment in the NAPOLI-3 trial (</w:t>
            </w:r>
            <w:r w:rsidRPr="00456281">
              <w:fldChar w:fldCharType="begin"/>
            </w:r>
            <w:r w:rsidRPr="00456281">
              <w:instrText xml:space="preserve"> REF _Ref153445044 \h  \* MERGEFORMAT </w:instrText>
            </w:r>
            <w:r w:rsidRPr="00456281">
              <w:fldChar w:fldCharType="separate"/>
            </w:r>
            <w:r w:rsidR="00EE5AD4" w:rsidRPr="00456281">
              <w:t xml:space="preserve">Table </w:t>
            </w:r>
            <w:r w:rsidR="00EE5AD4">
              <w:t>14</w:t>
            </w:r>
            <w:r w:rsidRPr="00456281">
              <w:fldChar w:fldCharType="end"/>
            </w:r>
            <w:r w:rsidRPr="00456281">
              <w:t xml:space="preserve">). </w:t>
            </w:r>
          </w:p>
        </w:tc>
        <w:tc>
          <w:tcPr>
            <w:tcW w:w="1622" w:type="pct"/>
            <w:shd w:val="clear" w:color="auto" w:fill="auto"/>
            <w:vAlign w:val="center"/>
          </w:tcPr>
          <w:p w14:paraId="5427A4A4" w14:textId="77777777" w:rsidR="00AD3B73" w:rsidRPr="00456281" w:rsidRDefault="00AD3B73" w:rsidP="00AD3B73">
            <w:pPr>
              <w:pStyle w:val="TableText0"/>
            </w:pPr>
            <w:r w:rsidRPr="00456281">
              <w:t xml:space="preserve">High, favours NALIRIFOX. </w:t>
            </w:r>
          </w:p>
          <w:p w14:paraId="0FE41B32" w14:textId="77777777" w:rsidR="00AD3B73" w:rsidRPr="00456281" w:rsidRDefault="00AD3B73" w:rsidP="00AD3B73">
            <w:pPr>
              <w:pStyle w:val="TableText0"/>
            </w:pPr>
          </w:p>
          <w:p w14:paraId="4B18220E" w14:textId="6078A389" w:rsidR="00AD3B73" w:rsidRPr="00456281" w:rsidRDefault="00AD3B73" w:rsidP="00AD3B73">
            <w:pPr>
              <w:pStyle w:val="TableText0"/>
            </w:pPr>
            <w:r w:rsidRPr="00456281">
              <w:t>Use of utility values from the SEIGE trial</w:t>
            </w:r>
            <w:r w:rsidRPr="00456281">
              <w:rPr>
                <w:vertAlign w:val="superscript"/>
              </w:rPr>
              <w:t>b</w:t>
            </w:r>
            <w:r w:rsidRPr="00456281">
              <w:t xml:space="preserve"> (crosswalk method) increased the ICER to $</w:t>
            </w:r>
            <w:r w:rsidR="00F16C78" w:rsidRPr="00F16C78">
              <w:rPr>
                <w:color w:val="000000"/>
                <w:spacing w:val="36"/>
                <w:shd w:val="solid" w:color="000000" w:fill="000000"/>
                <w:fitText w:val="439" w:id="-961860857"/>
                <w14:textFill>
                  <w14:solidFill>
                    <w14:srgbClr w14:val="000000">
                      <w14:alpha w14:val="100000"/>
                    </w14:srgbClr>
                  </w14:solidFill>
                </w14:textFill>
              </w:rPr>
              <w:t>|||||</w:t>
            </w:r>
            <w:r w:rsidR="00F16C78" w:rsidRPr="00F16C78">
              <w:rPr>
                <w:color w:val="000000"/>
                <w:spacing w:val="4"/>
                <w:shd w:val="solid" w:color="000000" w:fill="000000"/>
                <w:fitText w:val="439" w:id="-961860857"/>
                <w14:textFill>
                  <w14:solidFill>
                    <w14:srgbClr w14:val="000000">
                      <w14:alpha w14:val="100000"/>
                    </w14:srgbClr>
                  </w14:solidFill>
                </w14:textFill>
              </w:rPr>
              <w:t>|</w:t>
            </w:r>
            <w:r w:rsidR="005F273A" w:rsidRPr="00D21B8B">
              <w:rPr>
                <w:vertAlign w:val="superscript"/>
              </w:rPr>
              <w:t>2</w:t>
            </w:r>
            <w:r w:rsidRPr="00456281">
              <w:t>/QALY gained (+22%).</w:t>
            </w:r>
          </w:p>
        </w:tc>
      </w:tr>
      <w:tr w:rsidR="00AD3B73" w:rsidRPr="00456281" w14:paraId="01FAE1B9" w14:textId="77777777" w:rsidTr="00031123">
        <w:tc>
          <w:tcPr>
            <w:tcW w:w="626" w:type="pct"/>
            <w:shd w:val="clear" w:color="auto" w:fill="auto"/>
            <w:vAlign w:val="center"/>
          </w:tcPr>
          <w:p w14:paraId="6EFDF755" w14:textId="1011963E" w:rsidR="00AD3B73" w:rsidRPr="00456281" w:rsidRDefault="00AD3B73" w:rsidP="00AD3B73">
            <w:pPr>
              <w:pStyle w:val="TableText0"/>
            </w:pPr>
            <w:r w:rsidRPr="00456281">
              <w:t>Extrapolation time points for OS</w:t>
            </w:r>
            <w:r w:rsidR="00F66482" w:rsidRPr="00456281">
              <w:t xml:space="preserve"> (and PFS)</w:t>
            </w:r>
          </w:p>
        </w:tc>
        <w:tc>
          <w:tcPr>
            <w:tcW w:w="2751" w:type="pct"/>
            <w:shd w:val="clear" w:color="auto" w:fill="auto"/>
            <w:vAlign w:val="center"/>
          </w:tcPr>
          <w:p w14:paraId="55670ED7" w14:textId="77777777" w:rsidR="00AD3B73" w:rsidRPr="00456281" w:rsidRDefault="00AD3B73" w:rsidP="00AD3B73">
            <w:pPr>
              <w:pStyle w:val="TableText0"/>
            </w:pPr>
            <w:r w:rsidRPr="00456281">
              <w:t>Point of extrapolation set to point where 10% of patients remained at risk (cycle 19 for NALIRIFOX and 18 for Gem+NabP). The selected truncation points were earlier than those suggested by methodological studies and excluded 77 out of 770 patients from the base case analysis. It also represented the time points where the observed incremental difference for OS was the largest; i.e. widest gap between the KM curves.</w:t>
            </w:r>
          </w:p>
          <w:p w14:paraId="41DA4F21" w14:textId="77777777" w:rsidR="00FF5653" w:rsidRPr="00456281" w:rsidRDefault="00FF5653" w:rsidP="00AD3B73">
            <w:pPr>
              <w:pStyle w:val="TableText0"/>
            </w:pPr>
          </w:p>
          <w:p w14:paraId="20066FB1" w14:textId="709D65D4" w:rsidR="00FF5653" w:rsidRPr="00456281" w:rsidRDefault="00FF5653" w:rsidP="00FF5653">
            <w:pPr>
              <w:pStyle w:val="TableText0"/>
            </w:pPr>
            <w:r w:rsidRPr="00456281">
              <w:t xml:space="preserve">The ESC noted that using the </w:t>
            </w:r>
            <w:r w:rsidRPr="00456281">
              <w:rPr>
                <w:rFonts w:cstheme="minorBidi"/>
              </w:rPr>
              <w:t xml:space="preserve">Gebski approach, the optimal time points for commencing extrapolation </w:t>
            </w:r>
            <w:r w:rsidRPr="00456281">
              <w:t>with sufficient number of patients at risk for meaningful interpretation of the KM plot would be Cycle 24 for OS and Cycle 18 for PFS.</w:t>
            </w:r>
          </w:p>
        </w:tc>
        <w:tc>
          <w:tcPr>
            <w:tcW w:w="1622" w:type="pct"/>
            <w:shd w:val="clear" w:color="auto" w:fill="auto"/>
            <w:vAlign w:val="center"/>
          </w:tcPr>
          <w:p w14:paraId="31F79DDD" w14:textId="77777777" w:rsidR="00AD3B73" w:rsidRPr="00456281" w:rsidRDefault="00AD3B73" w:rsidP="00AD3B73">
            <w:pPr>
              <w:pStyle w:val="TableText0"/>
            </w:pPr>
            <w:r w:rsidRPr="00456281">
              <w:t xml:space="preserve">High, favours NALIRIFOX. </w:t>
            </w:r>
          </w:p>
          <w:p w14:paraId="76504F30" w14:textId="3816C42F" w:rsidR="00AD3B73" w:rsidRPr="00456281" w:rsidRDefault="00AD3B73" w:rsidP="00AD3B73">
            <w:pPr>
              <w:pStyle w:val="TableText0"/>
            </w:pPr>
            <w:r w:rsidRPr="00456281">
              <w:t xml:space="preserve">Use of </w:t>
            </w:r>
            <w:r w:rsidR="00B73A59" w:rsidRPr="00456281">
              <w:t>OS</w:t>
            </w:r>
            <w:r w:rsidR="0035441E" w:rsidRPr="00456281">
              <w:t>: Cycle 24; PFS: Cycle 18</w:t>
            </w:r>
            <w:r w:rsidR="0035441E" w:rsidRPr="00456281">
              <w:rPr>
                <w:vertAlign w:val="superscript"/>
              </w:rPr>
              <w:t>a</w:t>
            </w:r>
            <w:r w:rsidR="0035441E" w:rsidRPr="00456281">
              <w:t xml:space="preserve"> </w:t>
            </w:r>
            <w:r w:rsidRPr="00456281">
              <w:t xml:space="preserve">increased the ICER to </w:t>
            </w:r>
            <w:r w:rsidRPr="00456281">
              <w:rPr>
                <w:szCs w:val="20"/>
              </w:rPr>
              <w:t>$</w:t>
            </w:r>
            <w:r w:rsidR="00F16C78" w:rsidRPr="00F16C78">
              <w:rPr>
                <w:color w:val="000000"/>
                <w:spacing w:val="36"/>
                <w:szCs w:val="20"/>
                <w:shd w:val="solid" w:color="000000" w:fill="000000"/>
                <w:fitText w:val="438" w:id="-961860856"/>
                <w14:textFill>
                  <w14:solidFill>
                    <w14:srgbClr w14:val="000000">
                      <w14:alpha w14:val="100000"/>
                    </w14:srgbClr>
                  </w14:solidFill>
                </w14:textFill>
              </w:rPr>
              <w:t>|||||</w:t>
            </w:r>
            <w:r w:rsidR="00F16C78" w:rsidRPr="00F16C78">
              <w:rPr>
                <w:color w:val="000000"/>
                <w:spacing w:val="3"/>
                <w:szCs w:val="20"/>
                <w:shd w:val="solid" w:color="000000" w:fill="000000"/>
                <w:fitText w:val="438" w:id="-961860856"/>
                <w14:textFill>
                  <w14:solidFill>
                    <w14:srgbClr w14:val="000000">
                      <w14:alpha w14:val="100000"/>
                    </w14:srgbClr>
                  </w14:solidFill>
                </w14:textFill>
              </w:rPr>
              <w:t>|</w:t>
            </w:r>
            <w:r w:rsidR="005F273A" w:rsidRPr="00D21B8B">
              <w:rPr>
                <w:vertAlign w:val="superscript"/>
              </w:rPr>
              <w:t>2</w:t>
            </w:r>
            <w:r w:rsidRPr="00456281">
              <w:rPr>
                <w:szCs w:val="20"/>
              </w:rPr>
              <w:t>/QALY gained (+</w:t>
            </w:r>
            <w:r w:rsidR="0035441E" w:rsidRPr="00456281">
              <w:rPr>
                <w:szCs w:val="20"/>
              </w:rPr>
              <w:t>15</w:t>
            </w:r>
            <w:r w:rsidRPr="00456281">
              <w:rPr>
                <w:szCs w:val="20"/>
              </w:rPr>
              <w:t>%)</w:t>
            </w:r>
            <w:r w:rsidR="0035441E" w:rsidRPr="00456281">
              <w:rPr>
                <w:szCs w:val="20"/>
              </w:rPr>
              <w:t>.</w:t>
            </w:r>
          </w:p>
        </w:tc>
      </w:tr>
      <w:tr w:rsidR="00AD3B73" w:rsidRPr="00456281" w14:paraId="30986822" w14:textId="77777777" w:rsidTr="00031123">
        <w:tc>
          <w:tcPr>
            <w:tcW w:w="626" w:type="pct"/>
            <w:shd w:val="clear" w:color="auto" w:fill="auto"/>
            <w:vAlign w:val="center"/>
          </w:tcPr>
          <w:p w14:paraId="2FCAFD82" w14:textId="77777777" w:rsidR="00AD3B73" w:rsidRPr="00456281" w:rsidRDefault="00AD3B73" w:rsidP="00AD3B73">
            <w:pPr>
              <w:pStyle w:val="TableText0"/>
            </w:pPr>
            <w:r w:rsidRPr="00456281">
              <w:t xml:space="preserve">OS parametric function </w:t>
            </w:r>
          </w:p>
        </w:tc>
        <w:tc>
          <w:tcPr>
            <w:tcW w:w="2751" w:type="pct"/>
            <w:shd w:val="clear" w:color="auto" w:fill="auto"/>
            <w:vAlign w:val="center"/>
          </w:tcPr>
          <w:p w14:paraId="196C420A" w14:textId="0CB2562B" w:rsidR="00AD3B73" w:rsidRPr="00456281" w:rsidRDefault="00AD3B73" w:rsidP="00AD3B73">
            <w:pPr>
              <w:pStyle w:val="TableText0"/>
            </w:pPr>
            <w:r w:rsidRPr="00456281">
              <w:t xml:space="preserve">Weibull selected based on AIC and BIC. The Gompertz function has similar AIC and BIC values and is considered more conservative and clinically plausible. </w:t>
            </w:r>
          </w:p>
        </w:tc>
        <w:tc>
          <w:tcPr>
            <w:tcW w:w="1622" w:type="pct"/>
            <w:shd w:val="clear" w:color="auto" w:fill="auto"/>
            <w:vAlign w:val="center"/>
          </w:tcPr>
          <w:p w14:paraId="692E3CFE" w14:textId="77777777" w:rsidR="00AD3B73" w:rsidRPr="00456281" w:rsidRDefault="00AD3B73" w:rsidP="00AD3B73">
            <w:pPr>
              <w:pStyle w:val="TableText0"/>
            </w:pPr>
            <w:r w:rsidRPr="00456281">
              <w:t xml:space="preserve">High, favours NALIRIFOX. </w:t>
            </w:r>
          </w:p>
          <w:p w14:paraId="2DE6C16E" w14:textId="77777777" w:rsidR="00AD3B73" w:rsidRPr="00456281" w:rsidRDefault="00AD3B73" w:rsidP="00AD3B73">
            <w:pPr>
              <w:pStyle w:val="TableText0"/>
            </w:pPr>
          </w:p>
          <w:p w14:paraId="089754AF" w14:textId="01A33A8D" w:rsidR="00FF5653" w:rsidRPr="00456281" w:rsidRDefault="00AD3B73" w:rsidP="00FF5653">
            <w:pPr>
              <w:pStyle w:val="TableText0"/>
            </w:pPr>
            <w:r w:rsidRPr="00456281">
              <w:t>Using the Gompertz function increases the ICER to $</w:t>
            </w:r>
            <w:r w:rsidR="00F16C78" w:rsidRPr="00F16C78">
              <w:rPr>
                <w:color w:val="000000"/>
                <w:spacing w:val="36"/>
                <w:shd w:val="solid" w:color="000000" w:fill="000000"/>
                <w:fitText w:val="438" w:id="-961860855"/>
                <w14:textFill>
                  <w14:solidFill>
                    <w14:srgbClr w14:val="000000">
                      <w14:alpha w14:val="100000"/>
                    </w14:srgbClr>
                  </w14:solidFill>
                </w14:textFill>
              </w:rPr>
              <w:t>|||||</w:t>
            </w:r>
            <w:r w:rsidR="00F16C78" w:rsidRPr="00F16C78">
              <w:rPr>
                <w:color w:val="000000"/>
                <w:spacing w:val="3"/>
                <w:shd w:val="solid" w:color="000000" w:fill="000000"/>
                <w:fitText w:val="438" w:id="-961860855"/>
                <w14:textFill>
                  <w14:solidFill>
                    <w14:srgbClr w14:val="000000">
                      <w14:alpha w14:val="100000"/>
                    </w14:srgbClr>
                  </w14:solidFill>
                </w14:textFill>
              </w:rPr>
              <w:t>|</w:t>
            </w:r>
            <w:r w:rsidR="005F273A" w:rsidRPr="00D21B8B">
              <w:rPr>
                <w:vertAlign w:val="superscript"/>
              </w:rPr>
              <w:t>2</w:t>
            </w:r>
            <w:r w:rsidRPr="00456281">
              <w:t>/QALY gained (+16%)</w:t>
            </w:r>
            <w:r w:rsidR="009C3CBE" w:rsidRPr="00456281">
              <w:t xml:space="preserve">. </w:t>
            </w:r>
            <w:r w:rsidR="00FF5653" w:rsidRPr="00456281">
              <w:t>The ESC considered the Gompertz extrapolation provided more clinically plausible OS outcomes compared with Weibull.</w:t>
            </w:r>
          </w:p>
        </w:tc>
      </w:tr>
    </w:tbl>
    <w:p w14:paraId="61DFC0C8" w14:textId="77777777" w:rsidR="00873E01" w:rsidRPr="00456281" w:rsidRDefault="00873E01" w:rsidP="00873E01">
      <w:pPr>
        <w:pStyle w:val="FooterTableFigure"/>
      </w:pPr>
      <w:r w:rsidRPr="00456281">
        <w:t>Source: Compiled during the evaluation based on Section 3.9 of the submission</w:t>
      </w:r>
    </w:p>
    <w:p w14:paraId="5FF3B017" w14:textId="77777777" w:rsidR="00873E01" w:rsidRPr="00456281" w:rsidRDefault="00873E01" w:rsidP="00873E01">
      <w:pPr>
        <w:pStyle w:val="FooterTableFigure"/>
      </w:pPr>
      <w:r w:rsidRPr="00456281">
        <w:t>Abbreviations: AIC, Akaike Information Criterion; BIC, Bayesian Information Criterion; ICER, incremental cost-effectiveness ratio; KM, Kaplan-Meier; FOLFIRINOX, Fluorouracil, Folinic Acid, Irinotecan, Oxaliplatin; Gem+NabP, gemcitabine plus nanoparticle albumin-bound paclitaxel; NALIRIFOX, nanoliposomal irinotecan (nal-IRI) in combination with 5-fluorouracil, leucovorin/folinic acid; OS, overall survival; QALY, quality-adjusted life year; 5-FU, 5-fluorouracil.</w:t>
      </w:r>
    </w:p>
    <w:p w14:paraId="22B750BA" w14:textId="77777777" w:rsidR="00873E01" w:rsidRPr="00456281" w:rsidRDefault="00873E01" w:rsidP="00873E01">
      <w:pPr>
        <w:pStyle w:val="FooterTableFigure"/>
      </w:pPr>
      <w:r w:rsidRPr="00456281">
        <w:rPr>
          <w:vertAlign w:val="superscript"/>
        </w:rPr>
        <w:t>a</w:t>
      </w:r>
      <w:r w:rsidRPr="00456281">
        <w:t xml:space="preserve"> Using a mixed (weighted) comparator approach</w:t>
      </w:r>
    </w:p>
    <w:p w14:paraId="6DA0B866" w14:textId="77777777" w:rsidR="00873E01" w:rsidRPr="00456281" w:rsidRDefault="00873E01" w:rsidP="00873E01">
      <w:pPr>
        <w:pStyle w:val="FooterTableFigure"/>
      </w:pPr>
      <w:r w:rsidRPr="00456281">
        <w:rPr>
          <w:vertAlign w:val="superscript"/>
        </w:rPr>
        <w:t xml:space="preserve">b </w:t>
      </w:r>
      <w:r w:rsidRPr="00456281">
        <w:t>The SEIGE trial was a Phase II, dose-scheduling trial of Gem+NabP with EQ-5D-5L data captured over a period of 12 months.</w:t>
      </w:r>
    </w:p>
    <w:p w14:paraId="49CF102C" w14:textId="77777777" w:rsidR="00873E01" w:rsidRDefault="00873E01" w:rsidP="00873E01">
      <w:pPr>
        <w:pStyle w:val="FooterTableFigure"/>
      </w:pPr>
      <w:r w:rsidRPr="00456281">
        <w:rPr>
          <w:vertAlign w:val="superscript"/>
        </w:rPr>
        <w:t>c</w:t>
      </w:r>
      <w:r w:rsidRPr="00456281">
        <w:t xml:space="preserve"> Assuming FOLFIRINOX is superior to Gem+NabP</w:t>
      </w:r>
    </w:p>
    <w:p w14:paraId="1FBCD6D7" w14:textId="77777777" w:rsidR="005F273A" w:rsidRPr="005F273A" w:rsidRDefault="005F273A" w:rsidP="005F273A">
      <w:pPr>
        <w:pStyle w:val="FooterTableFigure"/>
        <w:rPr>
          <w:i/>
          <w:iCs/>
        </w:rPr>
      </w:pPr>
      <w:bookmarkStart w:id="130" w:name="_Hlk166834041"/>
      <w:r w:rsidRPr="005F273A">
        <w:rPr>
          <w:i/>
          <w:iCs/>
        </w:rPr>
        <w:t>The redacted values correspond to the following ranges:</w:t>
      </w:r>
    </w:p>
    <w:p w14:paraId="2A8AB7AB" w14:textId="77777777" w:rsidR="005F273A" w:rsidRDefault="005F273A" w:rsidP="005F273A">
      <w:pPr>
        <w:pStyle w:val="FooterTableFigure"/>
        <w:rPr>
          <w:i/>
          <w:iCs/>
        </w:rPr>
      </w:pPr>
      <w:r w:rsidRPr="005F273A">
        <w:rPr>
          <w:i/>
          <w:iCs/>
          <w:vertAlign w:val="superscript"/>
        </w:rPr>
        <w:t>1</w:t>
      </w:r>
      <w:r w:rsidRPr="005F273A">
        <w:rPr>
          <w:i/>
          <w:iCs/>
        </w:rPr>
        <w:t xml:space="preserve"> $25,000 to &lt; $35,000</w:t>
      </w:r>
    </w:p>
    <w:p w14:paraId="38335C5C" w14:textId="7D95C4DA" w:rsidR="005F273A" w:rsidRPr="00031123" w:rsidRDefault="005F273A" w:rsidP="00873E01">
      <w:pPr>
        <w:pStyle w:val="FooterTableFigure"/>
        <w:rPr>
          <w:i/>
          <w:iCs/>
        </w:rPr>
      </w:pPr>
      <w:r>
        <w:rPr>
          <w:i/>
          <w:iCs/>
          <w:vertAlign w:val="superscript"/>
        </w:rPr>
        <w:t>2</w:t>
      </w:r>
      <w:r w:rsidRPr="005F273A">
        <w:rPr>
          <w:i/>
          <w:iCs/>
        </w:rPr>
        <w:t xml:space="preserve"> $35,000 to &lt; $45,000</w:t>
      </w:r>
      <w:bookmarkEnd w:id="130"/>
    </w:p>
    <w:p w14:paraId="188DF47F" w14:textId="529C7C58" w:rsidR="00873E01" w:rsidRPr="00456281" w:rsidRDefault="00873E01" w:rsidP="00873E01">
      <w:pPr>
        <w:pStyle w:val="3-BodyText"/>
      </w:pPr>
      <w:bookmarkStart w:id="131" w:name="_Hlk159857714"/>
      <w:r w:rsidRPr="00456281">
        <w:t xml:space="preserve">A summary of the results of the stepped economic analysis is presented in </w:t>
      </w:r>
      <w:r w:rsidRPr="00456281">
        <w:fldChar w:fldCharType="begin"/>
      </w:r>
      <w:r w:rsidRPr="00456281">
        <w:instrText xml:space="preserve"> REF _Ref153723576 \h  \* MERGEFORMAT </w:instrText>
      </w:r>
      <w:r w:rsidRPr="00456281">
        <w:fldChar w:fldCharType="separate"/>
      </w:r>
      <w:r w:rsidR="00EE5AD4" w:rsidRPr="00EE5AD4">
        <w:t>Table 16</w:t>
      </w:r>
      <w:r w:rsidRPr="00456281">
        <w:fldChar w:fldCharType="end"/>
      </w:r>
      <w:r w:rsidRPr="00456281">
        <w:t>.</w:t>
      </w:r>
    </w:p>
    <w:p w14:paraId="18E96D8D" w14:textId="76E50E1A" w:rsidR="00873E01" w:rsidRPr="00456281" w:rsidRDefault="00873E01" w:rsidP="00031123">
      <w:pPr>
        <w:pStyle w:val="TableFigureHeading"/>
        <w:keepLines/>
        <w:rPr>
          <w:rStyle w:val="CommentReference"/>
          <w:b/>
          <w:szCs w:val="24"/>
        </w:rPr>
      </w:pPr>
      <w:bookmarkStart w:id="132" w:name="_Ref153723576"/>
      <w:r w:rsidRPr="00456281">
        <w:rPr>
          <w:rStyle w:val="CommentReference"/>
          <w:b/>
          <w:szCs w:val="24"/>
        </w:rPr>
        <w:lastRenderedPageBreak/>
        <w:t xml:space="preserve">Table </w:t>
      </w:r>
      <w:r w:rsidRPr="00456281">
        <w:rPr>
          <w:rStyle w:val="CommentReference"/>
          <w:b/>
          <w:szCs w:val="24"/>
        </w:rPr>
        <w:fldChar w:fldCharType="begin"/>
      </w:r>
      <w:r w:rsidRPr="00456281">
        <w:rPr>
          <w:rStyle w:val="CommentReference"/>
          <w:b/>
          <w:szCs w:val="24"/>
        </w:rPr>
        <w:instrText xml:space="preserve"> SEQ Table \* ARABIC </w:instrText>
      </w:r>
      <w:r w:rsidRPr="00456281">
        <w:rPr>
          <w:rStyle w:val="CommentReference"/>
          <w:b/>
          <w:szCs w:val="24"/>
        </w:rPr>
        <w:fldChar w:fldCharType="separate"/>
      </w:r>
      <w:r w:rsidR="00EE5AD4">
        <w:rPr>
          <w:rStyle w:val="CommentReference"/>
          <w:b/>
          <w:noProof/>
          <w:szCs w:val="24"/>
        </w:rPr>
        <w:t>16</w:t>
      </w:r>
      <w:r w:rsidRPr="00456281">
        <w:rPr>
          <w:rStyle w:val="CommentReference"/>
          <w:b/>
          <w:szCs w:val="24"/>
        </w:rPr>
        <w:fldChar w:fldCharType="end"/>
      </w:r>
      <w:bookmarkEnd w:id="132"/>
      <w:r w:rsidRPr="00456281">
        <w:rPr>
          <w:rStyle w:val="CommentReference"/>
          <w:b/>
          <w:szCs w:val="24"/>
        </w:rPr>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Caption w:val="Table 16: Results of the stepped economic evaluation"/>
      </w:tblPr>
      <w:tblGrid>
        <w:gridCol w:w="1205"/>
        <w:gridCol w:w="940"/>
        <w:gridCol w:w="1115"/>
        <w:gridCol w:w="1004"/>
        <w:gridCol w:w="940"/>
        <w:gridCol w:w="1010"/>
        <w:gridCol w:w="1196"/>
        <w:gridCol w:w="1607"/>
      </w:tblGrid>
      <w:tr w:rsidR="00873E01" w:rsidRPr="00456281" w14:paraId="43A361F3" w14:textId="77777777" w:rsidTr="008064C4">
        <w:trPr>
          <w:cantSplit/>
          <w:tblHeader/>
        </w:trPr>
        <w:tc>
          <w:tcPr>
            <w:tcW w:w="668" w:type="pct"/>
            <w:vMerge w:val="restart"/>
            <w:shd w:val="clear" w:color="auto" w:fill="FFFFFF" w:themeFill="background1"/>
            <w:vAlign w:val="center"/>
          </w:tcPr>
          <w:p w14:paraId="4E1C83A7" w14:textId="77777777" w:rsidR="00873E01" w:rsidRPr="00456281" w:rsidRDefault="00873E01" w:rsidP="00031123">
            <w:pPr>
              <w:pStyle w:val="Tabletext"/>
              <w:keepNext/>
              <w:keepLines/>
              <w:jc w:val="center"/>
              <w:rPr>
                <w:b/>
              </w:rPr>
            </w:pPr>
            <w:r w:rsidRPr="00456281">
              <w:rPr>
                <w:b/>
              </w:rPr>
              <w:t>Data</w:t>
            </w:r>
          </w:p>
        </w:tc>
        <w:tc>
          <w:tcPr>
            <w:tcW w:w="1696" w:type="pct"/>
            <w:gridSpan w:val="3"/>
            <w:shd w:val="clear" w:color="auto" w:fill="FFFFFF" w:themeFill="background1"/>
            <w:vAlign w:val="center"/>
          </w:tcPr>
          <w:p w14:paraId="36F377CF" w14:textId="2B629CDC" w:rsidR="00873E01" w:rsidRPr="00456281" w:rsidRDefault="00873E01" w:rsidP="00031123">
            <w:pPr>
              <w:pStyle w:val="Tabletext"/>
              <w:keepNext/>
              <w:keepLines/>
              <w:jc w:val="center"/>
              <w:rPr>
                <w:b/>
              </w:rPr>
            </w:pPr>
            <w:r w:rsidRPr="00456281">
              <w:rPr>
                <w:b/>
              </w:rPr>
              <w:t>Costs</w:t>
            </w:r>
            <w:r w:rsidR="005F273A">
              <w:rPr>
                <w:b/>
              </w:rPr>
              <w:t xml:space="preserve"> ($)</w:t>
            </w:r>
          </w:p>
        </w:tc>
        <w:tc>
          <w:tcPr>
            <w:tcW w:w="1744" w:type="pct"/>
            <w:gridSpan w:val="3"/>
            <w:shd w:val="clear" w:color="auto" w:fill="FFFFFF" w:themeFill="background1"/>
            <w:vAlign w:val="center"/>
          </w:tcPr>
          <w:p w14:paraId="35480762" w14:textId="77777777" w:rsidR="00873E01" w:rsidRPr="00456281" w:rsidRDefault="00873E01" w:rsidP="00031123">
            <w:pPr>
              <w:pStyle w:val="Tabletext"/>
              <w:keepNext/>
              <w:keepLines/>
              <w:jc w:val="center"/>
              <w:rPr>
                <w:b/>
              </w:rPr>
            </w:pPr>
            <w:r w:rsidRPr="00456281">
              <w:rPr>
                <w:b/>
              </w:rPr>
              <w:t>Health outcomes</w:t>
            </w:r>
          </w:p>
        </w:tc>
        <w:tc>
          <w:tcPr>
            <w:tcW w:w="891" w:type="pct"/>
            <w:vMerge w:val="restart"/>
            <w:shd w:val="clear" w:color="auto" w:fill="FFFFFF" w:themeFill="background1"/>
            <w:vAlign w:val="center"/>
          </w:tcPr>
          <w:p w14:paraId="27500382" w14:textId="77777777" w:rsidR="00873E01" w:rsidRPr="00456281" w:rsidRDefault="00873E01" w:rsidP="00031123">
            <w:pPr>
              <w:pStyle w:val="Tabletext"/>
              <w:keepNext/>
              <w:keepLines/>
              <w:jc w:val="center"/>
              <w:rPr>
                <w:b/>
              </w:rPr>
            </w:pPr>
            <w:r w:rsidRPr="00456281">
              <w:rPr>
                <w:b/>
              </w:rPr>
              <w:t>Incremental cost-effectiveness ratio</w:t>
            </w:r>
          </w:p>
        </w:tc>
      </w:tr>
      <w:tr w:rsidR="00873E01" w:rsidRPr="00456281" w14:paraId="2E9E5FA0" w14:textId="77777777" w:rsidTr="008064C4">
        <w:trPr>
          <w:cantSplit/>
          <w:tblHeader/>
        </w:trPr>
        <w:tc>
          <w:tcPr>
            <w:tcW w:w="668" w:type="pct"/>
            <w:vMerge/>
            <w:shd w:val="clear" w:color="auto" w:fill="FFFFFF" w:themeFill="background1"/>
            <w:vAlign w:val="center"/>
          </w:tcPr>
          <w:p w14:paraId="6DF18B4E" w14:textId="77777777" w:rsidR="00873E01" w:rsidRPr="00456281" w:rsidRDefault="00873E01" w:rsidP="00031123">
            <w:pPr>
              <w:pStyle w:val="Tabletext"/>
              <w:keepNext/>
              <w:keepLines/>
              <w:jc w:val="center"/>
              <w:rPr>
                <w:b/>
              </w:rPr>
            </w:pPr>
            <w:bookmarkStart w:id="133" w:name="_Hlk155786694"/>
          </w:p>
        </w:tc>
        <w:tc>
          <w:tcPr>
            <w:tcW w:w="521" w:type="pct"/>
            <w:shd w:val="clear" w:color="auto" w:fill="FFFFFF" w:themeFill="background1"/>
            <w:vAlign w:val="center"/>
          </w:tcPr>
          <w:p w14:paraId="667A1BFB" w14:textId="77777777" w:rsidR="00873E01" w:rsidRPr="00456281" w:rsidRDefault="00873E01" w:rsidP="00031123">
            <w:pPr>
              <w:pStyle w:val="Tabletext"/>
              <w:keepNext/>
              <w:keepLines/>
              <w:jc w:val="center"/>
              <w:rPr>
                <w:rFonts w:ascii="Times" w:hAnsi="Times"/>
                <w:b/>
              </w:rPr>
            </w:pPr>
            <w:r w:rsidRPr="00456281">
              <w:rPr>
                <w:b/>
              </w:rPr>
              <w:t>NALIRIFOX</w:t>
            </w:r>
          </w:p>
        </w:tc>
        <w:tc>
          <w:tcPr>
            <w:tcW w:w="618" w:type="pct"/>
            <w:shd w:val="clear" w:color="auto" w:fill="FFFFFF" w:themeFill="background1"/>
            <w:vAlign w:val="center"/>
          </w:tcPr>
          <w:p w14:paraId="759054B5" w14:textId="77777777" w:rsidR="00873E01" w:rsidRPr="00456281" w:rsidRDefault="00873E01" w:rsidP="00031123">
            <w:pPr>
              <w:pStyle w:val="Tabletext"/>
              <w:keepNext/>
              <w:keepLines/>
              <w:jc w:val="center"/>
              <w:rPr>
                <w:rFonts w:ascii="Times" w:hAnsi="Times"/>
                <w:b/>
              </w:rPr>
            </w:pPr>
            <w:r w:rsidRPr="00456281">
              <w:rPr>
                <w:b/>
              </w:rPr>
              <w:t>Gem+NabP</w:t>
            </w:r>
          </w:p>
        </w:tc>
        <w:tc>
          <w:tcPr>
            <w:tcW w:w="557" w:type="pct"/>
            <w:shd w:val="clear" w:color="auto" w:fill="FFFFFF" w:themeFill="background1"/>
            <w:vAlign w:val="center"/>
          </w:tcPr>
          <w:p w14:paraId="3D0E8C81" w14:textId="77777777" w:rsidR="00873E01" w:rsidRPr="00456281" w:rsidRDefault="00873E01" w:rsidP="00031123">
            <w:pPr>
              <w:pStyle w:val="Tabletext"/>
              <w:keepNext/>
              <w:keepLines/>
              <w:jc w:val="center"/>
              <w:rPr>
                <w:rFonts w:ascii="Times" w:hAnsi="Times"/>
                <w:b/>
              </w:rPr>
            </w:pPr>
            <w:r w:rsidRPr="00456281">
              <w:rPr>
                <w:b/>
              </w:rPr>
              <w:t>Incremental</w:t>
            </w:r>
          </w:p>
        </w:tc>
        <w:tc>
          <w:tcPr>
            <w:tcW w:w="521" w:type="pct"/>
            <w:shd w:val="clear" w:color="auto" w:fill="FFFFFF" w:themeFill="background1"/>
            <w:vAlign w:val="center"/>
          </w:tcPr>
          <w:p w14:paraId="7231084D" w14:textId="77777777" w:rsidR="00873E01" w:rsidRPr="00456281" w:rsidRDefault="00873E01" w:rsidP="00031123">
            <w:pPr>
              <w:pStyle w:val="Tabletext"/>
              <w:keepNext/>
              <w:keepLines/>
              <w:jc w:val="center"/>
              <w:rPr>
                <w:rFonts w:ascii="Times" w:hAnsi="Times"/>
                <w:b/>
              </w:rPr>
            </w:pPr>
            <w:r w:rsidRPr="00456281">
              <w:rPr>
                <w:b/>
              </w:rPr>
              <w:t>NALIRIFOX</w:t>
            </w:r>
          </w:p>
        </w:tc>
        <w:tc>
          <w:tcPr>
            <w:tcW w:w="560" w:type="pct"/>
            <w:shd w:val="clear" w:color="auto" w:fill="FFFFFF" w:themeFill="background1"/>
            <w:vAlign w:val="center"/>
          </w:tcPr>
          <w:p w14:paraId="5E187133" w14:textId="77777777" w:rsidR="00873E01" w:rsidRPr="00456281" w:rsidRDefault="00873E01" w:rsidP="00031123">
            <w:pPr>
              <w:pStyle w:val="Tabletext"/>
              <w:keepNext/>
              <w:keepLines/>
              <w:jc w:val="center"/>
              <w:rPr>
                <w:b/>
              </w:rPr>
            </w:pPr>
            <w:r w:rsidRPr="00456281">
              <w:rPr>
                <w:b/>
              </w:rPr>
              <w:t>Gem+NabP</w:t>
            </w:r>
          </w:p>
        </w:tc>
        <w:tc>
          <w:tcPr>
            <w:tcW w:w="663" w:type="pct"/>
            <w:shd w:val="clear" w:color="auto" w:fill="FFFFFF" w:themeFill="background1"/>
            <w:vAlign w:val="center"/>
          </w:tcPr>
          <w:p w14:paraId="6ABB9BD9" w14:textId="77777777" w:rsidR="00873E01" w:rsidRPr="00456281" w:rsidRDefault="00873E01" w:rsidP="00031123">
            <w:pPr>
              <w:pStyle w:val="Tabletext"/>
              <w:keepNext/>
              <w:keepLines/>
              <w:jc w:val="center"/>
              <w:rPr>
                <w:b/>
              </w:rPr>
            </w:pPr>
            <w:r w:rsidRPr="00456281">
              <w:rPr>
                <w:b/>
              </w:rPr>
              <w:t>Incremental</w:t>
            </w:r>
          </w:p>
        </w:tc>
        <w:tc>
          <w:tcPr>
            <w:tcW w:w="891" w:type="pct"/>
            <w:vMerge/>
            <w:shd w:val="clear" w:color="auto" w:fill="FFFFFF" w:themeFill="background1"/>
            <w:vAlign w:val="center"/>
          </w:tcPr>
          <w:p w14:paraId="3A56CA5F" w14:textId="77777777" w:rsidR="00873E01" w:rsidRPr="00456281" w:rsidRDefault="00873E01" w:rsidP="00031123">
            <w:pPr>
              <w:pStyle w:val="Tabletext"/>
              <w:keepNext/>
              <w:keepLines/>
              <w:jc w:val="center"/>
            </w:pPr>
          </w:p>
        </w:tc>
      </w:tr>
      <w:bookmarkEnd w:id="133"/>
      <w:tr w:rsidR="00873E01" w:rsidRPr="00456281" w14:paraId="39CD3933" w14:textId="77777777" w:rsidTr="00031123">
        <w:trPr>
          <w:cantSplit/>
        </w:trPr>
        <w:tc>
          <w:tcPr>
            <w:tcW w:w="668" w:type="pct"/>
            <w:vMerge w:val="restart"/>
            <w:shd w:val="clear" w:color="auto" w:fill="FFFFFF" w:themeFill="background1"/>
            <w:vAlign w:val="center"/>
          </w:tcPr>
          <w:p w14:paraId="0CC7510C" w14:textId="77777777" w:rsidR="00873E01" w:rsidRPr="00456281" w:rsidRDefault="00873E01" w:rsidP="00031123">
            <w:pPr>
              <w:pStyle w:val="Tabletext"/>
              <w:keepNext/>
              <w:keepLines/>
              <w:jc w:val="center"/>
            </w:pPr>
            <w:r w:rsidRPr="00456281">
              <w:rPr>
                <w:b/>
              </w:rPr>
              <w:t>Step 1: Trial based analysis</w:t>
            </w:r>
          </w:p>
        </w:tc>
        <w:tc>
          <w:tcPr>
            <w:tcW w:w="1696" w:type="pct"/>
            <w:gridSpan w:val="3"/>
            <w:shd w:val="clear" w:color="auto" w:fill="auto"/>
            <w:vAlign w:val="center"/>
          </w:tcPr>
          <w:p w14:paraId="557CFD9E" w14:textId="77777777" w:rsidR="00873E01" w:rsidRPr="00456281" w:rsidRDefault="00873E01" w:rsidP="00031123">
            <w:pPr>
              <w:pStyle w:val="Tabletext"/>
              <w:keepNext/>
              <w:keepLines/>
              <w:jc w:val="center"/>
              <w:rPr>
                <w:iCs/>
              </w:rPr>
            </w:pPr>
            <w:r w:rsidRPr="00456281">
              <w:rPr>
                <w:iCs/>
              </w:rPr>
              <w:t>Drug and administration costs, costs of subsequent therapies and treating AEs</w:t>
            </w:r>
          </w:p>
        </w:tc>
        <w:tc>
          <w:tcPr>
            <w:tcW w:w="1744" w:type="pct"/>
            <w:gridSpan w:val="3"/>
            <w:shd w:val="clear" w:color="auto" w:fill="FFFFFF" w:themeFill="background1"/>
            <w:vAlign w:val="center"/>
          </w:tcPr>
          <w:p w14:paraId="371A8272" w14:textId="77777777" w:rsidR="00873E01" w:rsidRPr="00456281" w:rsidRDefault="00873E01" w:rsidP="00031123">
            <w:pPr>
              <w:pStyle w:val="Tabletext"/>
              <w:keepNext/>
              <w:keepLines/>
              <w:jc w:val="center"/>
              <w:rPr>
                <w:iCs/>
              </w:rPr>
            </w:pPr>
            <w:r w:rsidRPr="00456281">
              <w:rPr>
                <w:iCs/>
              </w:rPr>
              <w:t>Life years</w:t>
            </w:r>
          </w:p>
        </w:tc>
        <w:tc>
          <w:tcPr>
            <w:tcW w:w="891" w:type="pct"/>
            <w:shd w:val="clear" w:color="auto" w:fill="FFFFFF" w:themeFill="background1"/>
            <w:vAlign w:val="center"/>
          </w:tcPr>
          <w:p w14:paraId="0F0B2669" w14:textId="77777777" w:rsidR="00873E01" w:rsidRPr="00456281" w:rsidRDefault="00873E01" w:rsidP="00031123">
            <w:pPr>
              <w:pStyle w:val="Tabletext"/>
              <w:keepNext/>
              <w:keepLines/>
              <w:jc w:val="center"/>
              <w:rPr>
                <w:iCs/>
              </w:rPr>
            </w:pPr>
          </w:p>
        </w:tc>
      </w:tr>
      <w:tr w:rsidR="00873E01" w:rsidRPr="00456281" w14:paraId="445B9322" w14:textId="77777777" w:rsidTr="00031123">
        <w:trPr>
          <w:cantSplit/>
        </w:trPr>
        <w:tc>
          <w:tcPr>
            <w:tcW w:w="668" w:type="pct"/>
            <w:vMerge/>
            <w:shd w:val="clear" w:color="auto" w:fill="FFFFFF" w:themeFill="background1"/>
            <w:vAlign w:val="center"/>
          </w:tcPr>
          <w:p w14:paraId="11183611" w14:textId="77777777" w:rsidR="00873E01" w:rsidRPr="00456281" w:rsidRDefault="00873E01" w:rsidP="00031123">
            <w:pPr>
              <w:pStyle w:val="Tabletext"/>
              <w:keepNext/>
              <w:keepLines/>
              <w:jc w:val="center"/>
              <w:rPr>
                <w:b/>
              </w:rPr>
            </w:pPr>
          </w:p>
        </w:tc>
        <w:tc>
          <w:tcPr>
            <w:tcW w:w="521" w:type="pct"/>
            <w:shd w:val="clear" w:color="auto" w:fill="auto"/>
          </w:tcPr>
          <w:p w14:paraId="68DEEA2A" w14:textId="351DA283" w:rsidR="00873E01" w:rsidRPr="009C3CBE" w:rsidRDefault="00031123" w:rsidP="00031123">
            <w:pPr>
              <w:pStyle w:val="Tabletext"/>
              <w:keepNext/>
              <w:keepLines/>
              <w:jc w:val="center"/>
              <w:rPr>
                <w:rFonts w:ascii="Times" w:hAnsi="Times"/>
                <w:iCs/>
                <w:highlight w:val="lightGray"/>
              </w:rPr>
            </w:pPr>
            <w:r w:rsidRPr="00031123">
              <w:rPr>
                <w:iCs/>
                <w:color w:val="000000"/>
                <w:spacing w:val="72"/>
                <w:szCs w:val="20"/>
                <w:shd w:val="solid" w:color="000000" w:fill="000000"/>
                <w:fitText w:val="388" w:id="-961860851"/>
                <w14:textFill>
                  <w14:solidFill>
                    <w14:srgbClr w14:val="000000">
                      <w14:alpha w14:val="100000"/>
                    </w14:srgbClr>
                  </w14:solidFill>
                </w14:textFill>
              </w:rPr>
              <w:t>|||</w:t>
            </w:r>
            <w:r w:rsidRPr="00031123">
              <w:rPr>
                <w:iCs/>
                <w:color w:val="000000"/>
                <w:spacing w:val="2"/>
                <w:szCs w:val="20"/>
                <w:shd w:val="solid" w:color="000000" w:fill="000000"/>
                <w:fitText w:val="388" w:id="-961860851"/>
                <w14:textFill>
                  <w14:solidFill>
                    <w14:srgbClr w14:val="000000">
                      <w14:alpha w14:val="100000"/>
                    </w14:srgbClr>
                  </w14:solidFill>
                </w14:textFill>
              </w:rPr>
              <w:t>|</w:t>
            </w:r>
          </w:p>
        </w:tc>
        <w:tc>
          <w:tcPr>
            <w:tcW w:w="618" w:type="pct"/>
            <w:shd w:val="clear" w:color="auto" w:fill="auto"/>
          </w:tcPr>
          <w:p w14:paraId="4ACA2BBE" w14:textId="3BA287C7" w:rsidR="00873E01" w:rsidRPr="009C3CBE" w:rsidRDefault="00031123" w:rsidP="00031123">
            <w:pPr>
              <w:pStyle w:val="Tabletext"/>
              <w:keepNext/>
              <w:keepLines/>
              <w:jc w:val="center"/>
              <w:rPr>
                <w:rFonts w:ascii="Times" w:hAnsi="Times"/>
                <w:iCs/>
                <w:highlight w:val="lightGray"/>
              </w:rPr>
            </w:pPr>
            <w:r w:rsidRPr="00031123">
              <w:rPr>
                <w:iCs/>
                <w:color w:val="000000"/>
                <w:spacing w:val="72"/>
                <w:szCs w:val="20"/>
                <w:shd w:val="solid" w:color="000000" w:fill="000000"/>
                <w:fitText w:val="388" w:id="-961860851"/>
                <w14:textFill>
                  <w14:solidFill>
                    <w14:srgbClr w14:val="000000">
                      <w14:alpha w14:val="100000"/>
                    </w14:srgbClr>
                  </w14:solidFill>
                </w14:textFill>
              </w:rPr>
              <w:t>|||</w:t>
            </w:r>
            <w:r w:rsidRPr="00031123">
              <w:rPr>
                <w:iCs/>
                <w:color w:val="000000"/>
                <w:spacing w:val="2"/>
                <w:szCs w:val="20"/>
                <w:shd w:val="solid" w:color="000000" w:fill="000000"/>
                <w:fitText w:val="388" w:id="-961860851"/>
                <w14:textFill>
                  <w14:solidFill>
                    <w14:srgbClr w14:val="000000">
                      <w14:alpha w14:val="100000"/>
                    </w14:srgbClr>
                  </w14:solidFill>
                </w14:textFill>
              </w:rPr>
              <w:t>|</w:t>
            </w:r>
          </w:p>
        </w:tc>
        <w:tc>
          <w:tcPr>
            <w:tcW w:w="557" w:type="pct"/>
            <w:shd w:val="clear" w:color="auto" w:fill="auto"/>
          </w:tcPr>
          <w:p w14:paraId="48FCF3BC" w14:textId="5A13717E" w:rsidR="00873E01" w:rsidRPr="009C3CBE" w:rsidRDefault="00031123" w:rsidP="00031123">
            <w:pPr>
              <w:pStyle w:val="Tabletext"/>
              <w:keepNext/>
              <w:keepLines/>
              <w:jc w:val="center"/>
              <w:rPr>
                <w:rFonts w:ascii="Times" w:hAnsi="Times"/>
                <w:iCs/>
                <w:highlight w:val="lightGray"/>
              </w:rPr>
            </w:pPr>
            <w:r w:rsidRPr="00031123">
              <w:rPr>
                <w:iCs/>
                <w:color w:val="000000"/>
                <w:spacing w:val="72"/>
                <w:szCs w:val="20"/>
                <w:shd w:val="solid" w:color="000000" w:fill="000000"/>
                <w:fitText w:val="388" w:id="-961860851"/>
                <w14:textFill>
                  <w14:solidFill>
                    <w14:srgbClr w14:val="000000">
                      <w14:alpha w14:val="100000"/>
                    </w14:srgbClr>
                  </w14:solidFill>
                </w14:textFill>
              </w:rPr>
              <w:t>|||</w:t>
            </w:r>
            <w:r w:rsidRPr="00031123">
              <w:rPr>
                <w:iCs/>
                <w:color w:val="000000"/>
                <w:spacing w:val="2"/>
                <w:szCs w:val="20"/>
                <w:shd w:val="solid" w:color="000000" w:fill="000000"/>
                <w:fitText w:val="388" w:id="-961860851"/>
                <w14:textFill>
                  <w14:solidFill>
                    <w14:srgbClr w14:val="000000">
                      <w14:alpha w14:val="100000"/>
                    </w14:srgbClr>
                  </w14:solidFill>
                </w14:textFill>
              </w:rPr>
              <w:t>|</w:t>
            </w:r>
          </w:p>
        </w:tc>
        <w:tc>
          <w:tcPr>
            <w:tcW w:w="521" w:type="pct"/>
            <w:shd w:val="clear" w:color="auto" w:fill="FFFFFF" w:themeFill="background1"/>
            <w:vAlign w:val="center"/>
          </w:tcPr>
          <w:p w14:paraId="2B1F59BA" w14:textId="77777777" w:rsidR="00873E01" w:rsidRPr="00456281" w:rsidRDefault="00873E01" w:rsidP="00031123">
            <w:pPr>
              <w:pStyle w:val="Tabletext"/>
              <w:keepNext/>
              <w:keepLines/>
              <w:jc w:val="center"/>
              <w:rPr>
                <w:iCs/>
              </w:rPr>
            </w:pPr>
            <w:r w:rsidRPr="00456281">
              <w:rPr>
                <w:iCs/>
                <w:szCs w:val="20"/>
              </w:rPr>
              <w:t>1.0976 LYs</w:t>
            </w:r>
          </w:p>
        </w:tc>
        <w:tc>
          <w:tcPr>
            <w:tcW w:w="560" w:type="pct"/>
            <w:shd w:val="clear" w:color="auto" w:fill="FFFFFF" w:themeFill="background1"/>
            <w:vAlign w:val="center"/>
          </w:tcPr>
          <w:p w14:paraId="6CC1F3A8" w14:textId="77777777" w:rsidR="00873E01" w:rsidRPr="00456281" w:rsidRDefault="00873E01" w:rsidP="00031123">
            <w:pPr>
              <w:pStyle w:val="Tabletext"/>
              <w:keepNext/>
              <w:keepLines/>
              <w:jc w:val="center"/>
              <w:rPr>
                <w:iCs/>
              </w:rPr>
            </w:pPr>
            <w:r w:rsidRPr="00456281">
              <w:rPr>
                <w:iCs/>
                <w:szCs w:val="20"/>
              </w:rPr>
              <w:t>0.9279 LYs</w:t>
            </w:r>
          </w:p>
        </w:tc>
        <w:tc>
          <w:tcPr>
            <w:tcW w:w="663" w:type="pct"/>
            <w:shd w:val="clear" w:color="auto" w:fill="FFFFFF" w:themeFill="background1"/>
            <w:vAlign w:val="center"/>
          </w:tcPr>
          <w:p w14:paraId="67AD71FC" w14:textId="77777777" w:rsidR="00873E01" w:rsidRPr="00456281" w:rsidRDefault="00873E01" w:rsidP="00031123">
            <w:pPr>
              <w:pStyle w:val="Tabletext"/>
              <w:keepNext/>
              <w:keepLines/>
              <w:jc w:val="center"/>
              <w:rPr>
                <w:rFonts w:ascii="Times" w:hAnsi="Times"/>
                <w:iCs/>
              </w:rPr>
            </w:pPr>
            <w:r w:rsidRPr="00456281">
              <w:rPr>
                <w:iCs/>
                <w:szCs w:val="20"/>
              </w:rPr>
              <w:t>0.1697 LYs</w:t>
            </w:r>
          </w:p>
        </w:tc>
        <w:tc>
          <w:tcPr>
            <w:tcW w:w="891" w:type="pct"/>
            <w:shd w:val="clear" w:color="auto" w:fill="FFFFFF" w:themeFill="background1"/>
            <w:vAlign w:val="center"/>
          </w:tcPr>
          <w:p w14:paraId="03FAB76D" w14:textId="29EC040B" w:rsidR="00873E01" w:rsidRPr="00456281" w:rsidRDefault="00F16C78" w:rsidP="00031123">
            <w:pPr>
              <w:pStyle w:val="Tabletext"/>
              <w:keepNext/>
              <w:keepLines/>
              <w:jc w:val="center"/>
              <w:rPr>
                <w:rFonts w:ascii="Times" w:hAnsi="Times"/>
                <w:iCs/>
              </w:rPr>
            </w:pPr>
            <w:r w:rsidRPr="00031123">
              <w:rPr>
                <w:iCs/>
                <w:color w:val="000000"/>
                <w:spacing w:val="72"/>
                <w:szCs w:val="20"/>
                <w:shd w:val="solid" w:color="000000" w:fill="000000"/>
                <w:fitText w:val="388" w:id="-961860851"/>
                <w14:textFill>
                  <w14:solidFill>
                    <w14:srgbClr w14:val="000000">
                      <w14:alpha w14:val="100000"/>
                    </w14:srgbClr>
                  </w14:solidFill>
                </w14:textFill>
              </w:rPr>
              <w:t>|||</w:t>
            </w:r>
            <w:r w:rsidRPr="00031123">
              <w:rPr>
                <w:iCs/>
                <w:color w:val="000000"/>
                <w:spacing w:val="2"/>
                <w:szCs w:val="20"/>
                <w:shd w:val="solid" w:color="000000" w:fill="000000"/>
                <w:fitText w:val="388" w:id="-961860851"/>
                <w14:textFill>
                  <w14:solidFill>
                    <w14:srgbClr w14:val="000000">
                      <w14:alpha w14:val="100000"/>
                    </w14:srgbClr>
                  </w14:solidFill>
                </w14:textFill>
              </w:rPr>
              <w:t>|</w:t>
            </w:r>
            <w:r w:rsidR="00082F5E" w:rsidRPr="009C3CBE">
              <w:rPr>
                <w:iCs/>
                <w:szCs w:val="20"/>
                <w:vertAlign w:val="superscript"/>
              </w:rPr>
              <w:t>1</w:t>
            </w:r>
            <w:r w:rsidR="00873E01" w:rsidRPr="00456281">
              <w:rPr>
                <w:iCs/>
                <w:szCs w:val="20"/>
              </w:rPr>
              <w:t xml:space="preserve"> / LY gained</w:t>
            </w:r>
          </w:p>
        </w:tc>
      </w:tr>
      <w:tr w:rsidR="00873E01" w:rsidRPr="00456281" w14:paraId="4B47B6CB" w14:textId="77777777" w:rsidTr="00031123">
        <w:trPr>
          <w:cantSplit/>
        </w:trPr>
        <w:tc>
          <w:tcPr>
            <w:tcW w:w="668" w:type="pct"/>
            <w:vMerge w:val="restart"/>
            <w:shd w:val="clear" w:color="auto" w:fill="FFFFFF" w:themeFill="background1"/>
            <w:vAlign w:val="center"/>
          </w:tcPr>
          <w:p w14:paraId="08286495" w14:textId="77777777" w:rsidR="00873E01" w:rsidRPr="00456281" w:rsidRDefault="00873E01" w:rsidP="00031123">
            <w:pPr>
              <w:pStyle w:val="Tabletext"/>
              <w:keepNext/>
              <w:keepLines/>
              <w:jc w:val="center"/>
            </w:pPr>
            <w:r w:rsidRPr="00456281">
              <w:rPr>
                <w:b/>
              </w:rPr>
              <w:t>Step 2: Modelled analysis (LYs)</w:t>
            </w:r>
            <w:r w:rsidRPr="00456281">
              <w:rPr>
                <w:b/>
                <w:vertAlign w:val="superscript"/>
              </w:rPr>
              <w:t>a</w:t>
            </w:r>
          </w:p>
        </w:tc>
        <w:tc>
          <w:tcPr>
            <w:tcW w:w="1696" w:type="pct"/>
            <w:gridSpan w:val="3"/>
            <w:shd w:val="clear" w:color="auto" w:fill="auto"/>
            <w:vAlign w:val="center"/>
          </w:tcPr>
          <w:p w14:paraId="10A76AD1" w14:textId="77777777" w:rsidR="00873E01" w:rsidRPr="00456281" w:rsidRDefault="00873E01" w:rsidP="00031123">
            <w:pPr>
              <w:pStyle w:val="Tabletext"/>
              <w:keepNext/>
              <w:keepLines/>
              <w:jc w:val="center"/>
            </w:pPr>
            <w:r w:rsidRPr="00456281">
              <w:t>As above plus cost of end-of-life care</w:t>
            </w:r>
          </w:p>
        </w:tc>
        <w:tc>
          <w:tcPr>
            <w:tcW w:w="1744" w:type="pct"/>
            <w:gridSpan w:val="3"/>
            <w:shd w:val="clear" w:color="auto" w:fill="FFFFFF" w:themeFill="background1"/>
            <w:vAlign w:val="center"/>
          </w:tcPr>
          <w:p w14:paraId="01B9A0BB" w14:textId="77777777" w:rsidR="00873E01" w:rsidRPr="00456281" w:rsidRDefault="00873E01" w:rsidP="00031123">
            <w:pPr>
              <w:pStyle w:val="Tabletext"/>
              <w:keepNext/>
              <w:keepLines/>
              <w:jc w:val="center"/>
            </w:pPr>
            <w:r w:rsidRPr="00456281">
              <w:t>Discounted life years</w:t>
            </w:r>
          </w:p>
        </w:tc>
        <w:tc>
          <w:tcPr>
            <w:tcW w:w="891" w:type="pct"/>
            <w:shd w:val="clear" w:color="auto" w:fill="FFFFFF" w:themeFill="background1"/>
            <w:vAlign w:val="center"/>
          </w:tcPr>
          <w:p w14:paraId="4957E061" w14:textId="77777777" w:rsidR="00873E01" w:rsidRPr="00456281" w:rsidRDefault="00873E01" w:rsidP="00031123">
            <w:pPr>
              <w:pStyle w:val="Tabletext"/>
              <w:keepNext/>
              <w:keepLines/>
              <w:jc w:val="center"/>
            </w:pPr>
          </w:p>
        </w:tc>
      </w:tr>
      <w:tr w:rsidR="00031123" w:rsidRPr="00456281" w14:paraId="6103C580" w14:textId="77777777" w:rsidTr="00031123">
        <w:trPr>
          <w:cantSplit/>
        </w:trPr>
        <w:tc>
          <w:tcPr>
            <w:tcW w:w="668" w:type="pct"/>
            <w:vMerge/>
            <w:shd w:val="clear" w:color="auto" w:fill="FFFFFF" w:themeFill="background1"/>
            <w:vAlign w:val="center"/>
          </w:tcPr>
          <w:p w14:paraId="193C5427" w14:textId="77777777" w:rsidR="00031123" w:rsidRPr="00456281" w:rsidRDefault="00031123" w:rsidP="00031123">
            <w:pPr>
              <w:pStyle w:val="Tabletext"/>
              <w:keepNext/>
              <w:keepLines/>
              <w:jc w:val="center"/>
              <w:rPr>
                <w:b/>
              </w:rPr>
            </w:pPr>
          </w:p>
        </w:tc>
        <w:tc>
          <w:tcPr>
            <w:tcW w:w="521" w:type="pct"/>
            <w:shd w:val="clear" w:color="auto" w:fill="auto"/>
            <w:vAlign w:val="center"/>
          </w:tcPr>
          <w:p w14:paraId="3A751DCE" w14:textId="59C1BB52" w:rsidR="00031123" w:rsidRPr="009C3CBE" w:rsidRDefault="00031123" w:rsidP="00031123">
            <w:pPr>
              <w:pStyle w:val="Tabletext"/>
              <w:keepNext/>
              <w:keepLines/>
              <w:jc w:val="center"/>
              <w:rPr>
                <w:rFonts w:ascii="Times" w:hAnsi="Times"/>
                <w:highlight w:val="lightGray"/>
              </w:rPr>
            </w:pPr>
            <w:r w:rsidRPr="00253342">
              <w:rPr>
                <w:iCs/>
                <w:color w:val="000000"/>
                <w:spacing w:val="72"/>
                <w:szCs w:val="20"/>
                <w:shd w:val="solid" w:color="000000" w:fill="000000"/>
                <w14:textFill>
                  <w14:solidFill>
                    <w14:srgbClr w14:val="000000">
                      <w14:alpha w14:val="100000"/>
                    </w14:srgbClr>
                  </w14:solidFill>
                </w14:textFill>
              </w:rPr>
              <w:t>|||</w:t>
            </w:r>
            <w:r w:rsidRPr="00253342">
              <w:rPr>
                <w:iCs/>
                <w:color w:val="000000"/>
                <w:spacing w:val="2"/>
                <w:szCs w:val="20"/>
                <w:shd w:val="solid" w:color="000000" w:fill="000000"/>
                <w14:textFill>
                  <w14:solidFill>
                    <w14:srgbClr w14:val="000000">
                      <w14:alpha w14:val="100000"/>
                    </w14:srgbClr>
                  </w14:solidFill>
                </w14:textFill>
              </w:rPr>
              <w:t>|</w:t>
            </w:r>
          </w:p>
        </w:tc>
        <w:tc>
          <w:tcPr>
            <w:tcW w:w="618" w:type="pct"/>
            <w:shd w:val="clear" w:color="auto" w:fill="auto"/>
            <w:vAlign w:val="center"/>
          </w:tcPr>
          <w:p w14:paraId="3A05462C" w14:textId="36E516A8" w:rsidR="00031123" w:rsidRPr="009C3CBE" w:rsidRDefault="00031123" w:rsidP="00031123">
            <w:pPr>
              <w:pStyle w:val="Tabletext"/>
              <w:keepNext/>
              <w:keepLines/>
              <w:jc w:val="center"/>
              <w:rPr>
                <w:rFonts w:ascii="Times" w:hAnsi="Times"/>
                <w:highlight w:val="lightGray"/>
              </w:rPr>
            </w:pPr>
            <w:r w:rsidRPr="00253342">
              <w:rPr>
                <w:iCs/>
                <w:color w:val="000000"/>
                <w:spacing w:val="72"/>
                <w:szCs w:val="20"/>
                <w:shd w:val="solid" w:color="000000" w:fill="000000"/>
                <w14:textFill>
                  <w14:solidFill>
                    <w14:srgbClr w14:val="000000">
                      <w14:alpha w14:val="100000"/>
                    </w14:srgbClr>
                  </w14:solidFill>
                </w14:textFill>
              </w:rPr>
              <w:t>|||</w:t>
            </w:r>
            <w:r w:rsidRPr="00253342">
              <w:rPr>
                <w:iCs/>
                <w:color w:val="000000"/>
                <w:spacing w:val="2"/>
                <w:szCs w:val="20"/>
                <w:shd w:val="solid" w:color="000000" w:fill="000000"/>
                <w14:textFill>
                  <w14:solidFill>
                    <w14:srgbClr w14:val="000000">
                      <w14:alpha w14:val="100000"/>
                    </w14:srgbClr>
                  </w14:solidFill>
                </w14:textFill>
              </w:rPr>
              <w:t>|</w:t>
            </w:r>
          </w:p>
        </w:tc>
        <w:tc>
          <w:tcPr>
            <w:tcW w:w="557" w:type="pct"/>
            <w:shd w:val="clear" w:color="auto" w:fill="auto"/>
            <w:vAlign w:val="center"/>
          </w:tcPr>
          <w:p w14:paraId="7761D3C2" w14:textId="410D3B8C" w:rsidR="00031123" w:rsidRPr="009C3CBE" w:rsidRDefault="00031123" w:rsidP="00031123">
            <w:pPr>
              <w:pStyle w:val="Tabletext"/>
              <w:keepNext/>
              <w:keepLines/>
              <w:jc w:val="center"/>
              <w:rPr>
                <w:rFonts w:ascii="Times" w:hAnsi="Times"/>
                <w:highlight w:val="lightGray"/>
              </w:rPr>
            </w:pPr>
            <w:r w:rsidRPr="00253342">
              <w:rPr>
                <w:iCs/>
                <w:color w:val="000000"/>
                <w:spacing w:val="72"/>
                <w:szCs w:val="20"/>
                <w:shd w:val="solid" w:color="000000" w:fill="000000"/>
                <w14:textFill>
                  <w14:solidFill>
                    <w14:srgbClr w14:val="000000">
                      <w14:alpha w14:val="100000"/>
                    </w14:srgbClr>
                  </w14:solidFill>
                </w14:textFill>
              </w:rPr>
              <w:t>|||</w:t>
            </w:r>
            <w:r w:rsidRPr="00253342">
              <w:rPr>
                <w:iCs/>
                <w:color w:val="000000"/>
                <w:spacing w:val="2"/>
                <w:szCs w:val="20"/>
                <w:shd w:val="solid" w:color="000000" w:fill="000000"/>
                <w14:textFill>
                  <w14:solidFill>
                    <w14:srgbClr w14:val="000000">
                      <w14:alpha w14:val="100000"/>
                    </w14:srgbClr>
                  </w14:solidFill>
                </w14:textFill>
              </w:rPr>
              <w:t>|</w:t>
            </w:r>
          </w:p>
        </w:tc>
        <w:tc>
          <w:tcPr>
            <w:tcW w:w="521" w:type="pct"/>
            <w:shd w:val="clear" w:color="auto" w:fill="FFFFFF" w:themeFill="background1"/>
            <w:vAlign w:val="center"/>
          </w:tcPr>
          <w:p w14:paraId="7F05A824" w14:textId="77777777" w:rsidR="00031123" w:rsidRPr="00456281" w:rsidRDefault="00031123" w:rsidP="00031123">
            <w:pPr>
              <w:pStyle w:val="Tabletext"/>
              <w:keepNext/>
              <w:keepLines/>
              <w:jc w:val="center"/>
              <w:rPr>
                <w:rFonts w:ascii="Times" w:hAnsi="Times"/>
              </w:rPr>
            </w:pPr>
            <w:r w:rsidRPr="00456281">
              <w:rPr>
                <w:szCs w:val="20"/>
              </w:rPr>
              <w:t>1.0977 LYs</w:t>
            </w:r>
          </w:p>
        </w:tc>
        <w:tc>
          <w:tcPr>
            <w:tcW w:w="560" w:type="pct"/>
            <w:shd w:val="clear" w:color="auto" w:fill="FFFFFF" w:themeFill="background1"/>
            <w:vAlign w:val="center"/>
          </w:tcPr>
          <w:p w14:paraId="17107839" w14:textId="77777777" w:rsidR="00031123" w:rsidRPr="00456281" w:rsidRDefault="00031123" w:rsidP="00031123">
            <w:pPr>
              <w:pStyle w:val="Tabletext"/>
              <w:keepNext/>
              <w:keepLines/>
              <w:jc w:val="center"/>
              <w:rPr>
                <w:rFonts w:ascii="Times" w:hAnsi="Times"/>
              </w:rPr>
            </w:pPr>
            <w:r w:rsidRPr="00456281">
              <w:rPr>
                <w:szCs w:val="20"/>
              </w:rPr>
              <w:t>0.9359 LYs</w:t>
            </w:r>
          </w:p>
        </w:tc>
        <w:tc>
          <w:tcPr>
            <w:tcW w:w="663" w:type="pct"/>
            <w:shd w:val="clear" w:color="auto" w:fill="FFFFFF" w:themeFill="background1"/>
            <w:vAlign w:val="center"/>
          </w:tcPr>
          <w:p w14:paraId="6DE0E205" w14:textId="77777777" w:rsidR="00031123" w:rsidRPr="00456281" w:rsidRDefault="00031123" w:rsidP="00031123">
            <w:pPr>
              <w:pStyle w:val="Tabletext"/>
              <w:keepNext/>
              <w:keepLines/>
              <w:jc w:val="center"/>
              <w:rPr>
                <w:rFonts w:ascii="Times" w:hAnsi="Times"/>
              </w:rPr>
            </w:pPr>
            <w:r w:rsidRPr="00456281">
              <w:rPr>
                <w:szCs w:val="20"/>
              </w:rPr>
              <w:t>0.1618 LYs</w:t>
            </w:r>
          </w:p>
        </w:tc>
        <w:tc>
          <w:tcPr>
            <w:tcW w:w="891" w:type="pct"/>
            <w:shd w:val="clear" w:color="auto" w:fill="FFFFFF" w:themeFill="background1"/>
            <w:vAlign w:val="center"/>
          </w:tcPr>
          <w:p w14:paraId="674BC64F" w14:textId="080D2E42" w:rsidR="00031123" w:rsidRPr="00456281" w:rsidRDefault="00031123" w:rsidP="00031123">
            <w:pPr>
              <w:pStyle w:val="Tabletext"/>
              <w:keepNext/>
              <w:keepLines/>
              <w:jc w:val="center"/>
              <w:rPr>
                <w:rFonts w:ascii="Times" w:hAnsi="Times"/>
              </w:rPr>
            </w:pPr>
            <w:r w:rsidRPr="00F16C78">
              <w:rPr>
                <w:color w:val="000000"/>
                <w:spacing w:val="72"/>
                <w:szCs w:val="20"/>
                <w:shd w:val="solid" w:color="000000" w:fill="000000"/>
                <w:fitText w:val="388" w:id="-961860864"/>
                <w14:textFill>
                  <w14:solidFill>
                    <w14:srgbClr w14:val="000000">
                      <w14:alpha w14:val="100000"/>
                    </w14:srgbClr>
                  </w14:solidFill>
                </w14:textFill>
              </w:rPr>
              <w:t>|||</w:t>
            </w:r>
            <w:r w:rsidRPr="00F16C78">
              <w:rPr>
                <w:color w:val="000000"/>
                <w:spacing w:val="2"/>
                <w:szCs w:val="20"/>
                <w:shd w:val="solid" w:color="000000" w:fill="000000"/>
                <w:fitText w:val="388" w:id="-961860864"/>
                <w14:textFill>
                  <w14:solidFill>
                    <w14:srgbClr w14:val="000000">
                      <w14:alpha w14:val="100000"/>
                    </w14:srgbClr>
                  </w14:solidFill>
                </w14:textFill>
              </w:rPr>
              <w:t>|</w:t>
            </w:r>
            <w:r w:rsidRPr="00D21B8B">
              <w:rPr>
                <w:iCs/>
                <w:szCs w:val="20"/>
                <w:vertAlign w:val="superscript"/>
              </w:rPr>
              <w:t>1</w:t>
            </w:r>
            <w:r w:rsidRPr="00456281">
              <w:rPr>
                <w:szCs w:val="20"/>
              </w:rPr>
              <w:t xml:space="preserve"> / LY gained</w:t>
            </w:r>
          </w:p>
        </w:tc>
      </w:tr>
      <w:tr w:rsidR="00873E01" w:rsidRPr="00456281" w14:paraId="31A6FA1D" w14:textId="77777777" w:rsidTr="00031123">
        <w:trPr>
          <w:cantSplit/>
        </w:trPr>
        <w:tc>
          <w:tcPr>
            <w:tcW w:w="668" w:type="pct"/>
            <w:vMerge w:val="restart"/>
            <w:shd w:val="clear" w:color="auto" w:fill="FFFFFF" w:themeFill="background1"/>
            <w:vAlign w:val="center"/>
          </w:tcPr>
          <w:p w14:paraId="68BCA28E" w14:textId="77777777" w:rsidR="00873E01" w:rsidRPr="00456281" w:rsidRDefault="00873E01" w:rsidP="00031123">
            <w:pPr>
              <w:pStyle w:val="Tabletext"/>
              <w:keepNext/>
              <w:keepLines/>
              <w:jc w:val="center"/>
            </w:pPr>
            <w:bookmarkStart w:id="134" w:name="_Hlk159857666"/>
            <w:r w:rsidRPr="00456281">
              <w:rPr>
                <w:b/>
              </w:rPr>
              <w:t>Step 3: Modelled analysis (QALYs)</w:t>
            </w:r>
            <w:r w:rsidRPr="00456281">
              <w:rPr>
                <w:b/>
                <w:vertAlign w:val="superscript"/>
              </w:rPr>
              <w:t>a</w:t>
            </w:r>
          </w:p>
        </w:tc>
        <w:tc>
          <w:tcPr>
            <w:tcW w:w="1696" w:type="pct"/>
            <w:gridSpan w:val="3"/>
            <w:shd w:val="clear" w:color="auto" w:fill="auto"/>
            <w:vAlign w:val="center"/>
          </w:tcPr>
          <w:p w14:paraId="27B5005F" w14:textId="77777777" w:rsidR="00873E01" w:rsidRPr="00456281" w:rsidRDefault="00873E01" w:rsidP="00031123">
            <w:pPr>
              <w:pStyle w:val="Tabletext"/>
              <w:keepNext/>
              <w:keepLines/>
              <w:jc w:val="center"/>
            </w:pPr>
            <w:r w:rsidRPr="00456281">
              <w:t>As above</w:t>
            </w:r>
          </w:p>
        </w:tc>
        <w:tc>
          <w:tcPr>
            <w:tcW w:w="1744" w:type="pct"/>
            <w:gridSpan w:val="3"/>
            <w:shd w:val="clear" w:color="auto" w:fill="FFFFFF" w:themeFill="background1"/>
            <w:vAlign w:val="center"/>
          </w:tcPr>
          <w:p w14:paraId="65DC0DBB" w14:textId="77777777" w:rsidR="00873E01" w:rsidRPr="00456281" w:rsidRDefault="00873E01" w:rsidP="00031123">
            <w:pPr>
              <w:pStyle w:val="Tabletext"/>
              <w:keepNext/>
              <w:keepLines/>
              <w:jc w:val="center"/>
            </w:pPr>
            <w:r w:rsidRPr="00456281">
              <w:t xml:space="preserve">Transformation using utility values </w:t>
            </w:r>
          </w:p>
        </w:tc>
        <w:tc>
          <w:tcPr>
            <w:tcW w:w="891" w:type="pct"/>
            <w:shd w:val="clear" w:color="auto" w:fill="FFFFFF" w:themeFill="background1"/>
            <w:vAlign w:val="center"/>
          </w:tcPr>
          <w:p w14:paraId="4607BB3D" w14:textId="77777777" w:rsidR="00873E01" w:rsidRPr="00456281" w:rsidRDefault="00873E01" w:rsidP="00031123">
            <w:pPr>
              <w:pStyle w:val="Tabletext"/>
              <w:keepNext/>
              <w:keepLines/>
              <w:jc w:val="center"/>
            </w:pPr>
          </w:p>
        </w:tc>
      </w:tr>
      <w:tr w:rsidR="00031123" w:rsidRPr="00456281" w14:paraId="6D2B8EF7" w14:textId="77777777" w:rsidTr="00031123">
        <w:trPr>
          <w:cantSplit/>
        </w:trPr>
        <w:tc>
          <w:tcPr>
            <w:tcW w:w="668" w:type="pct"/>
            <w:vMerge/>
            <w:shd w:val="clear" w:color="auto" w:fill="FFFFFF" w:themeFill="background1"/>
            <w:vAlign w:val="center"/>
          </w:tcPr>
          <w:p w14:paraId="6DD5F40A" w14:textId="77777777" w:rsidR="00031123" w:rsidRPr="00456281" w:rsidRDefault="00031123" w:rsidP="00031123">
            <w:pPr>
              <w:pStyle w:val="Tabletext"/>
              <w:keepNext/>
              <w:keepLines/>
              <w:jc w:val="center"/>
              <w:rPr>
                <w:b/>
              </w:rPr>
            </w:pPr>
          </w:p>
        </w:tc>
        <w:tc>
          <w:tcPr>
            <w:tcW w:w="521" w:type="pct"/>
            <w:shd w:val="clear" w:color="auto" w:fill="auto"/>
            <w:vAlign w:val="center"/>
          </w:tcPr>
          <w:p w14:paraId="440004BD" w14:textId="720959AD" w:rsidR="00031123" w:rsidRPr="009C3CBE" w:rsidRDefault="00031123" w:rsidP="00031123">
            <w:pPr>
              <w:pStyle w:val="Tabletext"/>
              <w:keepNext/>
              <w:keepLines/>
              <w:jc w:val="center"/>
              <w:rPr>
                <w:rFonts w:ascii="Times" w:hAnsi="Times"/>
                <w:highlight w:val="lightGray"/>
              </w:rPr>
            </w:pPr>
            <w:r w:rsidRPr="00FA61DE">
              <w:rPr>
                <w:iCs/>
                <w:color w:val="000000"/>
                <w:spacing w:val="72"/>
                <w:szCs w:val="20"/>
                <w:shd w:val="solid" w:color="000000" w:fill="000000"/>
                <w14:textFill>
                  <w14:solidFill>
                    <w14:srgbClr w14:val="000000">
                      <w14:alpha w14:val="100000"/>
                    </w14:srgbClr>
                  </w14:solidFill>
                </w14:textFill>
              </w:rPr>
              <w:t>|||</w:t>
            </w:r>
            <w:r w:rsidRPr="00FA61DE">
              <w:rPr>
                <w:iCs/>
                <w:color w:val="000000"/>
                <w:spacing w:val="2"/>
                <w:szCs w:val="20"/>
                <w:shd w:val="solid" w:color="000000" w:fill="000000"/>
                <w14:textFill>
                  <w14:solidFill>
                    <w14:srgbClr w14:val="000000">
                      <w14:alpha w14:val="100000"/>
                    </w14:srgbClr>
                  </w14:solidFill>
                </w14:textFill>
              </w:rPr>
              <w:t>|</w:t>
            </w:r>
          </w:p>
        </w:tc>
        <w:tc>
          <w:tcPr>
            <w:tcW w:w="618" w:type="pct"/>
            <w:shd w:val="clear" w:color="auto" w:fill="auto"/>
            <w:vAlign w:val="center"/>
          </w:tcPr>
          <w:p w14:paraId="4FC2B015" w14:textId="13A3DE8C" w:rsidR="00031123" w:rsidRPr="009C3CBE" w:rsidRDefault="00031123" w:rsidP="00031123">
            <w:pPr>
              <w:pStyle w:val="Tabletext"/>
              <w:keepNext/>
              <w:keepLines/>
              <w:jc w:val="center"/>
              <w:rPr>
                <w:rFonts w:ascii="Times" w:hAnsi="Times"/>
                <w:highlight w:val="lightGray"/>
              </w:rPr>
            </w:pPr>
            <w:r w:rsidRPr="00FA61DE">
              <w:rPr>
                <w:iCs/>
                <w:color w:val="000000"/>
                <w:spacing w:val="72"/>
                <w:szCs w:val="20"/>
                <w:shd w:val="solid" w:color="000000" w:fill="000000"/>
                <w14:textFill>
                  <w14:solidFill>
                    <w14:srgbClr w14:val="000000">
                      <w14:alpha w14:val="100000"/>
                    </w14:srgbClr>
                  </w14:solidFill>
                </w14:textFill>
              </w:rPr>
              <w:t>|||</w:t>
            </w:r>
            <w:r w:rsidRPr="00FA61DE">
              <w:rPr>
                <w:iCs/>
                <w:color w:val="000000"/>
                <w:spacing w:val="2"/>
                <w:szCs w:val="20"/>
                <w:shd w:val="solid" w:color="000000" w:fill="000000"/>
                <w14:textFill>
                  <w14:solidFill>
                    <w14:srgbClr w14:val="000000">
                      <w14:alpha w14:val="100000"/>
                    </w14:srgbClr>
                  </w14:solidFill>
                </w14:textFill>
              </w:rPr>
              <w:t>|</w:t>
            </w:r>
          </w:p>
        </w:tc>
        <w:tc>
          <w:tcPr>
            <w:tcW w:w="557" w:type="pct"/>
            <w:shd w:val="clear" w:color="auto" w:fill="auto"/>
            <w:vAlign w:val="center"/>
          </w:tcPr>
          <w:p w14:paraId="7AEA0545" w14:textId="7DA54553" w:rsidR="00031123" w:rsidRPr="009C3CBE" w:rsidRDefault="00031123" w:rsidP="00031123">
            <w:pPr>
              <w:pStyle w:val="Tabletext"/>
              <w:keepNext/>
              <w:keepLines/>
              <w:jc w:val="center"/>
              <w:rPr>
                <w:rFonts w:ascii="Times" w:hAnsi="Times"/>
                <w:highlight w:val="lightGray"/>
              </w:rPr>
            </w:pPr>
            <w:r w:rsidRPr="00FA61DE">
              <w:rPr>
                <w:iCs/>
                <w:color w:val="000000"/>
                <w:spacing w:val="72"/>
                <w:szCs w:val="20"/>
                <w:shd w:val="solid" w:color="000000" w:fill="000000"/>
                <w14:textFill>
                  <w14:solidFill>
                    <w14:srgbClr w14:val="000000">
                      <w14:alpha w14:val="100000"/>
                    </w14:srgbClr>
                  </w14:solidFill>
                </w14:textFill>
              </w:rPr>
              <w:t>|||</w:t>
            </w:r>
            <w:r w:rsidRPr="00FA61DE">
              <w:rPr>
                <w:iCs/>
                <w:color w:val="000000"/>
                <w:spacing w:val="2"/>
                <w:szCs w:val="20"/>
                <w:shd w:val="solid" w:color="000000" w:fill="000000"/>
                <w14:textFill>
                  <w14:solidFill>
                    <w14:srgbClr w14:val="000000">
                      <w14:alpha w14:val="100000"/>
                    </w14:srgbClr>
                  </w14:solidFill>
                </w14:textFill>
              </w:rPr>
              <w:t>|</w:t>
            </w:r>
          </w:p>
        </w:tc>
        <w:tc>
          <w:tcPr>
            <w:tcW w:w="521" w:type="pct"/>
            <w:shd w:val="clear" w:color="auto" w:fill="FFFFFF" w:themeFill="background1"/>
            <w:vAlign w:val="center"/>
          </w:tcPr>
          <w:p w14:paraId="7ED91AA1" w14:textId="77777777" w:rsidR="00031123" w:rsidRPr="00456281" w:rsidRDefault="00031123" w:rsidP="00031123">
            <w:pPr>
              <w:pStyle w:val="Tabletext"/>
              <w:keepNext/>
              <w:keepLines/>
              <w:jc w:val="center"/>
            </w:pPr>
            <w:r w:rsidRPr="00456281">
              <w:rPr>
                <w:szCs w:val="20"/>
              </w:rPr>
              <w:t>0.8972 QALYs</w:t>
            </w:r>
          </w:p>
        </w:tc>
        <w:tc>
          <w:tcPr>
            <w:tcW w:w="560" w:type="pct"/>
            <w:shd w:val="clear" w:color="auto" w:fill="FFFFFF" w:themeFill="background1"/>
            <w:vAlign w:val="center"/>
          </w:tcPr>
          <w:p w14:paraId="69DF8859" w14:textId="77777777" w:rsidR="00031123" w:rsidRPr="00456281" w:rsidRDefault="00031123" w:rsidP="00031123">
            <w:pPr>
              <w:pStyle w:val="Tabletext"/>
              <w:keepNext/>
              <w:keepLines/>
              <w:jc w:val="center"/>
            </w:pPr>
            <w:r w:rsidRPr="00456281">
              <w:rPr>
                <w:szCs w:val="20"/>
              </w:rPr>
              <w:t>0.7584 QALYs</w:t>
            </w:r>
          </w:p>
        </w:tc>
        <w:tc>
          <w:tcPr>
            <w:tcW w:w="663" w:type="pct"/>
            <w:shd w:val="clear" w:color="auto" w:fill="FFFFFF" w:themeFill="background1"/>
            <w:vAlign w:val="center"/>
          </w:tcPr>
          <w:p w14:paraId="3F7EB3E5" w14:textId="77777777" w:rsidR="00031123" w:rsidRPr="00456281" w:rsidRDefault="00031123" w:rsidP="00031123">
            <w:pPr>
              <w:pStyle w:val="Tabletext"/>
              <w:keepNext/>
              <w:keepLines/>
              <w:jc w:val="center"/>
            </w:pPr>
            <w:r w:rsidRPr="00456281">
              <w:rPr>
                <w:szCs w:val="20"/>
              </w:rPr>
              <w:t>0.1388 QALYs</w:t>
            </w:r>
          </w:p>
        </w:tc>
        <w:tc>
          <w:tcPr>
            <w:tcW w:w="891" w:type="pct"/>
            <w:shd w:val="clear" w:color="auto" w:fill="FFFFFF" w:themeFill="background1"/>
            <w:vAlign w:val="center"/>
          </w:tcPr>
          <w:p w14:paraId="7AC831CD" w14:textId="5F0D4304" w:rsidR="00031123" w:rsidRPr="00456281" w:rsidRDefault="00031123" w:rsidP="00031123">
            <w:pPr>
              <w:pStyle w:val="Tabletext"/>
              <w:keepNext/>
              <w:keepLines/>
              <w:jc w:val="center"/>
              <w:rPr>
                <w:rFonts w:ascii="Times" w:hAnsi="Times"/>
              </w:rPr>
            </w:pPr>
            <w:r w:rsidRPr="00F16C78">
              <w:rPr>
                <w:color w:val="000000"/>
                <w:spacing w:val="55"/>
                <w:szCs w:val="20"/>
                <w:shd w:val="solid" w:color="000000" w:fill="000000"/>
                <w:fitText w:val="238" w:id="-961860860"/>
                <w14:textFill>
                  <w14:solidFill>
                    <w14:srgbClr w14:val="000000">
                      <w14:alpha w14:val="100000"/>
                    </w14:srgbClr>
                  </w14:solidFill>
                </w14:textFill>
              </w:rPr>
              <w:t>||</w:t>
            </w:r>
            <w:r w:rsidRPr="00F16C78">
              <w:rPr>
                <w:color w:val="000000"/>
                <w:spacing w:val="1"/>
                <w:szCs w:val="20"/>
                <w:shd w:val="solid" w:color="000000" w:fill="000000"/>
                <w:fitText w:val="238" w:id="-961860860"/>
                <w14:textFill>
                  <w14:solidFill>
                    <w14:srgbClr w14:val="000000">
                      <w14:alpha w14:val="100000"/>
                    </w14:srgbClr>
                  </w14:solidFill>
                </w14:textFill>
              </w:rPr>
              <w:t>|</w:t>
            </w:r>
            <w:r w:rsidRPr="00D21B8B">
              <w:rPr>
                <w:iCs/>
                <w:szCs w:val="20"/>
                <w:vertAlign w:val="superscript"/>
              </w:rPr>
              <w:t>1</w:t>
            </w:r>
            <w:r w:rsidRPr="00456281">
              <w:rPr>
                <w:szCs w:val="20"/>
              </w:rPr>
              <w:t xml:space="preserve"> / QALY gained</w:t>
            </w:r>
          </w:p>
        </w:tc>
      </w:tr>
    </w:tbl>
    <w:p w14:paraId="3B187F8F" w14:textId="77777777" w:rsidR="00873E01" w:rsidRPr="00456281" w:rsidRDefault="00873E01" w:rsidP="00031123">
      <w:pPr>
        <w:pStyle w:val="FooterTableFigure"/>
        <w:keepNext/>
        <w:keepLines/>
        <w:spacing w:after="0"/>
      </w:pPr>
      <w:r w:rsidRPr="00456281">
        <w:t>Source: Table 58, p151 of the submission</w:t>
      </w:r>
    </w:p>
    <w:p w14:paraId="35E26518" w14:textId="77777777" w:rsidR="00873E01" w:rsidRPr="00456281" w:rsidRDefault="00873E01" w:rsidP="00031123">
      <w:pPr>
        <w:pStyle w:val="FooterTableFigure"/>
        <w:keepNext/>
        <w:keepLines/>
        <w:widowControl w:val="0"/>
        <w:spacing w:after="0"/>
      </w:pPr>
      <w:r w:rsidRPr="00456281">
        <w:t>Abbreviations: AEs, adverse events; Gem+NabP, gemcitabine plus nanoparticle albumin-bound paclitaxel; ICER, incremental cost-effectiveness ratio; LY, life-year; NALIRIFOX, nanoliposomal irinotecan (nal-IRI) in combination with 5-fluorouracil, leucovorin/folinic acid, and oxaliplatin; QALYs, quality-adjusted life-years.</w:t>
      </w:r>
    </w:p>
    <w:p w14:paraId="494D22E2" w14:textId="77777777" w:rsidR="00873E01" w:rsidRDefault="00873E01" w:rsidP="00031123">
      <w:pPr>
        <w:pStyle w:val="FooterTableFigure"/>
        <w:keepNext/>
        <w:keepLines/>
        <w:spacing w:after="0"/>
      </w:pPr>
      <w:r w:rsidRPr="00456281">
        <w:rPr>
          <w:vertAlign w:val="superscript"/>
        </w:rPr>
        <w:t>a</w:t>
      </w:r>
      <w:r w:rsidRPr="00456281">
        <w:t xml:space="preserve"> Time horizon of 5 years</w:t>
      </w:r>
    </w:p>
    <w:p w14:paraId="1091F6E0" w14:textId="77777777" w:rsidR="00082F5E" w:rsidRPr="00082F5E" w:rsidRDefault="00082F5E" w:rsidP="00031123">
      <w:pPr>
        <w:pStyle w:val="FooterTableFigure"/>
        <w:keepNext/>
        <w:keepLines/>
        <w:spacing w:after="0"/>
        <w:rPr>
          <w:i/>
          <w:iCs/>
        </w:rPr>
      </w:pPr>
      <w:bookmarkStart w:id="135" w:name="_Hlk166834388"/>
      <w:r w:rsidRPr="00082F5E">
        <w:rPr>
          <w:i/>
          <w:iCs/>
        </w:rPr>
        <w:t>The redacted values correspond to the following ranges:</w:t>
      </w:r>
    </w:p>
    <w:p w14:paraId="57F23EB2" w14:textId="4CAB372A" w:rsidR="00082F5E" w:rsidRPr="00031123" w:rsidRDefault="00082F5E" w:rsidP="00873E01">
      <w:pPr>
        <w:pStyle w:val="FooterTableFigure"/>
        <w:rPr>
          <w:i/>
          <w:iCs/>
        </w:rPr>
      </w:pPr>
      <w:r w:rsidRPr="00082F5E">
        <w:rPr>
          <w:i/>
          <w:iCs/>
          <w:vertAlign w:val="superscript"/>
        </w:rPr>
        <w:t>1</w:t>
      </w:r>
      <w:r w:rsidRPr="00082F5E">
        <w:rPr>
          <w:i/>
          <w:iCs/>
        </w:rPr>
        <w:t xml:space="preserve"> $25,000 to &lt; $35,000</w:t>
      </w:r>
      <w:bookmarkEnd w:id="135"/>
    </w:p>
    <w:bookmarkEnd w:id="131"/>
    <w:bookmarkEnd w:id="134"/>
    <w:p w14:paraId="6DA4D391" w14:textId="77777777" w:rsidR="00873E01" w:rsidRPr="00456281" w:rsidRDefault="00873E01" w:rsidP="00873E01">
      <w:pPr>
        <w:pStyle w:val="3-BodyText"/>
      </w:pPr>
      <w:r w:rsidRPr="00456281">
        <w:t>The results of the economic evaluation should be interpreted with caution because:</w:t>
      </w:r>
    </w:p>
    <w:p w14:paraId="67554D1F" w14:textId="5347468B" w:rsidR="00873E01" w:rsidRPr="00456281" w:rsidRDefault="00873E01" w:rsidP="00690769">
      <w:pPr>
        <w:pStyle w:val="3-BodyText"/>
        <w:numPr>
          <w:ilvl w:val="0"/>
          <w:numId w:val="16"/>
        </w:numPr>
      </w:pPr>
      <w:r w:rsidRPr="00456281">
        <w:t xml:space="preserve">The NALIRIFOX and Gem+NabP OS curves from the NAPOLI-3 trial had substantial overlap in their 95% CI and this measure of uncertainty </w:t>
      </w:r>
      <w:r w:rsidR="005624AC" w:rsidRPr="00456281">
        <w:t xml:space="preserve">is </w:t>
      </w:r>
      <w:r w:rsidRPr="00456281">
        <w:t>not reflected in the results presented.</w:t>
      </w:r>
    </w:p>
    <w:p w14:paraId="4E7C8A62" w14:textId="0F6D3629" w:rsidR="00873E01" w:rsidRPr="00456281" w:rsidRDefault="00873E01" w:rsidP="00690769">
      <w:pPr>
        <w:pStyle w:val="3-BodyText"/>
        <w:numPr>
          <w:ilvl w:val="0"/>
          <w:numId w:val="16"/>
        </w:numPr>
      </w:pPr>
      <w:r w:rsidRPr="00456281">
        <w:t xml:space="preserve">The selective extrapolation </w:t>
      </w:r>
      <w:r w:rsidR="00E0221E" w:rsidRPr="00456281">
        <w:t xml:space="preserve">of </w:t>
      </w:r>
      <w:r w:rsidRPr="00456281">
        <w:t xml:space="preserve">time points and </w:t>
      </w:r>
      <w:r w:rsidR="00E0221E" w:rsidRPr="00456281">
        <w:t xml:space="preserve">underestimation of the </w:t>
      </w:r>
      <w:r w:rsidRPr="00456281">
        <w:t>cost of managing AEs favours NALIRIFOX.</w:t>
      </w:r>
    </w:p>
    <w:p w14:paraId="1AD5AF90" w14:textId="77777777" w:rsidR="00873E01" w:rsidRPr="00456281" w:rsidRDefault="00873E01" w:rsidP="00690769">
      <w:pPr>
        <w:pStyle w:val="3-BodyText"/>
        <w:numPr>
          <w:ilvl w:val="0"/>
          <w:numId w:val="16"/>
        </w:numPr>
      </w:pPr>
      <w:r w:rsidRPr="00456281">
        <w:t>The presumed constant treatment effect over time (uncertainty in meeting proportional hazards assumption) favours NALIRIFOX.</w:t>
      </w:r>
    </w:p>
    <w:p w14:paraId="12BCF89D" w14:textId="399D6398" w:rsidR="00873E01" w:rsidRPr="00456281" w:rsidRDefault="00873E01" w:rsidP="00690769">
      <w:pPr>
        <w:pStyle w:val="3-BodyText"/>
        <w:numPr>
          <w:ilvl w:val="0"/>
          <w:numId w:val="16"/>
        </w:numPr>
      </w:pPr>
      <w:r w:rsidRPr="00456281">
        <w:t>There was uncertain</w:t>
      </w:r>
      <w:r w:rsidR="00E0221E" w:rsidRPr="00456281">
        <w:t>ty</w:t>
      </w:r>
      <w:r w:rsidRPr="00456281">
        <w:t xml:space="preserve"> in how </w:t>
      </w:r>
      <w:r w:rsidR="00D776E8" w:rsidRPr="00456281">
        <w:t>utility values</w:t>
      </w:r>
      <w:r w:rsidRPr="00456281">
        <w:t xml:space="preserve"> </w:t>
      </w:r>
      <w:r w:rsidR="00E0221E" w:rsidRPr="00456281">
        <w:t xml:space="preserve">for the health states were derived </w:t>
      </w:r>
      <w:r w:rsidRPr="00456281">
        <w:t>from the NAPOLI-3 trial</w:t>
      </w:r>
      <w:r w:rsidR="00E0221E" w:rsidRPr="00456281">
        <w:t>,</w:t>
      </w:r>
      <w:r w:rsidRPr="00456281">
        <w:t xml:space="preserve"> and </w:t>
      </w:r>
      <w:r w:rsidR="00E0221E" w:rsidRPr="00456281">
        <w:t xml:space="preserve">these </w:t>
      </w:r>
      <w:r w:rsidRPr="00456281">
        <w:t xml:space="preserve">were higher than those reported in the literature. </w:t>
      </w:r>
      <w:r w:rsidR="00D776E8" w:rsidRPr="00456281">
        <w:t>This favours</w:t>
      </w:r>
      <w:r w:rsidRPr="00456281">
        <w:t xml:space="preserve"> NALIRIFOX.</w:t>
      </w:r>
    </w:p>
    <w:p w14:paraId="769A5594" w14:textId="6E1063B4" w:rsidR="00873E01" w:rsidRPr="00456281" w:rsidRDefault="00873E01" w:rsidP="00690769">
      <w:pPr>
        <w:pStyle w:val="3-BodyText"/>
        <w:numPr>
          <w:ilvl w:val="0"/>
          <w:numId w:val="16"/>
        </w:numPr>
      </w:pPr>
      <w:r w:rsidRPr="00456281">
        <w:t>The</w:t>
      </w:r>
      <w:r w:rsidR="00E0221E" w:rsidRPr="00456281">
        <w:t>re was</w:t>
      </w:r>
      <w:r w:rsidRPr="00456281">
        <w:t xml:space="preserve"> uncertainty in </w:t>
      </w:r>
      <w:r w:rsidR="00E0221E" w:rsidRPr="00456281">
        <w:t xml:space="preserve">the </w:t>
      </w:r>
      <w:r w:rsidRPr="00456281">
        <w:t xml:space="preserve">therapeutic claim of </w:t>
      </w:r>
      <w:r w:rsidR="00E0221E" w:rsidRPr="00456281">
        <w:t xml:space="preserve">superior effectiveness of </w:t>
      </w:r>
      <w:r w:rsidRPr="00456281">
        <w:t>NALIRIFOX over FOLFIRINOX</w:t>
      </w:r>
      <w:r w:rsidR="00E0221E" w:rsidRPr="00456281">
        <w:t>,</w:t>
      </w:r>
      <w:r w:rsidRPr="00456281">
        <w:t xml:space="preserve"> which has an impact on how FOLFIRINOX is modelled. </w:t>
      </w:r>
    </w:p>
    <w:p w14:paraId="2BEE0253" w14:textId="255AC3A0" w:rsidR="00873E01" w:rsidRPr="00456281" w:rsidRDefault="00873E01" w:rsidP="00873E01">
      <w:pPr>
        <w:pStyle w:val="3-BodyText"/>
        <w:rPr>
          <w:i/>
          <w:iCs/>
        </w:rPr>
      </w:pPr>
      <w:r w:rsidRPr="00456281">
        <w:t>These results were based on the published prices of the comparator</w:t>
      </w:r>
      <w:r w:rsidR="00CB776A" w:rsidRPr="00456281">
        <w:t>s</w:t>
      </w:r>
      <w:r w:rsidRPr="00456281">
        <w:rPr>
          <w:i/>
        </w:rPr>
        <w:t xml:space="preserve">. </w:t>
      </w:r>
      <w:bookmarkStart w:id="136" w:name="_Hlk159350394"/>
      <w:r w:rsidRPr="00456281">
        <w:t xml:space="preserve">The results of key univariate and multivariate sensitivity analyses are summarised in </w:t>
      </w:r>
      <w:r w:rsidRPr="00456281">
        <w:fldChar w:fldCharType="begin"/>
      </w:r>
      <w:r w:rsidRPr="00456281">
        <w:instrText xml:space="preserve"> REF _Ref104804865 \h </w:instrText>
      </w:r>
      <w:r w:rsidRPr="00456281">
        <w:fldChar w:fldCharType="separate"/>
      </w:r>
      <w:r w:rsidR="00EE5AD4" w:rsidRPr="00456281">
        <w:t xml:space="preserve">Table </w:t>
      </w:r>
      <w:r w:rsidR="00EE5AD4">
        <w:rPr>
          <w:noProof/>
        </w:rPr>
        <w:t>17</w:t>
      </w:r>
      <w:r w:rsidRPr="00456281">
        <w:fldChar w:fldCharType="end"/>
      </w:r>
      <w:r w:rsidRPr="00456281">
        <w:t>.</w:t>
      </w:r>
    </w:p>
    <w:p w14:paraId="3C282F1B" w14:textId="1883D8E5" w:rsidR="005D01D2" w:rsidRPr="00456281" w:rsidRDefault="00C91470" w:rsidP="00D50597">
      <w:pPr>
        <w:pStyle w:val="3-BodyText"/>
      </w:pPr>
      <w:bookmarkStart w:id="137" w:name="_Ref159607026"/>
      <w:r w:rsidRPr="00456281">
        <w:t>The ESC advised that a multivariate sensitivity analysis would be informative, including the following changes to the economic model: 1)</w:t>
      </w:r>
      <w:r w:rsidR="001C2CAE">
        <w:t xml:space="preserve"> </w:t>
      </w:r>
      <w:r w:rsidR="00E0221E" w:rsidRPr="00456281">
        <w:t xml:space="preserve">revising the </w:t>
      </w:r>
      <w:r w:rsidRPr="00456281">
        <w:t xml:space="preserve">truncation points for OS and PFS (see paragraph </w:t>
      </w:r>
      <w:r w:rsidRPr="00456281">
        <w:fldChar w:fldCharType="begin"/>
      </w:r>
      <w:r w:rsidRPr="00456281">
        <w:instrText xml:space="preserve"> REF _Ref159604371 \r \h  \* MERGEFORMAT </w:instrText>
      </w:r>
      <w:r w:rsidRPr="00456281">
        <w:fldChar w:fldCharType="separate"/>
      </w:r>
      <w:r w:rsidR="00EE5AD4">
        <w:t>6.72</w:t>
      </w:r>
      <w:r w:rsidRPr="00456281">
        <w:fldChar w:fldCharType="end"/>
      </w:r>
      <w:r w:rsidRPr="00456281">
        <w:t xml:space="preserve">; 2) </w:t>
      </w:r>
      <w:r w:rsidR="00E0221E" w:rsidRPr="00456281">
        <w:t xml:space="preserve">applying the </w:t>
      </w:r>
      <w:r w:rsidRPr="00456281">
        <w:t xml:space="preserve">Gompertz </w:t>
      </w:r>
      <w:r w:rsidR="00E0221E" w:rsidRPr="00456281">
        <w:t xml:space="preserve">function </w:t>
      </w:r>
      <w:r w:rsidRPr="00456281">
        <w:t xml:space="preserve">for OS extrapolation (see paragraph </w:t>
      </w:r>
      <w:r w:rsidRPr="00456281">
        <w:fldChar w:fldCharType="begin"/>
      </w:r>
      <w:r w:rsidRPr="00456281">
        <w:instrText xml:space="preserve"> REF _Ref159604444 \r \h  \* MERGEFORMAT </w:instrText>
      </w:r>
      <w:r w:rsidRPr="00456281">
        <w:fldChar w:fldCharType="separate"/>
      </w:r>
      <w:r w:rsidR="00EE5AD4">
        <w:t>6.74</w:t>
      </w:r>
      <w:r w:rsidRPr="00456281">
        <w:fldChar w:fldCharType="end"/>
      </w:r>
      <w:r w:rsidRPr="00456281">
        <w:t xml:space="preserve">); and 3) </w:t>
      </w:r>
      <w:r w:rsidR="00E0221E" w:rsidRPr="00456281">
        <w:t xml:space="preserve">revising the </w:t>
      </w:r>
      <w:r w:rsidRPr="00456281">
        <w:t xml:space="preserve">AE costs for diarrhoea and mucosal inflammation (see paragraph </w:t>
      </w:r>
      <w:r w:rsidRPr="00456281">
        <w:fldChar w:fldCharType="begin"/>
      </w:r>
      <w:r w:rsidRPr="00456281">
        <w:instrText xml:space="preserve"> REF _Ref159604483 \r \h  \* MERGEFORMAT </w:instrText>
      </w:r>
      <w:r w:rsidRPr="00456281">
        <w:fldChar w:fldCharType="separate"/>
      </w:r>
      <w:r w:rsidR="00EE5AD4">
        <w:t>6.87</w:t>
      </w:r>
      <w:r w:rsidRPr="00456281">
        <w:fldChar w:fldCharType="end"/>
      </w:r>
      <w:r w:rsidRPr="00456281">
        <w:t>); 4)</w:t>
      </w:r>
      <w:r w:rsidR="001C2CAE">
        <w:t xml:space="preserve"> </w:t>
      </w:r>
      <w:r w:rsidR="00E0221E" w:rsidRPr="00456281">
        <w:t xml:space="preserve">applying a </w:t>
      </w:r>
      <w:r w:rsidRPr="00456281">
        <w:t xml:space="preserve">mixed comparator approach based on alternative scenario 1 assuming FOLFIRINOX efficacy from Conroy 2011. </w:t>
      </w:r>
      <w:r w:rsidR="004D79A7" w:rsidRPr="00456281">
        <w:t>R</w:t>
      </w:r>
      <w:r w:rsidRPr="00456281">
        <w:t xml:space="preserve">esults are provided in </w:t>
      </w:r>
      <w:r w:rsidRPr="00456281">
        <w:fldChar w:fldCharType="begin"/>
      </w:r>
      <w:r w:rsidRPr="00456281">
        <w:instrText xml:space="preserve"> REF _Ref104804865 \h  \* MERGEFORMAT </w:instrText>
      </w:r>
      <w:r w:rsidRPr="00456281">
        <w:fldChar w:fldCharType="separate"/>
      </w:r>
      <w:r w:rsidR="00EE5AD4" w:rsidRPr="00456281">
        <w:t xml:space="preserve">Table </w:t>
      </w:r>
      <w:r w:rsidR="00EE5AD4">
        <w:t>17</w:t>
      </w:r>
      <w:r w:rsidRPr="00456281">
        <w:fldChar w:fldCharType="end"/>
      </w:r>
      <w:r w:rsidRPr="00456281">
        <w:t xml:space="preserve"> </w:t>
      </w:r>
      <w:r w:rsidR="004D79A7" w:rsidRPr="00456281">
        <w:t>assuming</w:t>
      </w:r>
      <w:r w:rsidRPr="00456281">
        <w:t xml:space="preserve"> proportions of use for FOLFIRINOX, ranging </w:t>
      </w:r>
      <w:r w:rsidR="004D79A7" w:rsidRPr="00456281">
        <w:t>from</w:t>
      </w:r>
      <w:r w:rsidRPr="00456281">
        <w:t xml:space="preserve"> </w:t>
      </w:r>
      <w:r w:rsidR="004D79A7" w:rsidRPr="00456281">
        <w:t>0%</w:t>
      </w:r>
      <w:r w:rsidRPr="00456281">
        <w:t xml:space="preserve"> to 100%</w:t>
      </w:r>
      <w:bookmarkEnd w:id="137"/>
      <w:r w:rsidR="009C3CBE" w:rsidRPr="00456281">
        <w:t xml:space="preserve">. </w:t>
      </w:r>
    </w:p>
    <w:p w14:paraId="154BE31D" w14:textId="23D6EFEE" w:rsidR="00C91470" w:rsidRPr="00456281" w:rsidRDefault="005D01D2" w:rsidP="00D50597">
      <w:pPr>
        <w:pStyle w:val="3-BodyText"/>
      </w:pPr>
      <w:bookmarkStart w:id="138" w:name="_Ref159607028"/>
      <w:r w:rsidRPr="00456281">
        <w:lastRenderedPageBreak/>
        <w:t>T</w:t>
      </w:r>
      <w:r w:rsidR="004D79A7" w:rsidRPr="00456281">
        <w:t xml:space="preserve">he ESC also noted that </w:t>
      </w:r>
      <w:r w:rsidR="00C91470" w:rsidRPr="00456281">
        <w:t xml:space="preserve">the superiority of NALIRIFOX over FOLFIRINOX </w:t>
      </w:r>
      <w:r w:rsidRPr="00456281">
        <w:t xml:space="preserve">in terms of effectiveness </w:t>
      </w:r>
      <w:r w:rsidR="00C91470" w:rsidRPr="00456281">
        <w:t xml:space="preserve">had </w:t>
      </w:r>
      <w:r w:rsidR="004D79A7" w:rsidRPr="00456281">
        <w:t xml:space="preserve">not </w:t>
      </w:r>
      <w:r w:rsidR="00C91470" w:rsidRPr="00456281">
        <w:t xml:space="preserve">been demonstrated (see paragraph </w:t>
      </w:r>
      <w:r w:rsidR="00C91470" w:rsidRPr="00456281">
        <w:fldChar w:fldCharType="begin"/>
      </w:r>
      <w:r w:rsidR="00C91470" w:rsidRPr="00456281">
        <w:instrText xml:space="preserve"> REF _Ref159310192 \r \h </w:instrText>
      </w:r>
      <w:r w:rsidR="004D79A7" w:rsidRPr="00456281">
        <w:instrText xml:space="preserve"> \* MERGEFORMAT </w:instrText>
      </w:r>
      <w:r w:rsidR="00C91470" w:rsidRPr="00456281">
        <w:fldChar w:fldCharType="separate"/>
      </w:r>
      <w:r w:rsidR="00EE5AD4">
        <w:t>6.59</w:t>
      </w:r>
      <w:r w:rsidR="00C91470" w:rsidRPr="00456281">
        <w:fldChar w:fldCharType="end"/>
      </w:r>
      <w:r w:rsidR="00C91470" w:rsidRPr="00456281">
        <w:t>). Thus, a cost-minimisation approach could be considered for the proportion of patients where FOLFIRINOX is replaced</w:t>
      </w:r>
      <w:r w:rsidR="004D79A7" w:rsidRPr="00456281">
        <w:t xml:space="preserve"> (instead of step 4 above)</w:t>
      </w:r>
      <w:r w:rsidR="009C3CBE" w:rsidRPr="00456281">
        <w:t xml:space="preserve">. </w:t>
      </w:r>
      <w:r w:rsidR="00C91470" w:rsidRPr="00456281">
        <w:t xml:space="preserve">The ESC noted that the proposed drug cost per patient treated with NALIRIFOX was </w:t>
      </w:r>
      <w:r w:rsidRPr="00456281">
        <w:t>approximately</w:t>
      </w:r>
      <w:r w:rsidR="00C91470" w:rsidRPr="00456281">
        <w:t xml:space="preserve"> four times the corresponding cost for FOLFIRINOX ($</w:t>
      </w:r>
      <w:r w:rsidR="00F16C78" w:rsidRPr="00EE5AD4">
        <w:rPr>
          <w:color w:val="000000"/>
          <w:w w:val="15"/>
          <w:shd w:val="solid" w:color="000000" w:fill="000000"/>
          <w:fitText w:val="-20" w:id="-961860859"/>
          <w14:textFill>
            <w14:solidFill>
              <w14:srgbClr w14:val="000000">
                <w14:alpha w14:val="100000"/>
              </w14:srgbClr>
            </w14:solidFill>
          </w14:textFill>
        </w:rPr>
        <w:t xml:space="preserve">|  </w:t>
      </w:r>
      <w:r w:rsidR="00F16C78" w:rsidRPr="00EE5AD4">
        <w:rPr>
          <w:color w:val="000000"/>
          <w:spacing w:val="-69"/>
          <w:w w:val="15"/>
          <w:shd w:val="solid" w:color="000000" w:fill="000000"/>
          <w:fitText w:val="-20" w:id="-961860859"/>
          <w14:textFill>
            <w14:solidFill>
              <w14:srgbClr w14:val="000000">
                <w14:alpha w14:val="100000"/>
              </w14:srgbClr>
            </w14:solidFill>
          </w14:textFill>
        </w:rPr>
        <w:t>|</w:t>
      </w:r>
      <w:r w:rsidR="00C91470" w:rsidRPr="00456281">
        <w:t xml:space="preserve"> compared with $</w:t>
      </w:r>
      <w:r w:rsidR="00F16C78" w:rsidRPr="00EE5AD4">
        <w:rPr>
          <w:color w:val="000000"/>
          <w:w w:val="15"/>
          <w:shd w:val="solid" w:color="000000" w:fill="000000"/>
          <w:fitText w:val="-20" w:id="-961860858"/>
          <w14:textFill>
            <w14:solidFill>
              <w14:srgbClr w14:val="000000">
                <w14:alpha w14:val="100000"/>
              </w14:srgbClr>
            </w14:solidFill>
          </w14:textFill>
        </w:rPr>
        <w:t xml:space="preserve">|  </w:t>
      </w:r>
      <w:r w:rsidR="00F16C78" w:rsidRPr="00EE5AD4">
        <w:rPr>
          <w:color w:val="000000"/>
          <w:spacing w:val="-69"/>
          <w:w w:val="15"/>
          <w:shd w:val="solid" w:color="000000" w:fill="000000"/>
          <w:fitText w:val="-20" w:id="-961860858"/>
          <w14:textFill>
            <w14:solidFill>
              <w14:srgbClr w14:val="000000">
                <w14:alpha w14:val="100000"/>
              </w14:srgbClr>
            </w14:solidFill>
          </w14:textFill>
        </w:rPr>
        <w:t>|</w:t>
      </w:r>
      <w:r w:rsidR="00C91470" w:rsidRPr="00456281">
        <w:t xml:space="preserve">; </w:t>
      </w:r>
      <w:r w:rsidR="00C91470" w:rsidRPr="00456281">
        <w:fldChar w:fldCharType="begin"/>
      </w:r>
      <w:r w:rsidR="00C91470" w:rsidRPr="00456281">
        <w:instrText xml:space="preserve"> REF _Ref153456117 \h  \* MERGEFORMAT </w:instrText>
      </w:r>
      <w:r w:rsidR="00C91470" w:rsidRPr="00456281">
        <w:fldChar w:fldCharType="separate"/>
      </w:r>
      <w:r w:rsidR="00EE5AD4" w:rsidRPr="00456281">
        <w:t xml:space="preserve">Table </w:t>
      </w:r>
      <w:r w:rsidR="00EE5AD4">
        <w:t>18</w:t>
      </w:r>
      <w:r w:rsidR="00C91470" w:rsidRPr="00456281">
        <w:fldChar w:fldCharType="end"/>
      </w:r>
      <w:r w:rsidR="00C91470" w:rsidRPr="00456281">
        <w:t xml:space="preserve">). </w:t>
      </w:r>
      <w:r w:rsidRPr="00456281">
        <w:t>It was noted that</w:t>
      </w:r>
      <w:r w:rsidR="00741BD9" w:rsidRPr="00456281">
        <w:t xml:space="preserve"> the </w:t>
      </w:r>
      <w:r w:rsidR="00C91470" w:rsidRPr="00456281">
        <w:t xml:space="preserve">meta-analysis by Nichetti et al. (2024) </w:t>
      </w:r>
      <w:r w:rsidR="00741BD9" w:rsidRPr="00456281">
        <w:t xml:space="preserve">had </w:t>
      </w:r>
      <w:r w:rsidR="00C91470" w:rsidRPr="00456281">
        <w:t xml:space="preserve">suggested some differences in AE profiles of NALIRIFOX and FOLFIRINOX, </w:t>
      </w:r>
      <w:r w:rsidR="00741BD9" w:rsidRPr="00456281">
        <w:t>however the comparative safety claim had not been supported by the evidence presented in the submission (</w:t>
      </w:r>
      <w:r w:rsidR="004D79A7" w:rsidRPr="00456281">
        <w:t xml:space="preserve">see paragraph </w:t>
      </w:r>
      <w:r w:rsidR="004D79A7" w:rsidRPr="00456281">
        <w:fldChar w:fldCharType="begin"/>
      </w:r>
      <w:r w:rsidR="004D79A7" w:rsidRPr="00456281">
        <w:instrText xml:space="preserve"> REF _Ref159605832 \r \h </w:instrText>
      </w:r>
      <w:r w:rsidR="008D1D33" w:rsidRPr="00456281">
        <w:instrText xml:space="preserve"> \* MERGEFORMAT </w:instrText>
      </w:r>
      <w:r w:rsidR="004D79A7" w:rsidRPr="00456281">
        <w:fldChar w:fldCharType="separate"/>
      </w:r>
      <w:r w:rsidR="00EE5AD4">
        <w:t>6.60</w:t>
      </w:r>
      <w:r w:rsidR="004D79A7" w:rsidRPr="00456281">
        <w:fldChar w:fldCharType="end"/>
      </w:r>
      <w:r w:rsidR="00741BD9" w:rsidRPr="00456281">
        <w:t>)</w:t>
      </w:r>
      <w:r w:rsidR="00C91470" w:rsidRPr="00456281">
        <w:t>.</w:t>
      </w:r>
      <w:r w:rsidRPr="00456281">
        <w:t xml:space="preserve"> The ESC advised it may be relevant to consider differential costs for AEs if adequately supported by clinical evidence.</w:t>
      </w:r>
      <w:bookmarkEnd w:id="138"/>
    </w:p>
    <w:p w14:paraId="636D48AA" w14:textId="3A0E7F92" w:rsidR="00873E01" w:rsidRPr="00456281" w:rsidRDefault="00873E01" w:rsidP="009C2659">
      <w:pPr>
        <w:pStyle w:val="TableFigureHeading"/>
        <w:keepNext w:val="0"/>
        <w:widowControl w:val="0"/>
        <w:rPr>
          <w:rStyle w:val="CommentReference"/>
          <w:rFonts w:cs="Arial"/>
          <w:b/>
          <w:bCs w:val="0"/>
          <w:snapToGrid w:val="0"/>
          <w:szCs w:val="24"/>
        </w:rPr>
      </w:pPr>
      <w:bookmarkStart w:id="139" w:name="_Ref104804865"/>
      <w:r w:rsidRPr="00456281">
        <w:t xml:space="preserve">Table </w:t>
      </w:r>
      <w:r w:rsidR="00B75F7B">
        <w:fldChar w:fldCharType="begin"/>
      </w:r>
      <w:r w:rsidR="00B75F7B">
        <w:instrText xml:space="preserve"> SEQ Table \* ARABIC </w:instrText>
      </w:r>
      <w:r w:rsidR="00B75F7B">
        <w:fldChar w:fldCharType="separate"/>
      </w:r>
      <w:r w:rsidR="00EE5AD4">
        <w:rPr>
          <w:noProof/>
        </w:rPr>
        <w:t>17</w:t>
      </w:r>
      <w:r w:rsidR="00B75F7B">
        <w:fldChar w:fldCharType="end"/>
      </w:r>
      <w:bookmarkEnd w:id="139"/>
      <w:r w:rsidRPr="00456281">
        <w:t>:</w:t>
      </w:r>
      <w:r w:rsidRPr="00456281">
        <w:rPr>
          <w:rStyle w:val="CommentReference"/>
          <w:b/>
          <w:szCs w:val="24"/>
        </w:rPr>
        <w:t xml:space="preserve"> Sensitivity analyses</w:t>
      </w:r>
    </w:p>
    <w:tbl>
      <w:tblPr>
        <w:tblStyle w:val="TableGrid"/>
        <w:tblW w:w="0" w:type="auto"/>
        <w:tblLook w:val="04A0" w:firstRow="1" w:lastRow="0" w:firstColumn="1" w:lastColumn="0" w:noHBand="0" w:noVBand="1"/>
        <w:tblCaption w:val="Table 17: Sensitivity analyses"/>
      </w:tblPr>
      <w:tblGrid>
        <w:gridCol w:w="3712"/>
        <w:gridCol w:w="1446"/>
        <w:gridCol w:w="1360"/>
        <w:gridCol w:w="1399"/>
        <w:gridCol w:w="1080"/>
      </w:tblGrid>
      <w:tr w:rsidR="00873E01" w:rsidRPr="00456281" w14:paraId="0DCF3324" w14:textId="77777777" w:rsidTr="00F16C78">
        <w:trPr>
          <w:cantSplit/>
          <w:tblHeader/>
        </w:trPr>
        <w:tc>
          <w:tcPr>
            <w:tcW w:w="3712" w:type="dxa"/>
            <w:vAlign w:val="center"/>
          </w:tcPr>
          <w:p w14:paraId="728993A5" w14:textId="77777777" w:rsidR="00873E01" w:rsidRPr="00456281" w:rsidRDefault="00873E01" w:rsidP="009C2659">
            <w:pPr>
              <w:pStyle w:val="In-tableHeading"/>
              <w:keepNext w:val="0"/>
              <w:widowControl w:val="0"/>
              <w:rPr>
                <w:szCs w:val="20"/>
                <w:lang w:val="en-AU"/>
              </w:rPr>
            </w:pPr>
            <w:r w:rsidRPr="00456281">
              <w:rPr>
                <w:szCs w:val="20"/>
                <w:lang w:val="en-AU"/>
              </w:rPr>
              <w:t>Variables altered in the sensitivity analysis</w:t>
            </w:r>
          </w:p>
        </w:tc>
        <w:tc>
          <w:tcPr>
            <w:tcW w:w="1446" w:type="dxa"/>
            <w:tcBorders>
              <w:bottom w:val="single" w:sz="4" w:space="0" w:color="auto"/>
            </w:tcBorders>
            <w:vAlign w:val="center"/>
          </w:tcPr>
          <w:p w14:paraId="22F224BE" w14:textId="4564A5ED" w:rsidR="00873E01" w:rsidRPr="00456281" w:rsidRDefault="00873E01" w:rsidP="009C2659">
            <w:pPr>
              <w:pStyle w:val="In-tableHeading"/>
              <w:keepNext w:val="0"/>
              <w:widowControl w:val="0"/>
              <w:jc w:val="center"/>
              <w:rPr>
                <w:szCs w:val="20"/>
                <w:lang w:val="en-AU"/>
              </w:rPr>
            </w:pPr>
            <w:r w:rsidRPr="00456281">
              <w:rPr>
                <w:szCs w:val="20"/>
                <w:lang w:val="en-AU"/>
              </w:rPr>
              <w:t>Incremental costs</w:t>
            </w:r>
            <w:r w:rsidR="00082F5E">
              <w:rPr>
                <w:szCs w:val="20"/>
                <w:lang w:val="en-AU"/>
              </w:rPr>
              <w:t xml:space="preserve"> ($)</w:t>
            </w:r>
          </w:p>
        </w:tc>
        <w:tc>
          <w:tcPr>
            <w:tcW w:w="1360" w:type="dxa"/>
            <w:vAlign w:val="center"/>
          </w:tcPr>
          <w:p w14:paraId="3E7853FB" w14:textId="77777777" w:rsidR="00873E01" w:rsidRPr="00456281" w:rsidRDefault="00873E01" w:rsidP="009C2659">
            <w:pPr>
              <w:pStyle w:val="In-tableHeading"/>
              <w:keepNext w:val="0"/>
              <w:widowControl w:val="0"/>
              <w:jc w:val="center"/>
              <w:rPr>
                <w:szCs w:val="20"/>
                <w:lang w:val="en-AU"/>
              </w:rPr>
            </w:pPr>
            <w:r w:rsidRPr="00456281">
              <w:rPr>
                <w:szCs w:val="20"/>
                <w:lang w:val="en-AU"/>
              </w:rPr>
              <w:t>Incremental QALYs</w:t>
            </w:r>
          </w:p>
        </w:tc>
        <w:tc>
          <w:tcPr>
            <w:tcW w:w="1399" w:type="dxa"/>
            <w:vAlign w:val="center"/>
          </w:tcPr>
          <w:p w14:paraId="293A9E8D" w14:textId="77777777" w:rsidR="00873E01" w:rsidRPr="00456281" w:rsidRDefault="00873E01" w:rsidP="009C2659">
            <w:pPr>
              <w:pStyle w:val="In-tableHeading"/>
              <w:keepNext w:val="0"/>
              <w:widowControl w:val="0"/>
              <w:jc w:val="center"/>
              <w:rPr>
                <w:szCs w:val="20"/>
                <w:lang w:val="en-AU"/>
              </w:rPr>
            </w:pPr>
            <w:r w:rsidRPr="00456281">
              <w:rPr>
                <w:szCs w:val="20"/>
                <w:lang w:val="en-AU"/>
              </w:rPr>
              <w:t>ICER</w:t>
            </w:r>
          </w:p>
          <w:p w14:paraId="48E13CF2" w14:textId="77777777" w:rsidR="00873E01" w:rsidRPr="00456281" w:rsidRDefault="00873E01" w:rsidP="009C2659">
            <w:pPr>
              <w:pStyle w:val="In-tableHeading"/>
              <w:keepNext w:val="0"/>
              <w:widowControl w:val="0"/>
              <w:jc w:val="center"/>
              <w:rPr>
                <w:szCs w:val="20"/>
                <w:lang w:val="en-AU"/>
              </w:rPr>
            </w:pPr>
            <w:r w:rsidRPr="00456281">
              <w:rPr>
                <w:szCs w:val="20"/>
                <w:lang w:val="en-AU"/>
              </w:rPr>
              <w:t>/QALY gained</w:t>
            </w:r>
          </w:p>
        </w:tc>
        <w:tc>
          <w:tcPr>
            <w:tcW w:w="1080" w:type="dxa"/>
            <w:vAlign w:val="center"/>
          </w:tcPr>
          <w:p w14:paraId="03EBF2D3" w14:textId="77777777" w:rsidR="00873E01" w:rsidRPr="00456281" w:rsidRDefault="00873E01" w:rsidP="009C2659">
            <w:pPr>
              <w:pStyle w:val="In-tableHeading"/>
              <w:keepNext w:val="0"/>
              <w:widowControl w:val="0"/>
              <w:jc w:val="center"/>
              <w:rPr>
                <w:szCs w:val="20"/>
                <w:lang w:val="en-AU"/>
              </w:rPr>
            </w:pPr>
            <w:r w:rsidRPr="00456281">
              <w:rPr>
                <w:szCs w:val="20"/>
                <w:lang w:val="en-AU"/>
              </w:rPr>
              <w:t>Change to ICER</w:t>
            </w:r>
          </w:p>
        </w:tc>
      </w:tr>
      <w:tr w:rsidR="00873E01" w:rsidRPr="00456281" w14:paraId="3D55A4EF" w14:textId="77777777" w:rsidTr="00F16C78">
        <w:trPr>
          <w:cantSplit/>
        </w:trPr>
        <w:tc>
          <w:tcPr>
            <w:tcW w:w="3712" w:type="dxa"/>
            <w:vAlign w:val="center"/>
          </w:tcPr>
          <w:p w14:paraId="60E99F2D" w14:textId="77777777" w:rsidR="00873E01" w:rsidRPr="00456281" w:rsidRDefault="00873E01" w:rsidP="009C2659">
            <w:pPr>
              <w:pStyle w:val="In-tableHeading"/>
              <w:keepNext w:val="0"/>
              <w:widowControl w:val="0"/>
              <w:rPr>
                <w:szCs w:val="20"/>
                <w:lang w:val="en-AU"/>
              </w:rPr>
            </w:pPr>
            <w:r w:rsidRPr="00456281">
              <w:rPr>
                <w:bCs/>
                <w:szCs w:val="20"/>
                <w:lang w:val="en-AU"/>
              </w:rPr>
              <w:t xml:space="preserve">Base case </w:t>
            </w:r>
          </w:p>
        </w:tc>
        <w:tc>
          <w:tcPr>
            <w:tcW w:w="1446" w:type="dxa"/>
            <w:shd w:val="solid" w:color="000000" w:fill="000000"/>
            <w:vAlign w:val="center"/>
          </w:tcPr>
          <w:p w14:paraId="7D8C7CE7" w14:textId="6C177742" w:rsidR="00873E01" w:rsidRPr="00456281" w:rsidRDefault="00F16C78" w:rsidP="009C2659">
            <w:pPr>
              <w:pStyle w:val="In-tableHeading"/>
              <w:keepNext w:val="0"/>
              <w:widowControl w:val="0"/>
              <w:jc w:val="center"/>
              <w:rPr>
                <w:szCs w:val="20"/>
                <w:lang w:val="en-AU"/>
              </w:rPr>
            </w:pPr>
            <w:r w:rsidRPr="00F16C78">
              <w:rPr>
                <w:bCs/>
                <w:color w:val="000000"/>
                <w:spacing w:val="71"/>
                <w:szCs w:val="20"/>
                <w:fitText w:val="163" w:id="-961860857"/>
                <w:lang w:val="en-AU"/>
                <w14:textFill>
                  <w14:solidFill>
                    <w14:srgbClr w14:val="000000">
                      <w14:alpha w14:val="100000"/>
                    </w14:srgbClr>
                  </w14:solidFill>
                </w14:textFill>
              </w:rPr>
              <w:t>|</w:t>
            </w:r>
            <w:r w:rsidRPr="00F16C78">
              <w:rPr>
                <w:bCs/>
                <w:color w:val="000000"/>
                <w:szCs w:val="20"/>
                <w:fitText w:val="163" w:id="-961860857"/>
                <w:lang w:val="en-AU"/>
                <w14:textFill>
                  <w14:solidFill>
                    <w14:srgbClr w14:val="000000">
                      <w14:alpha w14:val="100000"/>
                    </w14:srgbClr>
                  </w14:solidFill>
                </w14:textFill>
              </w:rPr>
              <w:t>|</w:t>
            </w:r>
          </w:p>
        </w:tc>
        <w:tc>
          <w:tcPr>
            <w:tcW w:w="1360" w:type="dxa"/>
            <w:vAlign w:val="center"/>
          </w:tcPr>
          <w:p w14:paraId="11A097EA" w14:textId="77777777" w:rsidR="00873E01" w:rsidRPr="00456281" w:rsidRDefault="00873E01" w:rsidP="009C2659">
            <w:pPr>
              <w:pStyle w:val="In-tableHeading"/>
              <w:keepNext w:val="0"/>
              <w:widowControl w:val="0"/>
              <w:jc w:val="center"/>
              <w:rPr>
                <w:szCs w:val="20"/>
                <w:lang w:val="en-AU"/>
              </w:rPr>
            </w:pPr>
            <w:r w:rsidRPr="00456281">
              <w:rPr>
                <w:bCs/>
                <w:szCs w:val="20"/>
                <w:lang w:val="en-AU"/>
              </w:rPr>
              <w:t>0.1388</w:t>
            </w:r>
          </w:p>
        </w:tc>
        <w:tc>
          <w:tcPr>
            <w:tcW w:w="1399" w:type="dxa"/>
            <w:vAlign w:val="center"/>
          </w:tcPr>
          <w:p w14:paraId="58F0B85C" w14:textId="7B26A717" w:rsidR="00873E01" w:rsidRPr="00456281" w:rsidRDefault="00F16C78" w:rsidP="009C2659">
            <w:pPr>
              <w:pStyle w:val="In-tableHeading"/>
              <w:keepNext w:val="0"/>
              <w:widowControl w:val="0"/>
              <w:jc w:val="center"/>
              <w:rPr>
                <w:szCs w:val="20"/>
                <w:lang w:val="en-AU"/>
              </w:rPr>
            </w:pPr>
            <w:r w:rsidRPr="001C2CAE">
              <w:rPr>
                <w:bCs/>
                <w:color w:val="000000"/>
                <w:spacing w:val="37"/>
                <w:szCs w:val="20"/>
                <w:shd w:val="solid" w:color="000000" w:fill="000000"/>
                <w:fitText w:val="213" w:id="-961860856"/>
                <w:lang w:val="en-AU"/>
                <w14:textFill>
                  <w14:solidFill>
                    <w14:srgbClr w14:val="000000">
                      <w14:alpha w14:val="100000"/>
                    </w14:srgbClr>
                  </w14:solidFill>
                </w14:textFill>
              </w:rPr>
              <w:t>||</w:t>
            </w:r>
            <w:r w:rsidRPr="001C2CAE">
              <w:rPr>
                <w:bCs/>
                <w:color w:val="000000"/>
                <w:spacing w:val="2"/>
                <w:szCs w:val="20"/>
                <w:shd w:val="solid" w:color="000000" w:fill="000000"/>
                <w:fitText w:val="213" w:id="-961860856"/>
                <w:lang w:val="en-AU"/>
                <w14:textFill>
                  <w14:solidFill>
                    <w14:srgbClr w14:val="000000">
                      <w14:alpha w14:val="100000"/>
                    </w14:srgbClr>
                  </w14:solidFill>
                </w14:textFill>
              </w:rPr>
              <w:t>|</w:t>
            </w:r>
            <w:r w:rsidR="00082F5E" w:rsidRPr="009C3CBE">
              <w:rPr>
                <w:bCs/>
                <w:szCs w:val="20"/>
                <w:vertAlign w:val="superscript"/>
                <w:lang w:val="en-AU"/>
              </w:rPr>
              <w:t>1</w:t>
            </w:r>
          </w:p>
        </w:tc>
        <w:tc>
          <w:tcPr>
            <w:tcW w:w="1080" w:type="dxa"/>
            <w:vAlign w:val="center"/>
          </w:tcPr>
          <w:p w14:paraId="25DD7EC9" w14:textId="77777777" w:rsidR="00873E01" w:rsidRPr="00456281" w:rsidRDefault="00873E01" w:rsidP="009C2659">
            <w:pPr>
              <w:pStyle w:val="In-tableHeading"/>
              <w:keepNext w:val="0"/>
              <w:widowControl w:val="0"/>
              <w:jc w:val="center"/>
              <w:rPr>
                <w:szCs w:val="20"/>
                <w:lang w:val="en-AU"/>
              </w:rPr>
            </w:pPr>
            <w:r w:rsidRPr="00456281">
              <w:rPr>
                <w:bCs/>
                <w:szCs w:val="20"/>
                <w:lang w:val="en-AU"/>
              </w:rPr>
              <w:t>-</w:t>
            </w:r>
          </w:p>
        </w:tc>
      </w:tr>
      <w:tr w:rsidR="00873E01" w:rsidRPr="00456281" w14:paraId="7308B570" w14:textId="77777777" w:rsidTr="00832474">
        <w:trPr>
          <w:cantSplit/>
        </w:trPr>
        <w:tc>
          <w:tcPr>
            <w:tcW w:w="8997" w:type="dxa"/>
            <w:gridSpan w:val="5"/>
            <w:vAlign w:val="center"/>
          </w:tcPr>
          <w:p w14:paraId="19A53C58" w14:textId="77777777" w:rsidR="00873E01" w:rsidRPr="00456281" w:rsidRDefault="00873E01" w:rsidP="009C2659">
            <w:pPr>
              <w:pStyle w:val="TableText0"/>
              <w:keepNext w:val="0"/>
              <w:widowControl w:val="0"/>
              <w:rPr>
                <w:szCs w:val="20"/>
              </w:rPr>
            </w:pPr>
            <w:r w:rsidRPr="00456281">
              <w:rPr>
                <w:szCs w:val="20"/>
              </w:rPr>
              <w:t>Discount rate (base case = 5%)</w:t>
            </w:r>
          </w:p>
        </w:tc>
      </w:tr>
      <w:tr w:rsidR="00873E01" w:rsidRPr="00456281" w14:paraId="78308578" w14:textId="77777777" w:rsidTr="00F16C78">
        <w:trPr>
          <w:cantSplit/>
        </w:trPr>
        <w:tc>
          <w:tcPr>
            <w:tcW w:w="3712" w:type="dxa"/>
            <w:vAlign w:val="center"/>
          </w:tcPr>
          <w:p w14:paraId="30256FBE" w14:textId="77777777" w:rsidR="00873E01" w:rsidRPr="00456281" w:rsidRDefault="00873E01" w:rsidP="00690769">
            <w:pPr>
              <w:pStyle w:val="TableText0"/>
              <w:keepNext w:val="0"/>
              <w:widowControl w:val="0"/>
              <w:numPr>
                <w:ilvl w:val="0"/>
                <w:numId w:val="25"/>
              </w:numPr>
              <w:rPr>
                <w:szCs w:val="20"/>
              </w:rPr>
            </w:pPr>
            <w:r w:rsidRPr="00456281">
              <w:rPr>
                <w:szCs w:val="20"/>
              </w:rPr>
              <w:t>0%</w:t>
            </w:r>
          </w:p>
        </w:tc>
        <w:tc>
          <w:tcPr>
            <w:tcW w:w="1446" w:type="dxa"/>
            <w:tcBorders>
              <w:bottom w:val="single" w:sz="4" w:space="0" w:color="auto"/>
            </w:tcBorders>
            <w:shd w:val="solid" w:color="000000" w:fill="000000"/>
            <w:vAlign w:val="center"/>
          </w:tcPr>
          <w:p w14:paraId="273C8EC9" w14:textId="47D5AE66" w:rsidR="00873E01" w:rsidRPr="009C3CBE" w:rsidRDefault="00F16C78" w:rsidP="00873E01">
            <w:pPr>
              <w:pStyle w:val="TableText0"/>
              <w:keepNext w:val="0"/>
              <w:widowControl w:val="0"/>
              <w:jc w:val="center"/>
              <w:rPr>
                <w:szCs w:val="20"/>
                <w:highlight w:val="lightGray"/>
              </w:rPr>
            </w:pPr>
            <w:r w:rsidRPr="00F16C78">
              <w:rPr>
                <w:rFonts w:hint="eastAsia"/>
                <w:color w:val="000000"/>
                <w:w w:val="22"/>
                <w:szCs w:val="20"/>
                <w:fitText w:val="100" w:id="-961860855"/>
                <w14:textFill>
                  <w14:solidFill>
                    <w14:srgbClr w14:val="000000">
                      <w14:alpha w14:val="100000"/>
                    </w14:srgbClr>
                  </w14:solidFill>
                </w14:textFill>
              </w:rPr>
              <w:t xml:space="preserve">　</w:t>
            </w:r>
            <w:r w:rsidRPr="00F16C78">
              <w:rPr>
                <w:color w:val="000000"/>
                <w:w w:val="22"/>
                <w:szCs w:val="20"/>
                <w:fitText w:val="100" w:id="-961860855"/>
                <w14:textFill>
                  <w14:solidFill>
                    <w14:srgbClr w14:val="000000">
                      <w14:alpha w14:val="100000"/>
                    </w14:srgbClr>
                  </w14:solidFill>
                </w14:textFill>
              </w:rPr>
              <w:t>|</w:t>
            </w:r>
            <w:r w:rsidRPr="00F16C78">
              <w:rPr>
                <w:rFonts w:hint="eastAsia"/>
                <w:color w:val="000000"/>
                <w:w w:val="22"/>
                <w:szCs w:val="20"/>
                <w:fitText w:val="100" w:id="-961860855"/>
                <w14:textFill>
                  <w14:solidFill>
                    <w14:srgbClr w14:val="000000">
                      <w14:alpha w14:val="100000"/>
                    </w14:srgbClr>
                  </w14:solidFill>
                </w14:textFill>
              </w:rPr>
              <w:t xml:space="preserve">　</w:t>
            </w:r>
          </w:p>
        </w:tc>
        <w:tc>
          <w:tcPr>
            <w:tcW w:w="1360" w:type="dxa"/>
            <w:vAlign w:val="center"/>
          </w:tcPr>
          <w:p w14:paraId="593E88CA" w14:textId="77777777" w:rsidR="00873E01" w:rsidRPr="00456281" w:rsidRDefault="00873E01" w:rsidP="00873E01">
            <w:pPr>
              <w:pStyle w:val="TableText0"/>
              <w:keepNext w:val="0"/>
              <w:widowControl w:val="0"/>
              <w:jc w:val="center"/>
              <w:rPr>
                <w:szCs w:val="20"/>
              </w:rPr>
            </w:pPr>
            <w:r w:rsidRPr="00456281">
              <w:rPr>
                <w:szCs w:val="20"/>
              </w:rPr>
              <w:t>0.1464</w:t>
            </w:r>
          </w:p>
        </w:tc>
        <w:tc>
          <w:tcPr>
            <w:tcW w:w="1399" w:type="dxa"/>
            <w:vAlign w:val="center"/>
          </w:tcPr>
          <w:p w14:paraId="4F128A12" w14:textId="64CE37F2" w:rsidR="00873E01" w:rsidRPr="009C3CBE" w:rsidRDefault="00F16C78" w:rsidP="00873E01">
            <w:pPr>
              <w:pStyle w:val="TableText0"/>
              <w:keepNext w:val="0"/>
              <w:widowControl w:val="0"/>
              <w:jc w:val="center"/>
              <w:rPr>
                <w:szCs w:val="20"/>
                <w:highlight w:val="lightGray"/>
              </w:rPr>
            </w:pPr>
            <w:r w:rsidRPr="00F16C78">
              <w:rPr>
                <w:rFonts w:hint="eastAsia"/>
                <w:color w:val="000000"/>
                <w:w w:val="33"/>
                <w:szCs w:val="20"/>
                <w:shd w:val="solid" w:color="000000" w:fill="000000"/>
                <w:fitText w:val="150" w:id="-961860854"/>
                <w14:textFill>
                  <w14:solidFill>
                    <w14:srgbClr w14:val="000000">
                      <w14:alpha w14:val="100000"/>
                    </w14:srgbClr>
                  </w14:solidFill>
                </w14:textFill>
              </w:rPr>
              <w:t xml:space="preserve">　</w:t>
            </w:r>
            <w:r w:rsidRPr="00F16C78">
              <w:rPr>
                <w:color w:val="000000"/>
                <w:w w:val="33"/>
                <w:szCs w:val="20"/>
                <w:shd w:val="solid" w:color="000000" w:fill="000000"/>
                <w:fitText w:val="150" w:id="-961860854"/>
                <w14:textFill>
                  <w14:solidFill>
                    <w14:srgbClr w14:val="000000">
                      <w14:alpha w14:val="100000"/>
                    </w14:srgbClr>
                  </w14:solidFill>
                </w14:textFill>
              </w:rPr>
              <w:t>|</w:t>
            </w:r>
            <w:r w:rsidRPr="00F16C78">
              <w:rPr>
                <w:rFonts w:hint="eastAsia"/>
                <w:color w:val="000000"/>
                <w:spacing w:val="4"/>
                <w:w w:val="33"/>
                <w:szCs w:val="20"/>
                <w:shd w:val="solid" w:color="000000" w:fill="000000"/>
                <w:fitText w:val="150" w:id="-961860854"/>
                <w14:textFill>
                  <w14:solidFill>
                    <w14:srgbClr w14:val="000000">
                      <w14:alpha w14:val="100000"/>
                    </w14:srgbClr>
                  </w14:solidFill>
                </w14:textFill>
              </w:rPr>
              <w:t xml:space="preserve">　</w:t>
            </w:r>
            <w:r w:rsidR="00082F5E" w:rsidRPr="00D21B8B">
              <w:rPr>
                <w:bCs w:val="0"/>
                <w:szCs w:val="20"/>
                <w:vertAlign w:val="superscript"/>
              </w:rPr>
              <w:t>1</w:t>
            </w:r>
          </w:p>
        </w:tc>
        <w:tc>
          <w:tcPr>
            <w:tcW w:w="1080" w:type="dxa"/>
            <w:vAlign w:val="center"/>
          </w:tcPr>
          <w:p w14:paraId="1547A278" w14:textId="3B3EB1A4" w:rsidR="00873E01" w:rsidRPr="00456281" w:rsidRDefault="00873E01" w:rsidP="00873E01">
            <w:pPr>
              <w:pStyle w:val="TableText0"/>
              <w:keepNext w:val="0"/>
              <w:widowControl w:val="0"/>
              <w:jc w:val="center"/>
              <w:rPr>
                <w:szCs w:val="20"/>
              </w:rPr>
            </w:pPr>
            <w:r w:rsidRPr="00456281">
              <w:rPr>
                <w:szCs w:val="20"/>
              </w:rPr>
              <w:t>-</w:t>
            </w:r>
            <w:r w:rsidR="001C2CAE" w:rsidRPr="001C2CAE">
              <w:rPr>
                <w:color w:val="000000"/>
                <w:spacing w:val="127"/>
                <w:szCs w:val="20"/>
                <w:shd w:val="solid" w:color="000000" w:fill="000000"/>
                <w:fitText w:val="213" w:id="-961860856"/>
                <w14:textFill>
                  <w14:solidFill>
                    <w14:srgbClr w14:val="000000">
                      <w14:alpha w14:val="100000"/>
                    </w14:srgbClr>
                  </w14:solidFill>
                </w14:textFill>
              </w:rPr>
              <w:t>|</w:t>
            </w:r>
            <w:r w:rsidR="001C2CAE" w:rsidRPr="001C2CAE">
              <w:rPr>
                <w:color w:val="000000"/>
                <w:szCs w:val="20"/>
                <w:shd w:val="solid" w:color="000000" w:fill="000000"/>
                <w:fitText w:val="213" w:id="-961860856"/>
                <w14:textFill>
                  <w14:solidFill>
                    <w14:srgbClr w14:val="000000">
                      <w14:alpha w14:val="100000"/>
                    </w14:srgbClr>
                  </w14:solidFill>
                </w14:textFill>
              </w:rPr>
              <w:t>|</w:t>
            </w:r>
            <w:r w:rsidRPr="00456281">
              <w:rPr>
                <w:szCs w:val="20"/>
              </w:rPr>
              <w:t>%</w:t>
            </w:r>
          </w:p>
        </w:tc>
      </w:tr>
      <w:tr w:rsidR="00873E01" w:rsidRPr="00456281" w14:paraId="51396C6C" w14:textId="77777777" w:rsidTr="00F16C78">
        <w:trPr>
          <w:cantSplit/>
        </w:trPr>
        <w:tc>
          <w:tcPr>
            <w:tcW w:w="3712" w:type="dxa"/>
            <w:vAlign w:val="center"/>
          </w:tcPr>
          <w:p w14:paraId="787D4F6A" w14:textId="77777777" w:rsidR="00873E01" w:rsidRPr="00456281" w:rsidRDefault="00873E01" w:rsidP="00690769">
            <w:pPr>
              <w:pStyle w:val="TableText0"/>
              <w:keepNext w:val="0"/>
              <w:widowControl w:val="0"/>
              <w:numPr>
                <w:ilvl w:val="0"/>
                <w:numId w:val="25"/>
              </w:numPr>
              <w:rPr>
                <w:szCs w:val="20"/>
              </w:rPr>
            </w:pPr>
            <w:r w:rsidRPr="00456281">
              <w:rPr>
                <w:szCs w:val="20"/>
              </w:rPr>
              <w:t>3.5%</w:t>
            </w:r>
          </w:p>
        </w:tc>
        <w:tc>
          <w:tcPr>
            <w:tcW w:w="1446" w:type="dxa"/>
            <w:shd w:val="solid" w:color="000000" w:fill="000000"/>
            <w:vAlign w:val="center"/>
          </w:tcPr>
          <w:p w14:paraId="7A5C9B67" w14:textId="19804303" w:rsidR="00873E01" w:rsidRPr="009C3CBE" w:rsidRDefault="00F16C78" w:rsidP="00873E01">
            <w:pPr>
              <w:pStyle w:val="TableText0"/>
              <w:keepNext w:val="0"/>
              <w:widowControl w:val="0"/>
              <w:jc w:val="center"/>
              <w:rPr>
                <w:szCs w:val="20"/>
                <w:highlight w:val="lightGray"/>
              </w:rPr>
            </w:pPr>
            <w:r w:rsidRPr="00F16C78">
              <w:rPr>
                <w:rFonts w:hint="eastAsia"/>
                <w:color w:val="000000"/>
                <w:w w:val="22"/>
                <w:szCs w:val="20"/>
                <w:fitText w:val="100" w:id="-961860853"/>
                <w14:textFill>
                  <w14:solidFill>
                    <w14:srgbClr w14:val="000000">
                      <w14:alpha w14:val="100000"/>
                    </w14:srgbClr>
                  </w14:solidFill>
                </w14:textFill>
              </w:rPr>
              <w:t xml:space="preserve">　</w:t>
            </w:r>
            <w:r w:rsidRPr="00F16C78">
              <w:rPr>
                <w:color w:val="000000"/>
                <w:w w:val="22"/>
                <w:szCs w:val="20"/>
                <w:fitText w:val="100" w:id="-961860853"/>
                <w14:textFill>
                  <w14:solidFill>
                    <w14:srgbClr w14:val="000000">
                      <w14:alpha w14:val="100000"/>
                    </w14:srgbClr>
                  </w14:solidFill>
                </w14:textFill>
              </w:rPr>
              <w:t>|</w:t>
            </w:r>
            <w:r w:rsidRPr="00F16C78">
              <w:rPr>
                <w:rFonts w:hint="eastAsia"/>
                <w:color w:val="000000"/>
                <w:w w:val="22"/>
                <w:szCs w:val="20"/>
                <w:fitText w:val="100" w:id="-961860853"/>
                <w14:textFill>
                  <w14:solidFill>
                    <w14:srgbClr w14:val="000000">
                      <w14:alpha w14:val="100000"/>
                    </w14:srgbClr>
                  </w14:solidFill>
                </w14:textFill>
              </w:rPr>
              <w:t xml:space="preserve">　</w:t>
            </w:r>
          </w:p>
        </w:tc>
        <w:tc>
          <w:tcPr>
            <w:tcW w:w="1360" w:type="dxa"/>
            <w:vAlign w:val="center"/>
          </w:tcPr>
          <w:p w14:paraId="4DC2AF09" w14:textId="77777777" w:rsidR="00873E01" w:rsidRPr="00456281" w:rsidRDefault="00873E01" w:rsidP="00873E01">
            <w:pPr>
              <w:pStyle w:val="TableText0"/>
              <w:keepNext w:val="0"/>
              <w:widowControl w:val="0"/>
              <w:jc w:val="center"/>
              <w:rPr>
                <w:szCs w:val="20"/>
              </w:rPr>
            </w:pPr>
            <w:r w:rsidRPr="00456281">
              <w:rPr>
                <w:szCs w:val="20"/>
              </w:rPr>
              <w:t>0.1410</w:t>
            </w:r>
          </w:p>
        </w:tc>
        <w:tc>
          <w:tcPr>
            <w:tcW w:w="1399" w:type="dxa"/>
            <w:vAlign w:val="center"/>
          </w:tcPr>
          <w:p w14:paraId="40C1C669" w14:textId="0DFBDF61" w:rsidR="00873E01" w:rsidRPr="009C3CBE" w:rsidRDefault="00F16C78" w:rsidP="00873E01">
            <w:pPr>
              <w:pStyle w:val="TableText0"/>
              <w:keepNext w:val="0"/>
              <w:widowControl w:val="0"/>
              <w:jc w:val="center"/>
              <w:rPr>
                <w:szCs w:val="20"/>
                <w:highlight w:val="lightGray"/>
              </w:rPr>
            </w:pPr>
            <w:r w:rsidRPr="00F16C78">
              <w:rPr>
                <w:rFonts w:hint="eastAsia"/>
                <w:color w:val="000000"/>
                <w:w w:val="33"/>
                <w:szCs w:val="20"/>
                <w:shd w:val="solid" w:color="000000" w:fill="000000"/>
                <w:fitText w:val="150" w:id="-961860852"/>
                <w14:textFill>
                  <w14:solidFill>
                    <w14:srgbClr w14:val="000000">
                      <w14:alpha w14:val="100000"/>
                    </w14:srgbClr>
                  </w14:solidFill>
                </w14:textFill>
              </w:rPr>
              <w:t xml:space="preserve">　</w:t>
            </w:r>
            <w:r w:rsidRPr="00F16C78">
              <w:rPr>
                <w:color w:val="000000"/>
                <w:w w:val="33"/>
                <w:szCs w:val="20"/>
                <w:shd w:val="solid" w:color="000000" w:fill="000000"/>
                <w:fitText w:val="150" w:id="-961860852"/>
                <w14:textFill>
                  <w14:solidFill>
                    <w14:srgbClr w14:val="000000">
                      <w14:alpha w14:val="100000"/>
                    </w14:srgbClr>
                  </w14:solidFill>
                </w14:textFill>
              </w:rPr>
              <w:t>|</w:t>
            </w:r>
            <w:r w:rsidRPr="00F16C78">
              <w:rPr>
                <w:rFonts w:hint="eastAsia"/>
                <w:color w:val="000000"/>
                <w:spacing w:val="4"/>
                <w:w w:val="33"/>
                <w:szCs w:val="20"/>
                <w:shd w:val="solid" w:color="000000" w:fill="000000"/>
                <w:fitText w:val="150" w:id="-961860852"/>
                <w14:textFill>
                  <w14:solidFill>
                    <w14:srgbClr w14:val="000000">
                      <w14:alpha w14:val="100000"/>
                    </w14:srgbClr>
                  </w14:solidFill>
                </w14:textFill>
              </w:rPr>
              <w:t xml:space="preserve">　</w:t>
            </w:r>
            <w:r w:rsidR="00082F5E" w:rsidRPr="00D21B8B">
              <w:rPr>
                <w:bCs w:val="0"/>
                <w:szCs w:val="20"/>
                <w:vertAlign w:val="superscript"/>
              </w:rPr>
              <w:t>1</w:t>
            </w:r>
          </w:p>
        </w:tc>
        <w:tc>
          <w:tcPr>
            <w:tcW w:w="1080" w:type="dxa"/>
            <w:vAlign w:val="center"/>
          </w:tcPr>
          <w:p w14:paraId="64E57153" w14:textId="600900B7" w:rsidR="00873E01" w:rsidRPr="00456281" w:rsidRDefault="00873E01" w:rsidP="00873E01">
            <w:pPr>
              <w:pStyle w:val="TableText0"/>
              <w:keepNext w:val="0"/>
              <w:widowControl w:val="0"/>
              <w:jc w:val="center"/>
              <w:rPr>
                <w:szCs w:val="20"/>
              </w:rPr>
            </w:pPr>
            <w:r w:rsidRPr="00456281">
              <w:rPr>
                <w:szCs w:val="20"/>
              </w:rPr>
              <w:t>-</w:t>
            </w:r>
            <w:r w:rsidR="001C2CAE" w:rsidRPr="001C2CAE">
              <w:rPr>
                <w:color w:val="000000"/>
                <w:spacing w:val="127"/>
                <w:szCs w:val="20"/>
                <w:shd w:val="solid" w:color="000000" w:fill="000000"/>
                <w:fitText w:val="213" w:id="-961860856"/>
                <w14:textFill>
                  <w14:solidFill>
                    <w14:srgbClr w14:val="000000">
                      <w14:alpha w14:val="100000"/>
                    </w14:srgbClr>
                  </w14:solidFill>
                </w14:textFill>
              </w:rPr>
              <w:t>|</w:t>
            </w:r>
            <w:r w:rsidR="001C2CAE" w:rsidRPr="001C2CAE">
              <w:rPr>
                <w:color w:val="000000"/>
                <w:szCs w:val="20"/>
                <w:shd w:val="solid" w:color="000000" w:fill="000000"/>
                <w:fitText w:val="213" w:id="-961860856"/>
                <w14:textFill>
                  <w14:solidFill>
                    <w14:srgbClr w14:val="000000">
                      <w14:alpha w14:val="100000"/>
                    </w14:srgbClr>
                  </w14:solidFill>
                </w14:textFill>
              </w:rPr>
              <w:t>|</w:t>
            </w:r>
            <w:r w:rsidRPr="00456281">
              <w:rPr>
                <w:szCs w:val="20"/>
              </w:rPr>
              <w:t>%</w:t>
            </w:r>
          </w:p>
        </w:tc>
      </w:tr>
      <w:tr w:rsidR="00656290" w:rsidRPr="00456281" w14:paraId="1EF6E929" w14:textId="77777777" w:rsidTr="00832474">
        <w:trPr>
          <w:cantSplit/>
        </w:trPr>
        <w:tc>
          <w:tcPr>
            <w:tcW w:w="8997" w:type="dxa"/>
            <w:gridSpan w:val="5"/>
            <w:vAlign w:val="center"/>
          </w:tcPr>
          <w:p w14:paraId="7B6CF7A2" w14:textId="0A64ABB2" w:rsidR="00656290" w:rsidRPr="00456281" w:rsidRDefault="00656290" w:rsidP="00656290">
            <w:pPr>
              <w:pStyle w:val="TableText0"/>
              <w:keepNext w:val="0"/>
              <w:widowControl w:val="0"/>
              <w:rPr>
                <w:szCs w:val="20"/>
              </w:rPr>
            </w:pPr>
            <w:r w:rsidRPr="00456281">
              <w:rPr>
                <w:szCs w:val="20"/>
                <w:u w:val="single"/>
              </w:rPr>
              <w:t>Time horizon (base case = 5 years)</w:t>
            </w:r>
          </w:p>
        </w:tc>
      </w:tr>
      <w:tr w:rsidR="00656290" w:rsidRPr="00456281" w14:paraId="0DD80181" w14:textId="77777777" w:rsidTr="00F16C78">
        <w:trPr>
          <w:cantSplit/>
        </w:trPr>
        <w:tc>
          <w:tcPr>
            <w:tcW w:w="3712" w:type="dxa"/>
          </w:tcPr>
          <w:p w14:paraId="1068608D" w14:textId="7932E393" w:rsidR="00656290" w:rsidRPr="00456281" w:rsidRDefault="00656290" w:rsidP="00690769">
            <w:pPr>
              <w:pStyle w:val="TableText0"/>
              <w:keepNext w:val="0"/>
              <w:widowControl w:val="0"/>
              <w:numPr>
                <w:ilvl w:val="0"/>
                <w:numId w:val="25"/>
              </w:numPr>
              <w:rPr>
                <w:szCs w:val="20"/>
              </w:rPr>
            </w:pPr>
            <w:r w:rsidRPr="00456281">
              <w:rPr>
                <w:szCs w:val="20"/>
              </w:rPr>
              <w:t>3 years</w:t>
            </w:r>
          </w:p>
        </w:tc>
        <w:tc>
          <w:tcPr>
            <w:tcW w:w="1446" w:type="dxa"/>
            <w:tcBorders>
              <w:bottom w:val="single" w:sz="4" w:space="0" w:color="auto"/>
            </w:tcBorders>
            <w:shd w:val="solid" w:color="000000" w:fill="000000"/>
            <w:vAlign w:val="center"/>
          </w:tcPr>
          <w:p w14:paraId="0F4CA857" w14:textId="13A467CF" w:rsidR="00656290" w:rsidRPr="009C3CBE" w:rsidRDefault="00F16C78" w:rsidP="00656290">
            <w:pPr>
              <w:pStyle w:val="TableText0"/>
              <w:keepNext w:val="0"/>
              <w:widowControl w:val="0"/>
              <w:jc w:val="center"/>
              <w:rPr>
                <w:szCs w:val="20"/>
                <w:highlight w:val="lightGray"/>
              </w:rPr>
            </w:pPr>
            <w:r w:rsidRPr="00F16C78">
              <w:rPr>
                <w:rFonts w:cs="Calibri" w:hint="eastAsia"/>
                <w:color w:val="000000"/>
                <w:w w:val="22"/>
                <w:szCs w:val="20"/>
                <w:fitText w:val="100" w:id="-961860851"/>
                <w14:textFill>
                  <w14:solidFill>
                    <w14:srgbClr w14:val="000000">
                      <w14:alpha w14:val="100000"/>
                    </w14:srgbClr>
                  </w14:solidFill>
                </w14:textFill>
              </w:rPr>
              <w:t xml:space="preserve">　</w:t>
            </w:r>
            <w:r w:rsidRPr="00F16C78">
              <w:rPr>
                <w:rFonts w:cs="Calibri"/>
                <w:color w:val="000000"/>
                <w:w w:val="22"/>
                <w:szCs w:val="20"/>
                <w:fitText w:val="100" w:id="-961860851"/>
                <w14:textFill>
                  <w14:solidFill>
                    <w14:srgbClr w14:val="000000">
                      <w14:alpha w14:val="100000"/>
                    </w14:srgbClr>
                  </w14:solidFill>
                </w14:textFill>
              </w:rPr>
              <w:t>|</w:t>
            </w:r>
            <w:r w:rsidRPr="00F16C78">
              <w:rPr>
                <w:rFonts w:cs="Calibri" w:hint="eastAsia"/>
                <w:color w:val="000000"/>
                <w:w w:val="22"/>
                <w:szCs w:val="20"/>
                <w:fitText w:val="100" w:id="-961860851"/>
                <w14:textFill>
                  <w14:solidFill>
                    <w14:srgbClr w14:val="000000">
                      <w14:alpha w14:val="100000"/>
                    </w14:srgbClr>
                  </w14:solidFill>
                </w14:textFill>
              </w:rPr>
              <w:t xml:space="preserve">　</w:t>
            </w:r>
          </w:p>
        </w:tc>
        <w:tc>
          <w:tcPr>
            <w:tcW w:w="1360" w:type="dxa"/>
          </w:tcPr>
          <w:p w14:paraId="0AE2BE0B" w14:textId="3D9BBE49" w:rsidR="00656290" w:rsidRPr="00456281" w:rsidRDefault="00656290" w:rsidP="00656290">
            <w:pPr>
              <w:pStyle w:val="TableText0"/>
              <w:keepNext w:val="0"/>
              <w:widowControl w:val="0"/>
              <w:jc w:val="center"/>
              <w:rPr>
                <w:szCs w:val="20"/>
              </w:rPr>
            </w:pPr>
            <w:r w:rsidRPr="00456281">
              <w:rPr>
                <w:szCs w:val="20"/>
              </w:rPr>
              <w:t>0.1274</w:t>
            </w:r>
          </w:p>
        </w:tc>
        <w:tc>
          <w:tcPr>
            <w:tcW w:w="1399" w:type="dxa"/>
          </w:tcPr>
          <w:p w14:paraId="37A15475" w14:textId="22B8BB23" w:rsidR="00656290" w:rsidRPr="009C3CBE" w:rsidRDefault="00F16C78" w:rsidP="00656290">
            <w:pPr>
              <w:pStyle w:val="TableText0"/>
              <w:keepNext w:val="0"/>
              <w:widowControl w:val="0"/>
              <w:jc w:val="center"/>
              <w:rPr>
                <w:szCs w:val="20"/>
                <w:highlight w:val="lightGray"/>
              </w:rPr>
            </w:pPr>
            <w:r w:rsidRPr="00F16C78">
              <w:rPr>
                <w:rFonts w:hint="eastAsia"/>
                <w:color w:val="000000"/>
                <w:w w:val="33"/>
                <w:szCs w:val="20"/>
                <w:shd w:val="solid" w:color="000000" w:fill="000000"/>
                <w:fitText w:val="150" w:id="-961860850"/>
                <w14:textFill>
                  <w14:solidFill>
                    <w14:srgbClr w14:val="000000">
                      <w14:alpha w14:val="100000"/>
                    </w14:srgbClr>
                  </w14:solidFill>
                </w14:textFill>
              </w:rPr>
              <w:t xml:space="preserve">　</w:t>
            </w:r>
            <w:r w:rsidRPr="00F16C78">
              <w:rPr>
                <w:color w:val="000000"/>
                <w:w w:val="33"/>
                <w:szCs w:val="20"/>
                <w:shd w:val="solid" w:color="000000" w:fill="000000"/>
                <w:fitText w:val="150" w:id="-961860850"/>
                <w14:textFill>
                  <w14:solidFill>
                    <w14:srgbClr w14:val="000000">
                      <w14:alpha w14:val="100000"/>
                    </w14:srgbClr>
                  </w14:solidFill>
                </w14:textFill>
              </w:rPr>
              <w:t>|</w:t>
            </w:r>
            <w:r w:rsidRPr="00F16C78">
              <w:rPr>
                <w:rFonts w:hint="eastAsia"/>
                <w:color w:val="000000"/>
                <w:spacing w:val="4"/>
                <w:w w:val="33"/>
                <w:szCs w:val="20"/>
                <w:shd w:val="solid" w:color="000000" w:fill="000000"/>
                <w:fitText w:val="150" w:id="-961860850"/>
                <w14:textFill>
                  <w14:solidFill>
                    <w14:srgbClr w14:val="000000">
                      <w14:alpha w14:val="100000"/>
                    </w14:srgbClr>
                  </w14:solidFill>
                </w14:textFill>
              </w:rPr>
              <w:t xml:space="preserve">　</w:t>
            </w:r>
            <w:r w:rsidR="00082F5E" w:rsidRPr="00D21B8B">
              <w:rPr>
                <w:bCs w:val="0"/>
                <w:szCs w:val="20"/>
                <w:vertAlign w:val="superscript"/>
              </w:rPr>
              <w:t>1</w:t>
            </w:r>
          </w:p>
        </w:tc>
        <w:tc>
          <w:tcPr>
            <w:tcW w:w="1080" w:type="dxa"/>
          </w:tcPr>
          <w:p w14:paraId="4331E9A4" w14:textId="037F57CE" w:rsidR="00656290" w:rsidRPr="00456281" w:rsidRDefault="00656290" w:rsidP="00656290">
            <w:pPr>
              <w:pStyle w:val="TableText0"/>
              <w:keepNext w:val="0"/>
              <w:widowControl w:val="0"/>
              <w:jc w:val="center"/>
              <w:rPr>
                <w:szCs w:val="20"/>
              </w:rPr>
            </w:pPr>
            <w:r w:rsidRPr="00456281">
              <w:rPr>
                <w:szCs w:val="20"/>
              </w:rPr>
              <w:t>-</w:t>
            </w:r>
            <w:r w:rsidR="001C2CAE" w:rsidRPr="001C2CAE">
              <w:rPr>
                <w:color w:val="000000"/>
                <w:spacing w:val="127"/>
                <w:szCs w:val="20"/>
                <w:shd w:val="solid" w:color="000000" w:fill="000000"/>
                <w:fitText w:val="213" w:id="-961860856"/>
                <w14:textFill>
                  <w14:solidFill>
                    <w14:srgbClr w14:val="000000">
                      <w14:alpha w14:val="100000"/>
                    </w14:srgbClr>
                  </w14:solidFill>
                </w14:textFill>
              </w:rPr>
              <w:t>|</w:t>
            </w:r>
            <w:r w:rsidR="001C2CAE" w:rsidRPr="001C2CAE">
              <w:rPr>
                <w:color w:val="000000"/>
                <w:szCs w:val="20"/>
                <w:shd w:val="solid" w:color="000000" w:fill="000000"/>
                <w:fitText w:val="213" w:id="-961860856"/>
                <w14:textFill>
                  <w14:solidFill>
                    <w14:srgbClr w14:val="000000">
                      <w14:alpha w14:val="100000"/>
                    </w14:srgbClr>
                  </w14:solidFill>
                </w14:textFill>
              </w:rPr>
              <w:t>|</w:t>
            </w:r>
            <w:r w:rsidRPr="00456281">
              <w:rPr>
                <w:szCs w:val="20"/>
              </w:rPr>
              <w:t>%</w:t>
            </w:r>
          </w:p>
        </w:tc>
      </w:tr>
      <w:tr w:rsidR="00656290" w:rsidRPr="00456281" w14:paraId="22F40E00" w14:textId="77777777" w:rsidTr="00F16C78">
        <w:trPr>
          <w:cantSplit/>
        </w:trPr>
        <w:tc>
          <w:tcPr>
            <w:tcW w:w="3712" w:type="dxa"/>
          </w:tcPr>
          <w:p w14:paraId="36696516" w14:textId="2E19A040" w:rsidR="00656290" w:rsidRPr="00456281" w:rsidRDefault="00656290" w:rsidP="00690769">
            <w:pPr>
              <w:pStyle w:val="TableText0"/>
              <w:keepNext w:val="0"/>
              <w:widowControl w:val="0"/>
              <w:numPr>
                <w:ilvl w:val="0"/>
                <w:numId w:val="25"/>
              </w:numPr>
              <w:rPr>
                <w:szCs w:val="20"/>
              </w:rPr>
            </w:pPr>
            <w:r w:rsidRPr="00456281">
              <w:rPr>
                <w:szCs w:val="20"/>
              </w:rPr>
              <w:t>4 years</w:t>
            </w:r>
          </w:p>
        </w:tc>
        <w:tc>
          <w:tcPr>
            <w:tcW w:w="1446" w:type="dxa"/>
            <w:shd w:val="solid" w:color="000000" w:fill="000000"/>
            <w:vAlign w:val="center"/>
          </w:tcPr>
          <w:p w14:paraId="0457D02B" w14:textId="0C8B14C4" w:rsidR="00656290" w:rsidRPr="009C3CBE" w:rsidRDefault="00F16C78" w:rsidP="00656290">
            <w:pPr>
              <w:pStyle w:val="TableText0"/>
              <w:keepNext w:val="0"/>
              <w:widowControl w:val="0"/>
              <w:jc w:val="center"/>
              <w:rPr>
                <w:szCs w:val="20"/>
                <w:highlight w:val="lightGray"/>
              </w:rPr>
            </w:pPr>
            <w:r w:rsidRPr="00F16C78">
              <w:rPr>
                <w:rFonts w:cs="Calibri" w:hint="eastAsia"/>
                <w:color w:val="000000"/>
                <w:w w:val="22"/>
                <w:szCs w:val="20"/>
                <w:fitText w:val="100" w:id="-961860849"/>
                <w14:textFill>
                  <w14:solidFill>
                    <w14:srgbClr w14:val="000000">
                      <w14:alpha w14:val="100000"/>
                    </w14:srgbClr>
                  </w14:solidFill>
                </w14:textFill>
              </w:rPr>
              <w:t xml:space="preserve">　</w:t>
            </w:r>
            <w:r w:rsidRPr="00F16C78">
              <w:rPr>
                <w:rFonts w:cs="Calibri"/>
                <w:color w:val="000000"/>
                <w:w w:val="22"/>
                <w:szCs w:val="20"/>
                <w:fitText w:val="100" w:id="-961860849"/>
                <w14:textFill>
                  <w14:solidFill>
                    <w14:srgbClr w14:val="000000">
                      <w14:alpha w14:val="100000"/>
                    </w14:srgbClr>
                  </w14:solidFill>
                </w14:textFill>
              </w:rPr>
              <w:t>|</w:t>
            </w:r>
            <w:r w:rsidRPr="00F16C78">
              <w:rPr>
                <w:rFonts w:cs="Calibri" w:hint="eastAsia"/>
                <w:color w:val="000000"/>
                <w:w w:val="22"/>
                <w:szCs w:val="20"/>
                <w:fitText w:val="100" w:id="-961860849"/>
                <w14:textFill>
                  <w14:solidFill>
                    <w14:srgbClr w14:val="000000">
                      <w14:alpha w14:val="100000"/>
                    </w14:srgbClr>
                  </w14:solidFill>
                </w14:textFill>
              </w:rPr>
              <w:t xml:space="preserve">　</w:t>
            </w:r>
          </w:p>
        </w:tc>
        <w:tc>
          <w:tcPr>
            <w:tcW w:w="1360" w:type="dxa"/>
          </w:tcPr>
          <w:p w14:paraId="37D9A690" w14:textId="3FDAE377" w:rsidR="00656290" w:rsidRPr="00456281" w:rsidRDefault="00656290" w:rsidP="00656290">
            <w:pPr>
              <w:pStyle w:val="TableText0"/>
              <w:keepNext w:val="0"/>
              <w:widowControl w:val="0"/>
              <w:jc w:val="center"/>
              <w:rPr>
                <w:szCs w:val="20"/>
              </w:rPr>
            </w:pPr>
            <w:r w:rsidRPr="00456281">
              <w:rPr>
                <w:szCs w:val="20"/>
              </w:rPr>
              <w:t>0.1363</w:t>
            </w:r>
          </w:p>
        </w:tc>
        <w:tc>
          <w:tcPr>
            <w:tcW w:w="1399" w:type="dxa"/>
          </w:tcPr>
          <w:p w14:paraId="33D7AAD8" w14:textId="4A8BBC25" w:rsidR="00656290" w:rsidRPr="009C3CBE" w:rsidRDefault="00F16C78" w:rsidP="00656290">
            <w:pPr>
              <w:pStyle w:val="TableText0"/>
              <w:keepNext w:val="0"/>
              <w:widowControl w:val="0"/>
              <w:jc w:val="center"/>
              <w:rPr>
                <w:szCs w:val="20"/>
                <w:highlight w:val="lightGray"/>
              </w:rPr>
            </w:pPr>
            <w:r w:rsidRPr="00F16C78">
              <w:rPr>
                <w:rFonts w:hint="eastAsia"/>
                <w:color w:val="000000"/>
                <w:w w:val="33"/>
                <w:szCs w:val="20"/>
                <w:shd w:val="solid" w:color="000000" w:fill="000000"/>
                <w:fitText w:val="150" w:id="-961860848"/>
                <w14:textFill>
                  <w14:solidFill>
                    <w14:srgbClr w14:val="000000">
                      <w14:alpha w14:val="100000"/>
                    </w14:srgbClr>
                  </w14:solidFill>
                </w14:textFill>
              </w:rPr>
              <w:t xml:space="preserve">　</w:t>
            </w:r>
            <w:r w:rsidRPr="00F16C78">
              <w:rPr>
                <w:color w:val="000000"/>
                <w:w w:val="33"/>
                <w:szCs w:val="20"/>
                <w:shd w:val="solid" w:color="000000" w:fill="000000"/>
                <w:fitText w:val="150" w:id="-961860848"/>
                <w14:textFill>
                  <w14:solidFill>
                    <w14:srgbClr w14:val="000000">
                      <w14:alpha w14:val="100000"/>
                    </w14:srgbClr>
                  </w14:solidFill>
                </w14:textFill>
              </w:rPr>
              <w:t>|</w:t>
            </w:r>
            <w:r w:rsidRPr="00F16C78">
              <w:rPr>
                <w:rFonts w:hint="eastAsia"/>
                <w:color w:val="000000"/>
                <w:spacing w:val="4"/>
                <w:w w:val="33"/>
                <w:szCs w:val="20"/>
                <w:shd w:val="solid" w:color="000000" w:fill="000000"/>
                <w:fitText w:val="150" w:id="-961860848"/>
                <w14:textFill>
                  <w14:solidFill>
                    <w14:srgbClr w14:val="000000">
                      <w14:alpha w14:val="100000"/>
                    </w14:srgbClr>
                  </w14:solidFill>
                </w14:textFill>
              </w:rPr>
              <w:t xml:space="preserve">　</w:t>
            </w:r>
            <w:r w:rsidR="00082F5E" w:rsidRPr="00D21B8B">
              <w:rPr>
                <w:bCs w:val="0"/>
                <w:szCs w:val="20"/>
                <w:vertAlign w:val="superscript"/>
              </w:rPr>
              <w:t>1</w:t>
            </w:r>
          </w:p>
        </w:tc>
        <w:tc>
          <w:tcPr>
            <w:tcW w:w="1080" w:type="dxa"/>
          </w:tcPr>
          <w:p w14:paraId="73C1F3B6" w14:textId="1B4DF911" w:rsidR="00656290" w:rsidRPr="00456281" w:rsidRDefault="00656290" w:rsidP="00656290">
            <w:pPr>
              <w:pStyle w:val="TableText0"/>
              <w:keepNext w:val="0"/>
              <w:widowControl w:val="0"/>
              <w:jc w:val="center"/>
              <w:rPr>
                <w:szCs w:val="20"/>
              </w:rPr>
            </w:pPr>
            <w:r w:rsidRPr="00456281">
              <w:rPr>
                <w:szCs w:val="20"/>
              </w:rPr>
              <w:t>-</w:t>
            </w:r>
            <w:r w:rsidR="001C2CAE" w:rsidRPr="001C2CAE">
              <w:rPr>
                <w:color w:val="000000"/>
                <w:spacing w:val="127"/>
                <w:szCs w:val="20"/>
                <w:shd w:val="solid" w:color="000000" w:fill="000000"/>
                <w:fitText w:val="213" w:id="-961860856"/>
                <w14:textFill>
                  <w14:solidFill>
                    <w14:srgbClr w14:val="000000">
                      <w14:alpha w14:val="100000"/>
                    </w14:srgbClr>
                  </w14:solidFill>
                </w14:textFill>
              </w:rPr>
              <w:t>|</w:t>
            </w:r>
            <w:r w:rsidR="001C2CAE" w:rsidRPr="001C2CAE">
              <w:rPr>
                <w:color w:val="000000"/>
                <w:szCs w:val="20"/>
                <w:shd w:val="solid" w:color="000000" w:fill="000000"/>
                <w:fitText w:val="213" w:id="-961860856"/>
                <w14:textFill>
                  <w14:solidFill>
                    <w14:srgbClr w14:val="000000">
                      <w14:alpha w14:val="100000"/>
                    </w14:srgbClr>
                  </w14:solidFill>
                </w14:textFill>
              </w:rPr>
              <w:t>|</w:t>
            </w:r>
            <w:r w:rsidRPr="00456281">
              <w:rPr>
                <w:szCs w:val="20"/>
              </w:rPr>
              <w:t>%</w:t>
            </w:r>
          </w:p>
        </w:tc>
      </w:tr>
      <w:tr w:rsidR="00656290" w:rsidRPr="00456281" w14:paraId="013FAD0A" w14:textId="77777777" w:rsidTr="00832474">
        <w:trPr>
          <w:cantSplit/>
        </w:trPr>
        <w:tc>
          <w:tcPr>
            <w:tcW w:w="8997" w:type="dxa"/>
            <w:gridSpan w:val="5"/>
            <w:vAlign w:val="center"/>
          </w:tcPr>
          <w:p w14:paraId="23013AF6" w14:textId="77777777" w:rsidR="00656290" w:rsidRPr="00456281" w:rsidRDefault="00656290" w:rsidP="00656290">
            <w:pPr>
              <w:widowControl w:val="0"/>
              <w:spacing w:line="276" w:lineRule="auto"/>
              <w:jc w:val="left"/>
              <w:rPr>
                <w:rFonts w:ascii="Arial Narrow" w:hAnsi="Arial Narrow"/>
                <w:sz w:val="20"/>
                <w:szCs w:val="20"/>
                <w:u w:val="single"/>
              </w:rPr>
            </w:pPr>
            <w:r w:rsidRPr="00456281">
              <w:rPr>
                <w:rFonts w:ascii="Arial Narrow" w:hAnsi="Arial Narrow"/>
                <w:sz w:val="20"/>
                <w:szCs w:val="20"/>
                <w:u w:val="single"/>
              </w:rPr>
              <w:t>Utility weights (base case = NAPOLI-3 EQ-5D-5L UK)</w:t>
            </w:r>
          </w:p>
        </w:tc>
      </w:tr>
      <w:tr w:rsidR="00656290" w:rsidRPr="00456281" w14:paraId="18689F14" w14:textId="77777777" w:rsidTr="00F16C78">
        <w:trPr>
          <w:cantSplit/>
        </w:trPr>
        <w:tc>
          <w:tcPr>
            <w:tcW w:w="3712" w:type="dxa"/>
            <w:vAlign w:val="center"/>
          </w:tcPr>
          <w:p w14:paraId="02DDF88E" w14:textId="77777777" w:rsidR="00656290" w:rsidRPr="00456281" w:rsidRDefault="00656290" w:rsidP="00690769">
            <w:pPr>
              <w:pStyle w:val="ListParagraph"/>
              <w:widowControl w:val="0"/>
              <w:numPr>
                <w:ilvl w:val="0"/>
                <w:numId w:val="9"/>
              </w:numPr>
              <w:spacing w:after="0"/>
              <w:ind w:left="306"/>
              <w:contextualSpacing/>
              <w:rPr>
                <w:rFonts w:ascii="Arial Narrow" w:hAnsi="Arial Narrow"/>
                <w:sz w:val="20"/>
                <w:szCs w:val="20"/>
              </w:rPr>
            </w:pPr>
            <w:r w:rsidRPr="00456281">
              <w:rPr>
                <w:rFonts w:ascii="Arial Narrow" w:hAnsi="Arial Narrow"/>
                <w:sz w:val="20"/>
                <w:szCs w:val="20"/>
              </w:rPr>
              <w:t>Romanus 2012 UK</w:t>
            </w:r>
          </w:p>
        </w:tc>
        <w:tc>
          <w:tcPr>
            <w:tcW w:w="1446" w:type="dxa"/>
            <w:tcBorders>
              <w:bottom w:val="single" w:sz="4" w:space="0" w:color="auto"/>
            </w:tcBorders>
            <w:shd w:val="solid" w:color="000000" w:fill="000000"/>
            <w:vAlign w:val="center"/>
          </w:tcPr>
          <w:p w14:paraId="1895219A" w14:textId="2C81B797" w:rsidR="00656290" w:rsidRPr="009C3CBE" w:rsidRDefault="00F16C78" w:rsidP="00656290">
            <w:pPr>
              <w:widowControl w:val="0"/>
              <w:spacing w:line="276" w:lineRule="auto"/>
              <w:jc w:val="center"/>
              <w:rPr>
                <w:rFonts w:ascii="Arial Narrow" w:hAnsi="Arial Narrow"/>
                <w:sz w:val="20"/>
                <w:szCs w:val="20"/>
                <w:highlight w:val="lightGray"/>
              </w:rPr>
            </w:pPr>
            <w:r w:rsidRPr="00F16C78">
              <w:rPr>
                <w:rFonts w:ascii="Arial Narrow" w:hAnsi="Arial Narrow" w:cs="Calibri" w:hint="eastAsia"/>
                <w:color w:val="000000"/>
                <w:w w:val="22"/>
                <w:sz w:val="20"/>
                <w:szCs w:val="20"/>
                <w:fitText w:val="100" w:id="-961860864"/>
                <w14:textFill>
                  <w14:solidFill>
                    <w14:srgbClr w14:val="000000">
                      <w14:alpha w14:val="100000"/>
                    </w14:srgbClr>
                  </w14:solidFill>
                </w14:textFill>
              </w:rPr>
              <w:t xml:space="preserve">　</w:t>
            </w:r>
            <w:r w:rsidRPr="00F16C78">
              <w:rPr>
                <w:rFonts w:ascii="Arial Narrow" w:hAnsi="Arial Narrow" w:cs="Calibri"/>
                <w:color w:val="000000"/>
                <w:w w:val="22"/>
                <w:sz w:val="20"/>
                <w:szCs w:val="20"/>
                <w:fitText w:val="100" w:id="-961860864"/>
                <w14:textFill>
                  <w14:solidFill>
                    <w14:srgbClr w14:val="000000">
                      <w14:alpha w14:val="100000"/>
                    </w14:srgbClr>
                  </w14:solidFill>
                </w14:textFill>
              </w:rPr>
              <w:t>|</w:t>
            </w:r>
            <w:r w:rsidRPr="00F16C78">
              <w:rPr>
                <w:rFonts w:ascii="Arial Narrow" w:hAnsi="Arial Narrow" w:cs="Calibri" w:hint="eastAsia"/>
                <w:color w:val="000000"/>
                <w:w w:val="22"/>
                <w:sz w:val="20"/>
                <w:szCs w:val="20"/>
                <w:fitText w:val="100" w:id="-961860864"/>
                <w14:textFill>
                  <w14:solidFill>
                    <w14:srgbClr w14:val="000000">
                      <w14:alpha w14:val="100000"/>
                    </w14:srgbClr>
                  </w14:solidFill>
                </w14:textFill>
              </w:rPr>
              <w:t xml:space="preserve">　</w:t>
            </w:r>
          </w:p>
        </w:tc>
        <w:tc>
          <w:tcPr>
            <w:tcW w:w="1360" w:type="dxa"/>
            <w:vAlign w:val="center"/>
          </w:tcPr>
          <w:p w14:paraId="2C36D0E5" w14:textId="77777777" w:rsidR="00656290" w:rsidRPr="00456281" w:rsidRDefault="00656290" w:rsidP="00656290">
            <w:pPr>
              <w:widowControl w:val="0"/>
              <w:spacing w:line="276" w:lineRule="auto"/>
              <w:jc w:val="center"/>
              <w:rPr>
                <w:rFonts w:ascii="Arial Narrow" w:hAnsi="Arial Narrow"/>
                <w:sz w:val="20"/>
                <w:szCs w:val="20"/>
              </w:rPr>
            </w:pPr>
            <w:r w:rsidRPr="00456281">
              <w:rPr>
                <w:rFonts w:ascii="Arial Narrow" w:hAnsi="Arial Narrow"/>
                <w:sz w:val="20"/>
                <w:szCs w:val="20"/>
              </w:rPr>
              <w:t>0.1210</w:t>
            </w:r>
          </w:p>
        </w:tc>
        <w:tc>
          <w:tcPr>
            <w:tcW w:w="1399" w:type="dxa"/>
            <w:vAlign w:val="center"/>
          </w:tcPr>
          <w:p w14:paraId="4DF8B85F" w14:textId="4B2BD916" w:rsidR="00656290" w:rsidRPr="009C3CBE" w:rsidRDefault="00F16C78" w:rsidP="00656290">
            <w:pPr>
              <w:widowControl w:val="0"/>
              <w:spacing w:line="276" w:lineRule="auto"/>
              <w:jc w:val="center"/>
              <w:rPr>
                <w:rFonts w:ascii="Arial Narrow" w:hAnsi="Arial Narrow"/>
                <w:sz w:val="20"/>
                <w:szCs w:val="20"/>
                <w:highlight w:val="lightGray"/>
              </w:rPr>
            </w:pPr>
            <w:r w:rsidRPr="00F16C78">
              <w:rPr>
                <w:rFonts w:ascii="Arial Narrow" w:hAnsi="Arial Narrow" w:hint="eastAsia"/>
                <w:color w:val="000000"/>
                <w:w w:val="33"/>
                <w:sz w:val="20"/>
                <w:szCs w:val="20"/>
                <w:shd w:val="solid" w:color="000000" w:fill="000000"/>
                <w:fitText w:val="150" w:id="-961860863"/>
                <w14:textFill>
                  <w14:solidFill>
                    <w14:srgbClr w14:val="000000">
                      <w14:alpha w14:val="100000"/>
                    </w14:srgbClr>
                  </w14:solidFill>
                </w14:textFill>
              </w:rPr>
              <w:t xml:space="preserve">　</w:t>
            </w:r>
            <w:r w:rsidRPr="00F16C78">
              <w:rPr>
                <w:rFonts w:ascii="Arial Narrow" w:hAnsi="Arial Narrow"/>
                <w:color w:val="000000"/>
                <w:w w:val="33"/>
                <w:sz w:val="20"/>
                <w:szCs w:val="20"/>
                <w:shd w:val="solid" w:color="000000" w:fill="000000"/>
                <w:fitText w:val="150" w:id="-961860863"/>
                <w14:textFill>
                  <w14:solidFill>
                    <w14:srgbClr w14:val="000000">
                      <w14:alpha w14:val="100000"/>
                    </w14:srgbClr>
                  </w14:solidFill>
                </w14:textFill>
              </w:rPr>
              <w:t>|</w:t>
            </w:r>
            <w:r w:rsidRPr="00F16C78">
              <w:rPr>
                <w:rFonts w:ascii="Arial Narrow" w:hAnsi="Arial Narrow" w:hint="eastAsia"/>
                <w:color w:val="000000"/>
                <w:spacing w:val="4"/>
                <w:w w:val="33"/>
                <w:sz w:val="20"/>
                <w:szCs w:val="20"/>
                <w:shd w:val="solid" w:color="000000" w:fill="000000"/>
                <w:fitText w:val="150" w:id="-961860863"/>
                <w14:textFill>
                  <w14:solidFill>
                    <w14:srgbClr w14:val="000000">
                      <w14:alpha w14:val="100000"/>
                    </w14:srgbClr>
                  </w14:solidFill>
                </w14:textFill>
              </w:rPr>
              <w:t xml:space="preserve">　</w:t>
            </w:r>
            <w:r w:rsidR="004F343F" w:rsidRPr="009C3CBE">
              <w:rPr>
                <w:rFonts w:ascii="Arial Narrow" w:hAnsi="Arial Narrow"/>
                <w:sz w:val="20"/>
                <w:szCs w:val="20"/>
                <w:vertAlign w:val="superscript"/>
              </w:rPr>
              <w:t>2</w:t>
            </w:r>
          </w:p>
        </w:tc>
        <w:tc>
          <w:tcPr>
            <w:tcW w:w="1080" w:type="dxa"/>
            <w:vAlign w:val="center"/>
          </w:tcPr>
          <w:p w14:paraId="59C5E82B" w14:textId="7D4AA2FD" w:rsidR="00656290" w:rsidRPr="00456281" w:rsidRDefault="00656290" w:rsidP="00656290">
            <w:pPr>
              <w:widowControl w:val="0"/>
              <w:spacing w:line="276" w:lineRule="auto"/>
              <w:jc w:val="center"/>
              <w:rPr>
                <w:rFonts w:ascii="Arial Narrow" w:hAnsi="Arial Narrow"/>
                <w:sz w:val="20"/>
                <w:szCs w:val="20"/>
              </w:rPr>
            </w:pPr>
            <w:r w:rsidRPr="00456281">
              <w:rPr>
                <w:rFonts w:ascii="Arial Narrow" w:hAnsi="Arial Narrow" w:cs="Calibri"/>
                <w:color w:val="000000"/>
                <w:sz w:val="20"/>
                <w:szCs w:val="20"/>
              </w:rPr>
              <w:t>+</w:t>
            </w:r>
            <w:r w:rsidR="001C2CAE" w:rsidRPr="001C2CAE">
              <w:rPr>
                <w:bCs/>
                <w:color w:val="000000"/>
                <w:w w:val="96"/>
                <w:szCs w:val="20"/>
                <w:shd w:val="solid" w:color="000000" w:fill="000000"/>
                <w:fitText w:val="213" w:id="-961860856"/>
                <w14:textFill>
                  <w14:solidFill>
                    <w14:srgbClr w14:val="000000">
                      <w14:alpha w14:val="100000"/>
                    </w14:srgbClr>
                  </w14:solidFill>
                </w14:textFill>
              </w:rPr>
              <w:t>||</w:t>
            </w:r>
            <w:r w:rsidRPr="00456281">
              <w:rPr>
                <w:rFonts w:ascii="Arial Narrow" w:hAnsi="Arial Narrow" w:cs="Calibri"/>
                <w:color w:val="000000"/>
                <w:sz w:val="20"/>
                <w:szCs w:val="20"/>
              </w:rPr>
              <w:t>%</w:t>
            </w:r>
          </w:p>
        </w:tc>
      </w:tr>
      <w:tr w:rsidR="00656290" w:rsidRPr="00456281" w14:paraId="17CCEFFC" w14:textId="77777777" w:rsidTr="00F16C78">
        <w:trPr>
          <w:cantSplit/>
        </w:trPr>
        <w:tc>
          <w:tcPr>
            <w:tcW w:w="3712" w:type="dxa"/>
            <w:vAlign w:val="center"/>
          </w:tcPr>
          <w:p w14:paraId="00AB737F" w14:textId="77777777" w:rsidR="00656290" w:rsidRPr="00456281" w:rsidRDefault="00656290" w:rsidP="00690769">
            <w:pPr>
              <w:pStyle w:val="ListParagraph"/>
              <w:widowControl w:val="0"/>
              <w:numPr>
                <w:ilvl w:val="0"/>
                <w:numId w:val="9"/>
              </w:numPr>
              <w:spacing w:after="0"/>
              <w:ind w:left="306"/>
              <w:contextualSpacing/>
              <w:rPr>
                <w:rFonts w:ascii="Arial Narrow" w:hAnsi="Arial Narrow"/>
                <w:sz w:val="20"/>
                <w:szCs w:val="20"/>
              </w:rPr>
            </w:pPr>
            <w:r w:rsidRPr="00456281">
              <w:rPr>
                <w:rFonts w:ascii="Arial Narrow" w:hAnsi="Arial Narrow"/>
                <w:sz w:val="20"/>
                <w:szCs w:val="20"/>
              </w:rPr>
              <w:t>SEIGE trial – Devlin value set</w:t>
            </w:r>
          </w:p>
        </w:tc>
        <w:tc>
          <w:tcPr>
            <w:tcW w:w="1446" w:type="dxa"/>
            <w:tcBorders>
              <w:bottom w:val="single" w:sz="4" w:space="0" w:color="auto"/>
            </w:tcBorders>
            <w:shd w:val="solid" w:color="000000" w:fill="000000"/>
            <w:vAlign w:val="center"/>
          </w:tcPr>
          <w:p w14:paraId="4C7A8F93" w14:textId="62ABC6C9" w:rsidR="00656290" w:rsidRPr="009C3CBE" w:rsidRDefault="00F16C78" w:rsidP="00656290">
            <w:pPr>
              <w:widowControl w:val="0"/>
              <w:spacing w:line="276" w:lineRule="auto"/>
              <w:jc w:val="center"/>
              <w:rPr>
                <w:rFonts w:ascii="Arial Narrow" w:hAnsi="Arial Narrow"/>
                <w:sz w:val="20"/>
                <w:szCs w:val="20"/>
                <w:highlight w:val="lightGray"/>
              </w:rPr>
            </w:pPr>
            <w:r w:rsidRPr="00F16C78">
              <w:rPr>
                <w:rFonts w:ascii="Arial Narrow" w:hAnsi="Arial Narrow" w:cs="Calibri" w:hint="eastAsia"/>
                <w:color w:val="000000"/>
                <w:w w:val="22"/>
                <w:sz w:val="20"/>
                <w:szCs w:val="20"/>
                <w:fitText w:val="100" w:id="-961860862"/>
                <w14:textFill>
                  <w14:solidFill>
                    <w14:srgbClr w14:val="000000">
                      <w14:alpha w14:val="100000"/>
                    </w14:srgbClr>
                  </w14:solidFill>
                </w14:textFill>
              </w:rPr>
              <w:t xml:space="preserve">　</w:t>
            </w:r>
            <w:r w:rsidRPr="00F16C78">
              <w:rPr>
                <w:rFonts w:ascii="Arial Narrow" w:hAnsi="Arial Narrow" w:cs="Calibri"/>
                <w:color w:val="000000"/>
                <w:w w:val="22"/>
                <w:sz w:val="20"/>
                <w:szCs w:val="20"/>
                <w:fitText w:val="100" w:id="-961860862"/>
                <w14:textFill>
                  <w14:solidFill>
                    <w14:srgbClr w14:val="000000">
                      <w14:alpha w14:val="100000"/>
                    </w14:srgbClr>
                  </w14:solidFill>
                </w14:textFill>
              </w:rPr>
              <w:t>|</w:t>
            </w:r>
            <w:r w:rsidRPr="00F16C78">
              <w:rPr>
                <w:rFonts w:ascii="Arial Narrow" w:hAnsi="Arial Narrow" w:cs="Calibri" w:hint="eastAsia"/>
                <w:color w:val="000000"/>
                <w:w w:val="22"/>
                <w:sz w:val="20"/>
                <w:szCs w:val="20"/>
                <w:fitText w:val="100" w:id="-961860862"/>
                <w14:textFill>
                  <w14:solidFill>
                    <w14:srgbClr w14:val="000000">
                      <w14:alpha w14:val="100000"/>
                    </w14:srgbClr>
                  </w14:solidFill>
                </w14:textFill>
              </w:rPr>
              <w:t xml:space="preserve">　</w:t>
            </w:r>
          </w:p>
        </w:tc>
        <w:tc>
          <w:tcPr>
            <w:tcW w:w="1360" w:type="dxa"/>
            <w:vAlign w:val="center"/>
          </w:tcPr>
          <w:p w14:paraId="14E2DC56" w14:textId="77777777" w:rsidR="00656290" w:rsidRPr="00456281" w:rsidRDefault="00656290" w:rsidP="00656290">
            <w:pPr>
              <w:widowControl w:val="0"/>
              <w:spacing w:line="276" w:lineRule="auto"/>
              <w:jc w:val="center"/>
              <w:rPr>
                <w:rFonts w:ascii="Arial Narrow" w:hAnsi="Arial Narrow"/>
                <w:sz w:val="20"/>
                <w:szCs w:val="20"/>
              </w:rPr>
            </w:pPr>
            <w:r w:rsidRPr="00456281">
              <w:rPr>
                <w:rFonts w:ascii="Arial Narrow" w:hAnsi="Arial Narrow"/>
                <w:sz w:val="20"/>
                <w:szCs w:val="20"/>
              </w:rPr>
              <w:t>0.1283</w:t>
            </w:r>
          </w:p>
        </w:tc>
        <w:tc>
          <w:tcPr>
            <w:tcW w:w="1399" w:type="dxa"/>
            <w:vAlign w:val="center"/>
          </w:tcPr>
          <w:p w14:paraId="5E2B9DB1" w14:textId="6B79FDAF" w:rsidR="00656290" w:rsidRPr="009C3CBE" w:rsidRDefault="00F16C78" w:rsidP="00656290">
            <w:pPr>
              <w:widowControl w:val="0"/>
              <w:spacing w:line="276" w:lineRule="auto"/>
              <w:jc w:val="center"/>
              <w:rPr>
                <w:rFonts w:ascii="Arial Narrow" w:hAnsi="Arial Narrow"/>
                <w:sz w:val="20"/>
                <w:szCs w:val="20"/>
                <w:highlight w:val="lightGray"/>
              </w:rPr>
            </w:pPr>
            <w:r w:rsidRPr="00F16C78">
              <w:rPr>
                <w:rFonts w:ascii="Arial Narrow" w:hAnsi="Arial Narrow"/>
                <w:color w:val="000000"/>
                <w:spacing w:val="76"/>
                <w:sz w:val="20"/>
                <w:szCs w:val="20"/>
                <w:shd w:val="solid" w:color="000000" w:fill="000000"/>
                <w:fitText w:val="162" w:id="-961860861"/>
                <w14:textFill>
                  <w14:solidFill>
                    <w14:srgbClr w14:val="000000">
                      <w14:alpha w14:val="100000"/>
                    </w14:srgbClr>
                  </w14:solidFill>
                </w14:textFill>
              </w:rPr>
              <w:t>|</w:t>
            </w:r>
            <w:r w:rsidRPr="00F16C78">
              <w:rPr>
                <w:rFonts w:ascii="Arial Narrow" w:hAnsi="Arial Narrow"/>
                <w:color w:val="000000"/>
                <w:spacing w:val="1"/>
                <w:sz w:val="20"/>
                <w:szCs w:val="20"/>
                <w:shd w:val="solid" w:color="000000" w:fill="000000"/>
                <w:fitText w:val="162" w:id="-961860861"/>
                <w14:textFill>
                  <w14:solidFill>
                    <w14:srgbClr w14:val="000000">
                      <w14:alpha w14:val="100000"/>
                    </w14:srgbClr>
                  </w14:solidFill>
                </w14:textFill>
              </w:rPr>
              <w:t>|</w:t>
            </w:r>
            <w:r w:rsidR="00082F5E" w:rsidRPr="00D21B8B">
              <w:rPr>
                <w:bCs/>
                <w:szCs w:val="20"/>
                <w:vertAlign w:val="superscript"/>
              </w:rPr>
              <w:t>1</w:t>
            </w:r>
          </w:p>
        </w:tc>
        <w:tc>
          <w:tcPr>
            <w:tcW w:w="1080" w:type="dxa"/>
            <w:vAlign w:val="center"/>
          </w:tcPr>
          <w:p w14:paraId="4A4D6FF5" w14:textId="621DA2AD" w:rsidR="00656290" w:rsidRPr="00456281" w:rsidRDefault="00656290" w:rsidP="00656290">
            <w:pPr>
              <w:widowControl w:val="0"/>
              <w:spacing w:line="276" w:lineRule="auto"/>
              <w:jc w:val="center"/>
              <w:rPr>
                <w:rFonts w:ascii="Arial Narrow" w:hAnsi="Arial Narrow"/>
                <w:sz w:val="20"/>
                <w:szCs w:val="20"/>
              </w:rPr>
            </w:pPr>
            <w:r w:rsidRPr="00456281">
              <w:rPr>
                <w:rFonts w:ascii="Arial Narrow" w:hAnsi="Arial Narrow" w:cs="Calibri"/>
                <w:color w:val="000000"/>
                <w:sz w:val="20"/>
                <w:szCs w:val="20"/>
              </w:rPr>
              <w:t>+</w:t>
            </w:r>
            <w:r w:rsidR="001C2CAE" w:rsidRPr="001C2CAE">
              <w:rPr>
                <w:bCs/>
                <w:color w:val="000000"/>
                <w:w w:val="96"/>
                <w:szCs w:val="20"/>
                <w:shd w:val="solid" w:color="000000" w:fill="000000"/>
                <w:fitText w:val="213" w:id="-961860856"/>
                <w14:textFill>
                  <w14:solidFill>
                    <w14:srgbClr w14:val="000000">
                      <w14:alpha w14:val="100000"/>
                    </w14:srgbClr>
                  </w14:solidFill>
                </w14:textFill>
              </w:rPr>
              <w:t>||</w:t>
            </w:r>
            <w:r w:rsidRPr="00456281">
              <w:rPr>
                <w:rFonts w:ascii="Arial Narrow" w:hAnsi="Arial Narrow" w:cs="Calibri"/>
                <w:color w:val="000000"/>
                <w:sz w:val="20"/>
                <w:szCs w:val="20"/>
              </w:rPr>
              <w:t>%</w:t>
            </w:r>
          </w:p>
        </w:tc>
      </w:tr>
      <w:tr w:rsidR="00656290" w:rsidRPr="00456281" w14:paraId="5A4E615C" w14:textId="77777777" w:rsidTr="00F16C78">
        <w:trPr>
          <w:cantSplit/>
        </w:trPr>
        <w:tc>
          <w:tcPr>
            <w:tcW w:w="3712" w:type="dxa"/>
            <w:vAlign w:val="center"/>
          </w:tcPr>
          <w:p w14:paraId="2C1F5231" w14:textId="77777777" w:rsidR="00656290" w:rsidRPr="00456281" w:rsidRDefault="00656290" w:rsidP="00690769">
            <w:pPr>
              <w:pStyle w:val="ListParagraph"/>
              <w:widowControl w:val="0"/>
              <w:numPr>
                <w:ilvl w:val="0"/>
                <w:numId w:val="9"/>
              </w:numPr>
              <w:spacing w:after="0"/>
              <w:ind w:left="306"/>
              <w:contextualSpacing/>
              <w:rPr>
                <w:rFonts w:ascii="Arial Narrow" w:hAnsi="Arial Narrow"/>
                <w:sz w:val="20"/>
                <w:szCs w:val="20"/>
              </w:rPr>
            </w:pPr>
            <w:r w:rsidRPr="00456281">
              <w:rPr>
                <w:rFonts w:ascii="Arial Narrow" w:hAnsi="Arial Narrow"/>
                <w:sz w:val="20"/>
                <w:szCs w:val="20"/>
              </w:rPr>
              <w:t>SEIGE trial - crosswalk</w:t>
            </w:r>
          </w:p>
        </w:tc>
        <w:tc>
          <w:tcPr>
            <w:tcW w:w="1446" w:type="dxa"/>
            <w:shd w:val="solid" w:color="000000" w:fill="000000"/>
            <w:vAlign w:val="center"/>
          </w:tcPr>
          <w:p w14:paraId="48A0EBC1" w14:textId="2E9F0976" w:rsidR="00656290" w:rsidRPr="009C3CBE" w:rsidRDefault="00F16C78" w:rsidP="00656290">
            <w:pPr>
              <w:widowControl w:val="0"/>
              <w:spacing w:line="276" w:lineRule="auto"/>
              <w:jc w:val="center"/>
              <w:rPr>
                <w:rFonts w:ascii="Arial Narrow" w:hAnsi="Arial Narrow"/>
                <w:sz w:val="20"/>
                <w:szCs w:val="20"/>
                <w:highlight w:val="lightGray"/>
              </w:rPr>
            </w:pPr>
            <w:r w:rsidRPr="00F16C78">
              <w:rPr>
                <w:rFonts w:ascii="Arial Narrow" w:hAnsi="Arial Narrow" w:cs="Calibri" w:hint="eastAsia"/>
                <w:color w:val="000000"/>
                <w:w w:val="22"/>
                <w:sz w:val="20"/>
                <w:szCs w:val="20"/>
                <w:fitText w:val="100" w:id="-961860860"/>
                <w14:textFill>
                  <w14:solidFill>
                    <w14:srgbClr w14:val="000000">
                      <w14:alpha w14:val="100000"/>
                    </w14:srgbClr>
                  </w14:solidFill>
                </w14:textFill>
              </w:rPr>
              <w:t xml:space="preserve">　</w:t>
            </w:r>
            <w:r w:rsidRPr="00F16C78">
              <w:rPr>
                <w:rFonts w:ascii="Arial Narrow" w:hAnsi="Arial Narrow" w:cs="Calibri"/>
                <w:color w:val="000000"/>
                <w:w w:val="22"/>
                <w:sz w:val="20"/>
                <w:szCs w:val="20"/>
                <w:fitText w:val="100" w:id="-961860860"/>
                <w14:textFill>
                  <w14:solidFill>
                    <w14:srgbClr w14:val="000000">
                      <w14:alpha w14:val="100000"/>
                    </w14:srgbClr>
                  </w14:solidFill>
                </w14:textFill>
              </w:rPr>
              <w:t>|</w:t>
            </w:r>
            <w:r w:rsidRPr="00F16C78">
              <w:rPr>
                <w:rFonts w:ascii="Arial Narrow" w:hAnsi="Arial Narrow" w:cs="Calibri" w:hint="eastAsia"/>
                <w:color w:val="000000"/>
                <w:w w:val="22"/>
                <w:sz w:val="20"/>
                <w:szCs w:val="20"/>
                <w:fitText w:val="100" w:id="-961860860"/>
                <w14:textFill>
                  <w14:solidFill>
                    <w14:srgbClr w14:val="000000">
                      <w14:alpha w14:val="100000"/>
                    </w14:srgbClr>
                  </w14:solidFill>
                </w14:textFill>
              </w:rPr>
              <w:t xml:space="preserve">　</w:t>
            </w:r>
          </w:p>
        </w:tc>
        <w:tc>
          <w:tcPr>
            <w:tcW w:w="1360" w:type="dxa"/>
            <w:vAlign w:val="center"/>
          </w:tcPr>
          <w:p w14:paraId="60812FAA" w14:textId="77777777" w:rsidR="00656290" w:rsidRPr="00456281" w:rsidRDefault="00656290" w:rsidP="00656290">
            <w:pPr>
              <w:widowControl w:val="0"/>
              <w:spacing w:line="276" w:lineRule="auto"/>
              <w:jc w:val="center"/>
              <w:rPr>
                <w:rFonts w:ascii="Arial Narrow" w:hAnsi="Arial Narrow"/>
                <w:sz w:val="20"/>
                <w:szCs w:val="20"/>
              </w:rPr>
            </w:pPr>
            <w:r w:rsidRPr="00456281">
              <w:rPr>
                <w:rFonts w:ascii="Arial Narrow" w:hAnsi="Arial Narrow"/>
                <w:sz w:val="20"/>
                <w:szCs w:val="20"/>
              </w:rPr>
              <w:t>0.1140</w:t>
            </w:r>
          </w:p>
        </w:tc>
        <w:tc>
          <w:tcPr>
            <w:tcW w:w="1399" w:type="dxa"/>
            <w:vAlign w:val="center"/>
          </w:tcPr>
          <w:p w14:paraId="570E83D1" w14:textId="6465252D" w:rsidR="00656290" w:rsidRPr="009C3CBE" w:rsidRDefault="00F16C78" w:rsidP="00656290">
            <w:pPr>
              <w:widowControl w:val="0"/>
              <w:spacing w:line="276" w:lineRule="auto"/>
              <w:jc w:val="center"/>
              <w:rPr>
                <w:rFonts w:ascii="Arial Narrow" w:hAnsi="Arial Narrow"/>
                <w:sz w:val="20"/>
                <w:szCs w:val="20"/>
                <w:highlight w:val="lightGray"/>
              </w:rPr>
            </w:pPr>
            <w:r w:rsidRPr="00F16C78">
              <w:rPr>
                <w:rFonts w:ascii="Arial Narrow" w:hAnsi="Arial Narrow" w:hint="eastAsia"/>
                <w:color w:val="000000"/>
                <w:w w:val="33"/>
                <w:sz w:val="20"/>
                <w:szCs w:val="20"/>
                <w:shd w:val="solid" w:color="000000" w:fill="000000"/>
                <w:fitText w:val="150" w:id="-961860859"/>
                <w14:textFill>
                  <w14:solidFill>
                    <w14:srgbClr w14:val="000000">
                      <w14:alpha w14:val="100000"/>
                    </w14:srgbClr>
                  </w14:solidFill>
                </w14:textFill>
              </w:rPr>
              <w:t xml:space="preserve">　</w:t>
            </w:r>
            <w:r w:rsidRPr="00F16C78">
              <w:rPr>
                <w:rFonts w:ascii="Arial Narrow" w:hAnsi="Arial Narrow"/>
                <w:color w:val="000000"/>
                <w:w w:val="33"/>
                <w:sz w:val="20"/>
                <w:szCs w:val="20"/>
                <w:shd w:val="solid" w:color="000000" w:fill="000000"/>
                <w:fitText w:val="150" w:id="-961860859"/>
                <w14:textFill>
                  <w14:solidFill>
                    <w14:srgbClr w14:val="000000">
                      <w14:alpha w14:val="100000"/>
                    </w14:srgbClr>
                  </w14:solidFill>
                </w14:textFill>
              </w:rPr>
              <w:t>|</w:t>
            </w:r>
            <w:r w:rsidRPr="00F16C78">
              <w:rPr>
                <w:rFonts w:ascii="Arial Narrow" w:hAnsi="Arial Narrow" w:hint="eastAsia"/>
                <w:color w:val="000000"/>
                <w:spacing w:val="4"/>
                <w:w w:val="33"/>
                <w:sz w:val="20"/>
                <w:szCs w:val="20"/>
                <w:shd w:val="solid" w:color="000000" w:fill="000000"/>
                <w:fitText w:val="150" w:id="-961860859"/>
                <w14:textFill>
                  <w14:solidFill>
                    <w14:srgbClr w14:val="000000">
                      <w14:alpha w14:val="100000"/>
                    </w14:srgbClr>
                  </w14:solidFill>
                </w14:textFill>
              </w:rPr>
              <w:t xml:space="preserve">　</w:t>
            </w:r>
            <w:r w:rsidR="004F343F" w:rsidRPr="00D21B8B">
              <w:rPr>
                <w:rFonts w:ascii="Arial Narrow" w:hAnsi="Arial Narrow"/>
                <w:sz w:val="20"/>
                <w:szCs w:val="20"/>
                <w:vertAlign w:val="superscript"/>
              </w:rPr>
              <w:t>2</w:t>
            </w:r>
          </w:p>
        </w:tc>
        <w:tc>
          <w:tcPr>
            <w:tcW w:w="1080" w:type="dxa"/>
            <w:vAlign w:val="center"/>
          </w:tcPr>
          <w:p w14:paraId="62E3DAD1" w14:textId="06397B2B" w:rsidR="00656290" w:rsidRPr="00456281" w:rsidRDefault="00656290" w:rsidP="00656290">
            <w:pPr>
              <w:widowControl w:val="0"/>
              <w:spacing w:line="276" w:lineRule="auto"/>
              <w:jc w:val="center"/>
              <w:rPr>
                <w:rFonts w:ascii="Arial Narrow" w:hAnsi="Arial Narrow"/>
                <w:sz w:val="20"/>
                <w:szCs w:val="20"/>
              </w:rPr>
            </w:pPr>
            <w:r w:rsidRPr="00456281">
              <w:rPr>
                <w:rFonts w:ascii="Arial Narrow" w:hAnsi="Arial Narrow" w:cs="Calibri"/>
                <w:color w:val="000000"/>
                <w:sz w:val="20"/>
                <w:szCs w:val="20"/>
              </w:rPr>
              <w:t>+</w:t>
            </w:r>
            <w:r w:rsidR="001C2CAE" w:rsidRPr="001C2CAE">
              <w:rPr>
                <w:bCs/>
                <w:color w:val="000000"/>
                <w:w w:val="96"/>
                <w:szCs w:val="20"/>
                <w:shd w:val="solid" w:color="000000" w:fill="000000"/>
                <w:fitText w:val="213" w:id="-961860856"/>
                <w14:textFill>
                  <w14:solidFill>
                    <w14:srgbClr w14:val="000000">
                      <w14:alpha w14:val="100000"/>
                    </w14:srgbClr>
                  </w14:solidFill>
                </w14:textFill>
              </w:rPr>
              <w:t>||</w:t>
            </w:r>
            <w:r w:rsidRPr="00456281">
              <w:rPr>
                <w:rFonts w:ascii="Arial Narrow" w:hAnsi="Arial Narrow" w:cs="Calibri"/>
                <w:color w:val="000000"/>
                <w:sz w:val="20"/>
                <w:szCs w:val="20"/>
              </w:rPr>
              <w:t>%</w:t>
            </w:r>
          </w:p>
        </w:tc>
      </w:tr>
      <w:tr w:rsidR="00656290" w:rsidRPr="00456281" w14:paraId="0F05BA85" w14:textId="77777777" w:rsidTr="00832474">
        <w:trPr>
          <w:cantSplit/>
        </w:trPr>
        <w:tc>
          <w:tcPr>
            <w:tcW w:w="8997" w:type="dxa"/>
            <w:gridSpan w:val="5"/>
            <w:vAlign w:val="center"/>
          </w:tcPr>
          <w:p w14:paraId="0BF9F3AC" w14:textId="77777777" w:rsidR="00656290" w:rsidRPr="00456281" w:rsidRDefault="00656290" w:rsidP="00656290">
            <w:pPr>
              <w:widowControl w:val="0"/>
              <w:jc w:val="left"/>
              <w:rPr>
                <w:rFonts w:ascii="Arial Narrow" w:hAnsi="Arial Narrow"/>
                <w:sz w:val="20"/>
                <w:szCs w:val="20"/>
                <w:u w:val="single"/>
              </w:rPr>
            </w:pPr>
            <w:r w:rsidRPr="00456281">
              <w:rPr>
                <w:rFonts w:ascii="Arial Narrow" w:hAnsi="Arial Narrow"/>
                <w:sz w:val="20"/>
                <w:szCs w:val="20"/>
                <w:u w:val="single"/>
              </w:rPr>
              <w:t>OS extrapolation function (base case = Weibull)</w:t>
            </w:r>
          </w:p>
        </w:tc>
      </w:tr>
      <w:tr w:rsidR="00656290" w:rsidRPr="00456281" w14:paraId="3F0032FC" w14:textId="77777777" w:rsidTr="00F16C78">
        <w:trPr>
          <w:cantSplit/>
        </w:trPr>
        <w:tc>
          <w:tcPr>
            <w:tcW w:w="3712" w:type="dxa"/>
            <w:vAlign w:val="center"/>
          </w:tcPr>
          <w:p w14:paraId="69D13A29" w14:textId="77777777" w:rsidR="00656290" w:rsidRPr="00456281" w:rsidRDefault="00656290" w:rsidP="00690769">
            <w:pPr>
              <w:pStyle w:val="ListParagraph"/>
              <w:widowControl w:val="0"/>
              <w:numPr>
                <w:ilvl w:val="0"/>
                <w:numId w:val="10"/>
              </w:numPr>
              <w:spacing w:after="0"/>
              <w:ind w:left="306"/>
              <w:contextualSpacing/>
              <w:rPr>
                <w:rFonts w:ascii="Arial Narrow" w:hAnsi="Arial Narrow"/>
                <w:sz w:val="20"/>
                <w:szCs w:val="20"/>
              </w:rPr>
            </w:pPr>
            <w:r w:rsidRPr="00456281">
              <w:rPr>
                <w:rFonts w:ascii="Arial Narrow" w:hAnsi="Arial Narrow"/>
                <w:sz w:val="20"/>
                <w:szCs w:val="20"/>
              </w:rPr>
              <w:t>Generalised gamma</w:t>
            </w:r>
          </w:p>
        </w:tc>
        <w:tc>
          <w:tcPr>
            <w:tcW w:w="1446" w:type="dxa"/>
            <w:tcBorders>
              <w:bottom w:val="single" w:sz="4" w:space="0" w:color="auto"/>
            </w:tcBorders>
            <w:shd w:val="solid" w:color="000000" w:fill="000000"/>
            <w:vAlign w:val="center"/>
          </w:tcPr>
          <w:p w14:paraId="1AB1196E" w14:textId="6B477659" w:rsidR="00656290" w:rsidRPr="009C3CBE" w:rsidRDefault="00F16C78" w:rsidP="00656290">
            <w:pPr>
              <w:widowControl w:val="0"/>
              <w:jc w:val="center"/>
              <w:rPr>
                <w:rFonts w:ascii="Arial Narrow" w:hAnsi="Arial Narrow"/>
                <w:sz w:val="20"/>
                <w:szCs w:val="20"/>
                <w:highlight w:val="lightGray"/>
              </w:rPr>
            </w:pPr>
            <w:r w:rsidRPr="00F16C78">
              <w:rPr>
                <w:rFonts w:ascii="Arial Narrow" w:hAnsi="Arial Narrow" w:cs="Calibri" w:hint="eastAsia"/>
                <w:color w:val="000000"/>
                <w:w w:val="22"/>
                <w:sz w:val="20"/>
                <w:szCs w:val="20"/>
                <w:fitText w:val="100" w:id="-961860858"/>
                <w14:textFill>
                  <w14:solidFill>
                    <w14:srgbClr w14:val="000000">
                      <w14:alpha w14:val="100000"/>
                    </w14:srgbClr>
                  </w14:solidFill>
                </w14:textFill>
              </w:rPr>
              <w:t xml:space="preserve">　</w:t>
            </w:r>
            <w:r w:rsidRPr="00F16C78">
              <w:rPr>
                <w:rFonts w:ascii="Arial Narrow" w:hAnsi="Arial Narrow" w:cs="Calibri"/>
                <w:color w:val="000000"/>
                <w:w w:val="22"/>
                <w:sz w:val="20"/>
                <w:szCs w:val="20"/>
                <w:fitText w:val="100" w:id="-961860858"/>
                <w14:textFill>
                  <w14:solidFill>
                    <w14:srgbClr w14:val="000000">
                      <w14:alpha w14:val="100000"/>
                    </w14:srgbClr>
                  </w14:solidFill>
                </w14:textFill>
              </w:rPr>
              <w:t>|</w:t>
            </w:r>
            <w:r w:rsidRPr="00F16C78">
              <w:rPr>
                <w:rFonts w:ascii="Arial Narrow" w:hAnsi="Arial Narrow" w:cs="Calibri" w:hint="eastAsia"/>
                <w:color w:val="000000"/>
                <w:w w:val="22"/>
                <w:sz w:val="20"/>
                <w:szCs w:val="20"/>
                <w:fitText w:val="100" w:id="-961860858"/>
                <w14:textFill>
                  <w14:solidFill>
                    <w14:srgbClr w14:val="000000">
                      <w14:alpha w14:val="100000"/>
                    </w14:srgbClr>
                  </w14:solidFill>
                </w14:textFill>
              </w:rPr>
              <w:t xml:space="preserve">　</w:t>
            </w:r>
          </w:p>
        </w:tc>
        <w:tc>
          <w:tcPr>
            <w:tcW w:w="1360" w:type="dxa"/>
            <w:vAlign w:val="center"/>
          </w:tcPr>
          <w:p w14:paraId="17293EF8" w14:textId="77777777" w:rsidR="00656290" w:rsidRPr="00456281" w:rsidRDefault="00656290" w:rsidP="00656290">
            <w:pPr>
              <w:widowControl w:val="0"/>
              <w:jc w:val="center"/>
              <w:rPr>
                <w:rFonts w:ascii="Arial Narrow" w:hAnsi="Arial Narrow"/>
                <w:sz w:val="20"/>
                <w:szCs w:val="20"/>
              </w:rPr>
            </w:pPr>
            <w:r w:rsidRPr="00456281">
              <w:rPr>
                <w:rFonts w:ascii="Arial Narrow" w:hAnsi="Arial Narrow"/>
                <w:sz w:val="20"/>
                <w:szCs w:val="20"/>
              </w:rPr>
              <w:t>0.1399</w:t>
            </w:r>
          </w:p>
        </w:tc>
        <w:tc>
          <w:tcPr>
            <w:tcW w:w="1399" w:type="dxa"/>
            <w:vAlign w:val="center"/>
          </w:tcPr>
          <w:p w14:paraId="246177CD" w14:textId="41BD0977" w:rsidR="00656290" w:rsidRPr="009C3CBE" w:rsidRDefault="00F16C78" w:rsidP="00656290">
            <w:pPr>
              <w:widowControl w:val="0"/>
              <w:jc w:val="center"/>
              <w:rPr>
                <w:rFonts w:ascii="Arial Narrow" w:hAnsi="Arial Narrow"/>
                <w:sz w:val="20"/>
                <w:szCs w:val="20"/>
                <w:highlight w:val="lightGray"/>
              </w:rPr>
            </w:pPr>
            <w:r w:rsidRPr="00F16C78">
              <w:rPr>
                <w:rFonts w:ascii="Arial Narrow" w:hAnsi="Arial Narrow"/>
                <w:color w:val="000000"/>
                <w:spacing w:val="76"/>
                <w:sz w:val="20"/>
                <w:szCs w:val="20"/>
                <w:shd w:val="solid" w:color="000000" w:fill="000000"/>
                <w:fitText w:val="162" w:id="-961860857"/>
                <w14:textFill>
                  <w14:solidFill>
                    <w14:srgbClr w14:val="000000">
                      <w14:alpha w14:val="100000"/>
                    </w14:srgbClr>
                  </w14:solidFill>
                </w14:textFill>
              </w:rPr>
              <w:t>|</w:t>
            </w:r>
            <w:r w:rsidRPr="00F16C78">
              <w:rPr>
                <w:rFonts w:ascii="Arial Narrow" w:hAnsi="Arial Narrow"/>
                <w:color w:val="000000"/>
                <w:spacing w:val="1"/>
                <w:sz w:val="20"/>
                <w:szCs w:val="20"/>
                <w:shd w:val="solid" w:color="000000" w:fill="000000"/>
                <w:fitText w:val="162" w:id="-961860857"/>
                <w14:textFill>
                  <w14:solidFill>
                    <w14:srgbClr w14:val="000000">
                      <w14:alpha w14:val="100000"/>
                    </w14:srgbClr>
                  </w14:solidFill>
                </w14:textFill>
              </w:rPr>
              <w:t>|</w:t>
            </w:r>
            <w:r w:rsidR="00082F5E" w:rsidRPr="00D21B8B">
              <w:rPr>
                <w:bCs/>
                <w:szCs w:val="20"/>
                <w:vertAlign w:val="superscript"/>
              </w:rPr>
              <w:t>1</w:t>
            </w:r>
          </w:p>
        </w:tc>
        <w:tc>
          <w:tcPr>
            <w:tcW w:w="1080" w:type="dxa"/>
            <w:vAlign w:val="center"/>
          </w:tcPr>
          <w:p w14:paraId="4A3DC6CB" w14:textId="5F17C467" w:rsidR="00656290" w:rsidRPr="00456281" w:rsidRDefault="00656290" w:rsidP="00656290">
            <w:pPr>
              <w:widowControl w:val="0"/>
              <w:jc w:val="center"/>
              <w:rPr>
                <w:rFonts w:ascii="Arial Narrow" w:hAnsi="Arial Narrow"/>
                <w:sz w:val="20"/>
                <w:szCs w:val="20"/>
              </w:rPr>
            </w:pPr>
            <w:r w:rsidRPr="00456281">
              <w:rPr>
                <w:rFonts w:ascii="Arial Narrow" w:hAnsi="Arial Narrow" w:cs="Calibri"/>
                <w:color w:val="000000"/>
                <w:sz w:val="20"/>
                <w:szCs w:val="20"/>
              </w:rPr>
              <w:t>-</w:t>
            </w:r>
            <w:r w:rsidR="001C2CAE" w:rsidRPr="001C2CAE">
              <w:rPr>
                <w:bCs/>
                <w:color w:val="000000"/>
                <w:w w:val="96"/>
                <w:szCs w:val="20"/>
                <w:shd w:val="solid" w:color="000000" w:fill="000000"/>
                <w:fitText w:val="213" w:id="-961860856"/>
                <w14:textFill>
                  <w14:solidFill>
                    <w14:srgbClr w14:val="000000">
                      <w14:alpha w14:val="100000"/>
                    </w14:srgbClr>
                  </w14:solidFill>
                </w14:textFill>
              </w:rPr>
              <w:t>||</w:t>
            </w:r>
            <w:r w:rsidRPr="00456281">
              <w:rPr>
                <w:rFonts w:ascii="Arial Narrow" w:hAnsi="Arial Narrow" w:cs="Calibri"/>
                <w:color w:val="000000"/>
                <w:sz w:val="20"/>
                <w:szCs w:val="20"/>
              </w:rPr>
              <w:t>%</w:t>
            </w:r>
          </w:p>
        </w:tc>
      </w:tr>
      <w:tr w:rsidR="00656290" w:rsidRPr="00456281" w14:paraId="7909F0A8" w14:textId="77777777" w:rsidTr="00F16C78">
        <w:trPr>
          <w:cantSplit/>
        </w:trPr>
        <w:tc>
          <w:tcPr>
            <w:tcW w:w="3712" w:type="dxa"/>
            <w:vAlign w:val="center"/>
          </w:tcPr>
          <w:p w14:paraId="05B0D434" w14:textId="77777777" w:rsidR="00656290" w:rsidRPr="00456281" w:rsidRDefault="00656290" w:rsidP="00690769">
            <w:pPr>
              <w:pStyle w:val="ListParagraph"/>
              <w:widowControl w:val="0"/>
              <w:numPr>
                <w:ilvl w:val="0"/>
                <w:numId w:val="10"/>
              </w:numPr>
              <w:spacing w:after="0"/>
              <w:ind w:left="306"/>
              <w:contextualSpacing/>
              <w:rPr>
                <w:rFonts w:ascii="Arial Narrow" w:hAnsi="Arial Narrow"/>
                <w:sz w:val="20"/>
                <w:szCs w:val="20"/>
              </w:rPr>
            </w:pPr>
            <w:r w:rsidRPr="00456281">
              <w:rPr>
                <w:rFonts w:ascii="Arial Narrow" w:hAnsi="Arial Narrow"/>
                <w:sz w:val="20"/>
                <w:szCs w:val="20"/>
              </w:rPr>
              <w:t>Gompertz</w:t>
            </w:r>
          </w:p>
        </w:tc>
        <w:tc>
          <w:tcPr>
            <w:tcW w:w="1446" w:type="dxa"/>
            <w:shd w:val="solid" w:color="000000" w:fill="000000"/>
            <w:vAlign w:val="center"/>
          </w:tcPr>
          <w:p w14:paraId="6BC97C85" w14:textId="1271229B" w:rsidR="00656290" w:rsidRPr="009C3CBE" w:rsidRDefault="00F16C78" w:rsidP="00656290">
            <w:pPr>
              <w:widowControl w:val="0"/>
              <w:jc w:val="center"/>
              <w:rPr>
                <w:rFonts w:ascii="Arial Narrow" w:hAnsi="Arial Narrow"/>
                <w:sz w:val="20"/>
                <w:szCs w:val="20"/>
                <w:highlight w:val="lightGray"/>
              </w:rPr>
            </w:pPr>
            <w:r w:rsidRPr="00F16C78">
              <w:rPr>
                <w:rFonts w:ascii="Arial Narrow" w:hAnsi="Arial Narrow" w:cs="Calibri" w:hint="eastAsia"/>
                <w:color w:val="000000"/>
                <w:w w:val="22"/>
                <w:sz w:val="20"/>
                <w:szCs w:val="20"/>
                <w:fitText w:val="100" w:id="-961860856"/>
                <w14:textFill>
                  <w14:solidFill>
                    <w14:srgbClr w14:val="000000">
                      <w14:alpha w14:val="100000"/>
                    </w14:srgbClr>
                  </w14:solidFill>
                </w14:textFill>
              </w:rPr>
              <w:t xml:space="preserve">　</w:t>
            </w:r>
            <w:r w:rsidRPr="00F16C78">
              <w:rPr>
                <w:rFonts w:ascii="Arial Narrow" w:hAnsi="Arial Narrow" w:cs="Calibri"/>
                <w:color w:val="000000"/>
                <w:w w:val="22"/>
                <w:sz w:val="20"/>
                <w:szCs w:val="20"/>
                <w:fitText w:val="100" w:id="-961860856"/>
                <w14:textFill>
                  <w14:solidFill>
                    <w14:srgbClr w14:val="000000">
                      <w14:alpha w14:val="100000"/>
                    </w14:srgbClr>
                  </w14:solidFill>
                </w14:textFill>
              </w:rPr>
              <w:t>|</w:t>
            </w:r>
            <w:r w:rsidRPr="00F16C78">
              <w:rPr>
                <w:rFonts w:ascii="Arial Narrow" w:hAnsi="Arial Narrow" w:cs="Calibri" w:hint="eastAsia"/>
                <w:color w:val="000000"/>
                <w:w w:val="22"/>
                <w:sz w:val="20"/>
                <w:szCs w:val="20"/>
                <w:fitText w:val="100" w:id="-961860856"/>
                <w14:textFill>
                  <w14:solidFill>
                    <w14:srgbClr w14:val="000000">
                      <w14:alpha w14:val="100000"/>
                    </w14:srgbClr>
                  </w14:solidFill>
                </w14:textFill>
              </w:rPr>
              <w:t xml:space="preserve">　</w:t>
            </w:r>
          </w:p>
        </w:tc>
        <w:tc>
          <w:tcPr>
            <w:tcW w:w="1360" w:type="dxa"/>
            <w:vAlign w:val="center"/>
          </w:tcPr>
          <w:p w14:paraId="2BBAEBE9" w14:textId="77777777" w:rsidR="00656290" w:rsidRPr="00456281" w:rsidRDefault="00656290" w:rsidP="00656290">
            <w:pPr>
              <w:widowControl w:val="0"/>
              <w:jc w:val="center"/>
              <w:rPr>
                <w:rFonts w:ascii="Arial Narrow" w:hAnsi="Arial Narrow"/>
                <w:sz w:val="20"/>
                <w:szCs w:val="20"/>
              </w:rPr>
            </w:pPr>
            <w:r w:rsidRPr="00456281">
              <w:rPr>
                <w:rFonts w:ascii="Arial Narrow" w:hAnsi="Arial Narrow"/>
                <w:sz w:val="20"/>
                <w:szCs w:val="20"/>
              </w:rPr>
              <w:t>0.1221</w:t>
            </w:r>
          </w:p>
        </w:tc>
        <w:tc>
          <w:tcPr>
            <w:tcW w:w="1399" w:type="dxa"/>
            <w:vAlign w:val="center"/>
          </w:tcPr>
          <w:p w14:paraId="3CF90B35" w14:textId="64FDEE0E" w:rsidR="00656290" w:rsidRPr="009C3CBE" w:rsidRDefault="00F16C78" w:rsidP="00656290">
            <w:pPr>
              <w:widowControl w:val="0"/>
              <w:jc w:val="center"/>
              <w:rPr>
                <w:rFonts w:ascii="Arial Narrow" w:hAnsi="Arial Narrow"/>
                <w:sz w:val="20"/>
                <w:szCs w:val="20"/>
                <w:highlight w:val="lightGray"/>
              </w:rPr>
            </w:pPr>
            <w:r w:rsidRPr="00F16C78">
              <w:rPr>
                <w:rFonts w:ascii="Arial Narrow" w:hAnsi="Arial Narrow" w:hint="eastAsia"/>
                <w:color w:val="000000"/>
                <w:w w:val="33"/>
                <w:sz w:val="20"/>
                <w:szCs w:val="20"/>
                <w:shd w:val="solid" w:color="000000" w:fill="000000"/>
                <w:fitText w:val="150" w:id="-961860855"/>
                <w14:textFill>
                  <w14:solidFill>
                    <w14:srgbClr w14:val="000000">
                      <w14:alpha w14:val="100000"/>
                    </w14:srgbClr>
                  </w14:solidFill>
                </w14:textFill>
              </w:rPr>
              <w:t xml:space="preserve">　</w:t>
            </w:r>
            <w:r w:rsidRPr="00F16C78">
              <w:rPr>
                <w:rFonts w:ascii="Arial Narrow" w:hAnsi="Arial Narrow"/>
                <w:color w:val="000000"/>
                <w:w w:val="33"/>
                <w:sz w:val="20"/>
                <w:szCs w:val="20"/>
                <w:shd w:val="solid" w:color="000000" w:fill="000000"/>
                <w:fitText w:val="150" w:id="-961860855"/>
                <w14:textFill>
                  <w14:solidFill>
                    <w14:srgbClr w14:val="000000">
                      <w14:alpha w14:val="100000"/>
                    </w14:srgbClr>
                  </w14:solidFill>
                </w14:textFill>
              </w:rPr>
              <w:t>|</w:t>
            </w:r>
            <w:r w:rsidRPr="00F16C78">
              <w:rPr>
                <w:rFonts w:ascii="Arial Narrow" w:hAnsi="Arial Narrow" w:hint="eastAsia"/>
                <w:color w:val="000000"/>
                <w:spacing w:val="4"/>
                <w:w w:val="33"/>
                <w:sz w:val="20"/>
                <w:szCs w:val="20"/>
                <w:shd w:val="solid" w:color="000000" w:fill="000000"/>
                <w:fitText w:val="150" w:id="-961860855"/>
                <w14:textFill>
                  <w14:solidFill>
                    <w14:srgbClr w14:val="000000">
                      <w14:alpha w14:val="100000"/>
                    </w14:srgbClr>
                  </w14:solidFill>
                </w14:textFill>
              </w:rPr>
              <w:t xml:space="preserve">　</w:t>
            </w:r>
            <w:r w:rsidR="004F343F" w:rsidRPr="00D21B8B">
              <w:rPr>
                <w:rFonts w:ascii="Arial Narrow" w:hAnsi="Arial Narrow"/>
                <w:sz w:val="20"/>
                <w:szCs w:val="20"/>
                <w:vertAlign w:val="superscript"/>
              </w:rPr>
              <w:t>2</w:t>
            </w:r>
          </w:p>
        </w:tc>
        <w:tc>
          <w:tcPr>
            <w:tcW w:w="1080" w:type="dxa"/>
            <w:vAlign w:val="center"/>
          </w:tcPr>
          <w:p w14:paraId="392FC79F" w14:textId="187BFF8E" w:rsidR="00656290" w:rsidRPr="00456281" w:rsidRDefault="001C2CAE" w:rsidP="00656290">
            <w:pPr>
              <w:widowControl w:val="0"/>
              <w:jc w:val="center"/>
              <w:rPr>
                <w:rFonts w:ascii="Arial Narrow" w:hAnsi="Arial Narrow"/>
                <w:sz w:val="20"/>
                <w:szCs w:val="20"/>
              </w:rPr>
            </w:pPr>
            <w:r w:rsidRPr="001C2CAE">
              <w:rPr>
                <w:bCs/>
                <w:color w:val="000000"/>
                <w:w w:val="96"/>
                <w:szCs w:val="20"/>
                <w:shd w:val="solid" w:color="000000" w:fill="000000"/>
                <w:fitText w:val="213" w:id="-961860856"/>
                <w14:textFill>
                  <w14:solidFill>
                    <w14:srgbClr w14:val="000000">
                      <w14:alpha w14:val="100000"/>
                    </w14:srgbClr>
                  </w14:solidFill>
                </w14:textFill>
              </w:rPr>
              <w:t>||</w:t>
            </w:r>
            <w:r w:rsidR="00656290" w:rsidRPr="00456281">
              <w:rPr>
                <w:rFonts w:ascii="Arial Narrow" w:hAnsi="Arial Narrow" w:cs="Calibri"/>
                <w:color w:val="000000"/>
                <w:sz w:val="20"/>
                <w:szCs w:val="20"/>
              </w:rPr>
              <w:t>%</w:t>
            </w:r>
          </w:p>
        </w:tc>
      </w:tr>
      <w:tr w:rsidR="00656290" w:rsidRPr="00456281" w14:paraId="0EF09762" w14:textId="77777777" w:rsidTr="00832474">
        <w:trPr>
          <w:cantSplit/>
        </w:trPr>
        <w:tc>
          <w:tcPr>
            <w:tcW w:w="8997" w:type="dxa"/>
            <w:gridSpan w:val="5"/>
            <w:vAlign w:val="center"/>
          </w:tcPr>
          <w:p w14:paraId="0D624B54" w14:textId="77777777" w:rsidR="00656290" w:rsidRPr="00456281" w:rsidRDefault="00656290" w:rsidP="00656290">
            <w:pPr>
              <w:widowControl w:val="0"/>
              <w:jc w:val="left"/>
              <w:rPr>
                <w:rFonts w:ascii="Arial Narrow" w:hAnsi="Arial Narrow"/>
                <w:sz w:val="20"/>
                <w:szCs w:val="20"/>
                <w:u w:val="single"/>
              </w:rPr>
            </w:pPr>
            <w:r w:rsidRPr="00456281">
              <w:rPr>
                <w:rFonts w:ascii="Arial Narrow" w:hAnsi="Arial Narrow"/>
                <w:sz w:val="20"/>
                <w:szCs w:val="20"/>
                <w:u w:val="single"/>
              </w:rPr>
              <w:t>OS switch from KM to model (base case = 10% patients at-risk)</w:t>
            </w:r>
          </w:p>
        </w:tc>
      </w:tr>
      <w:tr w:rsidR="00656290" w:rsidRPr="00456281" w14:paraId="7424E6B4" w14:textId="77777777" w:rsidTr="00F16C78">
        <w:trPr>
          <w:cantSplit/>
        </w:trPr>
        <w:tc>
          <w:tcPr>
            <w:tcW w:w="3712" w:type="dxa"/>
            <w:vAlign w:val="center"/>
          </w:tcPr>
          <w:p w14:paraId="3EEC311D" w14:textId="77777777" w:rsidR="00656290" w:rsidRPr="00456281" w:rsidRDefault="00656290" w:rsidP="00690769">
            <w:pPr>
              <w:pStyle w:val="ListParagraph"/>
              <w:widowControl w:val="0"/>
              <w:numPr>
                <w:ilvl w:val="0"/>
                <w:numId w:val="10"/>
              </w:numPr>
              <w:spacing w:after="0"/>
              <w:ind w:left="306"/>
              <w:contextualSpacing/>
              <w:rPr>
                <w:rFonts w:ascii="Arial Narrow" w:hAnsi="Arial Narrow"/>
                <w:sz w:val="20"/>
                <w:szCs w:val="20"/>
              </w:rPr>
            </w:pPr>
            <w:r w:rsidRPr="00456281">
              <w:rPr>
                <w:rFonts w:ascii="Arial Narrow" w:hAnsi="Arial Narrow"/>
                <w:sz w:val="20"/>
                <w:szCs w:val="20"/>
              </w:rPr>
              <w:t>5% patients at-risk</w:t>
            </w:r>
          </w:p>
        </w:tc>
        <w:tc>
          <w:tcPr>
            <w:tcW w:w="1446" w:type="dxa"/>
            <w:tcBorders>
              <w:bottom w:val="single" w:sz="4" w:space="0" w:color="auto"/>
            </w:tcBorders>
            <w:shd w:val="solid" w:color="000000" w:fill="000000"/>
            <w:vAlign w:val="center"/>
          </w:tcPr>
          <w:p w14:paraId="06250D51" w14:textId="06B3B537" w:rsidR="00656290" w:rsidRPr="009C3CBE" w:rsidRDefault="00F16C78" w:rsidP="00656290">
            <w:pPr>
              <w:widowControl w:val="0"/>
              <w:jc w:val="center"/>
              <w:rPr>
                <w:rFonts w:ascii="Arial Narrow" w:hAnsi="Arial Narrow"/>
                <w:sz w:val="20"/>
                <w:szCs w:val="20"/>
                <w:highlight w:val="lightGray"/>
              </w:rPr>
            </w:pPr>
            <w:r w:rsidRPr="00F16C78">
              <w:rPr>
                <w:rFonts w:ascii="Arial Narrow" w:hAnsi="Arial Narrow" w:cs="Calibri" w:hint="eastAsia"/>
                <w:color w:val="000000"/>
                <w:w w:val="22"/>
                <w:sz w:val="20"/>
                <w:szCs w:val="20"/>
                <w:fitText w:val="100" w:id="-961860854"/>
                <w14:textFill>
                  <w14:solidFill>
                    <w14:srgbClr w14:val="000000">
                      <w14:alpha w14:val="100000"/>
                    </w14:srgbClr>
                  </w14:solidFill>
                </w14:textFill>
              </w:rPr>
              <w:t xml:space="preserve">　</w:t>
            </w:r>
            <w:r w:rsidRPr="00F16C78">
              <w:rPr>
                <w:rFonts w:ascii="Arial Narrow" w:hAnsi="Arial Narrow" w:cs="Calibri"/>
                <w:color w:val="000000"/>
                <w:w w:val="22"/>
                <w:sz w:val="20"/>
                <w:szCs w:val="20"/>
                <w:fitText w:val="100" w:id="-961860854"/>
                <w14:textFill>
                  <w14:solidFill>
                    <w14:srgbClr w14:val="000000">
                      <w14:alpha w14:val="100000"/>
                    </w14:srgbClr>
                  </w14:solidFill>
                </w14:textFill>
              </w:rPr>
              <w:t>|</w:t>
            </w:r>
            <w:r w:rsidRPr="00F16C78">
              <w:rPr>
                <w:rFonts w:ascii="Arial Narrow" w:hAnsi="Arial Narrow" w:cs="Calibri" w:hint="eastAsia"/>
                <w:color w:val="000000"/>
                <w:w w:val="22"/>
                <w:sz w:val="20"/>
                <w:szCs w:val="20"/>
                <w:fitText w:val="100" w:id="-961860854"/>
                <w14:textFill>
                  <w14:solidFill>
                    <w14:srgbClr w14:val="000000">
                      <w14:alpha w14:val="100000"/>
                    </w14:srgbClr>
                  </w14:solidFill>
                </w14:textFill>
              </w:rPr>
              <w:t xml:space="preserve">　</w:t>
            </w:r>
          </w:p>
        </w:tc>
        <w:tc>
          <w:tcPr>
            <w:tcW w:w="1360" w:type="dxa"/>
            <w:vAlign w:val="center"/>
          </w:tcPr>
          <w:p w14:paraId="567C7F7E" w14:textId="77777777" w:rsidR="00656290" w:rsidRPr="00456281" w:rsidRDefault="00656290" w:rsidP="00656290">
            <w:pPr>
              <w:widowControl w:val="0"/>
              <w:jc w:val="center"/>
              <w:rPr>
                <w:rFonts w:ascii="Arial Narrow" w:hAnsi="Arial Narrow"/>
                <w:sz w:val="20"/>
                <w:szCs w:val="20"/>
              </w:rPr>
            </w:pPr>
            <w:r w:rsidRPr="00456281">
              <w:rPr>
                <w:rFonts w:ascii="Arial Narrow" w:hAnsi="Arial Narrow"/>
                <w:sz w:val="20"/>
                <w:szCs w:val="20"/>
              </w:rPr>
              <w:t>0.1236</w:t>
            </w:r>
          </w:p>
        </w:tc>
        <w:tc>
          <w:tcPr>
            <w:tcW w:w="1399" w:type="dxa"/>
            <w:vAlign w:val="center"/>
          </w:tcPr>
          <w:p w14:paraId="0133DEEB" w14:textId="1AD0B80D" w:rsidR="00656290" w:rsidRPr="009C3CBE" w:rsidRDefault="00F16C78" w:rsidP="00656290">
            <w:pPr>
              <w:widowControl w:val="0"/>
              <w:jc w:val="center"/>
              <w:rPr>
                <w:rFonts w:ascii="Arial Narrow" w:hAnsi="Arial Narrow"/>
                <w:sz w:val="20"/>
                <w:szCs w:val="20"/>
                <w:highlight w:val="lightGray"/>
              </w:rPr>
            </w:pPr>
            <w:r w:rsidRPr="00F16C78">
              <w:rPr>
                <w:rFonts w:ascii="Arial Narrow" w:hAnsi="Arial Narrow" w:hint="eastAsia"/>
                <w:color w:val="000000"/>
                <w:w w:val="33"/>
                <w:sz w:val="20"/>
                <w:szCs w:val="20"/>
                <w:shd w:val="solid" w:color="000000" w:fill="000000"/>
                <w:fitText w:val="150" w:id="-961860853"/>
                <w14:textFill>
                  <w14:solidFill>
                    <w14:srgbClr w14:val="000000">
                      <w14:alpha w14:val="100000"/>
                    </w14:srgbClr>
                  </w14:solidFill>
                </w14:textFill>
              </w:rPr>
              <w:t xml:space="preserve">　</w:t>
            </w:r>
            <w:r w:rsidRPr="00F16C78">
              <w:rPr>
                <w:rFonts w:ascii="Arial Narrow" w:hAnsi="Arial Narrow"/>
                <w:color w:val="000000"/>
                <w:w w:val="33"/>
                <w:sz w:val="20"/>
                <w:szCs w:val="20"/>
                <w:shd w:val="solid" w:color="000000" w:fill="000000"/>
                <w:fitText w:val="150" w:id="-961860853"/>
                <w14:textFill>
                  <w14:solidFill>
                    <w14:srgbClr w14:val="000000">
                      <w14:alpha w14:val="100000"/>
                    </w14:srgbClr>
                  </w14:solidFill>
                </w14:textFill>
              </w:rPr>
              <w:t>|</w:t>
            </w:r>
            <w:r w:rsidRPr="00F16C78">
              <w:rPr>
                <w:rFonts w:ascii="Arial Narrow" w:hAnsi="Arial Narrow" w:hint="eastAsia"/>
                <w:color w:val="000000"/>
                <w:spacing w:val="4"/>
                <w:w w:val="33"/>
                <w:sz w:val="20"/>
                <w:szCs w:val="20"/>
                <w:shd w:val="solid" w:color="000000" w:fill="000000"/>
                <w:fitText w:val="150" w:id="-961860853"/>
                <w14:textFill>
                  <w14:solidFill>
                    <w14:srgbClr w14:val="000000">
                      <w14:alpha w14:val="100000"/>
                    </w14:srgbClr>
                  </w14:solidFill>
                </w14:textFill>
              </w:rPr>
              <w:t xml:space="preserve">　</w:t>
            </w:r>
            <w:r w:rsidR="004F343F" w:rsidRPr="00D21B8B">
              <w:rPr>
                <w:rFonts w:ascii="Arial Narrow" w:hAnsi="Arial Narrow"/>
                <w:sz w:val="20"/>
                <w:szCs w:val="20"/>
                <w:vertAlign w:val="superscript"/>
              </w:rPr>
              <w:t>2</w:t>
            </w:r>
          </w:p>
        </w:tc>
        <w:tc>
          <w:tcPr>
            <w:tcW w:w="1080" w:type="dxa"/>
            <w:vAlign w:val="center"/>
          </w:tcPr>
          <w:p w14:paraId="3DFB7E31" w14:textId="0B890C79" w:rsidR="00656290" w:rsidRPr="00456281" w:rsidRDefault="00656290" w:rsidP="00656290">
            <w:pPr>
              <w:widowControl w:val="0"/>
              <w:jc w:val="center"/>
              <w:rPr>
                <w:rFonts w:ascii="Arial Narrow" w:hAnsi="Arial Narrow"/>
                <w:sz w:val="20"/>
                <w:szCs w:val="20"/>
              </w:rPr>
            </w:pPr>
            <w:r w:rsidRPr="00456281">
              <w:rPr>
                <w:rFonts w:ascii="Arial Narrow" w:hAnsi="Arial Narrow" w:cs="Calibri"/>
                <w:color w:val="000000"/>
                <w:sz w:val="20"/>
                <w:szCs w:val="20"/>
              </w:rPr>
              <w:t>+</w:t>
            </w:r>
            <w:r w:rsidR="001C2CAE" w:rsidRPr="001C2CAE">
              <w:rPr>
                <w:bCs/>
                <w:color w:val="000000"/>
                <w:w w:val="96"/>
                <w:szCs w:val="20"/>
                <w:shd w:val="solid" w:color="000000" w:fill="000000"/>
                <w:fitText w:val="213" w:id="-961860856"/>
                <w14:textFill>
                  <w14:solidFill>
                    <w14:srgbClr w14:val="000000">
                      <w14:alpha w14:val="100000"/>
                    </w14:srgbClr>
                  </w14:solidFill>
                </w14:textFill>
              </w:rPr>
              <w:t>||</w:t>
            </w:r>
            <w:r w:rsidRPr="00456281">
              <w:rPr>
                <w:rFonts w:ascii="Arial Narrow" w:hAnsi="Arial Narrow" w:cs="Calibri"/>
                <w:color w:val="000000"/>
                <w:sz w:val="20"/>
                <w:szCs w:val="20"/>
              </w:rPr>
              <w:t>%</w:t>
            </w:r>
          </w:p>
        </w:tc>
      </w:tr>
      <w:tr w:rsidR="00656290" w:rsidRPr="00456281" w14:paraId="0845A869" w14:textId="77777777" w:rsidTr="00F16C78">
        <w:trPr>
          <w:cantSplit/>
        </w:trPr>
        <w:tc>
          <w:tcPr>
            <w:tcW w:w="3712" w:type="dxa"/>
            <w:vAlign w:val="center"/>
          </w:tcPr>
          <w:p w14:paraId="46B388F1" w14:textId="77777777" w:rsidR="00656290" w:rsidRPr="00456281" w:rsidRDefault="00656290" w:rsidP="00690769">
            <w:pPr>
              <w:pStyle w:val="ListParagraph"/>
              <w:widowControl w:val="0"/>
              <w:numPr>
                <w:ilvl w:val="0"/>
                <w:numId w:val="10"/>
              </w:numPr>
              <w:spacing w:after="0"/>
              <w:ind w:left="306"/>
              <w:contextualSpacing/>
              <w:rPr>
                <w:rFonts w:ascii="Arial Narrow" w:hAnsi="Arial Narrow"/>
                <w:sz w:val="20"/>
                <w:szCs w:val="20"/>
              </w:rPr>
            </w:pPr>
            <w:r w:rsidRPr="00456281">
              <w:rPr>
                <w:rFonts w:ascii="Arial Narrow" w:hAnsi="Arial Narrow"/>
                <w:sz w:val="20"/>
                <w:szCs w:val="20"/>
              </w:rPr>
              <w:t>15% patients at-risk</w:t>
            </w:r>
          </w:p>
        </w:tc>
        <w:tc>
          <w:tcPr>
            <w:tcW w:w="1446" w:type="dxa"/>
            <w:tcBorders>
              <w:bottom w:val="single" w:sz="4" w:space="0" w:color="auto"/>
            </w:tcBorders>
            <w:shd w:val="solid" w:color="000000" w:fill="000000"/>
            <w:vAlign w:val="center"/>
          </w:tcPr>
          <w:p w14:paraId="709961A3" w14:textId="1CDA7E73" w:rsidR="00656290" w:rsidRPr="009C3CBE" w:rsidRDefault="00F16C78" w:rsidP="00656290">
            <w:pPr>
              <w:widowControl w:val="0"/>
              <w:jc w:val="center"/>
              <w:rPr>
                <w:rFonts w:ascii="Arial Narrow" w:hAnsi="Arial Narrow"/>
                <w:sz w:val="20"/>
                <w:szCs w:val="20"/>
                <w:highlight w:val="lightGray"/>
              </w:rPr>
            </w:pPr>
            <w:r w:rsidRPr="00F16C78">
              <w:rPr>
                <w:rFonts w:ascii="Arial Narrow" w:hAnsi="Arial Narrow" w:cs="Calibri" w:hint="eastAsia"/>
                <w:color w:val="000000"/>
                <w:w w:val="22"/>
                <w:sz w:val="20"/>
                <w:szCs w:val="20"/>
                <w:fitText w:val="100" w:id="-961860608"/>
                <w14:textFill>
                  <w14:solidFill>
                    <w14:srgbClr w14:val="000000">
                      <w14:alpha w14:val="100000"/>
                    </w14:srgbClr>
                  </w14:solidFill>
                </w14:textFill>
              </w:rPr>
              <w:t xml:space="preserve">　</w:t>
            </w:r>
            <w:r w:rsidRPr="00F16C78">
              <w:rPr>
                <w:rFonts w:ascii="Arial Narrow" w:hAnsi="Arial Narrow" w:cs="Calibri"/>
                <w:color w:val="000000"/>
                <w:w w:val="22"/>
                <w:sz w:val="20"/>
                <w:szCs w:val="20"/>
                <w:fitText w:val="100" w:id="-961860608"/>
                <w14:textFill>
                  <w14:solidFill>
                    <w14:srgbClr w14:val="000000">
                      <w14:alpha w14:val="100000"/>
                    </w14:srgbClr>
                  </w14:solidFill>
                </w14:textFill>
              </w:rPr>
              <w:t>|</w:t>
            </w:r>
            <w:r w:rsidRPr="00F16C78">
              <w:rPr>
                <w:rFonts w:ascii="Arial Narrow" w:hAnsi="Arial Narrow" w:cs="Calibri" w:hint="eastAsia"/>
                <w:color w:val="000000"/>
                <w:w w:val="22"/>
                <w:sz w:val="20"/>
                <w:szCs w:val="20"/>
                <w:fitText w:val="100" w:id="-961860608"/>
                <w14:textFill>
                  <w14:solidFill>
                    <w14:srgbClr w14:val="000000">
                      <w14:alpha w14:val="100000"/>
                    </w14:srgbClr>
                  </w14:solidFill>
                </w14:textFill>
              </w:rPr>
              <w:t xml:space="preserve">　</w:t>
            </w:r>
          </w:p>
        </w:tc>
        <w:tc>
          <w:tcPr>
            <w:tcW w:w="1360" w:type="dxa"/>
            <w:vAlign w:val="center"/>
          </w:tcPr>
          <w:p w14:paraId="47438D1F" w14:textId="77777777" w:rsidR="00656290" w:rsidRPr="00456281" w:rsidRDefault="00656290" w:rsidP="00656290">
            <w:pPr>
              <w:widowControl w:val="0"/>
              <w:jc w:val="center"/>
              <w:rPr>
                <w:rFonts w:ascii="Arial Narrow" w:hAnsi="Arial Narrow"/>
                <w:sz w:val="20"/>
                <w:szCs w:val="20"/>
              </w:rPr>
            </w:pPr>
            <w:r w:rsidRPr="00456281">
              <w:rPr>
                <w:rFonts w:ascii="Arial Narrow" w:hAnsi="Arial Narrow"/>
                <w:sz w:val="20"/>
                <w:szCs w:val="20"/>
              </w:rPr>
              <w:t>0.1182</w:t>
            </w:r>
          </w:p>
        </w:tc>
        <w:tc>
          <w:tcPr>
            <w:tcW w:w="1399" w:type="dxa"/>
            <w:vAlign w:val="center"/>
          </w:tcPr>
          <w:p w14:paraId="0589AF1D" w14:textId="38D65982" w:rsidR="00656290" w:rsidRPr="009C3CBE" w:rsidRDefault="00F16C78" w:rsidP="00656290">
            <w:pPr>
              <w:widowControl w:val="0"/>
              <w:jc w:val="center"/>
              <w:rPr>
                <w:rFonts w:ascii="Arial Narrow" w:hAnsi="Arial Narrow"/>
                <w:sz w:val="20"/>
                <w:szCs w:val="20"/>
                <w:highlight w:val="lightGray"/>
              </w:rPr>
            </w:pPr>
            <w:r w:rsidRPr="00F16C78">
              <w:rPr>
                <w:rFonts w:ascii="Arial Narrow" w:hAnsi="Arial Narrow" w:hint="eastAsia"/>
                <w:color w:val="000000"/>
                <w:w w:val="33"/>
                <w:sz w:val="20"/>
                <w:szCs w:val="20"/>
                <w:shd w:val="solid" w:color="000000" w:fill="000000"/>
                <w:fitText w:val="150" w:id="-961860607"/>
                <w14:textFill>
                  <w14:solidFill>
                    <w14:srgbClr w14:val="000000">
                      <w14:alpha w14:val="100000"/>
                    </w14:srgbClr>
                  </w14:solidFill>
                </w14:textFill>
              </w:rPr>
              <w:t xml:space="preserve">　</w:t>
            </w:r>
            <w:r w:rsidRPr="00F16C78">
              <w:rPr>
                <w:rFonts w:ascii="Arial Narrow" w:hAnsi="Arial Narrow"/>
                <w:color w:val="000000"/>
                <w:w w:val="33"/>
                <w:sz w:val="20"/>
                <w:szCs w:val="20"/>
                <w:shd w:val="solid" w:color="000000" w:fill="000000"/>
                <w:fitText w:val="150" w:id="-961860607"/>
                <w14:textFill>
                  <w14:solidFill>
                    <w14:srgbClr w14:val="000000">
                      <w14:alpha w14:val="100000"/>
                    </w14:srgbClr>
                  </w14:solidFill>
                </w14:textFill>
              </w:rPr>
              <w:t>|</w:t>
            </w:r>
            <w:r w:rsidRPr="00F16C78">
              <w:rPr>
                <w:rFonts w:ascii="Arial Narrow" w:hAnsi="Arial Narrow" w:hint="eastAsia"/>
                <w:color w:val="000000"/>
                <w:spacing w:val="4"/>
                <w:w w:val="33"/>
                <w:sz w:val="20"/>
                <w:szCs w:val="20"/>
                <w:shd w:val="solid" w:color="000000" w:fill="000000"/>
                <w:fitText w:val="150" w:id="-961860607"/>
                <w14:textFill>
                  <w14:solidFill>
                    <w14:srgbClr w14:val="000000">
                      <w14:alpha w14:val="100000"/>
                    </w14:srgbClr>
                  </w14:solidFill>
                </w14:textFill>
              </w:rPr>
              <w:t xml:space="preserve">　</w:t>
            </w:r>
            <w:r w:rsidR="004F343F" w:rsidRPr="00D21B8B">
              <w:rPr>
                <w:rFonts w:ascii="Arial Narrow" w:hAnsi="Arial Narrow"/>
                <w:sz w:val="20"/>
                <w:szCs w:val="20"/>
                <w:vertAlign w:val="superscript"/>
              </w:rPr>
              <w:t>2</w:t>
            </w:r>
          </w:p>
        </w:tc>
        <w:tc>
          <w:tcPr>
            <w:tcW w:w="1080" w:type="dxa"/>
            <w:vAlign w:val="center"/>
          </w:tcPr>
          <w:p w14:paraId="0E0F9EA4" w14:textId="3AFA8EC3" w:rsidR="00656290" w:rsidRPr="00456281" w:rsidRDefault="00656290" w:rsidP="00656290">
            <w:pPr>
              <w:widowControl w:val="0"/>
              <w:jc w:val="center"/>
              <w:rPr>
                <w:rFonts w:ascii="Arial Narrow" w:hAnsi="Arial Narrow"/>
                <w:sz w:val="20"/>
                <w:szCs w:val="20"/>
              </w:rPr>
            </w:pPr>
            <w:r w:rsidRPr="00456281">
              <w:rPr>
                <w:rFonts w:ascii="Arial Narrow" w:hAnsi="Arial Narrow" w:cs="Calibri"/>
                <w:color w:val="000000"/>
                <w:sz w:val="20"/>
                <w:szCs w:val="20"/>
              </w:rPr>
              <w:t>+</w:t>
            </w:r>
            <w:r w:rsidR="001C2CAE" w:rsidRPr="001C2CAE">
              <w:rPr>
                <w:bCs/>
                <w:color w:val="000000"/>
                <w:w w:val="96"/>
                <w:szCs w:val="20"/>
                <w:shd w:val="solid" w:color="000000" w:fill="000000"/>
                <w:fitText w:val="213" w:id="-961860856"/>
                <w14:textFill>
                  <w14:solidFill>
                    <w14:srgbClr w14:val="000000">
                      <w14:alpha w14:val="100000"/>
                    </w14:srgbClr>
                  </w14:solidFill>
                </w14:textFill>
              </w:rPr>
              <w:t>||</w:t>
            </w:r>
            <w:r w:rsidRPr="00456281">
              <w:rPr>
                <w:rFonts w:ascii="Arial Narrow" w:hAnsi="Arial Narrow" w:cs="Calibri"/>
                <w:color w:val="000000"/>
                <w:sz w:val="20"/>
                <w:szCs w:val="20"/>
              </w:rPr>
              <w:t>%</w:t>
            </w:r>
          </w:p>
        </w:tc>
      </w:tr>
      <w:tr w:rsidR="00656290" w:rsidRPr="00456281" w14:paraId="4A115F00" w14:textId="77777777" w:rsidTr="00F16C78">
        <w:trPr>
          <w:cantSplit/>
        </w:trPr>
        <w:tc>
          <w:tcPr>
            <w:tcW w:w="3712" w:type="dxa"/>
            <w:vAlign w:val="center"/>
          </w:tcPr>
          <w:p w14:paraId="735A8BC6" w14:textId="449EF967" w:rsidR="00656290" w:rsidRPr="00456281" w:rsidRDefault="00656290" w:rsidP="00690769">
            <w:pPr>
              <w:pStyle w:val="ListParagraph"/>
              <w:widowControl w:val="0"/>
              <w:numPr>
                <w:ilvl w:val="0"/>
                <w:numId w:val="10"/>
              </w:numPr>
              <w:spacing w:after="0"/>
              <w:ind w:left="306"/>
              <w:contextualSpacing/>
              <w:rPr>
                <w:rFonts w:ascii="Arial Narrow" w:hAnsi="Arial Narrow"/>
                <w:sz w:val="20"/>
                <w:szCs w:val="20"/>
              </w:rPr>
            </w:pPr>
            <w:r w:rsidRPr="00456281">
              <w:rPr>
                <w:rFonts w:ascii="Arial Narrow" w:hAnsi="Arial Narrow"/>
                <w:sz w:val="20"/>
                <w:szCs w:val="20"/>
              </w:rPr>
              <w:t>OS: Cycle 24; PFS: Cycle: 18</w:t>
            </w:r>
            <w:r w:rsidRPr="00456281">
              <w:rPr>
                <w:rFonts w:ascii="Arial Narrow" w:hAnsi="Arial Narrow"/>
                <w:sz w:val="20"/>
                <w:szCs w:val="20"/>
                <w:vertAlign w:val="superscript"/>
              </w:rPr>
              <w:t>a</w:t>
            </w:r>
          </w:p>
        </w:tc>
        <w:tc>
          <w:tcPr>
            <w:tcW w:w="1446" w:type="dxa"/>
            <w:shd w:val="solid" w:color="000000" w:fill="000000"/>
            <w:vAlign w:val="center"/>
          </w:tcPr>
          <w:p w14:paraId="73B11DA4" w14:textId="3C478FCC" w:rsidR="00656290" w:rsidRPr="009C3CBE" w:rsidRDefault="00F16C78" w:rsidP="00656290">
            <w:pPr>
              <w:pStyle w:val="TableText0"/>
              <w:keepNext w:val="0"/>
              <w:widowControl w:val="0"/>
              <w:jc w:val="center"/>
              <w:rPr>
                <w:rFonts w:cs="Calibri"/>
                <w:color w:val="000000"/>
                <w:szCs w:val="20"/>
                <w:highlight w:val="lightGray"/>
              </w:rPr>
            </w:pPr>
            <w:r w:rsidRPr="00F16C78">
              <w:rPr>
                <w:rFonts w:hint="eastAsia"/>
                <w:color w:val="000000"/>
                <w:w w:val="22"/>
                <w:szCs w:val="20"/>
                <w:fitText w:val="100" w:id="-961860606"/>
                <w14:textFill>
                  <w14:solidFill>
                    <w14:srgbClr w14:val="000000">
                      <w14:alpha w14:val="100000"/>
                    </w14:srgbClr>
                  </w14:solidFill>
                </w14:textFill>
              </w:rPr>
              <w:t xml:space="preserve">　</w:t>
            </w:r>
            <w:r w:rsidRPr="00F16C78">
              <w:rPr>
                <w:color w:val="000000"/>
                <w:w w:val="22"/>
                <w:szCs w:val="20"/>
                <w:fitText w:val="100" w:id="-961860606"/>
                <w14:textFill>
                  <w14:solidFill>
                    <w14:srgbClr w14:val="000000">
                      <w14:alpha w14:val="100000"/>
                    </w14:srgbClr>
                  </w14:solidFill>
                </w14:textFill>
              </w:rPr>
              <w:t>|</w:t>
            </w:r>
            <w:r w:rsidRPr="00F16C78">
              <w:rPr>
                <w:rFonts w:hint="eastAsia"/>
                <w:color w:val="000000"/>
                <w:w w:val="22"/>
                <w:szCs w:val="20"/>
                <w:fitText w:val="100" w:id="-961860606"/>
                <w14:textFill>
                  <w14:solidFill>
                    <w14:srgbClr w14:val="000000">
                      <w14:alpha w14:val="100000"/>
                    </w14:srgbClr>
                  </w14:solidFill>
                </w14:textFill>
              </w:rPr>
              <w:t xml:space="preserve">　</w:t>
            </w:r>
          </w:p>
        </w:tc>
        <w:tc>
          <w:tcPr>
            <w:tcW w:w="1360" w:type="dxa"/>
            <w:vAlign w:val="center"/>
          </w:tcPr>
          <w:p w14:paraId="6CCB2060" w14:textId="77777777" w:rsidR="00656290" w:rsidRPr="00456281" w:rsidRDefault="00656290" w:rsidP="00656290">
            <w:pPr>
              <w:pStyle w:val="TableText0"/>
              <w:keepNext w:val="0"/>
              <w:widowControl w:val="0"/>
              <w:jc w:val="center"/>
              <w:rPr>
                <w:szCs w:val="20"/>
              </w:rPr>
            </w:pPr>
            <w:r w:rsidRPr="00456281">
              <w:rPr>
                <w:szCs w:val="20"/>
              </w:rPr>
              <w:t>0.1216</w:t>
            </w:r>
          </w:p>
        </w:tc>
        <w:tc>
          <w:tcPr>
            <w:tcW w:w="1399" w:type="dxa"/>
            <w:vAlign w:val="center"/>
          </w:tcPr>
          <w:p w14:paraId="47A5F032" w14:textId="225701F5" w:rsidR="00656290" w:rsidRPr="009C3CBE" w:rsidRDefault="00F16C78" w:rsidP="00656290">
            <w:pPr>
              <w:pStyle w:val="TableText0"/>
              <w:keepNext w:val="0"/>
              <w:widowControl w:val="0"/>
              <w:jc w:val="center"/>
              <w:rPr>
                <w:szCs w:val="20"/>
                <w:highlight w:val="lightGray"/>
              </w:rPr>
            </w:pPr>
            <w:r w:rsidRPr="00F16C78">
              <w:rPr>
                <w:rFonts w:hint="eastAsia"/>
                <w:color w:val="000000"/>
                <w:w w:val="33"/>
                <w:szCs w:val="20"/>
                <w:shd w:val="solid" w:color="000000" w:fill="000000"/>
                <w:fitText w:val="150" w:id="-961860605"/>
                <w14:textFill>
                  <w14:solidFill>
                    <w14:srgbClr w14:val="000000">
                      <w14:alpha w14:val="100000"/>
                    </w14:srgbClr>
                  </w14:solidFill>
                </w14:textFill>
              </w:rPr>
              <w:t xml:space="preserve">　</w:t>
            </w:r>
            <w:r w:rsidRPr="00F16C78">
              <w:rPr>
                <w:color w:val="000000"/>
                <w:w w:val="33"/>
                <w:szCs w:val="20"/>
                <w:shd w:val="solid" w:color="000000" w:fill="000000"/>
                <w:fitText w:val="150" w:id="-961860605"/>
                <w14:textFill>
                  <w14:solidFill>
                    <w14:srgbClr w14:val="000000">
                      <w14:alpha w14:val="100000"/>
                    </w14:srgbClr>
                  </w14:solidFill>
                </w14:textFill>
              </w:rPr>
              <w:t>|</w:t>
            </w:r>
            <w:r w:rsidRPr="00F16C78">
              <w:rPr>
                <w:rFonts w:hint="eastAsia"/>
                <w:color w:val="000000"/>
                <w:spacing w:val="4"/>
                <w:w w:val="33"/>
                <w:szCs w:val="20"/>
                <w:shd w:val="solid" w:color="000000" w:fill="000000"/>
                <w:fitText w:val="150" w:id="-961860605"/>
                <w14:textFill>
                  <w14:solidFill>
                    <w14:srgbClr w14:val="000000">
                      <w14:alpha w14:val="100000"/>
                    </w14:srgbClr>
                  </w14:solidFill>
                </w14:textFill>
              </w:rPr>
              <w:t xml:space="preserve">　</w:t>
            </w:r>
            <w:r w:rsidR="004F343F" w:rsidRPr="00D21B8B">
              <w:rPr>
                <w:szCs w:val="20"/>
                <w:vertAlign w:val="superscript"/>
              </w:rPr>
              <w:t>2</w:t>
            </w:r>
          </w:p>
        </w:tc>
        <w:tc>
          <w:tcPr>
            <w:tcW w:w="1080" w:type="dxa"/>
            <w:vAlign w:val="center"/>
          </w:tcPr>
          <w:p w14:paraId="43FC889A" w14:textId="72C2175B" w:rsidR="00656290" w:rsidRPr="00456281" w:rsidRDefault="00656290" w:rsidP="00656290">
            <w:pPr>
              <w:pStyle w:val="TableText0"/>
              <w:keepNext w:val="0"/>
              <w:widowControl w:val="0"/>
              <w:jc w:val="center"/>
              <w:rPr>
                <w:rFonts w:cs="Calibri"/>
                <w:color w:val="000000"/>
                <w:szCs w:val="20"/>
              </w:rPr>
            </w:pPr>
            <w:r w:rsidRPr="00456281">
              <w:rPr>
                <w:szCs w:val="20"/>
              </w:rPr>
              <w:t>+</w:t>
            </w:r>
            <w:r w:rsidR="001C2CAE" w:rsidRPr="001C2CAE">
              <w:rPr>
                <w:color w:val="000000"/>
                <w:spacing w:val="127"/>
                <w:szCs w:val="20"/>
                <w:shd w:val="solid" w:color="000000" w:fill="000000"/>
                <w:fitText w:val="213" w:id="-961860856"/>
                <w14:textFill>
                  <w14:solidFill>
                    <w14:srgbClr w14:val="000000">
                      <w14:alpha w14:val="100000"/>
                    </w14:srgbClr>
                  </w14:solidFill>
                </w14:textFill>
              </w:rPr>
              <w:t>|</w:t>
            </w:r>
            <w:r w:rsidR="001C2CAE" w:rsidRPr="001C2CAE">
              <w:rPr>
                <w:color w:val="000000"/>
                <w:szCs w:val="20"/>
                <w:shd w:val="solid" w:color="000000" w:fill="000000"/>
                <w:fitText w:val="213" w:id="-961860856"/>
                <w14:textFill>
                  <w14:solidFill>
                    <w14:srgbClr w14:val="000000">
                      <w14:alpha w14:val="100000"/>
                    </w14:srgbClr>
                  </w14:solidFill>
                </w14:textFill>
              </w:rPr>
              <w:t>|</w:t>
            </w:r>
            <w:r w:rsidRPr="00456281">
              <w:rPr>
                <w:szCs w:val="20"/>
              </w:rPr>
              <w:t>%</w:t>
            </w:r>
          </w:p>
        </w:tc>
      </w:tr>
      <w:tr w:rsidR="00656290" w:rsidRPr="00456281" w14:paraId="33922D3E" w14:textId="77777777" w:rsidTr="00832474">
        <w:trPr>
          <w:cantSplit/>
        </w:trPr>
        <w:tc>
          <w:tcPr>
            <w:tcW w:w="8997" w:type="dxa"/>
            <w:gridSpan w:val="5"/>
            <w:vAlign w:val="center"/>
          </w:tcPr>
          <w:p w14:paraId="177661C9" w14:textId="77777777" w:rsidR="00656290" w:rsidRPr="00456281" w:rsidRDefault="00656290" w:rsidP="00656290">
            <w:pPr>
              <w:widowControl w:val="0"/>
              <w:jc w:val="left"/>
              <w:rPr>
                <w:rFonts w:ascii="Arial Narrow" w:hAnsi="Arial Narrow"/>
                <w:sz w:val="20"/>
                <w:szCs w:val="20"/>
                <w:u w:val="single"/>
              </w:rPr>
            </w:pPr>
            <w:r w:rsidRPr="00456281">
              <w:rPr>
                <w:rFonts w:ascii="Arial Narrow" w:hAnsi="Arial Narrow"/>
                <w:sz w:val="20"/>
                <w:szCs w:val="20"/>
                <w:u w:val="single"/>
              </w:rPr>
              <w:t>Subsequent therapy (base case = PBS-listed regimens only)</w:t>
            </w:r>
          </w:p>
        </w:tc>
      </w:tr>
      <w:tr w:rsidR="00656290" w:rsidRPr="00456281" w14:paraId="01D6B8F9" w14:textId="77777777" w:rsidTr="00F16C78">
        <w:trPr>
          <w:cantSplit/>
        </w:trPr>
        <w:tc>
          <w:tcPr>
            <w:tcW w:w="3712" w:type="dxa"/>
            <w:vAlign w:val="center"/>
          </w:tcPr>
          <w:p w14:paraId="09DE7978" w14:textId="77777777" w:rsidR="00656290" w:rsidRPr="00456281" w:rsidRDefault="00656290" w:rsidP="00690769">
            <w:pPr>
              <w:pStyle w:val="ListParagraph"/>
              <w:widowControl w:val="0"/>
              <w:numPr>
                <w:ilvl w:val="0"/>
                <w:numId w:val="11"/>
              </w:numPr>
              <w:spacing w:after="0"/>
              <w:ind w:left="306"/>
              <w:contextualSpacing/>
              <w:rPr>
                <w:rFonts w:ascii="Arial Narrow" w:hAnsi="Arial Narrow"/>
                <w:sz w:val="20"/>
                <w:szCs w:val="20"/>
              </w:rPr>
            </w:pPr>
            <w:r w:rsidRPr="00456281">
              <w:rPr>
                <w:rFonts w:ascii="Arial Narrow" w:hAnsi="Arial Narrow"/>
                <w:sz w:val="20"/>
                <w:szCs w:val="20"/>
              </w:rPr>
              <w:t>Subsequent therapies exactly as observed in NAPOLI-3 regardless of PBS-listings</w:t>
            </w:r>
          </w:p>
        </w:tc>
        <w:tc>
          <w:tcPr>
            <w:tcW w:w="1446" w:type="dxa"/>
            <w:shd w:val="solid" w:color="000000" w:fill="000000"/>
            <w:vAlign w:val="center"/>
          </w:tcPr>
          <w:p w14:paraId="36E6B12F" w14:textId="40069304" w:rsidR="00656290" w:rsidRPr="00456281" w:rsidRDefault="00F16C78" w:rsidP="00656290">
            <w:pPr>
              <w:widowControl w:val="0"/>
              <w:jc w:val="center"/>
              <w:rPr>
                <w:rFonts w:ascii="Arial Narrow" w:hAnsi="Arial Narrow"/>
                <w:sz w:val="20"/>
                <w:szCs w:val="20"/>
              </w:rPr>
            </w:pPr>
            <w:r w:rsidRPr="00F16C78">
              <w:rPr>
                <w:rFonts w:ascii="Arial Narrow" w:hAnsi="Arial Narrow" w:cs="Calibri" w:hint="eastAsia"/>
                <w:color w:val="000000"/>
                <w:w w:val="22"/>
                <w:sz w:val="20"/>
                <w:szCs w:val="20"/>
                <w:fitText w:val="100" w:id="-961860604"/>
                <w14:textFill>
                  <w14:solidFill>
                    <w14:srgbClr w14:val="000000">
                      <w14:alpha w14:val="100000"/>
                    </w14:srgbClr>
                  </w14:solidFill>
                </w14:textFill>
              </w:rPr>
              <w:t xml:space="preserve">　</w:t>
            </w:r>
            <w:r w:rsidRPr="00F16C78">
              <w:rPr>
                <w:rFonts w:ascii="Arial Narrow" w:hAnsi="Arial Narrow" w:cs="Calibri"/>
                <w:color w:val="000000"/>
                <w:w w:val="22"/>
                <w:sz w:val="20"/>
                <w:szCs w:val="20"/>
                <w:fitText w:val="100" w:id="-961860604"/>
                <w14:textFill>
                  <w14:solidFill>
                    <w14:srgbClr w14:val="000000">
                      <w14:alpha w14:val="100000"/>
                    </w14:srgbClr>
                  </w14:solidFill>
                </w14:textFill>
              </w:rPr>
              <w:t>|</w:t>
            </w:r>
            <w:r w:rsidRPr="00F16C78">
              <w:rPr>
                <w:rFonts w:ascii="Arial Narrow" w:hAnsi="Arial Narrow" w:cs="Calibri" w:hint="eastAsia"/>
                <w:color w:val="000000"/>
                <w:w w:val="22"/>
                <w:sz w:val="20"/>
                <w:szCs w:val="20"/>
                <w:fitText w:val="100" w:id="-961860604"/>
                <w14:textFill>
                  <w14:solidFill>
                    <w14:srgbClr w14:val="000000">
                      <w14:alpha w14:val="100000"/>
                    </w14:srgbClr>
                  </w14:solidFill>
                </w14:textFill>
              </w:rPr>
              <w:t xml:space="preserve">　</w:t>
            </w:r>
          </w:p>
        </w:tc>
        <w:tc>
          <w:tcPr>
            <w:tcW w:w="1360" w:type="dxa"/>
            <w:vAlign w:val="center"/>
          </w:tcPr>
          <w:p w14:paraId="4B282194" w14:textId="77777777" w:rsidR="00656290" w:rsidRPr="00456281" w:rsidRDefault="00656290" w:rsidP="00656290">
            <w:pPr>
              <w:widowControl w:val="0"/>
              <w:jc w:val="center"/>
              <w:rPr>
                <w:rFonts w:ascii="Arial Narrow" w:hAnsi="Arial Narrow"/>
                <w:sz w:val="20"/>
                <w:szCs w:val="20"/>
              </w:rPr>
            </w:pPr>
            <w:r w:rsidRPr="00456281">
              <w:rPr>
                <w:rFonts w:ascii="Arial Narrow" w:hAnsi="Arial Narrow"/>
                <w:sz w:val="20"/>
                <w:szCs w:val="20"/>
              </w:rPr>
              <w:t>0.1388</w:t>
            </w:r>
          </w:p>
        </w:tc>
        <w:tc>
          <w:tcPr>
            <w:tcW w:w="1399" w:type="dxa"/>
            <w:vAlign w:val="center"/>
          </w:tcPr>
          <w:p w14:paraId="5D9D0BDF" w14:textId="2917D339" w:rsidR="00656290" w:rsidRPr="00456281" w:rsidRDefault="00F16C78" w:rsidP="00656290">
            <w:pPr>
              <w:widowControl w:val="0"/>
              <w:jc w:val="center"/>
              <w:rPr>
                <w:rFonts w:ascii="Arial Narrow" w:hAnsi="Arial Narrow"/>
                <w:sz w:val="20"/>
                <w:szCs w:val="20"/>
              </w:rPr>
            </w:pPr>
            <w:r w:rsidRPr="00F16C78">
              <w:rPr>
                <w:rFonts w:ascii="Arial Narrow" w:hAnsi="Arial Narrow" w:hint="eastAsia"/>
                <w:color w:val="000000"/>
                <w:w w:val="33"/>
                <w:sz w:val="20"/>
                <w:szCs w:val="20"/>
                <w:shd w:val="solid" w:color="000000" w:fill="000000"/>
                <w:fitText w:val="150" w:id="-961860603"/>
                <w14:textFill>
                  <w14:solidFill>
                    <w14:srgbClr w14:val="000000">
                      <w14:alpha w14:val="100000"/>
                    </w14:srgbClr>
                  </w14:solidFill>
                </w14:textFill>
              </w:rPr>
              <w:t xml:space="preserve">　</w:t>
            </w:r>
            <w:r w:rsidRPr="00F16C78">
              <w:rPr>
                <w:rFonts w:ascii="Arial Narrow" w:hAnsi="Arial Narrow"/>
                <w:color w:val="000000"/>
                <w:w w:val="33"/>
                <w:sz w:val="20"/>
                <w:szCs w:val="20"/>
                <w:shd w:val="solid" w:color="000000" w:fill="000000"/>
                <w:fitText w:val="150" w:id="-961860603"/>
                <w14:textFill>
                  <w14:solidFill>
                    <w14:srgbClr w14:val="000000">
                      <w14:alpha w14:val="100000"/>
                    </w14:srgbClr>
                  </w14:solidFill>
                </w14:textFill>
              </w:rPr>
              <w:t>|</w:t>
            </w:r>
            <w:r w:rsidRPr="00F16C78">
              <w:rPr>
                <w:rFonts w:ascii="Arial Narrow" w:hAnsi="Arial Narrow" w:hint="eastAsia"/>
                <w:color w:val="000000"/>
                <w:spacing w:val="4"/>
                <w:w w:val="33"/>
                <w:sz w:val="20"/>
                <w:szCs w:val="20"/>
                <w:shd w:val="solid" w:color="000000" w:fill="000000"/>
                <w:fitText w:val="150" w:id="-961860603"/>
                <w14:textFill>
                  <w14:solidFill>
                    <w14:srgbClr w14:val="000000">
                      <w14:alpha w14:val="100000"/>
                    </w14:srgbClr>
                  </w14:solidFill>
                </w14:textFill>
              </w:rPr>
              <w:t xml:space="preserve">　</w:t>
            </w:r>
            <w:r w:rsidR="004F343F" w:rsidRPr="00D21B8B">
              <w:rPr>
                <w:rFonts w:ascii="Arial Narrow" w:hAnsi="Arial Narrow"/>
                <w:sz w:val="20"/>
                <w:szCs w:val="20"/>
                <w:vertAlign w:val="superscript"/>
              </w:rPr>
              <w:t>2</w:t>
            </w:r>
          </w:p>
        </w:tc>
        <w:tc>
          <w:tcPr>
            <w:tcW w:w="1080" w:type="dxa"/>
            <w:vAlign w:val="center"/>
          </w:tcPr>
          <w:p w14:paraId="6CDD536F" w14:textId="748C1692" w:rsidR="00656290" w:rsidRPr="00456281" w:rsidRDefault="00656290" w:rsidP="00656290">
            <w:pPr>
              <w:widowControl w:val="0"/>
              <w:jc w:val="center"/>
              <w:rPr>
                <w:rFonts w:ascii="Arial Narrow" w:hAnsi="Arial Narrow" w:cs="Calibri"/>
                <w:color w:val="000000"/>
                <w:sz w:val="20"/>
                <w:szCs w:val="20"/>
              </w:rPr>
            </w:pPr>
            <w:r w:rsidRPr="00456281">
              <w:rPr>
                <w:rFonts w:ascii="Arial Narrow" w:hAnsi="Arial Narrow" w:cs="Calibri"/>
                <w:color w:val="000000"/>
                <w:sz w:val="20"/>
                <w:szCs w:val="20"/>
              </w:rPr>
              <w:t>+</w:t>
            </w:r>
            <w:r w:rsidR="001C2CAE" w:rsidRPr="001C2CAE">
              <w:rPr>
                <w:bCs/>
                <w:color w:val="000000"/>
                <w:w w:val="96"/>
                <w:szCs w:val="20"/>
                <w:shd w:val="solid" w:color="000000" w:fill="000000"/>
                <w:fitText w:val="213" w:id="-961860856"/>
                <w14:textFill>
                  <w14:solidFill>
                    <w14:srgbClr w14:val="000000">
                      <w14:alpha w14:val="100000"/>
                    </w14:srgbClr>
                  </w14:solidFill>
                </w14:textFill>
              </w:rPr>
              <w:t>||</w:t>
            </w:r>
            <w:r w:rsidRPr="00456281">
              <w:rPr>
                <w:rFonts w:ascii="Arial Narrow" w:hAnsi="Arial Narrow" w:cs="Calibri"/>
                <w:color w:val="000000"/>
                <w:sz w:val="20"/>
                <w:szCs w:val="20"/>
              </w:rPr>
              <w:t>%</w:t>
            </w:r>
          </w:p>
        </w:tc>
      </w:tr>
      <w:tr w:rsidR="00656290" w:rsidRPr="00456281" w14:paraId="2636C8C7" w14:textId="77777777" w:rsidTr="00832474">
        <w:trPr>
          <w:cantSplit/>
        </w:trPr>
        <w:tc>
          <w:tcPr>
            <w:tcW w:w="8997" w:type="dxa"/>
            <w:gridSpan w:val="5"/>
            <w:vAlign w:val="center"/>
          </w:tcPr>
          <w:p w14:paraId="2582CE73" w14:textId="77777777" w:rsidR="00656290" w:rsidRPr="00456281" w:rsidRDefault="00656290" w:rsidP="00273C2E">
            <w:pPr>
              <w:pStyle w:val="TableText0"/>
              <w:widowControl w:val="0"/>
              <w:rPr>
                <w:rFonts w:cs="Calibri"/>
                <w:color w:val="000000"/>
                <w:szCs w:val="20"/>
              </w:rPr>
            </w:pPr>
            <w:r w:rsidRPr="00456281">
              <w:rPr>
                <w:szCs w:val="20"/>
                <w:u w:val="single"/>
              </w:rPr>
              <w:t>Revised costs of AEs</w:t>
            </w:r>
          </w:p>
        </w:tc>
      </w:tr>
      <w:tr w:rsidR="00656290" w:rsidRPr="00456281" w14:paraId="763472E9" w14:textId="77777777" w:rsidTr="00F16C78">
        <w:trPr>
          <w:cantSplit/>
        </w:trPr>
        <w:tc>
          <w:tcPr>
            <w:tcW w:w="3712" w:type="dxa"/>
            <w:vAlign w:val="center"/>
          </w:tcPr>
          <w:p w14:paraId="1EC15136" w14:textId="77777777" w:rsidR="00656290" w:rsidRPr="00456281" w:rsidRDefault="00656290" w:rsidP="00690769">
            <w:pPr>
              <w:pStyle w:val="TableText0"/>
              <w:keepNext w:val="0"/>
              <w:widowControl w:val="0"/>
              <w:numPr>
                <w:ilvl w:val="0"/>
                <w:numId w:val="11"/>
              </w:numPr>
              <w:ind w:left="360"/>
              <w:rPr>
                <w:szCs w:val="20"/>
              </w:rPr>
            </w:pPr>
            <w:r w:rsidRPr="00456281">
              <w:rPr>
                <w:szCs w:val="20"/>
              </w:rPr>
              <w:t xml:space="preserve">Hospitalisation costs to manage diarrhoea and mucosal inflammation </w:t>
            </w:r>
            <w:r w:rsidRPr="00456281">
              <w:rPr>
                <w:szCs w:val="20"/>
                <w:vertAlign w:val="superscript"/>
              </w:rPr>
              <w:t>b</w:t>
            </w:r>
          </w:p>
        </w:tc>
        <w:tc>
          <w:tcPr>
            <w:tcW w:w="1446" w:type="dxa"/>
            <w:shd w:val="solid" w:color="000000" w:fill="000000"/>
            <w:vAlign w:val="center"/>
          </w:tcPr>
          <w:p w14:paraId="79555310" w14:textId="0FE15386" w:rsidR="00656290" w:rsidRPr="00456281" w:rsidRDefault="00F16C78" w:rsidP="00656290">
            <w:pPr>
              <w:pStyle w:val="TableText0"/>
              <w:keepNext w:val="0"/>
              <w:widowControl w:val="0"/>
              <w:jc w:val="center"/>
              <w:rPr>
                <w:rFonts w:cs="Calibri"/>
                <w:color w:val="000000"/>
                <w:szCs w:val="20"/>
              </w:rPr>
            </w:pPr>
            <w:r w:rsidRPr="00F16C78">
              <w:rPr>
                <w:rFonts w:hint="eastAsia"/>
                <w:color w:val="000000"/>
                <w:w w:val="22"/>
                <w:szCs w:val="20"/>
                <w:fitText w:val="100" w:id="-961860602"/>
                <w14:textFill>
                  <w14:solidFill>
                    <w14:srgbClr w14:val="000000">
                      <w14:alpha w14:val="100000"/>
                    </w14:srgbClr>
                  </w14:solidFill>
                </w14:textFill>
              </w:rPr>
              <w:t xml:space="preserve">　</w:t>
            </w:r>
            <w:r w:rsidRPr="00F16C78">
              <w:rPr>
                <w:color w:val="000000"/>
                <w:w w:val="22"/>
                <w:szCs w:val="20"/>
                <w:fitText w:val="100" w:id="-961860602"/>
                <w14:textFill>
                  <w14:solidFill>
                    <w14:srgbClr w14:val="000000">
                      <w14:alpha w14:val="100000"/>
                    </w14:srgbClr>
                  </w14:solidFill>
                </w14:textFill>
              </w:rPr>
              <w:t>|</w:t>
            </w:r>
            <w:r w:rsidRPr="00F16C78">
              <w:rPr>
                <w:rFonts w:hint="eastAsia"/>
                <w:color w:val="000000"/>
                <w:w w:val="22"/>
                <w:szCs w:val="20"/>
                <w:fitText w:val="100" w:id="-961860602"/>
                <w14:textFill>
                  <w14:solidFill>
                    <w14:srgbClr w14:val="000000">
                      <w14:alpha w14:val="100000"/>
                    </w14:srgbClr>
                  </w14:solidFill>
                </w14:textFill>
              </w:rPr>
              <w:t xml:space="preserve">　</w:t>
            </w:r>
          </w:p>
        </w:tc>
        <w:tc>
          <w:tcPr>
            <w:tcW w:w="1360" w:type="dxa"/>
            <w:vAlign w:val="center"/>
          </w:tcPr>
          <w:p w14:paraId="596093D5" w14:textId="77777777" w:rsidR="00656290" w:rsidRPr="00456281" w:rsidRDefault="00656290" w:rsidP="00656290">
            <w:pPr>
              <w:pStyle w:val="TableText0"/>
              <w:keepNext w:val="0"/>
              <w:widowControl w:val="0"/>
              <w:jc w:val="center"/>
              <w:rPr>
                <w:szCs w:val="20"/>
              </w:rPr>
            </w:pPr>
            <w:r w:rsidRPr="00456281">
              <w:rPr>
                <w:szCs w:val="20"/>
              </w:rPr>
              <w:t>0.1388</w:t>
            </w:r>
          </w:p>
        </w:tc>
        <w:tc>
          <w:tcPr>
            <w:tcW w:w="1399" w:type="dxa"/>
            <w:vAlign w:val="center"/>
          </w:tcPr>
          <w:p w14:paraId="69143881" w14:textId="533016B8" w:rsidR="00656290" w:rsidRPr="00456281" w:rsidRDefault="00F16C78" w:rsidP="00656290">
            <w:pPr>
              <w:pStyle w:val="TableText0"/>
              <w:keepNext w:val="0"/>
              <w:widowControl w:val="0"/>
              <w:jc w:val="center"/>
              <w:rPr>
                <w:szCs w:val="20"/>
              </w:rPr>
            </w:pPr>
            <w:r w:rsidRPr="00F16C78">
              <w:rPr>
                <w:rFonts w:hint="eastAsia"/>
                <w:color w:val="000000"/>
                <w:w w:val="33"/>
                <w:szCs w:val="20"/>
                <w:shd w:val="solid" w:color="000000" w:fill="000000"/>
                <w:fitText w:val="150" w:id="-961860601"/>
                <w14:textFill>
                  <w14:solidFill>
                    <w14:srgbClr w14:val="000000">
                      <w14:alpha w14:val="100000"/>
                    </w14:srgbClr>
                  </w14:solidFill>
                </w14:textFill>
              </w:rPr>
              <w:t xml:space="preserve">　</w:t>
            </w:r>
            <w:r w:rsidRPr="00F16C78">
              <w:rPr>
                <w:color w:val="000000"/>
                <w:w w:val="33"/>
                <w:szCs w:val="20"/>
                <w:shd w:val="solid" w:color="000000" w:fill="000000"/>
                <w:fitText w:val="150" w:id="-961860601"/>
                <w14:textFill>
                  <w14:solidFill>
                    <w14:srgbClr w14:val="000000">
                      <w14:alpha w14:val="100000"/>
                    </w14:srgbClr>
                  </w14:solidFill>
                </w14:textFill>
              </w:rPr>
              <w:t>|</w:t>
            </w:r>
            <w:r w:rsidRPr="00F16C78">
              <w:rPr>
                <w:rFonts w:hint="eastAsia"/>
                <w:color w:val="000000"/>
                <w:spacing w:val="4"/>
                <w:w w:val="33"/>
                <w:szCs w:val="20"/>
                <w:shd w:val="solid" w:color="000000" w:fill="000000"/>
                <w:fitText w:val="150" w:id="-961860601"/>
                <w14:textFill>
                  <w14:solidFill>
                    <w14:srgbClr w14:val="000000">
                      <w14:alpha w14:val="100000"/>
                    </w14:srgbClr>
                  </w14:solidFill>
                </w14:textFill>
              </w:rPr>
              <w:t xml:space="preserve">　</w:t>
            </w:r>
            <w:r w:rsidR="004F343F" w:rsidRPr="00D21B8B">
              <w:rPr>
                <w:szCs w:val="20"/>
                <w:vertAlign w:val="superscript"/>
              </w:rPr>
              <w:t>2</w:t>
            </w:r>
          </w:p>
        </w:tc>
        <w:tc>
          <w:tcPr>
            <w:tcW w:w="1080" w:type="dxa"/>
            <w:vAlign w:val="center"/>
          </w:tcPr>
          <w:p w14:paraId="47C89CCE" w14:textId="7CC7BAD1" w:rsidR="00656290" w:rsidRPr="00456281" w:rsidRDefault="00656290" w:rsidP="00656290">
            <w:pPr>
              <w:pStyle w:val="TableText0"/>
              <w:keepNext w:val="0"/>
              <w:widowControl w:val="0"/>
              <w:jc w:val="center"/>
              <w:rPr>
                <w:rFonts w:cs="Calibri"/>
                <w:color w:val="000000"/>
                <w:szCs w:val="20"/>
              </w:rPr>
            </w:pPr>
            <w:r w:rsidRPr="00456281">
              <w:rPr>
                <w:szCs w:val="20"/>
              </w:rPr>
              <w:t>+</w:t>
            </w:r>
            <w:r w:rsidR="001C2CAE" w:rsidRPr="001C2CAE">
              <w:rPr>
                <w:color w:val="000000"/>
                <w:spacing w:val="127"/>
                <w:szCs w:val="20"/>
                <w:shd w:val="solid" w:color="000000" w:fill="000000"/>
                <w:fitText w:val="213" w:id="-961860856"/>
                <w14:textFill>
                  <w14:solidFill>
                    <w14:srgbClr w14:val="000000">
                      <w14:alpha w14:val="100000"/>
                    </w14:srgbClr>
                  </w14:solidFill>
                </w14:textFill>
              </w:rPr>
              <w:t>|</w:t>
            </w:r>
            <w:r w:rsidR="001C2CAE" w:rsidRPr="001C2CAE">
              <w:rPr>
                <w:color w:val="000000"/>
                <w:szCs w:val="20"/>
                <w:shd w:val="solid" w:color="000000" w:fill="000000"/>
                <w:fitText w:val="213" w:id="-961860856"/>
                <w14:textFill>
                  <w14:solidFill>
                    <w14:srgbClr w14:val="000000">
                      <w14:alpha w14:val="100000"/>
                    </w14:srgbClr>
                  </w14:solidFill>
                </w14:textFill>
              </w:rPr>
              <w:t>|</w:t>
            </w:r>
            <w:r w:rsidRPr="00456281">
              <w:rPr>
                <w:szCs w:val="20"/>
              </w:rPr>
              <w:t>%</w:t>
            </w:r>
          </w:p>
        </w:tc>
      </w:tr>
      <w:tr w:rsidR="00656290" w:rsidRPr="00456281" w14:paraId="29A0E8EF" w14:textId="77777777" w:rsidTr="00832474">
        <w:trPr>
          <w:cantSplit/>
        </w:trPr>
        <w:tc>
          <w:tcPr>
            <w:tcW w:w="8997" w:type="dxa"/>
            <w:gridSpan w:val="5"/>
            <w:vAlign w:val="center"/>
          </w:tcPr>
          <w:p w14:paraId="70487D9E" w14:textId="4EA5A911" w:rsidR="00656290" w:rsidRPr="00456281" w:rsidRDefault="00656290" w:rsidP="00656290">
            <w:pPr>
              <w:keepNext/>
              <w:widowControl w:val="0"/>
              <w:jc w:val="left"/>
              <w:rPr>
                <w:rFonts w:ascii="Arial Narrow" w:hAnsi="Arial Narrow"/>
                <w:sz w:val="20"/>
                <w:szCs w:val="20"/>
                <w:u w:val="single"/>
              </w:rPr>
            </w:pPr>
            <w:r w:rsidRPr="00456281">
              <w:rPr>
                <w:rFonts w:ascii="Arial Narrow" w:hAnsi="Arial Narrow"/>
                <w:sz w:val="20"/>
                <w:szCs w:val="20"/>
                <w:u w:val="single"/>
              </w:rPr>
              <w:t>Alternative scenario 1 with FOLFIRINOX as secondary comparator in the indicated percentage assuming FOLFIRINOX efficacy from Conroy 2011 (indirectly assumes FOLFIRINOX is superior to Gem+NabP</w:t>
            </w:r>
            <w:r w:rsidR="00B47373" w:rsidRPr="00456281">
              <w:rPr>
                <w:rFonts w:ascii="Arial Narrow" w:hAnsi="Arial Narrow"/>
                <w:sz w:val="20"/>
                <w:szCs w:val="20"/>
                <w:u w:val="single"/>
              </w:rPr>
              <w:t>, and that NALIRIFOX is superior to FOLFIRINOX and Gem+NabP</w:t>
            </w:r>
            <w:r w:rsidRPr="00456281">
              <w:rPr>
                <w:rFonts w:ascii="Arial Narrow" w:hAnsi="Arial Narrow"/>
                <w:sz w:val="20"/>
                <w:szCs w:val="20"/>
                <w:u w:val="single"/>
              </w:rPr>
              <w:t>)</w:t>
            </w:r>
          </w:p>
          <w:p w14:paraId="552939F2" w14:textId="7AF6FCAD" w:rsidR="00656290" w:rsidRPr="00456281" w:rsidRDefault="00656290" w:rsidP="00656290">
            <w:pPr>
              <w:keepNext/>
              <w:widowControl w:val="0"/>
              <w:jc w:val="left"/>
              <w:rPr>
                <w:rFonts w:ascii="Arial Narrow" w:hAnsi="Arial Narrow"/>
                <w:sz w:val="20"/>
                <w:szCs w:val="20"/>
                <w:u w:val="single"/>
              </w:rPr>
            </w:pPr>
            <w:r w:rsidRPr="00456281">
              <w:rPr>
                <w:rFonts w:ascii="Arial Narrow" w:hAnsi="Arial Narrow"/>
                <w:sz w:val="20"/>
                <w:szCs w:val="20"/>
                <w:u w:val="single"/>
              </w:rPr>
              <w:t>(base case = 0%)</w:t>
            </w:r>
          </w:p>
        </w:tc>
      </w:tr>
      <w:tr w:rsidR="00656290" w:rsidRPr="00456281" w14:paraId="02079AD1" w14:textId="77777777" w:rsidTr="00F16C78">
        <w:trPr>
          <w:cantSplit/>
        </w:trPr>
        <w:tc>
          <w:tcPr>
            <w:tcW w:w="3712" w:type="dxa"/>
            <w:vAlign w:val="center"/>
          </w:tcPr>
          <w:p w14:paraId="1D14E182" w14:textId="77777777" w:rsidR="00656290" w:rsidRPr="00456281" w:rsidRDefault="00656290" w:rsidP="00690769">
            <w:pPr>
              <w:pStyle w:val="ListParagraph"/>
              <w:widowControl w:val="0"/>
              <w:numPr>
                <w:ilvl w:val="0"/>
                <w:numId w:val="11"/>
              </w:numPr>
              <w:spacing w:after="0"/>
              <w:ind w:left="306"/>
              <w:contextualSpacing/>
              <w:rPr>
                <w:rFonts w:ascii="Arial Narrow" w:hAnsi="Arial Narrow"/>
                <w:sz w:val="20"/>
                <w:szCs w:val="20"/>
              </w:rPr>
            </w:pPr>
            <w:r w:rsidRPr="00456281">
              <w:rPr>
                <w:rFonts w:ascii="Arial Narrow" w:hAnsi="Arial Narrow"/>
                <w:sz w:val="20"/>
                <w:szCs w:val="20"/>
              </w:rPr>
              <w:t>5% of use in FOLFIRINOX</w:t>
            </w:r>
          </w:p>
        </w:tc>
        <w:tc>
          <w:tcPr>
            <w:tcW w:w="1446" w:type="dxa"/>
            <w:tcBorders>
              <w:bottom w:val="single" w:sz="4" w:space="0" w:color="auto"/>
            </w:tcBorders>
            <w:shd w:val="solid" w:color="000000" w:fill="000000"/>
            <w:vAlign w:val="center"/>
          </w:tcPr>
          <w:p w14:paraId="451BF30C" w14:textId="2DF71C21" w:rsidR="00656290" w:rsidRPr="009C3CBE" w:rsidRDefault="00F16C78" w:rsidP="00656290">
            <w:pPr>
              <w:pStyle w:val="TableText0"/>
              <w:keepNext w:val="0"/>
              <w:widowControl w:val="0"/>
              <w:jc w:val="center"/>
              <w:rPr>
                <w:rFonts w:cs="Calibri"/>
                <w:color w:val="000000"/>
                <w:szCs w:val="20"/>
                <w:highlight w:val="lightGray"/>
              </w:rPr>
            </w:pPr>
            <w:r w:rsidRPr="00F16C78">
              <w:rPr>
                <w:rFonts w:hint="eastAsia"/>
                <w:color w:val="000000"/>
                <w:w w:val="22"/>
                <w:szCs w:val="20"/>
                <w:fitText w:val="100" w:id="-961860600"/>
                <w14:textFill>
                  <w14:solidFill>
                    <w14:srgbClr w14:val="000000">
                      <w14:alpha w14:val="100000"/>
                    </w14:srgbClr>
                  </w14:solidFill>
                </w14:textFill>
              </w:rPr>
              <w:t xml:space="preserve">　</w:t>
            </w:r>
            <w:r w:rsidRPr="00F16C78">
              <w:rPr>
                <w:color w:val="000000"/>
                <w:w w:val="22"/>
                <w:szCs w:val="20"/>
                <w:fitText w:val="100" w:id="-961860600"/>
                <w14:textFill>
                  <w14:solidFill>
                    <w14:srgbClr w14:val="000000">
                      <w14:alpha w14:val="100000"/>
                    </w14:srgbClr>
                  </w14:solidFill>
                </w14:textFill>
              </w:rPr>
              <w:t>|</w:t>
            </w:r>
            <w:r w:rsidRPr="00F16C78">
              <w:rPr>
                <w:rFonts w:hint="eastAsia"/>
                <w:color w:val="000000"/>
                <w:w w:val="22"/>
                <w:szCs w:val="20"/>
                <w:fitText w:val="100" w:id="-961860600"/>
                <w14:textFill>
                  <w14:solidFill>
                    <w14:srgbClr w14:val="000000">
                      <w14:alpha w14:val="100000"/>
                    </w14:srgbClr>
                  </w14:solidFill>
                </w14:textFill>
              </w:rPr>
              <w:t xml:space="preserve">　</w:t>
            </w:r>
          </w:p>
        </w:tc>
        <w:tc>
          <w:tcPr>
            <w:tcW w:w="1360" w:type="dxa"/>
            <w:vAlign w:val="center"/>
          </w:tcPr>
          <w:p w14:paraId="5C47DD63" w14:textId="3C5B8EBB" w:rsidR="00656290" w:rsidRPr="00456281" w:rsidRDefault="00656290" w:rsidP="00656290">
            <w:pPr>
              <w:pStyle w:val="TableText0"/>
              <w:keepNext w:val="0"/>
              <w:widowControl w:val="0"/>
              <w:jc w:val="center"/>
              <w:rPr>
                <w:szCs w:val="20"/>
              </w:rPr>
            </w:pPr>
            <w:r w:rsidRPr="00456281">
              <w:rPr>
                <w:szCs w:val="20"/>
              </w:rPr>
              <w:t>0.1357</w:t>
            </w:r>
          </w:p>
        </w:tc>
        <w:tc>
          <w:tcPr>
            <w:tcW w:w="1399" w:type="dxa"/>
            <w:vAlign w:val="center"/>
          </w:tcPr>
          <w:p w14:paraId="4C050A7D" w14:textId="43D3501A" w:rsidR="00656290" w:rsidRPr="009C3CBE" w:rsidRDefault="00F16C78" w:rsidP="00656290">
            <w:pPr>
              <w:pStyle w:val="TableText0"/>
              <w:keepNext w:val="0"/>
              <w:widowControl w:val="0"/>
              <w:jc w:val="center"/>
              <w:rPr>
                <w:szCs w:val="20"/>
                <w:highlight w:val="lightGray"/>
              </w:rPr>
            </w:pPr>
            <w:r w:rsidRPr="00F16C78">
              <w:rPr>
                <w:rFonts w:hint="eastAsia"/>
                <w:color w:val="000000"/>
                <w:w w:val="33"/>
                <w:szCs w:val="20"/>
                <w:shd w:val="solid" w:color="000000" w:fill="000000"/>
                <w:fitText w:val="150" w:id="-961860599"/>
                <w14:textFill>
                  <w14:solidFill>
                    <w14:srgbClr w14:val="000000">
                      <w14:alpha w14:val="100000"/>
                    </w14:srgbClr>
                  </w14:solidFill>
                </w14:textFill>
              </w:rPr>
              <w:t xml:space="preserve">　</w:t>
            </w:r>
            <w:r w:rsidRPr="00F16C78">
              <w:rPr>
                <w:color w:val="000000"/>
                <w:w w:val="33"/>
                <w:szCs w:val="20"/>
                <w:shd w:val="solid" w:color="000000" w:fill="000000"/>
                <w:fitText w:val="150" w:id="-961860599"/>
                <w14:textFill>
                  <w14:solidFill>
                    <w14:srgbClr w14:val="000000">
                      <w14:alpha w14:val="100000"/>
                    </w14:srgbClr>
                  </w14:solidFill>
                </w14:textFill>
              </w:rPr>
              <w:t>|</w:t>
            </w:r>
            <w:r w:rsidRPr="00F16C78">
              <w:rPr>
                <w:rFonts w:hint="eastAsia"/>
                <w:color w:val="000000"/>
                <w:spacing w:val="4"/>
                <w:w w:val="33"/>
                <w:szCs w:val="20"/>
                <w:shd w:val="solid" w:color="000000" w:fill="000000"/>
                <w:fitText w:val="150" w:id="-961860599"/>
                <w14:textFill>
                  <w14:solidFill>
                    <w14:srgbClr w14:val="000000">
                      <w14:alpha w14:val="100000"/>
                    </w14:srgbClr>
                  </w14:solidFill>
                </w14:textFill>
              </w:rPr>
              <w:t xml:space="preserve">　</w:t>
            </w:r>
            <w:r w:rsidR="004F343F" w:rsidRPr="00D21B8B">
              <w:rPr>
                <w:szCs w:val="20"/>
                <w:vertAlign w:val="superscript"/>
              </w:rPr>
              <w:t>2</w:t>
            </w:r>
          </w:p>
        </w:tc>
        <w:tc>
          <w:tcPr>
            <w:tcW w:w="1080" w:type="dxa"/>
            <w:vAlign w:val="center"/>
          </w:tcPr>
          <w:p w14:paraId="787029FC" w14:textId="3F21D2D7" w:rsidR="00656290" w:rsidRPr="00456281" w:rsidRDefault="00656290" w:rsidP="00656290">
            <w:pPr>
              <w:pStyle w:val="TableText0"/>
              <w:keepNext w:val="0"/>
              <w:widowControl w:val="0"/>
              <w:jc w:val="center"/>
              <w:rPr>
                <w:szCs w:val="20"/>
              </w:rPr>
            </w:pPr>
            <w:r w:rsidRPr="00456281">
              <w:rPr>
                <w:szCs w:val="20"/>
              </w:rPr>
              <w:t>+</w:t>
            </w:r>
            <w:r w:rsidR="001C2CAE" w:rsidRPr="001C2CAE">
              <w:rPr>
                <w:color w:val="000000"/>
                <w:spacing w:val="127"/>
                <w:szCs w:val="20"/>
                <w:shd w:val="solid" w:color="000000" w:fill="000000"/>
                <w:fitText w:val="213" w:id="-961860856"/>
                <w14:textFill>
                  <w14:solidFill>
                    <w14:srgbClr w14:val="000000">
                      <w14:alpha w14:val="100000"/>
                    </w14:srgbClr>
                  </w14:solidFill>
                </w14:textFill>
              </w:rPr>
              <w:t>|</w:t>
            </w:r>
            <w:r w:rsidR="001C2CAE" w:rsidRPr="001C2CAE">
              <w:rPr>
                <w:color w:val="000000"/>
                <w:szCs w:val="20"/>
                <w:shd w:val="solid" w:color="000000" w:fill="000000"/>
                <w:fitText w:val="213" w:id="-961860856"/>
                <w14:textFill>
                  <w14:solidFill>
                    <w14:srgbClr w14:val="000000">
                      <w14:alpha w14:val="100000"/>
                    </w14:srgbClr>
                  </w14:solidFill>
                </w14:textFill>
              </w:rPr>
              <w:t>|</w:t>
            </w:r>
            <w:r w:rsidRPr="00456281">
              <w:rPr>
                <w:szCs w:val="20"/>
              </w:rPr>
              <w:t>%</w:t>
            </w:r>
          </w:p>
        </w:tc>
      </w:tr>
      <w:tr w:rsidR="00656290" w:rsidRPr="00456281" w14:paraId="1697675F" w14:textId="77777777" w:rsidTr="00F16C78">
        <w:trPr>
          <w:cantSplit/>
        </w:trPr>
        <w:tc>
          <w:tcPr>
            <w:tcW w:w="3712" w:type="dxa"/>
            <w:vAlign w:val="center"/>
          </w:tcPr>
          <w:p w14:paraId="78CAF78C" w14:textId="77777777" w:rsidR="00656290" w:rsidRPr="00456281" w:rsidRDefault="00656290" w:rsidP="00690769">
            <w:pPr>
              <w:pStyle w:val="ListParagraph"/>
              <w:widowControl w:val="0"/>
              <w:numPr>
                <w:ilvl w:val="0"/>
                <w:numId w:val="11"/>
              </w:numPr>
              <w:spacing w:after="0"/>
              <w:ind w:left="306"/>
              <w:contextualSpacing/>
              <w:rPr>
                <w:rFonts w:ascii="Arial Narrow" w:hAnsi="Arial Narrow"/>
                <w:sz w:val="20"/>
                <w:szCs w:val="20"/>
              </w:rPr>
            </w:pPr>
            <w:r w:rsidRPr="00456281">
              <w:rPr>
                <w:rFonts w:ascii="Arial Narrow" w:hAnsi="Arial Narrow"/>
                <w:sz w:val="20"/>
                <w:szCs w:val="20"/>
              </w:rPr>
              <w:t>10% of use in FOLFIRINOX</w:t>
            </w:r>
          </w:p>
        </w:tc>
        <w:tc>
          <w:tcPr>
            <w:tcW w:w="1446" w:type="dxa"/>
            <w:tcBorders>
              <w:bottom w:val="single" w:sz="4" w:space="0" w:color="auto"/>
            </w:tcBorders>
            <w:shd w:val="solid" w:color="000000" w:fill="000000"/>
            <w:vAlign w:val="center"/>
          </w:tcPr>
          <w:p w14:paraId="1D87BBD6" w14:textId="3C838437" w:rsidR="00656290" w:rsidRPr="009C3CBE" w:rsidRDefault="00F16C78" w:rsidP="00656290">
            <w:pPr>
              <w:pStyle w:val="TableText0"/>
              <w:keepNext w:val="0"/>
              <w:widowControl w:val="0"/>
              <w:jc w:val="center"/>
              <w:rPr>
                <w:rFonts w:cs="Calibri"/>
                <w:color w:val="000000"/>
                <w:szCs w:val="20"/>
                <w:highlight w:val="lightGray"/>
              </w:rPr>
            </w:pPr>
            <w:r w:rsidRPr="00F16C78">
              <w:rPr>
                <w:rFonts w:hint="eastAsia"/>
                <w:color w:val="000000"/>
                <w:w w:val="22"/>
                <w:szCs w:val="20"/>
                <w:fitText w:val="100" w:id="-961860598"/>
                <w14:textFill>
                  <w14:solidFill>
                    <w14:srgbClr w14:val="000000">
                      <w14:alpha w14:val="100000"/>
                    </w14:srgbClr>
                  </w14:solidFill>
                </w14:textFill>
              </w:rPr>
              <w:t xml:space="preserve">　</w:t>
            </w:r>
            <w:r w:rsidRPr="00F16C78">
              <w:rPr>
                <w:color w:val="000000"/>
                <w:w w:val="22"/>
                <w:szCs w:val="20"/>
                <w:fitText w:val="100" w:id="-961860598"/>
                <w14:textFill>
                  <w14:solidFill>
                    <w14:srgbClr w14:val="000000">
                      <w14:alpha w14:val="100000"/>
                    </w14:srgbClr>
                  </w14:solidFill>
                </w14:textFill>
              </w:rPr>
              <w:t>|</w:t>
            </w:r>
            <w:r w:rsidRPr="00F16C78">
              <w:rPr>
                <w:rFonts w:hint="eastAsia"/>
                <w:color w:val="000000"/>
                <w:w w:val="22"/>
                <w:szCs w:val="20"/>
                <w:fitText w:val="100" w:id="-961860598"/>
                <w14:textFill>
                  <w14:solidFill>
                    <w14:srgbClr w14:val="000000">
                      <w14:alpha w14:val="100000"/>
                    </w14:srgbClr>
                  </w14:solidFill>
                </w14:textFill>
              </w:rPr>
              <w:t xml:space="preserve">　</w:t>
            </w:r>
          </w:p>
        </w:tc>
        <w:tc>
          <w:tcPr>
            <w:tcW w:w="1360" w:type="dxa"/>
            <w:vAlign w:val="center"/>
          </w:tcPr>
          <w:p w14:paraId="7B3DC29A" w14:textId="774F3F96" w:rsidR="00656290" w:rsidRPr="00456281" w:rsidRDefault="00656290" w:rsidP="00656290">
            <w:pPr>
              <w:pStyle w:val="TableText0"/>
              <w:keepNext w:val="0"/>
              <w:widowControl w:val="0"/>
              <w:jc w:val="center"/>
              <w:rPr>
                <w:szCs w:val="20"/>
              </w:rPr>
            </w:pPr>
            <w:r w:rsidRPr="00456281">
              <w:rPr>
                <w:szCs w:val="20"/>
              </w:rPr>
              <w:t>0.1326</w:t>
            </w:r>
          </w:p>
        </w:tc>
        <w:tc>
          <w:tcPr>
            <w:tcW w:w="1399" w:type="dxa"/>
            <w:vAlign w:val="center"/>
          </w:tcPr>
          <w:p w14:paraId="0B5F8130" w14:textId="41883002" w:rsidR="00656290" w:rsidRPr="009C3CBE" w:rsidRDefault="00F16C78" w:rsidP="00656290">
            <w:pPr>
              <w:pStyle w:val="TableText0"/>
              <w:keepNext w:val="0"/>
              <w:widowControl w:val="0"/>
              <w:jc w:val="center"/>
              <w:rPr>
                <w:szCs w:val="20"/>
                <w:highlight w:val="lightGray"/>
              </w:rPr>
            </w:pPr>
            <w:r w:rsidRPr="00F16C78">
              <w:rPr>
                <w:rFonts w:hint="eastAsia"/>
                <w:color w:val="000000"/>
                <w:w w:val="33"/>
                <w:szCs w:val="20"/>
                <w:shd w:val="solid" w:color="000000" w:fill="000000"/>
                <w:fitText w:val="150" w:id="-961860597"/>
                <w14:textFill>
                  <w14:solidFill>
                    <w14:srgbClr w14:val="000000">
                      <w14:alpha w14:val="100000"/>
                    </w14:srgbClr>
                  </w14:solidFill>
                </w14:textFill>
              </w:rPr>
              <w:t xml:space="preserve">　</w:t>
            </w:r>
            <w:r w:rsidRPr="00F16C78">
              <w:rPr>
                <w:color w:val="000000"/>
                <w:w w:val="33"/>
                <w:szCs w:val="20"/>
                <w:shd w:val="solid" w:color="000000" w:fill="000000"/>
                <w:fitText w:val="150" w:id="-961860597"/>
                <w14:textFill>
                  <w14:solidFill>
                    <w14:srgbClr w14:val="000000">
                      <w14:alpha w14:val="100000"/>
                    </w14:srgbClr>
                  </w14:solidFill>
                </w14:textFill>
              </w:rPr>
              <w:t>|</w:t>
            </w:r>
            <w:r w:rsidRPr="00F16C78">
              <w:rPr>
                <w:rFonts w:hint="eastAsia"/>
                <w:color w:val="000000"/>
                <w:spacing w:val="4"/>
                <w:w w:val="33"/>
                <w:szCs w:val="20"/>
                <w:shd w:val="solid" w:color="000000" w:fill="000000"/>
                <w:fitText w:val="150" w:id="-961860597"/>
                <w14:textFill>
                  <w14:solidFill>
                    <w14:srgbClr w14:val="000000">
                      <w14:alpha w14:val="100000"/>
                    </w14:srgbClr>
                  </w14:solidFill>
                </w14:textFill>
              </w:rPr>
              <w:t xml:space="preserve">　</w:t>
            </w:r>
            <w:r w:rsidR="004F343F" w:rsidRPr="00D21B8B">
              <w:rPr>
                <w:szCs w:val="20"/>
                <w:vertAlign w:val="superscript"/>
              </w:rPr>
              <w:t>2</w:t>
            </w:r>
          </w:p>
        </w:tc>
        <w:tc>
          <w:tcPr>
            <w:tcW w:w="1080" w:type="dxa"/>
            <w:vAlign w:val="center"/>
          </w:tcPr>
          <w:p w14:paraId="69EBCFFF" w14:textId="618BD1A5" w:rsidR="00656290" w:rsidRPr="00456281" w:rsidRDefault="00656290" w:rsidP="00656290">
            <w:pPr>
              <w:pStyle w:val="TableText0"/>
              <w:keepNext w:val="0"/>
              <w:widowControl w:val="0"/>
              <w:jc w:val="center"/>
              <w:rPr>
                <w:szCs w:val="20"/>
              </w:rPr>
            </w:pPr>
            <w:r w:rsidRPr="00456281">
              <w:rPr>
                <w:szCs w:val="20"/>
              </w:rPr>
              <w:t>+</w:t>
            </w:r>
            <w:r w:rsidR="001C2CAE" w:rsidRPr="001C2CAE">
              <w:rPr>
                <w:color w:val="000000"/>
                <w:spacing w:val="127"/>
                <w:szCs w:val="20"/>
                <w:shd w:val="solid" w:color="000000" w:fill="000000"/>
                <w:fitText w:val="213" w:id="-961860856"/>
                <w14:textFill>
                  <w14:solidFill>
                    <w14:srgbClr w14:val="000000">
                      <w14:alpha w14:val="100000"/>
                    </w14:srgbClr>
                  </w14:solidFill>
                </w14:textFill>
              </w:rPr>
              <w:t>|</w:t>
            </w:r>
            <w:r w:rsidR="001C2CAE" w:rsidRPr="001C2CAE">
              <w:rPr>
                <w:color w:val="000000"/>
                <w:szCs w:val="20"/>
                <w:shd w:val="solid" w:color="000000" w:fill="000000"/>
                <w:fitText w:val="213" w:id="-961860856"/>
                <w14:textFill>
                  <w14:solidFill>
                    <w14:srgbClr w14:val="000000">
                      <w14:alpha w14:val="100000"/>
                    </w14:srgbClr>
                  </w14:solidFill>
                </w14:textFill>
              </w:rPr>
              <w:t>|</w:t>
            </w:r>
            <w:r w:rsidRPr="00456281">
              <w:rPr>
                <w:szCs w:val="20"/>
              </w:rPr>
              <w:t>%</w:t>
            </w:r>
          </w:p>
        </w:tc>
      </w:tr>
      <w:tr w:rsidR="00656290" w:rsidRPr="00456281" w14:paraId="59A708F6" w14:textId="77777777" w:rsidTr="00F16C78">
        <w:trPr>
          <w:cantSplit/>
        </w:trPr>
        <w:tc>
          <w:tcPr>
            <w:tcW w:w="3712" w:type="dxa"/>
            <w:vAlign w:val="center"/>
          </w:tcPr>
          <w:p w14:paraId="4965530B" w14:textId="77777777" w:rsidR="00656290" w:rsidRPr="00456281" w:rsidRDefault="00656290" w:rsidP="00690769">
            <w:pPr>
              <w:pStyle w:val="ListParagraph"/>
              <w:widowControl w:val="0"/>
              <w:numPr>
                <w:ilvl w:val="0"/>
                <w:numId w:val="11"/>
              </w:numPr>
              <w:spacing w:after="0"/>
              <w:ind w:left="306"/>
              <w:contextualSpacing/>
              <w:rPr>
                <w:rFonts w:ascii="Arial Narrow" w:hAnsi="Arial Narrow"/>
                <w:sz w:val="20"/>
                <w:szCs w:val="20"/>
              </w:rPr>
            </w:pPr>
            <w:r w:rsidRPr="00456281">
              <w:rPr>
                <w:rFonts w:ascii="Arial Narrow" w:hAnsi="Arial Narrow"/>
                <w:sz w:val="20"/>
                <w:szCs w:val="20"/>
              </w:rPr>
              <w:t>15% of use in FOLFIRINOX</w:t>
            </w:r>
          </w:p>
        </w:tc>
        <w:tc>
          <w:tcPr>
            <w:tcW w:w="1446" w:type="dxa"/>
            <w:tcBorders>
              <w:bottom w:val="single" w:sz="4" w:space="0" w:color="auto"/>
            </w:tcBorders>
            <w:shd w:val="solid" w:color="000000" w:fill="000000"/>
            <w:vAlign w:val="center"/>
          </w:tcPr>
          <w:p w14:paraId="4F2FBB4A" w14:textId="55DAA826" w:rsidR="00656290" w:rsidRPr="009C3CBE" w:rsidRDefault="00F16C78" w:rsidP="00656290">
            <w:pPr>
              <w:pStyle w:val="TableText0"/>
              <w:keepNext w:val="0"/>
              <w:widowControl w:val="0"/>
              <w:jc w:val="center"/>
              <w:rPr>
                <w:rFonts w:cs="Calibri"/>
                <w:color w:val="000000"/>
                <w:szCs w:val="20"/>
                <w:highlight w:val="lightGray"/>
              </w:rPr>
            </w:pPr>
            <w:r w:rsidRPr="00F16C78">
              <w:rPr>
                <w:rFonts w:hint="eastAsia"/>
                <w:color w:val="000000"/>
                <w:w w:val="22"/>
                <w:szCs w:val="20"/>
                <w:fitText w:val="100" w:id="-961860596"/>
                <w14:textFill>
                  <w14:solidFill>
                    <w14:srgbClr w14:val="000000">
                      <w14:alpha w14:val="100000"/>
                    </w14:srgbClr>
                  </w14:solidFill>
                </w14:textFill>
              </w:rPr>
              <w:t xml:space="preserve">　</w:t>
            </w:r>
            <w:r w:rsidRPr="00F16C78">
              <w:rPr>
                <w:color w:val="000000"/>
                <w:w w:val="22"/>
                <w:szCs w:val="20"/>
                <w:fitText w:val="100" w:id="-961860596"/>
                <w14:textFill>
                  <w14:solidFill>
                    <w14:srgbClr w14:val="000000">
                      <w14:alpha w14:val="100000"/>
                    </w14:srgbClr>
                  </w14:solidFill>
                </w14:textFill>
              </w:rPr>
              <w:t>|</w:t>
            </w:r>
            <w:r w:rsidRPr="00F16C78">
              <w:rPr>
                <w:rFonts w:hint="eastAsia"/>
                <w:color w:val="000000"/>
                <w:w w:val="22"/>
                <w:szCs w:val="20"/>
                <w:fitText w:val="100" w:id="-961860596"/>
                <w14:textFill>
                  <w14:solidFill>
                    <w14:srgbClr w14:val="000000">
                      <w14:alpha w14:val="100000"/>
                    </w14:srgbClr>
                  </w14:solidFill>
                </w14:textFill>
              </w:rPr>
              <w:t xml:space="preserve">　</w:t>
            </w:r>
          </w:p>
        </w:tc>
        <w:tc>
          <w:tcPr>
            <w:tcW w:w="1360" w:type="dxa"/>
            <w:vAlign w:val="center"/>
          </w:tcPr>
          <w:p w14:paraId="7530EE1B" w14:textId="648A0FB5" w:rsidR="00656290" w:rsidRPr="00456281" w:rsidRDefault="00656290" w:rsidP="00656290">
            <w:pPr>
              <w:pStyle w:val="TableText0"/>
              <w:keepNext w:val="0"/>
              <w:widowControl w:val="0"/>
              <w:jc w:val="center"/>
              <w:rPr>
                <w:szCs w:val="20"/>
              </w:rPr>
            </w:pPr>
            <w:r w:rsidRPr="00456281">
              <w:rPr>
                <w:szCs w:val="20"/>
              </w:rPr>
              <w:t>0.1295</w:t>
            </w:r>
          </w:p>
        </w:tc>
        <w:tc>
          <w:tcPr>
            <w:tcW w:w="1399" w:type="dxa"/>
            <w:vAlign w:val="center"/>
          </w:tcPr>
          <w:p w14:paraId="712B750C" w14:textId="0E0D9BB8" w:rsidR="00656290" w:rsidRPr="009C3CBE" w:rsidRDefault="00F16C78" w:rsidP="00656290">
            <w:pPr>
              <w:pStyle w:val="TableText0"/>
              <w:keepNext w:val="0"/>
              <w:widowControl w:val="0"/>
              <w:jc w:val="center"/>
              <w:rPr>
                <w:szCs w:val="20"/>
                <w:highlight w:val="lightGray"/>
              </w:rPr>
            </w:pPr>
            <w:r w:rsidRPr="00F16C78">
              <w:rPr>
                <w:rFonts w:hint="eastAsia"/>
                <w:color w:val="000000"/>
                <w:w w:val="33"/>
                <w:szCs w:val="20"/>
                <w:shd w:val="solid" w:color="000000" w:fill="000000"/>
                <w:fitText w:val="150" w:id="-961860595"/>
                <w14:textFill>
                  <w14:solidFill>
                    <w14:srgbClr w14:val="000000">
                      <w14:alpha w14:val="100000"/>
                    </w14:srgbClr>
                  </w14:solidFill>
                </w14:textFill>
              </w:rPr>
              <w:t xml:space="preserve">　</w:t>
            </w:r>
            <w:r w:rsidRPr="00F16C78">
              <w:rPr>
                <w:color w:val="000000"/>
                <w:w w:val="33"/>
                <w:szCs w:val="20"/>
                <w:shd w:val="solid" w:color="000000" w:fill="000000"/>
                <w:fitText w:val="150" w:id="-961860595"/>
                <w14:textFill>
                  <w14:solidFill>
                    <w14:srgbClr w14:val="000000">
                      <w14:alpha w14:val="100000"/>
                    </w14:srgbClr>
                  </w14:solidFill>
                </w14:textFill>
              </w:rPr>
              <w:t>|</w:t>
            </w:r>
            <w:r w:rsidRPr="00F16C78">
              <w:rPr>
                <w:rFonts w:hint="eastAsia"/>
                <w:color w:val="000000"/>
                <w:spacing w:val="4"/>
                <w:w w:val="33"/>
                <w:szCs w:val="20"/>
                <w:shd w:val="solid" w:color="000000" w:fill="000000"/>
                <w:fitText w:val="150" w:id="-961860595"/>
                <w14:textFill>
                  <w14:solidFill>
                    <w14:srgbClr w14:val="000000">
                      <w14:alpha w14:val="100000"/>
                    </w14:srgbClr>
                  </w14:solidFill>
                </w14:textFill>
              </w:rPr>
              <w:t xml:space="preserve">　</w:t>
            </w:r>
            <w:r w:rsidR="004F343F" w:rsidRPr="00D21B8B">
              <w:rPr>
                <w:szCs w:val="20"/>
                <w:vertAlign w:val="superscript"/>
              </w:rPr>
              <w:t>2</w:t>
            </w:r>
          </w:p>
        </w:tc>
        <w:tc>
          <w:tcPr>
            <w:tcW w:w="1080" w:type="dxa"/>
            <w:vAlign w:val="center"/>
          </w:tcPr>
          <w:p w14:paraId="2B363549" w14:textId="4F8872D9" w:rsidR="00656290" w:rsidRPr="00456281" w:rsidRDefault="00656290" w:rsidP="00656290">
            <w:pPr>
              <w:pStyle w:val="TableText0"/>
              <w:keepNext w:val="0"/>
              <w:widowControl w:val="0"/>
              <w:jc w:val="center"/>
              <w:rPr>
                <w:szCs w:val="20"/>
              </w:rPr>
            </w:pPr>
            <w:r w:rsidRPr="00456281">
              <w:rPr>
                <w:szCs w:val="20"/>
              </w:rPr>
              <w:t>+</w:t>
            </w:r>
            <w:r w:rsidR="001C2CAE" w:rsidRPr="001C2CAE">
              <w:rPr>
                <w:color w:val="000000"/>
                <w:spacing w:val="127"/>
                <w:szCs w:val="20"/>
                <w:shd w:val="solid" w:color="000000" w:fill="000000"/>
                <w:fitText w:val="213" w:id="-961860856"/>
                <w14:textFill>
                  <w14:solidFill>
                    <w14:srgbClr w14:val="000000">
                      <w14:alpha w14:val="100000"/>
                    </w14:srgbClr>
                  </w14:solidFill>
                </w14:textFill>
              </w:rPr>
              <w:t>|</w:t>
            </w:r>
            <w:r w:rsidR="001C2CAE" w:rsidRPr="001C2CAE">
              <w:rPr>
                <w:color w:val="000000"/>
                <w:szCs w:val="20"/>
                <w:shd w:val="solid" w:color="000000" w:fill="000000"/>
                <w:fitText w:val="213" w:id="-961860856"/>
                <w14:textFill>
                  <w14:solidFill>
                    <w14:srgbClr w14:val="000000">
                      <w14:alpha w14:val="100000"/>
                    </w14:srgbClr>
                  </w14:solidFill>
                </w14:textFill>
              </w:rPr>
              <w:t>|</w:t>
            </w:r>
            <w:r w:rsidRPr="00456281">
              <w:rPr>
                <w:szCs w:val="20"/>
              </w:rPr>
              <w:t>%</w:t>
            </w:r>
          </w:p>
        </w:tc>
      </w:tr>
      <w:tr w:rsidR="00656290" w:rsidRPr="00456281" w14:paraId="1EFFE9E0" w14:textId="77777777" w:rsidTr="00F16C78">
        <w:trPr>
          <w:cantSplit/>
        </w:trPr>
        <w:tc>
          <w:tcPr>
            <w:tcW w:w="3712" w:type="dxa"/>
            <w:vAlign w:val="center"/>
          </w:tcPr>
          <w:p w14:paraId="4961262D" w14:textId="0ABC510C" w:rsidR="00656290" w:rsidRPr="00456281" w:rsidRDefault="00656290" w:rsidP="00690769">
            <w:pPr>
              <w:pStyle w:val="ListParagraph"/>
              <w:widowControl w:val="0"/>
              <w:numPr>
                <w:ilvl w:val="0"/>
                <w:numId w:val="11"/>
              </w:numPr>
              <w:spacing w:after="0"/>
              <w:ind w:left="306"/>
              <w:contextualSpacing/>
              <w:rPr>
                <w:rFonts w:ascii="Arial Narrow" w:hAnsi="Arial Narrow"/>
                <w:sz w:val="20"/>
                <w:szCs w:val="20"/>
              </w:rPr>
            </w:pPr>
            <w:r w:rsidRPr="00456281">
              <w:rPr>
                <w:rFonts w:ascii="Arial Narrow" w:hAnsi="Arial Narrow"/>
                <w:sz w:val="20"/>
                <w:szCs w:val="20"/>
              </w:rPr>
              <w:t>25% of use in FOLFIRINOX</w:t>
            </w:r>
          </w:p>
        </w:tc>
        <w:tc>
          <w:tcPr>
            <w:tcW w:w="1446" w:type="dxa"/>
            <w:tcBorders>
              <w:bottom w:val="single" w:sz="4" w:space="0" w:color="auto"/>
            </w:tcBorders>
            <w:shd w:val="solid" w:color="000000" w:fill="000000"/>
            <w:vAlign w:val="bottom"/>
          </w:tcPr>
          <w:p w14:paraId="2F026943" w14:textId="4ACA3A84" w:rsidR="00656290" w:rsidRPr="009C3CBE" w:rsidRDefault="00F16C78" w:rsidP="00656290">
            <w:pPr>
              <w:pStyle w:val="TableText0"/>
              <w:keepNext w:val="0"/>
              <w:widowControl w:val="0"/>
              <w:jc w:val="center"/>
              <w:rPr>
                <w:szCs w:val="20"/>
                <w:highlight w:val="lightGray"/>
              </w:rPr>
            </w:pPr>
            <w:r w:rsidRPr="00F16C78">
              <w:rPr>
                <w:rFonts w:cs="Calibri" w:hint="eastAsia"/>
                <w:color w:val="000000"/>
                <w:w w:val="22"/>
                <w:szCs w:val="20"/>
                <w:fitText w:val="100" w:id="-961860594"/>
                <w14:textFill>
                  <w14:solidFill>
                    <w14:srgbClr w14:val="000000">
                      <w14:alpha w14:val="100000"/>
                    </w14:srgbClr>
                  </w14:solidFill>
                </w14:textFill>
              </w:rPr>
              <w:t xml:space="preserve">　</w:t>
            </w:r>
            <w:r w:rsidRPr="00F16C78">
              <w:rPr>
                <w:rFonts w:cs="Calibri"/>
                <w:color w:val="000000"/>
                <w:w w:val="22"/>
                <w:szCs w:val="20"/>
                <w:fitText w:val="100" w:id="-961860594"/>
                <w14:textFill>
                  <w14:solidFill>
                    <w14:srgbClr w14:val="000000">
                      <w14:alpha w14:val="100000"/>
                    </w14:srgbClr>
                  </w14:solidFill>
                </w14:textFill>
              </w:rPr>
              <w:t>|</w:t>
            </w:r>
            <w:r w:rsidRPr="00F16C78">
              <w:rPr>
                <w:rFonts w:cs="Calibri" w:hint="eastAsia"/>
                <w:color w:val="000000"/>
                <w:w w:val="22"/>
                <w:szCs w:val="20"/>
                <w:fitText w:val="100" w:id="-961860594"/>
                <w14:textFill>
                  <w14:solidFill>
                    <w14:srgbClr w14:val="000000">
                      <w14:alpha w14:val="100000"/>
                    </w14:srgbClr>
                  </w14:solidFill>
                </w14:textFill>
              </w:rPr>
              <w:t xml:space="preserve">　</w:t>
            </w:r>
          </w:p>
        </w:tc>
        <w:tc>
          <w:tcPr>
            <w:tcW w:w="1360" w:type="dxa"/>
            <w:vAlign w:val="bottom"/>
          </w:tcPr>
          <w:p w14:paraId="0A8CEBD0" w14:textId="1D4AE531" w:rsidR="00656290" w:rsidRPr="00456281" w:rsidRDefault="00656290" w:rsidP="00656290">
            <w:pPr>
              <w:pStyle w:val="TableText0"/>
              <w:keepNext w:val="0"/>
              <w:widowControl w:val="0"/>
              <w:jc w:val="center"/>
              <w:rPr>
                <w:szCs w:val="20"/>
              </w:rPr>
            </w:pPr>
            <w:r w:rsidRPr="00456281">
              <w:rPr>
                <w:rFonts w:cs="Calibri"/>
                <w:color w:val="000000"/>
                <w:szCs w:val="20"/>
              </w:rPr>
              <w:t>0.1233</w:t>
            </w:r>
          </w:p>
        </w:tc>
        <w:tc>
          <w:tcPr>
            <w:tcW w:w="1399" w:type="dxa"/>
            <w:vAlign w:val="bottom"/>
          </w:tcPr>
          <w:p w14:paraId="5B3F2E14" w14:textId="661F165D" w:rsidR="00656290" w:rsidRPr="009C3CBE" w:rsidRDefault="00F16C78" w:rsidP="00656290">
            <w:pPr>
              <w:pStyle w:val="TableText0"/>
              <w:keepNext w:val="0"/>
              <w:widowControl w:val="0"/>
              <w:jc w:val="center"/>
              <w:rPr>
                <w:szCs w:val="20"/>
                <w:highlight w:val="lightGray"/>
              </w:rPr>
            </w:pPr>
            <w:r w:rsidRPr="00F16C78">
              <w:rPr>
                <w:rFonts w:cs="Calibri" w:hint="eastAsia"/>
                <w:color w:val="000000"/>
                <w:w w:val="33"/>
                <w:szCs w:val="20"/>
                <w:shd w:val="solid" w:color="000000" w:fill="000000"/>
                <w:fitText w:val="150" w:id="-961860593"/>
                <w14:textFill>
                  <w14:solidFill>
                    <w14:srgbClr w14:val="000000">
                      <w14:alpha w14:val="100000"/>
                    </w14:srgbClr>
                  </w14:solidFill>
                </w14:textFill>
              </w:rPr>
              <w:t xml:space="preserve">　</w:t>
            </w:r>
            <w:r w:rsidRPr="00F16C78">
              <w:rPr>
                <w:rFonts w:cs="Calibri"/>
                <w:color w:val="000000"/>
                <w:w w:val="33"/>
                <w:szCs w:val="20"/>
                <w:shd w:val="solid" w:color="000000" w:fill="000000"/>
                <w:fitText w:val="150" w:id="-961860593"/>
                <w14:textFill>
                  <w14:solidFill>
                    <w14:srgbClr w14:val="000000">
                      <w14:alpha w14:val="100000"/>
                    </w14:srgbClr>
                  </w14:solidFill>
                </w14:textFill>
              </w:rPr>
              <w:t>|</w:t>
            </w:r>
            <w:r w:rsidRPr="00F16C78">
              <w:rPr>
                <w:rFonts w:cs="Calibri" w:hint="eastAsia"/>
                <w:color w:val="000000"/>
                <w:spacing w:val="4"/>
                <w:w w:val="33"/>
                <w:szCs w:val="20"/>
                <w:shd w:val="solid" w:color="000000" w:fill="000000"/>
                <w:fitText w:val="150" w:id="-961860593"/>
                <w14:textFill>
                  <w14:solidFill>
                    <w14:srgbClr w14:val="000000">
                      <w14:alpha w14:val="100000"/>
                    </w14:srgbClr>
                  </w14:solidFill>
                </w14:textFill>
              </w:rPr>
              <w:t xml:space="preserve">　</w:t>
            </w:r>
            <w:r w:rsidR="004F343F" w:rsidRPr="009C3CBE">
              <w:rPr>
                <w:rFonts w:cs="Calibri"/>
                <w:color w:val="000000"/>
                <w:szCs w:val="20"/>
                <w:vertAlign w:val="superscript"/>
              </w:rPr>
              <w:t>3</w:t>
            </w:r>
          </w:p>
        </w:tc>
        <w:tc>
          <w:tcPr>
            <w:tcW w:w="1080" w:type="dxa"/>
            <w:vAlign w:val="bottom"/>
          </w:tcPr>
          <w:p w14:paraId="21D792DA" w14:textId="7254667E" w:rsidR="00656290" w:rsidRPr="00456281" w:rsidRDefault="00656290" w:rsidP="00656290">
            <w:pPr>
              <w:pStyle w:val="TableText0"/>
              <w:keepNext w:val="0"/>
              <w:widowControl w:val="0"/>
              <w:jc w:val="center"/>
              <w:rPr>
                <w:szCs w:val="20"/>
              </w:rPr>
            </w:pPr>
            <w:r w:rsidRPr="00456281">
              <w:rPr>
                <w:rFonts w:cs="Calibri"/>
                <w:color w:val="000000"/>
                <w:szCs w:val="20"/>
              </w:rPr>
              <w:t>+</w:t>
            </w:r>
            <w:r w:rsidR="001C2CAE" w:rsidRPr="001C2CAE">
              <w:rPr>
                <w:color w:val="000000"/>
                <w:spacing w:val="127"/>
                <w:szCs w:val="20"/>
                <w:shd w:val="solid" w:color="000000" w:fill="000000"/>
                <w:fitText w:val="213" w:id="-961860856"/>
                <w14:textFill>
                  <w14:solidFill>
                    <w14:srgbClr w14:val="000000">
                      <w14:alpha w14:val="100000"/>
                    </w14:srgbClr>
                  </w14:solidFill>
                </w14:textFill>
              </w:rPr>
              <w:t>|</w:t>
            </w:r>
            <w:r w:rsidR="001C2CAE" w:rsidRPr="001C2CAE">
              <w:rPr>
                <w:color w:val="000000"/>
                <w:szCs w:val="20"/>
                <w:shd w:val="solid" w:color="000000" w:fill="000000"/>
                <w:fitText w:val="213" w:id="-961860856"/>
                <w14:textFill>
                  <w14:solidFill>
                    <w14:srgbClr w14:val="000000">
                      <w14:alpha w14:val="100000"/>
                    </w14:srgbClr>
                  </w14:solidFill>
                </w14:textFill>
              </w:rPr>
              <w:t>|</w:t>
            </w:r>
            <w:r w:rsidRPr="00456281">
              <w:rPr>
                <w:rFonts w:cs="Calibri"/>
                <w:color w:val="000000"/>
                <w:szCs w:val="20"/>
              </w:rPr>
              <w:t>%</w:t>
            </w:r>
          </w:p>
        </w:tc>
      </w:tr>
      <w:tr w:rsidR="00656290" w:rsidRPr="00456281" w14:paraId="4C8A7F67" w14:textId="77777777" w:rsidTr="00F16C78">
        <w:trPr>
          <w:cantSplit/>
        </w:trPr>
        <w:tc>
          <w:tcPr>
            <w:tcW w:w="3712" w:type="dxa"/>
            <w:vAlign w:val="center"/>
          </w:tcPr>
          <w:p w14:paraId="15B9083C" w14:textId="7FD9477B" w:rsidR="00656290" w:rsidRPr="00456281" w:rsidRDefault="00656290" w:rsidP="00690769">
            <w:pPr>
              <w:pStyle w:val="ListParagraph"/>
              <w:widowControl w:val="0"/>
              <w:numPr>
                <w:ilvl w:val="0"/>
                <w:numId w:val="11"/>
              </w:numPr>
              <w:spacing w:after="0"/>
              <w:ind w:left="306"/>
              <w:contextualSpacing/>
              <w:rPr>
                <w:rFonts w:ascii="Arial Narrow" w:hAnsi="Arial Narrow"/>
                <w:sz w:val="20"/>
                <w:szCs w:val="20"/>
              </w:rPr>
            </w:pPr>
            <w:r w:rsidRPr="00456281">
              <w:rPr>
                <w:rFonts w:ascii="Arial Narrow" w:hAnsi="Arial Narrow"/>
                <w:sz w:val="20"/>
                <w:szCs w:val="20"/>
              </w:rPr>
              <w:t>50% of use in FOLFIRINOX</w:t>
            </w:r>
          </w:p>
        </w:tc>
        <w:tc>
          <w:tcPr>
            <w:tcW w:w="1446" w:type="dxa"/>
            <w:tcBorders>
              <w:bottom w:val="single" w:sz="4" w:space="0" w:color="auto"/>
            </w:tcBorders>
            <w:shd w:val="solid" w:color="000000" w:fill="000000"/>
            <w:vAlign w:val="bottom"/>
          </w:tcPr>
          <w:p w14:paraId="767D9633" w14:textId="2F8D6314" w:rsidR="00656290" w:rsidRPr="009C3CBE" w:rsidRDefault="00F16C78" w:rsidP="00656290">
            <w:pPr>
              <w:pStyle w:val="TableText0"/>
              <w:keepNext w:val="0"/>
              <w:widowControl w:val="0"/>
              <w:jc w:val="center"/>
              <w:rPr>
                <w:szCs w:val="20"/>
                <w:highlight w:val="lightGray"/>
              </w:rPr>
            </w:pPr>
            <w:r w:rsidRPr="00F16C78">
              <w:rPr>
                <w:rFonts w:cs="Calibri" w:hint="eastAsia"/>
                <w:color w:val="000000"/>
                <w:w w:val="22"/>
                <w:szCs w:val="20"/>
                <w:fitText w:val="100" w:id="-961860592"/>
                <w14:textFill>
                  <w14:solidFill>
                    <w14:srgbClr w14:val="000000">
                      <w14:alpha w14:val="100000"/>
                    </w14:srgbClr>
                  </w14:solidFill>
                </w14:textFill>
              </w:rPr>
              <w:t xml:space="preserve">　</w:t>
            </w:r>
            <w:r w:rsidRPr="00F16C78">
              <w:rPr>
                <w:rFonts w:cs="Calibri"/>
                <w:color w:val="000000"/>
                <w:w w:val="22"/>
                <w:szCs w:val="20"/>
                <w:fitText w:val="100" w:id="-961860592"/>
                <w14:textFill>
                  <w14:solidFill>
                    <w14:srgbClr w14:val="000000">
                      <w14:alpha w14:val="100000"/>
                    </w14:srgbClr>
                  </w14:solidFill>
                </w14:textFill>
              </w:rPr>
              <w:t>|</w:t>
            </w:r>
            <w:r w:rsidRPr="00F16C78">
              <w:rPr>
                <w:rFonts w:cs="Calibri" w:hint="eastAsia"/>
                <w:color w:val="000000"/>
                <w:w w:val="22"/>
                <w:szCs w:val="20"/>
                <w:fitText w:val="100" w:id="-961860592"/>
                <w14:textFill>
                  <w14:solidFill>
                    <w14:srgbClr w14:val="000000">
                      <w14:alpha w14:val="100000"/>
                    </w14:srgbClr>
                  </w14:solidFill>
                </w14:textFill>
              </w:rPr>
              <w:t xml:space="preserve">　</w:t>
            </w:r>
          </w:p>
        </w:tc>
        <w:tc>
          <w:tcPr>
            <w:tcW w:w="1360" w:type="dxa"/>
            <w:vAlign w:val="bottom"/>
          </w:tcPr>
          <w:p w14:paraId="4AF80967" w14:textId="0D708304" w:rsidR="00656290" w:rsidRPr="00456281" w:rsidRDefault="00656290" w:rsidP="00656290">
            <w:pPr>
              <w:pStyle w:val="TableText0"/>
              <w:keepNext w:val="0"/>
              <w:widowControl w:val="0"/>
              <w:jc w:val="center"/>
              <w:rPr>
                <w:szCs w:val="20"/>
              </w:rPr>
            </w:pPr>
            <w:r w:rsidRPr="00456281">
              <w:rPr>
                <w:rFonts w:cs="Calibri"/>
                <w:color w:val="000000"/>
                <w:szCs w:val="20"/>
              </w:rPr>
              <w:t>0.1077</w:t>
            </w:r>
          </w:p>
        </w:tc>
        <w:tc>
          <w:tcPr>
            <w:tcW w:w="1399" w:type="dxa"/>
            <w:vAlign w:val="bottom"/>
          </w:tcPr>
          <w:p w14:paraId="288D9D65" w14:textId="2973A321" w:rsidR="00656290" w:rsidRPr="009C3CBE" w:rsidRDefault="00F16C78" w:rsidP="00656290">
            <w:pPr>
              <w:pStyle w:val="TableText0"/>
              <w:keepNext w:val="0"/>
              <w:widowControl w:val="0"/>
              <w:jc w:val="center"/>
              <w:rPr>
                <w:szCs w:val="20"/>
                <w:highlight w:val="lightGray"/>
              </w:rPr>
            </w:pPr>
            <w:r w:rsidRPr="00F16C78">
              <w:rPr>
                <w:rFonts w:cs="Calibri" w:hint="eastAsia"/>
                <w:color w:val="000000"/>
                <w:w w:val="33"/>
                <w:szCs w:val="20"/>
                <w:shd w:val="solid" w:color="000000" w:fill="000000"/>
                <w:fitText w:val="150" w:id="-961860608"/>
                <w14:textFill>
                  <w14:solidFill>
                    <w14:srgbClr w14:val="000000">
                      <w14:alpha w14:val="100000"/>
                    </w14:srgbClr>
                  </w14:solidFill>
                </w14:textFill>
              </w:rPr>
              <w:t xml:space="preserve">　</w:t>
            </w:r>
            <w:r w:rsidRPr="00F16C78">
              <w:rPr>
                <w:rFonts w:cs="Calibri"/>
                <w:color w:val="000000"/>
                <w:w w:val="33"/>
                <w:szCs w:val="20"/>
                <w:shd w:val="solid" w:color="000000" w:fill="000000"/>
                <w:fitText w:val="150" w:id="-961860608"/>
                <w14:textFill>
                  <w14:solidFill>
                    <w14:srgbClr w14:val="000000">
                      <w14:alpha w14:val="100000"/>
                    </w14:srgbClr>
                  </w14:solidFill>
                </w14:textFill>
              </w:rPr>
              <w:t>|</w:t>
            </w:r>
            <w:r w:rsidRPr="00F16C78">
              <w:rPr>
                <w:rFonts w:cs="Calibri" w:hint="eastAsia"/>
                <w:color w:val="000000"/>
                <w:spacing w:val="4"/>
                <w:w w:val="33"/>
                <w:szCs w:val="20"/>
                <w:shd w:val="solid" w:color="000000" w:fill="000000"/>
                <w:fitText w:val="150" w:id="-961860608"/>
                <w14:textFill>
                  <w14:solidFill>
                    <w14:srgbClr w14:val="000000">
                      <w14:alpha w14:val="100000"/>
                    </w14:srgbClr>
                  </w14:solidFill>
                </w14:textFill>
              </w:rPr>
              <w:t xml:space="preserve">　</w:t>
            </w:r>
            <w:r w:rsidR="004F343F" w:rsidRPr="009C3CBE">
              <w:rPr>
                <w:rFonts w:cs="Calibri"/>
                <w:color w:val="000000"/>
                <w:szCs w:val="20"/>
                <w:vertAlign w:val="superscript"/>
              </w:rPr>
              <w:t>4</w:t>
            </w:r>
          </w:p>
        </w:tc>
        <w:tc>
          <w:tcPr>
            <w:tcW w:w="1080" w:type="dxa"/>
            <w:vAlign w:val="bottom"/>
          </w:tcPr>
          <w:p w14:paraId="5BDBF186" w14:textId="5A722D06" w:rsidR="00656290" w:rsidRPr="00456281" w:rsidRDefault="00656290" w:rsidP="00656290">
            <w:pPr>
              <w:pStyle w:val="TableText0"/>
              <w:keepNext w:val="0"/>
              <w:widowControl w:val="0"/>
              <w:jc w:val="center"/>
              <w:rPr>
                <w:szCs w:val="20"/>
              </w:rPr>
            </w:pPr>
            <w:r w:rsidRPr="00456281">
              <w:rPr>
                <w:rFonts w:cs="Calibri"/>
                <w:color w:val="000000"/>
                <w:szCs w:val="20"/>
              </w:rPr>
              <w:t>+</w:t>
            </w:r>
            <w:r w:rsidR="001C2CAE" w:rsidRPr="001C2CAE">
              <w:rPr>
                <w:color w:val="000000"/>
                <w:spacing w:val="127"/>
                <w:szCs w:val="20"/>
                <w:shd w:val="solid" w:color="000000" w:fill="000000"/>
                <w:fitText w:val="213" w:id="-961860856"/>
                <w14:textFill>
                  <w14:solidFill>
                    <w14:srgbClr w14:val="000000">
                      <w14:alpha w14:val="100000"/>
                    </w14:srgbClr>
                  </w14:solidFill>
                </w14:textFill>
              </w:rPr>
              <w:t>|</w:t>
            </w:r>
            <w:r w:rsidR="001C2CAE" w:rsidRPr="001C2CAE">
              <w:rPr>
                <w:color w:val="000000"/>
                <w:szCs w:val="20"/>
                <w:shd w:val="solid" w:color="000000" w:fill="000000"/>
                <w:fitText w:val="213" w:id="-961860856"/>
                <w14:textFill>
                  <w14:solidFill>
                    <w14:srgbClr w14:val="000000">
                      <w14:alpha w14:val="100000"/>
                    </w14:srgbClr>
                  </w14:solidFill>
                </w14:textFill>
              </w:rPr>
              <w:t>|</w:t>
            </w:r>
            <w:r w:rsidRPr="00456281">
              <w:rPr>
                <w:rFonts w:cs="Calibri"/>
                <w:color w:val="000000"/>
                <w:szCs w:val="20"/>
              </w:rPr>
              <w:t>%</w:t>
            </w:r>
          </w:p>
        </w:tc>
      </w:tr>
      <w:tr w:rsidR="00656290" w:rsidRPr="00456281" w14:paraId="689FFF16" w14:textId="77777777" w:rsidTr="00F16C78">
        <w:trPr>
          <w:cantSplit/>
        </w:trPr>
        <w:tc>
          <w:tcPr>
            <w:tcW w:w="3712" w:type="dxa"/>
            <w:vAlign w:val="center"/>
          </w:tcPr>
          <w:p w14:paraId="3FA6E692" w14:textId="2E7C66BC" w:rsidR="00656290" w:rsidRPr="00456281" w:rsidRDefault="00656290" w:rsidP="00690769">
            <w:pPr>
              <w:pStyle w:val="ListParagraph"/>
              <w:widowControl w:val="0"/>
              <w:numPr>
                <w:ilvl w:val="0"/>
                <w:numId w:val="11"/>
              </w:numPr>
              <w:spacing w:after="0"/>
              <w:ind w:left="306"/>
              <w:contextualSpacing/>
              <w:rPr>
                <w:rFonts w:ascii="Arial Narrow" w:hAnsi="Arial Narrow"/>
                <w:sz w:val="20"/>
                <w:szCs w:val="20"/>
              </w:rPr>
            </w:pPr>
            <w:r w:rsidRPr="00456281">
              <w:rPr>
                <w:rFonts w:ascii="Arial Narrow" w:hAnsi="Arial Narrow"/>
                <w:sz w:val="20"/>
                <w:szCs w:val="20"/>
              </w:rPr>
              <w:lastRenderedPageBreak/>
              <w:t>75% of use in FOLFIRINOX</w:t>
            </w:r>
          </w:p>
        </w:tc>
        <w:tc>
          <w:tcPr>
            <w:tcW w:w="1446" w:type="dxa"/>
            <w:tcBorders>
              <w:bottom w:val="single" w:sz="4" w:space="0" w:color="auto"/>
            </w:tcBorders>
            <w:shd w:val="solid" w:color="000000" w:fill="000000"/>
            <w:vAlign w:val="bottom"/>
          </w:tcPr>
          <w:p w14:paraId="00E84848" w14:textId="44A20253" w:rsidR="00656290" w:rsidRPr="009C3CBE" w:rsidRDefault="00F16C78" w:rsidP="00656290">
            <w:pPr>
              <w:pStyle w:val="TableText0"/>
              <w:keepNext w:val="0"/>
              <w:widowControl w:val="0"/>
              <w:jc w:val="center"/>
              <w:rPr>
                <w:szCs w:val="20"/>
                <w:highlight w:val="lightGray"/>
              </w:rPr>
            </w:pPr>
            <w:r w:rsidRPr="00F16C78">
              <w:rPr>
                <w:rFonts w:cs="Calibri" w:hint="eastAsia"/>
                <w:color w:val="000000"/>
                <w:w w:val="22"/>
                <w:szCs w:val="20"/>
                <w:fitText w:val="100" w:id="-961860607"/>
                <w14:textFill>
                  <w14:solidFill>
                    <w14:srgbClr w14:val="000000">
                      <w14:alpha w14:val="100000"/>
                    </w14:srgbClr>
                  </w14:solidFill>
                </w14:textFill>
              </w:rPr>
              <w:t xml:space="preserve">　</w:t>
            </w:r>
            <w:r w:rsidRPr="00F16C78">
              <w:rPr>
                <w:rFonts w:cs="Calibri"/>
                <w:color w:val="000000"/>
                <w:w w:val="22"/>
                <w:szCs w:val="20"/>
                <w:fitText w:val="100" w:id="-961860607"/>
                <w14:textFill>
                  <w14:solidFill>
                    <w14:srgbClr w14:val="000000">
                      <w14:alpha w14:val="100000"/>
                    </w14:srgbClr>
                  </w14:solidFill>
                </w14:textFill>
              </w:rPr>
              <w:t>|</w:t>
            </w:r>
            <w:r w:rsidRPr="00F16C78">
              <w:rPr>
                <w:rFonts w:cs="Calibri" w:hint="eastAsia"/>
                <w:color w:val="000000"/>
                <w:w w:val="22"/>
                <w:szCs w:val="20"/>
                <w:fitText w:val="100" w:id="-961860607"/>
                <w14:textFill>
                  <w14:solidFill>
                    <w14:srgbClr w14:val="000000">
                      <w14:alpha w14:val="100000"/>
                    </w14:srgbClr>
                  </w14:solidFill>
                </w14:textFill>
              </w:rPr>
              <w:t xml:space="preserve">　</w:t>
            </w:r>
          </w:p>
        </w:tc>
        <w:tc>
          <w:tcPr>
            <w:tcW w:w="1360" w:type="dxa"/>
            <w:vAlign w:val="bottom"/>
          </w:tcPr>
          <w:p w14:paraId="6A29B271" w14:textId="120DF2FD" w:rsidR="00656290" w:rsidRPr="00456281" w:rsidRDefault="00656290" w:rsidP="00656290">
            <w:pPr>
              <w:pStyle w:val="TableText0"/>
              <w:keepNext w:val="0"/>
              <w:widowControl w:val="0"/>
              <w:jc w:val="center"/>
              <w:rPr>
                <w:szCs w:val="20"/>
              </w:rPr>
            </w:pPr>
            <w:r w:rsidRPr="00456281">
              <w:rPr>
                <w:rFonts w:cs="Calibri"/>
                <w:color w:val="000000"/>
                <w:szCs w:val="20"/>
              </w:rPr>
              <w:t>0.0921</w:t>
            </w:r>
          </w:p>
        </w:tc>
        <w:tc>
          <w:tcPr>
            <w:tcW w:w="1399" w:type="dxa"/>
            <w:vAlign w:val="bottom"/>
          </w:tcPr>
          <w:p w14:paraId="5CAF9369" w14:textId="1B5750DD" w:rsidR="00656290" w:rsidRPr="009C3CBE" w:rsidRDefault="00F16C78" w:rsidP="00656290">
            <w:pPr>
              <w:pStyle w:val="TableText0"/>
              <w:keepNext w:val="0"/>
              <w:widowControl w:val="0"/>
              <w:jc w:val="center"/>
              <w:rPr>
                <w:szCs w:val="20"/>
                <w:highlight w:val="lightGray"/>
              </w:rPr>
            </w:pPr>
            <w:r w:rsidRPr="00F16C78">
              <w:rPr>
                <w:rFonts w:cs="Calibri" w:hint="eastAsia"/>
                <w:color w:val="000000"/>
                <w:w w:val="33"/>
                <w:szCs w:val="20"/>
                <w:shd w:val="solid" w:color="000000" w:fill="000000"/>
                <w:fitText w:val="150" w:id="-961860606"/>
                <w14:textFill>
                  <w14:solidFill>
                    <w14:srgbClr w14:val="000000">
                      <w14:alpha w14:val="100000"/>
                    </w14:srgbClr>
                  </w14:solidFill>
                </w14:textFill>
              </w:rPr>
              <w:t xml:space="preserve">　</w:t>
            </w:r>
            <w:r w:rsidRPr="00F16C78">
              <w:rPr>
                <w:rFonts w:cs="Calibri"/>
                <w:color w:val="000000"/>
                <w:w w:val="33"/>
                <w:szCs w:val="20"/>
                <w:shd w:val="solid" w:color="000000" w:fill="000000"/>
                <w:fitText w:val="150" w:id="-961860606"/>
                <w14:textFill>
                  <w14:solidFill>
                    <w14:srgbClr w14:val="000000">
                      <w14:alpha w14:val="100000"/>
                    </w14:srgbClr>
                  </w14:solidFill>
                </w14:textFill>
              </w:rPr>
              <w:t>|</w:t>
            </w:r>
            <w:r w:rsidRPr="00F16C78">
              <w:rPr>
                <w:rFonts w:cs="Calibri" w:hint="eastAsia"/>
                <w:color w:val="000000"/>
                <w:spacing w:val="4"/>
                <w:w w:val="33"/>
                <w:szCs w:val="20"/>
                <w:shd w:val="solid" w:color="000000" w:fill="000000"/>
                <w:fitText w:val="150" w:id="-961860606"/>
                <w14:textFill>
                  <w14:solidFill>
                    <w14:srgbClr w14:val="000000">
                      <w14:alpha w14:val="100000"/>
                    </w14:srgbClr>
                  </w14:solidFill>
                </w14:textFill>
              </w:rPr>
              <w:t xml:space="preserve">　</w:t>
            </w:r>
            <w:r w:rsidR="004F343F" w:rsidRPr="009C3CBE">
              <w:rPr>
                <w:rFonts w:cs="Calibri"/>
                <w:color w:val="000000"/>
                <w:szCs w:val="20"/>
                <w:vertAlign w:val="superscript"/>
              </w:rPr>
              <w:t>5</w:t>
            </w:r>
          </w:p>
        </w:tc>
        <w:tc>
          <w:tcPr>
            <w:tcW w:w="1080" w:type="dxa"/>
            <w:vAlign w:val="bottom"/>
          </w:tcPr>
          <w:p w14:paraId="56B6F9D6" w14:textId="5C2B3DD2" w:rsidR="00656290" w:rsidRPr="00456281" w:rsidRDefault="00656290" w:rsidP="00656290">
            <w:pPr>
              <w:pStyle w:val="TableText0"/>
              <w:keepNext w:val="0"/>
              <w:widowControl w:val="0"/>
              <w:jc w:val="center"/>
              <w:rPr>
                <w:szCs w:val="20"/>
              </w:rPr>
            </w:pPr>
            <w:r w:rsidRPr="00456281">
              <w:rPr>
                <w:rFonts w:cs="Calibri"/>
                <w:color w:val="000000"/>
                <w:szCs w:val="20"/>
              </w:rPr>
              <w:t>+</w:t>
            </w:r>
            <w:r w:rsidR="001C2CAE" w:rsidRPr="001C2CAE">
              <w:rPr>
                <w:color w:val="000000"/>
                <w:spacing w:val="127"/>
                <w:szCs w:val="20"/>
                <w:shd w:val="solid" w:color="000000" w:fill="000000"/>
                <w:fitText w:val="213" w:id="-961860856"/>
                <w14:textFill>
                  <w14:solidFill>
                    <w14:srgbClr w14:val="000000">
                      <w14:alpha w14:val="100000"/>
                    </w14:srgbClr>
                  </w14:solidFill>
                </w14:textFill>
              </w:rPr>
              <w:t>|</w:t>
            </w:r>
            <w:r w:rsidR="001C2CAE" w:rsidRPr="001C2CAE">
              <w:rPr>
                <w:color w:val="000000"/>
                <w:szCs w:val="20"/>
                <w:shd w:val="solid" w:color="000000" w:fill="000000"/>
                <w:fitText w:val="213" w:id="-961860856"/>
                <w14:textFill>
                  <w14:solidFill>
                    <w14:srgbClr w14:val="000000">
                      <w14:alpha w14:val="100000"/>
                    </w14:srgbClr>
                  </w14:solidFill>
                </w14:textFill>
              </w:rPr>
              <w:t>|</w:t>
            </w:r>
            <w:r w:rsidRPr="00456281">
              <w:rPr>
                <w:rFonts w:cs="Calibri"/>
                <w:color w:val="000000"/>
                <w:szCs w:val="20"/>
              </w:rPr>
              <w:t>%</w:t>
            </w:r>
          </w:p>
        </w:tc>
      </w:tr>
      <w:tr w:rsidR="00656290" w:rsidRPr="00456281" w14:paraId="7DDE2F90" w14:textId="77777777" w:rsidTr="00F16C78">
        <w:trPr>
          <w:cantSplit/>
        </w:trPr>
        <w:tc>
          <w:tcPr>
            <w:tcW w:w="3712" w:type="dxa"/>
            <w:vAlign w:val="center"/>
          </w:tcPr>
          <w:p w14:paraId="780F9E3B" w14:textId="77777777" w:rsidR="00656290" w:rsidRPr="00456281" w:rsidRDefault="00656290" w:rsidP="00690769">
            <w:pPr>
              <w:pStyle w:val="ListParagraph"/>
              <w:widowControl w:val="0"/>
              <w:numPr>
                <w:ilvl w:val="0"/>
                <w:numId w:val="11"/>
              </w:numPr>
              <w:spacing w:after="0"/>
              <w:ind w:left="306"/>
              <w:contextualSpacing/>
              <w:rPr>
                <w:rFonts w:ascii="Arial Narrow" w:hAnsi="Arial Narrow"/>
                <w:sz w:val="20"/>
                <w:szCs w:val="20"/>
              </w:rPr>
            </w:pPr>
            <w:r w:rsidRPr="00456281">
              <w:rPr>
                <w:rFonts w:ascii="Arial Narrow" w:hAnsi="Arial Narrow"/>
                <w:sz w:val="20"/>
                <w:szCs w:val="20"/>
              </w:rPr>
              <w:t>100% of use in FOLFIRINOX</w:t>
            </w:r>
          </w:p>
        </w:tc>
        <w:tc>
          <w:tcPr>
            <w:tcW w:w="1446" w:type="dxa"/>
            <w:shd w:val="solid" w:color="000000" w:fill="000000"/>
            <w:vAlign w:val="center"/>
          </w:tcPr>
          <w:p w14:paraId="0A36279C" w14:textId="169BD935" w:rsidR="00656290" w:rsidRPr="009C3CBE" w:rsidRDefault="00F16C78" w:rsidP="00656290">
            <w:pPr>
              <w:pStyle w:val="TableText0"/>
              <w:keepNext w:val="0"/>
              <w:widowControl w:val="0"/>
              <w:jc w:val="center"/>
              <w:rPr>
                <w:szCs w:val="20"/>
                <w:highlight w:val="lightGray"/>
              </w:rPr>
            </w:pPr>
            <w:r w:rsidRPr="00F16C78">
              <w:rPr>
                <w:rFonts w:hint="eastAsia"/>
                <w:color w:val="000000"/>
                <w:w w:val="22"/>
                <w:szCs w:val="20"/>
                <w:fitText w:val="100" w:id="-961860605"/>
                <w14:textFill>
                  <w14:solidFill>
                    <w14:srgbClr w14:val="000000">
                      <w14:alpha w14:val="100000"/>
                    </w14:srgbClr>
                  </w14:solidFill>
                </w14:textFill>
              </w:rPr>
              <w:t xml:space="preserve">　</w:t>
            </w:r>
            <w:r w:rsidRPr="00F16C78">
              <w:rPr>
                <w:color w:val="000000"/>
                <w:w w:val="22"/>
                <w:szCs w:val="20"/>
                <w:fitText w:val="100" w:id="-961860605"/>
                <w14:textFill>
                  <w14:solidFill>
                    <w14:srgbClr w14:val="000000">
                      <w14:alpha w14:val="100000"/>
                    </w14:srgbClr>
                  </w14:solidFill>
                </w14:textFill>
              </w:rPr>
              <w:t>|</w:t>
            </w:r>
            <w:r w:rsidRPr="00F16C78">
              <w:rPr>
                <w:rFonts w:hint="eastAsia"/>
                <w:color w:val="000000"/>
                <w:w w:val="22"/>
                <w:szCs w:val="20"/>
                <w:fitText w:val="100" w:id="-961860605"/>
                <w14:textFill>
                  <w14:solidFill>
                    <w14:srgbClr w14:val="000000">
                      <w14:alpha w14:val="100000"/>
                    </w14:srgbClr>
                  </w14:solidFill>
                </w14:textFill>
              </w:rPr>
              <w:t xml:space="preserve">　</w:t>
            </w:r>
          </w:p>
        </w:tc>
        <w:tc>
          <w:tcPr>
            <w:tcW w:w="1360" w:type="dxa"/>
            <w:vAlign w:val="center"/>
          </w:tcPr>
          <w:p w14:paraId="5A9A4DFB" w14:textId="77777777" w:rsidR="00656290" w:rsidRPr="00456281" w:rsidRDefault="00656290" w:rsidP="00656290">
            <w:pPr>
              <w:pStyle w:val="TableText0"/>
              <w:keepNext w:val="0"/>
              <w:widowControl w:val="0"/>
              <w:jc w:val="center"/>
              <w:rPr>
                <w:szCs w:val="20"/>
              </w:rPr>
            </w:pPr>
            <w:r w:rsidRPr="00456281">
              <w:rPr>
                <w:szCs w:val="20"/>
              </w:rPr>
              <w:t>0.0765</w:t>
            </w:r>
          </w:p>
        </w:tc>
        <w:tc>
          <w:tcPr>
            <w:tcW w:w="1399" w:type="dxa"/>
            <w:vAlign w:val="center"/>
          </w:tcPr>
          <w:p w14:paraId="6CAE8CDE" w14:textId="03D21732" w:rsidR="00656290" w:rsidRPr="009C3CBE" w:rsidRDefault="00F16C78" w:rsidP="00656290">
            <w:pPr>
              <w:pStyle w:val="TableText0"/>
              <w:keepNext w:val="0"/>
              <w:widowControl w:val="0"/>
              <w:jc w:val="center"/>
              <w:rPr>
                <w:szCs w:val="20"/>
                <w:highlight w:val="lightGray"/>
              </w:rPr>
            </w:pPr>
            <w:r w:rsidRPr="00F16C78">
              <w:rPr>
                <w:rFonts w:hint="eastAsia"/>
                <w:color w:val="000000"/>
                <w:w w:val="33"/>
                <w:szCs w:val="20"/>
                <w:shd w:val="solid" w:color="000000" w:fill="000000"/>
                <w:fitText w:val="150" w:id="-961860604"/>
                <w14:textFill>
                  <w14:solidFill>
                    <w14:srgbClr w14:val="000000">
                      <w14:alpha w14:val="100000"/>
                    </w14:srgbClr>
                  </w14:solidFill>
                </w14:textFill>
              </w:rPr>
              <w:t xml:space="preserve">　</w:t>
            </w:r>
            <w:r w:rsidRPr="00F16C78">
              <w:rPr>
                <w:color w:val="000000"/>
                <w:w w:val="33"/>
                <w:szCs w:val="20"/>
                <w:shd w:val="solid" w:color="000000" w:fill="000000"/>
                <w:fitText w:val="150" w:id="-961860604"/>
                <w14:textFill>
                  <w14:solidFill>
                    <w14:srgbClr w14:val="000000">
                      <w14:alpha w14:val="100000"/>
                    </w14:srgbClr>
                  </w14:solidFill>
                </w14:textFill>
              </w:rPr>
              <w:t>|</w:t>
            </w:r>
            <w:r w:rsidRPr="00F16C78">
              <w:rPr>
                <w:rFonts w:hint="eastAsia"/>
                <w:color w:val="000000"/>
                <w:spacing w:val="4"/>
                <w:w w:val="33"/>
                <w:szCs w:val="20"/>
                <w:shd w:val="solid" w:color="000000" w:fill="000000"/>
                <w:fitText w:val="150" w:id="-961860604"/>
                <w14:textFill>
                  <w14:solidFill>
                    <w14:srgbClr w14:val="000000">
                      <w14:alpha w14:val="100000"/>
                    </w14:srgbClr>
                  </w14:solidFill>
                </w14:textFill>
              </w:rPr>
              <w:t xml:space="preserve">　</w:t>
            </w:r>
            <w:r w:rsidR="004F343F" w:rsidRPr="009C3CBE">
              <w:rPr>
                <w:szCs w:val="20"/>
                <w:vertAlign w:val="superscript"/>
              </w:rPr>
              <w:t>6</w:t>
            </w:r>
          </w:p>
        </w:tc>
        <w:tc>
          <w:tcPr>
            <w:tcW w:w="1080" w:type="dxa"/>
            <w:vAlign w:val="center"/>
          </w:tcPr>
          <w:p w14:paraId="7F5F160F" w14:textId="5FDF9E48" w:rsidR="00656290" w:rsidRPr="00456281" w:rsidRDefault="00656290" w:rsidP="00656290">
            <w:pPr>
              <w:pStyle w:val="TableText0"/>
              <w:keepNext w:val="0"/>
              <w:widowControl w:val="0"/>
              <w:jc w:val="center"/>
              <w:rPr>
                <w:szCs w:val="20"/>
              </w:rPr>
            </w:pPr>
            <w:r w:rsidRPr="00456281">
              <w:rPr>
                <w:szCs w:val="20"/>
              </w:rPr>
              <w:t>+</w:t>
            </w:r>
            <w:r w:rsidR="001C2CAE" w:rsidRPr="001C2CAE">
              <w:rPr>
                <w:color w:val="000000"/>
                <w:spacing w:val="127"/>
                <w:szCs w:val="20"/>
                <w:shd w:val="solid" w:color="000000" w:fill="000000"/>
                <w:fitText w:val="213" w:id="-961860856"/>
                <w14:textFill>
                  <w14:solidFill>
                    <w14:srgbClr w14:val="000000">
                      <w14:alpha w14:val="100000"/>
                    </w14:srgbClr>
                  </w14:solidFill>
                </w14:textFill>
              </w:rPr>
              <w:t>|</w:t>
            </w:r>
            <w:r w:rsidR="001C2CAE" w:rsidRPr="001C2CAE">
              <w:rPr>
                <w:color w:val="000000"/>
                <w:szCs w:val="20"/>
                <w:shd w:val="solid" w:color="000000" w:fill="000000"/>
                <w:fitText w:val="213" w:id="-961860856"/>
                <w14:textFill>
                  <w14:solidFill>
                    <w14:srgbClr w14:val="000000">
                      <w14:alpha w14:val="100000"/>
                    </w14:srgbClr>
                  </w14:solidFill>
                </w14:textFill>
              </w:rPr>
              <w:t>|</w:t>
            </w:r>
            <w:r w:rsidRPr="00456281">
              <w:rPr>
                <w:szCs w:val="20"/>
              </w:rPr>
              <w:t>%</w:t>
            </w:r>
          </w:p>
        </w:tc>
      </w:tr>
      <w:tr w:rsidR="00656290" w:rsidRPr="00456281" w14:paraId="03BD5C80" w14:textId="77777777" w:rsidTr="00832474">
        <w:trPr>
          <w:cantSplit/>
        </w:trPr>
        <w:tc>
          <w:tcPr>
            <w:tcW w:w="8997" w:type="dxa"/>
            <w:gridSpan w:val="5"/>
            <w:vAlign w:val="center"/>
          </w:tcPr>
          <w:p w14:paraId="7056A50A" w14:textId="2AE8C441" w:rsidR="00656290" w:rsidRPr="00456281" w:rsidRDefault="00656290" w:rsidP="00656290">
            <w:pPr>
              <w:keepNext/>
              <w:widowControl w:val="0"/>
              <w:jc w:val="left"/>
              <w:rPr>
                <w:rFonts w:ascii="Arial Narrow" w:hAnsi="Arial Narrow"/>
                <w:sz w:val="20"/>
                <w:szCs w:val="20"/>
                <w:u w:val="single"/>
              </w:rPr>
            </w:pPr>
            <w:r w:rsidRPr="00456281">
              <w:rPr>
                <w:rFonts w:ascii="Arial Narrow" w:hAnsi="Arial Narrow"/>
                <w:sz w:val="20"/>
                <w:szCs w:val="20"/>
                <w:u w:val="single"/>
              </w:rPr>
              <w:t>Alternative scenario 2 with FOLFIRINOX as secondary comparator in the indicated percentage applying FOLFIRINOX efficacy from Gem+NabP arm of NAPOLI-3 (assumes FOLFIRINOX is non-inferior to Gem+NabP</w:t>
            </w:r>
            <w:r w:rsidR="00B47373" w:rsidRPr="00456281">
              <w:rPr>
                <w:rFonts w:ascii="Arial Narrow" w:hAnsi="Arial Narrow"/>
                <w:sz w:val="20"/>
                <w:szCs w:val="20"/>
                <w:u w:val="single"/>
              </w:rPr>
              <w:t>, and that NALIRIFOX is superior to FOLFIRINOX and Gem+NabP</w:t>
            </w:r>
            <w:r w:rsidRPr="00456281">
              <w:rPr>
                <w:rFonts w:ascii="Arial Narrow" w:hAnsi="Arial Narrow"/>
                <w:sz w:val="20"/>
                <w:szCs w:val="20"/>
                <w:u w:val="single"/>
              </w:rPr>
              <w:t>)</w:t>
            </w:r>
          </w:p>
          <w:p w14:paraId="4FD399BA" w14:textId="3110E60F" w:rsidR="00656290" w:rsidRPr="00456281" w:rsidRDefault="00656290" w:rsidP="00656290">
            <w:pPr>
              <w:keepNext/>
              <w:widowControl w:val="0"/>
              <w:jc w:val="left"/>
              <w:rPr>
                <w:rFonts w:ascii="Arial Narrow" w:hAnsi="Arial Narrow"/>
                <w:sz w:val="20"/>
                <w:szCs w:val="20"/>
              </w:rPr>
            </w:pPr>
            <w:r w:rsidRPr="00456281">
              <w:rPr>
                <w:rFonts w:ascii="Arial Narrow" w:hAnsi="Arial Narrow"/>
                <w:sz w:val="20"/>
                <w:szCs w:val="20"/>
                <w:u w:val="single"/>
              </w:rPr>
              <w:t>(base case = 0%)</w:t>
            </w:r>
          </w:p>
        </w:tc>
      </w:tr>
      <w:tr w:rsidR="00656290" w:rsidRPr="00456281" w14:paraId="47F00AFE" w14:textId="77777777" w:rsidTr="00F16C78">
        <w:trPr>
          <w:cantSplit/>
        </w:trPr>
        <w:tc>
          <w:tcPr>
            <w:tcW w:w="3712" w:type="dxa"/>
            <w:vAlign w:val="center"/>
          </w:tcPr>
          <w:p w14:paraId="5BD1B6D6" w14:textId="77777777" w:rsidR="00656290" w:rsidRPr="00456281" w:rsidRDefault="00656290" w:rsidP="00690769">
            <w:pPr>
              <w:pStyle w:val="ListParagraph"/>
              <w:keepNext/>
              <w:widowControl w:val="0"/>
              <w:numPr>
                <w:ilvl w:val="0"/>
                <w:numId w:val="11"/>
              </w:numPr>
              <w:spacing w:after="0"/>
              <w:ind w:left="306"/>
              <w:contextualSpacing/>
              <w:rPr>
                <w:rFonts w:ascii="Arial Narrow" w:hAnsi="Arial Narrow"/>
                <w:sz w:val="20"/>
                <w:szCs w:val="20"/>
              </w:rPr>
            </w:pPr>
            <w:r w:rsidRPr="00456281">
              <w:rPr>
                <w:rFonts w:ascii="Arial Narrow" w:hAnsi="Arial Narrow"/>
                <w:sz w:val="20"/>
                <w:szCs w:val="20"/>
              </w:rPr>
              <w:t>5% of use in FOLFIRINOX</w:t>
            </w:r>
          </w:p>
        </w:tc>
        <w:tc>
          <w:tcPr>
            <w:tcW w:w="1446" w:type="dxa"/>
            <w:tcBorders>
              <w:bottom w:val="single" w:sz="4" w:space="0" w:color="auto"/>
            </w:tcBorders>
            <w:shd w:val="solid" w:color="000000" w:fill="000000"/>
            <w:vAlign w:val="center"/>
          </w:tcPr>
          <w:p w14:paraId="1760223D" w14:textId="6DC63066" w:rsidR="00656290" w:rsidRPr="009C3CBE" w:rsidRDefault="00F16C78" w:rsidP="00656290">
            <w:pPr>
              <w:pStyle w:val="TableText0"/>
              <w:widowControl w:val="0"/>
              <w:jc w:val="center"/>
              <w:rPr>
                <w:szCs w:val="20"/>
                <w:highlight w:val="lightGray"/>
              </w:rPr>
            </w:pPr>
            <w:r w:rsidRPr="00F16C78">
              <w:rPr>
                <w:rFonts w:hint="eastAsia"/>
                <w:color w:val="000000"/>
                <w:w w:val="22"/>
                <w:szCs w:val="20"/>
                <w:fitText w:val="100" w:id="-961860603"/>
                <w14:textFill>
                  <w14:solidFill>
                    <w14:srgbClr w14:val="000000">
                      <w14:alpha w14:val="100000"/>
                    </w14:srgbClr>
                  </w14:solidFill>
                </w14:textFill>
              </w:rPr>
              <w:t xml:space="preserve">　</w:t>
            </w:r>
            <w:r w:rsidRPr="00F16C78">
              <w:rPr>
                <w:color w:val="000000"/>
                <w:w w:val="22"/>
                <w:szCs w:val="20"/>
                <w:fitText w:val="100" w:id="-961860603"/>
                <w14:textFill>
                  <w14:solidFill>
                    <w14:srgbClr w14:val="000000">
                      <w14:alpha w14:val="100000"/>
                    </w14:srgbClr>
                  </w14:solidFill>
                </w14:textFill>
              </w:rPr>
              <w:t>|</w:t>
            </w:r>
            <w:r w:rsidRPr="00F16C78">
              <w:rPr>
                <w:rFonts w:hint="eastAsia"/>
                <w:color w:val="000000"/>
                <w:w w:val="22"/>
                <w:szCs w:val="20"/>
                <w:fitText w:val="100" w:id="-961860603"/>
                <w14:textFill>
                  <w14:solidFill>
                    <w14:srgbClr w14:val="000000">
                      <w14:alpha w14:val="100000"/>
                    </w14:srgbClr>
                  </w14:solidFill>
                </w14:textFill>
              </w:rPr>
              <w:t xml:space="preserve">　</w:t>
            </w:r>
          </w:p>
        </w:tc>
        <w:tc>
          <w:tcPr>
            <w:tcW w:w="1360" w:type="dxa"/>
            <w:vAlign w:val="center"/>
          </w:tcPr>
          <w:p w14:paraId="5E0E3741" w14:textId="77777777" w:rsidR="00656290" w:rsidRPr="00456281" w:rsidRDefault="00656290" w:rsidP="00656290">
            <w:pPr>
              <w:pStyle w:val="TableText0"/>
              <w:widowControl w:val="0"/>
              <w:jc w:val="center"/>
              <w:rPr>
                <w:szCs w:val="20"/>
              </w:rPr>
            </w:pPr>
            <w:r w:rsidRPr="00456281">
              <w:rPr>
                <w:szCs w:val="20"/>
              </w:rPr>
              <w:t>0.1392</w:t>
            </w:r>
          </w:p>
        </w:tc>
        <w:tc>
          <w:tcPr>
            <w:tcW w:w="1399" w:type="dxa"/>
            <w:vAlign w:val="center"/>
          </w:tcPr>
          <w:p w14:paraId="626AA22F" w14:textId="3D1E1E07" w:rsidR="00656290" w:rsidRPr="009C3CBE" w:rsidRDefault="00F16C78" w:rsidP="00656290">
            <w:pPr>
              <w:pStyle w:val="TableText0"/>
              <w:widowControl w:val="0"/>
              <w:jc w:val="center"/>
              <w:rPr>
                <w:szCs w:val="20"/>
                <w:highlight w:val="lightGray"/>
              </w:rPr>
            </w:pPr>
            <w:r w:rsidRPr="00F16C78">
              <w:rPr>
                <w:rFonts w:hint="eastAsia"/>
                <w:color w:val="000000"/>
                <w:w w:val="33"/>
                <w:szCs w:val="20"/>
                <w:shd w:val="solid" w:color="000000" w:fill="000000"/>
                <w:fitText w:val="150" w:id="-961860602"/>
                <w14:textFill>
                  <w14:solidFill>
                    <w14:srgbClr w14:val="000000">
                      <w14:alpha w14:val="100000"/>
                    </w14:srgbClr>
                  </w14:solidFill>
                </w14:textFill>
              </w:rPr>
              <w:t xml:space="preserve">　</w:t>
            </w:r>
            <w:r w:rsidRPr="00F16C78">
              <w:rPr>
                <w:color w:val="000000"/>
                <w:w w:val="33"/>
                <w:szCs w:val="20"/>
                <w:shd w:val="solid" w:color="000000" w:fill="000000"/>
                <w:fitText w:val="150" w:id="-961860602"/>
                <w14:textFill>
                  <w14:solidFill>
                    <w14:srgbClr w14:val="000000">
                      <w14:alpha w14:val="100000"/>
                    </w14:srgbClr>
                  </w14:solidFill>
                </w14:textFill>
              </w:rPr>
              <w:t>|</w:t>
            </w:r>
            <w:r w:rsidRPr="00F16C78">
              <w:rPr>
                <w:rFonts w:hint="eastAsia"/>
                <w:color w:val="000000"/>
                <w:spacing w:val="4"/>
                <w:w w:val="33"/>
                <w:szCs w:val="20"/>
                <w:shd w:val="solid" w:color="000000" w:fill="000000"/>
                <w:fitText w:val="150" w:id="-961860602"/>
                <w14:textFill>
                  <w14:solidFill>
                    <w14:srgbClr w14:val="000000">
                      <w14:alpha w14:val="100000"/>
                    </w14:srgbClr>
                  </w14:solidFill>
                </w14:textFill>
              </w:rPr>
              <w:t xml:space="preserve">　</w:t>
            </w:r>
            <w:r w:rsidR="00082F5E" w:rsidRPr="00D21B8B">
              <w:rPr>
                <w:bCs w:val="0"/>
                <w:szCs w:val="20"/>
                <w:vertAlign w:val="superscript"/>
              </w:rPr>
              <w:t>1</w:t>
            </w:r>
          </w:p>
        </w:tc>
        <w:tc>
          <w:tcPr>
            <w:tcW w:w="1080" w:type="dxa"/>
            <w:vAlign w:val="center"/>
          </w:tcPr>
          <w:p w14:paraId="2FDCE2A8" w14:textId="37FA645E" w:rsidR="00656290" w:rsidRPr="00456281" w:rsidRDefault="00656290" w:rsidP="00656290">
            <w:pPr>
              <w:pStyle w:val="TableText0"/>
              <w:widowControl w:val="0"/>
              <w:jc w:val="center"/>
              <w:rPr>
                <w:szCs w:val="20"/>
              </w:rPr>
            </w:pPr>
            <w:r w:rsidRPr="00456281">
              <w:rPr>
                <w:szCs w:val="20"/>
              </w:rPr>
              <w:t>+</w:t>
            </w:r>
            <w:r w:rsidR="001C2CAE" w:rsidRPr="001C2CAE">
              <w:rPr>
                <w:color w:val="000000"/>
                <w:spacing w:val="127"/>
                <w:szCs w:val="20"/>
                <w:shd w:val="solid" w:color="000000" w:fill="000000"/>
                <w:fitText w:val="213" w:id="-961860856"/>
                <w14:textFill>
                  <w14:solidFill>
                    <w14:srgbClr w14:val="000000">
                      <w14:alpha w14:val="100000"/>
                    </w14:srgbClr>
                  </w14:solidFill>
                </w14:textFill>
              </w:rPr>
              <w:t>|</w:t>
            </w:r>
            <w:r w:rsidR="001C2CAE" w:rsidRPr="001C2CAE">
              <w:rPr>
                <w:color w:val="000000"/>
                <w:szCs w:val="20"/>
                <w:shd w:val="solid" w:color="000000" w:fill="000000"/>
                <w:fitText w:val="213" w:id="-961860856"/>
                <w14:textFill>
                  <w14:solidFill>
                    <w14:srgbClr w14:val="000000">
                      <w14:alpha w14:val="100000"/>
                    </w14:srgbClr>
                  </w14:solidFill>
                </w14:textFill>
              </w:rPr>
              <w:t>|</w:t>
            </w:r>
            <w:r w:rsidRPr="00456281">
              <w:rPr>
                <w:szCs w:val="20"/>
              </w:rPr>
              <w:t>%</w:t>
            </w:r>
          </w:p>
        </w:tc>
      </w:tr>
      <w:tr w:rsidR="00656290" w:rsidRPr="00456281" w14:paraId="3DF76F26" w14:textId="77777777" w:rsidTr="00F16C78">
        <w:trPr>
          <w:cantSplit/>
        </w:trPr>
        <w:tc>
          <w:tcPr>
            <w:tcW w:w="3712" w:type="dxa"/>
            <w:vAlign w:val="center"/>
          </w:tcPr>
          <w:p w14:paraId="0966EBF2" w14:textId="77777777" w:rsidR="00656290" w:rsidRPr="00456281" w:rsidRDefault="00656290" w:rsidP="00690769">
            <w:pPr>
              <w:pStyle w:val="ListParagraph"/>
              <w:widowControl w:val="0"/>
              <w:numPr>
                <w:ilvl w:val="0"/>
                <w:numId w:val="11"/>
              </w:numPr>
              <w:spacing w:after="0"/>
              <w:ind w:left="306"/>
              <w:contextualSpacing/>
              <w:rPr>
                <w:rFonts w:ascii="Arial Narrow" w:hAnsi="Arial Narrow"/>
                <w:sz w:val="20"/>
                <w:szCs w:val="20"/>
              </w:rPr>
            </w:pPr>
            <w:r w:rsidRPr="00456281">
              <w:rPr>
                <w:rFonts w:ascii="Arial Narrow" w:hAnsi="Arial Narrow"/>
                <w:sz w:val="20"/>
                <w:szCs w:val="20"/>
              </w:rPr>
              <w:t>10% of use in FOLFIRINOX</w:t>
            </w:r>
          </w:p>
        </w:tc>
        <w:tc>
          <w:tcPr>
            <w:tcW w:w="1446" w:type="dxa"/>
            <w:tcBorders>
              <w:bottom w:val="single" w:sz="4" w:space="0" w:color="auto"/>
            </w:tcBorders>
            <w:shd w:val="solid" w:color="000000" w:fill="000000"/>
            <w:vAlign w:val="center"/>
          </w:tcPr>
          <w:p w14:paraId="4C764887" w14:textId="0277C238" w:rsidR="00656290" w:rsidRPr="009C3CBE" w:rsidRDefault="00F16C78" w:rsidP="00656290">
            <w:pPr>
              <w:pStyle w:val="TableText0"/>
              <w:keepNext w:val="0"/>
              <w:widowControl w:val="0"/>
              <w:jc w:val="center"/>
              <w:rPr>
                <w:szCs w:val="20"/>
                <w:highlight w:val="lightGray"/>
              </w:rPr>
            </w:pPr>
            <w:r w:rsidRPr="00F16C78">
              <w:rPr>
                <w:rFonts w:hint="eastAsia"/>
                <w:color w:val="000000"/>
                <w:w w:val="22"/>
                <w:szCs w:val="20"/>
                <w:fitText w:val="100" w:id="-961860601"/>
                <w14:textFill>
                  <w14:solidFill>
                    <w14:srgbClr w14:val="000000">
                      <w14:alpha w14:val="100000"/>
                    </w14:srgbClr>
                  </w14:solidFill>
                </w14:textFill>
              </w:rPr>
              <w:t xml:space="preserve">　</w:t>
            </w:r>
            <w:r w:rsidRPr="00F16C78">
              <w:rPr>
                <w:color w:val="000000"/>
                <w:w w:val="22"/>
                <w:szCs w:val="20"/>
                <w:fitText w:val="100" w:id="-961860601"/>
                <w14:textFill>
                  <w14:solidFill>
                    <w14:srgbClr w14:val="000000">
                      <w14:alpha w14:val="100000"/>
                    </w14:srgbClr>
                  </w14:solidFill>
                </w14:textFill>
              </w:rPr>
              <w:t>|</w:t>
            </w:r>
            <w:r w:rsidRPr="00F16C78">
              <w:rPr>
                <w:rFonts w:hint="eastAsia"/>
                <w:color w:val="000000"/>
                <w:w w:val="22"/>
                <w:szCs w:val="20"/>
                <w:fitText w:val="100" w:id="-961860601"/>
                <w14:textFill>
                  <w14:solidFill>
                    <w14:srgbClr w14:val="000000">
                      <w14:alpha w14:val="100000"/>
                    </w14:srgbClr>
                  </w14:solidFill>
                </w14:textFill>
              </w:rPr>
              <w:t xml:space="preserve">　</w:t>
            </w:r>
          </w:p>
        </w:tc>
        <w:tc>
          <w:tcPr>
            <w:tcW w:w="1360" w:type="dxa"/>
            <w:vAlign w:val="center"/>
          </w:tcPr>
          <w:p w14:paraId="70C943EC" w14:textId="77777777" w:rsidR="00656290" w:rsidRPr="00456281" w:rsidRDefault="00656290" w:rsidP="00656290">
            <w:pPr>
              <w:pStyle w:val="TableText0"/>
              <w:keepNext w:val="0"/>
              <w:widowControl w:val="0"/>
              <w:jc w:val="center"/>
              <w:rPr>
                <w:szCs w:val="20"/>
              </w:rPr>
            </w:pPr>
            <w:r w:rsidRPr="00456281">
              <w:rPr>
                <w:szCs w:val="20"/>
              </w:rPr>
              <w:t>0.1396</w:t>
            </w:r>
          </w:p>
        </w:tc>
        <w:tc>
          <w:tcPr>
            <w:tcW w:w="1399" w:type="dxa"/>
            <w:vAlign w:val="center"/>
          </w:tcPr>
          <w:p w14:paraId="743FAF9D" w14:textId="30A069A6" w:rsidR="00656290" w:rsidRPr="009C3CBE" w:rsidRDefault="00F16C78" w:rsidP="00656290">
            <w:pPr>
              <w:pStyle w:val="TableText0"/>
              <w:keepNext w:val="0"/>
              <w:widowControl w:val="0"/>
              <w:jc w:val="center"/>
              <w:rPr>
                <w:szCs w:val="20"/>
                <w:highlight w:val="lightGray"/>
              </w:rPr>
            </w:pPr>
            <w:r w:rsidRPr="00F16C78">
              <w:rPr>
                <w:rFonts w:hint="eastAsia"/>
                <w:color w:val="000000"/>
                <w:w w:val="33"/>
                <w:szCs w:val="20"/>
                <w:shd w:val="solid" w:color="000000" w:fill="000000"/>
                <w:fitText w:val="150" w:id="-961860600"/>
                <w14:textFill>
                  <w14:solidFill>
                    <w14:srgbClr w14:val="000000">
                      <w14:alpha w14:val="100000"/>
                    </w14:srgbClr>
                  </w14:solidFill>
                </w14:textFill>
              </w:rPr>
              <w:t xml:space="preserve">　</w:t>
            </w:r>
            <w:r w:rsidRPr="00F16C78">
              <w:rPr>
                <w:color w:val="000000"/>
                <w:w w:val="33"/>
                <w:szCs w:val="20"/>
                <w:shd w:val="solid" w:color="000000" w:fill="000000"/>
                <w:fitText w:val="150" w:id="-961860600"/>
                <w14:textFill>
                  <w14:solidFill>
                    <w14:srgbClr w14:val="000000">
                      <w14:alpha w14:val="100000"/>
                    </w14:srgbClr>
                  </w14:solidFill>
                </w14:textFill>
              </w:rPr>
              <w:t>|</w:t>
            </w:r>
            <w:r w:rsidRPr="00F16C78">
              <w:rPr>
                <w:rFonts w:hint="eastAsia"/>
                <w:color w:val="000000"/>
                <w:spacing w:val="4"/>
                <w:w w:val="33"/>
                <w:szCs w:val="20"/>
                <w:shd w:val="solid" w:color="000000" w:fill="000000"/>
                <w:fitText w:val="150" w:id="-961860600"/>
                <w14:textFill>
                  <w14:solidFill>
                    <w14:srgbClr w14:val="000000">
                      <w14:alpha w14:val="100000"/>
                    </w14:srgbClr>
                  </w14:solidFill>
                </w14:textFill>
              </w:rPr>
              <w:t xml:space="preserve">　</w:t>
            </w:r>
            <w:r w:rsidR="004F343F" w:rsidRPr="00D21B8B">
              <w:rPr>
                <w:szCs w:val="20"/>
                <w:vertAlign w:val="superscript"/>
              </w:rPr>
              <w:t>2</w:t>
            </w:r>
          </w:p>
        </w:tc>
        <w:tc>
          <w:tcPr>
            <w:tcW w:w="1080" w:type="dxa"/>
            <w:vAlign w:val="center"/>
          </w:tcPr>
          <w:p w14:paraId="4A41160B" w14:textId="60240419" w:rsidR="00656290" w:rsidRPr="00456281" w:rsidRDefault="00656290" w:rsidP="00656290">
            <w:pPr>
              <w:pStyle w:val="TableText0"/>
              <w:keepNext w:val="0"/>
              <w:widowControl w:val="0"/>
              <w:jc w:val="center"/>
              <w:rPr>
                <w:szCs w:val="20"/>
              </w:rPr>
            </w:pPr>
            <w:r w:rsidRPr="00456281">
              <w:rPr>
                <w:szCs w:val="20"/>
              </w:rPr>
              <w:t>+</w:t>
            </w:r>
            <w:r w:rsidR="001C2CAE" w:rsidRPr="001C2CAE">
              <w:rPr>
                <w:color w:val="000000"/>
                <w:spacing w:val="127"/>
                <w:szCs w:val="20"/>
                <w:shd w:val="solid" w:color="000000" w:fill="000000"/>
                <w:fitText w:val="213" w:id="-961860856"/>
                <w14:textFill>
                  <w14:solidFill>
                    <w14:srgbClr w14:val="000000">
                      <w14:alpha w14:val="100000"/>
                    </w14:srgbClr>
                  </w14:solidFill>
                </w14:textFill>
              </w:rPr>
              <w:t>|</w:t>
            </w:r>
            <w:r w:rsidR="001C2CAE" w:rsidRPr="001C2CAE">
              <w:rPr>
                <w:color w:val="000000"/>
                <w:szCs w:val="20"/>
                <w:shd w:val="solid" w:color="000000" w:fill="000000"/>
                <w:fitText w:val="213" w:id="-961860856"/>
                <w14:textFill>
                  <w14:solidFill>
                    <w14:srgbClr w14:val="000000">
                      <w14:alpha w14:val="100000"/>
                    </w14:srgbClr>
                  </w14:solidFill>
                </w14:textFill>
              </w:rPr>
              <w:t>|</w:t>
            </w:r>
            <w:r w:rsidRPr="00456281">
              <w:rPr>
                <w:szCs w:val="20"/>
              </w:rPr>
              <w:t>%</w:t>
            </w:r>
          </w:p>
        </w:tc>
      </w:tr>
      <w:tr w:rsidR="00656290" w:rsidRPr="00456281" w14:paraId="312A42F3" w14:textId="77777777" w:rsidTr="00F16C78">
        <w:trPr>
          <w:cantSplit/>
        </w:trPr>
        <w:tc>
          <w:tcPr>
            <w:tcW w:w="3712" w:type="dxa"/>
            <w:vAlign w:val="center"/>
          </w:tcPr>
          <w:p w14:paraId="152729C9" w14:textId="77777777" w:rsidR="00656290" w:rsidRPr="00456281" w:rsidRDefault="00656290" w:rsidP="00690769">
            <w:pPr>
              <w:pStyle w:val="ListParagraph"/>
              <w:widowControl w:val="0"/>
              <w:numPr>
                <w:ilvl w:val="0"/>
                <w:numId w:val="11"/>
              </w:numPr>
              <w:spacing w:after="0"/>
              <w:ind w:left="306"/>
              <w:contextualSpacing/>
              <w:rPr>
                <w:rFonts w:ascii="Arial Narrow" w:hAnsi="Arial Narrow"/>
                <w:sz w:val="20"/>
                <w:szCs w:val="20"/>
              </w:rPr>
            </w:pPr>
            <w:r w:rsidRPr="00456281">
              <w:rPr>
                <w:rFonts w:ascii="Arial Narrow" w:hAnsi="Arial Narrow"/>
                <w:sz w:val="20"/>
                <w:szCs w:val="20"/>
              </w:rPr>
              <w:t>100% of use in FOLFIRINOX</w:t>
            </w:r>
          </w:p>
        </w:tc>
        <w:tc>
          <w:tcPr>
            <w:tcW w:w="1446" w:type="dxa"/>
            <w:shd w:val="solid" w:color="000000" w:fill="000000"/>
            <w:vAlign w:val="center"/>
          </w:tcPr>
          <w:p w14:paraId="1A7AB600" w14:textId="2CBD2F0F" w:rsidR="00656290" w:rsidRPr="009C3CBE" w:rsidRDefault="00F16C78" w:rsidP="00656290">
            <w:pPr>
              <w:pStyle w:val="TableText0"/>
              <w:keepNext w:val="0"/>
              <w:widowControl w:val="0"/>
              <w:jc w:val="center"/>
              <w:rPr>
                <w:szCs w:val="20"/>
                <w:highlight w:val="lightGray"/>
              </w:rPr>
            </w:pPr>
            <w:r w:rsidRPr="00F16C78">
              <w:rPr>
                <w:rFonts w:hint="eastAsia"/>
                <w:color w:val="000000"/>
                <w:w w:val="22"/>
                <w:szCs w:val="20"/>
                <w:fitText w:val="100" w:id="-961860599"/>
                <w14:textFill>
                  <w14:solidFill>
                    <w14:srgbClr w14:val="000000">
                      <w14:alpha w14:val="100000"/>
                    </w14:srgbClr>
                  </w14:solidFill>
                </w14:textFill>
              </w:rPr>
              <w:t xml:space="preserve">　</w:t>
            </w:r>
            <w:r w:rsidRPr="00F16C78">
              <w:rPr>
                <w:color w:val="000000"/>
                <w:w w:val="22"/>
                <w:szCs w:val="20"/>
                <w:fitText w:val="100" w:id="-961860599"/>
                <w14:textFill>
                  <w14:solidFill>
                    <w14:srgbClr w14:val="000000">
                      <w14:alpha w14:val="100000"/>
                    </w14:srgbClr>
                  </w14:solidFill>
                </w14:textFill>
              </w:rPr>
              <w:t>|</w:t>
            </w:r>
            <w:r w:rsidRPr="00F16C78">
              <w:rPr>
                <w:rFonts w:hint="eastAsia"/>
                <w:color w:val="000000"/>
                <w:w w:val="22"/>
                <w:szCs w:val="20"/>
                <w:fitText w:val="100" w:id="-961860599"/>
                <w14:textFill>
                  <w14:solidFill>
                    <w14:srgbClr w14:val="000000">
                      <w14:alpha w14:val="100000"/>
                    </w14:srgbClr>
                  </w14:solidFill>
                </w14:textFill>
              </w:rPr>
              <w:t xml:space="preserve">　</w:t>
            </w:r>
          </w:p>
        </w:tc>
        <w:tc>
          <w:tcPr>
            <w:tcW w:w="1360" w:type="dxa"/>
            <w:vAlign w:val="center"/>
          </w:tcPr>
          <w:p w14:paraId="70A4D764" w14:textId="77777777" w:rsidR="00656290" w:rsidRPr="00456281" w:rsidRDefault="00656290" w:rsidP="00656290">
            <w:pPr>
              <w:pStyle w:val="TableText0"/>
              <w:keepNext w:val="0"/>
              <w:widowControl w:val="0"/>
              <w:jc w:val="center"/>
              <w:rPr>
                <w:szCs w:val="20"/>
              </w:rPr>
            </w:pPr>
            <w:r w:rsidRPr="00456281">
              <w:rPr>
                <w:szCs w:val="20"/>
              </w:rPr>
              <w:t>0.1469</w:t>
            </w:r>
          </w:p>
        </w:tc>
        <w:tc>
          <w:tcPr>
            <w:tcW w:w="1399" w:type="dxa"/>
            <w:vAlign w:val="center"/>
          </w:tcPr>
          <w:p w14:paraId="7EE81CC6" w14:textId="2A8DDF53" w:rsidR="00656290" w:rsidRPr="009C3CBE" w:rsidRDefault="00F16C78" w:rsidP="00656290">
            <w:pPr>
              <w:pStyle w:val="TableText0"/>
              <w:keepNext w:val="0"/>
              <w:widowControl w:val="0"/>
              <w:jc w:val="center"/>
              <w:rPr>
                <w:szCs w:val="20"/>
                <w:highlight w:val="lightGray"/>
                <w:vertAlign w:val="superscript"/>
              </w:rPr>
            </w:pPr>
            <w:r w:rsidRPr="00F16C78">
              <w:rPr>
                <w:rFonts w:hint="eastAsia"/>
                <w:color w:val="000000"/>
                <w:w w:val="33"/>
                <w:szCs w:val="20"/>
                <w:shd w:val="solid" w:color="000000" w:fill="000000"/>
                <w:fitText w:val="150" w:id="-961860598"/>
                <w14:textFill>
                  <w14:solidFill>
                    <w14:srgbClr w14:val="000000">
                      <w14:alpha w14:val="100000"/>
                    </w14:srgbClr>
                  </w14:solidFill>
                </w14:textFill>
              </w:rPr>
              <w:t xml:space="preserve">　</w:t>
            </w:r>
            <w:r w:rsidRPr="00F16C78">
              <w:rPr>
                <w:color w:val="000000"/>
                <w:w w:val="33"/>
                <w:szCs w:val="20"/>
                <w:shd w:val="solid" w:color="000000" w:fill="000000"/>
                <w:fitText w:val="150" w:id="-961860598"/>
                <w14:textFill>
                  <w14:solidFill>
                    <w14:srgbClr w14:val="000000">
                      <w14:alpha w14:val="100000"/>
                    </w14:srgbClr>
                  </w14:solidFill>
                </w14:textFill>
              </w:rPr>
              <w:t>|</w:t>
            </w:r>
            <w:r w:rsidRPr="00F16C78">
              <w:rPr>
                <w:rFonts w:hint="eastAsia"/>
                <w:color w:val="000000"/>
                <w:spacing w:val="4"/>
                <w:w w:val="33"/>
                <w:szCs w:val="20"/>
                <w:shd w:val="solid" w:color="000000" w:fill="000000"/>
                <w:fitText w:val="150" w:id="-961860598"/>
                <w14:textFill>
                  <w14:solidFill>
                    <w14:srgbClr w14:val="000000">
                      <w14:alpha w14:val="100000"/>
                    </w14:srgbClr>
                  </w14:solidFill>
                </w14:textFill>
              </w:rPr>
              <w:t xml:space="preserve">　</w:t>
            </w:r>
            <w:r w:rsidR="00196AE0" w:rsidRPr="00464ACC">
              <w:rPr>
                <w:rFonts w:cs="Calibri"/>
                <w:color w:val="000000"/>
                <w:szCs w:val="20"/>
                <w:vertAlign w:val="superscript"/>
              </w:rPr>
              <w:t>4</w:t>
            </w:r>
          </w:p>
        </w:tc>
        <w:tc>
          <w:tcPr>
            <w:tcW w:w="1080" w:type="dxa"/>
            <w:vAlign w:val="center"/>
          </w:tcPr>
          <w:p w14:paraId="29A4C51A" w14:textId="75C34E40" w:rsidR="00656290" w:rsidRPr="00456281" w:rsidRDefault="00656290" w:rsidP="00656290">
            <w:pPr>
              <w:pStyle w:val="TableText0"/>
              <w:keepNext w:val="0"/>
              <w:widowControl w:val="0"/>
              <w:jc w:val="center"/>
              <w:rPr>
                <w:szCs w:val="20"/>
              </w:rPr>
            </w:pPr>
            <w:r w:rsidRPr="00456281">
              <w:rPr>
                <w:szCs w:val="20"/>
              </w:rPr>
              <w:t>+</w:t>
            </w:r>
            <w:r w:rsidR="001C2CAE" w:rsidRPr="001C2CAE">
              <w:rPr>
                <w:color w:val="000000"/>
                <w:spacing w:val="127"/>
                <w:szCs w:val="20"/>
                <w:shd w:val="solid" w:color="000000" w:fill="000000"/>
                <w:fitText w:val="213" w:id="-961860856"/>
                <w14:textFill>
                  <w14:solidFill>
                    <w14:srgbClr w14:val="000000">
                      <w14:alpha w14:val="100000"/>
                    </w14:srgbClr>
                  </w14:solidFill>
                </w14:textFill>
              </w:rPr>
              <w:t>|</w:t>
            </w:r>
            <w:r w:rsidR="001C2CAE" w:rsidRPr="001C2CAE">
              <w:rPr>
                <w:color w:val="000000"/>
                <w:szCs w:val="20"/>
                <w:shd w:val="solid" w:color="000000" w:fill="000000"/>
                <w:fitText w:val="213" w:id="-961860856"/>
                <w14:textFill>
                  <w14:solidFill>
                    <w14:srgbClr w14:val="000000">
                      <w14:alpha w14:val="100000"/>
                    </w14:srgbClr>
                  </w14:solidFill>
                </w14:textFill>
              </w:rPr>
              <w:t>|</w:t>
            </w:r>
            <w:r w:rsidRPr="00456281">
              <w:rPr>
                <w:szCs w:val="20"/>
              </w:rPr>
              <w:t>%</w:t>
            </w:r>
          </w:p>
        </w:tc>
      </w:tr>
      <w:tr w:rsidR="00656290" w:rsidRPr="00456281" w14:paraId="53D4DAA7" w14:textId="77777777" w:rsidTr="00832474">
        <w:trPr>
          <w:cantSplit/>
        </w:trPr>
        <w:tc>
          <w:tcPr>
            <w:tcW w:w="8997" w:type="dxa"/>
            <w:gridSpan w:val="5"/>
            <w:vAlign w:val="center"/>
          </w:tcPr>
          <w:p w14:paraId="3D572936" w14:textId="77777777" w:rsidR="00656290" w:rsidRPr="00456281" w:rsidRDefault="00656290" w:rsidP="00656290">
            <w:pPr>
              <w:pStyle w:val="TableText0"/>
              <w:widowControl w:val="0"/>
              <w:rPr>
                <w:szCs w:val="20"/>
              </w:rPr>
            </w:pPr>
            <w:r w:rsidRPr="00456281">
              <w:rPr>
                <w:b/>
                <w:bCs w:val="0"/>
                <w:szCs w:val="20"/>
              </w:rPr>
              <w:t>Multivariate sensitivity analysis</w:t>
            </w:r>
          </w:p>
        </w:tc>
      </w:tr>
      <w:tr w:rsidR="00656290" w:rsidRPr="00456281" w14:paraId="2E7D9553" w14:textId="77777777" w:rsidTr="00832474">
        <w:trPr>
          <w:cantSplit/>
        </w:trPr>
        <w:tc>
          <w:tcPr>
            <w:tcW w:w="8997" w:type="dxa"/>
            <w:gridSpan w:val="5"/>
            <w:vAlign w:val="center"/>
          </w:tcPr>
          <w:p w14:paraId="4DCA446F" w14:textId="77777777" w:rsidR="00656290" w:rsidRPr="00456281" w:rsidRDefault="00656290" w:rsidP="00656290">
            <w:pPr>
              <w:pStyle w:val="TableText0"/>
              <w:widowControl w:val="0"/>
              <w:rPr>
                <w:b/>
                <w:bCs w:val="0"/>
                <w:szCs w:val="20"/>
                <w:u w:val="single"/>
              </w:rPr>
            </w:pPr>
            <w:r w:rsidRPr="00456281">
              <w:rPr>
                <w:b/>
                <w:bCs w:val="0"/>
                <w:szCs w:val="20"/>
                <w:u w:val="single"/>
              </w:rPr>
              <w:t xml:space="preserve">ESC respecified base case </w:t>
            </w:r>
          </w:p>
          <w:p w14:paraId="0D9FCEC0" w14:textId="4982C246" w:rsidR="00656290" w:rsidRPr="00456281" w:rsidRDefault="00656290" w:rsidP="00656290">
            <w:pPr>
              <w:pStyle w:val="TableText0"/>
              <w:widowControl w:val="0"/>
              <w:rPr>
                <w:szCs w:val="20"/>
              </w:rPr>
            </w:pPr>
            <w:r w:rsidRPr="00456281">
              <w:rPr>
                <w:szCs w:val="20"/>
              </w:rPr>
              <w:t>1) Revised truncation points at cycles 24 (OS) and 18 (PFS) per Gebski approach;</w:t>
            </w:r>
          </w:p>
          <w:p w14:paraId="16B2DA05" w14:textId="4A9FB877" w:rsidR="00656290" w:rsidRPr="00456281" w:rsidRDefault="00656290" w:rsidP="00656290">
            <w:pPr>
              <w:pStyle w:val="TableText0"/>
              <w:widowControl w:val="0"/>
              <w:rPr>
                <w:szCs w:val="20"/>
              </w:rPr>
            </w:pPr>
            <w:r w:rsidRPr="00456281">
              <w:rPr>
                <w:szCs w:val="20"/>
              </w:rPr>
              <w:t>2) Gompertz for OS extrapolation; and</w:t>
            </w:r>
          </w:p>
          <w:p w14:paraId="3124A90D" w14:textId="6785E72E" w:rsidR="00656290" w:rsidRPr="00456281" w:rsidRDefault="00656290" w:rsidP="00656290">
            <w:pPr>
              <w:pStyle w:val="TableText0"/>
              <w:widowControl w:val="0"/>
              <w:rPr>
                <w:szCs w:val="20"/>
                <w:u w:val="single"/>
              </w:rPr>
            </w:pPr>
            <w:r w:rsidRPr="00456281">
              <w:rPr>
                <w:szCs w:val="20"/>
              </w:rPr>
              <w:t>3) Revised AE costs (Diarrhoea=</w:t>
            </w:r>
            <w:r w:rsidRPr="00456281">
              <w:t>($3,219.92</w:t>
            </w:r>
            <w:r w:rsidRPr="00456281">
              <w:rPr>
                <w:szCs w:val="20"/>
              </w:rPr>
              <w:t>; Mucosal inflammation (stomatitis)=</w:t>
            </w:r>
            <w:r w:rsidRPr="00456281">
              <w:t xml:space="preserve"> $</w:t>
            </w:r>
            <w:r w:rsidRPr="00456281">
              <w:rPr>
                <w:szCs w:val="20"/>
              </w:rPr>
              <w:t>13,283.46)</w:t>
            </w:r>
          </w:p>
          <w:p w14:paraId="7F6A5CF8" w14:textId="4E2B77F5" w:rsidR="00656290" w:rsidRPr="00456281" w:rsidRDefault="00656290" w:rsidP="00656290">
            <w:pPr>
              <w:keepNext/>
              <w:widowControl w:val="0"/>
              <w:jc w:val="left"/>
              <w:rPr>
                <w:rFonts w:ascii="Arial Narrow" w:hAnsi="Arial Narrow"/>
                <w:sz w:val="20"/>
                <w:szCs w:val="20"/>
                <w:u w:val="single"/>
              </w:rPr>
            </w:pPr>
            <w:r w:rsidRPr="00456281">
              <w:rPr>
                <w:rFonts w:ascii="Arial Narrow" w:hAnsi="Arial Narrow"/>
                <w:sz w:val="20"/>
                <w:szCs w:val="20"/>
                <w:u w:val="single"/>
              </w:rPr>
              <w:t>4) Alternative scenario 1 with FOLFIRINOX as secondary comparator in the indicated percentage assuming FOLFIRINOX efficacy from Conroy 2011 (indirectly assumes FOLFIRINOX is superior to Gem+NabP)</w:t>
            </w:r>
          </w:p>
        </w:tc>
      </w:tr>
      <w:tr w:rsidR="00656290" w:rsidRPr="00456281" w14:paraId="366F3979" w14:textId="77777777" w:rsidTr="00F16C78">
        <w:trPr>
          <w:cantSplit/>
        </w:trPr>
        <w:tc>
          <w:tcPr>
            <w:tcW w:w="3712" w:type="dxa"/>
            <w:vAlign w:val="center"/>
          </w:tcPr>
          <w:p w14:paraId="22D6551D" w14:textId="601538CD" w:rsidR="00656290" w:rsidRPr="00456281" w:rsidRDefault="00656290" w:rsidP="00690769">
            <w:pPr>
              <w:pStyle w:val="ListParagraph"/>
              <w:keepNext/>
              <w:widowControl w:val="0"/>
              <w:numPr>
                <w:ilvl w:val="0"/>
                <w:numId w:val="11"/>
              </w:numPr>
              <w:spacing w:after="0"/>
              <w:ind w:left="306"/>
              <w:contextualSpacing/>
              <w:rPr>
                <w:rFonts w:ascii="Arial Narrow" w:hAnsi="Arial Narrow"/>
                <w:sz w:val="20"/>
                <w:szCs w:val="20"/>
              </w:rPr>
            </w:pPr>
            <w:r w:rsidRPr="00456281">
              <w:rPr>
                <w:rFonts w:ascii="Arial Narrow" w:hAnsi="Arial Narrow"/>
                <w:sz w:val="20"/>
                <w:szCs w:val="20"/>
              </w:rPr>
              <w:t>0% of use in FOLFIRINOX</w:t>
            </w:r>
          </w:p>
        </w:tc>
        <w:tc>
          <w:tcPr>
            <w:tcW w:w="1446" w:type="dxa"/>
            <w:tcBorders>
              <w:bottom w:val="single" w:sz="4" w:space="0" w:color="auto"/>
            </w:tcBorders>
            <w:shd w:val="solid" w:color="000000" w:fill="000000"/>
            <w:vAlign w:val="center"/>
          </w:tcPr>
          <w:p w14:paraId="138C09B6" w14:textId="24241F00" w:rsidR="00656290" w:rsidRPr="009C3CBE" w:rsidRDefault="00F16C78" w:rsidP="00656290">
            <w:pPr>
              <w:pStyle w:val="TableText0"/>
              <w:widowControl w:val="0"/>
              <w:jc w:val="center"/>
              <w:rPr>
                <w:szCs w:val="20"/>
                <w:highlight w:val="lightGray"/>
              </w:rPr>
            </w:pPr>
            <w:r w:rsidRPr="00F16C78">
              <w:rPr>
                <w:rFonts w:hint="eastAsia"/>
                <w:color w:val="000000"/>
                <w:w w:val="22"/>
                <w:szCs w:val="20"/>
                <w:fitText w:val="100" w:id="-961860597"/>
                <w14:textFill>
                  <w14:solidFill>
                    <w14:srgbClr w14:val="000000">
                      <w14:alpha w14:val="100000"/>
                    </w14:srgbClr>
                  </w14:solidFill>
                </w14:textFill>
              </w:rPr>
              <w:t xml:space="preserve">　</w:t>
            </w:r>
            <w:r w:rsidRPr="00F16C78">
              <w:rPr>
                <w:color w:val="000000"/>
                <w:w w:val="22"/>
                <w:szCs w:val="20"/>
                <w:fitText w:val="100" w:id="-961860597"/>
                <w14:textFill>
                  <w14:solidFill>
                    <w14:srgbClr w14:val="000000">
                      <w14:alpha w14:val="100000"/>
                    </w14:srgbClr>
                  </w14:solidFill>
                </w14:textFill>
              </w:rPr>
              <w:t>|</w:t>
            </w:r>
            <w:r w:rsidRPr="00F16C78">
              <w:rPr>
                <w:rFonts w:hint="eastAsia"/>
                <w:color w:val="000000"/>
                <w:w w:val="22"/>
                <w:szCs w:val="20"/>
                <w:fitText w:val="100" w:id="-961860597"/>
                <w14:textFill>
                  <w14:solidFill>
                    <w14:srgbClr w14:val="000000">
                      <w14:alpha w14:val="100000"/>
                    </w14:srgbClr>
                  </w14:solidFill>
                </w14:textFill>
              </w:rPr>
              <w:t xml:space="preserve">　</w:t>
            </w:r>
          </w:p>
        </w:tc>
        <w:tc>
          <w:tcPr>
            <w:tcW w:w="1360" w:type="dxa"/>
            <w:vAlign w:val="center"/>
          </w:tcPr>
          <w:p w14:paraId="7E5D4C3A" w14:textId="1A167CBF" w:rsidR="00656290" w:rsidRPr="00456281" w:rsidRDefault="00656290" w:rsidP="00656290">
            <w:pPr>
              <w:pStyle w:val="TableText0"/>
              <w:widowControl w:val="0"/>
              <w:jc w:val="center"/>
              <w:rPr>
                <w:szCs w:val="20"/>
              </w:rPr>
            </w:pPr>
            <w:r w:rsidRPr="00456281">
              <w:rPr>
                <w:szCs w:val="20"/>
              </w:rPr>
              <w:t>0.1092</w:t>
            </w:r>
          </w:p>
        </w:tc>
        <w:tc>
          <w:tcPr>
            <w:tcW w:w="1399" w:type="dxa"/>
            <w:vAlign w:val="center"/>
          </w:tcPr>
          <w:p w14:paraId="5C42475A" w14:textId="5DBDE71E" w:rsidR="00656290" w:rsidRPr="009C3CBE" w:rsidRDefault="00F16C78" w:rsidP="00656290">
            <w:pPr>
              <w:pStyle w:val="TableText0"/>
              <w:widowControl w:val="0"/>
              <w:jc w:val="center"/>
              <w:rPr>
                <w:szCs w:val="20"/>
                <w:highlight w:val="lightGray"/>
              </w:rPr>
            </w:pPr>
            <w:r w:rsidRPr="00F16C78">
              <w:rPr>
                <w:rFonts w:hint="eastAsia"/>
                <w:color w:val="000000"/>
                <w:w w:val="33"/>
                <w:szCs w:val="20"/>
                <w:shd w:val="solid" w:color="000000" w:fill="000000"/>
                <w:fitText w:val="150" w:id="-961860596"/>
                <w14:textFill>
                  <w14:solidFill>
                    <w14:srgbClr w14:val="000000">
                      <w14:alpha w14:val="100000"/>
                    </w14:srgbClr>
                  </w14:solidFill>
                </w14:textFill>
              </w:rPr>
              <w:t xml:space="preserve">　</w:t>
            </w:r>
            <w:r w:rsidRPr="00F16C78">
              <w:rPr>
                <w:color w:val="000000"/>
                <w:w w:val="33"/>
                <w:szCs w:val="20"/>
                <w:shd w:val="solid" w:color="000000" w:fill="000000"/>
                <w:fitText w:val="150" w:id="-961860596"/>
                <w14:textFill>
                  <w14:solidFill>
                    <w14:srgbClr w14:val="000000">
                      <w14:alpha w14:val="100000"/>
                    </w14:srgbClr>
                  </w14:solidFill>
                </w14:textFill>
              </w:rPr>
              <w:t>|</w:t>
            </w:r>
            <w:r w:rsidRPr="00F16C78">
              <w:rPr>
                <w:rFonts w:hint="eastAsia"/>
                <w:color w:val="000000"/>
                <w:spacing w:val="4"/>
                <w:w w:val="33"/>
                <w:szCs w:val="20"/>
                <w:shd w:val="solid" w:color="000000" w:fill="000000"/>
                <w:fitText w:val="150" w:id="-961860596"/>
                <w14:textFill>
                  <w14:solidFill>
                    <w14:srgbClr w14:val="000000">
                      <w14:alpha w14:val="100000"/>
                    </w14:srgbClr>
                  </w14:solidFill>
                </w14:textFill>
              </w:rPr>
              <w:t xml:space="preserve">　</w:t>
            </w:r>
            <w:r w:rsidR="004F343F" w:rsidRPr="009C3CBE">
              <w:rPr>
                <w:szCs w:val="20"/>
                <w:vertAlign w:val="superscript"/>
              </w:rPr>
              <w:t>3</w:t>
            </w:r>
          </w:p>
        </w:tc>
        <w:tc>
          <w:tcPr>
            <w:tcW w:w="1080" w:type="dxa"/>
            <w:vAlign w:val="center"/>
          </w:tcPr>
          <w:p w14:paraId="75B83251" w14:textId="21F0F7D3" w:rsidR="00656290" w:rsidRPr="00456281" w:rsidRDefault="00656290" w:rsidP="00656290">
            <w:pPr>
              <w:pStyle w:val="TableText0"/>
              <w:widowControl w:val="0"/>
              <w:jc w:val="center"/>
              <w:rPr>
                <w:szCs w:val="20"/>
              </w:rPr>
            </w:pPr>
            <w:r w:rsidRPr="00456281">
              <w:rPr>
                <w:szCs w:val="20"/>
              </w:rPr>
              <w:t>+</w:t>
            </w:r>
            <w:r w:rsidR="001C2CAE" w:rsidRPr="001C2CAE">
              <w:rPr>
                <w:color w:val="000000"/>
                <w:spacing w:val="127"/>
                <w:szCs w:val="20"/>
                <w:shd w:val="solid" w:color="000000" w:fill="000000"/>
                <w:fitText w:val="213" w:id="-961860856"/>
                <w14:textFill>
                  <w14:solidFill>
                    <w14:srgbClr w14:val="000000">
                      <w14:alpha w14:val="100000"/>
                    </w14:srgbClr>
                  </w14:solidFill>
                </w14:textFill>
              </w:rPr>
              <w:t>|</w:t>
            </w:r>
            <w:r w:rsidR="001C2CAE" w:rsidRPr="001C2CAE">
              <w:rPr>
                <w:color w:val="000000"/>
                <w:szCs w:val="20"/>
                <w:shd w:val="solid" w:color="000000" w:fill="000000"/>
                <w:fitText w:val="213" w:id="-961860856"/>
                <w14:textFill>
                  <w14:solidFill>
                    <w14:srgbClr w14:val="000000">
                      <w14:alpha w14:val="100000"/>
                    </w14:srgbClr>
                  </w14:solidFill>
                </w14:textFill>
              </w:rPr>
              <w:t>|</w:t>
            </w:r>
            <w:r w:rsidRPr="00456281">
              <w:rPr>
                <w:szCs w:val="20"/>
              </w:rPr>
              <w:t>%</w:t>
            </w:r>
          </w:p>
        </w:tc>
      </w:tr>
      <w:tr w:rsidR="00656290" w:rsidRPr="00456281" w14:paraId="36AE7320" w14:textId="77777777" w:rsidTr="00F16C78">
        <w:trPr>
          <w:cantSplit/>
        </w:trPr>
        <w:tc>
          <w:tcPr>
            <w:tcW w:w="3712" w:type="dxa"/>
            <w:vAlign w:val="center"/>
          </w:tcPr>
          <w:p w14:paraId="63FCAE19" w14:textId="38206FBA" w:rsidR="00656290" w:rsidRPr="00456281" w:rsidRDefault="00656290" w:rsidP="00690769">
            <w:pPr>
              <w:pStyle w:val="ListParagraph"/>
              <w:widowControl w:val="0"/>
              <w:numPr>
                <w:ilvl w:val="0"/>
                <w:numId w:val="11"/>
              </w:numPr>
              <w:spacing w:after="0"/>
              <w:ind w:left="306"/>
              <w:contextualSpacing/>
              <w:rPr>
                <w:rFonts w:ascii="Arial Narrow" w:hAnsi="Arial Narrow"/>
                <w:sz w:val="20"/>
                <w:szCs w:val="20"/>
              </w:rPr>
            </w:pPr>
            <w:r w:rsidRPr="00456281">
              <w:rPr>
                <w:rFonts w:ascii="Arial Narrow" w:hAnsi="Arial Narrow"/>
                <w:sz w:val="20"/>
                <w:szCs w:val="20"/>
              </w:rPr>
              <w:t>50% of use in FOLFIRINOX</w:t>
            </w:r>
          </w:p>
        </w:tc>
        <w:tc>
          <w:tcPr>
            <w:tcW w:w="1446" w:type="dxa"/>
            <w:tcBorders>
              <w:bottom w:val="single" w:sz="4" w:space="0" w:color="auto"/>
            </w:tcBorders>
            <w:shd w:val="solid" w:color="000000" w:fill="000000"/>
            <w:vAlign w:val="bottom"/>
          </w:tcPr>
          <w:p w14:paraId="6FAFD86F" w14:textId="6ED459FE" w:rsidR="00656290" w:rsidRPr="009C3CBE" w:rsidRDefault="00F16C78" w:rsidP="00656290">
            <w:pPr>
              <w:pStyle w:val="TableText0"/>
              <w:keepNext w:val="0"/>
              <w:widowControl w:val="0"/>
              <w:jc w:val="center"/>
              <w:rPr>
                <w:szCs w:val="20"/>
                <w:highlight w:val="lightGray"/>
              </w:rPr>
            </w:pPr>
            <w:r w:rsidRPr="00F16C78">
              <w:rPr>
                <w:rFonts w:cs="Calibri" w:hint="eastAsia"/>
                <w:color w:val="000000"/>
                <w:w w:val="22"/>
                <w:szCs w:val="20"/>
                <w:fitText w:val="100" w:id="-961860595"/>
                <w14:textFill>
                  <w14:solidFill>
                    <w14:srgbClr w14:val="000000">
                      <w14:alpha w14:val="100000"/>
                    </w14:srgbClr>
                  </w14:solidFill>
                </w14:textFill>
              </w:rPr>
              <w:t xml:space="preserve">　</w:t>
            </w:r>
            <w:r w:rsidRPr="00F16C78">
              <w:rPr>
                <w:rFonts w:cs="Calibri"/>
                <w:color w:val="000000"/>
                <w:w w:val="22"/>
                <w:szCs w:val="20"/>
                <w:fitText w:val="100" w:id="-961860595"/>
                <w14:textFill>
                  <w14:solidFill>
                    <w14:srgbClr w14:val="000000">
                      <w14:alpha w14:val="100000"/>
                    </w14:srgbClr>
                  </w14:solidFill>
                </w14:textFill>
              </w:rPr>
              <w:t>|</w:t>
            </w:r>
            <w:r w:rsidRPr="00F16C78">
              <w:rPr>
                <w:rFonts w:cs="Calibri" w:hint="eastAsia"/>
                <w:color w:val="000000"/>
                <w:w w:val="22"/>
                <w:szCs w:val="20"/>
                <w:fitText w:val="100" w:id="-961860595"/>
                <w14:textFill>
                  <w14:solidFill>
                    <w14:srgbClr w14:val="000000">
                      <w14:alpha w14:val="100000"/>
                    </w14:srgbClr>
                  </w14:solidFill>
                </w14:textFill>
              </w:rPr>
              <w:t xml:space="preserve">　</w:t>
            </w:r>
          </w:p>
        </w:tc>
        <w:tc>
          <w:tcPr>
            <w:tcW w:w="1360" w:type="dxa"/>
            <w:vAlign w:val="bottom"/>
          </w:tcPr>
          <w:p w14:paraId="480F14FB" w14:textId="474889A7" w:rsidR="00656290" w:rsidRPr="00456281" w:rsidRDefault="00656290" w:rsidP="00656290">
            <w:pPr>
              <w:pStyle w:val="TableText0"/>
              <w:keepNext w:val="0"/>
              <w:widowControl w:val="0"/>
              <w:jc w:val="center"/>
              <w:rPr>
                <w:szCs w:val="20"/>
              </w:rPr>
            </w:pPr>
            <w:r w:rsidRPr="00456281">
              <w:rPr>
                <w:rFonts w:cs="Calibri"/>
                <w:color w:val="000000"/>
                <w:szCs w:val="20"/>
              </w:rPr>
              <w:t>0.0849</w:t>
            </w:r>
          </w:p>
        </w:tc>
        <w:tc>
          <w:tcPr>
            <w:tcW w:w="1399" w:type="dxa"/>
            <w:vAlign w:val="bottom"/>
          </w:tcPr>
          <w:p w14:paraId="05A4C85D" w14:textId="0251C06A" w:rsidR="00656290" w:rsidRPr="009C3CBE" w:rsidRDefault="00F16C78" w:rsidP="00656290">
            <w:pPr>
              <w:pStyle w:val="TableText0"/>
              <w:keepNext w:val="0"/>
              <w:widowControl w:val="0"/>
              <w:jc w:val="center"/>
              <w:rPr>
                <w:szCs w:val="20"/>
                <w:highlight w:val="lightGray"/>
              </w:rPr>
            </w:pPr>
            <w:r w:rsidRPr="00F16C78">
              <w:rPr>
                <w:rFonts w:cs="Calibri" w:hint="eastAsia"/>
                <w:color w:val="000000"/>
                <w:w w:val="33"/>
                <w:szCs w:val="20"/>
                <w:shd w:val="solid" w:color="000000" w:fill="000000"/>
                <w:fitText w:val="150" w:id="-961860594"/>
                <w14:textFill>
                  <w14:solidFill>
                    <w14:srgbClr w14:val="000000">
                      <w14:alpha w14:val="100000"/>
                    </w14:srgbClr>
                  </w14:solidFill>
                </w14:textFill>
              </w:rPr>
              <w:t xml:space="preserve">　</w:t>
            </w:r>
            <w:r w:rsidRPr="00F16C78">
              <w:rPr>
                <w:rFonts w:cs="Calibri"/>
                <w:color w:val="000000"/>
                <w:w w:val="33"/>
                <w:szCs w:val="20"/>
                <w:shd w:val="solid" w:color="000000" w:fill="000000"/>
                <w:fitText w:val="150" w:id="-961860594"/>
                <w14:textFill>
                  <w14:solidFill>
                    <w14:srgbClr w14:val="000000">
                      <w14:alpha w14:val="100000"/>
                    </w14:srgbClr>
                  </w14:solidFill>
                </w14:textFill>
              </w:rPr>
              <w:t>|</w:t>
            </w:r>
            <w:r w:rsidRPr="00F16C78">
              <w:rPr>
                <w:rFonts w:cs="Calibri" w:hint="eastAsia"/>
                <w:color w:val="000000"/>
                <w:spacing w:val="4"/>
                <w:w w:val="33"/>
                <w:szCs w:val="20"/>
                <w:shd w:val="solid" w:color="000000" w:fill="000000"/>
                <w:fitText w:val="150" w:id="-961860594"/>
                <w14:textFill>
                  <w14:solidFill>
                    <w14:srgbClr w14:val="000000">
                      <w14:alpha w14:val="100000"/>
                    </w14:srgbClr>
                  </w14:solidFill>
                </w14:textFill>
              </w:rPr>
              <w:t xml:space="preserve">　</w:t>
            </w:r>
            <w:r w:rsidR="00196AE0">
              <w:rPr>
                <w:rFonts w:cs="Calibri"/>
                <w:color w:val="000000"/>
                <w:szCs w:val="20"/>
                <w:vertAlign w:val="superscript"/>
              </w:rPr>
              <w:t>5</w:t>
            </w:r>
          </w:p>
        </w:tc>
        <w:tc>
          <w:tcPr>
            <w:tcW w:w="1080" w:type="dxa"/>
            <w:vAlign w:val="bottom"/>
          </w:tcPr>
          <w:p w14:paraId="1DA74FD5" w14:textId="68AFE570" w:rsidR="00656290" w:rsidRPr="00456281" w:rsidRDefault="00656290" w:rsidP="00656290">
            <w:pPr>
              <w:pStyle w:val="TableText0"/>
              <w:keepNext w:val="0"/>
              <w:widowControl w:val="0"/>
              <w:jc w:val="center"/>
              <w:rPr>
                <w:szCs w:val="20"/>
              </w:rPr>
            </w:pPr>
            <w:r w:rsidRPr="00456281">
              <w:rPr>
                <w:rFonts w:cs="Calibri"/>
                <w:color w:val="000000"/>
                <w:szCs w:val="20"/>
              </w:rPr>
              <w:t>+</w:t>
            </w:r>
            <w:r w:rsidR="001C2CAE" w:rsidRPr="001C2CAE">
              <w:rPr>
                <w:color w:val="000000"/>
                <w:spacing w:val="127"/>
                <w:szCs w:val="20"/>
                <w:shd w:val="solid" w:color="000000" w:fill="000000"/>
                <w:fitText w:val="213" w:id="-961860856"/>
                <w14:textFill>
                  <w14:solidFill>
                    <w14:srgbClr w14:val="000000">
                      <w14:alpha w14:val="100000"/>
                    </w14:srgbClr>
                  </w14:solidFill>
                </w14:textFill>
              </w:rPr>
              <w:t>|</w:t>
            </w:r>
            <w:r w:rsidR="001C2CAE" w:rsidRPr="001C2CAE">
              <w:rPr>
                <w:color w:val="000000"/>
                <w:szCs w:val="20"/>
                <w:shd w:val="solid" w:color="000000" w:fill="000000"/>
                <w:fitText w:val="213" w:id="-961860856"/>
                <w14:textFill>
                  <w14:solidFill>
                    <w14:srgbClr w14:val="000000">
                      <w14:alpha w14:val="100000"/>
                    </w14:srgbClr>
                  </w14:solidFill>
                </w14:textFill>
              </w:rPr>
              <w:t>|</w:t>
            </w:r>
            <w:r w:rsidRPr="00456281">
              <w:rPr>
                <w:rFonts w:cs="Calibri"/>
                <w:color w:val="000000"/>
                <w:szCs w:val="20"/>
              </w:rPr>
              <w:t>%</w:t>
            </w:r>
          </w:p>
        </w:tc>
      </w:tr>
      <w:tr w:rsidR="00656290" w:rsidRPr="00456281" w14:paraId="4906A71F" w14:textId="77777777" w:rsidTr="00F16C78">
        <w:trPr>
          <w:cantSplit/>
        </w:trPr>
        <w:tc>
          <w:tcPr>
            <w:tcW w:w="3712" w:type="dxa"/>
            <w:vAlign w:val="center"/>
          </w:tcPr>
          <w:p w14:paraId="38404AFD" w14:textId="570D3DBB" w:rsidR="00656290" w:rsidRPr="00456281" w:rsidDel="00085DFF" w:rsidRDefault="00656290" w:rsidP="00690769">
            <w:pPr>
              <w:pStyle w:val="ListParagraph"/>
              <w:widowControl w:val="0"/>
              <w:numPr>
                <w:ilvl w:val="0"/>
                <w:numId w:val="11"/>
              </w:numPr>
              <w:spacing w:after="0"/>
              <w:ind w:left="306"/>
              <w:contextualSpacing/>
              <w:rPr>
                <w:rFonts w:ascii="Arial Narrow" w:hAnsi="Arial Narrow"/>
                <w:sz w:val="20"/>
                <w:szCs w:val="20"/>
              </w:rPr>
            </w:pPr>
            <w:r w:rsidRPr="00456281">
              <w:rPr>
                <w:rFonts w:ascii="Arial Narrow" w:hAnsi="Arial Narrow"/>
                <w:sz w:val="20"/>
                <w:szCs w:val="20"/>
              </w:rPr>
              <w:t>100% of use in FOLFIRINOX</w:t>
            </w:r>
          </w:p>
        </w:tc>
        <w:tc>
          <w:tcPr>
            <w:tcW w:w="1446" w:type="dxa"/>
            <w:shd w:val="solid" w:color="000000" w:fill="000000"/>
            <w:vAlign w:val="bottom"/>
          </w:tcPr>
          <w:p w14:paraId="15899D5C" w14:textId="26D938D6" w:rsidR="00656290" w:rsidRPr="009C3CBE" w:rsidDel="00085DFF" w:rsidRDefault="00F16C78" w:rsidP="00656290">
            <w:pPr>
              <w:pStyle w:val="TableText0"/>
              <w:keepNext w:val="0"/>
              <w:widowControl w:val="0"/>
              <w:jc w:val="center"/>
              <w:rPr>
                <w:szCs w:val="20"/>
                <w:highlight w:val="lightGray"/>
              </w:rPr>
            </w:pPr>
            <w:r w:rsidRPr="00F16C78">
              <w:rPr>
                <w:rFonts w:cs="Calibri" w:hint="eastAsia"/>
                <w:color w:val="000000"/>
                <w:w w:val="22"/>
                <w:szCs w:val="20"/>
                <w:fitText w:val="100" w:id="-961860593"/>
                <w14:textFill>
                  <w14:solidFill>
                    <w14:srgbClr w14:val="000000">
                      <w14:alpha w14:val="100000"/>
                    </w14:srgbClr>
                  </w14:solidFill>
                </w14:textFill>
              </w:rPr>
              <w:t xml:space="preserve">　</w:t>
            </w:r>
            <w:r w:rsidRPr="00F16C78">
              <w:rPr>
                <w:rFonts w:cs="Calibri"/>
                <w:color w:val="000000"/>
                <w:w w:val="22"/>
                <w:szCs w:val="20"/>
                <w:fitText w:val="100" w:id="-961860593"/>
                <w14:textFill>
                  <w14:solidFill>
                    <w14:srgbClr w14:val="000000">
                      <w14:alpha w14:val="100000"/>
                    </w14:srgbClr>
                  </w14:solidFill>
                </w14:textFill>
              </w:rPr>
              <w:t>|</w:t>
            </w:r>
            <w:r w:rsidRPr="00F16C78">
              <w:rPr>
                <w:rFonts w:cs="Calibri" w:hint="eastAsia"/>
                <w:color w:val="000000"/>
                <w:w w:val="22"/>
                <w:szCs w:val="20"/>
                <w:fitText w:val="100" w:id="-961860593"/>
                <w14:textFill>
                  <w14:solidFill>
                    <w14:srgbClr w14:val="000000">
                      <w14:alpha w14:val="100000"/>
                    </w14:srgbClr>
                  </w14:solidFill>
                </w14:textFill>
              </w:rPr>
              <w:t xml:space="preserve">　</w:t>
            </w:r>
          </w:p>
        </w:tc>
        <w:tc>
          <w:tcPr>
            <w:tcW w:w="1360" w:type="dxa"/>
            <w:vAlign w:val="bottom"/>
          </w:tcPr>
          <w:p w14:paraId="5B6696E8" w14:textId="19EB6FA1" w:rsidR="00656290" w:rsidRPr="00456281" w:rsidDel="00085DFF" w:rsidRDefault="00656290" w:rsidP="00656290">
            <w:pPr>
              <w:pStyle w:val="TableText0"/>
              <w:keepNext w:val="0"/>
              <w:widowControl w:val="0"/>
              <w:jc w:val="center"/>
              <w:rPr>
                <w:szCs w:val="20"/>
              </w:rPr>
            </w:pPr>
            <w:r w:rsidRPr="00456281">
              <w:rPr>
                <w:rFonts w:cs="Calibri"/>
                <w:color w:val="000000"/>
                <w:szCs w:val="20"/>
              </w:rPr>
              <w:t>0.0606</w:t>
            </w:r>
          </w:p>
        </w:tc>
        <w:tc>
          <w:tcPr>
            <w:tcW w:w="1399" w:type="dxa"/>
            <w:vAlign w:val="bottom"/>
          </w:tcPr>
          <w:p w14:paraId="09B81CE0" w14:textId="35E58AD7" w:rsidR="00656290" w:rsidRPr="009C3CBE" w:rsidDel="00085DFF" w:rsidRDefault="00F16C78" w:rsidP="00656290">
            <w:pPr>
              <w:pStyle w:val="TableText0"/>
              <w:keepNext w:val="0"/>
              <w:widowControl w:val="0"/>
              <w:jc w:val="center"/>
              <w:rPr>
                <w:szCs w:val="20"/>
                <w:highlight w:val="lightGray"/>
              </w:rPr>
            </w:pPr>
            <w:r w:rsidRPr="00F16C78">
              <w:rPr>
                <w:rFonts w:cs="Calibri" w:hint="eastAsia"/>
                <w:color w:val="000000"/>
                <w:w w:val="33"/>
                <w:szCs w:val="20"/>
                <w:shd w:val="solid" w:color="000000" w:fill="000000"/>
                <w:fitText w:val="150" w:id="-961860592"/>
                <w14:textFill>
                  <w14:solidFill>
                    <w14:srgbClr w14:val="000000">
                      <w14:alpha w14:val="100000"/>
                    </w14:srgbClr>
                  </w14:solidFill>
                </w14:textFill>
              </w:rPr>
              <w:t xml:space="preserve">　</w:t>
            </w:r>
            <w:r w:rsidRPr="00F16C78">
              <w:rPr>
                <w:rFonts w:cs="Calibri"/>
                <w:color w:val="000000"/>
                <w:w w:val="33"/>
                <w:szCs w:val="20"/>
                <w:shd w:val="solid" w:color="000000" w:fill="000000"/>
                <w:fitText w:val="150" w:id="-961860592"/>
                <w14:textFill>
                  <w14:solidFill>
                    <w14:srgbClr w14:val="000000">
                      <w14:alpha w14:val="100000"/>
                    </w14:srgbClr>
                  </w14:solidFill>
                </w14:textFill>
              </w:rPr>
              <w:t>|</w:t>
            </w:r>
            <w:r w:rsidRPr="00F16C78">
              <w:rPr>
                <w:rFonts w:cs="Calibri" w:hint="eastAsia"/>
                <w:color w:val="000000"/>
                <w:spacing w:val="4"/>
                <w:w w:val="33"/>
                <w:szCs w:val="20"/>
                <w:shd w:val="solid" w:color="000000" w:fill="000000"/>
                <w:fitText w:val="150" w:id="-961860592"/>
                <w14:textFill>
                  <w14:solidFill>
                    <w14:srgbClr w14:val="000000">
                      <w14:alpha w14:val="100000"/>
                    </w14:srgbClr>
                  </w14:solidFill>
                </w14:textFill>
              </w:rPr>
              <w:t xml:space="preserve">　</w:t>
            </w:r>
            <w:r w:rsidR="00196AE0">
              <w:rPr>
                <w:rFonts w:cs="Calibri"/>
                <w:color w:val="000000"/>
                <w:szCs w:val="20"/>
                <w:vertAlign w:val="superscript"/>
              </w:rPr>
              <w:t>6</w:t>
            </w:r>
          </w:p>
        </w:tc>
        <w:tc>
          <w:tcPr>
            <w:tcW w:w="1080" w:type="dxa"/>
            <w:vAlign w:val="bottom"/>
          </w:tcPr>
          <w:p w14:paraId="773861A3" w14:textId="44CC0BD3" w:rsidR="00656290" w:rsidRPr="00456281" w:rsidDel="00085DFF" w:rsidRDefault="00656290" w:rsidP="00656290">
            <w:pPr>
              <w:pStyle w:val="TableText0"/>
              <w:keepNext w:val="0"/>
              <w:widowControl w:val="0"/>
              <w:jc w:val="center"/>
              <w:rPr>
                <w:szCs w:val="20"/>
              </w:rPr>
            </w:pPr>
            <w:r w:rsidRPr="00456281">
              <w:rPr>
                <w:rFonts w:cs="Calibri"/>
                <w:color w:val="000000"/>
                <w:szCs w:val="20"/>
              </w:rPr>
              <w:t>+</w:t>
            </w:r>
            <w:r w:rsidR="001C2CAE" w:rsidRPr="001C2CAE">
              <w:rPr>
                <w:color w:val="000000"/>
                <w:spacing w:val="127"/>
                <w:szCs w:val="20"/>
                <w:shd w:val="solid" w:color="000000" w:fill="000000"/>
                <w:fitText w:val="213" w:id="-961860856"/>
                <w14:textFill>
                  <w14:solidFill>
                    <w14:srgbClr w14:val="000000">
                      <w14:alpha w14:val="100000"/>
                    </w14:srgbClr>
                  </w14:solidFill>
                </w14:textFill>
              </w:rPr>
              <w:t>|</w:t>
            </w:r>
            <w:r w:rsidR="001C2CAE" w:rsidRPr="001C2CAE">
              <w:rPr>
                <w:color w:val="000000"/>
                <w:szCs w:val="20"/>
                <w:shd w:val="solid" w:color="000000" w:fill="000000"/>
                <w:fitText w:val="213" w:id="-961860856"/>
                <w14:textFill>
                  <w14:solidFill>
                    <w14:srgbClr w14:val="000000">
                      <w14:alpha w14:val="100000"/>
                    </w14:srgbClr>
                  </w14:solidFill>
                </w14:textFill>
              </w:rPr>
              <w:t>|</w:t>
            </w:r>
            <w:r w:rsidRPr="00456281">
              <w:rPr>
                <w:rFonts w:cs="Calibri"/>
                <w:color w:val="000000"/>
                <w:szCs w:val="20"/>
              </w:rPr>
              <w:t>%</w:t>
            </w:r>
          </w:p>
        </w:tc>
      </w:tr>
    </w:tbl>
    <w:p w14:paraId="66F731D9" w14:textId="77777777" w:rsidR="00873E01" w:rsidRPr="00456281" w:rsidRDefault="00873E01" w:rsidP="00873E01">
      <w:pPr>
        <w:pStyle w:val="FooterTableFigure"/>
        <w:widowControl w:val="0"/>
      </w:pPr>
      <w:r w:rsidRPr="00456281">
        <w:t>Source: Table 60, p154 of the submission, Table 13 of Appendix A and added to from results and analyses conducted during the evaluation the submission’s economic model (Attachment 8)</w:t>
      </w:r>
    </w:p>
    <w:p w14:paraId="34403929" w14:textId="77777777" w:rsidR="00873E01" w:rsidRPr="00456281" w:rsidRDefault="00873E01" w:rsidP="00873E01">
      <w:pPr>
        <w:pStyle w:val="FooterTableFigure"/>
        <w:widowControl w:val="0"/>
      </w:pPr>
      <w:r w:rsidRPr="00456281">
        <w:t>Abbreviations: AEs, adverse events; ICER, incremental cost-effectiveness ratio; EQ-5D-5L, EuroQol 5-dimension health status questionnaire (5 level); FOLFIRINOX, Fluorouracil, Folinic Acid, Irinotecan, Oxaliplatin; KM, Kaplan-Meier; Gem+NabP, gemcitabine plus nanoparticle albumin-bound paclitaxel; NALIRIFOX, nanoliposomal irinotecan (nal-IRI) in combination with 5-fluorouracil, leucovorin/folinic acid; OS, overall survival; PBS, Pharmaceutical Benefits Scheme; PFS, progression-free survival; QALY, quality-adjusted life-year; UK, United Kingdom.</w:t>
      </w:r>
    </w:p>
    <w:p w14:paraId="1EDD9FE1" w14:textId="4CB9B960" w:rsidR="00873E01" w:rsidRPr="00456281" w:rsidRDefault="00873E01" w:rsidP="00873E01">
      <w:pPr>
        <w:pStyle w:val="FooterTableFigure"/>
        <w:widowControl w:val="0"/>
      </w:pPr>
      <w:r w:rsidRPr="00456281">
        <w:rPr>
          <w:vertAlign w:val="superscript"/>
        </w:rPr>
        <w:t>a</w:t>
      </w:r>
      <w:r w:rsidRPr="00456281">
        <w:t xml:space="preserve"> Using Gebski’s approach described in </w:t>
      </w:r>
      <w:r w:rsidR="00BE6783" w:rsidRPr="00456281">
        <w:t xml:space="preserve">paragraph </w:t>
      </w:r>
      <w:r w:rsidR="00BE6783" w:rsidRPr="00456281">
        <w:fldChar w:fldCharType="begin"/>
      </w:r>
      <w:r w:rsidR="00BE6783" w:rsidRPr="00456281">
        <w:instrText xml:space="preserve"> REF _Ref157588461 \r \h </w:instrText>
      </w:r>
      <w:r w:rsidR="0080218D" w:rsidRPr="00456281">
        <w:instrText xml:space="preserve"> \* MERGEFORMAT </w:instrText>
      </w:r>
      <w:r w:rsidR="00BE6783" w:rsidRPr="00456281">
        <w:fldChar w:fldCharType="separate"/>
      </w:r>
      <w:r w:rsidR="00EE5AD4">
        <w:t>6.72</w:t>
      </w:r>
      <w:r w:rsidR="00BE6783" w:rsidRPr="00456281">
        <w:fldChar w:fldCharType="end"/>
      </w:r>
      <w:r w:rsidR="00BE6783" w:rsidRPr="00456281">
        <w:t>.</w:t>
      </w:r>
      <w:r w:rsidRPr="00456281">
        <w:t xml:space="preserve"> </w:t>
      </w:r>
    </w:p>
    <w:p w14:paraId="374B473E" w14:textId="08A51DE7" w:rsidR="00873E01" w:rsidRPr="00456281" w:rsidRDefault="00873E01" w:rsidP="00873E01">
      <w:pPr>
        <w:pStyle w:val="FooterTableFigure"/>
        <w:widowControl w:val="0"/>
      </w:pPr>
      <w:bookmarkStart w:id="140" w:name="_Hlk159596720"/>
      <w:r w:rsidRPr="00456281">
        <w:rPr>
          <w:vertAlign w:val="superscript"/>
        </w:rPr>
        <w:t xml:space="preserve">b </w:t>
      </w:r>
      <w:r w:rsidRPr="00456281">
        <w:t>Based on DRG G67 and DRG G03C from NHCDC Cost weights AR-DRG version 11.0 (2020-21)</w:t>
      </w:r>
      <w:r w:rsidR="00905EEE" w:rsidRPr="00456281">
        <w:t>.</w:t>
      </w:r>
    </w:p>
    <w:bookmarkEnd w:id="140"/>
    <w:p w14:paraId="552232F0" w14:textId="77777777" w:rsidR="00082F5E" w:rsidRPr="00082F5E" w:rsidRDefault="00082F5E" w:rsidP="00082F5E">
      <w:pPr>
        <w:pStyle w:val="FooterTableFigure"/>
        <w:widowControl w:val="0"/>
        <w:rPr>
          <w:i/>
          <w:iCs/>
        </w:rPr>
      </w:pPr>
      <w:r w:rsidRPr="00082F5E">
        <w:rPr>
          <w:i/>
          <w:iCs/>
        </w:rPr>
        <w:t>The redacted values correspond to the following ranges:</w:t>
      </w:r>
    </w:p>
    <w:p w14:paraId="1C090645" w14:textId="77777777" w:rsidR="00082F5E" w:rsidRPr="00082F5E" w:rsidRDefault="00082F5E" w:rsidP="00082F5E">
      <w:pPr>
        <w:pStyle w:val="FooterTableFigure"/>
        <w:widowControl w:val="0"/>
        <w:rPr>
          <w:i/>
          <w:iCs/>
        </w:rPr>
      </w:pPr>
      <w:r w:rsidRPr="00082F5E">
        <w:rPr>
          <w:i/>
          <w:iCs/>
          <w:vertAlign w:val="superscript"/>
        </w:rPr>
        <w:t>1</w:t>
      </w:r>
      <w:r w:rsidRPr="00082F5E">
        <w:rPr>
          <w:i/>
          <w:iCs/>
        </w:rPr>
        <w:t xml:space="preserve"> $25,000 to &lt; $35,000</w:t>
      </w:r>
    </w:p>
    <w:p w14:paraId="6D4B7F19" w14:textId="75604B5A" w:rsidR="004F343F" w:rsidRPr="004F343F" w:rsidRDefault="004F343F" w:rsidP="004F343F">
      <w:pPr>
        <w:pStyle w:val="FooterTableFigure"/>
        <w:widowControl w:val="0"/>
        <w:rPr>
          <w:i/>
          <w:iCs/>
        </w:rPr>
      </w:pPr>
      <w:r w:rsidRPr="009C3CBE">
        <w:rPr>
          <w:i/>
          <w:iCs/>
          <w:vertAlign w:val="superscript"/>
        </w:rPr>
        <w:t>2</w:t>
      </w:r>
      <w:r>
        <w:rPr>
          <w:i/>
          <w:iCs/>
        </w:rPr>
        <w:t xml:space="preserve"> </w:t>
      </w:r>
      <w:r w:rsidRPr="004F343F">
        <w:rPr>
          <w:i/>
          <w:iCs/>
        </w:rPr>
        <w:t>$35,000 to &lt; $45,000</w:t>
      </w:r>
    </w:p>
    <w:p w14:paraId="0457C571" w14:textId="034F7AB8" w:rsidR="004F343F" w:rsidRPr="004F343F" w:rsidRDefault="004F343F" w:rsidP="004F343F">
      <w:pPr>
        <w:pStyle w:val="FooterTableFigure"/>
        <w:widowControl w:val="0"/>
        <w:rPr>
          <w:i/>
          <w:iCs/>
        </w:rPr>
      </w:pPr>
      <w:r w:rsidRPr="009C3CBE">
        <w:rPr>
          <w:i/>
          <w:iCs/>
          <w:vertAlign w:val="superscript"/>
        </w:rPr>
        <w:t>3</w:t>
      </w:r>
      <w:r>
        <w:rPr>
          <w:i/>
          <w:iCs/>
        </w:rPr>
        <w:t xml:space="preserve"> </w:t>
      </w:r>
      <w:r w:rsidRPr="004F343F">
        <w:rPr>
          <w:i/>
          <w:iCs/>
        </w:rPr>
        <w:t>$45,000 to &lt; $55,000</w:t>
      </w:r>
    </w:p>
    <w:p w14:paraId="0A7C9D08" w14:textId="22C48FC2" w:rsidR="004F343F" w:rsidRPr="004F343F" w:rsidRDefault="004F343F" w:rsidP="004F343F">
      <w:pPr>
        <w:pStyle w:val="FooterTableFigure"/>
        <w:widowControl w:val="0"/>
        <w:rPr>
          <w:i/>
          <w:iCs/>
        </w:rPr>
      </w:pPr>
      <w:r w:rsidRPr="009C3CBE">
        <w:rPr>
          <w:i/>
          <w:iCs/>
          <w:vertAlign w:val="superscript"/>
        </w:rPr>
        <w:t>4</w:t>
      </w:r>
      <w:r w:rsidRPr="004F343F">
        <w:rPr>
          <w:i/>
          <w:iCs/>
        </w:rPr>
        <w:t>$75,000 to &lt; $95,000</w:t>
      </w:r>
    </w:p>
    <w:p w14:paraId="69A0E4BD" w14:textId="2414CD26" w:rsidR="004F343F" w:rsidRPr="004F343F" w:rsidRDefault="004F343F" w:rsidP="004F343F">
      <w:pPr>
        <w:pStyle w:val="FooterTableFigure"/>
        <w:widowControl w:val="0"/>
        <w:rPr>
          <w:i/>
          <w:iCs/>
        </w:rPr>
      </w:pPr>
      <w:r w:rsidRPr="009C3CBE">
        <w:rPr>
          <w:i/>
          <w:iCs/>
          <w:vertAlign w:val="superscript"/>
        </w:rPr>
        <w:t>5</w:t>
      </w:r>
      <w:r>
        <w:rPr>
          <w:i/>
          <w:iCs/>
        </w:rPr>
        <w:t xml:space="preserve"> </w:t>
      </w:r>
      <w:r w:rsidRPr="004F343F">
        <w:rPr>
          <w:i/>
          <w:iCs/>
        </w:rPr>
        <w:t xml:space="preserve">$95,000 to &lt; $115,000 </w:t>
      </w:r>
    </w:p>
    <w:p w14:paraId="703A3283" w14:textId="62EE8833" w:rsidR="00DA7EBB" w:rsidRPr="00456281" w:rsidRDefault="00196AE0" w:rsidP="00873E01">
      <w:pPr>
        <w:pStyle w:val="FooterTableFigure"/>
        <w:widowControl w:val="0"/>
        <w:rPr>
          <w:i/>
          <w:iCs/>
        </w:rPr>
      </w:pPr>
      <w:r>
        <w:rPr>
          <w:i/>
          <w:iCs/>
          <w:vertAlign w:val="superscript"/>
        </w:rPr>
        <w:t>6</w:t>
      </w:r>
      <w:r w:rsidR="004F343F">
        <w:rPr>
          <w:i/>
          <w:iCs/>
        </w:rPr>
        <w:t xml:space="preserve"> </w:t>
      </w:r>
      <w:r w:rsidR="004F343F" w:rsidRPr="004F343F">
        <w:rPr>
          <w:i/>
          <w:iCs/>
        </w:rPr>
        <w:t>$155,000 to &lt; $255,000</w:t>
      </w:r>
    </w:p>
    <w:p w14:paraId="37195019" w14:textId="2DDAA440" w:rsidR="00036C63" w:rsidRPr="00456281" w:rsidRDefault="00E03C9A" w:rsidP="00396983">
      <w:pPr>
        <w:pStyle w:val="3-BodyText"/>
      </w:pPr>
      <w:r w:rsidRPr="00456281">
        <w:rPr>
          <w:rFonts w:eastAsiaTheme="majorEastAsia"/>
        </w:rPr>
        <w:t xml:space="preserve">The pre-PBAC response presented a </w:t>
      </w:r>
      <w:r w:rsidR="00036C63" w:rsidRPr="00456281">
        <w:rPr>
          <w:rFonts w:eastAsiaTheme="majorEastAsia"/>
        </w:rPr>
        <w:t xml:space="preserve">respecified base case </w:t>
      </w:r>
      <w:r w:rsidRPr="00456281">
        <w:rPr>
          <w:rFonts w:eastAsiaTheme="majorEastAsia"/>
        </w:rPr>
        <w:t>corresponding to an ICER of $</w:t>
      </w:r>
      <w:r w:rsidR="004F343F" w:rsidRPr="004F343F">
        <w:rPr>
          <w:rFonts w:eastAsiaTheme="majorEastAsia"/>
        </w:rPr>
        <w:t>35,000</w:t>
      </w:r>
      <w:r w:rsidR="001C2CAE">
        <w:rPr>
          <w:rFonts w:eastAsiaTheme="majorEastAsia"/>
        </w:rPr>
        <w:t> </w:t>
      </w:r>
      <w:r w:rsidR="004F343F" w:rsidRPr="004F343F">
        <w:rPr>
          <w:rFonts w:eastAsiaTheme="majorEastAsia"/>
        </w:rPr>
        <w:t>to</w:t>
      </w:r>
      <w:r w:rsidR="001C2CAE">
        <w:rPr>
          <w:rFonts w:eastAsiaTheme="majorEastAsia"/>
        </w:rPr>
        <w:t> </w:t>
      </w:r>
      <w:r w:rsidR="004F343F" w:rsidRPr="004F343F">
        <w:rPr>
          <w:rFonts w:eastAsiaTheme="majorEastAsia"/>
        </w:rPr>
        <w:t>&lt;</w:t>
      </w:r>
      <w:r w:rsidR="001C2CAE">
        <w:rPr>
          <w:rFonts w:eastAsiaTheme="majorEastAsia"/>
        </w:rPr>
        <w:t> </w:t>
      </w:r>
      <w:r w:rsidR="004F343F" w:rsidRPr="004F343F">
        <w:rPr>
          <w:rFonts w:eastAsiaTheme="majorEastAsia"/>
        </w:rPr>
        <w:t>$45,000</w:t>
      </w:r>
      <w:r w:rsidRPr="00456281">
        <w:rPr>
          <w:rFonts w:eastAsiaTheme="majorEastAsia"/>
        </w:rPr>
        <w:t xml:space="preserve">/QALY. </w:t>
      </w:r>
      <w:r w:rsidR="00036C63" w:rsidRPr="00456281">
        <w:t>The pre-PBAC response applied the following:</w:t>
      </w:r>
      <w:r w:rsidR="00ED2275" w:rsidRPr="00456281">
        <w:t xml:space="preserve"> </w:t>
      </w:r>
      <w:r w:rsidR="00036C63" w:rsidRPr="00456281">
        <w:t>1) Switch from KM data to parametric extrapolation for OS when 10% of patients remain at-risk (as for submission base case)</w:t>
      </w:r>
      <w:r w:rsidR="00ED2275" w:rsidRPr="00456281">
        <w:t xml:space="preserve">; 2) </w:t>
      </w:r>
      <w:r w:rsidR="00036C63" w:rsidRPr="00456281">
        <w:t>Weibull parametric function used for OS extrapolation (as for submission base case)</w:t>
      </w:r>
      <w:r w:rsidR="00ED2275" w:rsidRPr="00456281">
        <w:t xml:space="preserve">; 3) </w:t>
      </w:r>
      <w:r w:rsidR="00036C63" w:rsidRPr="00456281">
        <w:t xml:space="preserve">Revised AE costs for mucosal inflammation as discussed </w:t>
      </w:r>
      <w:r w:rsidR="00ED2275" w:rsidRPr="00456281">
        <w:t xml:space="preserve">in paragraph </w:t>
      </w:r>
      <w:r w:rsidR="00ED2275" w:rsidRPr="00456281">
        <w:fldChar w:fldCharType="begin"/>
      </w:r>
      <w:r w:rsidR="00ED2275" w:rsidRPr="00456281">
        <w:instrText xml:space="preserve"> REF _Ref164237962 \r \h </w:instrText>
      </w:r>
      <w:r w:rsidR="00ED2275" w:rsidRPr="00456281">
        <w:fldChar w:fldCharType="separate"/>
      </w:r>
      <w:r w:rsidR="00EE5AD4">
        <w:t>6.87</w:t>
      </w:r>
      <w:r w:rsidR="00ED2275" w:rsidRPr="00456281">
        <w:fldChar w:fldCharType="end"/>
      </w:r>
      <w:r w:rsidR="00ED2275" w:rsidRPr="00456281">
        <w:t xml:space="preserve">; 4) </w:t>
      </w:r>
      <w:r w:rsidR="00036C63" w:rsidRPr="00456281">
        <w:t xml:space="preserve">FOLFIRINOX as the comparator in 10.9% of patients; </w:t>
      </w:r>
      <w:r w:rsidR="00ED2275" w:rsidRPr="00456281">
        <w:t>5)</w:t>
      </w:r>
      <w:r w:rsidR="001C2CAE">
        <w:t xml:space="preserve"> </w:t>
      </w:r>
      <w:r w:rsidR="00036C63" w:rsidRPr="00456281">
        <w:t>FOLFIRINOX has non-inferior efficacy compared to Gem+NabP (</w:t>
      </w:r>
      <w:r w:rsidR="00ED2275" w:rsidRPr="00456281">
        <w:t xml:space="preserve">as used in Alternative scenario 1 as shown in </w:t>
      </w:r>
      <w:r w:rsidR="00ED2275" w:rsidRPr="00456281">
        <w:fldChar w:fldCharType="begin"/>
      </w:r>
      <w:r w:rsidR="00ED2275" w:rsidRPr="00456281">
        <w:instrText xml:space="preserve"> REF _Ref104804865 \h </w:instrText>
      </w:r>
      <w:r w:rsidR="00ED2275" w:rsidRPr="00456281">
        <w:fldChar w:fldCharType="separate"/>
      </w:r>
      <w:r w:rsidR="00EE5AD4" w:rsidRPr="00456281">
        <w:t xml:space="preserve">Table </w:t>
      </w:r>
      <w:r w:rsidR="00EE5AD4">
        <w:rPr>
          <w:noProof/>
        </w:rPr>
        <w:t>17</w:t>
      </w:r>
      <w:r w:rsidR="00ED2275" w:rsidRPr="00456281">
        <w:fldChar w:fldCharType="end"/>
      </w:r>
      <w:r w:rsidR="00ED2275" w:rsidRPr="00456281">
        <w:t xml:space="preserve">); 6) </w:t>
      </w:r>
      <w:r w:rsidR="00036C63" w:rsidRPr="00456281">
        <w:t>Folinic acid (Leucovorin) applied at a flat dose of 50 mg instead of BSA-based dosing (400 mg/m2)</w:t>
      </w:r>
      <w:r w:rsidR="00ED2275" w:rsidRPr="00456281">
        <w:t xml:space="preserve"> based on EViQ advice</w:t>
      </w:r>
      <w:r w:rsidR="00036C63" w:rsidRPr="00456281">
        <w:t xml:space="preserve">. </w:t>
      </w:r>
    </w:p>
    <w:p w14:paraId="07819106" w14:textId="5937636F" w:rsidR="00036C63" w:rsidRPr="00456281" w:rsidRDefault="00CB539B" w:rsidP="00077F3B">
      <w:pPr>
        <w:pStyle w:val="3-BodyText"/>
      </w:pPr>
      <w:r w:rsidRPr="00456281">
        <w:t xml:space="preserve">The pre-PBAC response acknowledged that NALIRIFOX could substitute for FOLFIRINOX in some patients, however, the extent to which FOLFIRINOX is included in the economic analysis should be limited to the extent to which it is used in practice. </w:t>
      </w:r>
      <w:r w:rsidRPr="00456281">
        <w:lastRenderedPageBreak/>
        <w:t xml:space="preserve">The pre-PBAC response stated that FOLFIRINOX is used </w:t>
      </w:r>
      <w:r w:rsidRPr="009A3AE9">
        <w:t xml:space="preserve">in </w:t>
      </w:r>
      <w:r w:rsidRPr="00F41B81">
        <w:t>10.9%</w:t>
      </w:r>
      <w:r w:rsidRPr="009A3AE9">
        <w:t xml:space="preserve"> of patients in the first-line setting based on data from the PURPLE registry </w:t>
      </w:r>
      <w:r w:rsidRPr="00F41B81">
        <w:t>(Lee 2023).</w:t>
      </w:r>
      <w:r w:rsidRPr="009A3AE9">
        <w:t xml:space="preserve"> </w:t>
      </w:r>
    </w:p>
    <w:p w14:paraId="56BC2BEC" w14:textId="54D04D4D" w:rsidR="00E03C9A" w:rsidRPr="001C2CAE" w:rsidRDefault="00895E4C" w:rsidP="001C2CAE">
      <w:pPr>
        <w:pStyle w:val="3-BodyText"/>
      </w:pPr>
      <w:r w:rsidRPr="00456281">
        <w:t>The pre-PBAC response claimed that NALIRIFOX can be used first-line in elderly as well as younger patients with mPAC</w:t>
      </w:r>
      <w:r w:rsidR="009C3CBE" w:rsidRPr="00456281">
        <w:t xml:space="preserve">. </w:t>
      </w:r>
      <w:r w:rsidR="00CB539B" w:rsidRPr="00456281">
        <w:t xml:space="preserve">It was stated that NALIRIFOX is associated with a lower risk of Grade 3 or 4 neutropenia, leukopenia, anaemia and thrombocytopenia than Gem+NabP and FOLFIRINOX, and over 50% of patients recruited to the NAPOLI-3 trial were aged ≥ 65 years (up to 85 years). </w:t>
      </w:r>
      <w:r w:rsidR="00A90491" w:rsidRPr="00456281">
        <w:t xml:space="preserve">The PBAC did not agree with the claim in the pre-PBAC response that NALIRIFOX can be used first-line in </w:t>
      </w:r>
      <w:r w:rsidR="00FD3A23" w:rsidRPr="00456281">
        <w:t xml:space="preserve">a majority of </w:t>
      </w:r>
      <w:r w:rsidR="00A90491" w:rsidRPr="00456281">
        <w:t xml:space="preserve">elderly patients, because it considered that </w:t>
      </w:r>
      <w:r w:rsidR="00FD3A23" w:rsidRPr="00456281">
        <w:t xml:space="preserve">in many cases </w:t>
      </w:r>
      <w:r w:rsidR="00A90491" w:rsidRPr="00456281">
        <w:t>elderly or frail patients would not be suitable for treatment with NALIRIFOX due to its toxicity profile</w:t>
      </w:r>
      <w:r w:rsidR="009C3CBE" w:rsidRPr="00456281">
        <w:t xml:space="preserve">. </w:t>
      </w:r>
    </w:p>
    <w:p w14:paraId="5FBDC4F9" w14:textId="77777777" w:rsidR="00016609" w:rsidRPr="00456281" w:rsidRDefault="00016609" w:rsidP="00016609">
      <w:pPr>
        <w:pStyle w:val="4-SubsectionHeading"/>
      </w:pPr>
      <w:bookmarkStart w:id="141" w:name="_Toc157002555"/>
      <w:bookmarkEnd w:id="136"/>
      <w:r w:rsidRPr="00456281">
        <w:t>Drug cost/patient/</w:t>
      </w:r>
      <w:bookmarkEnd w:id="111"/>
      <w:bookmarkEnd w:id="112"/>
      <w:r w:rsidRPr="00456281">
        <w:t>course</w:t>
      </w:r>
      <w:bookmarkEnd w:id="141"/>
    </w:p>
    <w:p w14:paraId="0E3A68A4" w14:textId="6EAABEF0" w:rsidR="00016609" w:rsidRPr="00456281" w:rsidRDefault="00016609" w:rsidP="00016609">
      <w:pPr>
        <w:pStyle w:val="3-BodyText"/>
      </w:pPr>
      <w:bookmarkStart w:id="142" w:name="_Ref104805102"/>
      <w:r w:rsidRPr="00456281">
        <w:t xml:space="preserve">A summary of the drug cost per course is presented in </w:t>
      </w:r>
      <w:r w:rsidRPr="00456281">
        <w:fldChar w:fldCharType="begin"/>
      </w:r>
      <w:r w:rsidRPr="00456281">
        <w:instrText xml:space="preserve"> REF _Ref153456117 \h </w:instrText>
      </w:r>
      <w:r w:rsidR="00303C6E" w:rsidRPr="00456281">
        <w:instrText xml:space="preserve"> \* MERGEFORMAT </w:instrText>
      </w:r>
      <w:r w:rsidRPr="00456281">
        <w:fldChar w:fldCharType="separate"/>
      </w:r>
      <w:r w:rsidR="00EE5AD4" w:rsidRPr="00456281">
        <w:t xml:space="preserve">Table </w:t>
      </w:r>
      <w:r w:rsidR="00EE5AD4">
        <w:t>18</w:t>
      </w:r>
      <w:r w:rsidRPr="00456281">
        <w:fldChar w:fldCharType="end"/>
      </w:r>
      <w:r w:rsidRPr="00456281">
        <w:t>.</w:t>
      </w:r>
    </w:p>
    <w:p w14:paraId="71CD096E" w14:textId="6202B2C9" w:rsidR="00016609" w:rsidRPr="00456281" w:rsidRDefault="00016609" w:rsidP="001C2CAE">
      <w:pPr>
        <w:pStyle w:val="TableFigureHeading"/>
        <w:keepLines/>
        <w:rPr>
          <w:rStyle w:val="CommentReference"/>
          <w:b/>
          <w:szCs w:val="24"/>
        </w:rPr>
      </w:pPr>
      <w:bookmarkStart w:id="143" w:name="_Ref153456117"/>
      <w:r w:rsidRPr="00456281">
        <w:t xml:space="preserve">Table </w:t>
      </w:r>
      <w:r w:rsidR="00B75F7B">
        <w:fldChar w:fldCharType="begin"/>
      </w:r>
      <w:r w:rsidR="00B75F7B">
        <w:instrText xml:space="preserve"> SEQ Table \* ARABIC </w:instrText>
      </w:r>
      <w:r w:rsidR="00B75F7B">
        <w:fldChar w:fldCharType="separate"/>
      </w:r>
      <w:r w:rsidR="00EE5AD4">
        <w:rPr>
          <w:noProof/>
        </w:rPr>
        <w:t>18</w:t>
      </w:r>
      <w:r w:rsidR="00B75F7B">
        <w:fldChar w:fldCharType="end"/>
      </w:r>
      <w:bookmarkEnd w:id="143"/>
      <w:r w:rsidRPr="00456281">
        <w:t>:</w:t>
      </w:r>
      <w:r w:rsidRPr="00456281">
        <w:rPr>
          <w:rStyle w:val="CommentReference"/>
          <w:b/>
          <w:szCs w:val="24"/>
        </w:rPr>
        <w:t xml:space="preserve"> Drug cost per patient for proposed and comparator drugs</w:t>
      </w:r>
      <w:r w:rsidR="00254CD2" w:rsidRPr="00456281">
        <w:rPr>
          <w:rStyle w:val="CommentReference"/>
          <w:b/>
          <w:szCs w:val="24"/>
          <w:vertAlign w:val="superscript"/>
        </w:rPr>
        <w:t>a</w:t>
      </w:r>
      <w:r w:rsidR="00FD1EA9" w:rsidRPr="00456281">
        <w:rPr>
          <w:rStyle w:val="CommentReference"/>
          <w:b/>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8: Drug cost per patient for proposed and comparator drugsa "/>
      </w:tblPr>
      <w:tblGrid>
        <w:gridCol w:w="1036"/>
        <w:gridCol w:w="886"/>
        <w:gridCol w:w="886"/>
        <w:gridCol w:w="887"/>
        <w:gridCol w:w="885"/>
        <w:gridCol w:w="887"/>
        <w:gridCol w:w="889"/>
        <w:gridCol w:w="887"/>
        <w:gridCol w:w="887"/>
        <w:gridCol w:w="887"/>
      </w:tblGrid>
      <w:tr w:rsidR="00016609" w:rsidRPr="00456281" w14:paraId="661BE32F" w14:textId="77777777" w:rsidTr="00956744">
        <w:trPr>
          <w:cantSplit/>
          <w:tblHeader/>
          <w:jc w:val="center"/>
        </w:trPr>
        <w:tc>
          <w:tcPr>
            <w:tcW w:w="574" w:type="pct"/>
            <w:shd w:val="clear" w:color="auto" w:fill="auto"/>
            <w:vAlign w:val="center"/>
          </w:tcPr>
          <w:p w14:paraId="61EFC775" w14:textId="77777777" w:rsidR="00016609" w:rsidRPr="00456281" w:rsidRDefault="00016609" w:rsidP="001C2CAE">
            <w:pPr>
              <w:pStyle w:val="In-tableHeading"/>
              <w:keepLines/>
              <w:jc w:val="center"/>
              <w:rPr>
                <w:lang w:val="en-AU"/>
              </w:rPr>
            </w:pPr>
          </w:p>
        </w:tc>
        <w:tc>
          <w:tcPr>
            <w:tcW w:w="1474" w:type="pct"/>
            <w:gridSpan w:val="3"/>
            <w:shd w:val="clear" w:color="auto" w:fill="auto"/>
            <w:vAlign w:val="center"/>
          </w:tcPr>
          <w:p w14:paraId="46C3AF24" w14:textId="77777777" w:rsidR="00016609" w:rsidRPr="00456281" w:rsidRDefault="00016609" w:rsidP="001C2CAE">
            <w:pPr>
              <w:pStyle w:val="In-tableHeading"/>
              <w:keepLines/>
              <w:jc w:val="center"/>
              <w:rPr>
                <w:lang w:val="en-AU"/>
              </w:rPr>
            </w:pPr>
            <w:r w:rsidRPr="00456281">
              <w:rPr>
                <w:lang w:val="en-AU"/>
              </w:rPr>
              <w:t>NALIRIFOX</w:t>
            </w:r>
          </w:p>
        </w:tc>
        <w:tc>
          <w:tcPr>
            <w:tcW w:w="1476" w:type="pct"/>
            <w:gridSpan w:val="3"/>
            <w:shd w:val="clear" w:color="auto" w:fill="auto"/>
            <w:vAlign w:val="center"/>
          </w:tcPr>
          <w:p w14:paraId="5C22D789" w14:textId="77777777" w:rsidR="00016609" w:rsidRPr="00456281" w:rsidRDefault="00016609" w:rsidP="001C2CAE">
            <w:pPr>
              <w:pStyle w:val="In-tableHeading"/>
              <w:keepLines/>
              <w:jc w:val="center"/>
              <w:rPr>
                <w:lang w:val="en-AU"/>
              </w:rPr>
            </w:pPr>
            <w:r w:rsidRPr="00456281">
              <w:rPr>
                <w:lang w:val="en-AU"/>
              </w:rPr>
              <w:t>Gem+NabP</w:t>
            </w:r>
          </w:p>
        </w:tc>
        <w:tc>
          <w:tcPr>
            <w:tcW w:w="1476" w:type="pct"/>
            <w:gridSpan w:val="3"/>
            <w:vAlign w:val="center"/>
          </w:tcPr>
          <w:p w14:paraId="3FB38C58" w14:textId="77777777" w:rsidR="00016609" w:rsidRPr="00456281" w:rsidRDefault="00016609" w:rsidP="001C2CAE">
            <w:pPr>
              <w:pStyle w:val="In-tableHeading"/>
              <w:keepLines/>
              <w:jc w:val="center"/>
              <w:rPr>
                <w:lang w:val="en-AU"/>
              </w:rPr>
            </w:pPr>
            <w:r w:rsidRPr="00456281">
              <w:rPr>
                <w:lang w:val="en-AU"/>
              </w:rPr>
              <w:t>FOLFIRINOX</w:t>
            </w:r>
          </w:p>
        </w:tc>
      </w:tr>
      <w:tr w:rsidR="00016609" w:rsidRPr="00456281" w14:paraId="768576C4" w14:textId="77777777" w:rsidTr="00956744">
        <w:trPr>
          <w:cantSplit/>
          <w:tblHeader/>
          <w:jc w:val="center"/>
        </w:trPr>
        <w:tc>
          <w:tcPr>
            <w:tcW w:w="574" w:type="pct"/>
            <w:shd w:val="clear" w:color="auto" w:fill="auto"/>
            <w:vAlign w:val="center"/>
          </w:tcPr>
          <w:p w14:paraId="56E76C65" w14:textId="77777777" w:rsidR="00016609" w:rsidRPr="00456281" w:rsidRDefault="00016609" w:rsidP="001C2CAE">
            <w:pPr>
              <w:pStyle w:val="In-tableHeading"/>
              <w:keepLines/>
              <w:jc w:val="center"/>
              <w:rPr>
                <w:lang w:val="en-AU"/>
              </w:rPr>
            </w:pPr>
          </w:p>
        </w:tc>
        <w:tc>
          <w:tcPr>
            <w:tcW w:w="491" w:type="pct"/>
            <w:shd w:val="clear" w:color="auto" w:fill="auto"/>
            <w:vAlign w:val="center"/>
          </w:tcPr>
          <w:p w14:paraId="0736553B" w14:textId="77777777" w:rsidR="00016609" w:rsidRPr="00456281" w:rsidRDefault="00016609" w:rsidP="001C2CAE">
            <w:pPr>
              <w:pStyle w:val="In-tableHeading"/>
              <w:keepLines/>
              <w:jc w:val="center"/>
              <w:rPr>
                <w:lang w:val="en-AU"/>
              </w:rPr>
            </w:pPr>
            <w:r w:rsidRPr="00456281">
              <w:rPr>
                <w:lang w:val="en-AU"/>
              </w:rPr>
              <w:t>Trial</w:t>
            </w:r>
          </w:p>
          <w:p w14:paraId="4A70798C" w14:textId="77777777" w:rsidR="00016609" w:rsidRPr="00456281" w:rsidRDefault="00016609" w:rsidP="001C2CAE">
            <w:pPr>
              <w:pStyle w:val="In-tableHeading"/>
              <w:keepLines/>
              <w:jc w:val="center"/>
              <w:rPr>
                <w:lang w:val="en-AU"/>
              </w:rPr>
            </w:pPr>
            <w:r w:rsidRPr="00456281">
              <w:rPr>
                <w:lang w:val="en-AU"/>
              </w:rPr>
              <w:t xml:space="preserve">[NAPOLI] </w:t>
            </w:r>
          </w:p>
        </w:tc>
        <w:tc>
          <w:tcPr>
            <w:tcW w:w="491" w:type="pct"/>
            <w:shd w:val="clear" w:color="auto" w:fill="auto"/>
            <w:vAlign w:val="center"/>
          </w:tcPr>
          <w:p w14:paraId="57F3C3C7" w14:textId="77777777" w:rsidR="00016609" w:rsidRPr="00456281" w:rsidRDefault="00016609" w:rsidP="001C2CAE">
            <w:pPr>
              <w:pStyle w:val="In-tableHeading"/>
              <w:keepLines/>
              <w:jc w:val="center"/>
              <w:rPr>
                <w:lang w:val="en-AU"/>
              </w:rPr>
            </w:pPr>
            <w:r w:rsidRPr="00456281">
              <w:rPr>
                <w:lang w:val="en-AU"/>
              </w:rPr>
              <w:t>Model</w:t>
            </w:r>
          </w:p>
        </w:tc>
        <w:tc>
          <w:tcPr>
            <w:tcW w:w="492" w:type="pct"/>
            <w:shd w:val="clear" w:color="auto" w:fill="auto"/>
            <w:vAlign w:val="center"/>
          </w:tcPr>
          <w:p w14:paraId="3DAA93EB" w14:textId="77777777" w:rsidR="00016609" w:rsidRPr="00456281" w:rsidRDefault="00016609" w:rsidP="001C2CAE">
            <w:pPr>
              <w:pStyle w:val="In-tableHeading"/>
              <w:keepLines/>
              <w:jc w:val="center"/>
              <w:rPr>
                <w:lang w:val="en-AU"/>
              </w:rPr>
            </w:pPr>
            <w:r w:rsidRPr="00456281">
              <w:rPr>
                <w:lang w:val="en-AU"/>
              </w:rPr>
              <w:t>Financial estimates</w:t>
            </w:r>
          </w:p>
        </w:tc>
        <w:tc>
          <w:tcPr>
            <w:tcW w:w="491" w:type="pct"/>
            <w:shd w:val="clear" w:color="auto" w:fill="auto"/>
            <w:vAlign w:val="center"/>
          </w:tcPr>
          <w:p w14:paraId="53F9640E" w14:textId="77777777" w:rsidR="00016609" w:rsidRPr="00456281" w:rsidRDefault="00016609" w:rsidP="001C2CAE">
            <w:pPr>
              <w:pStyle w:val="In-tableHeading"/>
              <w:keepLines/>
              <w:jc w:val="center"/>
              <w:rPr>
                <w:lang w:val="en-AU"/>
              </w:rPr>
            </w:pPr>
            <w:r w:rsidRPr="00456281">
              <w:rPr>
                <w:lang w:val="en-AU"/>
              </w:rPr>
              <w:t xml:space="preserve">Trial </w:t>
            </w:r>
          </w:p>
          <w:p w14:paraId="21804414" w14:textId="77777777" w:rsidR="00016609" w:rsidRPr="00456281" w:rsidRDefault="00016609" w:rsidP="001C2CAE">
            <w:pPr>
              <w:pStyle w:val="In-tableHeading"/>
              <w:keepLines/>
              <w:jc w:val="center"/>
              <w:rPr>
                <w:lang w:val="en-AU"/>
              </w:rPr>
            </w:pPr>
            <w:r w:rsidRPr="00456281">
              <w:rPr>
                <w:lang w:val="en-AU"/>
              </w:rPr>
              <w:t>[NAPOLI]</w:t>
            </w:r>
          </w:p>
        </w:tc>
        <w:tc>
          <w:tcPr>
            <w:tcW w:w="492" w:type="pct"/>
            <w:shd w:val="clear" w:color="auto" w:fill="auto"/>
            <w:vAlign w:val="center"/>
          </w:tcPr>
          <w:p w14:paraId="50C088AF" w14:textId="77777777" w:rsidR="00016609" w:rsidRPr="00456281" w:rsidRDefault="00016609" w:rsidP="001C2CAE">
            <w:pPr>
              <w:pStyle w:val="In-tableHeading"/>
              <w:keepLines/>
              <w:jc w:val="center"/>
              <w:rPr>
                <w:lang w:val="en-AU"/>
              </w:rPr>
            </w:pPr>
            <w:r w:rsidRPr="00456281">
              <w:rPr>
                <w:lang w:val="en-AU"/>
              </w:rPr>
              <w:t>Model</w:t>
            </w:r>
          </w:p>
        </w:tc>
        <w:tc>
          <w:tcPr>
            <w:tcW w:w="493" w:type="pct"/>
            <w:vAlign w:val="center"/>
          </w:tcPr>
          <w:p w14:paraId="05487E1D" w14:textId="77777777" w:rsidR="00016609" w:rsidRPr="00456281" w:rsidRDefault="00016609" w:rsidP="001C2CAE">
            <w:pPr>
              <w:pStyle w:val="In-tableHeading"/>
              <w:keepLines/>
              <w:jc w:val="center"/>
              <w:rPr>
                <w:lang w:val="en-AU"/>
              </w:rPr>
            </w:pPr>
            <w:r w:rsidRPr="00456281">
              <w:rPr>
                <w:lang w:val="en-AU"/>
              </w:rPr>
              <w:t>Financial estimates</w:t>
            </w:r>
          </w:p>
        </w:tc>
        <w:tc>
          <w:tcPr>
            <w:tcW w:w="492" w:type="pct"/>
            <w:vAlign w:val="center"/>
          </w:tcPr>
          <w:p w14:paraId="491ADE86" w14:textId="77777777" w:rsidR="00016609" w:rsidRPr="00456281" w:rsidRDefault="00016609" w:rsidP="001C2CAE">
            <w:pPr>
              <w:pStyle w:val="In-tableHeading"/>
              <w:keepLines/>
              <w:jc w:val="center"/>
              <w:rPr>
                <w:lang w:val="en-AU"/>
              </w:rPr>
            </w:pPr>
            <w:r w:rsidRPr="00456281">
              <w:rPr>
                <w:lang w:val="en-AU"/>
              </w:rPr>
              <w:t xml:space="preserve">Trial </w:t>
            </w:r>
          </w:p>
          <w:p w14:paraId="26D7992B" w14:textId="77777777" w:rsidR="00016609" w:rsidRPr="00456281" w:rsidRDefault="00016609" w:rsidP="001C2CAE">
            <w:pPr>
              <w:pStyle w:val="In-tableHeading"/>
              <w:keepLines/>
              <w:jc w:val="center"/>
              <w:rPr>
                <w:lang w:val="en-AU"/>
              </w:rPr>
            </w:pPr>
            <w:r w:rsidRPr="00456281">
              <w:rPr>
                <w:lang w:val="en-AU"/>
              </w:rPr>
              <w:t>[Conroy]</w:t>
            </w:r>
          </w:p>
        </w:tc>
        <w:tc>
          <w:tcPr>
            <w:tcW w:w="492" w:type="pct"/>
            <w:vAlign w:val="center"/>
          </w:tcPr>
          <w:p w14:paraId="381BBBF9" w14:textId="77777777" w:rsidR="00016609" w:rsidRPr="00456281" w:rsidRDefault="00016609" w:rsidP="001C2CAE">
            <w:pPr>
              <w:pStyle w:val="In-tableHeading"/>
              <w:keepLines/>
              <w:jc w:val="center"/>
              <w:rPr>
                <w:lang w:val="en-AU"/>
              </w:rPr>
            </w:pPr>
            <w:r w:rsidRPr="00456281">
              <w:rPr>
                <w:lang w:val="en-AU"/>
              </w:rPr>
              <w:t>Model</w:t>
            </w:r>
          </w:p>
        </w:tc>
        <w:tc>
          <w:tcPr>
            <w:tcW w:w="492" w:type="pct"/>
            <w:vAlign w:val="center"/>
          </w:tcPr>
          <w:p w14:paraId="1B06FF86" w14:textId="77777777" w:rsidR="00016609" w:rsidRPr="00456281" w:rsidRDefault="00016609" w:rsidP="001C2CAE">
            <w:pPr>
              <w:pStyle w:val="In-tableHeading"/>
              <w:keepLines/>
              <w:jc w:val="center"/>
              <w:rPr>
                <w:lang w:val="en-AU"/>
              </w:rPr>
            </w:pPr>
            <w:r w:rsidRPr="00456281">
              <w:rPr>
                <w:lang w:val="en-AU"/>
              </w:rPr>
              <w:t>Financial estimates</w:t>
            </w:r>
          </w:p>
        </w:tc>
      </w:tr>
      <w:tr w:rsidR="00016609" w:rsidRPr="00456281" w14:paraId="5847FA4F" w14:textId="77777777" w:rsidTr="00956744">
        <w:trPr>
          <w:cantSplit/>
          <w:tblHeader/>
          <w:jc w:val="center"/>
        </w:trPr>
        <w:tc>
          <w:tcPr>
            <w:tcW w:w="574" w:type="pct"/>
            <w:shd w:val="clear" w:color="auto" w:fill="auto"/>
            <w:vAlign w:val="center"/>
          </w:tcPr>
          <w:p w14:paraId="792A3B28" w14:textId="77777777" w:rsidR="00016609" w:rsidRPr="00456281" w:rsidRDefault="00016609" w:rsidP="001C2CAE">
            <w:pPr>
              <w:pStyle w:val="In-tableHeading"/>
              <w:keepLines/>
              <w:rPr>
                <w:b w:val="0"/>
                <w:bCs/>
                <w:lang w:val="en-AU"/>
              </w:rPr>
            </w:pPr>
            <w:r w:rsidRPr="00456281">
              <w:rPr>
                <w:b w:val="0"/>
                <w:bCs/>
                <w:lang w:val="en-AU"/>
              </w:rPr>
              <w:t>Mean dose/vials (per cycle)</w:t>
            </w:r>
          </w:p>
        </w:tc>
        <w:tc>
          <w:tcPr>
            <w:tcW w:w="491" w:type="pct"/>
            <w:shd w:val="clear" w:color="auto" w:fill="auto"/>
            <w:vAlign w:val="center"/>
          </w:tcPr>
          <w:p w14:paraId="642C5468" w14:textId="72FED229" w:rsidR="00016609" w:rsidRPr="009A3AE9" w:rsidRDefault="00016609" w:rsidP="001C2CAE">
            <w:pPr>
              <w:pStyle w:val="In-tableHeading"/>
              <w:keepLines/>
              <w:jc w:val="center"/>
              <w:rPr>
                <w:b w:val="0"/>
                <w:bCs/>
                <w:lang w:val="en-AU"/>
              </w:rPr>
            </w:pPr>
            <w:r w:rsidRPr="009A3AE9">
              <w:rPr>
                <w:b w:val="0"/>
                <w:bCs/>
                <w:lang w:val="en-AU"/>
              </w:rPr>
              <w:t xml:space="preserve">nal-IRI: </w:t>
            </w:r>
            <w:r w:rsidRPr="00F41B81">
              <w:rPr>
                <w:b w:val="0"/>
                <w:bCs/>
                <w:lang w:val="en-AU"/>
              </w:rPr>
              <w:t>78 mg</w:t>
            </w:r>
            <w:r w:rsidR="00254CD2" w:rsidRPr="009C3CBE">
              <w:rPr>
                <w:b w:val="0"/>
                <w:bCs/>
                <w:vertAlign w:val="superscript"/>
                <w:lang w:val="en-AU"/>
              </w:rPr>
              <w:t>b</w:t>
            </w:r>
            <w:r w:rsidR="00254CD2" w:rsidRPr="009A3AE9">
              <w:rPr>
                <w:b w:val="0"/>
                <w:bCs/>
                <w:lang w:val="en-AU"/>
              </w:rPr>
              <w:t xml:space="preserve"> </w:t>
            </w:r>
          </w:p>
        </w:tc>
        <w:tc>
          <w:tcPr>
            <w:tcW w:w="491" w:type="pct"/>
            <w:shd w:val="clear" w:color="auto" w:fill="auto"/>
            <w:vAlign w:val="center"/>
          </w:tcPr>
          <w:p w14:paraId="13AF02C2" w14:textId="691D33DF" w:rsidR="00016609" w:rsidRPr="009A3AE9" w:rsidRDefault="00016609" w:rsidP="001C2CAE">
            <w:pPr>
              <w:pStyle w:val="In-tableHeading"/>
              <w:keepLines/>
              <w:jc w:val="center"/>
              <w:rPr>
                <w:b w:val="0"/>
                <w:bCs/>
                <w:lang w:val="en-AU"/>
              </w:rPr>
            </w:pPr>
            <w:r w:rsidRPr="009A3AE9">
              <w:rPr>
                <w:b w:val="0"/>
                <w:bCs/>
                <w:lang w:val="en-AU"/>
              </w:rPr>
              <w:t xml:space="preserve">nal-IRI: </w:t>
            </w:r>
            <w:r w:rsidRPr="00F41B81">
              <w:rPr>
                <w:b w:val="0"/>
                <w:bCs/>
                <w:lang w:val="en-AU"/>
              </w:rPr>
              <w:t>2.1 vials</w:t>
            </w:r>
            <w:r w:rsidR="00251F8B" w:rsidRPr="009C3CBE">
              <w:rPr>
                <w:b w:val="0"/>
                <w:bCs/>
                <w:vertAlign w:val="superscript"/>
                <w:lang w:val="en-AU"/>
              </w:rPr>
              <w:t>c</w:t>
            </w:r>
          </w:p>
        </w:tc>
        <w:tc>
          <w:tcPr>
            <w:tcW w:w="492" w:type="pct"/>
            <w:shd w:val="clear" w:color="auto" w:fill="auto"/>
            <w:vAlign w:val="center"/>
          </w:tcPr>
          <w:p w14:paraId="3C09924F" w14:textId="77777777" w:rsidR="00016609" w:rsidRPr="009A3AE9" w:rsidRDefault="00016609" w:rsidP="001C2CAE">
            <w:pPr>
              <w:pStyle w:val="In-tableHeading"/>
              <w:keepLines/>
              <w:jc w:val="center"/>
              <w:rPr>
                <w:b w:val="0"/>
                <w:bCs/>
                <w:lang w:val="en-AU"/>
              </w:rPr>
            </w:pPr>
            <w:r w:rsidRPr="009A3AE9">
              <w:rPr>
                <w:b w:val="0"/>
                <w:bCs/>
                <w:lang w:val="en-AU"/>
              </w:rPr>
              <w:t xml:space="preserve">nal-IRI: </w:t>
            </w:r>
            <w:r w:rsidRPr="00F41B81">
              <w:rPr>
                <w:b w:val="0"/>
                <w:bCs/>
                <w:lang w:val="en-AU"/>
              </w:rPr>
              <w:t>2.1 vials</w:t>
            </w:r>
          </w:p>
        </w:tc>
        <w:tc>
          <w:tcPr>
            <w:tcW w:w="491" w:type="pct"/>
            <w:shd w:val="clear" w:color="auto" w:fill="auto"/>
            <w:vAlign w:val="center"/>
          </w:tcPr>
          <w:p w14:paraId="563EC5A0" w14:textId="77777777" w:rsidR="00016609" w:rsidRPr="009A3AE9" w:rsidRDefault="00016609" w:rsidP="001C2CAE">
            <w:pPr>
              <w:pStyle w:val="In-tableHeading"/>
              <w:keepLines/>
              <w:jc w:val="center"/>
              <w:rPr>
                <w:b w:val="0"/>
                <w:bCs/>
                <w:lang w:val="en-AU"/>
              </w:rPr>
            </w:pPr>
            <w:r w:rsidRPr="009A3AE9">
              <w:rPr>
                <w:b w:val="0"/>
                <w:bCs/>
                <w:lang w:val="en-AU"/>
              </w:rPr>
              <w:t xml:space="preserve">Gem: 1611 mg </w:t>
            </w:r>
          </w:p>
          <w:p w14:paraId="41307EAA" w14:textId="34D172FE" w:rsidR="00016609" w:rsidRPr="009A3AE9" w:rsidRDefault="00016609" w:rsidP="001C2CAE">
            <w:pPr>
              <w:pStyle w:val="In-tableHeading"/>
              <w:keepLines/>
              <w:jc w:val="center"/>
              <w:rPr>
                <w:b w:val="0"/>
                <w:bCs/>
                <w:lang w:val="en-AU"/>
              </w:rPr>
            </w:pPr>
            <w:r w:rsidRPr="009A3AE9">
              <w:rPr>
                <w:b w:val="0"/>
                <w:bCs/>
                <w:lang w:val="en-AU"/>
              </w:rPr>
              <w:t xml:space="preserve">NabP: </w:t>
            </w:r>
            <w:r w:rsidRPr="00F41B81">
              <w:rPr>
                <w:b w:val="0"/>
                <w:bCs/>
                <w:lang w:val="en-AU"/>
              </w:rPr>
              <w:t>192 mg</w:t>
            </w:r>
            <w:r w:rsidR="00254CD2" w:rsidRPr="009C3CBE">
              <w:rPr>
                <w:b w:val="0"/>
                <w:bCs/>
                <w:vertAlign w:val="superscript"/>
                <w:lang w:val="en-AU"/>
              </w:rPr>
              <w:t>b</w:t>
            </w:r>
          </w:p>
        </w:tc>
        <w:tc>
          <w:tcPr>
            <w:tcW w:w="492" w:type="pct"/>
            <w:shd w:val="clear" w:color="auto" w:fill="auto"/>
            <w:vAlign w:val="center"/>
          </w:tcPr>
          <w:p w14:paraId="7C781D0A" w14:textId="77777777" w:rsidR="00016609" w:rsidRPr="009C3CBE" w:rsidRDefault="00016609" w:rsidP="001C2CAE">
            <w:pPr>
              <w:pStyle w:val="In-tableHeading"/>
              <w:keepLines/>
              <w:jc w:val="center"/>
              <w:rPr>
                <w:b w:val="0"/>
                <w:lang w:val="pt-PT"/>
              </w:rPr>
            </w:pPr>
            <w:r w:rsidRPr="009C3CBE">
              <w:rPr>
                <w:b w:val="0"/>
                <w:lang w:val="pt-PT"/>
              </w:rPr>
              <w:t>Gem: 0.1 vial (1000 mg); 0.9 vial (2000 mg)</w:t>
            </w:r>
          </w:p>
          <w:p w14:paraId="26FF0E4F" w14:textId="205BD835" w:rsidR="00016609" w:rsidRPr="009A3AE9" w:rsidRDefault="00016609" w:rsidP="001C2CAE">
            <w:pPr>
              <w:pStyle w:val="In-tableHeading"/>
              <w:keepLines/>
              <w:jc w:val="center"/>
              <w:rPr>
                <w:b w:val="0"/>
                <w:bCs/>
                <w:lang w:val="en-AU"/>
              </w:rPr>
            </w:pPr>
            <w:r w:rsidRPr="009A3AE9">
              <w:rPr>
                <w:b w:val="0"/>
                <w:bCs/>
                <w:lang w:val="en-AU"/>
              </w:rPr>
              <w:t xml:space="preserve">NabP: </w:t>
            </w:r>
            <w:r w:rsidRPr="00F41B81">
              <w:rPr>
                <w:b w:val="0"/>
                <w:bCs/>
                <w:lang w:val="en-AU"/>
              </w:rPr>
              <w:t>2.2 vial</w:t>
            </w:r>
            <w:r w:rsidR="00251F8B" w:rsidRPr="009C3CBE">
              <w:rPr>
                <w:b w:val="0"/>
                <w:bCs/>
                <w:vertAlign w:val="superscript"/>
                <w:lang w:val="en-AU"/>
              </w:rPr>
              <w:t>c</w:t>
            </w:r>
          </w:p>
        </w:tc>
        <w:tc>
          <w:tcPr>
            <w:tcW w:w="493" w:type="pct"/>
            <w:vAlign w:val="center"/>
          </w:tcPr>
          <w:p w14:paraId="21D4A1FA" w14:textId="77777777" w:rsidR="00016609" w:rsidRPr="009C3CBE" w:rsidRDefault="00016609" w:rsidP="001C2CAE">
            <w:pPr>
              <w:pStyle w:val="In-tableHeading"/>
              <w:keepLines/>
              <w:jc w:val="center"/>
              <w:rPr>
                <w:b w:val="0"/>
                <w:lang w:val="pt-PT"/>
              </w:rPr>
            </w:pPr>
            <w:r w:rsidRPr="009C3CBE">
              <w:rPr>
                <w:b w:val="0"/>
                <w:lang w:val="pt-PT"/>
              </w:rPr>
              <w:t>Gem: 0.1 vial (1000 mg); 0.9 vial (2000 mg)</w:t>
            </w:r>
          </w:p>
          <w:p w14:paraId="7556ACEA" w14:textId="77777777" w:rsidR="00016609" w:rsidRPr="009A3AE9" w:rsidRDefault="00016609" w:rsidP="001C2CAE">
            <w:pPr>
              <w:pStyle w:val="In-tableHeading"/>
              <w:keepLines/>
              <w:jc w:val="center"/>
              <w:rPr>
                <w:b w:val="0"/>
                <w:bCs/>
                <w:lang w:val="en-AU"/>
              </w:rPr>
            </w:pPr>
            <w:r w:rsidRPr="009A3AE9">
              <w:rPr>
                <w:b w:val="0"/>
                <w:bCs/>
                <w:lang w:val="en-AU"/>
              </w:rPr>
              <w:t xml:space="preserve">NabP: </w:t>
            </w:r>
            <w:r w:rsidRPr="00F41B81">
              <w:rPr>
                <w:b w:val="0"/>
                <w:bCs/>
                <w:lang w:val="en-AU"/>
              </w:rPr>
              <w:t>2.2 vial</w:t>
            </w:r>
          </w:p>
        </w:tc>
        <w:tc>
          <w:tcPr>
            <w:tcW w:w="492" w:type="pct"/>
            <w:vAlign w:val="center"/>
          </w:tcPr>
          <w:p w14:paraId="19347696" w14:textId="1E5014AF" w:rsidR="00016609" w:rsidRPr="00456281" w:rsidRDefault="00016609" w:rsidP="001C2CAE">
            <w:pPr>
              <w:pStyle w:val="In-tableHeading"/>
              <w:keepLines/>
              <w:jc w:val="center"/>
              <w:rPr>
                <w:b w:val="0"/>
                <w:bCs/>
                <w:lang w:val="en-AU"/>
              </w:rPr>
            </w:pPr>
            <w:r w:rsidRPr="00456281">
              <w:rPr>
                <w:b w:val="0"/>
                <w:bCs/>
                <w:lang w:val="en-AU"/>
              </w:rPr>
              <w:t>NR</w:t>
            </w:r>
            <w:r w:rsidR="00254CD2" w:rsidRPr="00456281">
              <w:rPr>
                <w:b w:val="0"/>
                <w:bCs/>
                <w:vertAlign w:val="superscript"/>
                <w:lang w:val="en-AU"/>
              </w:rPr>
              <w:t>f</w:t>
            </w:r>
            <w:r w:rsidR="00254CD2" w:rsidRPr="00456281">
              <w:rPr>
                <w:b w:val="0"/>
                <w:bCs/>
                <w:lang w:val="en-AU"/>
              </w:rPr>
              <w:t xml:space="preserve"> </w:t>
            </w:r>
          </w:p>
        </w:tc>
        <w:tc>
          <w:tcPr>
            <w:tcW w:w="492" w:type="pct"/>
            <w:vAlign w:val="center"/>
          </w:tcPr>
          <w:p w14:paraId="0CB6096C" w14:textId="01362DE8" w:rsidR="00016609" w:rsidRPr="00456281" w:rsidRDefault="00016609" w:rsidP="001C2CAE">
            <w:pPr>
              <w:pStyle w:val="In-tableHeading"/>
              <w:keepLines/>
              <w:jc w:val="center"/>
              <w:rPr>
                <w:b w:val="0"/>
                <w:bCs/>
                <w:lang w:val="en-AU"/>
              </w:rPr>
            </w:pPr>
            <w:r w:rsidRPr="00456281">
              <w:rPr>
                <w:b w:val="0"/>
                <w:lang w:val="en-AU"/>
              </w:rPr>
              <w:t>IRI: 0.4 vial (40 mg); 2.7 vials (100 mg)</w:t>
            </w:r>
            <w:r w:rsidR="00254CD2" w:rsidRPr="00456281">
              <w:rPr>
                <w:b w:val="0"/>
                <w:vertAlign w:val="superscript"/>
                <w:lang w:val="en-AU"/>
              </w:rPr>
              <w:t>g</w:t>
            </w:r>
            <w:r w:rsidR="00254CD2" w:rsidRPr="00456281">
              <w:rPr>
                <w:b w:val="0"/>
                <w:bCs/>
                <w:lang w:val="en-AU"/>
              </w:rPr>
              <w:t xml:space="preserve"> </w:t>
            </w:r>
          </w:p>
        </w:tc>
        <w:tc>
          <w:tcPr>
            <w:tcW w:w="492" w:type="pct"/>
            <w:vAlign w:val="center"/>
          </w:tcPr>
          <w:p w14:paraId="3E943F2A" w14:textId="168BD6D4" w:rsidR="00016609" w:rsidRPr="00456281" w:rsidRDefault="00016609" w:rsidP="001C2CAE">
            <w:pPr>
              <w:pStyle w:val="In-tableHeading"/>
              <w:keepLines/>
              <w:jc w:val="center"/>
              <w:rPr>
                <w:b w:val="0"/>
                <w:bCs/>
                <w:lang w:val="en-AU"/>
              </w:rPr>
            </w:pPr>
            <w:r w:rsidRPr="00456281">
              <w:rPr>
                <w:b w:val="0"/>
                <w:bCs/>
                <w:lang w:val="en-AU"/>
              </w:rPr>
              <w:t>IRI: 0.4 vial (40 mg); 2.7 vials (100 mg)</w:t>
            </w:r>
            <w:r w:rsidR="00254CD2" w:rsidRPr="00456281">
              <w:rPr>
                <w:b w:val="0"/>
                <w:bCs/>
                <w:vertAlign w:val="superscript"/>
                <w:lang w:val="en-AU"/>
              </w:rPr>
              <w:t>g</w:t>
            </w:r>
            <w:r w:rsidR="00254CD2" w:rsidRPr="00456281">
              <w:rPr>
                <w:b w:val="0"/>
                <w:bCs/>
                <w:lang w:val="en-AU"/>
              </w:rPr>
              <w:t xml:space="preserve"> </w:t>
            </w:r>
          </w:p>
        </w:tc>
      </w:tr>
      <w:tr w:rsidR="00016609" w:rsidRPr="00456281" w14:paraId="6064417A" w14:textId="77777777" w:rsidTr="00F16C78">
        <w:trPr>
          <w:cantSplit/>
          <w:jc w:val="center"/>
        </w:trPr>
        <w:tc>
          <w:tcPr>
            <w:tcW w:w="574" w:type="pct"/>
            <w:shd w:val="clear" w:color="auto" w:fill="auto"/>
            <w:vAlign w:val="center"/>
          </w:tcPr>
          <w:p w14:paraId="5C5A908C" w14:textId="77777777" w:rsidR="00016609" w:rsidRPr="00456281" w:rsidRDefault="00016609" w:rsidP="001C2CAE">
            <w:pPr>
              <w:pStyle w:val="TableText0"/>
              <w:keepLines/>
            </w:pPr>
            <w:r w:rsidRPr="00456281">
              <w:t>Mean number of cycles</w:t>
            </w:r>
          </w:p>
        </w:tc>
        <w:tc>
          <w:tcPr>
            <w:tcW w:w="491" w:type="pct"/>
            <w:tcBorders>
              <w:bottom w:val="single" w:sz="4" w:space="0" w:color="auto"/>
            </w:tcBorders>
            <w:shd w:val="clear" w:color="auto" w:fill="auto"/>
            <w:vAlign w:val="center"/>
          </w:tcPr>
          <w:p w14:paraId="196841A0" w14:textId="77777777" w:rsidR="00016609" w:rsidRPr="009A3AE9" w:rsidRDefault="00016609" w:rsidP="001C2CAE">
            <w:pPr>
              <w:pStyle w:val="TableText0"/>
              <w:keepLines/>
              <w:jc w:val="center"/>
              <w:rPr>
                <w:bCs w:val="0"/>
              </w:rPr>
            </w:pPr>
            <w:r w:rsidRPr="00F41B81">
              <w:rPr>
                <w:bCs w:val="0"/>
              </w:rPr>
              <w:t>6.5</w:t>
            </w:r>
          </w:p>
        </w:tc>
        <w:tc>
          <w:tcPr>
            <w:tcW w:w="491" w:type="pct"/>
            <w:tcBorders>
              <w:bottom w:val="single" w:sz="4" w:space="0" w:color="auto"/>
            </w:tcBorders>
            <w:shd w:val="clear" w:color="auto" w:fill="auto"/>
            <w:vAlign w:val="center"/>
          </w:tcPr>
          <w:p w14:paraId="4FAA46C7" w14:textId="77777777" w:rsidR="00016609" w:rsidRPr="009A3AE9" w:rsidRDefault="00016609" w:rsidP="001C2CAE">
            <w:pPr>
              <w:pStyle w:val="TableText0"/>
              <w:keepLines/>
              <w:jc w:val="center"/>
              <w:rPr>
                <w:bCs w:val="0"/>
              </w:rPr>
            </w:pPr>
            <w:r w:rsidRPr="00F41B81">
              <w:rPr>
                <w:bCs w:val="0"/>
              </w:rPr>
              <w:t>6.5</w:t>
            </w:r>
          </w:p>
        </w:tc>
        <w:tc>
          <w:tcPr>
            <w:tcW w:w="492" w:type="pct"/>
            <w:tcBorders>
              <w:bottom w:val="single" w:sz="4" w:space="0" w:color="auto"/>
            </w:tcBorders>
            <w:shd w:val="clear" w:color="auto" w:fill="auto"/>
            <w:vAlign w:val="center"/>
          </w:tcPr>
          <w:p w14:paraId="526A2E36" w14:textId="77777777" w:rsidR="00016609" w:rsidRPr="009A3AE9" w:rsidRDefault="00016609" w:rsidP="001C2CAE">
            <w:pPr>
              <w:pStyle w:val="TableText0"/>
              <w:keepLines/>
              <w:jc w:val="center"/>
              <w:rPr>
                <w:bCs w:val="0"/>
              </w:rPr>
            </w:pPr>
            <w:r w:rsidRPr="00F41B81">
              <w:rPr>
                <w:bCs w:val="0"/>
              </w:rPr>
              <w:t>6.5</w:t>
            </w:r>
          </w:p>
        </w:tc>
        <w:tc>
          <w:tcPr>
            <w:tcW w:w="491" w:type="pct"/>
            <w:tcBorders>
              <w:bottom w:val="single" w:sz="4" w:space="0" w:color="auto"/>
            </w:tcBorders>
            <w:shd w:val="clear" w:color="auto" w:fill="auto"/>
            <w:vAlign w:val="center"/>
          </w:tcPr>
          <w:p w14:paraId="4E7BB95D" w14:textId="77777777" w:rsidR="00016609" w:rsidRPr="009A3AE9" w:rsidRDefault="00016609" w:rsidP="001C2CAE">
            <w:pPr>
              <w:pStyle w:val="TableText0"/>
              <w:keepLines/>
              <w:jc w:val="center"/>
              <w:rPr>
                <w:bCs w:val="0"/>
              </w:rPr>
            </w:pPr>
            <w:r w:rsidRPr="00F41B81">
              <w:rPr>
                <w:bCs w:val="0"/>
              </w:rPr>
              <w:t>5.1</w:t>
            </w:r>
          </w:p>
        </w:tc>
        <w:tc>
          <w:tcPr>
            <w:tcW w:w="492" w:type="pct"/>
            <w:tcBorders>
              <w:bottom w:val="single" w:sz="4" w:space="0" w:color="auto"/>
            </w:tcBorders>
            <w:shd w:val="clear" w:color="auto" w:fill="auto"/>
            <w:vAlign w:val="center"/>
          </w:tcPr>
          <w:p w14:paraId="7B830643" w14:textId="77777777" w:rsidR="00016609" w:rsidRPr="009A3AE9" w:rsidRDefault="00016609" w:rsidP="001C2CAE">
            <w:pPr>
              <w:pStyle w:val="TableText0"/>
              <w:keepLines/>
              <w:jc w:val="center"/>
              <w:rPr>
                <w:bCs w:val="0"/>
              </w:rPr>
            </w:pPr>
            <w:r w:rsidRPr="00F41B81">
              <w:rPr>
                <w:bCs w:val="0"/>
              </w:rPr>
              <w:t>5.1</w:t>
            </w:r>
          </w:p>
        </w:tc>
        <w:tc>
          <w:tcPr>
            <w:tcW w:w="493" w:type="pct"/>
            <w:tcBorders>
              <w:bottom w:val="single" w:sz="4" w:space="0" w:color="auto"/>
            </w:tcBorders>
            <w:vAlign w:val="center"/>
          </w:tcPr>
          <w:p w14:paraId="6C94449A" w14:textId="77777777" w:rsidR="00016609" w:rsidRPr="009A3AE9" w:rsidRDefault="00016609" w:rsidP="001C2CAE">
            <w:pPr>
              <w:pStyle w:val="TableText0"/>
              <w:keepLines/>
              <w:jc w:val="center"/>
              <w:rPr>
                <w:bCs w:val="0"/>
              </w:rPr>
            </w:pPr>
            <w:r w:rsidRPr="00F41B81">
              <w:rPr>
                <w:bCs w:val="0"/>
              </w:rPr>
              <w:t>5.1</w:t>
            </w:r>
          </w:p>
        </w:tc>
        <w:tc>
          <w:tcPr>
            <w:tcW w:w="492" w:type="pct"/>
            <w:vAlign w:val="center"/>
          </w:tcPr>
          <w:p w14:paraId="0F18C95A" w14:textId="0DBD49AD" w:rsidR="00016609" w:rsidRPr="00456281" w:rsidRDefault="00016609" w:rsidP="001C2CAE">
            <w:pPr>
              <w:pStyle w:val="TableText0"/>
              <w:keepLines/>
              <w:jc w:val="center"/>
              <w:rPr>
                <w:bCs w:val="0"/>
                <w:vertAlign w:val="superscript"/>
              </w:rPr>
            </w:pPr>
            <w:r w:rsidRPr="00456281">
              <w:rPr>
                <w:bCs w:val="0"/>
              </w:rPr>
              <w:t>5</w:t>
            </w:r>
            <w:r w:rsidR="00254CD2" w:rsidRPr="00456281">
              <w:rPr>
                <w:bCs w:val="0"/>
                <w:vertAlign w:val="superscript"/>
              </w:rPr>
              <w:t>e</w:t>
            </w:r>
          </w:p>
        </w:tc>
        <w:tc>
          <w:tcPr>
            <w:tcW w:w="492" w:type="pct"/>
            <w:vAlign w:val="center"/>
          </w:tcPr>
          <w:p w14:paraId="44F1297B" w14:textId="31C03BD7" w:rsidR="00016609" w:rsidRPr="00456281" w:rsidRDefault="00016609" w:rsidP="001C2CAE">
            <w:pPr>
              <w:pStyle w:val="TableText0"/>
              <w:keepLines/>
              <w:jc w:val="center"/>
            </w:pPr>
            <w:r w:rsidRPr="00456281">
              <w:t>5</w:t>
            </w:r>
            <w:r w:rsidR="00254CD2" w:rsidRPr="00456281">
              <w:rPr>
                <w:vertAlign w:val="superscript"/>
              </w:rPr>
              <w:t>e</w:t>
            </w:r>
          </w:p>
        </w:tc>
        <w:tc>
          <w:tcPr>
            <w:tcW w:w="492" w:type="pct"/>
            <w:vAlign w:val="center"/>
          </w:tcPr>
          <w:p w14:paraId="72D13ED4" w14:textId="36C47BF6" w:rsidR="00016609" w:rsidRPr="00456281" w:rsidRDefault="00016609" w:rsidP="001C2CAE">
            <w:pPr>
              <w:pStyle w:val="TableText0"/>
              <w:keepLines/>
              <w:jc w:val="center"/>
              <w:rPr>
                <w:bCs w:val="0"/>
              </w:rPr>
            </w:pPr>
            <w:r w:rsidRPr="00456281">
              <w:rPr>
                <w:bCs w:val="0"/>
              </w:rPr>
              <w:t>5</w:t>
            </w:r>
            <w:r w:rsidR="00254CD2" w:rsidRPr="00456281">
              <w:rPr>
                <w:bCs w:val="0"/>
                <w:vertAlign w:val="superscript"/>
              </w:rPr>
              <w:t>e</w:t>
            </w:r>
          </w:p>
        </w:tc>
      </w:tr>
      <w:tr w:rsidR="001C2CAE" w:rsidRPr="00456281" w14:paraId="113A602B" w14:textId="77777777" w:rsidTr="001C2CAE">
        <w:trPr>
          <w:cantSplit/>
          <w:jc w:val="center"/>
        </w:trPr>
        <w:tc>
          <w:tcPr>
            <w:tcW w:w="574" w:type="pct"/>
            <w:shd w:val="clear" w:color="auto" w:fill="auto"/>
            <w:vAlign w:val="center"/>
          </w:tcPr>
          <w:p w14:paraId="0130C5E8" w14:textId="50CB0311" w:rsidR="001C2CAE" w:rsidRPr="009C3CBE" w:rsidRDefault="001C2CAE" w:rsidP="001C2CAE">
            <w:pPr>
              <w:pStyle w:val="TableText0"/>
              <w:keepLines/>
            </w:pPr>
            <w:r w:rsidRPr="00456281">
              <w:t>Cost/patient/cycle</w:t>
            </w:r>
            <w:r w:rsidRPr="00456281">
              <w:rPr>
                <w:vertAlign w:val="superscript"/>
              </w:rPr>
              <w:t>d</w:t>
            </w:r>
            <w:r>
              <w:rPr>
                <w:vertAlign w:val="superscript"/>
              </w:rPr>
              <w:t xml:space="preserve"> </w:t>
            </w:r>
            <w:r>
              <w:t>($)</w:t>
            </w:r>
          </w:p>
        </w:tc>
        <w:tc>
          <w:tcPr>
            <w:tcW w:w="491" w:type="pct"/>
            <w:shd w:val="clear" w:color="auto" w:fill="auto"/>
            <w:vAlign w:val="center"/>
          </w:tcPr>
          <w:p w14:paraId="47250DED" w14:textId="68B846BA" w:rsidR="001C2CAE" w:rsidRPr="009C3CBE" w:rsidRDefault="001C2CAE" w:rsidP="001C2CAE">
            <w:pPr>
              <w:pStyle w:val="TableText0"/>
              <w:keepLines/>
              <w:jc w:val="center"/>
              <w:rPr>
                <w:bCs w:val="0"/>
                <w:highlight w:val="lightGray"/>
              </w:rPr>
            </w:pPr>
            <w:r w:rsidRPr="00847BEF">
              <w:rPr>
                <w:color w:val="000000"/>
                <w:spacing w:val="214"/>
                <w:shd w:val="solid" w:color="000000" w:fill="000000"/>
                <w:lang w:eastAsia="en-US"/>
                <w14:textFill>
                  <w14:solidFill>
                    <w14:srgbClr w14:val="000000">
                      <w14:alpha w14:val="100000"/>
                    </w14:srgbClr>
                  </w14:solidFill>
                </w14:textFill>
              </w:rPr>
              <w:t>|</w:t>
            </w:r>
            <w:r w:rsidRPr="00847BEF">
              <w:rPr>
                <w:color w:val="000000"/>
                <w:spacing w:val="1"/>
                <w:shd w:val="solid" w:color="000000" w:fill="000000"/>
                <w:lang w:eastAsia="en-US"/>
                <w14:textFill>
                  <w14:solidFill>
                    <w14:srgbClr w14:val="000000">
                      <w14:alpha w14:val="100000"/>
                    </w14:srgbClr>
                  </w14:solidFill>
                </w14:textFill>
              </w:rPr>
              <w:t>|</w:t>
            </w:r>
          </w:p>
        </w:tc>
        <w:tc>
          <w:tcPr>
            <w:tcW w:w="491" w:type="pct"/>
            <w:shd w:val="clear" w:color="auto" w:fill="auto"/>
            <w:vAlign w:val="center"/>
          </w:tcPr>
          <w:p w14:paraId="73942339" w14:textId="007E4828" w:rsidR="001C2CAE" w:rsidRPr="009C3CBE" w:rsidRDefault="001C2CAE" w:rsidP="001C2CAE">
            <w:pPr>
              <w:pStyle w:val="TableText0"/>
              <w:keepLines/>
              <w:jc w:val="center"/>
              <w:rPr>
                <w:bCs w:val="0"/>
                <w:highlight w:val="lightGray"/>
              </w:rPr>
            </w:pPr>
            <w:r w:rsidRPr="00847BEF">
              <w:rPr>
                <w:color w:val="000000"/>
                <w:spacing w:val="214"/>
                <w:shd w:val="solid" w:color="000000" w:fill="000000"/>
                <w:lang w:eastAsia="en-US"/>
                <w14:textFill>
                  <w14:solidFill>
                    <w14:srgbClr w14:val="000000">
                      <w14:alpha w14:val="100000"/>
                    </w14:srgbClr>
                  </w14:solidFill>
                </w14:textFill>
              </w:rPr>
              <w:t>|</w:t>
            </w:r>
            <w:r w:rsidRPr="00847BEF">
              <w:rPr>
                <w:color w:val="000000"/>
                <w:spacing w:val="1"/>
                <w:shd w:val="solid" w:color="000000" w:fill="000000"/>
                <w:lang w:eastAsia="en-US"/>
                <w14:textFill>
                  <w14:solidFill>
                    <w14:srgbClr w14:val="000000">
                      <w14:alpha w14:val="100000"/>
                    </w14:srgbClr>
                  </w14:solidFill>
                </w14:textFill>
              </w:rPr>
              <w:t>|</w:t>
            </w:r>
          </w:p>
        </w:tc>
        <w:tc>
          <w:tcPr>
            <w:tcW w:w="492" w:type="pct"/>
            <w:shd w:val="clear" w:color="auto" w:fill="auto"/>
            <w:vAlign w:val="center"/>
          </w:tcPr>
          <w:p w14:paraId="15183D1E" w14:textId="07A2E04E" w:rsidR="001C2CAE" w:rsidRPr="009C3CBE" w:rsidRDefault="001C2CAE" w:rsidP="001C2CAE">
            <w:pPr>
              <w:pStyle w:val="TableText0"/>
              <w:keepLines/>
              <w:jc w:val="center"/>
              <w:rPr>
                <w:bCs w:val="0"/>
                <w:highlight w:val="lightGray"/>
              </w:rPr>
            </w:pPr>
            <w:r w:rsidRPr="00847BEF">
              <w:rPr>
                <w:color w:val="000000"/>
                <w:spacing w:val="214"/>
                <w:shd w:val="solid" w:color="000000" w:fill="000000"/>
                <w:lang w:eastAsia="en-US"/>
                <w14:textFill>
                  <w14:solidFill>
                    <w14:srgbClr w14:val="000000">
                      <w14:alpha w14:val="100000"/>
                    </w14:srgbClr>
                  </w14:solidFill>
                </w14:textFill>
              </w:rPr>
              <w:t>|</w:t>
            </w:r>
            <w:r w:rsidRPr="00847BEF">
              <w:rPr>
                <w:color w:val="000000"/>
                <w:spacing w:val="1"/>
                <w:shd w:val="solid" w:color="000000" w:fill="000000"/>
                <w:lang w:eastAsia="en-US"/>
                <w14:textFill>
                  <w14:solidFill>
                    <w14:srgbClr w14:val="000000">
                      <w14:alpha w14:val="100000"/>
                    </w14:srgbClr>
                  </w14:solidFill>
                </w14:textFill>
              </w:rPr>
              <w:t>|</w:t>
            </w:r>
          </w:p>
        </w:tc>
        <w:tc>
          <w:tcPr>
            <w:tcW w:w="491" w:type="pct"/>
            <w:shd w:val="clear" w:color="auto" w:fill="auto"/>
            <w:vAlign w:val="center"/>
          </w:tcPr>
          <w:p w14:paraId="5DED61AB" w14:textId="0E83C58A" w:rsidR="001C2CAE" w:rsidRPr="009C3CBE" w:rsidRDefault="001C2CAE" w:rsidP="001C2CAE">
            <w:pPr>
              <w:pStyle w:val="TableText0"/>
              <w:keepLines/>
              <w:jc w:val="center"/>
              <w:rPr>
                <w:bCs w:val="0"/>
                <w:highlight w:val="lightGray"/>
              </w:rPr>
            </w:pPr>
            <w:r w:rsidRPr="00847BEF">
              <w:rPr>
                <w:color w:val="000000"/>
                <w:spacing w:val="214"/>
                <w:shd w:val="solid" w:color="000000" w:fill="000000"/>
                <w:lang w:eastAsia="en-US"/>
                <w14:textFill>
                  <w14:solidFill>
                    <w14:srgbClr w14:val="000000">
                      <w14:alpha w14:val="100000"/>
                    </w14:srgbClr>
                  </w14:solidFill>
                </w14:textFill>
              </w:rPr>
              <w:t>|</w:t>
            </w:r>
            <w:r w:rsidRPr="00847BEF">
              <w:rPr>
                <w:color w:val="000000"/>
                <w:spacing w:val="1"/>
                <w:shd w:val="solid" w:color="000000" w:fill="000000"/>
                <w:lang w:eastAsia="en-US"/>
                <w14:textFill>
                  <w14:solidFill>
                    <w14:srgbClr w14:val="000000">
                      <w14:alpha w14:val="100000"/>
                    </w14:srgbClr>
                  </w14:solidFill>
                </w14:textFill>
              </w:rPr>
              <w:t>|</w:t>
            </w:r>
          </w:p>
        </w:tc>
        <w:tc>
          <w:tcPr>
            <w:tcW w:w="492" w:type="pct"/>
            <w:shd w:val="clear" w:color="auto" w:fill="auto"/>
            <w:vAlign w:val="center"/>
          </w:tcPr>
          <w:p w14:paraId="76C8B8AE" w14:textId="703DFCC2" w:rsidR="001C2CAE" w:rsidRPr="009C3CBE" w:rsidRDefault="001C2CAE" w:rsidP="001C2CAE">
            <w:pPr>
              <w:pStyle w:val="TableText0"/>
              <w:keepLines/>
              <w:jc w:val="center"/>
              <w:rPr>
                <w:bCs w:val="0"/>
                <w:highlight w:val="lightGray"/>
              </w:rPr>
            </w:pPr>
            <w:r w:rsidRPr="00847BEF">
              <w:rPr>
                <w:color w:val="000000"/>
                <w:spacing w:val="214"/>
                <w:shd w:val="solid" w:color="000000" w:fill="000000"/>
                <w:lang w:eastAsia="en-US"/>
                <w14:textFill>
                  <w14:solidFill>
                    <w14:srgbClr w14:val="000000">
                      <w14:alpha w14:val="100000"/>
                    </w14:srgbClr>
                  </w14:solidFill>
                </w14:textFill>
              </w:rPr>
              <w:t>|</w:t>
            </w:r>
            <w:r w:rsidRPr="00847BEF">
              <w:rPr>
                <w:color w:val="000000"/>
                <w:spacing w:val="1"/>
                <w:shd w:val="solid" w:color="000000" w:fill="000000"/>
                <w:lang w:eastAsia="en-US"/>
                <w14:textFill>
                  <w14:solidFill>
                    <w14:srgbClr w14:val="000000">
                      <w14:alpha w14:val="100000"/>
                    </w14:srgbClr>
                  </w14:solidFill>
                </w14:textFill>
              </w:rPr>
              <w:t>|</w:t>
            </w:r>
          </w:p>
        </w:tc>
        <w:tc>
          <w:tcPr>
            <w:tcW w:w="493" w:type="pct"/>
            <w:shd w:val="clear" w:color="auto" w:fill="auto"/>
            <w:vAlign w:val="center"/>
          </w:tcPr>
          <w:p w14:paraId="0D61EA11" w14:textId="15169AD3" w:rsidR="001C2CAE" w:rsidRPr="009C3CBE" w:rsidRDefault="001C2CAE" w:rsidP="001C2CAE">
            <w:pPr>
              <w:pStyle w:val="TableText0"/>
              <w:keepLines/>
              <w:jc w:val="center"/>
              <w:rPr>
                <w:bCs w:val="0"/>
                <w:highlight w:val="lightGray"/>
              </w:rPr>
            </w:pPr>
            <w:r w:rsidRPr="00847BEF">
              <w:rPr>
                <w:color w:val="000000"/>
                <w:spacing w:val="214"/>
                <w:shd w:val="solid" w:color="000000" w:fill="000000"/>
                <w:lang w:eastAsia="en-US"/>
                <w14:textFill>
                  <w14:solidFill>
                    <w14:srgbClr w14:val="000000">
                      <w14:alpha w14:val="100000"/>
                    </w14:srgbClr>
                  </w14:solidFill>
                </w14:textFill>
              </w:rPr>
              <w:t>|</w:t>
            </w:r>
            <w:r w:rsidRPr="00847BEF">
              <w:rPr>
                <w:color w:val="000000"/>
                <w:spacing w:val="1"/>
                <w:shd w:val="solid" w:color="000000" w:fill="000000"/>
                <w:lang w:eastAsia="en-US"/>
                <w14:textFill>
                  <w14:solidFill>
                    <w14:srgbClr w14:val="000000">
                      <w14:alpha w14:val="100000"/>
                    </w14:srgbClr>
                  </w14:solidFill>
                </w14:textFill>
              </w:rPr>
              <w:t>|</w:t>
            </w:r>
          </w:p>
        </w:tc>
        <w:tc>
          <w:tcPr>
            <w:tcW w:w="492" w:type="pct"/>
            <w:vAlign w:val="center"/>
          </w:tcPr>
          <w:p w14:paraId="005D5596" w14:textId="57C35700" w:rsidR="001C2CAE" w:rsidRPr="00456281" w:rsidRDefault="001C2CAE" w:rsidP="001C2CAE">
            <w:pPr>
              <w:pStyle w:val="TableText0"/>
              <w:keepLines/>
              <w:jc w:val="center"/>
              <w:rPr>
                <w:bCs w:val="0"/>
                <w:vertAlign w:val="superscript"/>
              </w:rPr>
            </w:pPr>
            <w:r w:rsidRPr="00F16C78">
              <w:rPr>
                <w:color w:val="000000"/>
                <w:spacing w:val="51"/>
                <w:shd w:val="solid" w:color="000000" w:fill="000000"/>
                <w:fitText w:val="326" w:id="-961860602"/>
                <w:lang w:eastAsia="en-US"/>
                <w14:textFill>
                  <w14:solidFill>
                    <w14:srgbClr w14:val="000000">
                      <w14:alpha w14:val="100000"/>
                    </w14:srgbClr>
                  </w14:solidFill>
                </w14:textFill>
              </w:rPr>
              <w:t>|||</w:t>
            </w:r>
            <w:r w:rsidRPr="00F16C78">
              <w:rPr>
                <w:color w:val="000000"/>
                <w:spacing w:val="3"/>
                <w:shd w:val="solid" w:color="000000" w:fill="000000"/>
                <w:fitText w:val="326" w:id="-961860602"/>
                <w:lang w:eastAsia="en-US"/>
                <w14:textFill>
                  <w14:solidFill>
                    <w14:srgbClr w14:val="000000">
                      <w14:alpha w14:val="100000"/>
                    </w14:srgbClr>
                  </w14:solidFill>
                </w14:textFill>
              </w:rPr>
              <w:t>|</w:t>
            </w:r>
            <w:r w:rsidRPr="00456281">
              <w:rPr>
                <w:vertAlign w:val="superscript"/>
                <w:lang w:eastAsia="en-US"/>
              </w:rPr>
              <w:t>h</w:t>
            </w:r>
          </w:p>
        </w:tc>
        <w:tc>
          <w:tcPr>
            <w:tcW w:w="492" w:type="pct"/>
            <w:vAlign w:val="center"/>
          </w:tcPr>
          <w:p w14:paraId="17A912F1" w14:textId="61985DFF" w:rsidR="001C2CAE" w:rsidRPr="009C3CBE" w:rsidRDefault="001C2CAE" w:rsidP="001C2CAE">
            <w:pPr>
              <w:pStyle w:val="TableText0"/>
              <w:keepLines/>
              <w:jc w:val="center"/>
              <w:rPr>
                <w:bCs w:val="0"/>
                <w:highlight w:val="lightGray"/>
              </w:rPr>
            </w:pPr>
            <w:r w:rsidRPr="00F16C78">
              <w:rPr>
                <w:color w:val="000000"/>
                <w:spacing w:val="214"/>
                <w:shd w:val="solid" w:color="000000" w:fill="000000"/>
                <w:fitText w:val="300" w:id="-961860601"/>
                <w:lang w:eastAsia="en-US"/>
                <w14:textFill>
                  <w14:solidFill>
                    <w14:srgbClr w14:val="000000">
                      <w14:alpha w14:val="100000"/>
                    </w14:srgbClr>
                  </w14:solidFill>
                </w14:textFill>
              </w:rPr>
              <w:t>|</w:t>
            </w:r>
            <w:r w:rsidRPr="00F16C78">
              <w:rPr>
                <w:color w:val="000000"/>
                <w:spacing w:val="1"/>
                <w:shd w:val="solid" w:color="000000" w:fill="000000"/>
                <w:fitText w:val="300" w:id="-961860601"/>
                <w:lang w:eastAsia="en-US"/>
                <w14:textFill>
                  <w14:solidFill>
                    <w14:srgbClr w14:val="000000">
                      <w14:alpha w14:val="100000"/>
                    </w14:srgbClr>
                  </w14:solidFill>
                </w14:textFill>
              </w:rPr>
              <w:t>|</w:t>
            </w:r>
            <w:r w:rsidRPr="00F16C78">
              <w:rPr>
                <w:lang w:eastAsia="en-US"/>
              </w:rPr>
              <w:t xml:space="preserve"> </w:t>
            </w:r>
          </w:p>
        </w:tc>
        <w:tc>
          <w:tcPr>
            <w:tcW w:w="492" w:type="pct"/>
            <w:vAlign w:val="center"/>
          </w:tcPr>
          <w:p w14:paraId="4C486AEA" w14:textId="70191084" w:rsidR="001C2CAE" w:rsidRPr="009C3CBE" w:rsidRDefault="001C2CAE" w:rsidP="001C2CAE">
            <w:pPr>
              <w:pStyle w:val="TableText0"/>
              <w:keepLines/>
              <w:jc w:val="center"/>
              <w:rPr>
                <w:bCs w:val="0"/>
                <w:highlight w:val="lightGray"/>
              </w:rPr>
            </w:pPr>
            <w:r w:rsidRPr="00F16C78">
              <w:rPr>
                <w:color w:val="000000"/>
                <w:spacing w:val="214"/>
                <w:shd w:val="solid" w:color="000000" w:fill="000000"/>
                <w:fitText w:val="300" w:id="-961860600"/>
                <w:lang w:eastAsia="en-US"/>
                <w14:textFill>
                  <w14:solidFill>
                    <w14:srgbClr w14:val="000000">
                      <w14:alpha w14:val="100000"/>
                    </w14:srgbClr>
                  </w14:solidFill>
                </w14:textFill>
              </w:rPr>
              <w:t>|</w:t>
            </w:r>
            <w:r w:rsidRPr="00F16C78">
              <w:rPr>
                <w:color w:val="000000"/>
                <w:spacing w:val="1"/>
                <w:shd w:val="solid" w:color="000000" w:fill="000000"/>
                <w:fitText w:val="300" w:id="-961860600"/>
                <w:lang w:eastAsia="en-US"/>
                <w14:textFill>
                  <w14:solidFill>
                    <w14:srgbClr w14:val="000000">
                      <w14:alpha w14:val="100000"/>
                    </w14:srgbClr>
                  </w14:solidFill>
                </w14:textFill>
              </w:rPr>
              <w:t>|</w:t>
            </w:r>
            <w:r w:rsidRPr="00F16C78">
              <w:rPr>
                <w:lang w:eastAsia="en-US"/>
              </w:rPr>
              <w:t xml:space="preserve"> </w:t>
            </w:r>
          </w:p>
        </w:tc>
      </w:tr>
      <w:tr w:rsidR="00016609" w:rsidRPr="00456281" w14:paraId="08A7FE5D" w14:textId="77777777" w:rsidTr="00956744">
        <w:trPr>
          <w:cantSplit/>
          <w:jc w:val="center"/>
        </w:trPr>
        <w:tc>
          <w:tcPr>
            <w:tcW w:w="574" w:type="pct"/>
            <w:shd w:val="clear" w:color="auto" w:fill="auto"/>
            <w:vAlign w:val="center"/>
          </w:tcPr>
          <w:p w14:paraId="0788106A" w14:textId="6F73CC57" w:rsidR="00016609" w:rsidRPr="004F343F" w:rsidRDefault="00016609" w:rsidP="001C2CAE">
            <w:pPr>
              <w:pStyle w:val="TableText0"/>
              <w:keepLines/>
            </w:pPr>
            <w:r w:rsidRPr="00456281">
              <w:t>Cost/patient/ course</w:t>
            </w:r>
            <w:r w:rsidR="00254CD2" w:rsidRPr="00456281">
              <w:rPr>
                <w:vertAlign w:val="superscript"/>
              </w:rPr>
              <w:t>d</w:t>
            </w:r>
            <w:r w:rsidR="004F343F">
              <w:rPr>
                <w:vertAlign w:val="superscript"/>
              </w:rPr>
              <w:t xml:space="preserve"> </w:t>
            </w:r>
            <w:r w:rsidR="004F343F">
              <w:t>($)</w:t>
            </w:r>
          </w:p>
        </w:tc>
        <w:tc>
          <w:tcPr>
            <w:tcW w:w="491" w:type="pct"/>
            <w:shd w:val="clear" w:color="auto" w:fill="auto"/>
            <w:vAlign w:val="center"/>
          </w:tcPr>
          <w:p w14:paraId="09EA6E3B" w14:textId="761E831B" w:rsidR="00016609" w:rsidRPr="009C3CBE" w:rsidRDefault="00F16C78" w:rsidP="001C2CAE">
            <w:pPr>
              <w:pStyle w:val="TableText0"/>
              <w:keepLines/>
              <w:jc w:val="center"/>
              <w:rPr>
                <w:bCs w:val="0"/>
                <w:highlight w:val="lightGray"/>
              </w:rPr>
            </w:pPr>
            <w:r w:rsidRPr="00F16C78">
              <w:rPr>
                <w:color w:val="000000"/>
                <w:spacing w:val="214"/>
                <w:shd w:val="solid" w:color="000000" w:fill="000000"/>
                <w:fitText w:val="300" w:id="-961860599"/>
                <w14:textFill>
                  <w14:solidFill>
                    <w14:srgbClr w14:val="000000">
                      <w14:alpha w14:val="100000"/>
                    </w14:srgbClr>
                  </w14:solidFill>
                </w14:textFill>
              </w:rPr>
              <w:t>|</w:t>
            </w:r>
            <w:r w:rsidRPr="00F16C78">
              <w:rPr>
                <w:color w:val="000000"/>
                <w:spacing w:val="1"/>
                <w:shd w:val="solid" w:color="000000" w:fill="000000"/>
                <w:fitText w:val="300" w:id="-961860599"/>
                <w14:textFill>
                  <w14:solidFill>
                    <w14:srgbClr w14:val="000000">
                      <w14:alpha w14:val="100000"/>
                    </w14:srgbClr>
                  </w14:solidFill>
                </w14:textFill>
              </w:rPr>
              <w:t>|</w:t>
            </w:r>
            <w:r w:rsidRPr="00F16C78">
              <w:t xml:space="preserve"> </w:t>
            </w:r>
          </w:p>
        </w:tc>
        <w:tc>
          <w:tcPr>
            <w:tcW w:w="491" w:type="pct"/>
            <w:shd w:val="clear" w:color="auto" w:fill="auto"/>
            <w:vAlign w:val="center"/>
          </w:tcPr>
          <w:p w14:paraId="019377FF" w14:textId="50560374" w:rsidR="00016609" w:rsidRPr="009C3CBE" w:rsidRDefault="00F16C78" w:rsidP="001C2CAE">
            <w:pPr>
              <w:pStyle w:val="TableText0"/>
              <w:keepLines/>
              <w:jc w:val="center"/>
              <w:rPr>
                <w:bCs w:val="0"/>
                <w:highlight w:val="lightGray"/>
              </w:rPr>
            </w:pPr>
            <w:r w:rsidRPr="00F16C78">
              <w:rPr>
                <w:color w:val="000000"/>
                <w:spacing w:val="214"/>
                <w:shd w:val="solid" w:color="000000" w:fill="000000"/>
                <w:fitText w:val="300" w:id="-961860598"/>
                <w14:textFill>
                  <w14:solidFill>
                    <w14:srgbClr w14:val="000000">
                      <w14:alpha w14:val="100000"/>
                    </w14:srgbClr>
                  </w14:solidFill>
                </w14:textFill>
              </w:rPr>
              <w:t>|</w:t>
            </w:r>
            <w:r w:rsidRPr="00F16C78">
              <w:rPr>
                <w:color w:val="000000"/>
                <w:spacing w:val="1"/>
                <w:shd w:val="solid" w:color="000000" w:fill="000000"/>
                <w:fitText w:val="300" w:id="-961860598"/>
                <w14:textFill>
                  <w14:solidFill>
                    <w14:srgbClr w14:val="000000">
                      <w14:alpha w14:val="100000"/>
                    </w14:srgbClr>
                  </w14:solidFill>
                </w14:textFill>
              </w:rPr>
              <w:t>|</w:t>
            </w:r>
            <w:r w:rsidRPr="00F16C78">
              <w:t xml:space="preserve"> </w:t>
            </w:r>
          </w:p>
        </w:tc>
        <w:tc>
          <w:tcPr>
            <w:tcW w:w="492" w:type="pct"/>
            <w:shd w:val="clear" w:color="auto" w:fill="auto"/>
            <w:vAlign w:val="center"/>
          </w:tcPr>
          <w:p w14:paraId="116F2BB6" w14:textId="796623EB" w:rsidR="00016609" w:rsidRPr="009C3CBE" w:rsidRDefault="00F16C78" w:rsidP="001C2CAE">
            <w:pPr>
              <w:pStyle w:val="TableText0"/>
              <w:keepLines/>
              <w:jc w:val="center"/>
              <w:rPr>
                <w:bCs w:val="0"/>
                <w:highlight w:val="lightGray"/>
              </w:rPr>
            </w:pPr>
            <w:r w:rsidRPr="00F16C78">
              <w:rPr>
                <w:color w:val="000000"/>
                <w:spacing w:val="214"/>
                <w:shd w:val="solid" w:color="000000" w:fill="000000"/>
                <w:fitText w:val="300" w:id="-961860597"/>
                <w14:textFill>
                  <w14:solidFill>
                    <w14:srgbClr w14:val="000000">
                      <w14:alpha w14:val="100000"/>
                    </w14:srgbClr>
                  </w14:solidFill>
                </w14:textFill>
              </w:rPr>
              <w:t>|</w:t>
            </w:r>
            <w:r w:rsidRPr="00F16C78">
              <w:rPr>
                <w:color w:val="000000"/>
                <w:spacing w:val="1"/>
                <w:shd w:val="solid" w:color="000000" w:fill="000000"/>
                <w:fitText w:val="300" w:id="-961860597"/>
                <w14:textFill>
                  <w14:solidFill>
                    <w14:srgbClr w14:val="000000">
                      <w14:alpha w14:val="100000"/>
                    </w14:srgbClr>
                  </w14:solidFill>
                </w14:textFill>
              </w:rPr>
              <w:t>|</w:t>
            </w:r>
            <w:r w:rsidRPr="00F16C78">
              <w:t xml:space="preserve"> </w:t>
            </w:r>
          </w:p>
        </w:tc>
        <w:tc>
          <w:tcPr>
            <w:tcW w:w="491" w:type="pct"/>
            <w:shd w:val="clear" w:color="auto" w:fill="auto"/>
            <w:vAlign w:val="center"/>
          </w:tcPr>
          <w:p w14:paraId="70EC8FD3" w14:textId="377A4FE9" w:rsidR="00016609" w:rsidRPr="009C3CBE" w:rsidRDefault="00F16C78" w:rsidP="001C2CAE">
            <w:pPr>
              <w:pStyle w:val="TableText0"/>
              <w:keepLines/>
              <w:jc w:val="center"/>
              <w:rPr>
                <w:bCs w:val="0"/>
                <w:highlight w:val="lightGray"/>
              </w:rPr>
            </w:pPr>
            <w:r w:rsidRPr="00F16C78">
              <w:rPr>
                <w:color w:val="000000"/>
                <w:spacing w:val="214"/>
                <w:shd w:val="solid" w:color="000000" w:fill="000000"/>
                <w:fitText w:val="300" w:id="-961860596"/>
                <w14:textFill>
                  <w14:solidFill>
                    <w14:srgbClr w14:val="000000">
                      <w14:alpha w14:val="100000"/>
                    </w14:srgbClr>
                  </w14:solidFill>
                </w14:textFill>
              </w:rPr>
              <w:t>|</w:t>
            </w:r>
            <w:r w:rsidRPr="00F16C78">
              <w:rPr>
                <w:color w:val="000000"/>
                <w:spacing w:val="1"/>
                <w:shd w:val="solid" w:color="000000" w:fill="000000"/>
                <w:fitText w:val="300" w:id="-961860596"/>
                <w14:textFill>
                  <w14:solidFill>
                    <w14:srgbClr w14:val="000000">
                      <w14:alpha w14:val="100000"/>
                    </w14:srgbClr>
                  </w14:solidFill>
                </w14:textFill>
              </w:rPr>
              <w:t>|</w:t>
            </w:r>
            <w:r w:rsidRPr="00F16C78">
              <w:t xml:space="preserve"> </w:t>
            </w:r>
          </w:p>
        </w:tc>
        <w:tc>
          <w:tcPr>
            <w:tcW w:w="492" w:type="pct"/>
            <w:shd w:val="clear" w:color="auto" w:fill="auto"/>
            <w:vAlign w:val="center"/>
          </w:tcPr>
          <w:p w14:paraId="3E568B86" w14:textId="4A883479" w:rsidR="00016609" w:rsidRPr="009C3CBE" w:rsidRDefault="00F16C78" w:rsidP="001C2CAE">
            <w:pPr>
              <w:pStyle w:val="TableText0"/>
              <w:keepLines/>
              <w:jc w:val="center"/>
              <w:rPr>
                <w:bCs w:val="0"/>
                <w:highlight w:val="lightGray"/>
              </w:rPr>
            </w:pPr>
            <w:r w:rsidRPr="00F16C78">
              <w:rPr>
                <w:color w:val="000000"/>
                <w:spacing w:val="43"/>
                <w:shd w:val="solid" w:color="000000" w:fill="000000"/>
                <w:fitText w:val="301" w:id="-961860595"/>
                <w14:textFill>
                  <w14:solidFill>
                    <w14:srgbClr w14:val="000000">
                      <w14:alpha w14:val="100000"/>
                    </w14:srgbClr>
                  </w14:solidFill>
                </w14:textFill>
              </w:rPr>
              <w:t>|||</w:t>
            </w:r>
            <w:r w:rsidRPr="00F16C78">
              <w:rPr>
                <w:color w:val="000000"/>
                <w:spacing w:val="2"/>
                <w:shd w:val="solid" w:color="000000" w:fill="000000"/>
                <w:fitText w:val="301" w:id="-961860595"/>
                <w14:textFill>
                  <w14:solidFill>
                    <w14:srgbClr w14:val="000000">
                      <w14:alpha w14:val="100000"/>
                    </w14:srgbClr>
                  </w14:solidFill>
                </w14:textFill>
              </w:rPr>
              <w:t>|</w:t>
            </w:r>
            <w:r w:rsidRPr="00F16C78">
              <w:t xml:space="preserve"> </w:t>
            </w:r>
          </w:p>
        </w:tc>
        <w:tc>
          <w:tcPr>
            <w:tcW w:w="493" w:type="pct"/>
            <w:vAlign w:val="center"/>
          </w:tcPr>
          <w:p w14:paraId="19336B46" w14:textId="13306A27" w:rsidR="00016609" w:rsidRPr="009C3CBE" w:rsidRDefault="00F16C78" w:rsidP="001C2CAE">
            <w:pPr>
              <w:pStyle w:val="TableText0"/>
              <w:keepLines/>
              <w:jc w:val="center"/>
              <w:rPr>
                <w:bCs w:val="0"/>
                <w:highlight w:val="lightGray"/>
              </w:rPr>
            </w:pPr>
            <w:r w:rsidRPr="00F16C78">
              <w:rPr>
                <w:color w:val="000000"/>
                <w:spacing w:val="43"/>
                <w:shd w:val="solid" w:color="000000" w:fill="000000"/>
                <w:fitText w:val="301" w:id="-961860594"/>
                <w14:textFill>
                  <w14:solidFill>
                    <w14:srgbClr w14:val="000000">
                      <w14:alpha w14:val="100000"/>
                    </w14:srgbClr>
                  </w14:solidFill>
                </w14:textFill>
              </w:rPr>
              <w:t>|||</w:t>
            </w:r>
            <w:r w:rsidRPr="00F16C78">
              <w:rPr>
                <w:color w:val="000000"/>
                <w:spacing w:val="2"/>
                <w:shd w:val="solid" w:color="000000" w:fill="000000"/>
                <w:fitText w:val="301" w:id="-961860594"/>
                <w14:textFill>
                  <w14:solidFill>
                    <w14:srgbClr w14:val="000000">
                      <w14:alpha w14:val="100000"/>
                    </w14:srgbClr>
                  </w14:solidFill>
                </w14:textFill>
              </w:rPr>
              <w:t>|</w:t>
            </w:r>
            <w:r w:rsidRPr="00F16C78">
              <w:t xml:space="preserve"> </w:t>
            </w:r>
          </w:p>
        </w:tc>
        <w:tc>
          <w:tcPr>
            <w:tcW w:w="492" w:type="pct"/>
            <w:vAlign w:val="center"/>
          </w:tcPr>
          <w:p w14:paraId="64A71CDE" w14:textId="70AF3152" w:rsidR="00016609" w:rsidRPr="00456281" w:rsidRDefault="00F16C78" w:rsidP="001C2CAE">
            <w:pPr>
              <w:pStyle w:val="TableText0"/>
              <w:keepLines/>
              <w:jc w:val="center"/>
              <w:rPr>
                <w:bCs w:val="0"/>
              </w:rPr>
            </w:pPr>
            <w:r w:rsidRPr="00F16C78">
              <w:rPr>
                <w:color w:val="000000"/>
                <w:spacing w:val="214"/>
                <w:shd w:val="solid" w:color="000000" w:fill="000000"/>
                <w:fitText w:val="300" w:id="-961860593"/>
                <w14:textFill>
                  <w14:solidFill>
                    <w14:srgbClr w14:val="000000">
                      <w14:alpha w14:val="100000"/>
                    </w14:srgbClr>
                  </w14:solidFill>
                </w14:textFill>
              </w:rPr>
              <w:t>|</w:t>
            </w:r>
            <w:r w:rsidRPr="00F16C78">
              <w:rPr>
                <w:color w:val="000000"/>
                <w:spacing w:val="1"/>
                <w:shd w:val="solid" w:color="000000" w:fill="000000"/>
                <w:fitText w:val="300" w:id="-961860593"/>
                <w14:textFill>
                  <w14:solidFill>
                    <w14:srgbClr w14:val="000000">
                      <w14:alpha w14:val="100000"/>
                    </w14:srgbClr>
                  </w14:solidFill>
                </w14:textFill>
              </w:rPr>
              <w:t>|</w:t>
            </w:r>
            <w:r w:rsidR="00016609" w:rsidRPr="00456281">
              <w:t xml:space="preserve"> </w:t>
            </w:r>
          </w:p>
        </w:tc>
        <w:tc>
          <w:tcPr>
            <w:tcW w:w="492" w:type="pct"/>
            <w:vAlign w:val="center"/>
          </w:tcPr>
          <w:p w14:paraId="7A0B5294" w14:textId="6D09B47C" w:rsidR="00016609" w:rsidRPr="009C3CBE" w:rsidRDefault="00F16C78" w:rsidP="001C2CAE">
            <w:pPr>
              <w:pStyle w:val="TableText0"/>
              <w:keepLines/>
              <w:jc w:val="center"/>
              <w:rPr>
                <w:bCs w:val="0"/>
                <w:highlight w:val="lightGray"/>
              </w:rPr>
            </w:pPr>
            <w:r w:rsidRPr="00F16C78">
              <w:rPr>
                <w:color w:val="000000"/>
                <w:spacing w:val="214"/>
                <w:shd w:val="solid" w:color="000000" w:fill="000000"/>
                <w:fitText w:val="300" w:id="-961860592"/>
                <w14:textFill>
                  <w14:solidFill>
                    <w14:srgbClr w14:val="000000">
                      <w14:alpha w14:val="100000"/>
                    </w14:srgbClr>
                  </w14:solidFill>
                </w14:textFill>
              </w:rPr>
              <w:t>|</w:t>
            </w:r>
            <w:r w:rsidRPr="00F16C78">
              <w:rPr>
                <w:color w:val="000000"/>
                <w:spacing w:val="1"/>
                <w:shd w:val="solid" w:color="000000" w:fill="000000"/>
                <w:fitText w:val="300" w:id="-961860592"/>
                <w14:textFill>
                  <w14:solidFill>
                    <w14:srgbClr w14:val="000000">
                      <w14:alpha w14:val="100000"/>
                    </w14:srgbClr>
                  </w14:solidFill>
                </w14:textFill>
              </w:rPr>
              <w:t>|</w:t>
            </w:r>
            <w:r w:rsidRPr="00F16C78">
              <w:t xml:space="preserve"> </w:t>
            </w:r>
          </w:p>
        </w:tc>
        <w:tc>
          <w:tcPr>
            <w:tcW w:w="492" w:type="pct"/>
            <w:vAlign w:val="center"/>
          </w:tcPr>
          <w:p w14:paraId="1F6BE11E" w14:textId="2444EA40" w:rsidR="00016609" w:rsidRPr="009C3CBE" w:rsidRDefault="00F16C78" w:rsidP="001C2CAE">
            <w:pPr>
              <w:pStyle w:val="TableText0"/>
              <w:keepLines/>
              <w:jc w:val="center"/>
              <w:rPr>
                <w:bCs w:val="0"/>
                <w:highlight w:val="lightGray"/>
              </w:rPr>
            </w:pPr>
            <w:r w:rsidRPr="00F16C78">
              <w:rPr>
                <w:color w:val="000000"/>
                <w:spacing w:val="214"/>
                <w:shd w:val="solid" w:color="000000" w:fill="000000"/>
                <w:fitText w:val="300" w:id="-961860608"/>
                <w14:textFill>
                  <w14:solidFill>
                    <w14:srgbClr w14:val="000000">
                      <w14:alpha w14:val="100000"/>
                    </w14:srgbClr>
                  </w14:solidFill>
                </w14:textFill>
              </w:rPr>
              <w:t>|</w:t>
            </w:r>
            <w:r w:rsidRPr="00F16C78">
              <w:rPr>
                <w:color w:val="000000"/>
                <w:spacing w:val="1"/>
                <w:shd w:val="solid" w:color="000000" w:fill="000000"/>
                <w:fitText w:val="300" w:id="-961860608"/>
                <w14:textFill>
                  <w14:solidFill>
                    <w14:srgbClr w14:val="000000">
                      <w14:alpha w14:val="100000"/>
                    </w14:srgbClr>
                  </w14:solidFill>
                </w14:textFill>
              </w:rPr>
              <w:t>|</w:t>
            </w:r>
            <w:r w:rsidRPr="00F16C78">
              <w:t xml:space="preserve"> </w:t>
            </w:r>
          </w:p>
        </w:tc>
      </w:tr>
    </w:tbl>
    <w:p w14:paraId="2FD5EDAF" w14:textId="673D780A" w:rsidR="00016609" w:rsidRPr="00456281" w:rsidRDefault="00016609" w:rsidP="001C2CAE">
      <w:pPr>
        <w:pStyle w:val="FooterTableFigure"/>
        <w:keepNext/>
        <w:keepLines/>
      </w:pPr>
      <w:r w:rsidRPr="00456281">
        <w:t xml:space="preserve">Source: Table 26, pp 156-157 of the trial report, Section 3 workbook, sheet 3a of the utilisation-and-cost-model. </w:t>
      </w:r>
    </w:p>
    <w:p w14:paraId="3D0C1962" w14:textId="633461ED" w:rsidR="00016609" w:rsidRPr="00456281" w:rsidRDefault="00016609" w:rsidP="001C2CAE">
      <w:pPr>
        <w:pStyle w:val="FooterTableFigure"/>
        <w:keepNext/>
        <w:keepLines/>
      </w:pPr>
      <w:r w:rsidRPr="00456281">
        <w:t xml:space="preserve">Abbreviations: Gem, gemcitabine; Gem+NabP, gemcitabine plus nanoparticle </w:t>
      </w:r>
      <w:r w:rsidR="00D83C9B" w:rsidRPr="00456281">
        <w:t>albumin-bound</w:t>
      </w:r>
      <w:r w:rsidRPr="00456281">
        <w:t xml:space="preserve"> paclitaxel; FOLFIRINOX, Fluorouracil, Folinic Acid, Irinotecan, Oxaliplatin; IRI, irinotecan; </w:t>
      </w:r>
      <w:r w:rsidR="00E43A2C" w:rsidRPr="00456281">
        <w:t>NabP</w:t>
      </w:r>
      <w:r w:rsidRPr="00456281">
        <w:t xml:space="preserve">, nanoparticle </w:t>
      </w:r>
      <w:r w:rsidR="00D83C9B" w:rsidRPr="00456281">
        <w:t>albumin-bound</w:t>
      </w:r>
      <w:r w:rsidRPr="00456281">
        <w:t xml:space="preserve"> paclitaxel; nal-IRI, nanoliposomal irinotecan; NR, not reported.</w:t>
      </w:r>
    </w:p>
    <w:p w14:paraId="0673B5DE" w14:textId="3EBC4976" w:rsidR="00254CD2" w:rsidRPr="00251F8B" w:rsidRDefault="00016609" w:rsidP="001C2CAE">
      <w:pPr>
        <w:pStyle w:val="FooterTableFigure"/>
        <w:keepNext/>
        <w:keepLines/>
        <w:rPr>
          <w:vertAlign w:val="superscript"/>
        </w:rPr>
      </w:pPr>
      <w:r w:rsidRPr="00251F8B">
        <w:rPr>
          <w:vertAlign w:val="superscript"/>
        </w:rPr>
        <w:t xml:space="preserve">a </w:t>
      </w:r>
      <w:r w:rsidR="00254CD2" w:rsidRPr="00251F8B">
        <w:t>As calculated in the submission</w:t>
      </w:r>
      <w:r w:rsidR="00254CD2" w:rsidRPr="00251F8B">
        <w:rPr>
          <w:vertAlign w:val="superscript"/>
        </w:rPr>
        <w:t xml:space="preserve"> </w:t>
      </w:r>
    </w:p>
    <w:p w14:paraId="14369108" w14:textId="515859AD" w:rsidR="00016609" w:rsidRPr="00251F8B" w:rsidRDefault="00254CD2" w:rsidP="001C2CAE">
      <w:pPr>
        <w:pStyle w:val="FooterTableFigure"/>
        <w:keepNext/>
        <w:keepLines/>
      </w:pPr>
      <w:r w:rsidRPr="00251F8B">
        <w:rPr>
          <w:vertAlign w:val="superscript"/>
        </w:rPr>
        <w:t xml:space="preserve">b </w:t>
      </w:r>
      <w:r w:rsidR="00016609" w:rsidRPr="00251F8B">
        <w:t xml:space="preserve">Mean dose </w:t>
      </w:r>
      <w:r w:rsidR="00016609" w:rsidRPr="009A3AE9">
        <w:t xml:space="preserve">intensity of </w:t>
      </w:r>
      <w:r w:rsidR="00016609" w:rsidRPr="00F41B81">
        <w:t>88%</w:t>
      </w:r>
      <w:r w:rsidR="00016609" w:rsidRPr="009A3AE9">
        <w:t xml:space="preserve"> for nal-IRI, </w:t>
      </w:r>
      <w:r w:rsidR="00016609" w:rsidRPr="00F41B81">
        <w:t>90%</w:t>
      </w:r>
      <w:r w:rsidR="00016609" w:rsidRPr="009A3AE9">
        <w:t xml:space="preserve"> for </w:t>
      </w:r>
      <w:r w:rsidR="00A50C7C" w:rsidRPr="009A3AE9">
        <w:t xml:space="preserve">Gemcitabine </w:t>
      </w:r>
      <w:r w:rsidR="00016609" w:rsidRPr="009A3AE9">
        <w:t xml:space="preserve">and </w:t>
      </w:r>
      <w:r w:rsidR="00016609" w:rsidRPr="00F41B81">
        <w:t>85%</w:t>
      </w:r>
      <w:r w:rsidR="00016609" w:rsidRPr="009A3AE9">
        <w:t xml:space="preserve"> for</w:t>
      </w:r>
      <w:r w:rsidR="00016609" w:rsidRPr="00251F8B">
        <w:t xml:space="preserve"> NabP provided in ‘Exposure data’ in Attachment 8 of the submission</w:t>
      </w:r>
    </w:p>
    <w:p w14:paraId="0C669DE0" w14:textId="297B8C8C" w:rsidR="00016609" w:rsidRPr="00251F8B" w:rsidRDefault="00254CD2" w:rsidP="001C2CAE">
      <w:pPr>
        <w:pStyle w:val="FooterTableFigure"/>
        <w:keepNext/>
        <w:keepLines/>
      </w:pPr>
      <w:r w:rsidRPr="00251F8B">
        <w:rPr>
          <w:vertAlign w:val="superscript"/>
        </w:rPr>
        <w:t xml:space="preserve">c </w:t>
      </w:r>
      <w:r w:rsidR="00016609" w:rsidRPr="00251F8B">
        <w:t>As presented in ‘Vial calculation’ in Attachment 8 of the submission</w:t>
      </w:r>
      <w:r w:rsidR="00580B8C" w:rsidRPr="00251F8B">
        <w:t>.</w:t>
      </w:r>
    </w:p>
    <w:p w14:paraId="57C3562B" w14:textId="05C87AD4" w:rsidR="00016609" w:rsidRPr="00251F8B" w:rsidRDefault="00254CD2" w:rsidP="001C2CAE">
      <w:pPr>
        <w:pStyle w:val="FooterTableFigure"/>
        <w:keepNext/>
        <w:keepLines/>
      </w:pPr>
      <w:r w:rsidRPr="00251F8B">
        <w:rPr>
          <w:vertAlign w:val="superscript"/>
        </w:rPr>
        <w:t xml:space="preserve">d </w:t>
      </w:r>
      <w:r w:rsidR="00016609" w:rsidRPr="00251F8B">
        <w:t>Cost for the treatment regimen</w:t>
      </w:r>
    </w:p>
    <w:p w14:paraId="7BCD8782" w14:textId="19EFB825" w:rsidR="00016609" w:rsidRPr="00251F8B" w:rsidRDefault="00254CD2" w:rsidP="001C2CAE">
      <w:pPr>
        <w:pStyle w:val="FooterTableFigure"/>
        <w:keepNext/>
        <w:keepLines/>
        <w:rPr>
          <w:bCs/>
        </w:rPr>
      </w:pPr>
      <w:r w:rsidRPr="00251F8B">
        <w:rPr>
          <w:bCs/>
          <w:vertAlign w:val="superscript"/>
        </w:rPr>
        <w:t xml:space="preserve">e </w:t>
      </w:r>
      <w:r w:rsidR="00016609" w:rsidRPr="00251F8B">
        <w:rPr>
          <w:bCs/>
        </w:rPr>
        <w:t>Adjusted to 28-day cycles</w:t>
      </w:r>
    </w:p>
    <w:p w14:paraId="16D488E8" w14:textId="23EDE649" w:rsidR="00016609" w:rsidRPr="00251F8B" w:rsidRDefault="00254CD2" w:rsidP="001C2CAE">
      <w:pPr>
        <w:pStyle w:val="FooterTableFigure"/>
        <w:keepNext/>
        <w:keepLines/>
      </w:pPr>
      <w:r w:rsidRPr="00251F8B">
        <w:rPr>
          <w:vertAlign w:val="superscript"/>
        </w:rPr>
        <w:t xml:space="preserve">f </w:t>
      </w:r>
      <w:r w:rsidR="00016609" w:rsidRPr="00251F8B">
        <w:t>Reports a relative dose intensity of fluorouracil, irinotecan, oxaliplatin to be 82%, 81% and 78% respectively</w:t>
      </w:r>
    </w:p>
    <w:p w14:paraId="7294D75D" w14:textId="5A2199E4" w:rsidR="00016609" w:rsidRPr="00251F8B" w:rsidRDefault="00254CD2" w:rsidP="001C2CAE">
      <w:pPr>
        <w:pStyle w:val="FooterTableFigure"/>
        <w:keepNext/>
        <w:keepLines/>
      </w:pPr>
      <w:r w:rsidRPr="00251F8B">
        <w:rPr>
          <w:vertAlign w:val="superscript"/>
        </w:rPr>
        <w:t xml:space="preserve">g </w:t>
      </w:r>
      <w:r w:rsidR="00016609" w:rsidRPr="00251F8B">
        <w:t>Based on dose intensity as per NAPOLI-3 trial</w:t>
      </w:r>
    </w:p>
    <w:p w14:paraId="5316F5A2" w14:textId="689C1B61" w:rsidR="00016609" w:rsidRPr="00456281" w:rsidRDefault="00254CD2" w:rsidP="00016609">
      <w:pPr>
        <w:pStyle w:val="FooterTableFigure"/>
      </w:pPr>
      <w:r w:rsidRPr="00251F8B">
        <w:rPr>
          <w:vertAlign w:val="superscript"/>
        </w:rPr>
        <w:t xml:space="preserve">h </w:t>
      </w:r>
      <w:r w:rsidR="00016609" w:rsidRPr="00251F8B">
        <w:t>Calculated based dosing regimen, relative dose intensity as reported in Conroy et al, 2011 and BSA, AEMP, markup and public/private weighting as presented in the submission</w:t>
      </w:r>
    </w:p>
    <w:p w14:paraId="32DA2297" w14:textId="77777777" w:rsidR="00016609" w:rsidRPr="00456281" w:rsidRDefault="00016609" w:rsidP="00016609">
      <w:pPr>
        <w:pStyle w:val="4-SubsectionHeading"/>
      </w:pPr>
      <w:bookmarkStart w:id="144" w:name="_Toc22897647"/>
      <w:bookmarkStart w:id="145" w:name="_Toc107927633"/>
      <w:bookmarkStart w:id="146" w:name="_Toc157002556"/>
      <w:bookmarkStart w:id="147" w:name="_Hlk162425657"/>
      <w:bookmarkEnd w:id="142"/>
      <w:r w:rsidRPr="00456281">
        <w:t>Estimated PBS usage &amp; financial implications</w:t>
      </w:r>
      <w:bookmarkEnd w:id="144"/>
      <w:bookmarkEnd w:id="145"/>
      <w:bookmarkEnd w:id="146"/>
    </w:p>
    <w:p w14:paraId="756DD36B" w14:textId="60197CD8" w:rsidR="00016609" w:rsidRPr="00456281" w:rsidRDefault="00016609" w:rsidP="00016609">
      <w:pPr>
        <w:pStyle w:val="3-BodyText"/>
      </w:pPr>
      <w:r w:rsidRPr="00456281">
        <w:t xml:space="preserve">This submission </w:t>
      </w:r>
      <w:r w:rsidR="00BE71B4" w:rsidRPr="00456281">
        <w:t>was not</w:t>
      </w:r>
      <w:r w:rsidRPr="00456281">
        <w:t xml:space="preserve"> considered by DUSC.</w:t>
      </w:r>
    </w:p>
    <w:p w14:paraId="1154A48A" w14:textId="77777777" w:rsidR="00016609" w:rsidRPr="00456281" w:rsidRDefault="00016609" w:rsidP="00016609">
      <w:pPr>
        <w:pStyle w:val="3-BodyText"/>
        <w:rPr>
          <w:color w:val="000000" w:themeColor="text1"/>
        </w:rPr>
      </w:pPr>
      <w:r w:rsidRPr="00456281">
        <w:rPr>
          <w:color w:val="000000" w:themeColor="text1"/>
        </w:rPr>
        <w:t xml:space="preserve">The submission used an epidemiological approach to estimate the financial implications associated with the proposed listing of nal-IRI. </w:t>
      </w:r>
    </w:p>
    <w:p w14:paraId="7738EE90" w14:textId="777EFEF6" w:rsidR="00016609" w:rsidRPr="00456281" w:rsidRDefault="00016609" w:rsidP="00016609">
      <w:pPr>
        <w:pStyle w:val="3-BodyText"/>
        <w:rPr>
          <w:color w:val="000000" w:themeColor="text1"/>
        </w:rPr>
      </w:pPr>
      <w:r w:rsidRPr="00456281">
        <w:rPr>
          <w:color w:val="000000" w:themeColor="text1"/>
        </w:rPr>
        <w:lastRenderedPageBreak/>
        <w:t>A summary of the key inputs in the financial analysis are summarised in</w:t>
      </w:r>
      <w:r w:rsidR="00B3125F" w:rsidRPr="00456281">
        <w:rPr>
          <w:color w:val="000000" w:themeColor="text1"/>
        </w:rPr>
        <w:t xml:space="preserve"> </w:t>
      </w:r>
      <w:r w:rsidR="00B3125F" w:rsidRPr="00456281">
        <w:rPr>
          <w:color w:val="000000" w:themeColor="text1"/>
        </w:rPr>
        <w:fldChar w:fldCharType="begin"/>
      </w:r>
      <w:r w:rsidR="00B3125F" w:rsidRPr="00456281">
        <w:rPr>
          <w:color w:val="000000" w:themeColor="text1"/>
        </w:rPr>
        <w:instrText xml:space="preserve"> REF _Ref104805262 \h </w:instrText>
      </w:r>
      <w:r w:rsidR="00B3125F" w:rsidRPr="00456281">
        <w:rPr>
          <w:color w:val="000000" w:themeColor="text1"/>
        </w:rPr>
      </w:r>
      <w:r w:rsidR="00B3125F" w:rsidRPr="00456281">
        <w:rPr>
          <w:color w:val="000000" w:themeColor="text1"/>
        </w:rPr>
        <w:fldChar w:fldCharType="separate"/>
      </w:r>
      <w:r w:rsidR="00EE5AD4" w:rsidRPr="00456281">
        <w:t xml:space="preserve">Table </w:t>
      </w:r>
      <w:r w:rsidR="00EE5AD4">
        <w:rPr>
          <w:noProof/>
        </w:rPr>
        <w:t>19</w:t>
      </w:r>
      <w:r w:rsidR="00B3125F" w:rsidRPr="00456281">
        <w:rPr>
          <w:color w:val="000000" w:themeColor="text1"/>
        </w:rPr>
        <w:fldChar w:fldCharType="end"/>
      </w:r>
      <w:r w:rsidRPr="00456281">
        <w:rPr>
          <w:color w:val="000000" w:themeColor="text1"/>
        </w:rPr>
        <w:t>.</w:t>
      </w:r>
    </w:p>
    <w:p w14:paraId="5E24FF80" w14:textId="205A2088" w:rsidR="00016609" w:rsidRPr="00456281" w:rsidRDefault="00016609" w:rsidP="002B3A12">
      <w:pPr>
        <w:pStyle w:val="TableFigureHeading"/>
        <w:rPr>
          <w:rStyle w:val="CommentReference"/>
          <w:b/>
          <w:szCs w:val="24"/>
        </w:rPr>
      </w:pPr>
      <w:bookmarkStart w:id="148" w:name="_Ref104805262"/>
      <w:r w:rsidRPr="00456281">
        <w:t xml:space="preserve">Table </w:t>
      </w:r>
      <w:r w:rsidR="00B75F7B">
        <w:fldChar w:fldCharType="begin"/>
      </w:r>
      <w:r w:rsidR="00B75F7B">
        <w:instrText xml:space="preserve"> SEQ Table \* ARABIC </w:instrText>
      </w:r>
      <w:r w:rsidR="00B75F7B">
        <w:fldChar w:fldCharType="separate"/>
      </w:r>
      <w:r w:rsidR="00EE5AD4">
        <w:rPr>
          <w:noProof/>
        </w:rPr>
        <w:t>19</w:t>
      </w:r>
      <w:r w:rsidR="00B75F7B">
        <w:fldChar w:fldCharType="end"/>
      </w:r>
      <w:bookmarkEnd w:id="148"/>
      <w:r w:rsidRPr="00456281">
        <w:t>:</w:t>
      </w:r>
      <w:r w:rsidRPr="00456281">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9: Key inputs for financial estimates"/>
      </w:tblPr>
      <w:tblGrid>
        <w:gridCol w:w="1713"/>
        <w:gridCol w:w="2676"/>
        <w:gridCol w:w="4628"/>
      </w:tblGrid>
      <w:tr w:rsidR="00016609" w:rsidRPr="00456281" w14:paraId="07F1553A" w14:textId="77777777" w:rsidTr="00956744">
        <w:trPr>
          <w:tblHeader/>
        </w:trPr>
        <w:tc>
          <w:tcPr>
            <w:tcW w:w="950" w:type="pct"/>
            <w:shd w:val="clear" w:color="auto" w:fill="auto"/>
            <w:vAlign w:val="center"/>
          </w:tcPr>
          <w:p w14:paraId="4C6AAEA3" w14:textId="77777777" w:rsidR="00016609" w:rsidRPr="00456281" w:rsidRDefault="00016609" w:rsidP="001C2CAE">
            <w:pPr>
              <w:pStyle w:val="In-tableHeading"/>
              <w:rPr>
                <w:lang w:val="en-AU"/>
              </w:rPr>
            </w:pPr>
            <w:r w:rsidRPr="00456281">
              <w:rPr>
                <w:lang w:val="en-AU"/>
              </w:rPr>
              <w:t>Parameter</w:t>
            </w:r>
          </w:p>
        </w:tc>
        <w:tc>
          <w:tcPr>
            <w:tcW w:w="1484" w:type="pct"/>
            <w:shd w:val="clear" w:color="auto" w:fill="auto"/>
            <w:vAlign w:val="center"/>
          </w:tcPr>
          <w:p w14:paraId="33BA7497" w14:textId="77777777" w:rsidR="00016609" w:rsidRPr="00456281" w:rsidRDefault="00016609" w:rsidP="001C2CAE">
            <w:pPr>
              <w:pStyle w:val="In-tableHeading"/>
              <w:rPr>
                <w:lang w:val="en-AU"/>
              </w:rPr>
            </w:pPr>
            <w:r w:rsidRPr="00456281">
              <w:rPr>
                <w:lang w:val="en-AU"/>
              </w:rPr>
              <w:t>Value applied and source</w:t>
            </w:r>
          </w:p>
        </w:tc>
        <w:tc>
          <w:tcPr>
            <w:tcW w:w="2566" w:type="pct"/>
            <w:shd w:val="clear" w:color="auto" w:fill="auto"/>
            <w:vAlign w:val="center"/>
          </w:tcPr>
          <w:p w14:paraId="13178260" w14:textId="77777777" w:rsidR="00016609" w:rsidRPr="00456281" w:rsidRDefault="00016609" w:rsidP="001C2CAE">
            <w:pPr>
              <w:pStyle w:val="In-tableHeading"/>
              <w:rPr>
                <w:lang w:val="en-AU"/>
              </w:rPr>
            </w:pPr>
            <w:r w:rsidRPr="00456281">
              <w:rPr>
                <w:lang w:val="en-AU"/>
              </w:rPr>
              <w:t>Comment</w:t>
            </w:r>
          </w:p>
        </w:tc>
      </w:tr>
      <w:tr w:rsidR="00016609" w:rsidRPr="00456281" w14:paraId="6FA5F86E" w14:textId="77777777" w:rsidTr="00956744">
        <w:tc>
          <w:tcPr>
            <w:tcW w:w="5000" w:type="pct"/>
            <w:gridSpan w:val="3"/>
            <w:shd w:val="clear" w:color="auto" w:fill="auto"/>
            <w:vAlign w:val="center"/>
          </w:tcPr>
          <w:p w14:paraId="505F35F6" w14:textId="77777777" w:rsidR="00016609" w:rsidRPr="00456281" w:rsidRDefault="00016609" w:rsidP="001C2CAE">
            <w:pPr>
              <w:pStyle w:val="TableText0"/>
              <w:rPr>
                <w:b/>
                <w:bCs w:val="0"/>
              </w:rPr>
            </w:pPr>
            <w:r w:rsidRPr="00456281">
              <w:rPr>
                <w:b/>
                <w:bCs w:val="0"/>
              </w:rPr>
              <w:t xml:space="preserve">Eligible population </w:t>
            </w:r>
          </w:p>
        </w:tc>
      </w:tr>
      <w:tr w:rsidR="00016609" w:rsidRPr="00456281" w14:paraId="21CEC2FF" w14:textId="77777777" w:rsidTr="00956744">
        <w:tc>
          <w:tcPr>
            <w:tcW w:w="950" w:type="pct"/>
            <w:shd w:val="clear" w:color="auto" w:fill="auto"/>
            <w:vAlign w:val="center"/>
          </w:tcPr>
          <w:p w14:paraId="4D387A8A" w14:textId="77777777" w:rsidR="00016609" w:rsidRPr="00456281" w:rsidRDefault="00016609" w:rsidP="001C2CAE">
            <w:pPr>
              <w:pStyle w:val="TableText0"/>
            </w:pPr>
            <w:r w:rsidRPr="00456281">
              <w:t>Incident patients – pancreatic cancer</w:t>
            </w:r>
          </w:p>
        </w:tc>
        <w:tc>
          <w:tcPr>
            <w:tcW w:w="1484" w:type="pct"/>
            <w:shd w:val="clear" w:color="auto" w:fill="auto"/>
            <w:vAlign w:val="center"/>
          </w:tcPr>
          <w:p w14:paraId="0AC1CD3D" w14:textId="1D1438F8" w:rsidR="00016609" w:rsidRPr="00456281" w:rsidRDefault="00F16C78" w:rsidP="001C2CAE">
            <w:pPr>
              <w:pStyle w:val="TableText0"/>
            </w:pPr>
            <w:r w:rsidRPr="00F16C78">
              <w:rPr>
                <w:color w:val="000000"/>
                <w:spacing w:val="36"/>
                <w:shd w:val="solid" w:color="000000" w:fill="000000"/>
                <w:fitText w:val="438" w:id="-961860607"/>
                <w14:textFill>
                  <w14:solidFill>
                    <w14:srgbClr w14:val="000000">
                      <w14:alpha w14:val="100000"/>
                    </w14:srgbClr>
                  </w14:solidFill>
                </w14:textFill>
              </w:rPr>
              <w:t>|||||</w:t>
            </w:r>
            <w:r w:rsidRPr="00F16C78">
              <w:rPr>
                <w:color w:val="000000"/>
                <w:spacing w:val="3"/>
                <w:shd w:val="solid" w:color="000000" w:fill="000000"/>
                <w:fitText w:val="438" w:id="-961860607"/>
                <w14:textFill>
                  <w14:solidFill>
                    <w14:srgbClr w14:val="000000">
                      <w14:alpha w14:val="100000"/>
                    </w14:srgbClr>
                  </w14:solidFill>
                </w14:textFill>
              </w:rPr>
              <w:t>|</w:t>
            </w:r>
            <w:r w:rsidR="00E25E0C" w:rsidRPr="009C3CBE">
              <w:rPr>
                <w:vertAlign w:val="superscript"/>
              </w:rPr>
              <w:t>1</w:t>
            </w:r>
            <w:r w:rsidR="00016609" w:rsidRPr="00456281">
              <w:t xml:space="preserve"> in Year 1, increasing to </w:t>
            </w:r>
            <w:r w:rsidRPr="00F16C78">
              <w:rPr>
                <w:color w:val="000000"/>
                <w:spacing w:val="36"/>
                <w:shd w:val="solid" w:color="000000" w:fill="000000"/>
                <w:fitText w:val="438" w:id="-961860606"/>
                <w14:textFill>
                  <w14:solidFill>
                    <w14:srgbClr w14:val="000000">
                      <w14:alpha w14:val="100000"/>
                    </w14:srgbClr>
                  </w14:solidFill>
                </w14:textFill>
              </w:rPr>
              <w:t>|||||</w:t>
            </w:r>
            <w:r w:rsidRPr="00F16C78">
              <w:rPr>
                <w:color w:val="000000"/>
                <w:spacing w:val="3"/>
                <w:shd w:val="solid" w:color="000000" w:fill="000000"/>
                <w:fitText w:val="438" w:id="-961860606"/>
                <w14:textFill>
                  <w14:solidFill>
                    <w14:srgbClr w14:val="000000">
                      <w14:alpha w14:val="100000"/>
                    </w14:srgbClr>
                  </w14:solidFill>
                </w14:textFill>
              </w:rPr>
              <w:t>|</w:t>
            </w:r>
            <w:r w:rsidR="00E25E0C" w:rsidRPr="009C3CBE">
              <w:rPr>
                <w:vertAlign w:val="superscript"/>
              </w:rPr>
              <w:t>2</w:t>
            </w:r>
            <w:r w:rsidR="00016609" w:rsidRPr="00456281">
              <w:t xml:space="preserve"> in Year 6</w:t>
            </w:r>
          </w:p>
          <w:p w14:paraId="47EB4D1D" w14:textId="77777777" w:rsidR="00016609" w:rsidRPr="00456281" w:rsidRDefault="00016609" w:rsidP="001C2CAE">
            <w:pPr>
              <w:pStyle w:val="TableText0"/>
            </w:pPr>
            <w:r w:rsidRPr="00456281">
              <w:t>AIHW Cancer incidence data 2023</w:t>
            </w:r>
          </w:p>
        </w:tc>
        <w:tc>
          <w:tcPr>
            <w:tcW w:w="2566" w:type="pct"/>
            <w:shd w:val="clear" w:color="auto" w:fill="auto"/>
            <w:vAlign w:val="center"/>
          </w:tcPr>
          <w:p w14:paraId="28FA34F7" w14:textId="77777777" w:rsidR="00016609" w:rsidRPr="00456281" w:rsidRDefault="00016609" w:rsidP="001C2CAE">
            <w:pPr>
              <w:pStyle w:val="TableText0"/>
            </w:pPr>
            <w:r w:rsidRPr="00456281">
              <w:t>Annual growth rate assumed to be 4% beyond 2023.</w:t>
            </w:r>
          </w:p>
        </w:tc>
      </w:tr>
      <w:tr w:rsidR="00016609" w:rsidRPr="00456281" w14:paraId="02C23844" w14:textId="77777777" w:rsidTr="00956744">
        <w:tc>
          <w:tcPr>
            <w:tcW w:w="950" w:type="pct"/>
            <w:shd w:val="clear" w:color="auto" w:fill="auto"/>
            <w:vAlign w:val="center"/>
          </w:tcPr>
          <w:p w14:paraId="141B6D42" w14:textId="77777777" w:rsidR="00016609" w:rsidRPr="00456281" w:rsidRDefault="00016609" w:rsidP="001C2CAE">
            <w:pPr>
              <w:pStyle w:val="TableText0"/>
            </w:pPr>
            <w:r w:rsidRPr="00456281">
              <w:t>Incident patients – metastatic pancreatic cancer</w:t>
            </w:r>
          </w:p>
        </w:tc>
        <w:tc>
          <w:tcPr>
            <w:tcW w:w="1484" w:type="pct"/>
            <w:shd w:val="clear" w:color="auto" w:fill="auto"/>
            <w:vAlign w:val="center"/>
          </w:tcPr>
          <w:p w14:paraId="7B3B2E6D" w14:textId="77777777" w:rsidR="00016609" w:rsidRPr="00456281" w:rsidRDefault="00016609" w:rsidP="001C2CAE">
            <w:pPr>
              <w:pStyle w:val="TableText0"/>
            </w:pPr>
            <w:r w:rsidRPr="00456281">
              <w:t>80% applied annually</w:t>
            </w:r>
          </w:p>
          <w:p w14:paraId="2871074E" w14:textId="77777777" w:rsidR="00016609" w:rsidRPr="00456281" w:rsidRDefault="00016609" w:rsidP="001C2CAE">
            <w:pPr>
              <w:pStyle w:val="TableText0"/>
            </w:pPr>
            <w:r w:rsidRPr="00456281">
              <w:t>Santucci 2022, PURPLE Registry, Cancer Council 2022, Loveday 2019, Malik 2012, Puckett 2022</w:t>
            </w:r>
          </w:p>
        </w:tc>
        <w:tc>
          <w:tcPr>
            <w:tcW w:w="2566" w:type="pct"/>
            <w:shd w:val="clear" w:color="auto" w:fill="auto"/>
            <w:vAlign w:val="center"/>
          </w:tcPr>
          <w:p w14:paraId="3EADDD39" w14:textId="1502E95E" w:rsidR="009274F8" w:rsidRPr="00456281" w:rsidRDefault="00F8181E" w:rsidP="001C2CAE">
            <w:pPr>
              <w:pStyle w:val="TableText0"/>
              <w:rPr>
                <w:rStyle w:val="CommentReference"/>
                <w:rFonts w:eastAsia="Times New Roman" w:cs="Times New Roman"/>
                <w:b w:val="0"/>
              </w:rPr>
            </w:pPr>
            <w:r w:rsidRPr="00456281">
              <w:t>The e</w:t>
            </w:r>
            <w:r w:rsidR="009274F8" w:rsidRPr="00456281">
              <w:t xml:space="preserve">valuation considered this may be </w:t>
            </w:r>
            <w:r w:rsidR="00016609" w:rsidRPr="00456281">
              <w:t>overestimated as the submission used the term ‘metastatic’ in the financial impact estimates to include those with Stage III (locally advanced/unresectable) and Stage IV (metastatic) pancreatic cancer.</w:t>
            </w:r>
            <w:r w:rsidR="00016609" w:rsidRPr="00456281">
              <w:rPr>
                <w:color w:val="000000" w:themeColor="text1"/>
              </w:rPr>
              <w:t xml:space="preserve"> Not all patients with Stage III disease would progress to Stage IV disease</w:t>
            </w:r>
            <w:r w:rsidR="009274F8" w:rsidRPr="00456281">
              <w:rPr>
                <w:rStyle w:val="CommentReference"/>
                <w:rFonts w:eastAsia="Times New Roman" w:cs="Times New Roman"/>
                <w:b w:val="0"/>
              </w:rPr>
              <w:t>.</w:t>
            </w:r>
          </w:p>
          <w:p w14:paraId="133210FB" w14:textId="2B04C84E" w:rsidR="00016609" w:rsidRPr="00456281" w:rsidRDefault="006D6B02" w:rsidP="001C2CAE">
            <w:pPr>
              <w:pStyle w:val="TableText0"/>
            </w:pPr>
            <w:r w:rsidRPr="00456281">
              <w:rPr>
                <w:rStyle w:val="CommentReference"/>
                <w:rFonts w:eastAsia="Times New Roman" w:cs="Times New Roman"/>
                <w:b w:val="0"/>
              </w:rPr>
              <w:t xml:space="preserve">The </w:t>
            </w:r>
            <w:r w:rsidR="009274F8" w:rsidRPr="00456281">
              <w:rPr>
                <w:rStyle w:val="CommentReference"/>
                <w:rFonts w:eastAsia="Times New Roman" w:cs="Times New Roman"/>
                <w:b w:val="0"/>
              </w:rPr>
              <w:t xml:space="preserve">ESC considered that </w:t>
            </w:r>
            <w:r w:rsidR="00F8181E" w:rsidRPr="00456281">
              <w:rPr>
                <w:rStyle w:val="CommentReference"/>
                <w:rFonts w:eastAsia="Times New Roman" w:cs="Times New Roman"/>
                <w:b w:val="0"/>
              </w:rPr>
              <w:t xml:space="preserve">most patients with Stage III disease would progress to Stage IV disease and that </w:t>
            </w:r>
            <w:r w:rsidR="009274F8" w:rsidRPr="00456281">
              <w:rPr>
                <w:rStyle w:val="CommentReference"/>
                <w:rFonts w:eastAsia="Times New Roman" w:cs="Times New Roman"/>
                <w:b w:val="0"/>
              </w:rPr>
              <w:t xml:space="preserve">the </w:t>
            </w:r>
            <w:r w:rsidR="00F8181E" w:rsidRPr="00456281">
              <w:rPr>
                <w:rStyle w:val="CommentReference"/>
                <w:rFonts w:eastAsia="Times New Roman" w:cs="Times New Roman"/>
                <w:b w:val="0"/>
              </w:rPr>
              <w:t xml:space="preserve">estimated </w:t>
            </w:r>
            <w:r w:rsidR="009E716E">
              <w:rPr>
                <w:rStyle w:val="CommentReference"/>
                <w:rFonts w:eastAsia="Times New Roman" w:cs="Times New Roman"/>
                <w:b w:val="0"/>
              </w:rPr>
              <w:t>s</w:t>
            </w:r>
            <w:r w:rsidR="009E716E">
              <w:rPr>
                <w:rStyle w:val="CommentReference"/>
                <w:rFonts w:eastAsia="Times New Roman" w:cs="Times New Roman"/>
              </w:rPr>
              <w:t xml:space="preserve">ee </w:t>
            </w:r>
            <w:r w:rsidR="00F8181E" w:rsidRPr="00456281">
              <w:rPr>
                <w:rStyle w:val="CommentReference"/>
                <w:rFonts w:eastAsia="Times New Roman" w:cs="Times New Roman"/>
                <w:b w:val="0"/>
              </w:rPr>
              <w:t>value was reasonable</w:t>
            </w:r>
            <w:r w:rsidR="00016609" w:rsidRPr="00456281">
              <w:rPr>
                <w:color w:val="000000" w:themeColor="text1"/>
              </w:rPr>
              <w:t>.</w:t>
            </w:r>
          </w:p>
        </w:tc>
      </w:tr>
      <w:tr w:rsidR="00016609" w:rsidRPr="00456281" w14:paraId="597A0777" w14:textId="77777777" w:rsidTr="00956744">
        <w:tc>
          <w:tcPr>
            <w:tcW w:w="950" w:type="pct"/>
            <w:shd w:val="clear" w:color="auto" w:fill="auto"/>
            <w:vAlign w:val="center"/>
          </w:tcPr>
          <w:p w14:paraId="6FF53C53" w14:textId="77777777" w:rsidR="00016609" w:rsidRPr="009A3AE9" w:rsidRDefault="00016609" w:rsidP="001C2CAE">
            <w:pPr>
              <w:pStyle w:val="TableText0"/>
            </w:pPr>
            <w:r w:rsidRPr="009A3AE9">
              <w:t>Treatment rate – metastatic pancreatic cancer</w:t>
            </w:r>
          </w:p>
        </w:tc>
        <w:tc>
          <w:tcPr>
            <w:tcW w:w="1484" w:type="pct"/>
            <w:shd w:val="clear" w:color="auto" w:fill="auto"/>
            <w:vAlign w:val="center"/>
          </w:tcPr>
          <w:p w14:paraId="2E184221" w14:textId="77777777" w:rsidR="00016609" w:rsidRPr="009A3AE9" w:rsidRDefault="00016609" w:rsidP="001C2CAE">
            <w:pPr>
              <w:pStyle w:val="TableText0"/>
            </w:pPr>
            <w:r w:rsidRPr="009A3AE9">
              <w:t>57.3% applied annually</w:t>
            </w:r>
          </w:p>
          <w:p w14:paraId="73ADADD9" w14:textId="77777777" w:rsidR="00016609" w:rsidRPr="009A3AE9" w:rsidRDefault="00016609" w:rsidP="001C2CAE">
            <w:pPr>
              <w:pStyle w:val="TableText0"/>
            </w:pPr>
            <w:r w:rsidRPr="009A3AE9">
              <w:t>Santucci 2022, PURPLE Registry</w:t>
            </w:r>
          </w:p>
        </w:tc>
        <w:tc>
          <w:tcPr>
            <w:tcW w:w="2566" w:type="pct"/>
            <w:shd w:val="clear" w:color="auto" w:fill="auto"/>
            <w:vAlign w:val="center"/>
          </w:tcPr>
          <w:p w14:paraId="0681EEA8" w14:textId="3CEE7543" w:rsidR="00016609" w:rsidRPr="00456281" w:rsidRDefault="00016609" w:rsidP="001C2CAE">
            <w:pPr>
              <w:pStyle w:val="TableText0"/>
            </w:pPr>
            <w:r w:rsidRPr="00456281">
              <w:t>Th</w:t>
            </w:r>
            <w:r w:rsidR="00320B25" w:rsidRPr="00456281">
              <w:t>e</w:t>
            </w:r>
            <w:r w:rsidR="00456281">
              <w:t xml:space="preserve"> </w:t>
            </w:r>
            <w:r w:rsidR="00320B25" w:rsidRPr="00456281">
              <w:t xml:space="preserve">commentary considered this was </w:t>
            </w:r>
            <w:r w:rsidRPr="00456281">
              <w:t>reasonable.</w:t>
            </w:r>
          </w:p>
          <w:p w14:paraId="68F35112" w14:textId="6AD6894B" w:rsidR="00BF52A1" w:rsidRPr="00456281" w:rsidRDefault="00BF52A1" w:rsidP="001C2CAE">
            <w:pPr>
              <w:pStyle w:val="TableText0"/>
            </w:pPr>
            <w:r w:rsidRPr="00456281">
              <w:t>The PSCR emphasised that the estimates include a variable which separately calculates the proportion of patients who opt for chemotherapy treatment based on data from the PURPLE registry, and that the population was not overestimated.</w:t>
            </w:r>
          </w:p>
        </w:tc>
      </w:tr>
      <w:tr w:rsidR="00016609" w:rsidRPr="00456281" w14:paraId="13CABA7B" w14:textId="77777777" w:rsidTr="00956744">
        <w:tc>
          <w:tcPr>
            <w:tcW w:w="5000" w:type="pct"/>
            <w:gridSpan w:val="3"/>
            <w:shd w:val="clear" w:color="auto" w:fill="auto"/>
            <w:vAlign w:val="center"/>
          </w:tcPr>
          <w:p w14:paraId="397D3799" w14:textId="7227E5BC" w:rsidR="00016609" w:rsidRPr="00456281" w:rsidRDefault="00016609" w:rsidP="001C2CAE">
            <w:pPr>
              <w:pStyle w:val="TableText0"/>
              <w:rPr>
                <w:b/>
                <w:bCs w:val="0"/>
              </w:rPr>
            </w:pPr>
            <w:r w:rsidRPr="00456281">
              <w:rPr>
                <w:b/>
                <w:bCs w:val="0"/>
              </w:rPr>
              <w:t>Treatment utilisation</w:t>
            </w:r>
          </w:p>
        </w:tc>
      </w:tr>
      <w:tr w:rsidR="00016609" w:rsidRPr="00456281" w14:paraId="2DE98EE8" w14:textId="77777777" w:rsidTr="00956744">
        <w:tc>
          <w:tcPr>
            <w:tcW w:w="950" w:type="pct"/>
            <w:shd w:val="clear" w:color="auto" w:fill="auto"/>
            <w:vAlign w:val="center"/>
          </w:tcPr>
          <w:p w14:paraId="6360C89D" w14:textId="77777777" w:rsidR="00016609" w:rsidRPr="00456281" w:rsidRDefault="00016609" w:rsidP="001C2CAE">
            <w:pPr>
              <w:pStyle w:val="TableText0"/>
            </w:pPr>
            <w:r w:rsidRPr="00456281">
              <w:t>Uptake rate (world without 1L NALIRIFOX)</w:t>
            </w:r>
          </w:p>
        </w:tc>
        <w:tc>
          <w:tcPr>
            <w:tcW w:w="1484" w:type="pct"/>
            <w:shd w:val="clear" w:color="auto" w:fill="auto"/>
            <w:vAlign w:val="center"/>
          </w:tcPr>
          <w:p w14:paraId="12FD1743" w14:textId="1B3E6D6F" w:rsidR="00016609" w:rsidRPr="009C3CBE" w:rsidRDefault="00016609" w:rsidP="001C2CAE">
            <w:pPr>
              <w:pStyle w:val="PBACTabletext"/>
              <w:keepNext w:val="0"/>
              <w:keepLines w:val="0"/>
              <w:widowControl w:val="0"/>
              <w:suppressLineNumbers w:val="0"/>
              <w:spacing w:after="0"/>
              <w:rPr>
                <w:rFonts w:eastAsia="TimesNewRoman"/>
                <w:lang w:val="pt-PT"/>
              </w:rPr>
            </w:pPr>
            <w:r w:rsidRPr="009C3CBE">
              <w:rPr>
                <w:rFonts w:eastAsia="TimesNewRoman"/>
                <w:lang w:val="pt-PT"/>
              </w:rPr>
              <w:t xml:space="preserve">Gem+NabP - </w:t>
            </w:r>
            <w:r w:rsidR="00F16C78" w:rsidRPr="00F16C78">
              <w:rPr>
                <w:rFonts w:eastAsia="TimesNewRoman"/>
                <w:color w:val="000000"/>
                <w:spacing w:val="36"/>
                <w:shd w:val="solid" w:color="000000" w:fill="000000"/>
                <w:fitText w:val="438" w:id="-961860605"/>
                <w:lang w:val="pt-PT"/>
                <w14:textFill>
                  <w14:solidFill>
                    <w14:srgbClr w14:val="000000">
                      <w14:alpha w14:val="100000"/>
                    </w14:srgbClr>
                  </w14:solidFill>
                </w14:textFill>
              </w:rPr>
              <w:t>|||||</w:t>
            </w:r>
            <w:r w:rsidR="00F16C78" w:rsidRPr="00F16C78">
              <w:rPr>
                <w:rFonts w:eastAsia="TimesNewRoman"/>
                <w:color w:val="000000"/>
                <w:spacing w:val="3"/>
                <w:shd w:val="solid" w:color="000000" w:fill="000000"/>
                <w:fitText w:val="438" w:id="-961860605"/>
                <w:lang w:val="pt-PT"/>
                <w14:textFill>
                  <w14:solidFill>
                    <w14:srgbClr w14:val="000000">
                      <w14:alpha w14:val="100000"/>
                    </w14:srgbClr>
                  </w14:solidFill>
                </w14:textFill>
              </w:rPr>
              <w:t>|</w:t>
            </w:r>
            <w:r w:rsidRPr="009C3CBE">
              <w:rPr>
                <w:rFonts w:eastAsia="TimesNewRoman"/>
                <w:lang w:val="pt-PT"/>
              </w:rPr>
              <w:t xml:space="preserve">%; </w:t>
            </w:r>
            <w:r w:rsidR="00A50C7C" w:rsidRPr="009C3CBE">
              <w:rPr>
                <w:rFonts w:eastAsia="TimesNewRoman"/>
                <w:lang w:val="pt-PT"/>
              </w:rPr>
              <w:t xml:space="preserve">Gemcitabine </w:t>
            </w:r>
            <w:r w:rsidRPr="009C3CBE">
              <w:rPr>
                <w:rFonts w:eastAsia="TimesNewRoman"/>
                <w:lang w:val="pt-PT"/>
              </w:rPr>
              <w:t xml:space="preserve">(mono) - </w:t>
            </w:r>
            <w:r w:rsidR="00F16C78" w:rsidRPr="00F16C78">
              <w:rPr>
                <w:rFonts w:eastAsia="TimesNewRoman"/>
                <w:color w:val="000000"/>
                <w:spacing w:val="36"/>
                <w:shd w:val="solid" w:color="000000" w:fill="000000"/>
                <w:fitText w:val="438" w:id="-961860604"/>
                <w:lang w:val="pt-PT"/>
                <w14:textFill>
                  <w14:solidFill>
                    <w14:srgbClr w14:val="000000">
                      <w14:alpha w14:val="100000"/>
                    </w14:srgbClr>
                  </w14:solidFill>
                </w14:textFill>
              </w:rPr>
              <w:t>|||||</w:t>
            </w:r>
            <w:r w:rsidR="00F16C78" w:rsidRPr="00F16C78">
              <w:rPr>
                <w:rFonts w:eastAsia="TimesNewRoman"/>
                <w:color w:val="000000"/>
                <w:spacing w:val="3"/>
                <w:shd w:val="solid" w:color="000000" w:fill="000000"/>
                <w:fitText w:val="438" w:id="-961860604"/>
                <w:lang w:val="pt-PT"/>
                <w14:textFill>
                  <w14:solidFill>
                    <w14:srgbClr w14:val="000000">
                      <w14:alpha w14:val="100000"/>
                    </w14:srgbClr>
                  </w14:solidFill>
                </w14:textFill>
              </w:rPr>
              <w:t>|</w:t>
            </w:r>
            <w:r w:rsidRPr="009C3CBE">
              <w:rPr>
                <w:rFonts w:eastAsia="TimesNewRoman"/>
                <w:lang w:val="pt-PT"/>
              </w:rPr>
              <w:t xml:space="preserve">%; </w:t>
            </w:r>
            <w:r w:rsidRPr="009C3CBE">
              <w:rPr>
                <w:lang w:val="pt-PT"/>
              </w:rPr>
              <w:t xml:space="preserve">FOLFIRINOX - </w:t>
            </w:r>
            <w:r w:rsidR="00F16C78" w:rsidRPr="00F16C78">
              <w:rPr>
                <w:rFonts w:eastAsia="TimesNewRoman"/>
                <w:color w:val="000000"/>
                <w:spacing w:val="36"/>
                <w:shd w:val="solid" w:color="000000" w:fill="000000"/>
                <w:fitText w:val="438" w:id="-961860603"/>
                <w:lang w:val="pt-PT"/>
                <w14:textFill>
                  <w14:solidFill>
                    <w14:srgbClr w14:val="000000">
                      <w14:alpha w14:val="100000"/>
                    </w14:srgbClr>
                  </w14:solidFill>
                </w14:textFill>
              </w:rPr>
              <w:t>|||||</w:t>
            </w:r>
            <w:r w:rsidR="00F16C78" w:rsidRPr="00F16C78">
              <w:rPr>
                <w:rFonts w:eastAsia="TimesNewRoman"/>
                <w:color w:val="000000"/>
                <w:spacing w:val="3"/>
                <w:shd w:val="solid" w:color="000000" w:fill="000000"/>
                <w:fitText w:val="438" w:id="-961860603"/>
                <w:lang w:val="pt-PT"/>
                <w14:textFill>
                  <w14:solidFill>
                    <w14:srgbClr w14:val="000000">
                      <w14:alpha w14:val="100000"/>
                    </w14:srgbClr>
                  </w14:solidFill>
                </w14:textFill>
              </w:rPr>
              <w:t>|</w:t>
            </w:r>
            <w:r w:rsidRPr="009C3CBE">
              <w:rPr>
                <w:rFonts w:eastAsia="TimesNewRoman"/>
                <w:lang w:val="pt-PT"/>
              </w:rPr>
              <w:t xml:space="preserve">%; Other 1L tx - </w:t>
            </w:r>
            <w:r w:rsidR="00F16C78" w:rsidRPr="00F16C78">
              <w:rPr>
                <w:rFonts w:eastAsia="TimesNewRoman"/>
                <w:color w:val="000000"/>
                <w:spacing w:val="36"/>
                <w:shd w:val="solid" w:color="000000" w:fill="000000"/>
                <w:fitText w:val="438" w:id="-961860602"/>
                <w:lang w:val="pt-PT"/>
                <w14:textFill>
                  <w14:solidFill>
                    <w14:srgbClr w14:val="000000">
                      <w14:alpha w14:val="100000"/>
                    </w14:srgbClr>
                  </w14:solidFill>
                </w14:textFill>
              </w:rPr>
              <w:t>|||||</w:t>
            </w:r>
            <w:r w:rsidR="00F16C78" w:rsidRPr="00F16C78">
              <w:rPr>
                <w:rFonts w:eastAsia="TimesNewRoman"/>
                <w:color w:val="000000"/>
                <w:spacing w:val="3"/>
                <w:shd w:val="solid" w:color="000000" w:fill="000000"/>
                <w:fitText w:val="438" w:id="-961860602"/>
                <w:lang w:val="pt-PT"/>
                <w14:textFill>
                  <w14:solidFill>
                    <w14:srgbClr w14:val="000000">
                      <w14:alpha w14:val="100000"/>
                    </w14:srgbClr>
                  </w14:solidFill>
                </w14:textFill>
              </w:rPr>
              <w:t>|</w:t>
            </w:r>
            <w:r w:rsidRPr="009C3CBE">
              <w:rPr>
                <w:rFonts w:eastAsia="TimesNewRoman"/>
                <w:lang w:val="pt-PT"/>
              </w:rPr>
              <w:t>%.</w:t>
            </w:r>
          </w:p>
          <w:p w14:paraId="12723238" w14:textId="77777777" w:rsidR="00016609" w:rsidRPr="00456281" w:rsidRDefault="00016609" w:rsidP="001C2CAE">
            <w:pPr>
              <w:pStyle w:val="PBACTabletext"/>
              <w:keepNext w:val="0"/>
              <w:keepLines w:val="0"/>
              <w:widowControl w:val="0"/>
              <w:suppressLineNumbers w:val="0"/>
              <w:spacing w:after="0"/>
              <w:rPr>
                <w:rFonts w:eastAsia="TimesNewRoman"/>
              </w:rPr>
            </w:pPr>
            <w:r w:rsidRPr="00456281">
              <w:t>Santucci 2022, PURPLE Registry</w:t>
            </w:r>
          </w:p>
        </w:tc>
        <w:tc>
          <w:tcPr>
            <w:tcW w:w="2566" w:type="pct"/>
            <w:shd w:val="clear" w:color="auto" w:fill="auto"/>
            <w:vAlign w:val="center"/>
          </w:tcPr>
          <w:p w14:paraId="41FD4FC2" w14:textId="22F09FA8" w:rsidR="00016609" w:rsidRPr="00456281" w:rsidRDefault="00320B25" w:rsidP="001C2CAE">
            <w:pPr>
              <w:pStyle w:val="TableText0"/>
            </w:pPr>
            <w:r w:rsidRPr="00456281">
              <w:t>The commentary considered this was</w:t>
            </w:r>
            <w:r w:rsidR="00016609" w:rsidRPr="00456281">
              <w:t xml:space="preserve"> reasonable.</w:t>
            </w:r>
          </w:p>
        </w:tc>
      </w:tr>
      <w:tr w:rsidR="00016609" w:rsidRPr="00456281" w14:paraId="74490F9F" w14:textId="77777777" w:rsidTr="00956744">
        <w:tc>
          <w:tcPr>
            <w:tcW w:w="950" w:type="pct"/>
            <w:shd w:val="clear" w:color="auto" w:fill="auto"/>
            <w:vAlign w:val="center"/>
          </w:tcPr>
          <w:p w14:paraId="741C346B" w14:textId="77777777" w:rsidR="00016609" w:rsidRPr="00456281" w:rsidRDefault="00016609" w:rsidP="001C2CAE">
            <w:pPr>
              <w:pStyle w:val="TableText0"/>
            </w:pPr>
            <w:r w:rsidRPr="00456281">
              <w:t>NALIRIFOX uptake/substitution rates</w:t>
            </w:r>
          </w:p>
        </w:tc>
        <w:tc>
          <w:tcPr>
            <w:tcW w:w="1484" w:type="pct"/>
            <w:shd w:val="clear" w:color="auto" w:fill="auto"/>
            <w:vAlign w:val="center"/>
          </w:tcPr>
          <w:p w14:paraId="7913DA6A" w14:textId="10A9E3A2" w:rsidR="00016609" w:rsidRPr="00456281" w:rsidRDefault="00016609" w:rsidP="001C2CAE">
            <w:pPr>
              <w:pStyle w:val="PBACTabletext"/>
              <w:keepNext w:val="0"/>
              <w:keepLines w:val="0"/>
              <w:widowControl w:val="0"/>
              <w:suppressLineNumbers w:val="0"/>
              <w:spacing w:after="0"/>
              <w:rPr>
                <w:rFonts w:eastAsia="TimesNewRoman"/>
              </w:rPr>
            </w:pPr>
            <w:r w:rsidRPr="00456281">
              <w:rPr>
                <w:rFonts w:eastAsia="TimesNewRoman"/>
              </w:rPr>
              <w:t>Gem+</w:t>
            </w:r>
            <w:r w:rsidRPr="00E67FC5">
              <w:rPr>
                <w:rFonts w:eastAsia="TimesNewRoman"/>
              </w:rPr>
              <w:t xml:space="preserve">NabP - </w:t>
            </w:r>
            <w:r w:rsidR="00F16C78" w:rsidRPr="00F16C78">
              <w:rPr>
                <w:rFonts w:eastAsia="TimesNewRoman"/>
                <w:color w:val="000000"/>
                <w:spacing w:val="36"/>
                <w:shd w:val="solid" w:color="000000" w:fill="000000"/>
                <w:fitText w:val="438" w:id="-961860601"/>
                <w14:textFill>
                  <w14:solidFill>
                    <w14:srgbClr w14:val="000000">
                      <w14:alpha w14:val="100000"/>
                    </w14:srgbClr>
                  </w14:solidFill>
                </w14:textFill>
              </w:rPr>
              <w:t>|||||</w:t>
            </w:r>
            <w:r w:rsidR="00F16C78" w:rsidRPr="00F16C78">
              <w:rPr>
                <w:rFonts w:eastAsia="TimesNewRoman"/>
                <w:color w:val="000000"/>
                <w:spacing w:val="3"/>
                <w:shd w:val="solid" w:color="000000" w:fill="000000"/>
                <w:fitText w:val="438" w:id="-961860601"/>
                <w14:textFill>
                  <w14:solidFill>
                    <w14:srgbClr w14:val="000000">
                      <w14:alpha w14:val="100000"/>
                    </w14:srgbClr>
                  </w14:solidFill>
                </w14:textFill>
              </w:rPr>
              <w:t>|</w:t>
            </w:r>
            <w:r w:rsidRPr="00E67FC5">
              <w:rPr>
                <w:rFonts w:eastAsia="TimesNewRoman"/>
              </w:rPr>
              <w:t xml:space="preserve">% in Year 1, </w:t>
            </w:r>
            <w:r w:rsidR="00F16C78" w:rsidRPr="00F16C78">
              <w:rPr>
                <w:rFonts w:eastAsia="TimesNewRoman"/>
                <w:color w:val="000000"/>
                <w:spacing w:val="36"/>
                <w:shd w:val="solid" w:color="000000" w:fill="000000"/>
                <w:fitText w:val="438" w:id="-961860600"/>
                <w14:textFill>
                  <w14:solidFill>
                    <w14:srgbClr w14:val="000000">
                      <w14:alpha w14:val="100000"/>
                    </w14:srgbClr>
                  </w14:solidFill>
                </w14:textFill>
              </w:rPr>
              <w:t>|||||</w:t>
            </w:r>
            <w:r w:rsidR="00F16C78" w:rsidRPr="00F16C78">
              <w:rPr>
                <w:rFonts w:eastAsia="TimesNewRoman"/>
                <w:color w:val="000000"/>
                <w:spacing w:val="3"/>
                <w:shd w:val="solid" w:color="000000" w:fill="000000"/>
                <w:fitText w:val="438" w:id="-961860600"/>
                <w14:textFill>
                  <w14:solidFill>
                    <w14:srgbClr w14:val="000000">
                      <w14:alpha w14:val="100000"/>
                    </w14:srgbClr>
                  </w14:solidFill>
                </w14:textFill>
              </w:rPr>
              <w:t>|</w:t>
            </w:r>
            <w:r w:rsidRPr="00E67FC5">
              <w:rPr>
                <w:rFonts w:eastAsia="TimesNewRoman"/>
              </w:rPr>
              <w:t xml:space="preserve">% in Year 2 and </w:t>
            </w:r>
            <w:r w:rsidR="00F16C78" w:rsidRPr="00F16C78">
              <w:rPr>
                <w:rFonts w:eastAsia="TimesNewRoman"/>
                <w:color w:val="000000"/>
                <w:spacing w:val="36"/>
                <w:shd w:val="solid" w:color="000000" w:fill="000000"/>
                <w:fitText w:val="438" w:id="-961860599"/>
                <w14:textFill>
                  <w14:solidFill>
                    <w14:srgbClr w14:val="000000">
                      <w14:alpha w14:val="100000"/>
                    </w14:srgbClr>
                  </w14:solidFill>
                </w14:textFill>
              </w:rPr>
              <w:t>|||||</w:t>
            </w:r>
            <w:r w:rsidR="00F16C78" w:rsidRPr="00F16C78">
              <w:rPr>
                <w:rFonts w:eastAsia="TimesNewRoman"/>
                <w:color w:val="000000"/>
                <w:spacing w:val="3"/>
                <w:shd w:val="solid" w:color="000000" w:fill="000000"/>
                <w:fitText w:val="438" w:id="-961860599"/>
                <w14:textFill>
                  <w14:solidFill>
                    <w14:srgbClr w14:val="000000">
                      <w14:alpha w14:val="100000"/>
                    </w14:srgbClr>
                  </w14:solidFill>
                </w14:textFill>
              </w:rPr>
              <w:t>|</w:t>
            </w:r>
            <w:r w:rsidRPr="00E67FC5">
              <w:rPr>
                <w:rFonts w:eastAsia="TimesNewRoman"/>
              </w:rPr>
              <w:t xml:space="preserve">% in Years 3-6; </w:t>
            </w:r>
            <w:r w:rsidR="00A50C7C" w:rsidRPr="00E67FC5">
              <w:rPr>
                <w:rFonts w:eastAsia="TimesNewRoman"/>
              </w:rPr>
              <w:t xml:space="preserve">Gemcitabine </w:t>
            </w:r>
            <w:r w:rsidRPr="00E67FC5">
              <w:rPr>
                <w:rFonts w:eastAsia="TimesNewRoman"/>
              </w:rPr>
              <w:t xml:space="preserve">(mono) - </w:t>
            </w:r>
            <w:r w:rsidR="00F16C78" w:rsidRPr="00F16C78">
              <w:rPr>
                <w:rFonts w:eastAsia="TimesNewRoman"/>
                <w:color w:val="000000"/>
                <w:spacing w:val="36"/>
                <w:shd w:val="solid" w:color="000000" w:fill="000000"/>
                <w:fitText w:val="438" w:id="-961860598"/>
                <w14:textFill>
                  <w14:solidFill>
                    <w14:srgbClr w14:val="000000">
                      <w14:alpha w14:val="100000"/>
                    </w14:srgbClr>
                  </w14:solidFill>
                </w14:textFill>
              </w:rPr>
              <w:t>|||||</w:t>
            </w:r>
            <w:r w:rsidR="00F16C78" w:rsidRPr="00F16C78">
              <w:rPr>
                <w:rFonts w:eastAsia="TimesNewRoman"/>
                <w:color w:val="000000"/>
                <w:spacing w:val="3"/>
                <w:shd w:val="solid" w:color="000000" w:fill="000000"/>
                <w:fitText w:val="438" w:id="-961860598"/>
                <w14:textFill>
                  <w14:solidFill>
                    <w14:srgbClr w14:val="000000">
                      <w14:alpha w14:val="100000"/>
                    </w14:srgbClr>
                  </w14:solidFill>
                </w14:textFill>
              </w:rPr>
              <w:t>|</w:t>
            </w:r>
            <w:r w:rsidRPr="00E67FC5">
              <w:rPr>
                <w:rFonts w:eastAsia="TimesNewRoman"/>
              </w:rPr>
              <w:t xml:space="preserve">%; </w:t>
            </w:r>
            <w:r w:rsidRPr="00E67FC5">
              <w:t>FOLFIRINOX -</w:t>
            </w:r>
            <w:r w:rsidRPr="00E67FC5">
              <w:rPr>
                <w:rFonts w:eastAsia="TimesNewRoman"/>
              </w:rPr>
              <w:t xml:space="preserve"> </w:t>
            </w:r>
            <w:r w:rsidR="00F16C78" w:rsidRPr="00F16C78">
              <w:rPr>
                <w:rFonts w:eastAsia="TimesNewRoman"/>
                <w:color w:val="000000"/>
                <w:spacing w:val="36"/>
                <w:shd w:val="solid" w:color="000000" w:fill="000000"/>
                <w:fitText w:val="439" w:id="-961860597"/>
                <w14:textFill>
                  <w14:solidFill>
                    <w14:srgbClr w14:val="000000">
                      <w14:alpha w14:val="100000"/>
                    </w14:srgbClr>
                  </w14:solidFill>
                </w14:textFill>
              </w:rPr>
              <w:t>|||||</w:t>
            </w:r>
            <w:r w:rsidR="00F16C78" w:rsidRPr="00F16C78">
              <w:rPr>
                <w:rFonts w:eastAsia="TimesNewRoman"/>
                <w:color w:val="000000"/>
                <w:spacing w:val="4"/>
                <w:shd w:val="solid" w:color="000000" w:fill="000000"/>
                <w:fitText w:val="439" w:id="-961860597"/>
                <w14:textFill>
                  <w14:solidFill>
                    <w14:srgbClr w14:val="000000">
                      <w14:alpha w14:val="100000"/>
                    </w14:srgbClr>
                  </w14:solidFill>
                </w14:textFill>
              </w:rPr>
              <w:t>|</w:t>
            </w:r>
            <w:r w:rsidRPr="00E67FC5">
              <w:rPr>
                <w:rFonts w:eastAsia="TimesNewRoman"/>
              </w:rPr>
              <w:t xml:space="preserve">%; Other 1L tx - </w:t>
            </w:r>
            <w:r w:rsidR="00F16C78" w:rsidRPr="00F16C78">
              <w:rPr>
                <w:rFonts w:eastAsia="TimesNewRoman"/>
                <w:color w:val="000000"/>
                <w:spacing w:val="36"/>
                <w:shd w:val="solid" w:color="000000" w:fill="000000"/>
                <w:fitText w:val="438" w:id="-961860596"/>
                <w14:textFill>
                  <w14:solidFill>
                    <w14:srgbClr w14:val="000000">
                      <w14:alpha w14:val="100000"/>
                    </w14:srgbClr>
                  </w14:solidFill>
                </w14:textFill>
              </w:rPr>
              <w:t>|||||</w:t>
            </w:r>
            <w:r w:rsidR="00F16C78" w:rsidRPr="00F16C78">
              <w:rPr>
                <w:rFonts w:eastAsia="TimesNewRoman"/>
                <w:color w:val="000000"/>
                <w:spacing w:val="3"/>
                <w:shd w:val="solid" w:color="000000" w:fill="000000"/>
                <w:fitText w:val="438" w:id="-961860596"/>
                <w14:textFill>
                  <w14:solidFill>
                    <w14:srgbClr w14:val="000000">
                      <w14:alpha w14:val="100000"/>
                    </w14:srgbClr>
                  </w14:solidFill>
                </w14:textFill>
              </w:rPr>
              <w:t>|</w:t>
            </w:r>
            <w:r w:rsidRPr="00E67FC5">
              <w:rPr>
                <w:rFonts w:eastAsia="TimesNewRoman"/>
              </w:rPr>
              <w:t>%</w:t>
            </w:r>
          </w:p>
          <w:p w14:paraId="09AF03EE" w14:textId="77777777" w:rsidR="00016609" w:rsidRPr="00456281" w:rsidRDefault="00016609" w:rsidP="001C2CAE">
            <w:pPr>
              <w:pStyle w:val="PBACTabletext"/>
              <w:keepNext w:val="0"/>
              <w:keepLines w:val="0"/>
              <w:widowControl w:val="0"/>
              <w:suppressLineNumbers w:val="0"/>
              <w:spacing w:after="0"/>
              <w:rPr>
                <w:rFonts w:eastAsia="TimesNewRoman"/>
              </w:rPr>
            </w:pPr>
            <w:r w:rsidRPr="00456281">
              <w:rPr>
                <w:rFonts w:eastAsia="TimesNewRoman"/>
              </w:rPr>
              <w:t>Assumption</w:t>
            </w:r>
          </w:p>
        </w:tc>
        <w:tc>
          <w:tcPr>
            <w:tcW w:w="2566" w:type="pct"/>
            <w:shd w:val="clear" w:color="auto" w:fill="auto"/>
            <w:vAlign w:val="center"/>
          </w:tcPr>
          <w:p w14:paraId="1A3678D6" w14:textId="77777777" w:rsidR="00016609" w:rsidRPr="00456281" w:rsidRDefault="00016609" w:rsidP="001C2CAE">
            <w:pPr>
              <w:pStyle w:val="TableText0"/>
              <w:keepNext w:val="0"/>
              <w:widowControl w:val="0"/>
              <w:rPr>
                <w:rFonts w:eastAsia="TimesNewRoman"/>
              </w:rPr>
            </w:pPr>
            <w:r w:rsidRPr="00456281">
              <w:rPr>
                <w:rFonts w:eastAsia="TimesNewRoman"/>
              </w:rPr>
              <w:t>The submission estimates of substitution from Gem+NabP to NALIRIFOX are uncertain and likely to be high given the toxicity profile of NALIRIFOX.</w:t>
            </w:r>
          </w:p>
          <w:p w14:paraId="36C66623" w14:textId="2433A653" w:rsidR="00016609" w:rsidRPr="00456281" w:rsidRDefault="00016609" w:rsidP="001C2CAE">
            <w:pPr>
              <w:pStyle w:val="TableText0"/>
              <w:keepNext w:val="0"/>
              <w:widowControl w:val="0"/>
              <w:rPr>
                <w:rFonts w:eastAsia="TimesNewRoman"/>
              </w:rPr>
            </w:pPr>
            <w:r w:rsidRPr="00456281">
              <w:rPr>
                <w:rFonts w:eastAsia="TimesNewRoman"/>
              </w:rPr>
              <w:t xml:space="preserve">The submission assumed the substitution rates from other first-line treatments such as FOLFIRINOX to be </w:t>
            </w:r>
            <w:r w:rsidR="00F16C78" w:rsidRPr="00F16C78">
              <w:rPr>
                <w:rFonts w:eastAsia="TimesNewRoman"/>
                <w:color w:val="000000"/>
                <w:spacing w:val="36"/>
                <w:shd w:val="solid" w:color="000000" w:fill="000000"/>
                <w:fitText w:val="439" w:id="-961860595"/>
                <w14:textFill>
                  <w14:solidFill>
                    <w14:srgbClr w14:val="000000">
                      <w14:alpha w14:val="100000"/>
                    </w14:srgbClr>
                  </w14:solidFill>
                </w14:textFill>
              </w:rPr>
              <w:t>|||||</w:t>
            </w:r>
            <w:r w:rsidR="00F16C78" w:rsidRPr="00F16C78">
              <w:rPr>
                <w:rFonts w:eastAsia="TimesNewRoman"/>
                <w:color w:val="000000"/>
                <w:spacing w:val="4"/>
                <w:shd w:val="solid" w:color="000000" w:fill="000000"/>
                <w:fitText w:val="439" w:id="-961860595"/>
                <w14:textFill>
                  <w14:solidFill>
                    <w14:srgbClr w14:val="000000">
                      <w14:alpha w14:val="100000"/>
                    </w14:srgbClr>
                  </w14:solidFill>
                </w14:textFill>
              </w:rPr>
              <w:t>|</w:t>
            </w:r>
            <w:r w:rsidRPr="00E67FC5">
              <w:rPr>
                <w:rFonts w:eastAsia="TimesNewRoman"/>
              </w:rPr>
              <w:t>%</w:t>
            </w:r>
            <w:r w:rsidRPr="00456281">
              <w:rPr>
                <w:rFonts w:eastAsia="TimesNewRoman"/>
              </w:rPr>
              <w:t xml:space="preserve"> which is unlikely. FOLFIRINOX is considered a relevant secondary comparator as data from the PURPLE registry data suggests that </w:t>
            </w:r>
            <w:r w:rsidRPr="009A3AE9">
              <w:rPr>
                <w:rFonts w:eastAsia="TimesNewRoman"/>
              </w:rPr>
              <w:t xml:space="preserve">about </w:t>
            </w:r>
            <w:r w:rsidRPr="00F41B81">
              <w:rPr>
                <w:rFonts w:eastAsia="TimesNewRoman"/>
              </w:rPr>
              <w:t>11%</w:t>
            </w:r>
            <w:r w:rsidRPr="009A3AE9">
              <w:rPr>
                <w:rFonts w:eastAsia="TimesNewRoman"/>
              </w:rPr>
              <w:t xml:space="preserve"> of</w:t>
            </w:r>
            <w:r w:rsidRPr="00456281">
              <w:rPr>
                <w:rFonts w:eastAsia="TimesNewRoman"/>
              </w:rPr>
              <w:t xml:space="preserve"> patients receive FOLFIRINOX as first line treatment for mPAC in Australia.</w:t>
            </w:r>
          </w:p>
        </w:tc>
      </w:tr>
      <w:tr w:rsidR="00016609" w:rsidRPr="00456281" w14:paraId="7B0E7BB6" w14:textId="77777777" w:rsidTr="00956744">
        <w:tc>
          <w:tcPr>
            <w:tcW w:w="950" w:type="pct"/>
            <w:shd w:val="clear" w:color="auto" w:fill="auto"/>
            <w:vAlign w:val="center"/>
          </w:tcPr>
          <w:p w14:paraId="31E94ED5" w14:textId="77777777" w:rsidR="00016609" w:rsidRPr="00456281" w:rsidRDefault="00016609" w:rsidP="001C2CAE">
            <w:pPr>
              <w:pStyle w:val="TableText0"/>
            </w:pPr>
            <w:r w:rsidRPr="00456281">
              <w:t>Number treated (NALIRIFOX)</w:t>
            </w:r>
          </w:p>
        </w:tc>
        <w:tc>
          <w:tcPr>
            <w:tcW w:w="1484" w:type="pct"/>
            <w:shd w:val="clear" w:color="auto" w:fill="auto"/>
            <w:vAlign w:val="center"/>
          </w:tcPr>
          <w:p w14:paraId="5E8215D2" w14:textId="50C7A164" w:rsidR="00016609" w:rsidRPr="00456281" w:rsidRDefault="00F16C78" w:rsidP="001C2CAE">
            <w:pPr>
              <w:pStyle w:val="TableText0"/>
            </w:pPr>
            <w:r w:rsidRPr="00F16C78">
              <w:rPr>
                <w:color w:val="000000"/>
                <w:spacing w:val="36"/>
                <w:shd w:val="solid" w:color="000000" w:fill="000000"/>
                <w:fitText w:val="438" w:id="-961860594"/>
                <w14:textFill>
                  <w14:solidFill>
                    <w14:srgbClr w14:val="000000">
                      <w14:alpha w14:val="100000"/>
                    </w14:srgbClr>
                  </w14:solidFill>
                </w14:textFill>
              </w:rPr>
              <w:t>|||||</w:t>
            </w:r>
            <w:r w:rsidRPr="00F16C78">
              <w:rPr>
                <w:color w:val="000000"/>
                <w:spacing w:val="3"/>
                <w:shd w:val="solid" w:color="000000" w:fill="000000"/>
                <w:fitText w:val="438" w:id="-961860594"/>
                <w14:textFill>
                  <w14:solidFill>
                    <w14:srgbClr w14:val="000000">
                      <w14:alpha w14:val="100000"/>
                    </w14:srgbClr>
                  </w14:solidFill>
                </w14:textFill>
              </w:rPr>
              <w:t>|</w:t>
            </w:r>
            <w:r w:rsidR="00E25E0C" w:rsidRPr="009C3CBE">
              <w:rPr>
                <w:vertAlign w:val="superscript"/>
              </w:rPr>
              <w:t>1</w:t>
            </w:r>
            <w:r w:rsidR="00016609" w:rsidRPr="00456281">
              <w:t xml:space="preserve"> in Year 1, increasing to </w:t>
            </w:r>
            <w:r w:rsidRPr="00F16C78">
              <w:rPr>
                <w:color w:val="000000"/>
                <w:spacing w:val="36"/>
                <w:shd w:val="solid" w:color="000000" w:fill="000000"/>
                <w:fitText w:val="438" w:id="-961860593"/>
                <w14:textFill>
                  <w14:solidFill>
                    <w14:srgbClr w14:val="000000">
                      <w14:alpha w14:val="100000"/>
                    </w14:srgbClr>
                  </w14:solidFill>
                </w14:textFill>
              </w:rPr>
              <w:t>|||||</w:t>
            </w:r>
            <w:r w:rsidRPr="00F16C78">
              <w:rPr>
                <w:color w:val="000000"/>
                <w:spacing w:val="3"/>
                <w:shd w:val="solid" w:color="000000" w:fill="000000"/>
                <w:fitText w:val="438" w:id="-961860593"/>
                <w14:textFill>
                  <w14:solidFill>
                    <w14:srgbClr w14:val="000000">
                      <w14:alpha w14:val="100000"/>
                    </w14:srgbClr>
                  </w14:solidFill>
                </w14:textFill>
              </w:rPr>
              <w:t>|</w:t>
            </w:r>
            <w:r w:rsidR="00E25E0C" w:rsidRPr="00D21B8B">
              <w:rPr>
                <w:vertAlign w:val="superscript"/>
              </w:rPr>
              <w:t>1</w:t>
            </w:r>
            <w:r w:rsidR="00E25E0C">
              <w:rPr>
                <w:vertAlign w:val="superscript"/>
              </w:rPr>
              <w:t xml:space="preserve"> </w:t>
            </w:r>
            <w:r w:rsidR="00016609" w:rsidRPr="00456281">
              <w:t>in Year 6.</w:t>
            </w:r>
          </w:p>
        </w:tc>
        <w:tc>
          <w:tcPr>
            <w:tcW w:w="2566" w:type="pct"/>
            <w:shd w:val="clear" w:color="auto" w:fill="auto"/>
            <w:vAlign w:val="center"/>
          </w:tcPr>
          <w:p w14:paraId="3F8C0E54" w14:textId="4311C52B" w:rsidR="00016609" w:rsidRPr="00456281" w:rsidRDefault="00016609" w:rsidP="001C2CAE">
            <w:pPr>
              <w:pStyle w:val="TableText0"/>
            </w:pPr>
            <w:r w:rsidRPr="00456281">
              <w:t>Likely overestimated due to the proposed uptake rate of NALIRIFOX from Gem+NabP and the assumption relating to no FOLF</w:t>
            </w:r>
            <w:r w:rsidR="00E95A8F" w:rsidRPr="00456281">
              <w:t>I</w:t>
            </w:r>
            <w:r w:rsidRPr="00456281">
              <w:t>RINOX substitution.</w:t>
            </w:r>
          </w:p>
        </w:tc>
      </w:tr>
      <w:tr w:rsidR="00016609" w:rsidRPr="00456281" w14:paraId="26E0786E" w14:textId="77777777" w:rsidTr="00956744">
        <w:tc>
          <w:tcPr>
            <w:tcW w:w="950" w:type="pct"/>
            <w:shd w:val="clear" w:color="auto" w:fill="auto"/>
            <w:vAlign w:val="center"/>
          </w:tcPr>
          <w:p w14:paraId="75ACF517" w14:textId="77777777" w:rsidR="00016609" w:rsidRPr="00456281" w:rsidRDefault="00016609" w:rsidP="001C2CAE">
            <w:pPr>
              <w:pStyle w:val="TableText0"/>
            </w:pPr>
            <w:r w:rsidRPr="00456281">
              <w:t xml:space="preserve">Average duration of treatment per patient </w:t>
            </w:r>
          </w:p>
        </w:tc>
        <w:tc>
          <w:tcPr>
            <w:tcW w:w="1484" w:type="pct"/>
            <w:shd w:val="clear" w:color="auto" w:fill="auto"/>
            <w:vAlign w:val="center"/>
          </w:tcPr>
          <w:p w14:paraId="07437CDA" w14:textId="77777777" w:rsidR="00016609" w:rsidRPr="00456281" w:rsidRDefault="00016609" w:rsidP="001C2CAE">
            <w:pPr>
              <w:pStyle w:val="TableText0"/>
            </w:pPr>
            <w:r w:rsidRPr="009A3AE9">
              <w:t>6.5 cycles</w:t>
            </w:r>
          </w:p>
          <w:p w14:paraId="431976A9" w14:textId="77777777" w:rsidR="00016609" w:rsidRPr="00456281" w:rsidRDefault="00016609" w:rsidP="001C2CAE">
            <w:pPr>
              <w:pStyle w:val="TableText0"/>
            </w:pPr>
            <w:r w:rsidRPr="00456281">
              <w:t>NAPOLI-3 trial</w:t>
            </w:r>
          </w:p>
        </w:tc>
        <w:tc>
          <w:tcPr>
            <w:tcW w:w="2566" w:type="pct"/>
            <w:shd w:val="clear" w:color="auto" w:fill="auto"/>
            <w:vAlign w:val="center"/>
          </w:tcPr>
          <w:p w14:paraId="42EA0577" w14:textId="349A81BB" w:rsidR="00016609" w:rsidRPr="00456281" w:rsidRDefault="00320B25" w:rsidP="001C2CAE">
            <w:pPr>
              <w:pStyle w:val="TableText0"/>
            </w:pPr>
            <w:r w:rsidRPr="00456281">
              <w:t>The commentary considered this was reasonable</w:t>
            </w:r>
          </w:p>
        </w:tc>
      </w:tr>
      <w:tr w:rsidR="00016609" w:rsidRPr="00456281" w14:paraId="7EBD1535" w14:textId="77777777" w:rsidTr="00956744">
        <w:tc>
          <w:tcPr>
            <w:tcW w:w="950" w:type="pct"/>
            <w:shd w:val="clear" w:color="auto" w:fill="auto"/>
            <w:vAlign w:val="center"/>
          </w:tcPr>
          <w:p w14:paraId="0C78D168" w14:textId="77777777" w:rsidR="00016609" w:rsidRPr="00456281" w:rsidRDefault="00016609" w:rsidP="001C2CAE">
            <w:pPr>
              <w:pStyle w:val="TableText0"/>
            </w:pPr>
            <w:r w:rsidRPr="00456281">
              <w:t>Scripts dispensed</w:t>
            </w:r>
          </w:p>
        </w:tc>
        <w:tc>
          <w:tcPr>
            <w:tcW w:w="1484" w:type="pct"/>
            <w:shd w:val="clear" w:color="auto" w:fill="auto"/>
            <w:vAlign w:val="center"/>
          </w:tcPr>
          <w:p w14:paraId="1206342A" w14:textId="158765AD" w:rsidR="00016609" w:rsidRPr="00456281" w:rsidRDefault="00F16C78" w:rsidP="001C2CAE">
            <w:pPr>
              <w:pStyle w:val="TableText0"/>
            </w:pPr>
            <w:r w:rsidRPr="00F16C78">
              <w:rPr>
                <w:color w:val="000000"/>
                <w:spacing w:val="36"/>
                <w:shd w:val="solid" w:color="000000" w:fill="000000"/>
                <w:fitText w:val="438" w:id="-961860592"/>
                <w14:textFill>
                  <w14:solidFill>
                    <w14:srgbClr w14:val="000000">
                      <w14:alpha w14:val="100000"/>
                    </w14:srgbClr>
                  </w14:solidFill>
                </w14:textFill>
              </w:rPr>
              <w:t>|||||</w:t>
            </w:r>
            <w:r w:rsidRPr="00F16C78">
              <w:rPr>
                <w:color w:val="000000"/>
                <w:spacing w:val="3"/>
                <w:shd w:val="solid" w:color="000000" w:fill="000000"/>
                <w:fitText w:val="438" w:id="-961860592"/>
                <w14:textFill>
                  <w14:solidFill>
                    <w14:srgbClr w14:val="000000">
                      <w14:alpha w14:val="100000"/>
                    </w14:srgbClr>
                  </w14:solidFill>
                </w14:textFill>
              </w:rPr>
              <w:t>|</w:t>
            </w:r>
            <w:r w:rsidR="00E25E0C" w:rsidRPr="009C3CBE">
              <w:rPr>
                <w:vertAlign w:val="superscript"/>
              </w:rPr>
              <w:t>3</w:t>
            </w:r>
            <w:r w:rsidR="00016609" w:rsidRPr="00456281">
              <w:t xml:space="preserve"> in Year 1, increasing to </w:t>
            </w:r>
            <w:r w:rsidRPr="00C17D40">
              <w:rPr>
                <w:color w:val="000000"/>
                <w:spacing w:val="36"/>
                <w:shd w:val="solid" w:color="000000" w:fill="000000"/>
                <w:fitText w:val="438" w:id="-961860608"/>
                <w14:textFill>
                  <w14:solidFill>
                    <w14:srgbClr w14:val="000000">
                      <w14:alpha w14:val="100000"/>
                    </w14:srgbClr>
                  </w14:solidFill>
                </w14:textFill>
              </w:rPr>
              <w:t>|||||</w:t>
            </w:r>
            <w:r w:rsidRPr="00C17D40">
              <w:rPr>
                <w:color w:val="000000"/>
                <w:spacing w:val="3"/>
                <w:shd w:val="solid" w:color="000000" w:fill="000000"/>
                <w:fitText w:val="438" w:id="-961860608"/>
                <w14:textFill>
                  <w14:solidFill>
                    <w14:srgbClr w14:val="000000">
                      <w14:alpha w14:val="100000"/>
                    </w14:srgbClr>
                  </w14:solidFill>
                </w14:textFill>
              </w:rPr>
              <w:t>|</w:t>
            </w:r>
            <w:r w:rsidR="00E25E0C">
              <w:rPr>
                <w:vertAlign w:val="superscript"/>
              </w:rPr>
              <w:t xml:space="preserve">3 </w:t>
            </w:r>
            <w:r w:rsidR="00016609" w:rsidRPr="00456281">
              <w:t xml:space="preserve">in Year 6. </w:t>
            </w:r>
          </w:p>
          <w:p w14:paraId="130BD746" w14:textId="77777777" w:rsidR="00016609" w:rsidRPr="00456281" w:rsidRDefault="00016609" w:rsidP="001C2CAE">
            <w:pPr>
              <w:pStyle w:val="TableText0"/>
            </w:pPr>
            <w:r w:rsidRPr="00456281">
              <w:t xml:space="preserve">Product of NALIRIFOX treatment population </w:t>
            </w:r>
            <w:r w:rsidRPr="009A3AE9">
              <w:t xml:space="preserve">by </w:t>
            </w:r>
            <w:r w:rsidRPr="00F41B81">
              <w:t>13</w:t>
            </w:r>
            <w:r w:rsidRPr="009A3AE9">
              <w:t xml:space="preserve"> (2</w:t>
            </w:r>
            <w:r w:rsidRPr="00456281">
              <w:t xml:space="preserve"> administrations per cycle </w:t>
            </w:r>
            <w:r w:rsidRPr="009A3AE9">
              <w:t xml:space="preserve">x </w:t>
            </w:r>
            <w:r w:rsidRPr="00F41B81">
              <w:t>6.5</w:t>
            </w:r>
            <w:r w:rsidRPr="00456281">
              <w:t xml:space="preserve"> cycles)</w:t>
            </w:r>
          </w:p>
        </w:tc>
        <w:tc>
          <w:tcPr>
            <w:tcW w:w="2566" w:type="pct"/>
            <w:shd w:val="clear" w:color="auto" w:fill="auto"/>
            <w:vAlign w:val="center"/>
          </w:tcPr>
          <w:p w14:paraId="484E4BC1" w14:textId="77777777" w:rsidR="00016609" w:rsidRPr="00456281" w:rsidRDefault="00016609" w:rsidP="001C2CAE">
            <w:pPr>
              <w:pStyle w:val="TableText0"/>
            </w:pPr>
            <w:r w:rsidRPr="00456281">
              <w:t>Calculation of scripts dispensed has been verified.</w:t>
            </w:r>
          </w:p>
        </w:tc>
      </w:tr>
      <w:tr w:rsidR="00016609" w:rsidRPr="00456281" w14:paraId="54A156CD" w14:textId="77777777" w:rsidTr="00956744">
        <w:tc>
          <w:tcPr>
            <w:tcW w:w="5000" w:type="pct"/>
            <w:gridSpan w:val="3"/>
            <w:shd w:val="clear" w:color="auto" w:fill="auto"/>
            <w:vAlign w:val="center"/>
          </w:tcPr>
          <w:p w14:paraId="36E39A40" w14:textId="77777777" w:rsidR="00016609" w:rsidRPr="00456281" w:rsidRDefault="00016609" w:rsidP="001C2CAE">
            <w:pPr>
              <w:pStyle w:val="TableText0"/>
              <w:rPr>
                <w:b/>
                <w:bCs w:val="0"/>
              </w:rPr>
            </w:pPr>
            <w:r w:rsidRPr="00456281">
              <w:rPr>
                <w:b/>
                <w:bCs w:val="0"/>
              </w:rPr>
              <w:t>PBS/RPBS costs</w:t>
            </w:r>
          </w:p>
        </w:tc>
      </w:tr>
      <w:tr w:rsidR="00016609" w:rsidRPr="00456281" w14:paraId="7E4A7CF5" w14:textId="77777777" w:rsidTr="00956744">
        <w:tc>
          <w:tcPr>
            <w:tcW w:w="950" w:type="pct"/>
            <w:vMerge w:val="restart"/>
            <w:shd w:val="clear" w:color="auto" w:fill="auto"/>
            <w:vAlign w:val="center"/>
          </w:tcPr>
          <w:p w14:paraId="4C8BD03C" w14:textId="77777777" w:rsidR="00016609" w:rsidRPr="00456281" w:rsidRDefault="00016609" w:rsidP="001C2CAE">
            <w:pPr>
              <w:pStyle w:val="TableText0"/>
            </w:pPr>
            <w:r w:rsidRPr="00456281">
              <w:t>Nal-IRI</w:t>
            </w:r>
          </w:p>
        </w:tc>
        <w:tc>
          <w:tcPr>
            <w:tcW w:w="1484" w:type="pct"/>
            <w:shd w:val="clear" w:color="auto" w:fill="auto"/>
            <w:vAlign w:val="center"/>
          </w:tcPr>
          <w:p w14:paraId="2AC07EDE" w14:textId="77777777" w:rsidR="00016609" w:rsidRPr="00456281" w:rsidRDefault="00016609" w:rsidP="001C2CAE">
            <w:pPr>
              <w:pStyle w:val="TableText0"/>
            </w:pPr>
            <w:r w:rsidRPr="00456281">
              <w:t>$1,300 - Published AEMP</w:t>
            </w:r>
          </w:p>
        </w:tc>
        <w:tc>
          <w:tcPr>
            <w:tcW w:w="2566" w:type="pct"/>
            <w:vMerge w:val="restart"/>
            <w:shd w:val="clear" w:color="auto" w:fill="auto"/>
            <w:vAlign w:val="center"/>
          </w:tcPr>
          <w:p w14:paraId="35CFC1CC" w14:textId="77777777" w:rsidR="00016609" w:rsidRPr="00456281" w:rsidRDefault="00016609" w:rsidP="001C2CAE">
            <w:pPr>
              <w:pStyle w:val="TableText0"/>
            </w:pPr>
          </w:p>
        </w:tc>
      </w:tr>
      <w:tr w:rsidR="00016609" w:rsidRPr="00456281" w14:paraId="502E1AD3" w14:textId="77777777" w:rsidTr="00956744">
        <w:tc>
          <w:tcPr>
            <w:tcW w:w="950" w:type="pct"/>
            <w:vMerge/>
            <w:shd w:val="clear" w:color="auto" w:fill="auto"/>
            <w:vAlign w:val="center"/>
          </w:tcPr>
          <w:p w14:paraId="0AA8B8A5" w14:textId="77777777" w:rsidR="00016609" w:rsidRPr="00456281" w:rsidRDefault="00016609" w:rsidP="001C2CAE">
            <w:pPr>
              <w:pStyle w:val="TableText0"/>
            </w:pPr>
          </w:p>
        </w:tc>
        <w:tc>
          <w:tcPr>
            <w:tcW w:w="1484" w:type="pct"/>
            <w:shd w:val="clear" w:color="auto" w:fill="auto"/>
            <w:vAlign w:val="center"/>
          </w:tcPr>
          <w:p w14:paraId="05C04C50" w14:textId="0E89A9E3" w:rsidR="00016609" w:rsidRPr="00456281" w:rsidRDefault="00016609" w:rsidP="001C2CAE">
            <w:pPr>
              <w:pStyle w:val="TableText0"/>
            </w:pPr>
            <w:r w:rsidRPr="00456281">
              <w:t>$</w:t>
            </w:r>
            <w:r w:rsidR="00F16C78" w:rsidRPr="00F16C78">
              <w:rPr>
                <w:color w:val="000000"/>
                <w:spacing w:val="36"/>
                <w:shd w:val="solid" w:color="000000" w:fill="000000"/>
                <w:fitText w:val="438" w:id="-961860607"/>
                <w14:textFill>
                  <w14:solidFill>
                    <w14:srgbClr w14:val="000000">
                      <w14:alpha w14:val="100000"/>
                    </w14:srgbClr>
                  </w14:solidFill>
                </w14:textFill>
              </w:rPr>
              <w:t>|||||</w:t>
            </w:r>
            <w:r w:rsidR="00F16C78" w:rsidRPr="00F16C78">
              <w:rPr>
                <w:color w:val="000000"/>
                <w:spacing w:val="3"/>
                <w:shd w:val="solid" w:color="000000" w:fill="000000"/>
                <w:fitText w:val="438" w:id="-961860607"/>
                <w14:textFill>
                  <w14:solidFill>
                    <w14:srgbClr w14:val="000000">
                      <w14:alpha w14:val="100000"/>
                    </w14:srgbClr>
                  </w14:solidFill>
                </w14:textFill>
              </w:rPr>
              <w:t>|</w:t>
            </w:r>
            <w:r w:rsidRPr="00456281">
              <w:t xml:space="preserve"> - Effective AEMP</w:t>
            </w:r>
          </w:p>
        </w:tc>
        <w:tc>
          <w:tcPr>
            <w:tcW w:w="2566" w:type="pct"/>
            <w:vMerge/>
            <w:shd w:val="clear" w:color="auto" w:fill="auto"/>
            <w:vAlign w:val="center"/>
          </w:tcPr>
          <w:p w14:paraId="3D3C5FA5" w14:textId="77777777" w:rsidR="00016609" w:rsidRPr="00456281" w:rsidRDefault="00016609" w:rsidP="001C2CAE">
            <w:pPr>
              <w:pStyle w:val="TableText0"/>
            </w:pPr>
          </w:p>
        </w:tc>
      </w:tr>
      <w:tr w:rsidR="00016609" w:rsidRPr="00456281" w14:paraId="7A49C8D9" w14:textId="77777777" w:rsidTr="00956744">
        <w:tc>
          <w:tcPr>
            <w:tcW w:w="950" w:type="pct"/>
            <w:shd w:val="clear" w:color="auto" w:fill="auto"/>
            <w:vAlign w:val="center"/>
          </w:tcPr>
          <w:p w14:paraId="13C80159" w14:textId="77777777" w:rsidR="00016609" w:rsidRPr="00456281" w:rsidRDefault="00016609" w:rsidP="001C2CAE">
            <w:pPr>
              <w:pStyle w:val="TableText0"/>
            </w:pPr>
            <w:r w:rsidRPr="00456281">
              <w:t>Average vials of nal-IRI per administration</w:t>
            </w:r>
          </w:p>
        </w:tc>
        <w:tc>
          <w:tcPr>
            <w:tcW w:w="1484" w:type="pct"/>
            <w:shd w:val="clear" w:color="auto" w:fill="auto"/>
            <w:vAlign w:val="center"/>
          </w:tcPr>
          <w:p w14:paraId="7AE86DFF" w14:textId="77777777" w:rsidR="00016609" w:rsidRPr="009A3AE9" w:rsidRDefault="00016609" w:rsidP="001C2CAE">
            <w:pPr>
              <w:pStyle w:val="TableText0"/>
            </w:pPr>
            <w:r w:rsidRPr="009A3AE9">
              <w:t>2.13</w:t>
            </w:r>
          </w:p>
          <w:p w14:paraId="41D0D875" w14:textId="77777777" w:rsidR="00016609" w:rsidRPr="00456281" w:rsidRDefault="00016609" w:rsidP="001C2CAE">
            <w:pPr>
              <w:pStyle w:val="TableText0"/>
            </w:pPr>
            <w:r w:rsidRPr="009A3AE9">
              <w:t>NAPOLI</w:t>
            </w:r>
            <w:r w:rsidRPr="00456281">
              <w:t>-3 trial</w:t>
            </w:r>
          </w:p>
        </w:tc>
        <w:tc>
          <w:tcPr>
            <w:tcW w:w="2566" w:type="pct"/>
            <w:shd w:val="clear" w:color="auto" w:fill="auto"/>
            <w:vAlign w:val="center"/>
          </w:tcPr>
          <w:p w14:paraId="040CCE0F" w14:textId="77777777" w:rsidR="00016609" w:rsidRPr="00456281" w:rsidRDefault="00016609" w:rsidP="001C2CAE">
            <w:pPr>
              <w:pStyle w:val="TableText0"/>
            </w:pPr>
            <w:r w:rsidRPr="00456281">
              <w:t>Average number of vials per administration were based on actual doses administered in the NAPOLI-3 trial. This is appropriate.</w:t>
            </w:r>
          </w:p>
        </w:tc>
      </w:tr>
      <w:tr w:rsidR="00016609" w:rsidRPr="00456281" w14:paraId="2A7E5B79" w14:textId="77777777" w:rsidTr="00956744">
        <w:tc>
          <w:tcPr>
            <w:tcW w:w="950" w:type="pct"/>
            <w:shd w:val="clear" w:color="auto" w:fill="auto"/>
            <w:vAlign w:val="center"/>
          </w:tcPr>
          <w:p w14:paraId="7BAB1DE5" w14:textId="77777777" w:rsidR="00016609" w:rsidRPr="00456281" w:rsidRDefault="00016609" w:rsidP="001C2CAE">
            <w:pPr>
              <w:pStyle w:val="TableText0"/>
            </w:pPr>
            <w:r w:rsidRPr="00456281">
              <w:t>MBS costs</w:t>
            </w:r>
          </w:p>
        </w:tc>
        <w:tc>
          <w:tcPr>
            <w:tcW w:w="1484" w:type="pct"/>
            <w:shd w:val="clear" w:color="auto" w:fill="auto"/>
            <w:vAlign w:val="center"/>
          </w:tcPr>
          <w:p w14:paraId="6EA6DE23" w14:textId="77777777" w:rsidR="00016609" w:rsidRPr="00456281" w:rsidRDefault="00016609" w:rsidP="001C2CAE">
            <w:pPr>
              <w:pStyle w:val="TableText0"/>
            </w:pPr>
            <w:r w:rsidRPr="00456281">
              <w:t>$118.30</w:t>
            </w:r>
          </w:p>
          <w:p w14:paraId="12A4DFFA" w14:textId="77777777" w:rsidR="00016609" w:rsidRPr="00456281" w:rsidRDefault="00016609" w:rsidP="001C2CAE">
            <w:pPr>
              <w:pStyle w:val="TableText0"/>
            </w:pPr>
            <w:r w:rsidRPr="00456281">
              <w:t>MBS item number 13950</w:t>
            </w:r>
          </w:p>
        </w:tc>
        <w:tc>
          <w:tcPr>
            <w:tcW w:w="2566" w:type="pct"/>
            <w:shd w:val="clear" w:color="auto" w:fill="auto"/>
            <w:vAlign w:val="center"/>
          </w:tcPr>
          <w:p w14:paraId="5A3125A7" w14:textId="3239061C" w:rsidR="00016609" w:rsidRPr="00456281" w:rsidRDefault="00320B25" w:rsidP="001C2CAE">
            <w:pPr>
              <w:pStyle w:val="TableText0"/>
            </w:pPr>
            <w:r w:rsidRPr="00456281">
              <w:t>The commentary considered this was reasonable.</w:t>
            </w:r>
          </w:p>
        </w:tc>
      </w:tr>
    </w:tbl>
    <w:p w14:paraId="4C8808B3" w14:textId="77777777" w:rsidR="00016609" w:rsidRPr="00456281" w:rsidRDefault="00016609" w:rsidP="00016609">
      <w:pPr>
        <w:pStyle w:val="FooterTableFigure"/>
        <w:widowControl w:val="0"/>
      </w:pPr>
      <w:r w:rsidRPr="00456281">
        <w:t xml:space="preserve">Source: Table 61, p156 of the submission; Table 62, p161 of the submission; Table 63, p162 of the submission; Section 4.5.2, p172 of the </w:t>
      </w:r>
      <w:r w:rsidRPr="00456281">
        <w:lastRenderedPageBreak/>
        <w:t>submission</w:t>
      </w:r>
    </w:p>
    <w:p w14:paraId="19C28968" w14:textId="1D05048C" w:rsidR="00016609" w:rsidRDefault="00016609" w:rsidP="00016609">
      <w:pPr>
        <w:pStyle w:val="FooterTableFigure"/>
      </w:pPr>
      <w:r w:rsidRPr="00456281">
        <w:t xml:space="preserve">Abbreviations: AEMP, Approved ex-manufacturer price; AIHW, Australian Institute of Health and Welfare; FOLFIRINOX, Fluorouracil, Folinic Acid, Irinotecan, Oxaliplatin; Gem+NabP, gemcitabine plus nanoparticle </w:t>
      </w:r>
      <w:r w:rsidR="00D83C9B" w:rsidRPr="00456281">
        <w:t>albumin-bound</w:t>
      </w:r>
      <w:r w:rsidRPr="00456281">
        <w:t xml:space="preserve"> paclitaxel; IRI, irinotecan; MBS, Medicare Benefits Schedule; mPAC, metastatic pancreatic adenocarcinoma; NALIRIFOX, nanoliposomal irinotecan (nal-IRI) in combination with 5-fluorouracil, leucovorin/folinic acid, and oxaliplatin; nal-IRI, </w:t>
      </w:r>
      <w:r w:rsidR="00E43A2C" w:rsidRPr="00456281">
        <w:t>nanoliposomal</w:t>
      </w:r>
      <w:r w:rsidRPr="00456281">
        <w:t xml:space="preserve"> irinotecan; PBS, Pharmaceutical Benefits Scheme; RPBS, Repatriation Pharmaceutical Benefits Scheme; </w:t>
      </w:r>
      <w:r w:rsidR="00E067E8" w:rsidRPr="00456281">
        <w:t xml:space="preserve">tx, treatment; </w:t>
      </w:r>
      <w:r w:rsidRPr="00456281">
        <w:t>1l, first line.</w:t>
      </w:r>
    </w:p>
    <w:p w14:paraId="19F54AD2" w14:textId="77777777" w:rsidR="00E25E0C" w:rsidRDefault="00E25E0C" w:rsidP="00E25E0C">
      <w:pPr>
        <w:pStyle w:val="FooterTableFigure"/>
        <w:rPr>
          <w:i/>
          <w:iCs/>
        </w:rPr>
      </w:pPr>
      <w:bookmarkStart w:id="149" w:name="_Hlk166835718"/>
      <w:r w:rsidRPr="00E25E0C">
        <w:rPr>
          <w:i/>
          <w:iCs/>
        </w:rPr>
        <w:t>The redacted values correspond to the following ranges:</w:t>
      </w:r>
    </w:p>
    <w:p w14:paraId="68D72D4A" w14:textId="392C9715" w:rsidR="00E25E0C" w:rsidRPr="00E25E0C" w:rsidRDefault="00E25E0C" w:rsidP="00E25E0C">
      <w:pPr>
        <w:pStyle w:val="FooterTableFigure"/>
        <w:rPr>
          <w:i/>
          <w:iCs/>
        </w:rPr>
      </w:pPr>
      <w:bookmarkStart w:id="150" w:name="_Hlk113629046"/>
      <w:r w:rsidRPr="009C3CBE">
        <w:rPr>
          <w:i/>
          <w:iCs/>
          <w:vertAlign w:val="superscript"/>
        </w:rPr>
        <w:t>1</w:t>
      </w:r>
      <w:r>
        <w:rPr>
          <w:i/>
          <w:iCs/>
        </w:rPr>
        <w:t xml:space="preserve"> </w:t>
      </w:r>
      <w:r w:rsidRPr="00E25E0C">
        <w:rPr>
          <w:i/>
          <w:iCs/>
        </w:rPr>
        <w:t>500 to &lt; 5,000</w:t>
      </w:r>
    </w:p>
    <w:p w14:paraId="21F14DC5" w14:textId="1C63F384" w:rsidR="00E25E0C" w:rsidRPr="00E25E0C" w:rsidRDefault="00E25E0C" w:rsidP="00E25E0C">
      <w:pPr>
        <w:pStyle w:val="FooterTableFigure"/>
        <w:rPr>
          <w:i/>
          <w:iCs/>
        </w:rPr>
      </w:pPr>
      <w:bookmarkStart w:id="151" w:name="_Hlk113629206"/>
      <w:bookmarkEnd w:id="150"/>
      <w:r w:rsidRPr="009C3CBE">
        <w:rPr>
          <w:i/>
          <w:iCs/>
          <w:vertAlign w:val="superscript"/>
        </w:rPr>
        <w:t>2</w:t>
      </w:r>
      <w:r>
        <w:rPr>
          <w:i/>
          <w:iCs/>
        </w:rPr>
        <w:t xml:space="preserve"> </w:t>
      </w:r>
      <w:r w:rsidRPr="00E25E0C">
        <w:rPr>
          <w:i/>
          <w:iCs/>
        </w:rPr>
        <w:t>5,000 to &lt; 10,000</w:t>
      </w:r>
    </w:p>
    <w:bookmarkEnd w:id="151"/>
    <w:p w14:paraId="732DAB88" w14:textId="1F8C1358" w:rsidR="00E25E0C" w:rsidRPr="001C2CAE" w:rsidRDefault="00E25E0C" w:rsidP="00016609">
      <w:pPr>
        <w:pStyle w:val="FooterTableFigure"/>
        <w:rPr>
          <w:i/>
          <w:iCs/>
        </w:rPr>
      </w:pPr>
      <w:r w:rsidRPr="009C3CBE">
        <w:rPr>
          <w:i/>
          <w:iCs/>
          <w:vertAlign w:val="superscript"/>
        </w:rPr>
        <w:t>3</w:t>
      </w:r>
      <w:r>
        <w:rPr>
          <w:i/>
          <w:iCs/>
        </w:rPr>
        <w:t xml:space="preserve"> </w:t>
      </w:r>
      <w:r w:rsidRPr="00E25E0C">
        <w:rPr>
          <w:i/>
          <w:iCs/>
        </w:rPr>
        <w:t>10,000 to &lt; 20,000</w:t>
      </w:r>
      <w:bookmarkEnd w:id="149"/>
    </w:p>
    <w:p w14:paraId="571E0E1B" w14:textId="03280589" w:rsidR="00016609" w:rsidRPr="00456281" w:rsidRDefault="00016609" w:rsidP="00016609">
      <w:pPr>
        <w:pStyle w:val="3-BodyText"/>
      </w:pPr>
      <w:r w:rsidRPr="00456281">
        <w:rPr>
          <w:color w:val="000000" w:themeColor="text1"/>
        </w:rPr>
        <w:t>The estimated use and financial implications for the PBS listing of nal-IRI are summarised in</w:t>
      </w:r>
      <w:r w:rsidR="00881247" w:rsidRPr="00456281">
        <w:rPr>
          <w:color w:val="000000" w:themeColor="text1"/>
        </w:rPr>
        <w:t xml:space="preserve"> </w:t>
      </w:r>
      <w:r w:rsidR="00881247" w:rsidRPr="00456281">
        <w:rPr>
          <w:color w:val="000000" w:themeColor="text1"/>
        </w:rPr>
        <w:fldChar w:fldCharType="begin"/>
      </w:r>
      <w:r w:rsidR="00881247" w:rsidRPr="00456281">
        <w:rPr>
          <w:color w:val="000000" w:themeColor="text1"/>
        </w:rPr>
        <w:instrText xml:space="preserve"> REF _Ref104805295 \h </w:instrText>
      </w:r>
      <w:r w:rsidR="00881247" w:rsidRPr="00456281">
        <w:rPr>
          <w:color w:val="000000" w:themeColor="text1"/>
        </w:rPr>
      </w:r>
      <w:r w:rsidR="00881247" w:rsidRPr="00456281">
        <w:rPr>
          <w:color w:val="000000" w:themeColor="text1"/>
        </w:rPr>
        <w:fldChar w:fldCharType="separate"/>
      </w:r>
      <w:r w:rsidR="00EE5AD4" w:rsidRPr="00456281">
        <w:t xml:space="preserve">Table </w:t>
      </w:r>
      <w:r w:rsidR="00EE5AD4">
        <w:rPr>
          <w:noProof/>
        </w:rPr>
        <w:t>20</w:t>
      </w:r>
      <w:r w:rsidR="00881247" w:rsidRPr="00456281">
        <w:rPr>
          <w:color w:val="000000" w:themeColor="text1"/>
        </w:rPr>
        <w:fldChar w:fldCharType="end"/>
      </w:r>
      <w:r w:rsidRPr="00456281">
        <w:rPr>
          <w:color w:val="000000" w:themeColor="text1"/>
        </w:rPr>
        <w:t>.</w:t>
      </w:r>
      <w:r w:rsidRPr="00456281">
        <w:rPr>
          <w:i/>
        </w:rPr>
        <w:t xml:space="preserve"> </w:t>
      </w:r>
    </w:p>
    <w:p w14:paraId="37100BE8" w14:textId="27735DFC" w:rsidR="00016609" w:rsidRPr="00456281" w:rsidRDefault="00016609" w:rsidP="00016609">
      <w:pPr>
        <w:pStyle w:val="3-BodyText"/>
        <w:rPr>
          <w:b/>
          <w:bCs/>
          <w:color w:val="000000" w:themeColor="text1"/>
        </w:rPr>
      </w:pPr>
      <w:r w:rsidRPr="00456281">
        <w:t xml:space="preserve">The submission incorrectly applied co-payments to all scripts. EFC medications should only attract </w:t>
      </w:r>
      <w:r w:rsidR="0042473C" w:rsidRPr="00456281">
        <w:t xml:space="preserve">a </w:t>
      </w:r>
      <w:r w:rsidRPr="00456281">
        <w:t>co-payment for each initial script but not repeats. Therefore, co-payment costs were overestimated. This was corrected during the evaluation. The discrepancies were small (about 1% difference).</w:t>
      </w:r>
    </w:p>
    <w:p w14:paraId="7DA5A4E9" w14:textId="3130A1BE" w:rsidR="00016609" w:rsidRPr="00456281" w:rsidRDefault="00016609" w:rsidP="001C2CAE">
      <w:pPr>
        <w:pStyle w:val="TableHeading0"/>
        <w:spacing w:before="0" w:after="0" w:line="240" w:lineRule="auto"/>
      </w:pPr>
      <w:bookmarkStart w:id="152" w:name="_Ref104805295"/>
      <w:r w:rsidRPr="00456281">
        <w:t xml:space="preserve">Table </w:t>
      </w:r>
      <w:r w:rsidR="00B75F7B">
        <w:fldChar w:fldCharType="begin"/>
      </w:r>
      <w:r w:rsidR="00B75F7B">
        <w:instrText xml:space="preserve"> SEQ Table \* ARABIC </w:instrText>
      </w:r>
      <w:r w:rsidR="00B75F7B">
        <w:fldChar w:fldCharType="separate"/>
      </w:r>
      <w:r w:rsidR="00EE5AD4">
        <w:rPr>
          <w:noProof/>
        </w:rPr>
        <w:t>20</w:t>
      </w:r>
      <w:r w:rsidR="00B75F7B">
        <w:fldChar w:fldCharType="end"/>
      </w:r>
      <w:bookmarkEnd w:id="152"/>
      <w:r w:rsidRPr="00456281">
        <w:t>:</w:t>
      </w:r>
      <w:r w:rsidRPr="00456281">
        <w:rPr>
          <w:rStyle w:val="CommentReference"/>
          <w:b/>
          <w:szCs w:val="20"/>
        </w:rPr>
        <w:t xml:space="preserve"> Estimated use and financial implications (effective price</w:t>
      </w:r>
      <w:r w:rsidR="00B960BF" w:rsidRPr="00456281">
        <w:rPr>
          <w:rStyle w:val="CommentReference"/>
          <w:b/>
          <w:szCs w:val="20"/>
        </w:rPr>
        <w:t xml:space="preserve"> of nal</w:t>
      </w:r>
      <w:r w:rsidR="00456281">
        <w:rPr>
          <w:rStyle w:val="CommentReference"/>
          <w:b/>
          <w:szCs w:val="20"/>
        </w:rPr>
        <w:t>-</w:t>
      </w:r>
      <w:r w:rsidR="00B960BF" w:rsidRPr="00456281">
        <w:rPr>
          <w:rStyle w:val="CommentReference"/>
          <w:b/>
          <w:szCs w:val="20"/>
        </w:rPr>
        <w:t>IRI</w:t>
      </w:r>
      <w:r w:rsidRPr="00456281">
        <w:rPr>
          <w:rStyle w:val="CommentReference"/>
          <w:b/>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0: Estimated use and financial implications (effective price of nal-IRI) "/>
      </w:tblPr>
      <w:tblGrid>
        <w:gridCol w:w="2405"/>
        <w:gridCol w:w="1102"/>
        <w:gridCol w:w="1102"/>
        <w:gridCol w:w="1102"/>
        <w:gridCol w:w="1102"/>
        <w:gridCol w:w="1102"/>
        <w:gridCol w:w="1102"/>
      </w:tblGrid>
      <w:tr w:rsidR="00016609" w:rsidRPr="00456281" w14:paraId="71D2B07A" w14:textId="77777777" w:rsidTr="00956744">
        <w:trPr>
          <w:tblHeader/>
        </w:trPr>
        <w:tc>
          <w:tcPr>
            <w:tcW w:w="1334" w:type="pct"/>
            <w:shd w:val="clear" w:color="auto" w:fill="auto"/>
            <w:vAlign w:val="center"/>
          </w:tcPr>
          <w:p w14:paraId="56B4727C" w14:textId="77777777" w:rsidR="00016609" w:rsidRPr="00456281" w:rsidRDefault="00016609" w:rsidP="001C2CAE">
            <w:pPr>
              <w:pStyle w:val="In-tableHeading"/>
              <w:jc w:val="center"/>
              <w:rPr>
                <w:lang w:val="en-AU"/>
              </w:rPr>
            </w:pPr>
          </w:p>
        </w:tc>
        <w:tc>
          <w:tcPr>
            <w:tcW w:w="611" w:type="pct"/>
            <w:shd w:val="clear" w:color="auto" w:fill="auto"/>
            <w:vAlign w:val="center"/>
          </w:tcPr>
          <w:p w14:paraId="6398D1FE" w14:textId="77777777" w:rsidR="00016609" w:rsidRPr="00456281" w:rsidRDefault="00016609" w:rsidP="001C2CAE">
            <w:pPr>
              <w:pStyle w:val="In-tableHeading"/>
              <w:jc w:val="center"/>
              <w:rPr>
                <w:lang w:val="en-AU"/>
              </w:rPr>
            </w:pPr>
            <w:r w:rsidRPr="00456281">
              <w:rPr>
                <w:lang w:val="en-AU"/>
              </w:rPr>
              <w:t>Year 1</w:t>
            </w:r>
          </w:p>
        </w:tc>
        <w:tc>
          <w:tcPr>
            <w:tcW w:w="611" w:type="pct"/>
            <w:shd w:val="clear" w:color="auto" w:fill="auto"/>
            <w:vAlign w:val="center"/>
          </w:tcPr>
          <w:p w14:paraId="78BCDA08" w14:textId="77777777" w:rsidR="00016609" w:rsidRPr="00456281" w:rsidRDefault="00016609" w:rsidP="001C2CAE">
            <w:pPr>
              <w:pStyle w:val="In-tableHeading"/>
              <w:jc w:val="center"/>
              <w:rPr>
                <w:lang w:val="en-AU"/>
              </w:rPr>
            </w:pPr>
            <w:r w:rsidRPr="00456281">
              <w:rPr>
                <w:lang w:val="en-AU"/>
              </w:rPr>
              <w:t>Year 2</w:t>
            </w:r>
          </w:p>
        </w:tc>
        <w:tc>
          <w:tcPr>
            <w:tcW w:w="611" w:type="pct"/>
            <w:shd w:val="clear" w:color="auto" w:fill="auto"/>
            <w:vAlign w:val="center"/>
          </w:tcPr>
          <w:p w14:paraId="0005602B" w14:textId="77777777" w:rsidR="00016609" w:rsidRPr="00456281" w:rsidRDefault="00016609" w:rsidP="001C2CAE">
            <w:pPr>
              <w:pStyle w:val="In-tableHeading"/>
              <w:jc w:val="center"/>
              <w:rPr>
                <w:lang w:val="en-AU"/>
              </w:rPr>
            </w:pPr>
            <w:r w:rsidRPr="00456281">
              <w:rPr>
                <w:lang w:val="en-AU"/>
              </w:rPr>
              <w:t>Year 3</w:t>
            </w:r>
          </w:p>
        </w:tc>
        <w:tc>
          <w:tcPr>
            <w:tcW w:w="611" w:type="pct"/>
            <w:shd w:val="clear" w:color="auto" w:fill="auto"/>
            <w:vAlign w:val="center"/>
          </w:tcPr>
          <w:p w14:paraId="6946FD74" w14:textId="77777777" w:rsidR="00016609" w:rsidRPr="00456281" w:rsidRDefault="00016609" w:rsidP="001C2CAE">
            <w:pPr>
              <w:pStyle w:val="In-tableHeading"/>
              <w:jc w:val="center"/>
              <w:rPr>
                <w:lang w:val="en-AU"/>
              </w:rPr>
            </w:pPr>
            <w:r w:rsidRPr="00456281">
              <w:rPr>
                <w:lang w:val="en-AU"/>
              </w:rPr>
              <w:t>Year 4</w:t>
            </w:r>
          </w:p>
        </w:tc>
        <w:tc>
          <w:tcPr>
            <w:tcW w:w="611" w:type="pct"/>
            <w:shd w:val="clear" w:color="auto" w:fill="auto"/>
            <w:vAlign w:val="center"/>
          </w:tcPr>
          <w:p w14:paraId="63762EF2" w14:textId="77777777" w:rsidR="00016609" w:rsidRPr="00456281" w:rsidRDefault="00016609" w:rsidP="001C2CAE">
            <w:pPr>
              <w:pStyle w:val="In-tableHeading"/>
              <w:jc w:val="center"/>
              <w:rPr>
                <w:lang w:val="en-AU"/>
              </w:rPr>
            </w:pPr>
            <w:r w:rsidRPr="00456281">
              <w:rPr>
                <w:lang w:val="en-AU"/>
              </w:rPr>
              <w:t>Year 5</w:t>
            </w:r>
          </w:p>
        </w:tc>
        <w:tc>
          <w:tcPr>
            <w:tcW w:w="611" w:type="pct"/>
          </w:tcPr>
          <w:p w14:paraId="47F3DF84" w14:textId="77777777" w:rsidR="00016609" w:rsidRPr="00456281" w:rsidRDefault="00016609" w:rsidP="001C2CAE">
            <w:pPr>
              <w:pStyle w:val="In-tableHeading"/>
              <w:jc w:val="center"/>
              <w:rPr>
                <w:lang w:val="en-AU"/>
              </w:rPr>
            </w:pPr>
            <w:r w:rsidRPr="00456281">
              <w:rPr>
                <w:lang w:val="en-AU"/>
              </w:rPr>
              <w:t>Year 6</w:t>
            </w:r>
          </w:p>
        </w:tc>
      </w:tr>
      <w:tr w:rsidR="00016609" w:rsidRPr="00456281" w14:paraId="553F565A" w14:textId="77777777" w:rsidTr="00956744">
        <w:tc>
          <w:tcPr>
            <w:tcW w:w="5000" w:type="pct"/>
            <w:gridSpan w:val="7"/>
            <w:shd w:val="clear" w:color="auto" w:fill="auto"/>
            <w:vAlign w:val="center"/>
          </w:tcPr>
          <w:p w14:paraId="3AC93D3E" w14:textId="77777777" w:rsidR="00016609" w:rsidRPr="00456281" w:rsidRDefault="00016609" w:rsidP="001C2CAE">
            <w:pPr>
              <w:pStyle w:val="In-tableHeading"/>
              <w:rPr>
                <w:bCs/>
                <w:color w:val="000000"/>
                <w:lang w:val="en-AU"/>
              </w:rPr>
            </w:pPr>
            <w:r w:rsidRPr="00456281">
              <w:rPr>
                <w:bCs/>
                <w:color w:val="000000"/>
                <w:lang w:val="en-AU"/>
              </w:rPr>
              <w:t>Estimated extent of use</w:t>
            </w:r>
          </w:p>
        </w:tc>
      </w:tr>
      <w:tr w:rsidR="00016609" w:rsidRPr="00456281" w14:paraId="5067DEA2" w14:textId="77777777" w:rsidTr="00956744">
        <w:tc>
          <w:tcPr>
            <w:tcW w:w="1334" w:type="pct"/>
            <w:shd w:val="clear" w:color="auto" w:fill="auto"/>
            <w:vAlign w:val="center"/>
          </w:tcPr>
          <w:p w14:paraId="79E0AAEF" w14:textId="77777777" w:rsidR="00016609" w:rsidRPr="00456281" w:rsidRDefault="00016609" w:rsidP="001C2CAE">
            <w:pPr>
              <w:pStyle w:val="TableText0"/>
              <w:rPr>
                <w:rFonts w:ascii="Times" w:hAnsi="Times"/>
              </w:rPr>
            </w:pPr>
            <w:r w:rsidRPr="00456281">
              <w:t>Number of patients treated</w:t>
            </w:r>
          </w:p>
        </w:tc>
        <w:tc>
          <w:tcPr>
            <w:tcW w:w="611" w:type="pct"/>
            <w:shd w:val="clear" w:color="auto" w:fill="auto"/>
            <w:vAlign w:val="center"/>
          </w:tcPr>
          <w:p w14:paraId="3B0A96C6" w14:textId="7CBF6FF7" w:rsidR="00016609" w:rsidRPr="009C3CBE" w:rsidRDefault="00F16C78" w:rsidP="001C2CAE">
            <w:pPr>
              <w:pStyle w:val="TableText0"/>
              <w:jc w:val="center"/>
              <w:rPr>
                <w:color w:val="000000"/>
                <w:highlight w:val="lightGray"/>
              </w:rPr>
            </w:pPr>
            <w:r w:rsidRPr="00F16C78">
              <w:rPr>
                <w:color w:val="000000"/>
                <w:spacing w:val="42"/>
                <w:shd w:val="solid" w:color="000000" w:fill="000000"/>
                <w:fitText w:val="213" w:id="-961860606"/>
                <w14:textFill>
                  <w14:solidFill>
                    <w14:srgbClr w14:val="000000">
                      <w14:alpha w14:val="100000"/>
                    </w14:srgbClr>
                  </w14:solidFill>
                </w14:textFill>
              </w:rPr>
              <w:t>||</w:t>
            </w:r>
            <w:r w:rsidRPr="00F16C78">
              <w:rPr>
                <w:color w:val="000000"/>
                <w:spacing w:val="2"/>
                <w:shd w:val="solid" w:color="000000" w:fill="000000"/>
                <w:fitText w:val="213" w:id="-961860606"/>
                <w14:textFill>
                  <w14:solidFill>
                    <w14:srgbClr w14:val="000000">
                      <w14:alpha w14:val="100000"/>
                    </w14:srgbClr>
                  </w14:solidFill>
                </w14:textFill>
              </w:rPr>
              <w:t>|</w:t>
            </w:r>
            <w:r w:rsidR="00E25E0C" w:rsidRPr="009C3CBE">
              <w:rPr>
                <w:color w:val="000000"/>
                <w:vertAlign w:val="superscript"/>
              </w:rPr>
              <w:t>1</w:t>
            </w:r>
          </w:p>
        </w:tc>
        <w:tc>
          <w:tcPr>
            <w:tcW w:w="611" w:type="pct"/>
            <w:shd w:val="clear" w:color="auto" w:fill="auto"/>
            <w:vAlign w:val="center"/>
          </w:tcPr>
          <w:p w14:paraId="2046FED3" w14:textId="21C09FE3" w:rsidR="00016609" w:rsidRPr="009C3CBE" w:rsidRDefault="00F16C78" w:rsidP="001C2CAE">
            <w:pPr>
              <w:pStyle w:val="TableText0"/>
              <w:jc w:val="center"/>
              <w:rPr>
                <w:color w:val="000000"/>
                <w:highlight w:val="lightGray"/>
              </w:rPr>
            </w:pPr>
            <w:r w:rsidRPr="00F16C78">
              <w:rPr>
                <w:color w:val="000000"/>
                <w:spacing w:val="42"/>
                <w:shd w:val="solid" w:color="000000" w:fill="000000"/>
                <w:fitText w:val="213" w:id="-961860605"/>
                <w14:textFill>
                  <w14:solidFill>
                    <w14:srgbClr w14:val="000000">
                      <w14:alpha w14:val="100000"/>
                    </w14:srgbClr>
                  </w14:solidFill>
                </w14:textFill>
              </w:rPr>
              <w:t>||</w:t>
            </w:r>
            <w:r w:rsidRPr="00F16C78">
              <w:rPr>
                <w:color w:val="000000"/>
                <w:spacing w:val="2"/>
                <w:shd w:val="solid" w:color="000000" w:fill="000000"/>
                <w:fitText w:val="213" w:id="-961860605"/>
                <w14:textFill>
                  <w14:solidFill>
                    <w14:srgbClr w14:val="000000">
                      <w14:alpha w14:val="100000"/>
                    </w14:srgbClr>
                  </w14:solidFill>
                </w14:textFill>
              </w:rPr>
              <w:t>|</w:t>
            </w:r>
            <w:r w:rsidR="00E25E0C" w:rsidRPr="00D21B8B">
              <w:rPr>
                <w:color w:val="000000"/>
                <w:vertAlign w:val="superscript"/>
              </w:rPr>
              <w:t>1</w:t>
            </w:r>
          </w:p>
        </w:tc>
        <w:tc>
          <w:tcPr>
            <w:tcW w:w="611" w:type="pct"/>
            <w:shd w:val="clear" w:color="auto" w:fill="auto"/>
            <w:vAlign w:val="center"/>
          </w:tcPr>
          <w:p w14:paraId="5EAAB6C6" w14:textId="6F92BDDB" w:rsidR="00016609" w:rsidRPr="009C3CBE" w:rsidRDefault="00F16C78" w:rsidP="001C2CAE">
            <w:pPr>
              <w:pStyle w:val="TableText0"/>
              <w:jc w:val="center"/>
              <w:rPr>
                <w:color w:val="000000"/>
                <w:highlight w:val="lightGray"/>
              </w:rPr>
            </w:pPr>
            <w:r w:rsidRPr="00F16C78">
              <w:rPr>
                <w:color w:val="000000"/>
                <w:spacing w:val="42"/>
                <w:shd w:val="solid" w:color="000000" w:fill="000000"/>
                <w:fitText w:val="213" w:id="-961860604"/>
                <w14:textFill>
                  <w14:solidFill>
                    <w14:srgbClr w14:val="000000">
                      <w14:alpha w14:val="100000"/>
                    </w14:srgbClr>
                  </w14:solidFill>
                </w14:textFill>
              </w:rPr>
              <w:t>||</w:t>
            </w:r>
            <w:r w:rsidRPr="00F16C78">
              <w:rPr>
                <w:color w:val="000000"/>
                <w:spacing w:val="2"/>
                <w:shd w:val="solid" w:color="000000" w:fill="000000"/>
                <w:fitText w:val="213" w:id="-961860604"/>
                <w14:textFill>
                  <w14:solidFill>
                    <w14:srgbClr w14:val="000000">
                      <w14:alpha w14:val="100000"/>
                    </w14:srgbClr>
                  </w14:solidFill>
                </w14:textFill>
              </w:rPr>
              <w:t>|</w:t>
            </w:r>
            <w:r w:rsidR="00E25E0C" w:rsidRPr="00D21B8B">
              <w:rPr>
                <w:color w:val="000000"/>
                <w:vertAlign w:val="superscript"/>
              </w:rPr>
              <w:t>1</w:t>
            </w:r>
          </w:p>
        </w:tc>
        <w:tc>
          <w:tcPr>
            <w:tcW w:w="611" w:type="pct"/>
            <w:shd w:val="clear" w:color="auto" w:fill="auto"/>
            <w:vAlign w:val="center"/>
          </w:tcPr>
          <w:p w14:paraId="5632A6C4" w14:textId="676876F8" w:rsidR="00016609" w:rsidRPr="009C3CBE" w:rsidRDefault="00F16C78" w:rsidP="001C2CAE">
            <w:pPr>
              <w:pStyle w:val="TableText0"/>
              <w:jc w:val="center"/>
              <w:rPr>
                <w:color w:val="000000"/>
                <w:highlight w:val="lightGray"/>
              </w:rPr>
            </w:pPr>
            <w:r w:rsidRPr="00F16C78">
              <w:rPr>
                <w:color w:val="000000"/>
                <w:spacing w:val="42"/>
                <w:shd w:val="solid" w:color="000000" w:fill="000000"/>
                <w:fitText w:val="213" w:id="-961860603"/>
                <w14:textFill>
                  <w14:solidFill>
                    <w14:srgbClr w14:val="000000">
                      <w14:alpha w14:val="100000"/>
                    </w14:srgbClr>
                  </w14:solidFill>
                </w14:textFill>
              </w:rPr>
              <w:t>||</w:t>
            </w:r>
            <w:r w:rsidRPr="00F16C78">
              <w:rPr>
                <w:color w:val="000000"/>
                <w:spacing w:val="2"/>
                <w:shd w:val="solid" w:color="000000" w:fill="000000"/>
                <w:fitText w:val="213" w:id="-961860603"/>
                <w14:textFill>
                  <w14:solidFill>
                    <w14:srgbClr w14:val="000000">
                      <w14:alpha w14:val="100000"/>
                    </w14:srgbClr>
                  </w14:solidFill>
                </w14:textFill>
              </w:rPr>
              <w:t>|</w:t>
            </w:r>
            <w:r w:rsidR="00E25E0C" w:rsidRPr="00D21B8B">
              <w:rPr>
                <w:color w:val="000000"/>
                <w:vertAlign w:val="superscript"/>
              </w:rPr>
              <w:t>1</w:t>
            </w:r>
          </w:p>
        </w:tc>
        <w:tc>
          <w:tcPr>
            <w:tcW w:w="611" w:type="pct"/>
            <w:shd w:val="clear" w:color="auto" w:fill="auto"/>
            <w:vAlign w:val="center"/>
          </w:tcPr>
          <w:p w14:paraId="70348910" w14:textId="3F77CACF" w:rsidR="00016609" w:rsidRPr="009C3CBE" w:rsidRDefault="00F16C78" w:rsidP="001C2CAE">
            <w:pPr>
              <w:pStyle w:val="TableText0"/>
              <w:jc w:val="center"/>
              <w:rPr>
                <w:color w:val="000000"/>
                <w:highlight w:val="lightGray"/>
              </w:rPr>
            </w:pPr>
            <w:r w:rsidRPr="00F16C78">
              <w:rPr>
                <w:color w:val="000000"/>
                <w:spacing w:val="42"/>
                <w:shd w:val="solid" w:color="000000" w:fill="000000"/>
                <w:fitText w:val="213" w:id="-961860602"/>
                <w14:textFill>
                  <w14:solidFill>
                    <w14:srgbClr w14:val="000000">
                      <w14:alpha w14:val="100000"/>
                    </w14:srgbClr>
                  </w14:solidFill>
                </w14:textFill>
              </w:rPr>
              <w:t>||</w:t>
            </w:r>
            <w:r w:rsidRPr="00F16C78">
              <w:rPr>
                <w:color w:val="000000"/>
                <w:spacing w:val="2"/>
                <w:shd w:val="solid" w:color="000000" w:fill="000000"/>
                <w:fitText w:val="213" w:id="-961860602"/>
                <w14:textFill>
                  <w14:solidFill>
                    <w14:srgbClr w14:val="000000">
                      <w14:alpha w14:val="100000"/>
                    </w14:srgbClr>
                  </w14:solidFill>
                </w14:textFill>
              </w:rPr>
              <w:t>|</w:t>
            </w:r>
            <w:r w:rsidR="00E25E0C" w:rsidRPr="00D21B8B">
              <w:rPr>
                <w:color w:val="000000"/>
                <w:vertAlign w:val="superscript"/>
              </w:rPr>
              <w:t>1</w:t>
            </w:r>
          </w:p>
        </w:tc>
        <w:tc>
          <w:tcPr>
            <w:tcW w:w="611" w:type="pct"/>
          </w:tcPr>
          <w:p w14:paraId="2A7B1F2E" w14:textId="5C62DC4C" w:rsidR="00016609" w:rsidRPr="009C3CBE" w:rsidRDefault="00F16C78" w:rsidP="001C2CAE">
            <w:pPr>
              <w:pStyle w:val="TableText0"/>
              <w:jc w:val="center"/>
              <w:rPr>
                <w:color w:val="000000"/>
                <w:highlight w:val="lightGray"/>
              </w:rPr>
            </w:pPr>
            <w:r w:rsidRPr="00F16C78">
              <w:rPr>
                <w:color w:val="000000"/>
                <w:spacing w:val="42"/>
                <w:shd w:val="solid" w:color="000000" w:fill="000000"/>
                <w:fitText w:val="213" w:id="-961860601"/>
                <w14:textFill>
                  <w14:solidFill>
                    <w14:srgbClr w14:val="000000">
                      <w14:alpha w14:val="100000"/>
                    </w14:srgbClr>
                  </w14:solidFill>
                </w14:textFill>
              </w:rPr>
              <w:t>||</w:t>
            </w:r>
            <w:r w:rsidRPr="00F16C78">
              <w:rPr>
                <w:color w:val="000000"/>
                <w:spacing w:val="2"/>
                <w:shd w:val="solid" w:color="000000" w:fill="000000"/>
                <w:fitText w:val="213" w:id="-961860601"/>
                <w14:textFill>
                  <w14:solidFill>
                    <w14:srgbClr w14:val="000000">
                      <w14:alpha w14:val="100000"/>
                    </w14:srgbClr>
                  </w14:solidFill>
                </w14:textFill>
              </w:rPr>
              <w:t>|</w:t>
            </w:r>
            <w:r w:rsidR="00643441" w:rsidRPr="00D21B8B">
              <w:rPr>
                <w:color w:val="000000"/>
                <w:vertAlign w:val="superscript"/>
              </w:rPr>
              <w:t>1</w:t>
            </w:r>
          </w:p>
        </w:tc>
      </w:tr>
      <w:tr w:rsidR="00016609" w:rsidRPr="00456281" w14:paraId="11EF170E" w14:textId="77777777" w:rsidTr="00956744">
        <w:tc>
          <w:tcPr>
            <w:tcW w:w="1334" w:type="pct"/>
            <w:shd w:val="clear" w:color="auto" w:fill="auto"/>
            <w:vAlign w:val="center"/>
          </w:tcPr>
          <w:p w14:paraId="3BD4CC29" w14:textId="648C1D8A" w:rsidR="00016609" w:rsidRPr="00456281" w:rsidRDefault="00016609" w:rsidP="001C2CAE">
            <w:pPr>
              <w:pStyle w:val="TableText0"/>
              <w:rPr>
                <w:rFonts w:ascii="Times" w:hAnsi="Times"/>
              </w:rPr>
            </w:pPr>
            <w:r w:rsidRPr="00456281">
              <w:t>Number of scripts dispensed</w:t>
            </w:r>
            <w:r w:rsidR="00E43A2C" w:rsidRPr="00456281">
              <w:t xml:space="preserve"> </w:t>
            </w:r>
            <w:r w:rsidRPr="00456281">
              <w:rPr>
                <w:vertAlign w:val="superscript"/>
              </w:rPr>
              <w:t>a</w:t>
            </w:r>
          </w:p>
        </w:tc>
        <w:tc>
          <w:tcPr>
            <w:tcW w:w="611" w:type="pct"/>
            <w:shd w:val="clear" w:color="auto" w:fill="auto"/>
            <w:vAlign w:val="center"/>
          </w:tcPr>
          <w:p w14:paraId="6DA91C88" w14:textId="0C4036CD" w:rsidR="00016609" w:rsidRPr="009C3CBE" w:rsidRDefault="00F16C78" w:rsidP="001C2CAE">
            <w:pPr>
              <w:pStyle w:val="TableText0"/>
              <w:jc w:val="center"/>
              <w:rPr>
                <w:color w:val="000000"/>
                <w:highlight w:val="lightGray"/>
              </w:rPr>
            </w:pPr>
            <w:r w:rsidRPr="00F16C78">
              <w:rPr>
                <w:color w:val="000000"/>
                <w:spacing w:val="42"/>
                <w:shd w:val="solid" w:color="000000" w:fill="000000"/>
                <w:fitText w:val="213" w:id="-961860600"/>
                <w14:textFill>
                  <w14:solidFill>
                    <w14:srgbClr w14:val="000000">
                      <w14:alpha w14:val="100000"/>
                    </w14:srgbClr>
                  </w14:solidFill>
                </w14:textFill>
              </w:rPr>
              <w:t>||</w:t>
            </w:r>
            <w:r w:rsidRPr="00F16C78">
              <w:rPr>
                <w:color w:val="000000"/>
                <w:spacing w:val="2"/>
                <w:shd w:val="solid" w:color="000000" w:fill="000000"/>
                <w:fitText w:val="213" w:id="-961860600"/>
                <w14:textFill>
                  <w14:solidFill>
                    <w14:srgbClr w14:val="000000">
                      <w14:alpha w14:val="100000"/>
                    </w14:srgbClr>
                  </w14:solidFill>
                </w14:textFill>
              </w:rPr>
              <w:t>|</w:t>
            </w:r>
            <w:r w:rsidR="00643441" w:rsidRPr="009C3CBE">
              <w:rPr>
                <w:color w:val="000000"/>
                <w:vertAlign w:val="superscript"/>
              </w:rPr>
              <w:t>2</w:t>
            </w:r>
          </w:p>
        </w:tc>
        <w:tc>
          <w:tcPr>
            <w:tcW w:w="611" w:type="pct"/>
            <w:shd w:val="clear" w:color="auto" w:fill="auto"/>
            <w:vAlign w:val="center"/>
          </w:tcPr>
          <w:p w14:paraId="0BB86CDE" w14:textId="0C7DB611" w:rsidR="00016609" w:rsidRPr="009C3CBE" w:rsidRDefault="00F16C78" w:rsidP="001C2CAE">
            <w:pPr>
              <w:pStyle w:val="TableText0"/>
              <w:jc w:val="center"/>
              <w:rPr>
                <w:color w:val="000000"/>
                <w:highlight w:val="lightGray"/>
              </w:rPr>
            </w:pPr>
            <w:r w:rsidRPr="00F16C78">
              <w:rPr>
                <w:color w:val="000000"/>
                <w:spacing w:val="42"/>
                <w:shd w:val="solid" w:color="000000" w:fill="000000"/>
                <w:fitText w:val="213" w:id="-961860599"/>
                <w14:textFill>
                  <w14:solidFill>
                    <w14:srgbClr w14:val="000000">
                      <w14:alpha w14:val="100000"/>
                    </w14:srgbClr>
                  </w14:solidFill>
                </w14:textFill>
              </w:rPr>
              <w:t>||</w:t>
            </w:r>
            <w:r w:rsidRPr="00F16C78">
              <w:rPr>
                <w:color w:val="000000"/>
                <w:spacing w:val="2"/>
                <w:shd w:val="solid" w:color="000000" w:fill="000000"/>
                <w:fitText w:val="213" w:id="-961860599"/>
                <w14:textFill>
                  <w14:solidFill>
                    <w14:srgbClr w14:val="000000">
                      <w14:alpha w14:val="100000"/>
                    </w14:srgbClr>
                  </w14:solidFill>
                </w14:textFill>
              </w:rPr>
              <w:t>|</w:t>
            </w:r>
            <w:r w:rsidR="00643441" w:rsidRPr="00D21B8B">
              <w:rPr>
                <w:color w:val="000000"/>
                <w:vertAlign w:val="superscript"/>
              </w:rPr>
              <w:t>2</w:t>
            </w:r>
          </w:p>
        </w:tc>
        <w:tc>
          <w:tcPr>
            <w:tcW w:w="611" w:type="pct"/>
            <w:shd w:val="clear" w:color="auto" w:fill="auto"/>
            <w:vAlign w:val="center"/>
          </w:tcPr>
          <w:p w14:paraId="3D354402" w14:textId="54AA5B3C" w:rsidR="00016609" w:rsidRPr="009C3CBE" w:rsidRDefault="00F16C78" w:rsidP="001C2CAE">
            <w:pPr>
              <w:pStyle w:val="TableText0"/>
              <w:jc w:val="center"/>
              <w:rPr>
                <w:color w:val="000000"/>
                <w:highlight w:val="lightGray"/>
              </w:rPr>
            </w:pPr>
            <w:r w:rsidRPr="00F16C78">
              <w:rPr>
                <w:color w:val="000000"/>
                <w:spacing w:val="42"/>
                <w:shd w:val="solid" w:color="000000" w:fill="000000"/>
                <w:fitText w:val="213" w:id="-961860598"/>
                <w14:textFill>
                  <w14:solidFill>
                    <w14:srgbClr w14:val="000000">
                      <w14:alpha w14:val="100000"/>
                    </w14:srgbClr>
                  </w14:solidFill>
                </w14:textFill>
              </w:rPr>
              <w:t>||</w:t>
            </w:r>
            <w:r w:rsidRPr="00F16C78">
              <w:rPr>
                <w:color w:val="000000"/>
                <w:spacing w:val="2"/>
                <w:shd w:val="solid" w:color="000000" w:fill="000000"/>
                <w:fitText w:val="213" w:id="-961860598"/>
                <w14:textFill>
                  <w14:solidFill>
                    <w14:srgbClr w14:val="000000">
                      <w14:alpha w14:val="100000"/>
                    </w14:srgbClr>
                  </w14:solidFill>
                </w14:textFill>
              </w:rPr>
              <w:t>|</w:t>
            </w:r>
            <w:r w:rsidR="00643441" w:rsidRPr="00D21B8B">
              <w:rPr>
                <w:color w:val="000000"/>
                <w:vertAlign w:val="superscript"/>
              </w:rPr>
              <w:t>2</w:t>
            </w:r>
          </w:p>
        </w:tc>
        <w:tc>
          <w:tcPr>
            <w:tcW w:w="611" w:type="pct"/>
            <w:shd w:val="clear" w:color="auto" w:fill="auto"/>
            <w:vAlign w:val="center"/>
          </w:tcPr>
          <w:p w14:paraId="3F7EE5E1" w14:textId="60BD2583" w:rsidR="00016609" w:rsidRPr="009C3CBE" w:rsidRDefault="00F16C78" w:rsidP="001C2CAE">
            <w:pPr>
              <w:pStyle w:val="TableText0"/>
              <w:jc w:val="center"/>
              <w:rPr>
                <w:color w:val="000000"/>
                <w:highlight w:val="lightGray"/>
              </w:rPr>
            </w:pPr>
            <w:r w:rsidRPr="00F16C78">
              <w:rPr>
                <w:color w:val="000000"/>
                <w:spacing w:val="42"/>
                <w:shd w:val="solid" w:color="000000" w:fill="000000"/>
                <w:fitText w:val="213" w:id="-961860597"/>
                <w14:textFill>
                  <w14:solidFill>
                    <w14:srgbClr w14:val="000000">
                      <w14:alpha w14:val="100000"/>
                    </w14:srgbClr>
                  </w14:solidFill>
                </w14:textFill>
              </w:rPr>
              <w:t>||</w:t>
            </w:r>
            <w:r w:rsidRPr="00F16C78">
              <w:rPr>
                <w:color w:val="000000"/>
                <w:spacing w:val="2"/>
                <w:shd w:val="solid" w:color="000000" w:fill="000000"/>
                <w:fitText w:val="213" w:id="-961860597"/>
                <w14:textFill>
                  <w14:solidFill>
                    <w14:srgbClr w14:val="000000">
                      <w14:alpha w14:val="100000"/>
                    </w14:srgbClr>
                  </w14:solidFill>
                </w14:textFill>
              </w:rPr>
              <w:t>|</w:t>
            </w:r>
            <w:r w:rsidR="00643441" w:rsidRPr="00D21B8B">
              <w:rPr>
                <w:color w:val="000000"/>
                <w:vertAlign w:val="superscript"/>
              </w:rPr>
              <w:t>2</w:t>
            </w:r>
          </w:p>
        </w:tc>
        <w:tc>
          <w:tcPr>
            <w:tcW w:w="611" w:type="pct"/>
            <w:shd w:val="clear" w:color="auto" w:fill="auto"/>
            <w:vAlign w:val="center"/>
          </w:tcPr>
          <w:p w14:paraId="0245CAD3" w14:textId="3DB96754" w:rsidR="00016609" w:rsidRPr="009C3CBE" w:rsidRDefault="00F16C78" w:rsidP="001C2CAE">
            <w:pPr>
              <w:pStyle w:val="TableText0"/>
              <w:jc w:val="center"/>
              <w:rPr>
                <w:color w:val="000000"/>
                <w:highlight w:val="lightGray"/>
              </w:rPr>
            </w:pPr>
            <w:r w:rsidRPr="00F16C78">
              <w:rPr>
                <w:color w:val="000000"/>
                <w:spacing w:val="42"/>
                <w:shd w:val="solid" w:color="000000" w:fill="000000"/>
                <w:fitText w:val="213" w:id="-961860596"/>
                <w14:textFill>
                  <w14:solidFill>
                    <w14:srgbClr w14:val="000000">
                      <w14:alpha w14:val="100000"/>
                    </w14:srgbClr>
                  </w14:solidFill>
                </w14:textFill>
              </w:rPr>
              <w:t>||</w:t>
            </w:r>
            <w:r w:rsidRPr="00F16C78">
              <w:rPr>
                <w:color w:val="000000"/>
                <w:spacing w:val="2"/>
                <w:shd w:val="solid" w:color="000000" w:fill="000000"/>
                <w:fitText w:val="213" w:id="-961860596"/>
                <w14:textFill>
                  <w14:solidFill>
                    <w14:srgbClr w14:val="000000">
                      <w14:alpha w14:val="100000"/>
                    </w14:srgbClr>
                  </w14:solidFill>
                </w14:textFill>
              </w:rPr>
              <w:t>|</w:t>
            </w:r>
            <w:r w:rsidR="00643441" w:rsidRPr="00D21B8B">
              <w:rPr>
                <w:color w:val="000000"/>
                <w:vertAlign w:val="superscript"/>
              </w:rPr>
              <w:t>2</w:t>
            </w:r>
          </w:p>
        </w:tc>
        <w:tc>
          <w:tcPr>
            <w:tcW w:w="611" w:type="pct"/>
          </w:tcPr>
          <w:p w14:paraId="4A82AB36" w14:textId="05AD974B" w:rsidR="00016609" w:rsidRPr="009C3CBE" w:rsidRDefault="00F16C78" w:rsidP="001C2CAE">
            <w:pPr>
              <w:pStyle w:val="TableText0"/>
              <w:jc w:val="center"/>
              <w:rPr>
                <w:color w:val="000000"/>
                <w:highlight w:val="lightGray"/>
              </w:rPr>
            </w:pPr>
            <w:r w:rsidRPr="00F16C78">
              <w:rPr>
                <w:color w:val="000000"/>
                <w:spacing w:val="42"/>
                <w:shd w:val="solid" w:color="000000" w:fill="000000"/>
                <w:fitText w:val="213" w:id="-961860595"/>
                <w14:textFill>
                  <w14:solidFill>
                    <w14:srgbClr w14:val="000000">
                      <w14:alpha w14:val="100000"/>
                    </w14:srgbClr>
                  </w14:solidFill>
                </w14:textFill>
              </w:rPr>
              <w:t>||</w:t>
            </w:r>
            <w:r w:rsidRPr="00F16C78">
              <w:rPr>
                <w:color w:val="000000"/>
                <w:spacing w:val="2"/>
                <w:shd w:val="solid" w:color="000000" w:fill="000000"/>
                <w:fitText w:val="213" w:id="-961860595"/>
                <w14:textFill>
                  <w14:solidFill>
                    <w14:srgbClr w14:val="000000">
                      <w14:alpha w14:val="100000"/>
                    </w14:srgbClr>
                  </w14:solidFill>
                </w14:textFill>
              </w:rPr>
              <w:t>|</w:t>
            </w:r>
            <w:r w:rsidR="00643441" w:rsidRPr="00D21B8B">
              <w:rPr>
                <w:color w:val="000000"/>
                <w:vertAlign w:val="superscript"/>
              </w:rPr>
              <w:t>2</w:t>
            </w:r>
          </w:p>
        </w:tc>
      </w:tr>
      <w:tr w:rsidR="00016609" w:rsidRPr="00456281" w14:paraId="65A0B869" w14:textId="77777777" w:rsidTr="00956744">
        <w:tc>
          <w:tcPr>
            <w:tcW w:w="5000" w:type="pct"/>
            <w:gridSpan w:val="7"/>
            <w:shd w:val="clear" w:color="auto" w:fill="auto"/>
            <w:vAlign w:val="center"/>
          </w:tcPr>
          <w:p w14:paraId="1C5435CD" w14:textId="77777777" w:rsidR="00016609" w:rsidRPr="00456281" w:rsidRDefault="00016609" w:rsidP="001C2CAE">
            <w:pPr>
              <w:pStyle w:val="In-tableHeading"/>
              <w:rPr>
                <w:lang w:val="en-AU"/>
              </w:rPr>
            </w:pPr>
            <w:r w:rsidRPr="00456281">
              <w:rPr>
                <w:lang w:val="en-AU"/>
              </w:rPr>
              <w:t>Estimated financial implications of nal-IRI</w:t>
            </w:r>
          </w:p>
        </w:tc>
      </w:tr>
      <w:tr w:rsidR="00016609" w:rsidRPr="00456281" w14:paraId="0DA89F8F" w14:textId="77777777" w:rsidTr="00956744">
        <w:tc>
          <w:tcPr>
            <w:tcW w:w="1334" w:type="pct"/>
            <w:shd w:val="clear" w:color="auto" w:fill="auto"/>
            <w:vAlign w:val="center"/>
          </w:tcPr>
          <w:p w14:paraId="61CF8429" w14:textId="498B0A61" w:rsidR="00016609" w:rsidRPr="00456281" w:rsidRDefault="00016609" w:rsidP="001C2CAE">
            <w:pPr>
              <w:pStyle w:val="TableText0"/>
              <w:rPr>
                <w:sz w:val="19"/>
                <w:szCs w:val="19"/>
              </w:rPr>
            </w:pPr>
            <w:r w:rsidRPr="00456281">
              <w:rPr>
                <w:sz w:val="19"/>
                <w:szCs w:val="19"/>
              </w:rPr>
              <w:t xml:space="preserve">Cost to PBS/RPBS less </w:t>
            </w:r>
            <w:r w:rsidR="00E43A2C" w:rsidRPr="00456281">
              <w:rPr>
                <w:sz w:val="19"/>
                <w:szCs w:val="19"/>
              </w:rPr>
              <w:t>co-payments</w:t>
            </w:r>
          </w:p>
        </w:tc>
        <w:tc>
          <w:tcPr>
            <w:tcW w:w="611" w:type="pct"/>
            <w:shd w:val="clear" w:color="auto" w:fill="auto"/>
            <w:vAlign w:val="center"/>
          </w:tcPr>
          <w:p w14:paraId="710E07F0" w14:textId="07D2A74F" w:rsidR="00016609" w:rsidRPr="009C3CBE" w:rsidRDefault="00F16C78" w:rsidP="001C2CAE">
            <w:pPr>
              <w:pStyle w:val="TableText0"/>
              <w:jc w:val="center"/>
              <w:rPr>
                <w:highlight w:val="lightGray"/>
              </w:rPr>
            </w:pPr>
            <w:r w:rsidRPr="00F16C78">
              <w:rPr>
                <w:color w:val="000000"/>
                <w:spacing w:val="42"/>
                <w:shd w:val="solid" w:color="000000" w:fill="000000"/>
                <w:fitText w:val="213" w:id="-961860594"/>
                <w14:textFill>
                  <w14:solidFill>
                    <w14:srgbClr w14:val="000000">
                      <w14:alpha w14:val="100000"/>
                    </w14:srgbClr>
                  </w14:solidFill>
                </w14:textFill>
              </w:rPr>
              <w:t>||</w:t>
            </w:r>
            <w:r w:rsidRPr="00F16C78">
              <w:rPr>
                <w:color w:val="000000"/>
                <w:spacing w:val="2"/>
                <w:shd w:val="solid" w:color="000000" w:fill="000000"/>
                <w:fitText w:val="213" w:id="-961860594"/>
                <w14:textFill>
                  <w14:solidFill>
                    <w14:srgbClr w14:val="000000">
                      <w14:alpha w14:val="100000"/>
                    </w14:srgbClr>
                  </w14:solidFill>
                </w14:textFill>
              </w:rPr>
              <w:t>|</w:t>
            </w:r>
            <w:r w:rsidR="00643441" w:rsidRPr="009C3CBE">
              <w:rPr>
                <w:vertAlign w:val="superscript"/>
              </w:rPr>
              <w:t>3</w:t>
            </w:r>
          </w:p>
        </w:tc>
        <w:tc>
          <w:tcPr>
            <w:tcW w:w="611" w:type="pct"/>
            <w:shd w:val="clear" w:color="auto" w:fill="auto"/>
            <w:vAlign w:val="center"/>
          </w:tcPr>
          <w:p w14:paraId="4253635F" w14:textId="5A3FCC67" w:rsidR="00016609" w:rsidRPr="009C3CBE" w:rsidRDefault="00F16C78" w:rsidP="001C2CAE">
            <w:pPr>
              <w:pStyle w:val="TableText0"/>
              <w:jc w:val="center"/>
              <w:rPr>
                <w:highlight w:val="lightGray"/>
              </w:rPr>
            </w:pPr>
            <w:r w:rsidRPr="00F16C78">
              <w:rPr>
                <w:color w:val="000000"/>
                <w:spacing w:val="42"/>
                <w:shd w:val="solid" w:color="000000" w:fill="000000"/>
                <w:fitText w:val="213" w:id="-961860593"/>
                <w14:textFill>
                  <w14:solidFill>
                    <w14:srgbClr w14:val="000000">
                      <w14:alpha w14:val="100000"/>
                    </w14:srgbClr>
                  </w14:solidFill>
                </w14:textFill>
              </w:rPr>
              <w:t>||</w:t>
            </w:r>
            <w:r w:rsidRPr="00F16C78">
              <w:rPr>
                <w:color w:val="000000"/>
                <w:spacing w:val="2"/>
                <w:shd w:val="solid" w:color="000000" w:fill="000000"/>
                <w:fitText w:val="213" w:id="-961860593"/>
                <w14:textFill>
                  <w14:solidFill>
                    <w14:srgbClr w14:val="000000">
                      <w14:alpha w14:val="100000"/>
                    </w14:srgbClr>
                  </w14:solidFill>
                </w14:textFill>
              </w:rPr>
              <w:t>|</w:t>
            </w:r>
            <w:r w:rsidR="00643441" w:rsidRPr="00D21B8B">
              <w:rPr>
                <w:vertAlign w:val="superscript"/>
              </w:rPr>
              <w:t>3</w:t>
            </w:r>
          </w:p>
        </w:tc>
        <w:tc>
          <w:tcPr>
            <w:tcW w:w="611" w:type="pct"/>
            <w:shd w:val="clear" w:color="auto" w:fill="auto"/>
            <w:vAlign w:val="center"/>
          </w:tcPr>
          <w:p w14:paraId="1417FD9E" w14:textId="16484D85" w:rsidR="00016609" w:rsidRPr="009C3CBE" w:rsidRDefault="00F16C78" w:rsidP="001C2CAE">
            <w:pPr>
              <w:pStyle w:val="TableText0"/>
              <w:jc w:val="center"/>
              <w:rPr>
                <w:highlight w:val="lightGray"/>
              </w:rPr>
            </w:pPr>
            <w:r w:rsidRPr="00F16C78">
              <w:rPr>
                <w:color w:val="000000"/>
                <w:spacing w:val="42"/>
                <w:shd w:val="solid" w:color="000000" w:fill="000000"/>
                <w:fitText w:val="213" w:id="-961860592"/>
                <w14:textFill>
                  <w14:solidFill>
                    <w14:srgbClr w14:val="000000">
                      <w14:alpha w14:val="100000"/>
                    </w14:srgbClr>
                  </w14:solidFill>
                </w14:textFill>
              </w:rPr>
              <w:t>||</w:t>
            </w:r>
            <w:r w:rsidRPr="00F16C78">
              <w:rPr>
                <w:color w:val="000000"/>
                <w:spacing w:val="2"/>
                <w:shd w:val="solid" w:color="000000" w:fill="000000"/>
                <w:fitText w:val="213" w:id="-961860592"/>
                <w14:textFill>
                  <w14:solidFill>
                    <w14:srgbClr w14:val="000000">
                      <w14:alpha w14:val="100000"/>
                    </w14:srgbClr>
                  </w14:solidFill>
                </w14:textFill>
              </w:rPr>
              <w:t>|</w:t>
            </w:r>
            <w:r w:rsidR="00643441" w:rsidRPr="009C3CBE">
              <w:rPr>
                <w:vertAlign w:val="superscript"/>
              </w:rPr>
              <w:t>4</w:t>
            </w:r>
          </w:p>
        </w:tc>
        <w:tc>
          <w:tcPr>
            <w:tcW w:w="611" w:type="pct"/>
            <w:shd w:val="clear" w:color="auto" w:fill="auto"/>
            <w:vAlign w:val="center"/>
          </w:tcPr>
          <w:p w14:paraId="77696286" w14:textId="7B48F388" w:rsidR="00016609" w:rsidRPr="009C3CBE" w:rsidRDefault="00F16C78" w:rsidP="001C2CAE">
            <w:pPr>
              <w:pStyle w:val="TableText0"/>
              <w:jc w:val="center"/>
              <w:rPr>
                <w:highlight w:val="lightGray"/>
              </w:rPr>
            </w:pPr>
            <w:r w:rsidRPr="00F16C78">
              <w:rPr>
                <w:color w:val="000000"/>
                <w:spacing w:val="42"/>
                <w:shd w:val="solid" w:color="000000" w:fill="000000"/>
                <w:fitText w:val="213" w:id="-961860608"/>
                <w14:textFill>
                  <w14:solidFill>
                    <w14:srgbClr w14:val="000000">
                      <w14:alpha w14:val="100000"/>
                    </w14:srgbClr>
                  </w14:solidFill>
                </w14:textFill>
              </w:rPr>
              <w:t>||</w:t>
            </w:r>
            <w:r w:rsidRPr="00F16C78">
              <w:rPr>
                <w:color w:val="000000"/>
                <w:spacing w:val="2"/>
                <w:shd w:val="solid" w:color="000000" w:fill="000000"/>
                <w:fitText w:val="213" w:id="-961860608"/>
                <w14:textFill>
                  <w14:solidFill>
                    <w14:srgbClr w14:val="000000">
                      <w14:alpha w14:val="100000"/>
                    </w14:srgbClr>
                  </w14:solidFill>
                </w14:textFill>
              </w:rPr>
              <w:t>|</w:t>
            </w:r>
            <w:r w:rsidR="00643441" w:rsidRPr="00D21B8B">
              <w:rPr>
                <w:vertAlign w:val="superscript"/>
              </w:rPr>
              <w:t>4</w:t>
            </w:r>
          </w:p>
        </w:tc>
        <w:tc>
          <w:tcPr>
            <w:tcW w:w="611" w:type="pct"/>
            <w:shd w:val="clear" w:color="auto" w:fill="auto"/>
            <w:vAlign w:val="center"/>
          </w:tcPr>
          <w:p w14:paraId="20F59D80" w14:textId="7E80DFF0" w:rsidR="00016609" w:rsidRPr="009C3CBE" w:rsidRDefault="00F16C78" w:rsidP="001C2CAE">
            <w:pPr>
              <w:pStyle w:val="TableText0"/>
              <w:jc w:val="center"/>
              <w:rPr>
                <w:highlight w:val="lightGray"/>
              </w:rPr>
            </w:pPr>
            <w:r w:rsidRPr="00F16C78">
              <w:rPr>
                <w:color w:val="000000"/>
                <w:spacing w:val="42"/>
                <w:shd w:val="solid" w:color="000000" w:fill="000000"/>
                <w:fitText w:val="213" w:id="-961860607"/>
                <w14:textFill>
                  <w14:solidFill>
                    <w14:srgbClr w14:val="000000">
                      <w14:alpha w14:val="100000"/>
                    </w14:srgbClr>
                  </w14:solidFill>
                </w14:textFill>
              </w:rPr>
              <w:t>||</w:t>
            </w:r>
            <w:r w:rsidRPr="00F16C78">
              <w:rPr>
                <w:color w:val="000000"/>
                <w:spacing w:val="2"/>
                <w:shd w:val="solid" w:color="000000" w:fill="000000"/>
                <w:fitText w:val="213" w:id="-961860607"/>
                <w14:textFill>
                  <w14:solidFill>
                    <w14:srgbClr w14:val="000000">
                      <w14:alpha w14:val="100000"/>
                    </w14:srgbClr>
                  </w14:solidFill>
                </w14:textFill>
              </w:rPr>
              <w:t>|</w:t>
            </w:r>
            <w:r w:rsidR="00643441" w:rsidRPr="00D21B8B">
              <w:rPr>
                <w:vertAlign w:val="superscript"/>
              </w:rPr>
              <w:t>4</w:t>
            </w:r>
          </w:p>
        </w:tc>
        <w:tc>
          <w:tcPr>
            <w:tcW w:w="611" w:type="pct"/>
            <w:vAlign w:val="center"/>
          </w:tcPr>
          <w:p w14:paraId="09A803DB" w14:textId="7F7FF636" w:rsidR="00016609" w:rsidRPr="009C3CBE" w:rsidRDefault="00F16C78" w:rsidP="001C2CAE">
            <w:pPr>
              <w:pStyle w:val="TableText0"/>
              <w:jc w:val="center"/>
              <w:rPr>
                <w:highlight w:val="lightGray"/>
              </w:rPr>
            </w:pPr>
            <w:r w:rsidRPr="00F16C78">
              <w:rPr>
                <w:color w:val="000000"/>
                <w:spacing w:val="42"/>
                <w:shd w:val="solid" w:color="000000" w:fill="000000"/>
                <w:fitText w:val="213" w:id="-961860606"/>
                <w14:textFill>
                  <w14:solidFill>
                    <w14:srgbClr w14:val="000000">
                      <w14:alpha w14:val="100000"/>
                    </w14:srgbClr>
                  </w14:solidFill>
                </w14:textFill>
              </w:rPr>
              <w:t>||</w:t>
            </w:r>
            <w:r w:rsidRPr="00F16C78">
              <w:rPr>
                <w:color w:val="000000"/>
                <w:spacing w:val="2"/>
                <w:shd w:val="solid" w:color="000000" w:fill="000000"/>
                <w:fitText w:val="213" w:id="-961860606"/>
                <w14:textFill>
                  <w14:solidFill>
                    <w14:srgbClr w14:val="000000">
                      <w14:alpha w14:val="100000"/>
                    </w14:srgbClr>
                  </w14:solidFill>
                </w14:textFill>
              </w:rPr>
              <w:t>|</w:t>
            </w:r>
            <w:r w:rsidR="00643441" w:rsidRPr="00D21B8B">
              <w:rPr>
                <w:vertAlign w:val="superscript"/>
              </w:rPr>
              <w:t>4</w:t>
            </w:r>
          </w:p>
        </w:tc>
      </w:tr>
      <w:tr w:rsidR="00016609" w:rsidRPr="00456281" w14:paraId="610E25CD" w14:textId="77777777" w:rsidTr="00956744">
        <w:tc>
          <w:tcPr>
            <w:tcW w:w="5000" w:type="pct"/>
            <w:gridSpan w:val="7"/>
            <w:shd w:val="clear" w:color="auto" w:fill="auto"/>
            <w:vAlign w:val="center"/>
          </w:tcPr>
          <w:p w14:paraId="18FDF0DE" w14:textId="77777777" w:rsidR="00016609" w:rsidRPr="00456281" w:rsidRDefault="00016609" w:rsidP="001C2CAE">
            <w:pPr>
              <w:pStyle w:val="TableText0"/>
              <w:rPr>
                <w:b/>
              </w:rPr>
            </w:pPr>
            <w:r w:rsidRPr="00456281">
              <w:rPr>
                <w:b/>
              </w:rPr>
              <w:t xml:space="preserve">Estimated financial implications for other </w:t>
            </w:r>
            <w:r w:rsidRPr="00456281">
              <w:rPr>
                <w:b/>
                <w:bCs w:val="0"/>
              </w:rPr>
              <w:t>medications in NALIRIFOX regimen</w:t>
            </w:r>
          </w:p>
        </w:tc>
      </w:tr>
      <w:tr w:rsidR="00016609" w:rsidRPr="00456281" w14:paraId="61125309" w14:textId="77777777" w:rsidTr="00956744">
        <w:tc>
          <w:tcPr>
            <w:tcW w:w="1334" w:type="pct"/>
            <w:shd w:val="clear" w:color="auto" w:fill="auto"/>
            <w:vAlign w:val="center"/>
          </w:tcPr>
          <w:p w14:paraId="76CD094E" w14:textId="6478F2DA" w:rsidR="00016609" w:rsidRPr="00456281" w:rsidRDefault="00016609" w:rsidP="001C2CAE">
            <w:pPr>
              <w:pStyle w:val="TableText0"/>
              <w:rPr>
                <w:sz w:val="19"/>
                <w:szCs w:val="19"/>
              </w:rPr>
            </w:pPr>
            <w:r w:rsidRPr="00456281">
              <w:rPr>
                <w:sz w:val="19"/>
                <w:szCs w:val="19"/>
              </w:rPr>
              <w:t xml:space="preserve">Cost to PBS/RPBS less </w:t>
            </w:r>
            <w:r w:rsidR="00E43A2C" w:rsidRPr="00456281">
              <w:rPr>
                <w:sz w:val="19"/>
                <w:szCs w:val="19"/>
              </w:rPr>
              <w:t>co-payments</w:t>
            </w:r>
          </w:p>
        </w:tc>
        <w:tc>
          <w:tcPr>
            <w:tcW w:w="611" w:type="pct"/>
            <w:shd w:val="clear" w:color="auto" w:fill="auto"/>
            <w:vAlign w:val="center"/>
          </w:tcPr>
          <w:p w14:paraId="32EADB64" w14:textId="39CD967F" w:rsidR="00016609" w:rsidRPr="009C3CBE" w:rsidRDefault="00F16C78" w:rsidP="001C2CAE">
            <w:pPr>
              <w:pStyle w:val="TableText0"/>
              <w:jc w:val="center"/>
              <w:rPr>
                <w:highlight w:val="lightGray"/>
              </w:rPr>
            </w:pPr>
            <w:r w:rsidRPr="00F16C78">
              <w:rPr>
                <w:color w:val="000000"/>
                <w:spacing w:val="42"/>
                <w:shd w:val="solid" w:color="000000" w:fill="000000"/>
                <w:fitText w:val="213" w:id="-961860605"/>
                <w14:textFill>
                  <w14:solidFill>
                    <w14:srgbClr w14:val="000000">
                      <w14:alpha w14:val="100000"/>
                    </w14:srgbClr>
                  </w14:solidFill>
                </w14:textFill>
              </w:rPr>
              <w:t>||</w:t>
            </w:r>
            <w:r w:rsidRPr="00F16C78">
              <w:rPr>
                <w:color w:val="000000"/>
                <w:spacing w:val="2"/>
                <w:shd w:val="solid" w:color="000000" w:fill="000000"/>
                <w:fitText w:val="213" w:id="-961860605"/>
                <w14:textFill>
                  <w14:solidFill>
                    <w14:srgbClr w14:val="000000">
                      <w14:alpha w14:val="100000"/>
                    </w14:srgbClr>
                  </w14:solidFill>
                </w14:textFill>
              </w:rPr>
              <w:t>|</w:t>
            </w:r>
            <w:r w:rsidR="00643441" w:rsidRPr="00D21B8B">
              <w:rPr>
                <w:vertAlign w:val="superscript"/>
              </w:rPr>
              <w:t>3</w:t>
            </w:r>
          </w:p>
        </w:tc>
        <w:tc>
          <w:tcPr>
            <w:tcW w:w="611" w:type="pct"/>
            <w:shd w:val="clear" w:color="auto" w:fill="auto"/>
            <w:vAlign w:val="center"/>
          </w:tcPr>
          <w:p w14:paraId="76EF4E16" w14:textId="6AE28B42" w:rsidR="00016609" w:rsidRPr="009C3CBE" w:rsidRDefault="00F16C78" w:rsidP="001C2CAE">
            <w:pPr>
              <w:pStyle w:val="TableText0"/>
              <w:jc w:val="center"/>
              <w:rPr>
                <w:highlight w:val="lightGray"/>
              </w:rPr>
            </w:pPr>
            <w:r w:rsidRPr="00F16C78">
              <w:rPr>
                <w:color w:val="000000"/>
                <w:spacing w:val="42"/>
                <w:shd w:val="solid" w:color="000000" w:fill="000000"/>
                <w:fitText w:val="213" w:id="-961860604"/>
                <w14:textFill>
                  <w14:solidFill>
                    <w14:srgbClr w14:val="000000">
                      <w14:alpha w14:val="100000"/>
                    </w14:srgbClr>
                  </w14:solidFill>
                </w14:textFill>
              </w:rPr>
              <w:t>||</w:t>
            </w:r>
            <w:r w:rsidRPr="00F16C78">
              <w:rPr>
                <w:color w:val="000000"/>
                <w:spacing w:val="2"/>
                <w:shd w:val="solid" w:color="000000" w:fill="000000"/>
                <w:fitText w:val="213" w:id="-961860604"/>
                <w14:textFill>
                  <w14:solidFill>
                    <w14:srgbClr w14:val="000000">
                      <w14:alpha w14:val="100000"/>
                    </w14:srgbClr>
                  </w14:solidFill>
                </w14:textFill>
              </w:rPr>
              <w:t>|</w:t>
            </w:r>
            <w:r w:rsidR="00643441" w:rsidRPr="00D21B8B">
              <w:rPr>
                <w:vertAlign w:val="superscript"/>
              </w:rPr>
              <w:t>3</w:t>
            </w:r>
          </w:p>
        </w:tc>
        <w:tc>
          <w:tcPr>
            <w:tcW w:w="611" w:type="pct"/>
            <w:shd w:val="clear" w:color="auto" w:fill="auto"/>
            <w:vAlign w:val="center"/>
          </w:tcPr>
          <w:p w14:paraId="55939C20" w14:textId="3F977822" w:rsidR="00016609" w:rsidRPr="009C3CBE" w:rsidRDefault="00F16C78" w:rsidP="001C2CAE">
            <w:pPr>
              <w:pStyle w:val="TableText0"/>
              <w:jc w:val="center"/>
              <w:rPr>
                <w:highlight w:val="lightGray"/>
              </w:rPr>
            </w:pPr>
            <w:r w:rsidRPr="00F16C78">
              <w:rPr>
                <w:color w:val="000000"/>
                <w:spacing w:val="42"/>
                <w:shd w:val="solid" w:color="000000" w:fill="000000"/>
                <w:fitText w:val="213" w:id="-961860603"/>
                <w14:textFill>
                  <w14:solidFill>
                    <w14:srgbClr w14:val="000000">
                      <w14:alpha w14:val="100000"/>
                    </w14:srgbClr>
                  </w14:solidFill>
                </w14:textFill>
              </w:rPr>
              <w:t>||</w:t>
            </w:r>
            <w:r w:rsidRPr="00F16C78">
              <w:rPr>
                <w:color w:val="000000"/>
                <w:spacing w:val="2"/>
                <w:shd w:val="solid" w:color="000000" w:fill="000000"/>
                <w:fitText w:val="213" w:id="-961860603"/>
                <w14:textFill>
                  <w14:solidFill>
                    <w14:srgbClr w14:val="000000">
                      <w14:alpha w14:val="100000"/>
                    </w14:srgbClr>
                  </w14:solidFill>
                </w14:textFill>
              </w:rPr>
              <w:t>|</w:t>
            </w:r>
            <w:r w:rsidR="00643441" w:rsidRPr="00D21B8B">
              <w:rPr>
                <w:vertAlign w:val="superscript"/>
              </w:rPr>
              <w:t>3</w:t>
            </w:r>
          </w:p>
        </w:tc>
        <w:tc>
          <w:tcPr>
            <w:tcW w:w="611" w:type="pct"/>
            <w:shd w:val="clear" w:color="auto" w:fill="auto"/>
            <w:vAlign w:val="center"/>
          </w:tcPr>
          <w:p w14:paraId="1AD95477" w14:textId="268D126C" w:rsidR="00016609" w:rsidRPr="009C3CBE" w:rsidRDefault="00F16C78" w:rsidP="001C2CAE">
            <w:pPr>
              <w:pStyle w:val="TableText0"/>
              <w:jc w:val="center"/>
              <w:rPr>
                <w:highlight w:val="lightGray"/>
              </w:rPr>
            </w:pPr>
            <w:r w:rsidRPr="00F16C78">
              <w:rPr>
                <w:color w:val="000000"/>
                <w:spacing w:val="42"/>
                <w:shd w:val="solid" w:color="000000" w:fill="000000"/>
                <w:fitText w:val="213" w:id="-961860602"/>
                <w14:textFill>
                  <w14:solidFill>
                    <w14:srgbClr w14:val="000000">
                      <w14:alpha w14:val="100000"/>
                    </w14:srgbClr>
                  </w14:solidFill>
                </w14:textFill>
              </w:rPr>
              <w:t>||</w:t>
            </w:r>
            <w:r w:rsidRPr="00F16C78">
              <w:rPr>
                <w:color w:val="000000"/>
                <w:spacing w:val="2"/>
                <w:shd w:val="solid" w:color="000000" w:fill="000000"/>
                <w:fitText w:val="213" w:id="-961860602"/>
                <w14:textFill>
                  <w14:solidFill>
                    <w14:srgbClr w14:val="000000">
                      <w14:alpha w14:val="100000"/>
                    </w14:srgbClr>
                  </w14:solidFill>
                </w14:textFill>
              </w:rPr>
              <w:t>|</w:t>
            </w:r>
            <w:r w:rsidR="00643441" w:rsidRPr="00D21B8B">
              <w:rPr>
                <w:vertAlign w:val="superscript"/>
              </w:rPr>
              <w:t>3</w:t>
            </w:r>
          </w:p>
        </w:tc>
        <w:tc>
          <w:tcPr>
            <w:tcW w:w="611" w:type="pct"/>
            <w:shd w:val="clear" w:color="auto" w:fill="auto"/>
            <w:vAlign w:val="center"/>
          </w:tcPr>
          <w:p w14:paraId="1E8A0EBB" w14:textId="480D86EB" w:rsidR="00016609" w:rsidRPr="009C3CBE" w:rsidRDefault="00F16C78" w:rsidP="001C2CAE">
            <w:pPr>
              <w:pStyle w:val="TableText0"/>
              <w:jc w:val="center"/>
              <w:rPr>
                <w:highlight w:val="lightGray"/>
              </w:rPr>
            </w:pPr>
            <w:r w:rsidRPr="00F16C78">
              <w:rPr>
                <w:color w:val="000000"/>
                <w:spacing w:val="42"/>
                <w:shd w:val="solid" w:color="000000" w:fill="000000"/>
                <w:fitText w:val="213" w:id="-961860601"/>
                <w14:textFill>
                  <w14:solidFill>
                    <w14:srgbClr w14:val="000000">
                      <w14:alpha w14:val="100000"/>
                    </w14:srgbClr>
                  </w14:solidFill>
                </w14:textFill>
              </w:rPr>
              <w:t>||</w:t>
            </w:r>
            <w:r w:rsidRPr="00F16C78">
              <w:rPr>
                <w:color w:val="000000"/>
                <w:spacing w:val="2"/>
                <w:shd w:val="solid" w:color="000000" w:fill="000000"/>
                <w:fitText w:val="213" w:id="-961860601"/>
                <w14:textFill>
                  <w14:solidFill>
                    <w14:srgbClr w14:val="000000">
                      <w14:alpha w14:val="100000"/>
                    </w14:srgbClr>
                  </w14:solidFill>
                </w14:textFill>
              </w:rPr>
              <w:t>|</w:t>
            </w:r>
            <w:r w:rsidR="00643441" w:rsidRPr="00D21B8B">
              <w:rPr>
                <w:vertAlign w:val="superscript"/>
              </w:rPr>
              <w:t>3</w:t>
            </w:r>
          </w:p>
        </w:tc>
        <w:tc>
          <w:tcPr>
            <w:tcW w:w="611" w:type="pct"/>
            <w:vAlign w:val="center"/>
          </w:tcPr>
          <w:p w14:paraId="3163E9EF" w14:textId="03FEADA0" w:rsidR="00016609" w:rsidRPr="009C3CBE" w:rsidRDefault="00F16C78" w:rsidP="001C2CAE">
            <w:pPr>
              <w:pStyle w:val="TableText0"/>
              <w:jc w:val="center"/>
              <w:rPr>
                <w:highlight w:val="lightGray"/>
              </w:rPr>
            </w:pPr>
            <w:r w:rsidRPr="00F16C78">
              <w:rPr>
                <w:color w:val="000000"/>
                <w:spacing w:val="42"/>
                <w:shd w:val="solid" w:color="000000" w:fill="000000"/>
                <w:fitText w:val="213" w:id="-961860600"/>
                <w14:textFill>
                  <w14:solidFill>
                    <w14:srgbClr w14:val="000000">
                      <w14:alpha w14:val="100000"/>
                    </w14:srgbClr>
                  </w14:solidFill>
                </w14:textFill>
              </w:rPr>
              <w:t>||</w:t>
            </w:r>
            <w:r w:rsidRPr="00F16C78">
              <w:rPr>
                <w:color w:val="000000"/>
                <w:spacing w:val="2"/>
                <w:shd w:val="solid" w:color="000000" w:fill="000000"/>
                <w:fitText w:val="213" w:id="-961860600"/>
                <w14:textFill>
                  <w14:solidFill>
                    <w14:srgbClr w14:val="000000">
                      <w14:alpha w14:val="100000"/>
                    </w14:srgbClr>
                  </w14:solidFill>
                </w14:textFill>
              </w:rPr>
              <w:t>|</w:t>
            </w:r>
            <w:r w:rsidR="00643441" w:rsidRPr="00D21B8B">
              <w:rPr>
                <w:vertAlign w:val="superscript"/>
              </w:rPr>
              <w:t>4</w:t>
            </w:r>
          </w:p>
        </w:tc>
      </w:tr>
      <w:tr w:rsidR="00016609" w:rsidRPr="00456281" w14:paraId="363C386E" w14:textId="77777777" w:rsidTr="00956744">
        <w:tc>
          <w:tcPr>
            <w:tcW w:w="5000" w:type="pct"/>
            <w:gridSpan w:val="7"/>
            <w:shd w:val="clear" w:color="auto" w:fill="auto"/>
            <w:vAlign w:val="center"/>
          </w:tcPr>
          <w:p w14:paraId="1708589D" w14:textId="77777777" w:rsidR="00016609" w:rsidRPr="00456281" w:rsidRDefault="00016609" w:rsidP="001C2CAE">
            <w:pPr>
              <w:pStyle w:val="TableText0"/>
              <w:rPr>
                <w:b/>
                <w:bCs w:val="0"/>
              </w:rPr>
            </w:pPr>
            <w:r w:rsidRPr="00456281">
              <w:rPr>
                <w:b/>
                <w:bCs w:val="0"/>
              </w:rPr>
              <w:t>Estimated financial implications for substituted Gem+NabP</w:t>
            </w:r>
          </w:p>
        </w:tc>
      </w:tr>
      <w:tr w:rsidR="00016609" w:rsidRPr="00456281" w14:paraId="45BAFAEA" w14:textId="77777777" w:rsidTr="00956744">
        <w:tc>
          <w:tcPr>
            <w:tcW w:w="1334" w:type="pct"/>
            <w:shd w:val="clear" w:color="auto" w:fill="auto"/>
            <w:vAlign w:val="center"/>
          </w:tcPr>
          <w:p w14:paraId="3F4DB30C" w14:textId="27A80D4E" w:rsidR="00016609" w:rsidRPr="00456281" w:rsidRDefault="00016609" w:rsidP="001C2CAE">
            <w:pPr>
              <w:pStyle w:val="TableText0"/>
              <w:rPr>
                <w:sz w:val="19"/>
                <w:szCs w:val="19"/>
              </w:rPr>
            </w:pPr>
            <w:r w:rsidRPr="00456281">
              <w:rPr>
                <w:sz w:val="19"/>
                <w:szCs w:val="19"/>
              </w:rPr>
              <w:t xml:space="preserve">Cost to PBS/RPBS less </w:t>
            </w:r>
            <w:r w:rsidR="00E43A2C" w:rsidRPr="00456281">
              <w:rPr>
                <w:sz w:val="19"/>
                <w:szCs w:val="19"/>
              </w:rPr>
              <w:t>co-payments</w:t>
            </w:r>
          </w:p>
        </w:tc>
        <w:tc>
          <w:tcPr>
            <w:tcW w:w="611" w:type="pct"/>
            <w:shd w:val="clear" w:color="auto" w:fill="auto"/>
            <w:vAlign w:val="center"/>
          </w:tcPr>
          <w:p w14:paraId="22DA9A18" w14:textId="156D1D2B" w:rsidR="00016609" w:rsidRPr="009C3CBE" w:rsidRDefault="00F16C78" w:rsidP="001C2CAE">
            <w:pPr>
              <w:pStyle w:val="TableText0"/>
              <w:jc w:val="center"/>
              <w:rPr>
                <w:highlight w:val="lightGray"/>
              </w:rPr>
            </w:pPr>
            <w:r w:rsidRPr="00F16C78">
              <w:rPr>
                <w:color w:val="000000"/>
                <w:spacing w:val="42"/>
                <w:shd w:val="solid" w:color="000000" w:fill="000000"/>
                <w:fitText w:val="213" w:id="-961860599"/>
                <w14:textFill>
                  <w14:solidFill>
                    <w14:srgbClr w14:val="000000">
                      <w14:alpha w14:val="100000"/>
                    </w14:srgbClr>
                  </w14:solidFill>
                </w14:textFill>
              </w:rPr>
              <w:t>||</w:t>
            </w:r>
            <w:r w:rsidRPr="00F16C78">
              <w:rPr>
                <w:color w:val="000000"/>
                <w:spacing w:val="2"/>
                <w:shd w:val="solid" w:color="000000" w:fill="000000"/>
                <w:fitText w:val="213" w:id="-961860599"/>
                <w14:textFill>
                  <w14:solidFill>
                    <w14:srgbClr w14:val="000000">
                      <w14:alpha w14:val="100000"/>
                    </w14:srgbClr>
                  </w14:solidFill>
                </w14:textFill>
              </w:rPr>
              <w:t>|</w:t>
            </w:r>
            <w:r w:rsidR="00643441" w:rsidRPr="009C3CBE">
              <w:rPr>
                <w:vertAlign w:val="superscript"/>
              </w:rPr>
              <w:t>5</w:t>
            </w:r>
          </w:p>
        </w:tc>
        <w:tc>
          <w:tcPr>
            <w:tcW w:w="611" w:type="pct"/>
            <w:shd w:val="clear" w:color="auto" w:fill="auto"/>
            <w:vAlign w:val="center"/>
          </w:tcPr>
          <w:p w14:paraId="3756502E" w14:textId="47D08F02" w:rsidR="00016609" w:rsidRPr="009C3CBE" w:rsidRDefault="00F16C78" w:rsidP="001C2CAE">
            <w:pPr>
              <w:pStyle w:val="TableText0"/>
              <w:jc w:val="center"/>
              <w:rPr>
                <w:highlight w:val="lightGray"/>
              </w:rPr>
            </w:pPr>
            <w:r w:rsidRPr="00F16C78">
              <w:rPr>
                <w:color w:val="000000"/>
                <w:spacing w:val="42"/>
                <w:shd w:val="solid" w:color="000000" w:fill="000000"/>
                <w:fitText w:val="213" w:id="-961860598"/>
                <w14:textFill>
                  <w14:solidFill>
                    <w14:srgbClr w14:val="000000">
                      <w14:alpha w14:val="100000"/>
                    </w14:srgbClr>
                  </w14:solidFill>
                </w14:textFill>
              </w:rPr>
              <w:t>||</w:t>
            </w:r>
            <w:r w:rsidRPr="00F16C78">
              <w:rPr>
                <w:color w:val="000000"/>
                <w:spacing w:val="2"/>
                <w:shd w:val="solid" w:color="000000" w:fill="000000"/>
                <w:fitText w:val="213" w:id="-961860598"/>
                <w14:textFill>
                  <w14:solidFill>
                    <w14:srgbClr w14:val="000000">
                      <w14:alpha w14:val="100000"/>
                    </w14:srgbClr>
                  </w14:solidFill>
                </w14:textFill>
              </w:rPr>
              <w:t>|</w:t>
            </w:r>
            <w:r w:rsidR="00643441" w:rsidRPr="00D21B8B">
              <w:rPr>
                <w:vertAlign w:val="superscript"/>
              </w:rPr>
              <w:t>5</w:t>
            </w:r>
          </w:p>
        </w:tc>
        <w:tc>
          <w:tcPr>
            <w:tcW w:w="611" w:type="pct"/>
            <w:shd w:val="clear" w:color="auto" w:fill="auto"/>
            <w:vAlign w:val="center"/>
          </w:tcPr>
          <w:p w14:paraId="054EB6CD" w14:textId="762A0989" w:rsidR="00016609" w:rsidRPr="009C3CBE" w:rsidRDefault="00F16C78" w:rsidP="001C2CAE">
            <w:pPr>
              <w:pStyle w:val="TableText0"/>
              <w:jc w:val="center"/>
              <w:rPr>
                <w:highlight w:val="lightGray"/>
              </w:rPr>
            </w:pPr>
            <w:r w:rsidRPr="00F16C78">
              <w:rPr>
                <w:color w:val="000000"/>
                <w:spacing w:val="42"/>
                <w:shd w:val="solid" w:color="000000" w:fill="000000"/>
                <w:fitText w:val="213" w:id="-961860597"/>
                <w14:textFill>
                  <w14:solidFill>
                    <w14:srgbClr w14:val="000000">
                      <w14:alpha w14:val="100000"/>
                    </w14:srgbClr>
                  </w14:solidFill>
                </w14:textFill>
              </w:rPr>
              <w:t>||</w:t>
            </w:r>
            <w:r w:rsidRPr="00F16C78">
              <w:rPr>
                <w:color w:val="000000"/>
                <w:spacing w:val="2"/>
                <w:shd w:val="solid" w:color="000000" w:fill="000000"/>
                <w:fitText w:val="213" w:id="-961860597"/>
                <w14:textFill>
                  <w14:solidFill>
                    <w14:srgbClr w14:val="000000">
                      <w14:alpha w14:val="100000"/>
                    </w14:srgbClr>
                  </w14:solidFill>
                </w14:textFill>
              </w:rPr>
              <w:t>|</w:t>
            </w:r>
            <w:r w:rsidR="00643441" w:rsidRPr="00D21B8B">
              <w:rPr>
                <w:vertAlign w:val="superscript"/>
              </w:rPr>
              <w:t>5</w:t>
            </w:r>
          </w:p>
        </w:tc>
        <w:tc>
          <w:tcPr>
            <w:tcW w:w="611" w:type="pct"/>
            <w:shd w:val="clear" w:color="auto" w:fill="auto"/>
            <w:vAlign w:val="center"/>
          </w:tcPr>
          <w:p w14:paraId="37C791E4" w14:textId="193C4CFA" w:rsidR="00016609" w:rsidRPr="009C3CBE" w:rsidRDefault="00F16C78" w:rsidP="001C2CAE">
            <w:pPr>
              <w:pStyle w:val="TableText0"/>
              <w:jc w:val="center"/>
              <w:rPr>
                <w:highlight w:val="lightGray"/>
              </w:rPr>
            </w:pPr>
            <w:r w:rsidRPr="00F16C78">
              <w:rPr>
                <w:color w:val="000000"/>
                <w:spacing w:val="42"/>
                <w:shd w:val="solid" w:color="000000" w:fill="000000"/>
                <w:fitText w:val="213" w:id="-961860596"/>
                <w14:textFill>
                  <w14:solidFill>
                    <w14:srgbClr w14:val="000000">
                      <w14:alpha w14:val="100000"/>
                    </w14:srgbClr>
                  </w14:solidFill>
                </w14:textFill>
              </w:rPr>
              <w:t>||</w:t>
            </w:r>
            <w:r w:rsidRPr="00F16C78">
              <w:rPr>
                <w:color w:val="000000"/>
                <w:spacing w:val="2"/>
                <w:shd w:val="solid" w:color="000000" w:fill="000000"/>
                <w:fitText w:val="213" w:id="-961860596"/>
                <w14:textFill>
                  <w14:solidFill>
                    <w14:srgbClr w14:val="000000">
                      <w14:alpha w14:val="100000"/>
                    </w14:srgbClr>
                  </w14:solidFill>
                </w14:textFill>
              </w:rPr>
              <w:t>|</w:t>
            </w:r>
            <w:r w:rsidR="00643441" w:rsidRPr="00D21B8B">
              <w:rPr>
                <w:vertAlign w:val="superscript"/>
              </w:rPr>
              <w:t>5</w:t>
            </w:r>
          </w:p>
        </w:tc>
        <w:tc>
          <w:tcPr>
            <w:tcW w:w="611" w:type="pct"/>
            <w:shd w:val="clear" w:color="auto" w:fill="auto"/>
            <w:vAlign w:val="center"/>
          </w:tcPr>
          <w:p w14:paraId="7E34B33D" w14:textId="1A0C11B0" w:rsidR="00016609" w:rsidRPr="009C3CBE" w:rsidRDefault="00F16C78" w:rsidP="001C2CAE">
            <w:pPr>
              <w:pStyle w:val="TableText0"/>
              <w:jc w:val="center"/>
              <w:rPr>
                <w:highlight w:val="lightGray"/>
              </w:rPr>
            </w:pPr>
            <w:r w:rsidRPr="00F16C78">
              <w:rPr>
                <w:color w:val="000000"/>
                <w:spacing w:val="42"/>
                <w:shd w:val="solid" w:color="000000" w:fill="000000"/>
                <w:fitText w:val="213" w:id="-961860595"/>
                <w14:textFill>
                  <w14:solidFill>
                    <w14:srgbClr w14:val="000000">
                      <w14:alpha w14:val="100000"/>
                    </w14:srgbClr>
                  </w14:solidFill>
                </w14:textFill>
              </w:rPr>
              <w:t>||</w:t>
            </w:r>
            <w:r w:rsidRPr="00F16C78">
              <w:rPr>
                <w:color w:val="000000"/>
                <w:spacing w:val="2"/>
                <w:shd w:val="solid" w:color="000000" w:fill="000000"/>
                <w:fitText w:val="213" w:id="-961860595"/>
                <w14:textFill>
                  <w14:solidFill>
                    <w14:srgbClr w14:val="000000">
                      <w14:alpha w14:val="100000"/>
                    </w14:srgbClr>
                  </w14:solidFill>
                </w14:textFill>
              </w:rPr>
              <w:t>|</w:t>
            </w:r>
            <w:r w:rsidR="00643441" w:rsidRPr="00D21B8B">
              <w:rPr>
                <w:vertAlign w:val="superscript"/>
              </w:rPr>
              <w:t>5</w:t>
            </w:r>
          </w:p>
        </w:tc>
        <w:tc>
          <w:tcPr>
            <w:tcW w:w="611" w:type="pct"/>
            <w:vAlign w:val="center"/>
          </w:tcPr>
          <w:p w14:paraId="46CD1C14" w14:textId="4F028B27" w:rsidR="00016609" w:rsidRPr="009C3CBE" w:rsidRDefault="00F16C78" w:rsidP="001C2CAE">
            <w:pPr>
              <w:pStyle w:val="TableText0"/>
              <w:jc w:val="center"/>
              <w:rPr>
                <w:highlight w:val="lightGray"/>
              </w:rPr>
            </w:pPr>
            <w:r w:rsidRPr="00F16C78">
              <w:rPr>
                <w:color w:val="000000"/>
                <w:spacing w:val="42"/>
                <w:shd w:val="solid" w:color="000000" w:fill="000000"/>
                <w:fitText w:val="213" w:id="-961860594"/>
                <w14:textFill>
                  <w14:solidFill>
                    <w14:srgbClr w14:val="000000">
                      <w14:alpha w14:val="100000"/>
                    </w14:srgbClr>
                  </w14:solidFill>
                </w14:textFill>
              </w:rPr>
              <w:t>||</w:t>
            </w:r>
            <w:r w:rsidRPr="00F16C78">
              <w:rPr>
                <w:color w:val="000000"/>
                <w:spacing w:val="2"/>
                <w:shd w:val="solid" w:color="000000" w:fill="000000"/>
                <w:fitText w:val="213" w:id="-961860594"/>
                <w14:textFill>
                  <w14:solidFill>
                    <w14:srgbClr w14:val="000000">
                      <w14:alpha w14:val="100000"/>
                    </w14:srgbClr>
                  </w14:solidFill>
                </w14:textFill>
              </w:rPr>
              <w:t>|</w:t>
            </w:r>
            <w:r w:rsidR="00643441" w:rsidRPr="00D21B8B">
              <w:rPr>
                <w:vertAlign w:val="superscript"/>
              </w:rPr>
              <w:t>5</w:t>
            </w:r>
          </w:p>
        </w:tc>
      </w:tr>
      <w:tr w:rsidR="00016609" w:rsidRPr="00456281" w14:paraId="692D3CF1" w14:textId="77777777" w:rsidTr="00956744">
        <w:tc>
          <w:tcPr>
            <w:tcW w:w="5000" w:type="pct"/>
            <w:gridSpan w:val="7"/>
            <w:shd w:val="clear" w:color="auto" w:fill="auto"/>
            <w:vAlign w:val="center"/>
          </w:tcPr>
          <w:p w14:paraId="3138C012" w14:textId="77777777" w:rsidR="00016609" w:rsidRPr="00456281" w:rsidRDefault="00016609" w:rsidP="001C2CAE">
            <w:pPr>
              <w:pStyle w:val="In-tableHeading"/>
              <w:rPr>
                <w:lang w:val="en-AU"/>
              </w:rPr>
            </w:pPr>
            <w:r w:rsidRPr="00456281">
              <w:rPr>
                <w:lang w:val="en-AU"/>
              </w:rPr>
              <w:t>Net financial implications</w:t>
            </w:r>
            <w:r w:rsidRPr="00456281">
              <w:rPr>
                <w:color w:val="5B9BD5" w:themeColor="accent5"/>
                <w:lang w:val="en-AU"/>
              </w:rPr>
              <w:t xml:space="preserve"> </w:t>
            </w:r>
          </w:p>
        </w:tc>
      </w:tr>
      <w:tr w:rsidR="00016609" w:rsidRPr="00456281" w14:paraId="01109D42" w14:textId="77777777" w:rsidTr="00956744">
        <w:tc>
          <w:tcPr>
            <w:tcW w:w="1334" w:type="pct"/>
            <w:shd w:val="clear" w:color="auto" w:fill="auto"/>
            <w:vAlign w:val="center"/>
          </w:tcPr>
          <w:p w14:paraId="0787D18E" w14:textId="77777777" w:rsidR="00016609" w:rsidRPr="00456281" w:rsidRDefault="00016609" w:rsidP="001C2CAE">
            <w:pPr>
              <w:pStyle w:val="TableText0"/>
              <w:rPr>
                <w:sz w:val="19"/>
                <w:szCs w:val="19"/>
              </w:rPr>
            </w:pPr>
            <w:r w:rsidRPr="00456281">
              <w:rPr>
                <w:sz w:val="19"/>
                <w:szCs w:val="19"/>
              </w:rPr>
              <w:t>Net cost to PBS/RPBS</w:t>
            </w:r>
          </w:p>
        </w:tc>
        <w:tc>
          <w:tcPr>
            <w:tcW w:w="611" w:type="pct"/>
            <w:shd w:val="clear" w:color="auto" w:fill="auto"/>
            <w:vAlign w:val="center"/>
          </w:tcPr>
          <w:p w14:paraId="007EEC90" w14:textId="4888D77B" w:rsidR="00016609" w:rsidRPr="009C3CBE" w:rsidRDefault="00F16C78" w:rsidP="001C2CAE">
            <w:pPr>
              <w:pStyle w:val="TableText0"/>
              <w:jc w:val="center"/>
              <w:rPr>
                <w:highlight w:val="lightGray"/>
              </w:rPr>
            </w:pPr>
            <w:r w:rsidRPr="00F16C78">
              <w:rPr>
                <w:rFonts w:cs="Arial"/>
                <w:color w:val="000000"/>
                <w:spacing w:val="42"/>
                <w:szCs w:val="20"/>
                <w:shd w:val="solid" w:color="000000" w:fill="000000"/>
                <w:fitText w:val="213" w:id="-961860593"/>
                <w14:textFill>
                  <w14:solidFill>
                    <w14:srgbClr w14:val="000000">
                      <w14:alpha w14:val="100000"/>
                    </w14:srgbClr>
                  </w14:solidFill>
                </w14:textFill>
              </w:rPr>
              <w:t>||</w:t>
            </w:r>
            <w:r w:rsidRPr="00F16C78">
              <w:rPr>
                <w:rFonts w:cs="Arial"/>
                <w:color w:val="000000"/>
                <w:spacing w:val="2"/>
                <w:szCs w:val="20"/>
                <w:shd w:val="solid" w:color="000000" w:fill="000000"/>
                <w:fitText w:val="213" w:id="-961860593"/>
                <w14:textFill>
                  <w14:solidFill>
                    <w14:srgbClr w14:val="000000">
                      <w14:alpha w14:val="100000"/>
                    </w14:srgbClr>
                  </w14:solidFill>
                </w14:textFill>
              </w:rPr>
              <w:t>|</w:t>
            </w:r>
            <w:r w:rsidR="00643441" w:rsidRPr="00D21B8B">
              <w:rPr>
                <w:vertAlign w:val="superscript"/>
              </w:rPr>
              <w:t>3</w:t>
            </w:r>
          </w:p>
        </w:tc>
        <w:tc>
          <w:tcPr>
            <w:tcW w:w="611" w:type="pct"/>
            <w:shd w:val="clear" w:color="auto" w:fill="auto"/>
            <w:vAlign w:val="center"/>
          </w:tcPr>
          <w:p w14:paraId="2045F7BA" w14:textId="067A9DCE" w:rsidR="00016609" w:rsidRPr="009C3CBE" w:rsidRDefault="00F16C78" w:rsidP="001C2CAE">
            <w:pPr>
              <w:pStyle w:val="TableText0"/>
              <w:jc w:val="center"/>
              <w:rPr>
                <w:highlight w:val="lightGray"/>
              </w:rPr>
            </w:pPr>
            <w:r w:rsidRPr="00F16C78">
              <w:rPr>
                <w:rFonts w:cs="Arial"/>
                <w:color w:val="000000"/>
                <w:spacing w:val="42"/>
                <w:szCs w:val="20"/>
                <w:shd w:val="solid" w:color="000000" w:fill="000000"/>
                <w:fitText w:val="213" w:id="-961860592"/>
                <w14:textFill>
                  <w14:solidFill>
                    <w14:srgbClr w14:val="000000">
                      <w14:alpha w14:val="100000"/>
                    </w14:srgbClr>
                  </w14:solidFill>
                </w14:textFill>
              </w:rPr>
              <w:t>||</w:t>
            </w:r>
            <w:r w:rsidRPr="00F16C78">
              <w:rPr>
                <w:rFonts w:cs="Arial"/>
                <w:color w:val="000000"/>
                <w:spacing w:val="2"/>
                <w:szCs w:val="20"/>
                <w:shd w:val="solid" w:color="000000" w:fill="000000"/>
                <w:fitText w:val="213" w:id="-961860592"/>
                <w14:textFill>
                  <w14:solidFill>
                    <w14:srgbClr w14:val="000000">
                      <w14:alpha w14:val="100000"/>
                    </w14:srgbClr>
                  </w14:solidFill>
                </w14:textFill>
              </w:rPr>
              <w:t>|</w:t>
            </w:r>
            <w:r w:rsidR="00643441" w:rsidRPr="00D21B8B">
              <w:rPr>
                <w:vertAlign w:val="superscript"/>
              </w:rPr>
              <w:t>3</w:t>
            </w:r>
          </w:p>
        </w:tc>
        <w:tc>
          <w:tcPr>
            <w:tcW w:w="611" w:type="pct"/>
            <w:shd w:val="clear" w:color="auto" w:fill="auto"/>
            <w:vAlign w:val="center"/>
          </w:tcPr>
          <w:p w14:paraId="373D62E1" w14:textId="36BECB28" w:rsidR="00016609" w:rsidRPr="009C3CBE" w:rsidRDefault="00F16C78" w:rsidP="001C2CAE">
            <w:pPr>
              <w:pStyle w:val="TableText0"/>
              <w:jc w:val="center"/>
              <w:rPr>
                <w:highlight w:val="lightGray"/>
              </w:rPr>
            </w:pPr>
            <w:r w:rsidRPr="00F16C78">
              <w:rPr>
                <w:rFonts w:cs="Arial"/>
                <w:color w:val="000000"/>
                <w:spacing w:val="42"/>
                <w:szCs w:val="20"/>
                <w:shd w:val="solid" w:color="000000" w:fill="000000"/>
                <w:fitText w:val="213" w:id="-961860608"/>
                <w14:textFill>
                  <w14:solidFill>
                    <w14:srgbClr w14:val="000000">
                      <w14:alpha w14:val="100000"/>
                    </w14:srgbClr>
                  </w14:solidFill>
                </w14:textFill>
              </w:rPr>
              <w:t>||</w:t>
            </w:r>
            <w:r w:rsidRPr="00F16C78">
              <w:rPr>
                <w:rFonts w:cs="Arial"/>
                <w:color w:val="000000"/>
                <w:spacing w:val="2"/>
                <w:szCs w:val="20"/>
                <w:shd w:val="solid" w:color="000000" w:fill="000000"/>
                <w:fitText w:val="213" w:id="-961860608"/>
                <w14:textFill>
                  <w14:solidFill>
                    <w14:srgbClr w14:val="000000">
                      <w14:alpha w14:val="100000"/>
                    </w14:srgbClr>
                  </w14:solidFill>
                </w14:textFill>
              </w:rPr>
              <w:t>|</w:t>
            </w:r>
            <w:r w:rsidR="00643441" w:rsidRPr="00D21B8B">
              <w:rPr>
                <w:vertAlign w:val="superscript"/>
              </w:rPr>
              <w:t>3</w:t>
            </w:r>
          </w:p>
        </w:tc>
        <w:tc>
          <w:tcPr>
            <w:tcW w:w="611" w:type="pct"/>
            <w:shd w:val="clear" w:color="auto" w:fill="auto"/>
            <w:vAlign w:val="center"/>
          </w:tcPr>
          <w:p w14:paraId="49071B94" w14:textId="7D5890A2" w:rsidR="00016609" w:rsidRPr="009C3CBE" w:rsidRDefault="00F16C78" w:rsidP="001C2CAE">
            <w:pPr>
              <w:pStyle w:val="TableText0"/>
              <w:jc w:val="center"/>
              <w:rPr>
                <w:highlight w:val="lightGray"/>
              </w:rPr>
            </w:pPr>
            <w:r w:rsidRPr="00F16C78">
              <w:rPr>
                <w:rFonts w:cs="Arial"/>
                <w:color w:val="000000"/>
                <w:spacing w:val="42"/>
                <w:szCs w:val="20"/>
                <w:shd w:val="solid" w:color="000000" w:fill="000000"/>
                <w:fitText w:val="213" w:id="-961860607"/>
                <w14:textFill>
                  <w14:solidFill>
                    <w14:srgbClr w14:val="000000">
                      <w14:alpha w14:val="100000"/>
                    </w14:srgbClr>
                  </w14:solidFill>
                </w14:textFill>
              </w:rPr>
              <w:t>||</w:t>
            </w:r>
            <w:r w:rsidRPr="00F16C78">
              <w:rPr>
                <w:rFonts w:cs="Arial"/>
                <w:color w:val="000000"/>
                <w:spacing w:val="2"/>
                <w:szCs w:val="20"/>
                <w:shd w:val="solid" w:color="000000" w:fill="000000"/>
                <w:fitText w:val="213" w:id="-961860607"/>
                <w14:textFill>
                  <w14:solidFill>
                    <w14:srgbClr w14:val="000000">
                      <w14:alpha w14:val="100000"/>
                    </w14:srgbClr>
                  </w14:solidFill>
                </w14:textFill>
              </w:rPr>
              <w:t>|</w:t>
            </w:r>
            <w:r w:rsidR="00643441" w:rsidRPr="00D21B8B">
              <w:rPr>
                <w:vertAlign w:val="superscript"/>
              </w:rPr>
              <w:t>3</w:t>
            </w:r>
          </w:p>
        </w:tc>
        <w:tc>
          <w:tcPr>
            <w:tcW w:w="611" w:type="pct"/>
            <w:shd w:val="clear" w:color="auto" w:fill="auto"/>
            <w:vAlign w:val="center"/>
          </w:tcPr>
          <w:p w14:paraId="30B9EA03" w14:textId="4DE466E7" w:rsidR="00016609" w:rsidRPr="009C3CBE" w:rsidRDefault="00F16C78" w:rsidP="001C2CAE">
            <w:pPr>
              <w:pStyle w:val="TableText0"/>
              <w:jc w:val="center"/>
              <w:rPr>
                <w:highlight w:val="lightGray"/>
              </w:rPr>
            </w:pPr>
            <w:r w:rsidRPr="00F16C78">
              <w:rPr>
                <w:rFonts w:cs="Arial"/>
                <w:color w:val="000000"/>
                <w:spacing w:val="42"/>
                <w:szCs w:val="20"/>
                <w:shd w:val="solid" w:color="000000" w:fill="000000"/>
                <w:fitText w:val="213" w:id="-961860606"/>
                <w14:textFill>
                  <w14:solidFill>
                    <w14:srgbClr w14:val="000000">
                      <w14:alpha w14:val="100000"/>
                    </w14:srgbClr>
                  </w14:solidFill>
                </w14:textFill>
              </w:rPr>
              <w:t>||</w:t>
            </w:r>
            <w:r w:rsidRPr="00F16C78">
              <w:rPr>
                <w:rFonts w:cs="Arial"/>
                <w:color w:val="000000"/>
                <w:spacing w:val="2"/>
                <w:szCs w:val="20"/>
                <w:shd w:val="solid" w:color="000000" w:fill="000000"/>
                <w:fitText w:val="213" w:id="-961860606"/>
                <w14:textFill>
                  <w14:solidFill>
                    <w14:srgbClr w14:val="000000">
                      <w14:alpha w14:val="100000"/>
                    </w14:srgbClr>
                  </w14:solidFill>
                </w14:textFill>
              </w:rPr>
              <w:t>|</w:t>
            </w:r>
            <w:r w:rsidR="00643441" w:rsidRPr="00D21B8B">
              <w:rPr>
                <w:vertAlign w:val="superscript"/>
              </w:rPr>
              <w:t>3</w:t>
            </w:r>
          </w:p>
        </w:tc>
        <w:tc>
          <w:tcPr>
            <w:tcW w:w="611" w:type="pct"/>
            <w:vAlign w:val="center"/>
          </w:tcPr>
          <w:p w14:paraId="6753487C" w14:textId="4E1E9522" w:rsidR="00016609" w:rsidRPr="009C3CBE" w:rsidRDefault="00F16C78" w:rsidP="001C2CAE">
            <w:pPr>
              <w:pStyle w:val="TableText0"/>
              <w:jc w:val="center"/>
              <w:rPr>
                <w:highlight w:val="lightGray"/>
              </w:rPr>
            </w:pPr>
            <w:r w:rsidRPr="00F16C78">
              <w:rPr>
                <w:rFonts w:cs="Arial"/>
                <w:color w:val="000000"/>
                <w:spacing w:val="42"/>
                <w:szCs w:val="20"/>
                <w:shd w:val="solid" w:color="000000" w:fill="000000"/>
                <w:fitText w:val="213" w:id="-961860605"/>
                <w14:textFill>
                  <w14:solidFill>
                    <w14:srgbClr w14:val="000000">
                      <w14:alpha w14:val="100000"/>
                    </w14:srgbClr>
                  </w14:solidFill>
                </w14:textFill>
              </w:rPr>
              <w:t>||</w:t>
            </w:r>
            <w:r w:rsidRPr="00F16C78">
              <w:rPr>
                <w:rFonts w:cs="Arial"/>
                <w:color w:val="000000"/>
                <w:spacing w:val="2"/>
                <w:szCs w:val="20"/>
                <w:shd w:val="solid" w:color="000000" w:fill="000000"/>
                <w:fitText w:val="213" w:id="-961860605"/>
                <w14:textFill>
                  <w14:solidFill>
                    <w14:srgbClr w14:val="000000">
                      <w14:alpha w14:val="100000"/>
                    </w14:srgbClr>
                  </w14:solidFill>
                </w14:textFill>
              </w:rPr>
              <w:t>|</w:t>
            </w:r>
            <w:r w:rsidR="00643441" w:rsidRPr="00D21B8B">
              <w:rPr>
                <w:vertAlign w:val="superscript"/>
              </w:rPr>
              <w:t>3</w:t>
            </w:r>
          </w:p>
        </w:tc>
      </w:tr>
      <w:tr w:rsidR="00016609" w:rsidRPr="00456281" w14:paraId="23EFC7E4" w14:textId="77777777" w:rsidTr="00956744">
        <w:tc>
          <w:tcPr>
            <w:tcW w:w="1334" w:type="pct"/>
            <w:shd w:val="clear" w:color="auto" w:fill="auto"/>
            <w:vAlign w:val="center"/>
          </w:tcPr>
          <w:p w14:paraId="756DA924" w14:textId="77777777" w:rsidR="00016609" w:rsidRPr="00456281" w:rsidRDefault="00016609" w:rsidP="001C2CAE">
            <w:pPr>
              <w:pStyle w:val="TableText0"/>
              <w:rPr>
                <w:rFonts w:ascii="Times" w:hAnsi="Times"/>
              </w:rPr>
            </w:pPr>
            <w:r w:rsidRPr="00456281">
              <w:rPr>
                <w:sz w:val="19"/>
                <w:szCs w:val="19"/>
              </w:rPr>
              <w:t>Net cost to MBS (80%)</w:t>
            </w:r>
          </w:p>
        </w:tc>
        <w:tc>
          <w:tcPr>
            <w:tcW w:w="611" w:type="pct"/>
            <w:shd w:val="clear" w:color="auto" w:fill="auto"/>
            <w:vAlign w:val="center"/>
          </w:tcPr>
          <w:p w14:paraId="0AFEC4D1" w14:textId="47A13D54" w:rsidR="00016609" w:rsidRPr="009C3CBE" w:rsidRDefault="00F16C78" w:rsidP="001C2CAE">
            <w:pPr>
              <w:pStyle w:val="TableText0"/>
              <w:jc w:val="center"/>
              <w:rPr>
                <w:highlight w:val="lightGray"/>
              </w:rPr>
            </w:pPr>
            <w:r w:rsidRPr="00F16C78">
              <w:rPr>
                <w:color w:val="000000"/>
                <w:spacing w:val="42"/>
                <w:shd w:val="solid" w:color="000000" w:fill="000000"/>
                <w:fitText w:val="213" w:id="-961860604"/>
                <w14:textFill>
                  <w14:solidFill>
                    <w14:srgbClr w14:val="000000">
                      <w14:alpha w14:val="100000"/>
                    </w14:srgbClr>
                  </w14:solidFill>
                </w14:textFill>
              </w:rPr>
              <w:t>||</w:t>
            </w:r>
            <w:r w:rsidRPr="00F16C78">
              <w:rPr>
                <w:color w:val="000000"/>
                <w:spacing w:val="2"/>
                <w:shd w:val="solid" w:color="000000" w:fill="000000"/>
                <w:fitText w:val="213" w:id="-961860604"/>
                <w14:textFill>
                  <w14:solidFill>
                    <w14:srgbClr w14:val="000000">
                      <w14:alpha w14:val="100000"/>
                    </w14:srgbClr>
                  </w14:solidFill>
                </w14:textFill>
              </w:rPr>
              <w:t>|</w:t>
            </w:r>
            <w:r w:rsidR="00643441" w:rsidRPr="00D21B8B">
              <w:rPr>
                <w:vertAlign w:val="superscript"/>
              </w:rPr>
              <w:t>5</w:t>
            </w:r>
          </w:p>
        </w:tc>
        <w:tc>
          <w:tcPr>
            <w:tcW w:w="611" w:type="pct"/>
            <w:shd w:val="clear" w:color="auto" w:fill="auto"/>
            <w:vAlign w:val="center"/>
          </w:tcPr>
          <w:p w14:paraId="6AD132CE" w14:textId="494C7C08" w:rsidR="00016609" w:rsidRPr="009C3CBE" w:rsidRDefault="00F16C78" w:rsidP="001C2CAE">
            <w:pPr>
              <w:pStyle w:val="TableText0"/>
              <w:jc w:val="center"/>
              <w:rPr>
                <w:highlight w:val="lightGray"/>
              </w:rPr>
            </w:pPr>
            <w:r w:rsidRPr="00F16C78">
              <w:rPr>
                <w:color w:val="000000"/>
                <w:spacing w:val="42"/>
                <w:shd w:val="solid" w:color="000000" w:fill="000000"/>
                <w:fitText w:val="213" w:id="-961860603"/>
                <w14:textFill>
                  <w14:solidFill>
                    <w14:srgbClr w14:val="000000">
                      <w14:alpha w14:val="100000"/>
                    </w14:srgbClr>
                  </w14:solidFill>
                </w14:textFill>
              </w:rPr>
              <w:t>||</w:t>
            </w:r>
            <w:r w:rsidRPr="00F16C78">
              <w:rPr>
                <w:color w:val="000000"/>
                <w:spacing w:val="2"/>
                <w:shd w:val="solid" w:color="000000" w:fill="000000"/>
                <w:fitText w:val="213" w:id="-961860603"/>
                <w14:textFill>
                  <w14:solidFill>
                    <w14:srgbClr w14:val="000000">
                      <w14:alpha w14:val="100000"/>
                    </w14:srgbClr>
                  </w14:solidFill>
                </w14:textFill>
              </w:rPr>
              <w:t>|</w:t>
            </w:r>
            <w:r w:rsidR="00643441" w:rsidRPr="00D21B8B">
              <w:rPr>
                <w:vertAlign w:val="superscript"/>
              </w:rPr>
              <w:t>5</w:t>
            </w:r>
          </w:p>
        </w:tc>
        <w:tc>
          <w:tcPr>
            <w:tcW w:w="611" w:type="pct"/>
            <w:shd w:val="clear" w:color="auto" w:fill="auto"/>
            <w:vAlign w:val="center"/>
          </w:tcPr>
          <w:p w14:paraId="76970178" w14:textId="7C1356B9" w:rsidR="00016609" w:rsidRPr="009C3CBE" w:rsidRDefault="00F16C78" w:rsidP="001C2CAE">
            <w:pPr>
              <w:pStyle w:val="TableText0"/>
              <w:jc w:val="center"/>
              <w:rPr>
                <w:highlight w:val="lightGray"/>
              </w:rPr>
            </w:pPr>
            <w:r w:rsidRPr="00F16C78">
              <w:rPr>
                <w:color w:val="000000"/>
                <w:spacing w:val="42"/>
                <w:shd w:val="solid" w:color="000000" w:fill="000000"/>
                <w:fitText w:val="213" w:id="-961860602"/>
                <w14:textFill>
                  <w14:solidFill>
                    <w14:srgbClr w14:val="000000">
                      <w14:alpha w14:val="100000"/>
                    </w14:srgbClr>
                  </w14:solidFill>
                </w14:textFill>
              </w:rPr>
              <w:t>||</w:t>
            </w:r>
            <w:r w:rsidRPr="00F16C78">
              <w:rPr>
                <w:color w:val="000000"/>
                <w:spacing w:val="2"/>
                <w:shd w:val="solid" w:color="000000" w:fill="000000"/>
                <w:fitText w:val="213" w:id="-961860602"/>
                <w14:textFill>
                  <w14:solidFill>
                    <w14:srgbClr w14:val="000000">
                      <w14:alpha w14:val="100000"/>
                    </w14:srgbClr>
                  </w14:solidFill>
                </w14:textFill>
              </w:rPr>
              <w:t>|</w:t>
            </w:r>
            <w:r w:rsidR="00643441" w:rsidRPr="00D21B8B">
              <w:rPr>
                <w:vertAlign w:val="superscript"/>
              </w:rPr>
              <w:t>5</w:t>
            </w:r>
          </w:p>
        </w:tc>
        <w:tc>
          <w:tcPr>
            <w:tcW w:w="611" w:type="pct"/>
            <w:shd w:val="clear" w:color="auto" w:fill="auto"/>
            <w:vAlign w:val="center"/>
          </w:tcPr>
          <w:p w14:paraId="1A204385" w14:textId="027DD13E" w:rsidR="00016609" w:rsidRPr="009C3CBE" w:rsidRDefault="00F16C78" w:rsidP="001C2CAE">
            <w:pPr>
              <w:pStyle w:val="TableText0"/>
              <w:jc w:val="center"/>
              <w:rPr>
                <w:highlight w:val="lightGray"/>
              </w:rPr>
            </w:pPr>
            <w:r w:rsidRPr="00F16C78">
              <w:rPr>
                <w:color w:val="000000"/>
                <w:spacing w:val="42"/>
                <w:shd w:val="solid" w:color="000000" w:fill="000000"/>
                <w:fitText w:val="213" w:id="-961860601"/>
                <w14:textFill>
                  <w14:solidFill>
                    <w14:srgbClr w14:val="000000">
                      <w14:alpha w14:val="100000"/>
                    </w14:srgbClr>
                  </w14:solidFill>
                </w14:textFill>
              </w:rPr>
              <w:t>||</w:t>
            </w:r>
            <w:r w:rsidRPr="00F16C78">
              <w:rPr>
                <w:color w:val="000000"/>
                <w:spacing w:val="2"/>
                <w:shd w:val="solid" w:color="000000" w:fill="000000"/>
                <w:fitText w:val="213" w:id="-961860601"/>
                <w14:textFill>
                  <w14:solidFill>
                    <w14:srgbClr w14:val="000000">
                      <w14:alpha w14:val="100000"/>
                    </w14:srgbClr>
                  </w14:solidFill>
                </w14:textFill>
              </w:rPr>
              <w:t>|</w:t>
            </w:r>
            <w:r w:rsidR="00643441" w:rsidRPr="00D21B8B">
              <w:rPr>
                <w:vertAlign w:val="superscript"/>
              </w:rPr>
              <w:t>5</w:t>
            </w:r>
          </w:p>
        </w:tc>
        <w:tc>
          <w:tcPr>
            <w:tcW w:w="611" w:type="pct"/>
            <w:shd w:val="clear" w:color="auto" w:fill="auto"/>
            <w:vAlign w:val="center"/>
          </w:tcPr>
          <w:p w14:paraId="62CB0095" w14:textId="1C6FD9B5" w:rsidR="00016609" w:rsidRPr="009C3CBE" w:rsidRDefault="00F16C78" w:rsidP="001C2CAE">
            <w:pPr>
              <w:pStyle w:val="TableText0"/>
              <w:jc w:val="center"/>
              <w:rPr>
                <w:highlight w:val="lightGray"/>
              </w:rPr>
            </w:pPr>
            <w:r w:rsidRPr="00F16C78">
              <w:rPr>
                <w:color w:val="000000"/>
                <w:spacing w:val="42"/>
                <w:shd w:val="solid" w:color="000000" w:fill="000000"/>
                <w:fitText w:val="213" w:id="-961860352"/>
                <w14:textFill>
                  <w14:solidFill>
                    <w14:srgbClr w14:val="000000">
                      <w14:alpha w14:val="100000"/>
                    </w14:srgbClr>
                  </w14:solidFill>
                </w14:textFill>
              </w:rPr>
              <w:t>||</w:t>
            </w:r>
            <w:r w:rsidRPr="00F16C78">
              <w:rPr>
                <w:color w:val="000000"/>
                <w:spacing w:val="2"/>
                <w:shd w:val="solid" w:color="000000" w:fill="000000"/>
                <w:fitText w:val="213" w:id="-961860352"/>
                <w14:textFill>
                  <w14:solidFill>
                    <w14:srgbClr w14:val="000000">
                      <w14:alpha w14:val="100000"/>
                    </w14:srgbClr>
                  </w14:solidFill>
                </w14:textFill>
              </w:rPr>
              <w:t>|</w:t>
            </w:r>
            <w:r w:rsidR="00643441" w:rsidRPr="00D21B8B">
              <w:rPr>
                <w:vertAlign w:val="superscript"/>
              </w:rPr>
              <w:t>5</w:t>
            </w:r>
          </w:p>
        </w:tc>
        <w:tc>
          <w:tcPr>
            <w:tcW w:w="611" w:type="pct"/>
          </w:tcPr>
          <w:p w14:paraId="20E247F8" w14:textId="252F6CF2" w:rsidR="00016609" w:rsidRPr="009C3CBE" w:rsidRDefault="00F16C78" w:rsidP="001C2CAE">
            <w:pPr>
              <w:pStyle w:val="TableText0"/>
              <w:jc w:val="center"/>
              <w:rPr>
                <w:highlight w:val="lightGray"/>
              </w:rPr>
            </w:pPr>
            <w:r w:rsidRPr="00F16C78">
              <w:rPr>
                <w:color w:val="000000"/>
                <w:spacing w:val="42"/>
                <w:shd w:val="solid" w:color="000000" w:fill="000000"/>
                <w:fitText w:val="213" w:id="-961860351"/>
                <w14:textFill>
                  <w14:solidFill>
                    <w14:srgbClr w14:val="000000">
                      <w14:alpha w14:val="100000"/>
                    </w14:srgbClr>
                  </w14:solidFill>
                </w14:textFill>
              </w:rPr>
              <w:t>||</w:t>
            </w:r>
            <w:r w:rsidRPr="00F16C78">
              <w:rPr>
                <w:color w:val="000000"/>
                <w:spacing w:val="2"/>
                <w:shd w:val="solid" w:color="000000" w:fill="000000"/>
                <w:fitText w:val="213" w:id="-961860351"/>
                <w14:textFill>
                  <w14:solidFill>
                    <w14:srgbClr w14:val="000000">
                      <w14:alpha w14:val="100000"/>
                    </w14:srgbClr>
                  </w14:solidFill>
                </w14:textFill>
              </w:rPr>
              <w:t>|</w:t>
            </w:r>
            <w:r w:rsidR="00643441" w:rsidRPr="00D21B8B">
              <w:rPr>
                <w:vertAlign w:val="superscript"/>
              </w:rPr>
              <w:t>5</w:t>
            </w:r>
          </w:p>
        </w:tc>
      </w:tr>
      <w:tr w:rsidR="00016609" w:rsidRPr="00456281" w14:paraId="51BC7FF0" w14:textId="77777777" w:rsidTr="00956744">
        <w:tc>
          <w:tcPr>
            <w:tcW w:w="1334" w:type="pct"/>
            <w:shd w:val="clear" w:color="auto" w:fill="auto"/>
            <w:vAlign w:val="center"/>
          </w:tcPr>
          <w:p w14:paraId="40D444A7" w14:textId="77777777" w:rsidR="00016609" w:rsidRPr="00456281" w:rsidRDefault="00016609" w:rsidP="001C2CAE">
            <w:pPr>
              <w:pStyle w:val="TableText0"/>
              <w:rPr>
                <w:sz w:val="19"/>
                <w:szCs w:val="19"/>
              </w:rPr>
            </w:pPr>
            <w:r w:rsidRPr="00456281">
              <w:rPr>
                <w:sz w:val="19"/>
                <w:szCs w:val="19"/>
              </w:rPr>
              <w:t>Net cost to Australian Government health budget</w:t>
            </w:r>
          </w:p>
        </w:tc>
        <w:tc>
          <w:tcPr>
            <w:tcW w:w="611" w:type="pct"/>
            <w:shd w:val="clear" w:color="auto" w:fill="auto"/>
            <w:vAlign w:val="center"/>
          </w:tcPr>
          <w:p w14:paraId="2A5A97CE" w14:textId="7B011DD7" w:rsidR="00016609" w:rsidRPr="009C3CBE" w:rsidRDefault="00F16C78" w:rsidP="001C2CAE">
            <w:pPr>
              <w:pStyle w:val="TableText0"/>
              <w:jc w:val="center"/>
              <w:rPr>
                <w:highlight w:val="lightGray"/>
              </w:rPr>
            </w:pPr>
            <w:r w:rsidRPr="00F16C78">
              <w:rPr>
                <w:color w:val="000000"/>
                <w:spacing w:val="42"/>
                <w:shd w:val="solid" w:color="000000" w:fill="000000"/>
                <w:fitText w:val="213" w:id="-961860350"/>
                <w14:textFill>
                  <w14:solidFill>
                    <w14:srgbClr w14:val="000000">
                      <w14:alpha w14:val="100000"/>
                    </w14:srgbClr>
                  </w14:solidFill>
                </w14:textFill>
              </w:rPr>
              <w:t>||</w:t>
            </w:r>
            <w:r w:rsidRPr="00F16C78">
              <w:rPr>
                <w:color w:val="000000"/>
                <w:spacing w:val="2"/>
                <w:shd w:val="solid" w:color="000000" w:fill="000000"/>
                <w:fitText w:val="213" w:id="-961860350"/>
                <w14:textFill>
                  <w14:solidFill>
                    <w14:srgbClr w14:val="000000">
                      <w14:alpha w14:val="100000"/>
                    </w14:srgbClr>
                  </w14:solidFill>
                </w14:textFill>
              </w:rPr>
              <w:t>|</w:t>
            </w:r>
            <w:r w:rsidR="00643441" w:rsidRPr="00D21B8B">
              <w:rPr>
                <w:vertAlign w:val="superscript"/>
              </w:rPr>
              <w:t>3</w:t>
            </w:r>
          </w:p>
        </w:tc>
        <w:tc>
          <w:tcPr>
            <w:tcW w:w="611" w:type="pct"/>
            <w:shd w:val="clear" w:color="auto" w:fill="auto"/>
            <w:vAlign w:val="center"/>
          </w:tcPr>
          <w:p w14:paraId="707E8B35" w14:textId="2E3442B1" w:rsidR="00016609" w:rsidRPr="009C3CBE" w:rsidRDefault="00F16C78" w:rsidP="001C2CAE">
            <w:pPr>
              <w:pStyle w:val="TableText0"/>
              <w:jc w:val="center"/>
              <w:rPr>
                <w:highlight w:val="lightGray"/>
              </w:rPr>
            </w:pPr>
            <w:r w:rsidRPr="00F16C78">
              <w:rPr>
                <w:color w:val="000000"/>
                <w:spacing w:val="42"/>
                <w:shd w:val="solid" w:color="000000" w:fill="000000"/>
                <w:fitText w:val="213" w:id="-961860349"/>
                <w14:textFill>
                  <w14:solidFill>
                    <w14:srgbClr w14:val="000000">
                      <w14:alpha w14:val="100000"/>
                    </w14:srgbClr>
                  </w14:solidFill>
                </w14:textFill>
              </w:rPr>
              <w:t>||</w:t>
            </w:r>
            <w:r w:rsidRPr="00F16C78">
              <w:rPr>
                <w:color w:val="000000"/>
                <w:spacing w:val="2"/>
                <w:shd w:val="solid" w:color="000000" w:fill="000000"/>
                <w:fitText w:val="213" w:id="-961860349"/>
                <w14:textFill>
                  <w14:solidFill>
                    <w14:srgbClr w14:val="000000">
                      <w14:alpha w14:val="100000"/>
                    </w14:srgbClr>
                  </w14:solidFill>
                </w14:textFill>
              </w:rPr>
              <w:t>|</w:t>
            </w:r>
            <w:r w:rsidR="00643441" w:rsidRPr="00D21B8B">
              <w:rPr>
                <w:vertAlign w:val="superscript"/>
              </w:rPr>
              <w:t>3</w:t>
            </w:r>
          </w:p>
        </w:tc>
        <w:tc>
          <w:tcPr>
            <w:tcW w:w="611" w:type="pct"/>
            <w:shd w:val="clear" w:color="auto" w:fill="auto"/>
            <w:vAlign w:val="center"/>
          </w:tcPr>
          <w:p w14:paraId="41AF5422" w14:textId="41CD8CA6" w:rsidR="00016609" w:rsidRPr="009C3CBE" w:rsidRDefault="00F16C78" w:rsidP="001C2CAE">
            <w:pPr>
              <w:pStyle w:val="TableText0"/>
              <w:jc w:val="center"/>
              <w:rPr>
                <w:highlight w:val="lightGray"/>
              </w:rPr>
            </w:pPr>
            <w:r w:rsidRPr="00F16C78">
              <w:rPr>
                <w:color w:val="000000"/>
                <w:spacing w:val="42"/>
                <w:shd w:val="solid" w:color="000000" w:fill="000000"/>
                <w:fitText w:val="213" w:id="-961860348"/>
                <w14:textFill>
                  <w14:solidFill>
                    <w14:srgbClr w14:val="000000">
                      <w14:alpha w14:val="100000"/>
                    </w14:srgbClr>
                  </w14:solidFill>
                </w14:textFill>
              </w:rPr>
              <w:t>||</w:t>
            </w:r>
            <w:r w:rsidRPr="00F16C78">
              <w:rPr>
                <w:color w:val="000000"/>
                <w:spacing w:val="2"/>
                <w:shd w:val="solid" w:color="000000" w:fill="000000"/>
                <w:fitText w:val="213" w:id="-961860348"/>
                <w14:textFill>
                  <w14:solidFill>
                    <w14:srgbClr w14:val="000000">
                      <w14:alpha w14:val="100000"/>
                    </w14:srgbClr>
                  </w14:solidFill>
                </w14:textFill>
              </w:rPr>
              <w:t>|</w:t>
            </w:r>
            <w:r w:rsidR="00643441" w:rsidRPr="00D21B8B">
              <w:rPr>
                <w:vertAlign w:val="superscript"/>
              </w:rPr>
              <w:t>3</w:t>
            </w:r>
          </w:p>
        </w:tc>
        <w:tc>
          <w:tcPr>
            <w:tcW w:w="611" w:type="pct"/>
            <w:shd w:val="clear" w:color="auto" w:fill="auto"/>
            <w:vAlign w:val="center"/>
          </w:tcPr>
          <w:p w14:paraId="7E3B7B22" w14:textId="4403E828" w:rsidR="00016609" w:rsidRPr="009C3CBE" w:rsidRDefault="00F16C78" w:rsidP="001C2CAE">
            <w:pPr>
              <w:pStyle w:val="TableText0"/>
              <w:jc w:val="center"/>
              <w:rPr>
                <w:highlight w:val="lightGray"/>
              </w:rPr>
            </w:pPr>
            <w:r w:rsidRPr="00F16C78">
              <w:rPr>
                <w:color w:val="000000"/>
                <w:spacing w:val="42"/>
                <w:shd w:val="solid" w:color="000000" w:fill="000000"/>
                <w:fitText w:val="213" w:id="-961860347"/>
                <w14:textFill>
                  <w14:solidFill>
                    <w14:srgbClr w14:val="000000">
                      <w14:alpha w14:val="100000"/>
                    </w14:srgbClr>
                  </w14:solidFill>
                </w14:textFill>
              </w:rPr>
              <w:t>||</w:t>
            </w:r>
            <w:r w:rsidRPr="00F16C78">
              <w:rPr>
                <w:color w:val="000000"/>
                <w:spacing w:val="2"/>
                <w:shd w:val="solid" w:color="000000" w:fill="000000"/>
                <w:fitText w:val="213" w:id="-961860347"/>
                <w14:textFill>
                  <w14:solidFill>
                    <w14:srgbClr w14:val="000000">
                      <w14:alpha w14:val="100000"/>
                    </w14:srgbClr>
                  </w14:solidFill>
                </w14:textFill>
              </w:rPr>
              <w:t>|</w:t>
            </w:r>
            <w:r w:rsidR="00643441" w:rsidRPr="00D21B8B">
              <w:rPr>
                <w:vertAlign w:val="superscript"/>
              </w:rPr>
              <w:t>3</w:t>
            </w:r>
          </w:p>
        </w:tc>
        <w:tc>
          <w:tcPr>
            <w:tcW w:w="611" w:type="pct"/>
            <w:shd w:val="clear" w:color="auto" w:fill="auto"/>
            <w:vAlign w:val="center"/>
          </w:tcPr>
          <w:p w14:paraId="4AEFBEF0" w14:textId="733905A5" w:rsidR="00016609" w:rsidRPr="009C3CBE" w:rsidRDefault="00F16C78" w:rsidP="001C2CAE">
            <w:pPr>
              <w:pStyle w:val="TableText0"/>
              <w:jc w:val="center"/>
              <w:rPr>
                <w:highlight w:val="lightGray"/>
              </w:rPr>
            </w:pPr>
            <w:r w:rsidRPr="00F16C78">
              <w:rPr>
                <w:color w:val="000000"/>
                <w:spacing w:val="42"/>
                <w:shd w:val="solid" w:color="000000" w:fill="000000"/>
                <w:fitText w:val="213" w:id="-961860346"/>
                <w14:textFill>
                  <w14:solidFill>
                    <w14:srgbClr w14:val="000000">
                      <w14:alpha w14:val="100000"/>
                    </w14:srgbClr>
                  </w14:solidFill>
                </w14:textFill>
              </w:rPr>
              <w:t>||</w:t>
            </w:r>
            <w:r w:rsidRPr="00F16C78">
              <w:rPr>
                <w:color w:val="000000"/>
                <w:spacing w:val="2"/>
                <w:shd w:val="solid" w:color="000000" w:fill="000000"/>
                <w:fitText w:val="213" w:id="-961860346"/>
                <w14:textFill>
                  <w14:solidFill>
                    <w14:srgbClr w14:val="000000">
                      <w14:alpha w14:val="100000"/>
                    </w14:srgbClr>
                  </w14:solidFill>
                </w14:textFill>
              </w:rPr>
              <w:t>|</w:t>
            </w:r>
            <w:r w:rsidR="00643441" w:rsidRPr="00D21B8B">
              <w:rPr>
                <w:vertAlign w:val="superscript"/>
              </w:rPr>
              <w:t>3</w:t>
            </w:r>
          </w:p>
        </w:tc>
        <w:tc>
          <w:tcPr>
            <w:tcW w:w="611" w:type="pct"/>
            <w:vAlign w:val="center"/>
          </w:tcPr>
          <w:p w14:paraId="6A7CD321" w14:textId="6770F9A0" w:rsidR="00016609" w:rsidRPr="009C3CBE" w:rsidRDefault="00F16C78" w:rsidP="001C2CAE">
            <w:pPr>
              <w:pStyle w:val="TableText0"/>
              <w:jc w:val="center"/>
              <w:rPr>
                <w:highlight w:val="lightGray"/>
              </w:rPr>
            </w:pPr>
            <w:r w:rsidRPr="00F16C78">
              <w:rPr>
                <w:color w:val="000000"/>
                <w:spacing w:val="42"/>
                <w:shd w:val="solid" w:color="000000" w:fill="000000"/>
                <w:fitText w:val="213" w:id="-961860345"/>
                <w14:textFill>
                  <w14:solidFill>
                    <w14:srgbClr w14:val="000000">
                      <w14:alpha w14:val="100000"/>
                    </w14:srgbClr>
                  </w14:solidFill>
                </w14:textFill>
              </w:rPr>
              <w:t>||</w:t>
            </w:r>
            <w:r w:rsidRPr="00F16C78">
              <w:rPr>
                <w:color w:val="000000"/>
                <w:spacing w:val="2"/>
                <w:shd w:val="solid" w:color="000000" w:fill="000000"/>
                <w:fitText w:val="213" w:id="-961860345"/>
                <w14:textFill>
                  <w14:solidFill>
                    <w14:srgbClr w14:val="000000">
                      <w14:alpha w14:val="100000"/>
                    </w14:srgbClr>
                  </w14:solidFill>
                </w14:textFill>
              </w:rPr>
              <w:t>|</w:t>
            </w:r>
            <w:r w:rsidR="00643441" w:rsidRPr="00D21B8B">
              <w:rPr>
                <w:vertAlign w:val="superscript"/>
              </w:rPr>
              <w:t>3</w:t>
            </w:r>
          </w:p>
        </w:tc>
      </w:tr>
    </w:tbl>
    <w:p w14:paraId="47850A0E" w14:textId="5CD24CFB" w:rsidR="00016609" w:rsidRPr="00456281" w:rsidRDefault="00016609" w:rsidP="001C2CAE">
      <w:pPr>
        <w:pStyle w:val="FooterTableFigure"/>
        <w:keepNext/>
        <w:spacing w:after="0"/>
      </w:pPr>
      <w:r w:rsidRPr="00456281">
        <w:t xml:space="preserve">Source: Table 71, p168 of the submission; Table 74, pp170-171 of the submission; Table 76, p172 of the submission; Table 77, p174 of the submission and </w:t>
      </w:r>
      <w:r w:rsidR="002A694A" w:rsidRPr="00456281">
        <w:t>corrected during the evaluation to reflect the correct co-payment calculation</w:t>
      </w:r>
    </w:p>
    <w:p w14:paraId="55DF9C31" w14:textId="75132ECB" w:rsidR="00016609" w:rsidRPr="00456281" w:rsidRDefault="00016609" w:rsidP="001C2CAE">
      <w:pPr>
        <w:pStyle w:val="FooterTableFigure"/>
        <w:keepNext/>
        <w:spacing w:after="0"/>
        <w:rPr>
          <w:rStyle w:val="CommentReference"/>
        </w:rPr>
      </w:pPr>
      <w:r w:rsidRPr="00456281">
        <w:t xml:space="preserve">Abbreviations: Gem+NabP, gemcitabine plus nanoparticle </w:t>
      </w:r>
      <w:r w:rsidR="00D83C9B" w:rsidRPr="00456281">
        <w:t>albumin-bound</w:t>
      </w:r>
      <w:r w:rsidRPr="00456281">
        <w:t xml:space="preserve"> paclitaxel; MBS, Medicare Benefits Schedule;</w:t>
      </w:r>
      <w:r w:rsidR="00E43A2C" w:rsidRPr="00456281">
        <w:t xml:space="preserve"> </w:t>
      </w:r>
      <w:r w:rsidRPr="00456281">
        <w:t>NALIRIFOX, nanoliposomal irinotecan (nal-IRI) in combination with 5-fluorouracil, leucovorin/folinic acid; PBS, Pharmaceutical Benefits Scheme; RPBS, Repatriation Pharmaceutical Benefits Scheme</w:t>
      </w:r>
    </w:p>
    <w:p w14:paraId="7E77ED39" w14:textId="77777777" w:rsidR="00016609" w:rsidRDefault="00016609" w:rsidP="001C2CAE">
      <w:pPr>
        <w:pStyle w:val="FooterTableFigure"/>
        <w:keepNext/>
        <w:spacing w:after="0"/>
      </w:pPr>
      <w:r w:rsidRPr="00456281">
        <w:rPr>
          <w:vertAlign w:val="superscript"/>
        </w:rPr>
        <w:t>a</w:t>
      </w:r>
      <w:r w:rsidRPr="00456281">
        <w:t xml:space="preserve"> Assuming 13 scripts per year as estimated by the submission.</w:t>
      </w:r>
    </w:p>
    <w:p w14:paraId="560E3257" w14:textId="77777777" w:rsidR="00E25E0C" w:rsidRPr="00E25E0C" w:rsidRDefault="00E25E0C" w:rsidP="001C2CAE">
      <w:pPr>
        <w:pStyle w:val="FooterTableFigure"/>
        <w:keepNext/>
        <w:spacing w:after="0"/>
        <w:rPr>
          <w:i/>
          <w:iCs/>
        </w:rPr>
      </w:pPr>
      <w:bookmarkStart w:id="153" w:name="_Hlk166836509"/>
      <w:r w:rsidRPr="00E25E0C">
        <w:rPr>
          <w:i/>
          <w:iCs/>
        </w:rPr>
        <w:t>The redacted values correspond to the following ranges:</w:t>
      </w:r>
    </w:p>
    <w:p w14:paraId="79AE20EC" w14:textId="77777777" w:rsidR="00E25E0C" w:rsidRPr="00E25E0C" w:rsidRDefault="00E25E0C" w:rsidP="001C2CAE">
      <w:pPr>
        <w:pStyle w:val="FooterTableFigure"/>
        <w:keepNext/>
        <w:spacing w:after="0"/>
        <w:rPr>
          <w:i/>
          <w:iCs/>
        </w:rPr>
      </w:pPr>
      <w:r w:rsidRPr="00E25E0C">
        <w:rPr>
          <w:i/>
          <w:iCs/>
          <w:vertAlign w:val="superscript"/>
        </w:rPr>
        <w:t>1</w:t>
      </w:r>
      <w:r w:rsidRPr="00E25E0C">
        <w:rPr>
          <w:i/>
          <w:iCs/>
        </w:rPr>
        <w:t xml:space="preserve"> 500 to &lt; 5,000</w:t>
      </w:r>
    </w:p>
    <w:p w14:paraId="20FBD11B" w14:textId="613A02E5" w:rsidR="00E25E0C" w:rsidRPr="00E25E0C" w:rsidRDefault="00643441" w:rsidP="001C2CAE">
      <w:pPr>
        <w:pStyle w:val="FooterTableFigure"/>
        <w:keepNext/>
        <w:spacing w:after="0"/>
        <w:rPr>
          <w:i/>
          <w:iCs/>
        </w:rPr>
      </w:pPr>
      <w:r>
        <w:rPr>
          <w:i/>
          <w:iCs/>
          <w:vertAlign w:val="superscript"/>
        </w:rPr>
        <w:t>2</w:t>
      </w:r>
      <w:r w:rsidR="00E25E0C" w:rsidRPr="00E25E0C">
        <w:rPr>
          <w:i/>
          <w:iCs/>
        </w:rPr>
        <w:t xml:space="preserve"> 10,000 to &lt; 20,000</w:t>
      </w:r>
    </w:p>
    <w:p w14:paraId="76B0DE7B" w14:textId="4A68EDB0" w:rsidR="00643441" w:rsidRPr="009C3CBE" w:rsidRDefault="00643441" w:rsidP="001C2CAE">
      <w:pPr>
        <w:pStyle w:val="FooterTableFigure"/>
        <w:keepNext/>
        <w:spacing w:after="0"/>
        <w:rPr>
          <w:i/>
          <w:iCs/>
        </w:rPr>
      </w:pPr>
      <w:r w:rsidRPr="009C3CBE">
        <w:rPr>
          <w:i/>
          <w:iCs/>
          <w:vertAlign w:val="superscript"/>
        </w:rPr>
        <w:t>3</w:t>
      </w:r>
      <w:r w:rsidRPr="009C3CBE">
        <w:rPr>
          <w:i/>
          <w:iCs/>
        </w:rPr>
        <w:t xml:space="preserve"> $10 million to &lt; $20 million</w:t>
      </w:r>
    </w:p>
    <w:p w14:paraId="7A541CAD" w14:textId="624F2B02" w:rsidR="00643441" w:rsidRPr="009C3CBE" w:rsidRDefault="00643441" w:rsidP="001C2CAE">
      <w:pPr>
        <w:pStyle w:val="FooterTableFigure"/>
        <w:keepNext/>
        <w:spacing w:after="0"/>
        <w:rPr>
          <w:i/>
          <w:iCs/>
        </w:rPr>
      </w:pPr>
      <w:r w:rsidRPr="009C3CBE">
        <w:rPr>
          <w:i/>
          <w:iCs/>
          <w:vertAlign w:val="superscript"/>
        </w:rPr>
        <w:t xml:space="preserve">4 </w:t>
      </w:r>
      <w:r w:rsidRPr="009C3CBE">
        <w:rPr>
          <w:i/>
          <w:iCs/>
        </w:rPr>
        <w:t>$20 million to &lt; $30 million</w:t>
      </w:r>
    </w:p>
    <w:p w14:paraId="2A71A77B" w14:textId="4A0EB611" w:rsidR="00643441" w:rsidRPr="001C2CAE" w:rsidRDefault="00643441" w:rsidP="00643441">
      <w:pPr>
        <w:pStyle w:val="FooterTableFigure"/>
        <w:rPr>
          <w:i/>
          <w:iCs/>
        </w:rPr>
      </w:pPr>
      <w:bookmarkStart w:id="154" w:name="_Hlk113629082"/>
      <w:r w:rsidRPr="009C3CBE">
        <w:rPr>
          <w:i/>
          <w:iCs/>
          <w:vertAlign w:val="superscript"/>
        </w:rPr>
        <w:t>5</w:t>
      </w:r>
      <w:r w:rsidRPr="009C3CBE">
        <w:rPr>
          <w:i/>
          <w:iCs/>
        </w:rPr>
        <w:t xml:space="preserve"> net cost saving</w:t>
      </w:r>
      <w:bookmarkEnd w:id="153"/>
      <w:bookmarkEnd w:id="154"/>
    </w:p>
    <w:p w14:paraId="3CCFA2B7" w14:textId="2299BAF7" w:rsidR="00707D5F" w:rsidRPr="00456281" w:rsidRDefault="00016609" w:rsidP="00117C3B">
      <w:pPr>
        <w:pStyle w:val="3-BodyText"/>
      </w:pPr>
      <w:r w:rsidRPr="00456281">
        <w:t xml:space="preserve">The submission assumed that substitution rates from Gem+NabP to NALIRIFOX would be </w:t>
      </w:r>
      <w:r w:rsidR="00F16C78" w:rsidRPr="00EE5AD4">
        <w:rPr>
          <w:color w:val="000000"/>
          <w:w w:val="15"/>
          <w:shd w:val="solid" w:color="000000" w:fill="000000"/>
          <w:fitText w:val="-20" w:id="-961860344"/>
          <w14:textFill>
            <w14:solidFill>
              <w14:srgbClr w14:val="000000">
                <w14:alpha w14:val="100000"/>
              </w14:srgbClr>
            </w14:solidFill>
          </w14:textFill>
        </w:rPr>
        <w:t xml:space="preserve">|  </w:t>
      </w:r>
      <w:r w:rsidR="00F16C78" w:rsidRPr="00EE5AD4">
        <w:rPr>
          <w:color w:val="000000"/>
          <w:spacing w:val="-69"/>
          <w:w w:val="15"/>
          <w:shd w:val="solid" w:color="000000" w:fill="000000"/>
          <w:fitText w:val="-20" w:id="-961860344"/>
          <w14:textFill>
            <w14:solidFill>
              <w14:srgbClr w14:val="000000">
                <w14:alpha w14:val="100000"/>
              </w14:srgbClr>
            </w14:solidFill>
          </w14:textFill>
        </w:rPr>
        <w:t>|</w:t>
      </w:r>
      <w:r w:rsidRPr="00E67FC5">
        <w:t>%</w:t>
      </w:r>
      <w:r w:rsidRPr="00456281">
        <w:t xml:space="preserve"> in the first year, </w:t>
      </w:r>
      <w:r w:rsidR="00F16C78" w:rsidRPr="00EE5AD4">
        <w:rPr>
          <w:color w:val="000000"/>
          <w:w w:val="15"/>
          <w:shd w:val="solid" w:color="000000" w:fill="000000"/>
          <w:fitText w:val="-20" w:id="-961860343"/>
          <w14:textFill>
            <w14:solidFill>
              <w14:srgbClr w14:val="000000">
                <w14:alpha w14:val="100000"/>
              </w14:srgbClr>
            </w14:solidFill>
          </w14:textFill>
        </w:rPr>
        <w:t xml:space="preserve">|  </w:t>
      </w:r>
      <w:r w:rsidR="00F16C78" w:rsidRPr="00EE5AD4">
        <w:rPr>
          <w:color w:val="000000"/>
          <w:spacing w:val="-69"/>
          <w:w w:val="15"/>
          <w:shd w:val="solid" w:color="000000" w:fill="000000"/>
          <w:fitText w:val="-20" w:id="-961860343"/>
          <w14:textFill>
            <w14:solidFill>
              <w14:srgbClr w14:val="000000">
                <w14:alpha w14:val="100000"/>
              </w14:srgbClr>
            </w14:solidFill>
          </w14:textFill>
        </w:rPr>
        <w:t>|</w:t>
      </w:r>
      <w:r w:rsidRPr="00E67FC5">
        <w:t>%</w:t>
      </w:r>
      <w:r w:rsidRPr="00456281">
        <w:t xml:space="preserve"> in the second year, and </w:t>
      </w:r>
      <w:r w:rsidR="00F16C78" w:rsidRPr="00EE5AD4">
        <w:rPr>
          <w:color w:val="000000"/>
          <w:w w:val="15"/>
          <w:shd w:val="solid" w:color="000000" w:fill="000000"/>
          <w:fitText w:val="-20" w:id="-961860342"/>
          <w14:textFill>
            <w14:solidFill>
              <w14:srgbClr w14:val="000000">
                <w14:alpha w14:val="100000"/>
              </w14:srgbClr>
            </w14:solidFill>
          </w14:textFill>
        </w:rPr>
        <w:t xml:space="preserve">|  </w:t>
      </w:r>
      <w:r w:rsidR="00F16C78" w:rsidRPr="00EE5AD4">
        <w:rPr>
          <w:color w:val="000000"/>
          <w:spacing w:val="-69"/>
          <w:w w:val="15"/>
          <w:shd w:val="solid" w:color="000000" w:fill="000000"/>
          <w:fitText w:val="-20" w:id="-961860342"/>
          <w14:textFill>
            <w14:solidFill>
              <w14:srgbClr w14:val="000000">
                <w14:alpha w14:val="100000"/>
              </w14:srgbClr>
            </w14:solidFill>
          </w14:textFill>
        </w:rPr>
        <w:t>|</w:t>
      </w:r>
      <w:r w:rsidRPr="00E67FC5">
        <w:t>%</w:t>
      </w:r>
      <w:r w:rsidRPr="00456281">
        <w:t xml:space="preserve"> from Year 3 onwards. </w:t>
      </w:r>
      <w:r w:rsidR="0042473C" w:rsidRPr="00456281">
        <w:t xml:space="preserve">The </w:t>
      </w:r>
      <w:r w:rsidR="004F15BF" w:rsidRPr="00456281">
        <w:t xml:space="preserve">commentary suggested that these </w:t>
      </w:r>
      <w:r w:rsidR="0042473C" w:rsidRPr="00456281">
        <w:t>substitution rate</w:t>
      </w:r>
      <w:r w:rsidR="004F15BF" w:rsidRPr="00456281">
        <w:t>s</w:t>
      </w:r>
      <w:r w:rsidR="0042473C" w:rsidRPr="00456281">
        <w:t xml:space="preserve"> </w:t>
      </w:r>
      <w:r w:rsidR="004F15BF" w:rsidRPr="00456281">
        <w:t>were overestimated</w:t>
      </w:r>
      <w:r w:rsidR="009C3CBE" w:rsidRPr="00456281">
        <w:t xml:space="preserve">. </w:t>
      </w:r>
      <w:r w:rsidR="004F15BF" w:rsidRPr="00456281">
        <w:t xml:space="preserve">The pre-PBAC response maintained that a mature uptake/substitution rate of </w:t>
      </w:r>
      <w:r w:rsidR="00F16C78" w:rsidRPr="00EE5AD4">
        <w:rPr>
          <w:color w:val="000000"/>
          <w:w w:val="15"/>
          <w:shd w:val="solid" w:color="000000" w:fill="000000"/>
          <w:fitText w:val="-20" w:id="-961860341"/>
          <w14:textFill>
            <w14:solidFill>
              <w14:srgbClr w14:val="000000">
                <w14:alpha w14:val="100000"/>
              </w14:srgbClr>
            </w14:solidFill>
          </w14:textFill>
        </w:rPr>
        <w:t xml:space="preserve">|  </w:t>
      </w:r>
      <w:r w:rsidR="00F16C78" w:rsidRPr="00EE5AD4">
        <w:rPr>
          <w:color w:val="000000"/>
          <w:spacing w:val="-69"/>
          <w:w w:val="15"/>
          <w:shd w:val="solid" w:color="000000" w:fill="000000"/>
          <w:fitText w:val="-20" w:id="-961860341"/>
          <w14:textFill>
            <w14:solidFill>
              <w14:srgbClr w14:val="000000">
                <w14:alpha w14:val="100000"/>
              </w14:srgbClr>
            </w14:solidFill>
          </w14:textFill>
        </w:rPr>
        <w:t>|</w:t>
      </w:r>
      <w:r w:rsidR="004F15BF" w:rsidRPr="00E67FC5">
        <w:t>%</w:t>
      </w:r>
      <w:r w:rsidR="004F15BF" w:rsidRPr="00456281">
        <w:t xml:space="preserve"> by Year 4 was reasonable and proposed that NALIRIFOX will be preferred over Gem+NabP due to </w:t>
      </w:r>
      <w:r w:rsidR="004F15BF" w:rsidRPr="00456281">
        <w:lastRenderedPageBreak/>
        <w:t>superior overall survival, progression-free survival, and associated improved quality-of-life</w:t>
      </w:r>
      <w:r w:rsidR="009C3CBE" w:rsidRPr="00456281">
        <w:t xml:space="preserve">. </w:t>
      </w:r>
      <w:r w:rsidR="004F15BF" w:rsidRPr="00456281">
        <w:t xml:space="preserve">The PBAC considered that a substitution rate of </w:t>
      </w:r>
      <w:r w:rsidR="00F16C78" w:rsidRPr="00EE5AD4">
        <w:rPr>
          <w:color w:val="000000"/>
          <w:w w:val="15"/>
          <w:shd w:val="solid" w:color="000000" w:fill="000000"/>
          <w:fitText w:val="-20" w:id="-961860340"/>
          <w14:textFill>
            <w14:solidFill>
              <w14:srgbClr w14:val="000000">
                <w14:alpha w14:val="100000"/>
              </w14:srgbClr>
            </w14:solidFill>
          </w14:textFill>
        </w:rPr>
        <w:t xml:space="preserve">|  </w:t>
      </w:r>
      <w:r w:rsidR="00F16C78" w:rsidRPr="00EE5AD4">
        <w:rPr>
          <w:color w:val="000000"/>
          <w:spacing w:val="-69"/>
          <w:w w:val="15"/>
          <w:shd w:val="solid" w:color="000000" w:fill="000000"/>
          <w:fitText w:val="-20" w:id="-961860340"/>
          <w14:textFill>
            <w14:solidFill>
              <w14:srgbClr w14:val="000000">
                <w14:alpha w14:val="100000"/>
              </w14:srgbClr>
            </w14:solidFill>
          </w14:textFill>
        </w:rPr>
        <w:t>|</w:t>
      </w:r>
      <w:r w:rsidR="004F15BF" w:rsidRPr="00E67FC5">
        <w:t>%</w:t>
      </w:r>
      <w:r w:rsidR="004F15BF" w:rsidRPr="00456281">
        <w:t xml:space="preserve"> was not realistic </w:t>
      </w:r>
      <w:r w:rsidRPr="00456281">
        <w:t xml:space="preserve">given the toxicity profile of NALIRIFOX. NALIRIFOX </w:t>
      </w:r>
      <w:r w:rsidR="0042473C" w:rsidRPr="00456281">
        <w:t xml:space="preserve">is likely to </w:t>
      </w:r>
      <w:r w:rsidRPr="00456281">
        <w:t xml:space="preserve">be used in younger, fitter and </w:t>
      </w:r>
      <w:r w:rsidR="004F15BF" w:rsidRPr="00456281">
        <w:t xml:space="preserve">patients with less </w:t>
      </w:r>
      <w:r w:rsidRPr="00456281">
        <w:t>comorbid</w:t>
      </w:r>
      <w:r w:rsidR="004F15BF" w:rsidRPr="00456281">
        <w:t>ities</w:t>
      </w:r>
      <w:r w:rsidR="0042473C" w:rsidRPr="00456281">
        <w:t>,</w:t>
      </w:r>
      <w:r w:rsidRPr="00456281">
        <w:t xml:space="preserve"> as is the case with FOLFIRINOX</w:t>
      </w:r>
      <w:r w:rsidR="0042473C" w:rsidRPr="00456281">
        <w:t xml:space="preserve">, while Gem+NabP tends to be used in older, less fit patients. </w:t>
      </w:r>
      <w:r w:rsidRPr="00456281">
        <w:t xml:space="preserve">The submission assumed </w:t>
      </w:r>
      <w:r w:rsidR="004F15BF" w:rsidRPr="00456281">
        <w:t xml:space="preserve">a </w:t>
      </w:r>
      <w:r w:rsidRPr="00456281">
        <w:t>substitution rate</w:t>
      </w:r>
      <w:r w:rsidR="004F15BF" w:rsidRPr="00456281">
        <w:t xml:space="preserve"> of </w:t>
      </w:r>
      <w:r w:rsidR="00F16C78" w:rsidRPr="00EE5AD4">
        <w:rPr>
          <w:color w:val="000000"/>
          <w:w w:val="15"/>
          <w:shd w:val="solid" w:color="000000" w:fill="000000"/>
          <w:fitText w:val="-20" w:id="-961860339"/>
          <w14:textFill>
            <w14:solidFill>
              <w14:srgbClr w14:val="000000">
                <w14:alpha w14:val="100000"/>
              </w14:srgbClr>
            </w14:solidFill>
          </w14:textFill>
        </w:rPr>
        <w:t xml:space="preserve">|  </w:t>
      </w:r>
      <w:r w:rsidR="00F16C78" w:rsidRPr="00EE5AD4">
        <w:rPr>
          <w:color w:val="000000"/>
          <w:spacing w:val="-69"/>
          <w:w w:val="15"/>
          <w:shd w:val="solid" w:color="000000" w:fill="000000"/>
          <w:fitText w:val="-20" w:id="-961860339"/>
          <w14:textFill>
            <w14:solidFill>
              <w14:srgbClr w14:val="000000">
                <w14:alpha w14:val="100000"/>
              </w14:srgbClr>
            </w14:solidFill>
          </w14:textFill>
        </w:rPr>
        <w:t>|</w:t>
      </w:r>
      <w:r w:rsidR="004F15BF" w:rsidRPr="00E67FC5">
        <w:t>%</w:t>
      </w:r>
      <w:r w:rsidR="004F15BF" w:rsidRPr="00456281">
        <w:t xml:space="preserve"> </w:t>
      </w:r>
      <w:r w:rsidRPr="00456281">
        <w:t>from other first-line treatments such as FOLFIRINOX</w:t>
      </w:r>
      <w:r w:rsidR="004F15BF" w:rsidRPr="00456281">
        <w:t xml:space="preserve"> (see </w:t>
      </w:r>
      <w:r w:rsidR="004F15BF" w:rsidRPr="00456281">
        <w:fldChar w:fldCharType="begin"/>
      </w:r>
      <w:r w:rsidR="004F15BF" w:rsidRPr="00456281">
        <w:instrText xml:space="preserve"> REF _Ref104805262 \h </w:instrText>
      </w:r>
      <w:r w:rsidR="004F15BF" w:rsidRPr="00456281">
        <w:fldChar w:fldCharType="separate"/>
      </w:r>
      <w:r w:rsidR="00EE5AD4" w:rsidRPr="00456281">
        <w:t xml:space="preserve">Table </w:t>
      </w:r>
      <w:r w:rsidR="00EE5AD4">
        <w:rPr>
          <w:noProof/>
        </w:rPr>
        <w:t>19</w:t>
      </w:r>
      <w:r w:rsidR="004F15BF" w:rsidRPr="00456281">
        <w:fldChar w:fldCharType="end"/>
      </w:r>
      <w:r w:rsidR="004F15BF" w:rsidRPr="00456281">
        <w:t>)</w:t>
      </w:r>
      <w:r w:rsidRPr="00456281">
        <w:t xml:space="preserve">. </w:t>
      </w:r>
      <w:r w:rsidR="00E566EE" w:rsidRPr="00456281">
        <w:t>The ESC</w:t>
      </w:r>
      <w:r w:rsidR="00707D5F" w:rsidRPr="00456281">
        <w:t xml:space="preserve"> considered this was not appropriate as NALIRIFOX will substitute for FOLFIRINOX, and it was noted that this approach underestimated the cost of the listing, because alternative therapies such as FOLFIRINOX are less costly than Gem+NabP.</w:t>
      </w:r>
    </w:p>
    <w:p w14:paraId="62B0CCAC" w14:textId="04726FE5" w:rsidR="00457324" w:rsidRPr="00456281" w:rsidRDefault="00881247" w:rsidP="001C2CAE">
      <w:pPr>
        <w:pStyle w:val="3-BodyText"/>
      </w:pPr>
      <w:r w:rsidRPr="00456281">
        <w:rPr>
          <w:rStyle w:val="normaltextrun"/>
        </w:rPr>
        <w:fldChar w:fldCharType="begin"/>
      </w:r>
      <w:r w:rsidRPr="00456281">
        <w:rPr>
          <w:rStyle w:val="normaltextrun"/>
        </w:rPr>
        <w:instrText xml:space="preserve"> REF _Ref153515917 \h </w:instrText>
      </w:r>
      <w:r w:rsidRPr="00456281">
        <w:rPr>
          <w:rStyle w:val="normaltextrun"/>
        </w:rPr>
      </w:r>
      <w:r w:rsidRPr="00456281">
        <w:rPr>
          <w:rStyle w:val="normaltextrun"/>
        </w:rPr>
        <w:fldChar w:fldCharType="separate"/>
      </w:r>
      <w:r w:rsidR="00EE5AD4" w:rsidRPr="00456281">
        <w:t xml:space="preserve">Table </w:t>
      </w:r>
      <w:r w:rsidR="00EE5AD4">
        <w:rPr>
          <w:noProof/>
        </w:rPr>
        <w:t>21</w:t>
      </w:r>
      <w:r w:rsidRPr="00456281">
        <w:rPr>
          <w:rStyle w:val="normaltextrun"/>
        </w:rPr>
        <w:fldChar w:fldCharType="end"/>
      </w:r>
      <w:r w:rsidRPr="00456281">
        <w:rPr>
          <w:rStyle w:val="normaltextrun"/>
        </w:rPr>
        <w:t xml:space="preserve"> </w:t>
      </w:r>
      <w:r w:rsidR="00016609" w:rsidRPr="00456281">
        <w:rPr>
          <w:rStyle w:val="normaltextrun"/>
        </w:rPr>
        <w:t xml:space="preserve">presents the sensitivity </w:t>
      </w:r>
      <w:r w:rsidR="004237B1" w:rsidRPr="00456281">
        <w:rPr>
          <w:rStyle w:val="normaltextrun"/>
        </w:rPr>
        <w:t xml:space="preserve">analyses included </w:t>
      </w:r>
      <w:r w:rsidR="00016609" w:rsidRPr="00456281">
        <w:rPr>
          <w:rStyle w:val="normaltextrun"/>
        </w:rPr>
        <w:t xml:space="preserve">in the submission and conducted during the evaluation. </w:t>
      </w:r>
      <w:r w:rsidR="004237B1" w:rsidRPr="00456281">
        <w:rPr>
          <w:rStyle w:val="normaltextrun"/>
        </w:rPr>
        <w:t xml:space="preserve">These </w:t>
      </w:r>
      <w:r w:rsidR="00016609" w:rsidRPr="00456281">
        <w:rPr>
          <w:rStyle w:val="normaltextrun"/>
        </w:rPr>
        <w:t xml:space="preserve">include an alternative scenario using a </w:t>
      </w:r>
      <w:r w:rsidR="00016609" w:rsidRPr="00456281">
        <w:t>mixed comparator approach incorporating FOLFIRINOX.</w:t>
      </w:r>
      <w:r w:rsidR="00016609" w:rsidRPr="00456281">
        <w:rPr>
          <w:i/>
          <w:iCs/>
        </w:rPr>
        <w:t xml:space="preserve"> </w:t>
      </w:r>
    </w:p>
    <w:p w14:paraId="1EA141DB" w14:textId="3A6932B5" w:rsidR="00016609" w:rsidRPr="00456281" w:rsidRDefault="00016609" w:rsidP="00475BA4">
      <w:pPr>
        <w:pStyle w:val="Caption"/>
        <w:rPr>
          <w:rStyle w:val="CommentReference"/>
          <w:b/>
        </w:rPr>
      </w:pPr>
      <w:bookmarkStart w:id="155" w:name="_Ref153515917"/>
      <w:bookmarkStart w:id="156" w:name="_Toc22897695"/>
      <w:bookmarkStart w:id="157" w:name="_Toc107927690"/>
      <w:r w:rsidRPr="00456281">
        <w:lastRenderedPageBreak/>
        <w:t xml:space="preserve">Table </w:t>
      </w:r>
      <w:r w:rsidR="00B75F7B">
        <w:fldChar w:fldCharType="begin"/>
      </w:r>
      <w:r w:rsidR="00B75F7B">
        <w:instrText xml:space="preserve"> SEQ Table \* ARABIC </w:instrText>
      </w:r>
      <w:r w:rsidR="00B75F7B">
        <w:fldChar w:fldCharType="separate"/>
      </w:r>
      <w:r w:rsidR="00EE5AD4">
        <w:rPr>
          <w:noProof/>
        </w:rPr>
        <w:t>21</w:t>
      </w:r>
      <w:r w:rsidR="00B75F7B">
        <w:fldChar w:fldCharType="end"/>
      </w:r>
      <w:bookmarkEnd w:id="155"/>
      <w:r w:rsidRPr="00456281">
        <w:t xml:space="preserve">: Results of sensitivity analyses </w:t>
      </w:r>
    </w:p>
    <w:tbl>
      <w:tblPr>
        <w:tblStyle w:val="TableGrid"/>
        <w:tblW w:w="5109" w:type="pct"/>
        <w:tblInd w:w="-5" w:type="dxa"/>
        <w:tblLayout w:type="fixed"/>
        <w:tblCellMar>
          <w:left w:w="85" w:type="dxa"/>
          <w:right w:w="85" w:type="dxa"/>
        </w:tblCellMar>
        <w:tblLook w:val="04A0" w:firstRow="1" w:lastRow="0" w:firstColumn="1" w:lastColumn="0" w:noHBand="0" w:noVBand="1"/>
        <w:tblCaption w:val="Table 21: Results of sensitivity analyses "/>
      </w:tblPr>
      <w:tblGrid>
        <w:gridCol w:w="2128"/>
        <w:gridCol w:w="991"/>
        <w:gridCol w:w="991"/>
        <w:gridCol w:w="991"/>
        <w:gridCol w:w="993"/>
        <w:gridCol w:w="990"/>
        <w:gridCol w:w="991"/>
        <w:gridCol w:w="1139"/>
      </w:tblGrid>
      <w:tr w:rsidR="00501A79" w:rsidRPr="00456281" w14:paraId="745D7B23" w14:textId="77777777" w:rsidTr="00501A79">
        <w:trPr>
          <w:trHeight w:val="20"/>
        </w:trPr>
        <w:tc>
          <w:tcPr>
            <w:tcW w:w="1154" w:type="pct"/>
            <w:shd w:val="clear" w:color="auto" w:fill="auto"/>
            <w:vAlign w:val="center"/>
          </w:tcPr>
          <w:p w14:paraId="15F9BD7C" w14:textId="77777777" w:rsidR="00C17D40" w:rsidRPr="00456281" w:rsidRDefault="00C17D40" w:rsidP="001C2CAE">
            <w:pPr>
              <w:pStyle w:val="PBACTabletext"/>
              <w:spacing w:after="0"/>
              <w:jc w:val="center"/>
              <w:rPr>
                <w:b/>
                <w:bCs/>
              </w:rPr>
            </w:pPr>
            <w:r w:rsidRPr="00456281">
              <w:rPr>
                <w:b/>
                <w:bCs/>
              </w:rPr>
              <w:t>Year</w:t>
            </w:r>
          </w:p>
        </w:tc>
        <w:tc>
          <w:tcPr>
            <w:tcW w:w="538" w:type="pct"/>
            <w:shd w:val="clear" w:color="auto" w:fill="auto"/>
            <w:vAlign w:val="center"/>
          </w:tcPr>
          <w:p w14:paraId="28E6FD5D" w14:textId="77777777" w:rsidR="00C17D40" w:rsidRPr="00456281" w:rsidRDefault="00C17D40" w:rsidP="001C2CAE">
            <w:pPr>
              <w:pStyle w:val="PBACTabletext"/>
              <w:spacing w:after="0"/>
              <w:jc w:val="center"/>
              <w:rPr>
                <w:b/>
                <w:bCs/>
              </w:rPr>
            </w:pPr>
            <w:r w:rsidRPr="00456281">
              <w:rPr>
                <w:b/>
                <w:bCs/>
              </w:rPr>
              <w:t>Year 1 (2024)</w:t>
            </w:r>
          </w:p>
        </w:tc>
        <w:tc>
          <w:tcPr>
            <w:tcW w:w="538" w:type="pct"/>
            <w:shd w:val="clear" w:color="auto" w:fill="auto"/>
            <w:vAlign w:val="center"/>
          </w:tcPr>
          <w:p w14:paraId="40929EEB" w14:textId="77777777" w:rsidR="00C17D40" w:rsidRPr="00456281" w:rsidRDefault="00C17D40" w:rsidP="001C2CAE">
            <w:pPr>
              <w:pStyle w:val="PBACTabletext"/>
              <w:spacing w:after="0"/>
              <w:jc w:val="center"/>
              <w:rPr>
                <w:b/>
                <w:bCs/>
              </w:rPr>
            </w:pPr>
            <w:r w:rsidRPr="00456281">
              <w:rPr>
                <w:b/>
                <w:bCs/>
              </w:rPr>
              <w:t>Year 2 (2025)</w:t>
            </w:r>
          </w:p>
        </w:tc>
        <w:tc>
          <w:tcPr>
            <w:tcW w:w="538" w:type="pct"/>
            <w:shd w:val="clear" w:color="auto" w:fill="auto"/>
            <w:vAlign w:val="center"/>
          </w:tcPr>
          <w:p w14:paraId="53E777CF" w14:textId="77777777" w:rsidR="00C17D40" w:rsidRPr="00456281" w:rsidRDefault="00C17D40" w:rsidP="001C2CAE">
            <w:pPr>
              <w:pStyle w:val="PBACTabletext"/>
              <w:spacing w:after="0"/>
              <w:jc w:val="center"/>
              <w:rPr>
                <w:b/>
                <w:bCs/>
              </w:rPr>
            </w:pPr>
            <w:r w:rsidRPr="00456281">
              <w:rPr>
                <w:b/>
                <w:bCs/>
              </w:rPr>
              <w:t>Year 3 (2026)</w:t>
            </w:r>
          </w:p>
        </w:tc>
        <w:tc>
          <w:tcPr>
            <w:tcW w:w="539" w:type="pct"/>
            <w:shd w:val="clear" w:color="auto" w:fill="auto"/>
            <w:vAlign w:val="center"/>
          </w:tcPr>
          <w:p w14:paraId="71EC2340" w14:textId="77777777" w:rsidR="00C17D40" w:rsidRPr="00456281" w:rsidRDefault="00C17D40" w:rsidP="001C2CAE">
            <w:pPr>
              <w:pStyle w:val="PBACTabletext"/>
              <w:spacing w:after="0"/>
              <w:jc w:val="center"/>
              <w:rPr>
                <w:b/>
                <w:bCs/>
              </w:rPr>
            </w:pPr>
            <w:r w:rsidRPr="00456281">
              <w:rPr>
                <w:b/>
                <w:bCs/>
              </w:rPr>
              <w:t>Year 4 (2027)</w:t>
            </w:r>
          </w:p>
        </w:tc>
        <w:tc>
          <w:tcPr>
            <w:tcW w:w="537" w:type="pct"/>
            <w:shd w:val="clear" w:color="auto" w:fill="auto"/>
            <w:vAlign w:val="center"/>
          </w:tcPr>
          <w:p w14:paraId="0B115367" w14:textId="77777777" w:rsidR="00C17D40" w:rsidRPr="00456281" w:rsidRDefault="00C17D40" w:rsidP="001C2CAE">
            <w:pPr>
              <w:pStyle w:val="PBACTabletext"/>
              <w:spacing w:after="0"/>
              <w:jc w:val="center"/>
              <w:rPr>
                <w:b/>
                <w:bCs/>
              </w:rPr>
            </w:pPr>
            <w:r w:rsidRPr="00456281">
              <w:rPr>
                <w:b/>
                <w:bCs/>
              </w:rPr>
              <w:t>Year 5 (2028)</w:t>
            </w:r>
          </w:p>
        </w:tc>
        <w:tc>
          <w:tcPr>
            <w:tcW w:w="538" w:type="pct"/>
            <w:shd w:val="clear" w:color="auto" w:fill="auto"/>
            <w:vAlign w:val="center"/>
          </w:tcPr>
          <w:p w14:paraId="32B9415A" w14:textId="77777777" w:rsidR="00C17D40" w:rsidRPr="00456281" w:rsidRDefault="00C17D40" w:rsidP="001C2CAE">
            <w:pPr>
              <w:pStyle w:val="PBACTabletext"/>
              <w:spacing w:after="0"/>
              <w:jc w:val="center"/>
              <w:rPr>
                <w:b/>
                <w:bCs/>
              </w:rPr>
            </w:pPr>
            <w:r w:rsidRPr="00456281">
              <w:rPr>
                <w:b/>
                <w:bCs/>
              </w:rPr>
              <w:t>Year 6 (2029)</w:t>
            </w:r>
          </w:p>
        </w:tc>
        <w:tc>
          <w:tcPr>
            <w:tcW w:w="616" w:type="pct"/>
            <w:shd w:val="clear" w:color="auto" w:fill="auto"/>
            <w:vAlign w:val="center"/>
          </w:tcPr>
          <w:p w14:paraId="080CF69C" w14:textId="77777777" w:rsidR="00C17D40" w:rsidRPr="00456281" w:rsidRDefault="00C17D40" w:rsidP="001C2CAE">
            <w:pPr>
              <w:pStyle w:val="PBACTabletext"/>
              <w:spacing w:after="0"/>
              <w:jc w:val="center"/>
              <w:rPr>
                <w:b/>
                <w:bCs/>
              </w:rPr>
            </w:pPr>
            <w:r w:rsidRPr="00456281">
              <w:rPr>
                <w:b/>
                <w:bCs/>
              </w:rPr>
              <w:t>Total (% change over 6 years)</w:t>
            </w:r>
          </w:p>
        </w:tc>
      </w:tr>
      <w:tr w:rsidR="00501A79" w:rsidRPr="00456281" w14:paraId="4BACB2C1" w14:textId="77777777" w:rsidTr="00501A79">
        <w:trPr>
          <w:trHeight w:val="20"/>
        </w:trPr>
        <w:tc>
          <w:tcPr>
            <w:tcW w:w="1154" w:type="pct"/>
            <w:shd w:val="clear" w:color="auto" w:fill="auto"/>
            <w:vAlign w:val="center"/>
          </w:tcPr>
          <w:p w14:paraId="4149DDF5" w14:textId="77777777" w:rsidR="00C17D40" w:rsidRPr="00456281" w:rsidRDefault="00C17D40" w:rsidP="001C2CAE">
            <w:pPr>
              <w:pStyle w:val="PBACTabletext"/>
              <w:spacing w:after="0"/>
              <w:rPr>
                <w:b/>
                <w:bCs/>
              </w:rPr>
            </w:pPr>
            <w:r w:rsidRPr="00456281">
              <w:rPr>
                <w:b/>
                <w:bCs/>
              </w:rPr>
              <w:t xml:space="preserve">Net financial impact </w:t>
            </w:r>
          </w:p>
          <w:p w14:paraId="49D4DDBD" w14:textId="77777777" w:rsidR="00C17D40" w:rsidRPr="00456281" w:rsidRDefault="00C17D40" w:rsidP="001C2CAE">
            <w:pPr>
              <w:pStyle w:val="PBACTabletext"/>
              <w:spacing w:after="0"/>
              <w:rPr>
                <w:b/>
                <w:bCs/>
                <w:vertAlign w:val="superscript"/>
              </w:rPr>
            </w:pPr>
            <w:r w:rsidRPr="00456281">
              <w:rPr>
                <w:b/>
                <w:bCs/>
              </w:rPr>
              <w:t>(base case)</w:t>
            </w:r>
            <w:r w:rsidRPr="00456281">
              <w:rPr>
                <w:b/>
                <w:bCs/>
                <w:vertAlign w:val="superscript"/>
              </w:rPr>
              <w:t>a</w:t>
            </w:r>
          </w:p>
        </w:tc>
        <w:tc>
          <w:tcPr>
            <w:tcW w:w="538" w:type="pct"/>
            <w:shd w:val="clear" w:color="auto" w:fill="auto"/>
            <w:vAlign w:val="center"/>
          </w:tcPr>
          <w:p w14:paraId="064B7E6B" w14:textId="6826E3DA" w:rsidR="00C17D40" w:rsidRPr="00C17D40" w:rsidRDefault="00C17D40" w:rsidP="001C2CAE">
            <w:pPr>
              <w:pStyle w:val="PBACTabletext"/>
              <w:spacing w:after="0"/>
              <w:jc w:val="center"/>
              <w:rPr>
                <w:b/>
                <w:bCs/>
                <w:highlight w:val="lightGray"/>
              </w:rPr>
            </w:pPr>
            <w:r w:rsidRPr="00C17D40">
              <w:rPr>
                <w:color w:val="000000"/>
                <w:spacing w:val="212"/>
                <w:shd w:val="solid" w:color="000000" w:fill="000000"/>
                <w:fitText w:val="288" w:id="-961857792"/>
                <w14:textFill>
                  <w14:solidFill>
                    <w14:srgbClr w14:val="000000">
                      <w14:alpha w14:val="100000"/>
                    </w14:srgbClr>
                  </w14:solidFill>
                </w14:textFill>
              </w:rPr>
              <w:t>|</w:t>
            </w:r>
            <w:r w:rsidRPr="00C17D40">
              <w:rPr>
                <w:color w:val="000000"/>
                <w:shd w:val="solid" w:color="000000" w:fill="000000"/>
                <w:fitText w:val="288" w:id="-961857792"/>
                <w14:textFill>
                  <w14:solidFill>
                    <w14:srgbClr w14:val="000000">
                      <w14:alpha w14:val="100000"/>
                    </w14:srgbClr>
                  </w14:solidFill>
                </w14:textFill>
              </w:rPr>
              <w:t>|</w:t>
            </w:r>
            <w:r w:rsidRPr="00C17D40">
              <w:rPr>
                <w:vertAlign w:val="superscript"/>
              </w:rPr>
              <w:t>1</w:t>
            </w:r>
          </w:p>
        </w:tc>
        <w:tc>
          <w:tcPr>
            <w:tcW w:w="538" w:type="pct"/>
            <w:shd w:val="clear" w:color="auto" w:fill="auto"/>
            <w:vAlign w:val="center"/>
          </w:tcPr>
          <w:p w14:paraId="193D91C9" w14:textId="6A58E740" w:rsidR="00C17D40" w:rsidRPr="00C17D40" w:rsidRDefault="00C17D40" w:rsidP="001C2CAE">
            <w:pPr>
              <w:pStyle w:val="PBACTabletext"/>
              <w:spacing w:after="0"/>
              <w:jc w:val="center"/>
              <w:rPr>
                <w:b/>
                <w:bCs/>
                <w:highlight w:val="lightGray"/>
              </w:rPr>
            </w:pPr>
            <w:r w:rsidRPr="00C17D40">
              <w:rPr>
                <w:color w:val="000000"/>
                <w:spacing w:val="212"/>
                <w:shd w:val="solid" w:color="000000" w:fill="000000"/>
                <w:fitText w:val="288" w:id="-961857791"/>
                <w14:textFill>
                  <w14:solidFill>
                    <w14:srgbClr w14:val="000000">
                      <w14:alpha w14:val="100000"/>
                    </w14:srgbClr>
                  </w14:solidFill>
                </w14:textFill>
              </w:rPr>
              <w:t>|</w:t>
            </w:r>
            <w:r w:rsidRPr="00C17D40">
              <w:rPr>
                <w:color w:val="000000"/>
                <w:shd w:val="solid" w:color="000000" w:fill="000000"/>
                <w:fitText w:val="288" w:id="-961857791"/>
                <w14:textFill>
                  <w14:solidFill>
                    <w14:srgbClr w14:val="000000">
                      <w14:alpha w14:val="100000"/>
                    </w14:srgbClr>
                  </w14:solidFill>
                </w14:textFill>
              </w:rPr>
              <w:t>|</w:t>
            </w:r>
            <w:r w:rsidRPr="00D21B8B">
              <w:rPr>
                <w:vertAlign w:val="superscript"/>
              </w:rPr>
              <w:t>1</w:t>
            </w:r>
          </w:p>
        </w:tc>
        <w:tc>
          <w:tcPr>
            <w:tcW w:w="538" w:type="pct"/>
            <w:shd w:val="clear" w:color="auto" w:fill="auto"/>
            <w:vAlign w:val="center"/>
          </w:tcPr>
          <w:p w14:paraId="6A0E875C" w14:textId="164ABD74" w:rsidR="00C17D40" w:rsidRPr="00C17D40" w:rsidRDefault="00C17D40" w:rsidP="001C2CAE">
            <w:pPr>
              <w:pStyle w:val="PBACTabletext"/>
              <w:spacing w:after="0"/>
              <w:jc w:val="center"/>
              <w:rPr>
                <w:b/>
                <w:bCs/>
                <w:highlight w:val="lightGray"/>
              </w:rPr>
            </w:pPr>
            <w:r w:rsidRPr="00C17D40">
              <w:rPr>
                <w:color w:val="000000"/>
                <w:spacing w:val="212"/>
                <w:shd w:val="solid" w:color="000000" w:fill="000000"/>
                <w:fitText w:val="288" w:id="-961857790"/>
                <w14:textFill>
                  <w14:solidFill>
                    <w14:srgbClr w14:val="000000">
                      <w14:alpha w14:val="100000"/>
                    </w14:srgbClr>
                  </w14:solidFill>
                </w14:textFill>
              </w:rPr>
              <w:t>|</w:t>
            </w:r>
            <w:r w:rsidRPr="00C17D40">
              <w:rPr>
                <w:color w:val="000000"/>
                <w:shd w:val="solid" w:color="000000" w:fill="000000"/>
                <w:fitText w:val="288" w:id="-961857790"/>
                <w14:textFill>
                  <w14:solidFill>
                    <w14:srgbClr w14:val="000000">
                      <w14:alpha w14:val="100000"/>
                    </w14:srgbClr>
                  </w14:solidFill>
                </w14:textFill>
              </w:rPr>
              <w:t>|</w:t>
            </w:r>
            <w:r w:rsidRPr="00D21B8B">
              <w:rPr>
                <w:vertAlign w:val="superscript"/>
              </w:rPr>
              <w:t>1</w:t>
            </w:r>
          </w:p>
        </w:tc>
        <w:tc>
          <w:tcPr>
            <w:tcW w:w="539" w:type="pct"/>
            <w:shd w:val="clear" w:color="auto" w:fill="auto"/>
            <w:vAlign w:val="center"/>
          </w:tcPr>
          <w:p w14:paraId="4A6BCF3B" w14:textId="62CD88FB" w:rsidR="00C17D40" w:rsidRPr="00C17D40" w:rsidRDefault="00C17D40" w:rsidP="001C2CAE">
            <w:pPr>
              <w:pStyle w:val="PBACTabletext"/>
              <w:spacing w:after="0"/>
              <w:jc w:val="center"/>
              <w:rPr>
                <w:b/>
                <w:bCs/>
                <w:highlight w:val="lightGray"/>
              </w:rPr>
            </w:pPr>
            <w:r w:rsidRPr="00C17D40">
              <w:rPr>
                <w:color w:val="000000"/>
                <w:spacing w:val="212"/>
                <w:shd w:val="solid" w:color="000000" w:fill="000000"/>
                <w:fitText w:val="288" w:id="-961857789"/>
                <w14:textFill>
                  <w14:solidFill>
                    <w14:srgbClr w14:val="000000">
                      <w14:alpha w14:val="100000"/>
                    </w14:srgbClr>
                  </w14:solidFill>
                </w14:textFill>
              </w:rPr>
              <w:t>|</w:t>
            </w:r>
            <w:r w:rsidRPr="00C17D40">
              <w:rPr>
                <w:color w:val="000000"/>
                <w:shd w:val="solid" w:color="000000" w:fill="000000"/>
                <w:fitText w:val="288" w:id="-961857789"/>
                <w14:textFill>
                  <w14:solidFill>
                    <w14:srgbClr w14:val="000000">
                      <w14:alpha w14:val="100000"/>
                    </w14:srgbClr>
                  </w14:solidFill>
                </w14:textFill>
              </w:rPr>
              <w:t>|</w:t>
            </w:r>
            <w:r w:rsidRPr="00D21B8B">
              <w:rPr>
                <w:vertAlign w:val="superscript"/>
              </w:rPr>
              <w:t>1</w:t>
            </w:r>
          </w:p>
        </w:tc>
        <w:tc>
          <w:tcPr>
            <w:tcW w:w="537" w:type="pct"/>
            <w:shd w:val="clear" w:color="auto" w:fill="auto"/>
            <w:vAlign w:val="center"/>
          </w:tcPr>
          <w:p w14:paraId="24F9D91C" w14:textId="0F7B8EA0" w:rsidR="00C17D40" w:rsidRPr="00C17D40" w:rsidRDefault="00C17D40" w:rsidP="001C2CAE">
            <w:pPr>
              <w:pStyle w:val="PBACTabletext"/>
              <w:spacing w:after="0"/>
              <w:jc w:val="center"/>
              <w:rPr>
                <w:b/>
                <w:bCs/>
                <w:highlight w:val="lightGray"/>
              </w:rPr>
            </w:pPr>
            <w:r w:rsidRPr="00C17D40">
              <w:rPr>
                <w:color w:val="000000"/>
                <w:spacing w:val="212"/>
                <w:shd w:val="solid" w:color="000000" w:fill="000000"/>
                <w:fitText w:val="288" w:id="-961857788"/>
                <w14:textFill>
                  <w14:solidFill>
                    <w14:srgbClr w14:val="000000">
                      <w14:alpha w14:val="100000"/>
                    </w14:srgbClr>
                  </w14:solidFill>
                </w14:textFill>
              </w:rPr>
              <w:t>|</w:t>
            </w:r>
            <w:r w:rsidRPr="00C17D40">
              <w:rPr>
                <w:color w:val="000000"/>
                <w:shd w:val="solid" w:color="000000" w:fill="000000"/>
                <w:fitText w:val="288" w:id="-961857788"/>
                <w14:textFill>
                  <w14:solidFill>
                    <w14:srgbClr w14:val="000000">
                      <w14:alpha w14:val="100000"/>
                    </w14:srgbClr>
                  </w14:solidFill>
                </w14:textFill>
              </w:rPr>
              <w:t>|</w:t>
            </w:r>
            <w:r w:rsidRPr="00D21B8B">
              <w:rPr>
                <w:vertAlign w:val="superscript"/>
              </w:rPr>
              <w:t>1</w:t>
            </w:r>
          </w:p>
        </w:tc>
        <w:tc>
          <w:tcPr>
            <w:tcW w:w="538" w:type="pct"/>
            <w:shd w:val="clear" w:color="auto" w:fill="auto"/>
            <w:vAlign w:val="center"/>
          </w:tcPr>
          <w:p w14:paraId="200AD660" w14:textId="1AFE0BAD" w:rsidR="00C17D40" w:rsidRPr="00C17D40" w:rsidRDefault="00C17D40" w:rsidP="001C2CAE">
            <w:pPr>
              <w:pStyle w:val="PBACTabletext"/>
              <w:spacing w:after="0"/>
              <w:jc w:val="center"/>
              <w:rPr>
                <w:b/>
                <w:bCs/>
                <w:highlight w:val="lightGray"/>
              </w:rPr>
            </w:pPr>
            <w:r w:rsidRPr="00C17D40">
              <w:rPr>
                <w:color w:val="000000"/>
                <w:spacing w:val="212"/>
                <w:shd w:val="solid" w:color="000000" w:fill="000000"/>
                <w:fitText w:val="288" w:id="-961857787"/>
                <w14:textFill>
                  <w14:solidFill>
                    <w14:srgbClr w14:val="000000">
                      <w14:alpha w14:val="100000"/>
                    </w14:srgbClr>
                  </w14:solidFill>
                </w14:textFill>
              </w:rPr>
              <w:t>|</w:t>
            </w:r>
            <w:r w:rsidRPr="00C17D40">
              <w:rPr>
                <w:color w:val="000000"/>
                <w:shd w:val="solid" w:color="000000" w:fill="000000"/>
                <w:fitText w:val="288" w:id="-961857787"/>
                <w14:textFill>
                  <w14:solidFill>
                    <w14:srgbClr w14:val="000000">
                      <w14:alpha w14:val="100000"/>
                    </w14:srgbClr>
                  </w14:solidFill>
                </w14:textFill>
              </w:rPr>
              <w:t>|</w:t>
            </w:r>
            <w:r w:rsidRPr="00D21B8B">
              <w:rPr>
                <w:vertAlign w:val="superscript"/>
              </w:rPr>
              <w:t>1</w:t>
            </w:r>
          </w:p>
        </w:tc>
        <w:tc>
          <w:tcPr>
            <w:tcW w:w="616" w:type="pct"/>
            <w:shd w:val="clear" w:color="auto" w:fill="auto"/>
            <w:vAlign w:val="center"/>
          </w:tcPr>
          <w:p w14:paraId="5ACED420" w14:textId="77777777" w:rsidR="00C17D40" w:rsidRPr="00456281" w:rsidRDefault="00C17D40" w:rsidP="001C2CAE">
            <w:pPr>
              <w:pStyle w:val="PBACTabletext"/>
              <w:spacing w:after="0"/>
              <w:jc w:val="center"/>
            </w:pPr>
            <w:r w:rsidRPr="00456281">
              <w:t>-</w:t>
            </w:r>
          </w:p>
        </w:tc>
      </w:tr>
      <w:tr w:rsidR="00C17D40" w:rsidRPr="00456281" w14:paraId="6666C0BF" w14:textId="77777777" w:rsidTr="00501A79">
        <w:trPr>
          <w:trHeight w:val="20"/>
        </w:trPr>
        <w:tc>
          <w:tcPr>
            <w:tcW w:w="5000" w:type="pct"/>
            <w:gridSpan w:val="8"/>
            <w:vAlign w:val="center"/>
          </w:tcPr>
          <w:p w14:paraId="3B527BDE" w14:textId="4C285790" w:rsidR="00C17D40" w:rsidRPr="00456281" w:rsidRDefault="00C17D40" w:rsidP="001C2CAE">
            <w:pPr>
              <w:pStyle w:val="PBACTabletext"/>
              <w:spacing w:after="0"/>
              <w:rPr>
                <w:b/>
                <w:bCs/>
                <w:highlight w:val="yellow"/>
              </w:rPr>
            </w:pPr>
            <w:r w:rsidRPr="00456281">
              <w:rPr>
                <w:b/>
                <w:bCs/>
              </w:rPr>
              <w:t>Uptake among Gem+NabP</w:t>
            </w:r>
            <w:r w:rsidRPr="00456281">
              <w:rPr>
                <w:b/>
                <w:bCs/>
              </w:rPr>
              <w:br/>
              <w:t xml:space="preserve">(base case: </w:t>
            </w:r>
            <w:r w:rsidRPr="00C17D40">
              <w:rPr>
                <w:b/>
                <w:bCs/>
                <w:color w:val="000000"/>
                <w:spacing w:val="39"/>
                <w:shd w:val="solid" w:color="000000" w:fill="000000"/>
                <w:fitText w:val="475" w:id="-961857786"/>
                <w14:textFill>
                  <w14:solidFill>
                    <w14:srgbClr w14:val="000000">
                      <w14:alpha w14:val="100000"/>
                    </w14:srgbClr>
                  </w14:solidFill>
                </w14:textFill>
              </w:rPr>
              <w:t>|||||</w:t>
            </w:r>
            <w:r w:rsidRPr="00C17D40">
              <w:rPr>
                <w:b/>
                <w:bCs/>
                <w:color w:val="000000"/>
                <w:spacing w:val="4"/>
                <w:shd w:val="solid" w:color="000000" w:fill="000000"/>
                <w:fitText w:val="475" w:id="-961857786"/>
                <w14:textFill>
                  <w14:solidFill>
                    <w14:srgbClr w14:val="000000">
                      <w14:alpha w14:val="100000"/>
                    </w14:srgbClr>
                  </w14:solidFill>
                </w14:textFill>
              </w:rPr>
              <w:t>|</w:t>
            </w:r>
            <w:r w:rsidRPr="006F1260">
              <w:rPr>
                <w:b/>
                <w:bCs/>
              </w:rPr>
              <w:t xml:space="preserve">% in Year 1, </w:t>
            </w:r>
            <w:r w:rsidRPr="00C17D40">
              <w:rPr>
                <w:b/>
                <w:bCs/>
                <w:color w:val="000000"/>
                <w:spacing w:val="37"/>
                <w:shd w:val="solid" w:color="000000" w:fill="000000"/>
                <w:fitText w:val="463" w:id="-961857785"/>
                <w14:textFill>
                  <w14:solidFill>
                    <w14:srgbClr w14:val="000000">
                      <w14:alpha w14:val="100000"/>
                    </w14:srgbClr>
                  </w14:solidFill>
                </w14:textFill>
              </w:rPr>
              <w:t>|||||</w:t>
            </w:r>
            <w:r w:rsidRPr="00C17D40">
              <w:rPr>
                <w:b/>
                <w:bCs/>
                <w:color w:val="000000"/>
                <w:spacing w:val="2"/>
                <w:shd w:val="solid" w:color="000000" w:fill="000000"/>
                <w:fitText w:val="463" w:id="-961857785"/>
                <w14:textFill>
                  <w14:solidFill>
                    <w14:srgbClr w14:val="000000">
                      <w14:alpha w14:val="100000"/>
                    </w14:srgbClr>
                  </w14:solidFill>
                </w14:textFill>
              </w:rPr>
              <w:t>|</w:t>
            </w:r>
            <w:r w:rsidRPr="006F1260">
              <w:rPr>
                <w:b/>
                <w:bCs/>
              </w:rPr>
              <w:t xml:space="preserve">% in Year 2 and </w:t>
            </w:r>
            <w:r w:rsidRPr="00C17D40">
              <w:rPr>
                <w:b/>
                <w:bCs/>
                <w:color w:val="000000"/>
                <w:spacing w:val="39"/>
                <w:shd w:val="solid" w:color="000000" w:fill="000000"/>
                <w:fitText w:val="475" w:id="-961857784"/>
                <w14:textFill>
                  <w14:solidFill>
                    <w14:srgbClr w14:val="000000">
                      <w14:alpha w14:val="100000"/>
                    </w14:srgbClr>
                  </w14:solidFill>
                </w14:textFill>
              </w:rPr>
              <w:t>|||||</w:t>
            </w:r>
            <w:r w:rsidRPr="00C17D40">
              <w:rPr>
                <w:b/>
                <w:bCs/>
                <w:color w:val="000000"/>
                <w:spacing w:val="4"/>
                <w:shd w:val="solid" w:color="000000" w:fill="000000"/>
                <w:fitText w:val="475" w:id="-961857784"/>
                <w14:textFill>
                  <w14:solidFill>
                    <w14:srgbClr w14:val="000000">
                      <w14:alpha w14:val="100000"/>
                    </w14:srgbClr>
                  </w14:solidFill>
                </w14:textFill>
              </w:rPr>
              <w:t>|</w:t>
            </w:r>
            <w:r w:rsidRPr="006F1260">
              <w:rPr>
                <w:b/>
                <w:bCs/>
              </w:rPr>
              <w:t>% in</w:t>
            </w:r>
            <w:r w:rsidRPr="00456281">
              <w:rPr>
                <w:b/>
                <w:bCs/>
              </w:rPr>
              <w:t xml:space="preserve"> Years 3-6, substituted to NALIRIFOX)</w:t>
            </w:r>
          </w:p>
        </w:tc>
      </w:tr>
      <w:tr w:rsidR="00501A79" w:rsidRPr="00456281" w14:paraId="1DC283C9" w14:textId="77777777" w:rsidTr="00501A79">
        <w:trPr>
          <w:trHeight w:val="20"/>
        </w:trPr>
        <w:tc>
          <w:tcPr>
            <w:tcW w:w="1154" w:type="pct"/>
            <w:vAlign w:val="center"/>
          </w:tcPr>
          <w:p w14:paraId="0EFD5C12" w14:textId="77777777" w:rsidR="00C17D40" w:rsidRPr="00456281" w:rsidRDefault="00C17D40" w:rsidP="001C2CAE">
            <w:pPr>
              <w:pStyle w:val="PBACTabletext"/>
              <w:spacing w:after="0"/>
              <w:rPr>
                <w:highlight w:val="yellow"/>
              </w:rPr>
            </w:pPr>
            <w:r w:rsidRPr="00456281">
              <w:t>30% in the first year, increasing by 20% each year until 4 years, stabilising at 90% in year 4</w:t>
            </w:r>
          </w:p>
        </w:tc>
        <w:tc>
          <w:tcPr>
            <w:tcW w:w="538" w:type="pct"/>
            <w:vAlign w:val="center"/>
          </w:tcPr>
          <w:p w14:paraId="28C1DB9B" w14:textId="2F6CEEBE" w:rsidR="00C17D40" w:rsidRPr="00C17D40" w:rsidRDefault="00C17D40" w:rsidP="001C2CAE">
            <w:pPr>
              <w:pStyle w:val="PBACTabletext"/>
              <w:spacing w:after="0"/>
              <w:jc w:val="center"/>
              <w:rPr>
                <w:highlight w:val="lightGray"/>
              </w:rPr>
            </w:pPr>
            <w:r w:rsidRPr="00C17D40">
              <w:rPr>
                <w:color w:val="000000"/>
                <w:spacing w:val="36"/>
                <w:shd w:val="solid" w:color="000000" w:fill="000000"/>
                <w:fitText w:val="438" w:id="-961857783"/>
                <w14:textFill>
                  <w14:solidFill>
                    <w14:srgbClr w14:val="000000">
                      <w14:alpha w14:val="100000"/>
                    </w14:srgbClr>
                  </w14:solidFill>
                </w14:textFill>
              </w:rPr>
              <w:t>|||||</w:t>
            </w:r>
            <w:r w:rsidRPr="00C17D40">
              <w:rPr>
                <w:color w:val="000000"/>
                <w:shd w:val="solid" w:color="000000" w:fill="000000"/>
                <w:fitText w:val="438" w:id="-961857783"/>
                <w14:textFill>
                  <w14:solidFill>
                    <w14:srgbClr w14:val="000000">
                      <w14:alpha w14:val="100000"/>
                    </w14:srgbClr>
                  </w14:solidFill>
                </w14:textFill>
              </w:rPr>
              <w:t>|</w:t>
            </w:r>
            <w:r w:rsidRPr="00C17D40">
              <w:rPr>
                <w:vertAlign w:val="superscript"/>
              </w:rPr>
              <w:t>2</w:t>
            </w:r>
          </w:p>
        </w:tc>
        <w:tc>
          <w:tcPr>
            <w:tcW w:w="538" w:type="pct"/>
            <w:vAlign w:val="center"/>
          </w:tcPr>
          <w:p w14:paraId="3012A493" w14:textId="6459528A" w:rsidR="00C17D40" w:rsidRPr="00C17D40" w:rsidRDefault="00C17D40" w:rsidP="001C2CAE">
            <w:pPr>
              <w:pStyle w:val="PBACTabletext"/>
              <w:spacing w:after="0"/>
              <w:jc w:val="center"/>
              <w:rPr>
                <w:highlight w:val="lightGray"/>
              </w:rPr>
            </w:pPr>
            <w:r w:rsidRPr="00C17D40">
              <w:rPr>
                <w:color w:val="000000"/>
                <w:spacing w:val="36"/>
                <w:shd w:val="solid" w:color="000000" w:fill="000000"/>
                <w:fitText w:val="438" w:id="-961857782"/>
                <w14:textFill>
                  <w14:solidFill>
                    <w14:srgbClr w14:val="000000">
                      <w14:alpha w14:val="100000"/>
                    </w14:srgbClr>
                  </w14:solidFill>
                </w14:textFill>
              </w:rPr>
              <w:t>|||||</w:t>
            </w:r>
            <w:r w:rsidRPr="00C17D40">
              <w:rPr>
                <w:color w:val="000000"/>
                <w:shd w:val="solid" w:color="000000" w:fill="000000"/>
                <w:fitText w:val="438" w:id="-961857782"/>
                <w14:textFill>
                  <w14:solidFill>
                    <w14:srgbClr w14:val="000000">
                      <w14:alpha w14:val="100000"/>
                    </w14:srgbClr>
                  </w14:solidFill>
                </w14:textFill>
              </w:rPr>
              <w:t>|</w:t>
            </w:r>
            <w:r w:rsidRPr="00D21B8B">
              <w:rPr>
                <w:vertAlign w:val="superscript"/>
              </w:rPr>
              <w:t>2</w:t>
            </w:r>
          </w:p>
        </w:tc>
        <w:tc>
          <w:tcPr>
            <w:tcW w:w="538" w:type="pct"/>
            <w:vAlign w:val="center"/>
          </w:tcPr>
          <w:p w14:paraId="56405805" w14:textId="49ECFCA9" w:rsidR="00C17D40" w:rsidRPr="00C17D40" w:rsidRDefault="00C17D40" w:rsidP="001C2CAE">
            <w:pPr>
              <w:pStyle w:val="PBACTabletext"/>
              <w:spacing w:after="0"/>
              <w:jc w:val="center"/>
              <w:rPr>
                <w:highlight w:val="lightGray"/>
              </w:rPr>
            </w:pPr>
            <w:r w:rsidRPr="00C17D40">
              <w:rPr>
                <w:color w:val="000000"/>
                <w:spacing w:val="36"/>
                <w:shd w:val="solid" w:color="000000" w:fill="000000"/>
                <w:fitText w:val="438" w:id="-961857781"/>
                <w14:textFill>
                  <w14:solidFill>
                    <w14:srgbClr w14:val="000000">
                      <w14:alpha w14:val="100000"/>
                    </w14:srgbClr>
                  </w14:solidFill>
                </w14:textFill>
              </w:rPr>
              <w:t>|||||</w:t>
            </w:r>
            <w:r w:rsidRPr="00C17D40">
              <w:rPr>
                <w:color w:val="000000"/>
                <w:shd w:val="solid" w:color="000000" w:fill="000000"/>
                <w:fitText w:val="438" w:id="-961857781"/>
                <w14:textFill>
                  <w14:solidFill>
                    <w14:srgbClr w14:val="000000">
                      <w14:alpha w14:val="100000"/>
                    </w14:srgbClr>
                  </w14:solidFill>
                </w14:textFill>
              </w:rPr>
              <w:t>|</w:t>
            </w:r>
            <w:r w:rsidRPr="00D21B8B">
              <w:rPr>
                <w:vertAlign w:val="superscript"/>
              </w:rPr>
              <w:t>1</w:t>
            </w:r>
          </w:p>
        </w:tc>
        <w:tc>
          <w:tcPr>
            <w:tcW w:w="539" w:type="pct"/>
            <w:vAlign w:val="center"/>
          </w:tcPr>
          <w:p w14:paraId="7D7D8FA1" w14:textId="2B630D09" w:rsidR="00C17D40" w:rsidRPr="00C17D40" w:rsidRDefault="00C17D40" w:rsidP="001C2CAE">
            <w:pPr>
              <w:pStyle w:val="PBACTabletext"/>
              <w:spacing w:after="0"/>
              <w:jc w:val="center"/>
              <w:rPr>
                <w:highlight w:val="lightGray"/>
              </w:rPr>
            </w:pPr>
            <w:r w:rsidRPr="00C17D40">
              <w:rPr>
                <w:color w:val="000000"/>
                <w:spacing w:val="36"/>
                <w:shd w:val="solid" w:color="000000" w:fill="000000"/>
                <w:fitText w:val="438" w:id="-961857780"/>
                <w14:textFill>
                  <w14:solidFill>
                    <w14:srgbClr w14:val="000000">
                      <w14:alpha w14:val="100000"/>
                    </w14:srgbClr>
                  </w14:solidFill>
                </w14:textFill>
              </w:rPr>
              <w:t>|||||</w:t>
            </w:r>
            <w:r w:rsidRPr="00C17D40">
              <w:rPr>
                <w:color w:val="000000"/>
                <w:shd w:val="solid" w:color="000000" w:fill="000000"/>
                <w:fitText w:val="438" w:id="-961857780"/>
                <w14:textFill>
                  <w14:solidFill>
                    <w14:srgbClr w14:val="000000">
                      <w14:alpha w14:val="100000"/>
                    </w14:srgbClr>
                  </w14:solidFill>
                </w14:textFill>
              </w:rPr>
              <w:t>|</w:t>
            </w:r>
            <w:r w:rsidRPr="00D21B8B">
              <w:rPr>
                <w:vertAlign w:val="superscript"/>
              </w:rPr>
              <w:t>1</w:t>
            </w:r>
          </w:p>
        </w:tc>
        <w:tc>
          <w:tcPr>
            <w:tcW w:w="537" w:type="pct"/>
            <w:vAlign w:val="center"/>
          </w:tcPr>
          <w:p w14:paraId="54FC0F32" w14:textId="5A098E9E" w:rsidR="00C17D40" w:rsidRPr="00C17D40" w:rsidRDefault="00C17D40" w:rsidP="001C2CAE">
            <w:pPr>
              <w:pStyle w:val="PBACTabletext"/>
              <w:spacing w:after="0"/>
              <w:jc w:val="center"/>
              <w:rPr>
                <w:highlight w:val="lightGray"/>
              </w:rPr>
            </w:pPr>
            <w:r w:rsidRPr="00C17D40">
              <w:rPr>
                <w:color w:val="000000"/>
                <w:spacing w:val="36"/>
                <w:shd w:val="solid" w:color="000000" w:fill="000000"/>
                <w:fitText w:val="438" w:id="-961857779"/>
                <w14:textFill>
                  <w14:solidFill>
                    <w14:srgbClr w14:val="000000">
                      <w14:alpha w14:val="100000"/>
                    </w14:srgbClr>
                  </w14:solidFill>
                </w14:textFill>
              </w:rPr>
              <w:t>|||||</w:t>
            </w:r>
            <w:r w:rsidRPr="00C17D40">
              <w:rPr>
                <w:color w:val="000000"/>
                <w:shd w:val="solid" w:color="000000" w:fill="000000"/>
                <w:fitText w:val="438" w:id="-961857779"/>
                <w14:textFill>
                  <w14:solidFill>
                    <w14:srgbClr w14:val="000000">
                      <w14:alpha w14:val="100000"/>
                    </w14:srgbClr>
                  </w14:solidFill>
                </w14:textFill>
              </w:rPr>
              <w:t>|</w:t>
            </w:r>
            <w:r w:rsidRPr="00D21B8B">
              <w:rPr>
                <w:vertAlign w:val="superscript"/>
              </w:rPr>
              <w:t>1</w:t>
            </w:r>
          </w:p>
        </w:tc>
        <w:tc>
          <w:tcPr>
            <w:tcW w:w="538" w:type="pct"/>
            <w:vAlign w:val="center"/>
          </w:tcPr>
          <w:p w14:paraId="64DFC6CE" w14:textId="7CD5CE76" w:rsidR="00C17D40" w:rsidRPr="00C17D40" w:rsidRDefault="00C17D40" w:rsidP="001C2CAE">
            <w:pPr>
              <w:pStyle w:val="PBACTabletext"/>
              <w:spacing w:after="0"/>
              <w:jc w:val="center"/>
              <w:rPr>
                <w:highlight w:val="lightGray"/>
              </w:rPr>
            </w:pPr>
            <w:r w:rsidRPr="00C17D40">
              <w:rPr>
                <w:color w:val="000000"/>
                <w:spacing w:val="212"/>
                <w:shd w:val="solid" w:color="000000" w:fill="000000"/>
                <w:fitText w:val="288" w:id="-961857778"/>
                <w14:textFill>
                  <w14:solidFill>
                    <w14:srgbClr w14:val="000000">
                      <w14:alpha w14:val="100000"/>
                    </w14:srgbClr>
                  </w14:solidFill>
                </w14:textFill>
              </w:rPr>
              <w:t>|</w:t>
            </w:r>
            <w:r w:rsidRPr="00C17D40">
              <w:rPr>
                <w:color w:val="000000"/>
                <w:shd w:val="solid" w:color="000000" w:fill="000000"/>
                <w:fitText w:val="288" w:id="-961857778"/>
                <w14:textFill>
                  <w14:solidFill>
                    <w14:srgbClr w14:val="000000">
                      <w14:alpha w14:val="100000"/>
                    </w14:srgbClr>
                  </w14:solidFill>
                </w14:textFill>
              </w:rPr>
              <w:t>|</w:t>
            </w:r>
            <w:r w:rsidRPr="00D21B8B">
              <w:rPr>
                <w:vertAlign w:val="superscript"/>
              </w:rPr>
              <w:t>1</w:t>
            </w:r>
          </w:p>
        </w:tc>
        <w:tc>
          <w:tcPr>
            <w:tcW w:w="616" w:type="pct"/>
            <w:vAlign w:val="center"/>
          </w:tcPr>
          <w:p w14:paraId="77DABE46" w14:textId="77777777" w:rsidR="00C17D40" w:rsidRPr="00456281" w:rsidRDefault="00C17D40" w:rsidP="001C2CAE">
            <w:pPr>
              <w:pStyle w:val="PBACTabletext"/>
              <w:spacing w:after="0"/>
              <w:jc w:val="center"/>
              <w:rPr>
                <w:highlight w:val="yellow"/>
              </w:rPr>
            </w:pPr>
            <w:r w:rsidRPr="00456281">
              <w:t>+12%</w:t>
            </w:r>
          </w:p>
        </w:tc>
      </w:tr>
      <w:tr w:rsidR="00501A79" w:rsidRPr="00456281" w14:paraId="7199CC0C" w14:textId="77777777" w:rsidTr="00501A79">
        <w:trPr>
          <w:trHeight w:val="20"/>
        </w:trPr>
        <w:tc>
          <w:tcPr>
            <w:tcW w:w="1154" w:type="pct"/>
            <w:vAlign w:val="center"/>
          </w:tcPr>
          <w:p w14:paraId="4A466F57" w14:textId="77777777" w:rsidR="00C17D40" w:rsidRPr="00456281" w:rsidRDefault="00C17D40" w:rsidP="001C2CAE">
            <w:pPr>
              <w:pStyle w:val="PBACTabletext"/>
              <w:spacing w:after="0"/>
            </w:pPr>
            <w:r w:rsidRPr="00456281">
              <w:t>Assume constant at 50% across all years</w:t>
            </w:r>
          </w:p>
        </w:tc>
        <w:tc>
          <w:tcPr>
            <w:tcW w:w="538" w:type="pct"/>
            <w:vAlign w:val="center"/>
          </w:tcPr>
          <w:p w14:paraId="0B2A34BA" w14:textId="28012835" w:rsidR="00C17D40" w:rsidRPr="00C17D40" w:rsidRDefault="00C17D40" w:rsidP="001C2CAE">
            <w:pPr>
              <w:pStyle w:val="PBACTabletext"/>
              <w:spacing w:after="0"/>
              <w:jc w:val="center"/>
              <w:rPr>
                <w:color w:val="000000"/>
                <w:szCs w:val="20"/>
                <w:highlight w:val="lightGray"/>
              </w:rPr>
            </w:pPr>
            <w:r w:rsidRPr="00C17D40">
              <w:rPr>
                <w:color w:val="000000"/>
                <w:spacing w:val="36"/>
                <w:shd w:val="solid" w:color="000000" w:fill="000000"/>
                <w:fitText w:val="438" w:id="-961857777"/>
                <w14:textFill>
                  <w14:solidFill>
                    <w14:srgbClr w14:val="000000">
                      <w14:alpha w14:val="100000"/>
                    </w14:srgbClr>
                  </w14:solidFill>
                </w14:textFill>
              </w:rPr>
              <w:t>|||||</w:t>
            </w:r>
            <w:r w:rsidRPr="00C17D40">
              <w:rPr>
                <w:color w:val="000000"/>
                <w:shd w:val="solid" w:color="000000" w:fill="000000"/>
                <w:fitText w:val="438" w:id="-961857777"/>
                <w14:textFill>
                  <w14:solidFill>
                    <w14:srgbClr w14:val="000000">
                      <w14:alpha w14:val="100000"/>
                    </w14:srgbClr>
                  </w14:solidFill>
                </w14:textFill>
              </w:rPr>
              <w:t>|</w:t>
            </w:r>
            <w:r w:rsidRPr="00D21B8B">
              <w:rPr>
                <w:vertAlign w:val="superscript"/>
              </w:rPr>
              <w:t>2</w:t>
            </w:r>
          </w:p>
        </w:tc>
        <w:tc>
          <w:tcPr>
            <w:tcW w:w="538" w:type="pct"/>
            <w:vAlign w:val="center"/>
          </w:tcPr>
          <w:p w14:paraId="6D35680F" w14:textId="38F4B431" w:rsidR="00C17D40" w:rsidRPr="00C17D40" w:rsidRDefault="00C17D40" w:rsidP="001C2CAE">
            <w:pPr>
              <w:pStyle w:val="PBACTabletext"/>
              <w:spacing w:after="0"/>
              <w:jc w:val="center"/>
              <w:rPr>
                <w:color w:val="000000"/>
                <w:szCs w:val="20"/>
                <w:highlight w:val="lightGray"/>
              </w:rPr>
            </w:pPr>
            <w:r w:rsidRPr="00C17D40">
              <w:rPr>
                <w:color w:val="000000"/>
                <w:spacing w:val="36"/>
                <w:shd w:val="solid" w:color="000000" w:fill="000000"/>
                <w:fitText w:val="438" w:id="-961857776"/>
                <w14:textFill>
                  <w14:solidFill>
                    <w14:srgbClr w14:val="000000">
                      <w14:alpha w14:val="100000"/>
                    </w14:srgbClr>
                  </w14:solidFill>
                </w14:textFill>
              </w:rPr>
              <w:t>|||||</w:t>
            </w:r>
            <w:r w:rsidRPr="00C17D40">
              <w:rPr>
                <w:color w:val="000000"/>
                <w:shd w:val="solid" w:color="000000" w:fill="000000"/>
                <w:fitText w:val="438" w:id="-961857776"/>
                <w14:textFill>
                  <w14:solidFill>
                    <w14:srgbClr w14:val="000000">
                      <w14:alpha w14:val="100000"/>
                    </w14:srgbClr>
                  </w14:solidFill>
                </w14:textFill>
              </w:rPr>
              <w:t>|</w:t>
            </w:r>
            <w:r w:rsidRPr="00D21B8B">
              <w:rPr>
                <w:vertAlign w:val="superscript"/>
              </w:rPr>
              <w:t>2</w:t>
            </w:r>
          </w:p>
        </w:tc>
        <w:tc>
          <w:tcPr>
            <w:tcW w:w="538" w:type="pct"/>
            <w:vAlign w:val="center"/>
          </w:tcPr>
          <w:p w14:paraId="34E5F2E6" w14:textId="65F9B988" w:rsidR="00C17D40" w:rsidRPr="00C17D40" w:rsidRDefault="00C17D40" w:rsidP="001C2CAE">
            <w:pPr>
              <w:pStyle w:val="PBACTabletext"/>
              <w:spacing w:after="0"/>
              <w:jc w:val="center"/>
              <w:rPr>
                <w:color w:val="000000"/>
                <w:szCs w:val="20"/>
                <w:highlight w:val="lightGray"/>
                <w:vertAlign w:val="superscript"/>
              </w:rPr>
            </w:pPr>
            <w:r w:rsidRPr="00C17D40">
              <w:rPr>
                <w:color w:val="000000"/>
                <w:spacing w:val="36"/>
                <w:shd w:val="solid" w:color="000000" w:fill="000000"/>
                <w:fitText w:val="438" w:id="-961857792"/>
                <w14:textFill>
                  <w14:solidFill>
                    <w14:srgbClr w14:val="000000">
                      <w14:alpha w14:val="100000"/>
                    </w14:srgbClr>
                  </w14:solidFill>
                </w14:textFill>
              </w:rPr>
              <w:t>|||||</w:t>
            </w:r>
            <w:r w:rsidRPr="00C17D40">
              <w:rPr>
                <w:color w:val="000000"/>
                <w:shd w:val="solid" w:color="000000" w:fill="000000"/>
                <w:fitText w:val="438" w:id="-961857792"/>
                <w14:textFill>
                  <w14:solidFill>
                    <w14:srgbClr w14:val="000000">
                      <w14:alpha w14:val="100000"/>
                    </w14:srgbClr>
                  </w14:solidFill>
                </w14:textFill>
              </w:rPr>
              <w:t>|</w:t>
            </w:r>
            <w:r w:rsidRPr="00C17D40">
              <w:rPr>
                <w:vertAlign w:val="superscript"/>
              </w:rPr>
              <w:t>2</w:t>
            </w:r>
          </w:p>
        </w:tc>
        <w:tc>
          <w:tcPr>
            <w:tcW w:w="539" w:type="pct"/>
            <w:vAlign w:val="center"/>
          </w:tcPr>
          <w:p w14:paraId="74A4274F" w14:textId="37CF9CD1" w:rsidR="00C17D40" w:rsidRPr="00C17D40" w:rsidRDefault="00C17D40" w:rsidP="001C2CAE">
            <w:pPr>
              <w:pStyle w:val="PBACTabletext"/>
              <w:spacing w:after="0"/>
              <w:jc w:val="center"/>
              <w:rPr>
                <w:color w:val="000000"/>
                <w:szCs w:val="20"/>
                <w:highlight w:val="lightGray"/>
              </w:rPr>
            </w:pPr>
            <w:r w:rsidRPr="00C17D40">
              <w:rPr>
                <w:color w:val="000000"/>
                <w:spacing w:val="36"/>
                <w:shd w:val="solid" w:color="000000" w:fill="000000"/>
                <w:fitText w:val="438" w:id="-961857791"/>
                <w14:textFill>
                  <w14:solidFill>
                    <w14:srgbClr w14:val="000000">
                      <w14:alpha w14:val="100000"/>
                    </w14:srgbClr>
                  </w14:solidFill>
                </w14:textFill>
              </w:rPr>
              <w:t>|||||</w:t>
            </w:r>
            <w:r w:rsidRPr="00C17D40">
              <w:rPr>
                <w:color w:val="000000"/>
                <w:shd w:val="solid" w:color="000000" w:fill="000000"/>
                <w:fitText w:val="438" w:id="-961857791"/>
                <w14:textFill>
                  <w14:solidFill>
                    <w14:srgbClr w14:val="000000">
                      <w14:alpha w14:val="100000"/>
                    </w14:srgbClr>
                  </w14:solidFill>
                </w14:textFill>
              </w:rPr>
              <w:t>|</w:t>
            </w:r>
            <w:r w:rsidRPr="00D21B8B">
              <w:rPr>
                <w:vertAlign w:val="superscript"/>
              </w:rPr>
              <w:t>2</w:t>
            </w:r>
          </w:p>
        </w:tc>
        <w:tc>
          <w:tcPr>
            <w:tcW w:w="537" w:type="pct"/>
            <w:vAlign w:val="center"/>
          </w:tcPr>
          <w:p w14:paraId="58850605" w14:textId="41D78295" w:rsidR="00C17D40" w:rsidRPr="00C17D40" w:rsidRDefault="00C17D40" w:rsidP="001C2CAE">
            <w:pPr>
              <w:pStyle w:val="PBACTabletext"/>
              <w:spacing w:after="0"/>
              <w:jc w:val="center"/>
              <w:rPr>
                <w:color w:val="000000"/>
                <w:szCs w:val="20"/>
                <w:highlight w:val="lightGray"/>
              </w:rPr>
            </w:pPr>
            <w:r w:rsidRPr="00C17D40">
              <w:rPr>
                <w:color w:val="000000"/>
                <w:spacing w:val="36"/>
                <w:shd w:val="solid" w:color="000000" w:fill="000000"/>
                <w:fitText w:val="438" w:id="-961857790"/>
                <w14:textFill>
                  <w14:solidFill>
                    <w14:srgbClr w14:val="000000">
                      <w14:alpha w14:val="100000"/>
                    </w14:srgbClr>
                  </w14:solidFill>
                </w14:textFill>
              </w:rPr>
              <w:t>|||||</w:t>
            </w:r>
            <w:r w:rsidRPr="00C17D40">
              <w:rPr>
                <w:color w:val="000000"/>
                <w:shd w:val="solid" w:color="000000" w:fill="000000"/>
                <w:fitText w:val="438" w:id="-961857790"/>
                <w14:textFill>
                  <w14:solidFill>
                    <w14:srgbClr w14:val="000000">
                      <w14:alpha w14:val="100000"/>
                    </w14:srgbClr>
                  </w14:solidFill>
                </w14:textFill>
              </w:rPr>
              <w:t>|</w:t>
            </w:r>
            <w:r w:rsidRPr="00D21B8B">
              <w:rPr>
                <w:vertAlign w:val="superscript"/>
              </w:rPr>
              <w:t>1</w:t>
            </w:r>
          </w:p>
        </w:tc>
        <w:tc>
          <w:tcPr>
            <w:tcW w:w="538" w:type="pct"/>
            <w:vAlign w:val="center"/>
          </w:tcPr>
          <w:p w14:paraId="0244E5A1" w14:textId="46E7E8E9" w:rsidR="00C17D40" w:rsidRPr="00C17D40" w:rsidRDefault="00C17D40" w:rsidP="001C2CAE">
            <w:pPr>
              <w:pStyle w:val="PBACTabletext"/>
              <w:spacing w:after="0"/>
              <w:jc w:val="center"/>
              <w:rPr>
                <w:color w:val="000000"/>
                <w:szCs w:val="20"/>
                <w:highlight w:val="lightGray"/>
              </w:rPr>
            </w:pPr>
            <w:r w:rsidRPr="00C17D40">
              <w:rPr>
                <w:color w:val="000000"/>
                <w:spacing w:val="212"/>
                <w:shd w:val="solid" w:color="000000" w:fill="000000"/>
                <w:fitText w:val="288" w:id="-961857789"/>
                <w14:textFill>
                  <w14:solidFill>
                    <w14:srgbClr w14:val="000000">
                      <w14:alpha w14:val="100000"/>
                    </w14:srgbClr>
                  </w14:solidFill>
                </w14:textFill>
              </w:rPr>
              <w:t>|</w:t>
            </w:r>
            <w:r w:rsidRPr="00C17D40">
              <w:rPr>
                <w:color w:val="000000"/>
                <w:shd w:val="solid" w:color="000000" w:fill="000000"/>
                <w:fitText w:val="288" w:id="-961857789"/>
                <w14:textFill>
                  <w14:solidFill>
                    <w14:srgbClr w14:val="000000">
                      <w14:alpha w14:val="100000"/>
                    </w14:srgbClr>
                  </w14:solidFill>
                </w14:textFill>
              </w:rPr>
              <w:t>|</w:t>
            </w:r>
            <w:r w:rsidRPr="00D21B8B">
              <w:rPr>
                <w:vertAlign w:val="superscript"/>
              </w:rPr>
              <w:t>1</w:t>
            </w:r>
          </w:p>
        </w:tc>
        <w:tc>
          <w:tcPr>
            <w:tcW w:w="616" w:type="pct"/>
            <w:vAlign w:val="center"/>
          </w:tcPr>
          <w:p w14:paraId="282A15F9" w14:textId="77777777" w:rsidR="00C17D40" w:rsidRPr="00456281" w:rsidRDefault="00C17D40" w:rsidP="001C2CAE">
            <w:pPr>
              <w:pStyle w:val="PBACTabletext"/>
              <w:spacing w:after="0"/>
              <w:jc w:val="center"/>
              <w:rPr>
                <w:highlight w:val="yellow"/>
              </w:rPr>
            </w:pPr>
            <w:r w:rsidRPr="00456281">
              <w:t>-39%</w:t>
            </w:r>
          </w:p>
        </w:tc>
      </w:tr>
      <w:tr w:rsidR="00C17D40" w:rsidRPr="00456281" w14:paraId="3414926B" w14:textId="77777777" w:rsidTr="00501A79">
        <w:trPr>
          <w:trHeight w:val="20"/>
        </w:trPr>
        <w:tc>
          <w:tcPr>
            <w:tcW w:w="5000" w:type="pct"/>
            <w:gridSpan w:val="8"/>
            <w:vAlign w:val="center"/>
          </w:tcPr>
          <w:p w14:paraId="3435C9FE" w14:textId="77777777" w:rsidR="00C17D40" w:rsidRPr="00456281" w:rsidRDefault="00C17D40" w:rsidP="001C2CAE">
            <w:pPr>
              <w:pStyle w:val="PBACTabletext"/>
              <w:spacing w:after="0"/>
              <w:rPr>
                <w:rFonts w:cs="Segoe UI"/>
                <w:b/>
                <w:bCs/>
                <w:szCs w:val="20"/>
              </w:rPr>
            </w:pPr>
            <w:r w:rsidRPr="00456281">
              <w:rPr>
                <w:rFonts w:cs="Segoe UI"/>
                <w:b/>
                <w:bCs/>
                <w:szCs w:val="20"/>
              </w:rPr>
              <w:t>Proportion of pancreatic cancer patients with metastatic disease</w:t>
            </w:r>
          </w:p>
          <w:p w14:paraId="0E92E2D4" w14:textId="77777777" w:rsidR="00C17D40" w:rsidRPr="00456281" w:rsidRDefault="00C17D40" w:rsidP="001C2CAE">
            <w:pPr>
              <w:pStyle w:val="PBACTabletext"/>
              <w:spacing w:after="0"/>
            </w:pPr>
            <w:r w:rsidRPr="00456281">
              <w:rPr>
                <w:rFonts w:cs="Segoe UI"/>
                <w:b/>
                <w:bCs/>
              </w:rPr>
              <w:t>(base case: 80%)</w:t>
            </w:r>
          </w:p>
        </w:tc>
      </w:tr>
      <w:tr w:rsidR="00501A79" w:rsidRPr="00456281" w14:paraId="6732EB39" w14:textId="77777777" w:rsidTr="00501A79">
        <w:trPr>
          <w:trHeight w:val="20"/>
        </w:trPr>
        <w:tc>
          <w:tcPr>
            <w:tcW w:w="1154" w:type="pct"/>
            <w:vAlign w:val="center"/>
          </w:tcPr>
          <w:p w14:paraId="1441DD94" w14:textId="77777777" w:rsidR="00C17D40" w:rsidRPr="00456281" w:rsidRDefault="00C17D40" w:rsidP="001C2CAE">
            <w:pPr>
              <w:pStyle w:val="PBACTabletext"/>
              <w:spacing w:after="0"/>
            </w:pPr>
            <w:r w:rsidRPr="00456281">
              <w:rPr>
                <w:rFonts w:cs="Segoe UI"/>
                <w:szCs w:val="20"/>
              </w:rPr>
              <w:t>Excluding those with Stage III disease (50%)</w:t>
            </w:r>
          </w:p>
        </w:tc>
        <w:tc>
          <w:tcPr>
            <w:tcW w:w="538" w:type="pct"/>
            <w:vAlign w:val="center"/>
          </w:tcPr>
          <w:p w14:paraId="3DDE2DEA" w14:textId="242A3919" w:rsidR="00C17D40" w:rsidRPr="00C17D40" w:rsidRDefault="00C17D40" w:rsidP="001C2CAE">
            <w:pPr>
              <w:pStyle w:val="PBACTabletext"/>
              <w:spacing w:after="0"/>
              <w:jc w:val="center"/>
              <w:rPr>
                <w:color w:val="000000"/>
                <w:szCs w:val="20"/>
                <w:highlight w:val="lightGray"/>
              </w:rPr>
            </w:pPr>
            <w:r w:rsidRPr="00C17D40">
              <w:rPr>
                <w:color w:val="000000"/>
                <w:spacing w:val="36"/>
                <w:shd w:val="solid" w:color="000000" w:fill="000000"/>
                <w:fitText w:val="438" w:id="-961857788"/>
                <w14:textFill>
                  <w14:solidFill>
                    <w14:srgbClr w14:val="000000">
                      <w14:alpha w14:val="100000"/>
                    </w14:srgbClr>
                  </w14:solidFill>
                </w14:textFill>
              </w:rPr>
              <w:t>|||||</w:t>
            </w:r>
            <w:r w:rsidRPr="00C17D40">
              <w:rPr>
                <w:color w:val="000000"/>
                <w:shd w:val="solid" w:color="000000" w:fill="000000"/>
                <w:fitText w:val="438" w:id="-961857788"/>
                <w14:textFill>
                  <w14:solidFill>
                    <w14:srgbClr w14:val="000000">
                      <w14:alpha w14:val="100000"/>
                    </w14:srgbClr>
                  </w14:solidFill>
                </w14:textFill>
              </w:rPr>
              <w:t>|</w:t>
            </w:r>
            <w:r w:rsidRPr="00D21B8B">
              <w:rPr>
                <w:vertAlign w:val="superscript"/>
              </w:rPr>
              <w:t>2</w:t>
            </w:r>
          </w:p>
        </w:tc>
        <w:tc>
          <w:tcPr>
            <w:tcW w:w="538" w:type="pct"/>
            <w:vAlign w:val="center"/>
          </w:tcPr>
          <w:p w14:paraId="0F9437DD" w14:textId="03A9BBF7" w:rsidR="00C17D40" w:rsidRPr="00C17D40" w:rsidRDefault="00C17D40" w:rsidP="001C2CAE">
            <w:pPr>
              <w:pStyle w:val="PBACTabletext"/>
              <w:spacing w:after="0"/>
              <w:jc w:val="center"/>
              <w:rPr>
                <w:color w:val="000000"/>
                <w:szCs w:val="20"/>
                <w:highlight w:val="lightGray"/>
              </w:rPr>
            </w:pPr>
            <w:r w:rsidRPr="00C17D40">
              <w:rPr>
                <w:color w:val="000000"/>
                <w:spacing w:val="36"/>
                <w:shd w:val="solid" w:color="000000" w:fill="000000"/>
                <w:fitText w:val="438" w:id="-961857787"/>
                <w14:textFill>
                  <w14:solidFill>
                    <w14:srgbClr w14:val="000000">
                      <w14:alpha w14:val="100000"/>
                    </w14:srgbClr>
                  </w14:solidFill>
                </w14:textFill>
              </w:rPr>
              <w:t>|||||</w:t>
            </w:r>
            <w:r w:rsidRPr="00C17D40">
              <w:rPr>
                <w:color w:val="000000"/>
                <w:shd w:val="solid" w:color="000000" w:fill="000000"/>
                <w:fitText w:val="438" w:id="-961857787"/>
                <w14:textFill>
                  <w14:solidFill>
                    <w14:srgbClr w14:val="000000">
                      <w14:alpha w14:val="100000"/>
                    </w14:srgbClr>
                  </w14:solidFill>
                </w14:textFill>
              </w:rPr>
              <w:t>|</w:t>
            </w:r>
            <w:r w:rsidRPr="00D21B8B">
              <w:rPr>
                <w:vertAlign w:val="superscript"/>
              </w:rPr>
              <w:t>2</w:t>
            </w:r>
          </w:p>
        </w:tc>
        <w:tc>
          <w:tcPr>
            <w:tcW w:w="538" w:type="pct"/>
            <w:vAlign w:val="center"/>
          </w:tcPr>
          <w:p w14:paraId="442FC232" w14:textId="6569809C" w:rsidR="00C17D40" w:rsidRPr="00C17D40" w:rsidRDefault="00C17D40" w:rsidP="001C2CAE">
            <w:pPr>
              <w:pStyle w:val="PBACTabletext"/>
              <w:spacing w:after="0"/>
              <w:jc w:val="center"/>
              <w:rPr>
                <w:color w:val="000000"/>
                <w:szCs w:val="20"/>
                <w:highlight w:val="lightGray"/>
              </w:rPr>
            </w:pPr>
            <w:r w:rsidRPr="00C17D40">
              <w:rPr>
                <w:color w:val="000000"/>
                <w:spacing w:val="36"/>
                <w:shd w:val="solid" w:color="000000" w:fill="000000"/>
                <w:fitText w:val="438" w:id="-961857786"/>
                <w14:textFill>
                  <w14:solidFill>
                    <w14:srgbClr w14:val="000000">
                      <w14:alpha w14:val="100000"/>
                    </w14:srgbClr>
                  </w14:solidFill>
                </w14:textFill>
              </w:rPr>
              <w:t>|||||</w:t>
            </w:r>
            <w:r w:rsidRPr="00C17D40">
              <w:rPr>
                <w:color w:val="000000"/>
                <w:shd w:val="solid" w:color="000000" w:fill="000000"/>
                <w:fitText w:val="438" w:id="-961857786"/>
                <w14:textFill>
                  <w14:solidFill>
                    <w14:srgbClr w14:val="000000">
                      <w14:alpha w14:val="100000"/>
                    </w14:srgbClr>
                  </w14:solidFill>
                </w14:textFill>
              </w:rPr>
              <w:t>|</w:t>
            </w:r>
            <w:r w:rsidRPr="00D21B8B">
              <w:rPr>
                <w:vertAlign w:val="superscript"/>
              </w:rPr>
              <w:t>2</w:t>
            </w:r>
          </w:p>
        </w:tc>
        <w:tc>
          <w:tcPr>
            <w:tcW w:w="539" w:type="pct"/>
            <w:vAlign w:val="center"/>
          </w:tcPr>
          <w:p w14:paraId="7739D8BE" w14:textId="640287AA" w:rsidR="00C17D40" w:rsidRPr="00C17D40" w:rsidRDefault="00C17D40" w:rsidP="001C2CAE">
            <w:pPr>
              <w:pStyle w:val="PBACTabletext"/>
              <w:spacing w:after="0"/>
              <w:jc w:val="center"/>
              <w:rPr>
                <w:color w:val="000000"/>
                <w:szCs w:val="20"/>
                <w:highlight w:val="lightGray"/>
              </w:rPr>
            </w:pPr>
            <w:r w:rsidRPr="00C17D40">
              <w:rPr>
                <w:color w:val="000000"/>
                <w:spacing w:val="36"/>
                <w:shd w:val="solid" w:color="000000" w:fill="000000"/>
                <w:fitText w:val="438" w:id="-961857785"/>
                <w14:textFill>
                  <w14:solidFill>
                    <w14:srgbClr w14:val="000000">
                      <w14:alpha w14:val="100000"/>
                    </w14:srgbClr>
                  </w14:solidFill>
                </w14:textFill>
              </w:rPr>
              <w:t>|||||</w:t>
            </w:r>
            <w:r w:rsidRPr="00C17D40">
              <w:rPr>
                <w:color w:val="000000"/>
                <w:shd w:val="solid" w:color="000000" w:fill="000000"/>
                <w:fitText w:val="438" w:id="-961857785"/>
                <w14:textFill>
                  <w14:solidFill>
                    <w14:srgbClr w14:val="000000">
                      <w14:alpha w14:val="100000"/>
                    </w14:srgbClr>
                  </w14:solidFill>
                </w14:textFill>
              </w:rPr>
              <w:t>|</w:t>
            </w:r>
            <w:r w:rsidRPr="00D21B8B">
              <w:rPr>
                <w:vertAlign w:val="superscript"/>
              </w:rPr>
              <w:t>1</w:t>
            </w:r>
          </w:p>
        </w:tc>
        <w:tc>
          <w:tcPr>
            <w:tcW w:w="537" w:type="pct"/>
            <w:vAlign w:val="center"/>
          </w:tcPr>
          <w:p w14:paraId="013CF666" w14:textId="784A58AC" w:rsidR="00C17D40" w:rsidRPr="00C17D40" w:rsidRDefault="00C17D40" w:rsidP="001C2CAE">
            <w:pPr>
              <w:pStyle w:val="PBACTabletext"/>
              <w:spacing w:after="0"/>
              <w:jc w:val="center"/>
              <w:rPr>
                <w:color w:val="000000"/>
                <w:szCs w:val="20"/>
                <w:highlight w:val="lightGray"/>
              </w:rPr>
            </w:pPr>
            <w:r w:rsidRPr="00C17D40">
              <w:rPr>
                <w:color w:val="000000"/>
                <w:spacing w:val="36"/>
                <w:shd w:val="solid" w:color="000000" w:fill="000000"/>
                <w:fitText w:val="438" w:id="-961857536"/>
                <w14:textFill>
                  <w14:solidFill>
                    <w14:srgbClr w14:val="000000">
                      <w14:alpha w14:val="100000"/>
                    </w14:srgbClr>
                  </w14:solidFill>
                </w14:textFill>
              </w:rPr>
              <w:t>|||||</w:t>
            </w:r>
            <w:r w:rsidRPr="00C17D40">
              <w:rPr>
                <w:color w:val="000000"/>
                <w:shd w:val="solid" w:color="000000" w:fill="000000"/>
                <w:fitText w:val="438" w:id="-961857536"/>
                <w14:textFill>
                  <w14:solidFill>
                    <w14:srgbClr w14:val="000000">
                      <w14:alpha w14:val="100000"/>
                    </w14:srgbClr>
                  </w14:solidFill>
                </w14:textFill>
              </w:rPr>
              <w:t>|</w:t>
            </w:r>
            <w:r w:rsidRPr="00D21B8B">
              <w:rPr>
                <w:vertAlign w:val="superscript"/>
              </w:rPr>
              <w:t>1</w:t>
            </w:r>
          </w:p>
        </w:tc>
        <w:tc>
          <w:tcPr>
            <w:tcW w:w="538" w:type="pct"/>
            <w:vAlign w:val="center"/>
          </w:tcPr>
          <w:p w14:paraId="1AC566D2" w14:textId="1759AA64" w:rsidR="00C17D40" w:rsidRPr="00C17D40" w:rsidRDefault="00C17D40" w:rsidP="001C2CAE">
            <w:pPr>
              <w:pStyle w:val="PBACTabletext"/>
              <w:spacing w:after="0"/>
              <w:jc w:val="center"/>
              <w:rPr>
                <w:color w:val="000000"/>
                <w:szCs w:val="20"/>
                <w:highlight w:val="lightGray"/>
              </w:rPr>
            </w:pPr>
            <w:r w:rsidRPr="00C17D40">
              <w:rPr>
                <w:color w:val="000000"/>
                <w:spacing w:val="212"/>
                <w:shd w:val="solid" w:color="000000" w:fill="000000"/>
                <w:fitText w:val="288" w:id="-961857535"/>
                <w14:textFill>
                  <w14:solidFill>
                    <w14:srgbClr w14:val="000000">
                      <w14:alpha w14:val="100000"/>
                    </w14:srgbClr>
                  </w14:solidFill>
                </w14:textFill>
              </w:rPr>
              <w:t>|</w:t>
            </w:r>
            <w:r w:rsidRPr="00C17D40">
              <w:rPr>
                <w:color w:val="000000"/>
                <w:shd w:val="solid" w:color="000000" w:fill="000000"/>
                <w:fitText w:val="288" w:id="-961857535"/>
                <w14:textFill>
                  <w14:solidFill>
                    <w14:srgbClr w14:val="000000">
                      <w14:alpha w14:val="100000"/>
                    </w14:srgbClr>
                  </w14:solidFill>
                </w14:textFill>
              </w:rPr>
              <w:t>|</w:t>
            </w:r>
            <w:r w:rsidRPr="00D21B8B">
              <w:rPr>
                <w:vertAlign w:val="superscript"/>
              </w:rPr>
              <w:t>1</w:t>
            </w:r>
          </w:p>
        </w:tc>
        <w:tc>
          <w:tcPr>
            <w:tcW w:w="616" w:type="pct"/>
            <w:vAlign w:val="center"/>
          </w:tcPr>
          <w:p w14:paraId="22064FDF" w14:textId="77777777" w:rsidR="00C17D40" w:rsidRPr="00456281" w:rsidRDefault="00C17D40" w:rsidP="001C2CAE">
            <w:pPr>
              <w:pStyle w:val="PBACTabletext"/>
              <w:spacing w:after="0"/>
              <w:jc w:val="center"/>
              <w:rPr>
                <w:highlight w:val="yellow"/>
              </w:rPr>
            </w:pPr>
            <w:r w:rsidRPr="00456281">
              <w:t>-38%</w:t>
            </w:r>
          </w:p>
        </w:tc>
      </w:tr>
      <w:tr w:rsidR="00501A79" w:rsidRPr="00456281" w14:paraId="2954DD8E" w14:textId="77777777" w:rsidTr="00501A79">
        <w:trPr>
          <w:trHeight w:val="20"/>
        </w:trPr>
        <w:tc>
          <w:tcPr>
            <w:tcW w:w="1154" w:type="pct"/>
            <w:vAlign w:val="center"/>
          </w:tcPr>
          <w:p w14:paraId="2776DDA9" w14:textId="77777777" w:rsidR="00C17D40" w:rsidRPr="00456281" w:rsidRDefault="00C17D40" w:rsidP="001C2CAE">
            <w:pPr>
              <w:pStyle w:val="PBACTabletext"/>
              <w:spacing w:after="0"/>
            </w:pPr>
            <w:r w:rsidRPr="00456281">
              <w:rPr>
                <w:rFonts w:cs="Segoe UI"/>
                <w:szCs w:val="20"/>
              </w:rPr>
              <w:t>Assuming half of those with Stage III disease will progress to Stage IV (65%)</w:t>
            </w:r>
          </w:p>
        </w:tc>
        <w:tc>
          <w:tcPr>
            <w:tcW w:w="538" w:type="pct"/>
            <w:vAlign w:val="center"/>
          </w:tcPr>
          <w:p w14:paraId="1622666D" w14:textId="35A3A65E" w:rsidR="00C17D40" w:rsidRPr="00C17D40" w:rsidRDefault="00C17D40" w:rsidP="001C2CAE">
            <w:pPr>
              <w:pStyle w:val="PBACTabletext"/>
              <w:spacing w:after="0"/>
              <w:jc w:val="center"/>
              <w:rPr>
                <w:color w:val="000000"/>
                <w:szCs w:val="20"/>
                <w:highlight w:val="lightGray"/>
              </w:rPr>
            </w:pPr>
            <w:r w:rsidRPr="00C17D40">
              <w:rPr>
                <w:color w:val="000000"/>
                <w:spacing w:val="36"/>
                <w:shd w:val="solid" w:color="000000" w:fill="000000"/>
                <w:fitText w:val="438" w:id="-961857534"/>
                <w14:textFill>
                  <w14:solidFill>
                    <w14:srgbClr w14:val="000000">
                      <w14:alpha w14:val="100000"/>
                    </w14:srgbClr>
                  </w14:solidFill>
                </w14:textFill>
              </w:rPr>
              <w:t>|||||</w:t>
            </w:r>
            <w:r w:rsidRPr="00C17D40">
              <w:rPr>
                <w:color w:val="000000"/>
                <w:shd w:val="solid" w:color="000000" w:fill="000000"/>
                <w:fitText w:val="438" w:id="-961857534"/>
                <w14:textFill>
                  <w14:solidFill>
                    <w14:srgbClr w14:val="000000">
                      <w14:alpha w14:val="100000"/>
                    </w14:srgbClr>
                  </w14:solidFill>
                </w14:textFill>
              </w:rPr>
              <w:t>|</w:t>
            </w:r>
            <w:r w:rsidRPr="00D21B8B">
              <w:rPr>
                <w:vertAlign w:val="superscript"/>
              </w:rPr>
              <w:t>2</w:t>
            </w:r>
          </w:p>
        </w:tc>
        <w:tc>
          <w:tcPr>
            <w:tcW w:w="538" w:type="pct"/>
            <w:vAlign w:val="center"/>
          </w:tcPr>
          <w:p w14:paraId="40C028C2" w14:textId="14F56635" w:rsidR="00C17D40" w:rsidRPr="00C17D40" w:rsidRDefault="00C17D40" w:rsidP="001C2CAE">
            <w:pPr>
              <w:pStyle w:val="PBACTabletext"/>
              <w:spacing w:after="0"/>
              <w:jc w:val="center"/>
              <w:rPr>
                <w:color w:val="000000"/>
                <w:szCs w:val="20"/>
                <w:highlight w:val="lightGray"/>
              </w:rPr>
            </w:pPr>
            <w:r w:rsidRPr="00C17D40">
              <w:rPr>
                <w:color w:val="000000"/>
                <w:spacing w:val="36"/>
                <w:shd w:val="solid" w:color="000000" w:fill="000000"/>
                <w:fitText w:val="438" w:id="-961857533"/>
                <w14:textFill>
                  <w14:solidFill>
                    <w14:srgbClr w14:val="000000">
                      <w14:alpha w14:val="100000"/>
                    </w14:srgbClr>
                  </w14:solidFill>
                </w14:textFill>
              </w:rPr>
              <w:t>|||||</w:t>
            </w:r>
            <w:r w:rsidRPr="00C17D40">
              <w:rPr>
                <w:color w:val="000000"/>
                <w:shd w:val="solid" w:color="000000" w:fill="000000"/>
                <w:fitText w:val="438" w:id="-961857533"/>
                <w14:textFill>
                  <w14:solidFill>
                    <w14:srgbClr w14:val="000000">
                      <w14:alpha w14:val="100000"/>
                    </w14:srgbClr>
                  </w14:solidFill>
                </w14:textFill>
              </w:rPr>
              <w:t>|</w:t>
            </w:r>
            <w:r w:rsidRPr="00D21B8B">
              <w:rPr>
                <w:vertAlign w:val="superscript"/>
              </w:rPr>
              <w:t>1</w:t>
            </w:r>
          </w:p>
        </w:tc>
        <w:tc>
          <w:tcPr>
            <w:tcW w:w="538" w:type="pct"/>
            <w:vAlign w:val="center"/>
          </w:tcPr>
          <w:p w14:paraId="26E8670E" w14:textId="2F443F9E" w:rsidR="00C17D40" w:rsidRPr="00C17D40" w:rsidRDefault="00C17D40" w:rsidP="001C2CAE">
            <w:pPr>
              <w:pStyle w:val="PBACTabletext"/>
              <w:spacing w:after="0"/>
              <w:jc w:val="center"/>
              <w:rPr>
                <w:color w:val="000000"/>
                <w:szCs w:val="20"/>
                <w:highlight w:val="lightGray"/>
              </w:rPr>
            </w:pPr>
            <w:r w:rsidRPr="00C17D40">
              <w:rPr>
                <w:color w:val="000000"/>
                <w:spacing w:val="36"/>
                <w:shd w:val="solid" w:color="000000" w:fill="000000"/>
                <w:fitText w:val="438" w:id="-961857532"/>
                <w14:textFill>
                  <w14:solidFill>
                    <w14:srgbClr w14:val="000000">
                      <w14:alpha w14:val="100000"/>
                    </w14:srgbClr>
                  </w14:solidFill>
                </w14:textFill>
              </w:rPr>
              <w:t>|||||</w:t>
            </w:r>
            <w:r w:rsidRPr="00C17D40">
              <w:rPr>
                <w:color w:val="000000"/>
                <w:shd w:val="solid" w:color="000000" w:fill="000000"/>
                <w:fitText w:val="438" w:id="-961857532"/>
                <w14:textFill>
                  <w14:solidFill>
                    <w14:srgbClr w14:val="000000">
                      <w14:alpha w14:val="100000"/>
                    </w14:srgbClr>
                  </w14:solidFill>
                </w14:textFill>
              </w:rPr>
              <w:t>|</w:t>
            </w:r>
            <w:r w:rsidRPr="00D21B8B">
              <w:rPr>
                <w:vertAlign w:val="superscript"/>
              </w:rPr>
              <w:t>1</w:t>
            </w:r>
          </w:p>
        </w:tc>
        <w:tc>
          <w:tcPr>
            <w:tcW w:w="539" w:type="pct"/>
            <w:vAlign w:val="center"/>
          </w:tcPr>
          <w:p w14:paraId="3CC64FFD" w14:textId="13C67B56" w:rsidR="00C17D40" w:rsidRPr="00C17D40" w:rsidRDefault="00C17D40" w:rsidP="001C2CAE">
            <w:pPr>
              <w:pStyle w:val="PBACTabletext"/>
              <w:spacing w:after="0"/>
              <w:jc w:val="center"/>
              <w:rPr>
                <w:color w:val="000000"/>
                <w:szCs w:val="20"/>
                <w:highlight w:val="lightGray"/>
              </w:rPr>
            </w:pPr>
            <w:r w:rsidRPr="00C17D40">
              <w:rPr>
                <w:color w:val="000000"/>
                <w:spacing w:val="36"/>
                <w:shd w:val="solid" w:color="000000" w:fill="000000"/>
                <w:fitText w:val="438" w:id="-961857531"/>
                <w14:textFill>
                  <w14:solidFill>
                    <w14:srgbClr w14:val="000000">
                      <w14:alpha w14:val="100000"/>
                    </w14:srgbClr>
                  </w14:solidFill>
                </w14:textFill>
              </w:rPr>
              <w:t>|||||</w:t>
            </w:r>
            <w:r w:rsidRPr="00C17D40">
              <w:rPr>
                <w:color w:val="000000"/>
                <w:shd w:val="solid" w:color="000000" w:fill="000000"/>
                <w:fitText w:val="438" w:id="-961857531"/>
                <w14:textFill>
                  <w14:solidFill>
                    <w14:srgbClr w14:val="000000">
                      <w14:alpha w14:val="100000"/>
                    </w14:srgbClr>
                  </w14:solidFill>
                </w14:textFill>
              </w:rPr>
              <w:t>|</w:t>
            </w:r>
            <w:r w:rsidRPr="00D21B8B">
              <w:rPr>
                <w:vertAlign w:val="superscript"/>
              </w:rPr>
              <w:t>1</w:t>
            </w:r>
          </w:p>
        </w:tc>
        <w:tc>
          <w:tcPr>
            <w:tcW w:w="537" w:type="pct"/>
            <w:vAlign w:val="center"/>
          </w:tcPr>
          <w:p w14:paraId="1EF776D4" w14:textId="0E5A1D9F" w:rsidR="00C17D40" w:rsidRPr="00C17D40" w:rsidRDefault="00C17D40" w:rsidP="001C2CAE">
            <w:pPr>
              <w:pStyle w:val="PBACTabletext"/>
              <w:spacing w:after="0"/>
              <w:jc w:val="center"/>
              <w:rPr>
                <w:color w:val="000000"/>
                <w:szCs w:val="20"/>
                <w:highlight w:val="lightGray"/>
              </w:rPr>
            </w:pPr>
            <w:r w:rsidRPr="00C17D40">
              <w:rPr>
                <w:color w:val="000000"/>
                <w:spacing w:val="36"/>
                <w:shd w:val="solid" w:color="000000" w:fill="000000"/>
                <w:fitText w:val="438" w:id="-961857530"/>
                <w14:textFill>
                  <w14:solidFill>
                    <w14:srgbClr w14:val="000000">
                      <w14:alpha w14:val="100000"/>
                    </w14:srgbClr>
                  </w14:solidFill>
                </w14:textFill>
              </w:rPr>
              <w:t>|||||</w:t>
            </w:r>
            <w:r w:rsidRPr="00C17D40">
              <w:rPr>
                <w:color w:val="000000"/>
                <w:shd w:val="solid" w:color="000000" w:fill="000000"/>
                <w:fitText w:val="438" w:id="-961857530"/>
                <w14:textFill>
                  <w14:solidFill>
                    <w14:srgbClr w14:val="000000">
                      <w14:alpha w14:val="100000"/>
                    </w14:srgbClr>
                  </w14:solidFill>
                </w14:textFill>
              </w:rPr>
              <w:t>|</w:t>
            </w:r>
            <w:r w:rsidRPr="00D21B8B">
              <w:rPr>
                <w:vertAlign w:val="superscript"/>
              </w:rPr>
              <w:t>1</w:t>
            </w:r>
          </w:p>
        </w:tc>
        <w:tc>
          <w:tcPr>
            <w:tcW w:w="538" w:type="pct"/>
            <w:vAlign w:val="center"/>
          </w:tcPr>
          <w:p w14:paraId="1696554C" w14:textId="77BD4997" w:rsidR="00C17D40" w:rsidRPr="00C17D40" w:rsidRDefault="00C17D40" w:rsidP="001C2CAE">
            <w:pPr>
              <w:pStyle w:val="PBACTabletext"/>
              <w:spacing w:after="0"/>
              <w:jc w:val="center"/>
              <w:rPr>
                <w:color w:val="000000"/>
                <w:szCs w:val="20"/>
                <w:highlight w:val="lightGray"/>
              </w:rPr>
            </w:pPr>
            <w:r w:rsidRPr="00C17D40">
              <w:rPr>
                <w:color w:val="000000"/>
                <w:spacing w:val="212"/>
                <w:shd w:val="solid" w:color="000000" w:fill="000000"/>
                <w:fitText w:val="288" w:id="-961857529"/>
                <w14:textFill>
                  <w14:solidFill>
                    <w14:srgbClr w14:val="000000">
                      <w14:alpha w14:val="100000"/>
                    </w14:srgbClr>
                  </w14:solidFill>
                </w14:textFill>
              </w:rPr>
              <w:t>|</w:t>
            </w:r>
            <w:r w:rsidRPr="00C17D40">
              <w:rPr>
                <w:color w:val="000000"/>
                <w:shd w:val="solid" w:color="000000" w:fill="000000"/>
                <w:fitText w:val="288" w:id="-961857529"/>
                <w14:textFill>
                  <w14:solidFill>
                    <w14:srgbClr w14:val="000000">
                      <w14:alpha w14:val="100000"/>
                    </w14:srgbClr>
                  </w14:solidFill>
                </w14:textFill>
              </w:rPr>
              <w:t>|</w:t>
            </w:r>
            <w:r w:rsidRPr="00D21B8B">
              <w:rPr>
                <w:vertAlign w:val="superscript"/>
              </w:rPr>
              <w:t>1</w:t>
            </w:r>
          </w:p>
        </w:tc>
        <w:tc>
          <w:tcPr>
            <w:tcW w:w="616" w:type="pct"/>
            <w:vAlign w:val="center"/>
          </w:tcPr>
          <w:p w14:paraId="2052F384" w14:textId="77777777" w:rsidR="00C17D40" w:rsidRPr="00456281" w:rsidRDefault="00C17D40" w:rsidP="001C2CAE">
            <w:pPr>
              <w:pStyle w:val="PBACTabletext"/>
              <w:spacing w:after="0"/>
              <w:jc w:val="center"/>
              <w:rPr>
                <w:highlight w:val="yellow"/>
              </w:rPr>
            </w:pPr>
            <w:r w:rsidRPr="00456281">
              <w:t>-19%</w:t>
            </w:r>
          </w:p>
        </w:tc>
      </w:tr>
      <w:tr w:rsidR="00C17D40" w:rsidRPr="00456281" w14:paraId="6F4E6126" w14:textId="77777777" w:rsidTr="00501A79">
        <w:trPr>
          <w:trHeight w:val="20"/>
        </w:trPr>
        <w:tc>
          <w:tcPr>
            <w:tcW w:w="5000" w:type="pct"/>
            <w:gridSpan w:val="8"/>
            <w:vAlign w:val="center"/>
          </w:tcPr>
          <w:p w14:paraId="37C458D1" w14:textId="766EC093" w:rsidR="00C17D40" w:rsidRPr="00456281" w:rsidRDefault="00C17D40" w:rsidP="001C2CAE">
            <w:pPr>
              <w:pStyle w:val="PBACTabletext"/>
              <w:spacing w:after="0"/>
              <w:rPr>
                <w:b/>
                <w:bCs/>
              </w:rPr>
            </w:pPr>
            <w:r w:rsidRPr="00456281">
              <w:rPr>
                <w:b/>
                <w:bCs/>
              </w:rPr>
              <w:t>Alternative scenario with FOLFIRINOX as a secondary comparator (</w:t>
            </w:r>
            <w:r w:rsidRPr="00C17D40">
              <w:rPr>
                <w:b/>
                <w:bCs/>
                <w:color w:val="000000"/>
                <w:spacing w:val="39"/>
                <w:shd w:val="solid" w:color="000000" w:fill="000000"/>
                <w:fitText w:val="475" w:id="-961857528"/>
                <w14:textFill>
                  <w14:solidFill>
                    <w14:srgbClr w14:val="000000">
                      <w14:alpha w14:val="100000"/>
                    </w14:srgbClr>
                  </w14:solidFill>
                </w14:textFill>
              </w:rPr>
              <w:t>|||||</w:t>
            </w:r>
            <w:r w:rsidRPr="00C17D40">
              <w:rPr>
                <w:b/>
                <w:bCs/>
                <w:color w:val="000000"/>
                <w:spacing w:val="4"/>
                <w:shd w:val="solid" w:color="000000" w:fill="000000"/>
                <w:fitText w:val="475" w:id="-961857528"/>
                <w14:textFill>
                  <w14:solidFill>
                    <w14:srgbClr w14:val="000000">
                      <w14:alpha w14:val="100000"/>
                    </w14:srgbClr>
                  </w14:solidFill>
                </w14:textFill>
              </w:rPr>
              <w:t>|</w:t>
            </w:r>
            <w:r w:rsidRPr="006F1260">
              <w:rPr>
                <w:b/>
                <w:bCs/>
              </w:rPr>
              <w:t>%</w:t>
            </w:r>
            <w:r w:rsidRPr="00456281">
              <w:rPr>
                <w:b/>
                <w:bCs/>
              </w:rPr>
              <w:t xml:space="preserve"> of treated population FOLFIRINOX)</w:t>
            </w:r>
          </w:p>
          <w:p w14:paraId="029027AA" w14:textId="5079113C" w:rsidR="00C17D40" w:rsidRPr="00456281" w:rsidRDefault="00C17D40" w:rsidP="001C2CAE">
            <w:pPr>
              <w:pStyle w:val="PBACTabletext"/>
              <w:spacing w:after="0"/>
              <w:rPr>
                <w:b/>
                <w:bCs/>
              </w:rPr>
            </w:pPr>
            <w:r w:rsidRPr="00456281">
              <w:rPr>
                <w:b/>
                <w:bCs/>
              </w:rPr>
              <w:t xml:space="preserve">(base case = </w:t>
            </w:r>
            <w:r w:rsidRPr="00C17D40">
              <w:rPr>
                <w:b/>
                <w:bCs/>
                <w:color w:val="000000"/>
                <w:spacing w:val="40"/>
                <w:shd w:val="solid" w:color="000000" w:fill="000000"/>
                <w:fitText w:val="476" w:id="-961857527"/>
                <w14:textFill>
                  <w14:solidFill>
                    <w14:srgbClr w14:val="000000">
                      <w14:alpha w14:val="100000"/>
                    </w14:srgbClr>
                  </w14:solidFill>
                </w14:textFill>
              </w:rPr>
              <w:t>|||||</w:t>
            </w:r>
            <w:r w:rsidRPr="00C17D40">
              <w:rPr>
                <w:b/>
                <w:bCs/>
                <w:color w:val="000000"/>
                <w:shd w:val="solid" w:color="000000" w:fill="000000"/>
                <w:fitText w:val="476" w:id="-961857527"/>
                <w14:textFill>
                  <w14:solidFill>
                    <w14:srgbClr w14:val="000000">
                      <w14:alpha w14:val="100000"/>
                    </w14:srgbClr>
                  </w14:solidFill>
                </w14:textFill>
              </w:rPr>
              <w:t>|</w:t>
            </w:r>
            <w:r w:rsidRPr="006F1260">
              <w:rPr>
                <w:b/>
                <w:bCs/>
              </w:rPr>
              <w:t>%</w:t>
            </w:r>
            <w:r w:rsidRPr="00456281">
              <w:rPr>
                <w:b/>
                <w:bCs/>
              </w:rPr>
              <w:t>)</w:t>
            </w:r>
          </w:p>
        </w:tc>
      </w:tr>
      <w:tr w:rsidR="00501A79" w:rsidRPr="00456281" w14:paraId="0E4F8CF2" w14:textId="77777777" w:rsidTr="00501A79">
        <w:trPr>
          <w:trHeight w:val="20"/>
        </w:trPr>
        <w:tc>
          <w:tcPr>
            <w:tcW w:w="1154" w:type="pct"/>
            <w:vAlign w:val="center"/>
          </w:tcPr>
          <w:p w14:paraId="2CF1D815" w14:textId="4B4BCD87" w:rsidR="00C17D40" w:rsidRPr="00456281" w:rsidRDefault="00C17D40" w:rsidP="001C2CAE">
            <w:pPr>
              <w:pStyle w:val="PBACTabletext"/>
              <w:spacing w:after="0"/>
            </w:pPr>
            <w:r w:rsidRPr="00456281">
              <w:t xml:space="preserve">Uptake rate among FOLFIRINOX, </w:t>
            </w:r>
            <w:r w:rsidRPr="00C17D40">
              <w:rPr>
                <w:color w:val="000000"/>
                <w:spacing w:val="36"/>
                <w:shd w:val="solid" w:color="000000" w:fill="000000"/>
                <w:fitText w:val="439" w:id="-961857526"/>
                <w14:textFill>
                  <w14:solidFill>
                    <w14:srgbClr w14:val="000000">
                      <w14:alpha w14:val="100000"/>
                    </w14:srgbClr>
                  </w14:solidFill>
                </w14:textFill>
              </w:rPr>
              <w:t>|||||</w:t>
            </w:r>
            <w:r w:rsidRPr="00C17D40">
              <w:rPr>
                <w:color w:val="000000"/>
                <w:spacing w:val="1"/>
                <w:shd w:val="solid" w:color="000000" w:fill="000000"/>
                <w:fitText w:val="439" w:id="-961857526"/>
                <w14:textFill>
                  <w14:solidFill>
                    <w14:srgbClr w14:val="000000">
                      <w14:alpha w14:val="100000"/>
                    </w14:srgbClr>
                  </w14:solidFill>
                </w14:textFill>
              </w:rPr>
              <w:t>|</w:t>
            </w:r>
            <w:r w:rsidRPr="006F1260">
              <w:t>%</w:t>
            </w:r>
            <w:r w:rsidRPr="00456281">
              <w:t xml:space="preserve"> in Year 1, </w:t>
            </w:r>
            <w:r w:rsidRPr="00C17D40">
              <w:rPr>
                <w:color w:val="000000"/>
                <w:spacing w:val="36"/>
                <w:shd w:val="solid" w:color="000000" w:fill="000000"/>
                <w:fitText w:val="439" w:id="-961857525"/>
                <w14:textFill>
                  <w14:solidFill>
                    <w14:srgbClr w14:val="000000">
                      <w14:alpha w14:val="100000"/>
                    </w14:srgbClr>
                  </w14:solidFill>
                </w14:textFill>
              </w:rPr>
              <w:t>|||||</w:t>
            </w:r>
            <w:r w:rsidRPr="00C17D40">
              <w:rPr>
                <w:color w:val="000000"/>
                <w:spacing w:val="1"/>
                <w:shd w:val="solid" w:color="000000" w:fill="000000"/>
                <w:fitText w:val="439" w:id="-961857525"/>
                <w14:textFill>
                  <w14:solidFill>
                    <w14:srgbClr w14:val="000000">
                      <w14:alpha w14:val="100000"/>
                    </w14:srgbClr>
                  </w14:solidFill>
                </w14:textFill>
              </w:rPr>
              <w:t>|</w:t>
            </w:r>
            <w:r w:rsidRPr="006F1260">
              <w:t xml:space="preserve">% </w:t>
            </w:r>
            <w:r w:rsidRPr="00456281">
              <w:t xml:space="preserve">in Year 2 and </w:t>
            </w:r>
            <w:r w:rsidRPr="00C17D40">
              <w:rPr>
                <w:color w:val="000000"/>
                <w:spacing w:val="36"/>
                <w:shd w:val="solid" w:color="000000" w:fill="000000"/>
                <w:fitText w:val="439" w:id="-961857524"/>
                <w14:textFill>
                  <w14:solidFill>
                    <w14:srgbClr w14:val="000000">
                      <w14:alpha w14:val="100000"/>
                    </w14:srgbClr>
                  </w14:solidFill>
                </w14:textFill>
              </w:rPr>
              <w:t>|||||</w:t>
            </w:r>
            <w:r w:rsidRPr="00C17D40">
              <w:rPr>
                <w:color w:val="000000"/>
                <w:spacing w:val="1"/>
                <w:shd w:val="solid" w:color="000000" w:fill="000000"/>
                <w:fitText w:val="439" w:id="-961857524"/>
                <w14:textFill>
                  <w14:solidFill>
                    <w14:srgbClr w14:val="000000">
                      <w14:alpha w14:val="100000"/>
                    </w14:srgbClr>
                  </w14:solidFill>
                </w14:textFill>
              </w:rPr>
              <w:t>|</w:t>
            </w:r>
            <w:r w:rsidRPr="006F1260">
              <w:t>%</w:t>
            </w:r>
            <w:r w:rsidRPr="00456281">
              <w:t xml:space="preserve"> in Years 3-6, substituted to NALIRIFOX</w:t>
            </w:r>
          </w:p>
        </w:tc>
        <w:tc>
          <w:tcPr>
            <w:tcW w:w="538" w:type="pct"/>
            <w:vAlign w:val="center"/>
          </w:tcPr>
          <w:p w14:paraId="54FB6FF9" w14:textId="76B98730" w:rsidR="00C17D40" w:rsidRPr="00C17D40" w:rsidRDefault="00C17D40" w:rsidP="001C2CAE">
            <w:pPr>
              <w:pStyle w:val="PBACTabletext"/>
              <w:spacing w:after="0"/>
              <w:jc w:val="center"/>
              <w:rPr>
                <w:highlight w:val="lightGray"/>
              </w:rPr>
            </w:pPr>
            <w:r w:rsidRPr="00C17D40">
              <w:rPr>
                <w:color w:val="000000"/>
                <w:spacing w:val="212"/>
                <w:shd w:val="solid" w:color="000000" w:fill="000000"/>
                <w:fitText w:val="288" w:id="-961857523"/>
                <w14:textFill>
                  <w14:solidFill>
                    <w14:srgbClr w14:val="000000">
                      <w14:alpha w14:val="100000"/>
                    </w14:srgbClr>
                  </w14:solidFill>
                </w14:textFill>
              </w:rPr>
              <w:t>|</w:t>
            </w:r>
            <w:r w:rsidRPr="00C17D40">
              <w:rPr>
                <w:color w:val="000000"/>
                <w:shd w:val="solid" w:color="000000" w:fill="000000"/>
                <w:fitText w:val="288" w:id="-961857523"/>
                <w14:textFill>
                  <w14:solidFill>
                    <w14:srgbClr w14:val="000000">
                      <w14:alpha w14:val="100000"/>
                    </w14:srgbClr>
                  </w14:solidFill>
                </w14:textFill>
              </w:rPr>
              <w:t>|</w:t>
            </w:r>
            <w:r w:rsidRPr="00D21B8B">
              <w:rPr>
                <w:vertAlign w:val="superscript"/>
              </w:rPr>
              <w:t>1</w:t>
            </w:r>
          </w:p>
        </w:tc>
        <w:tc>
          <w:tcPr>
            <w:tcW w:w="538" w:type="pct"/>
            <w:vAlign w:val="center"/>
          </w:tcPr>
          <w:p w14:paraId="4D039533" w14:textId="26F5C3D7" w:rsidR="00C17D40" w:rsidRPr="00C17D40" w:rsidRDefault="00C17D40" w:rsidP="001C2CAE">
            <w:pPr>
              <w:pStyle w:val="PBACTabletext"/>
              <w:spacing w:after="0"/>
              <w:jc w:val="center"/>
              <w:rPr>
                <w:highlight w:val="lightGray"/>
              </w:rPr>
            </w:pPr>
            <w:r w:rsidRPr="00C17D40">
              <w:rPr>
                <w:color w:val="000000"/>
                <w:spacing w:val="212"/>
                <w:shd w:val="solid" w:color="000000" w:fill="000000"/>
                <w:fitText w:val="288" w:id="-961857522"/>
                <w14:textFill>
                  <w14:solidFill>
                    <w14:srgbClr w14:val="000000">
                      <w14:alpha w14:val="100000"/>
                    </w14:srgbClr>
                  </w14:solidFill>
                </w14:textFill>
              </w:rPr>
              <w:t>|</w:t>
            </w:r>
            <w:r w:rsidRPr="00C17D40">
              <w:rPr>
                <w:color w:val="000000"/>
                <w:shd w:val="solid" w:color="000000" w:fill="000000"/>
                <w:fitText w:val="288" w:id="-961857522"/>
                <w14:textFill>
                  <w14:solidFill>
                    <w14:srgbClr w14:val="000000">
                      <w14:alpha w14:val="100000"/>
                    </w14:srgbClr>
                  </w14:solidFill>
                </w14:textFill>
              </w:rPr>
              <w:t>|</w:t>
            </w:r>
            <w:r w:rsidRPr="00D21B8B">
              <w:rPr>
                <w:vertAlign w:val="superscript"/>
              </w:rPr>
              <w:t>1</w:t>
            </w:r>
          </w:p>
        </w:tc>
        <w:tc>
          <w:tcPr>
            <w:tcW w:w="538" w:type="pct"/>
            <w:vAlign w:val="center"/>
          </w:tcPr>
          <w:p w14:paraId="1D7F9507" w14:textId="01636A36" w:rsidR="00C17D40" w:rsidRPr="00C17D40" w:rsidRDefault="00C17D40" w:rsidP="001C2CAE">
            <w:pPr>
              <w:pStyle w:val="PBACTabletext"/>
              <w:spacing w:after="0"/>
              <w:jc w:val="center"/>
              <w:rPr>
                <w:highlight w:val="lightGray"/>
              </w:rPr>
            </w:pPr>
            <w:r w:rsidRPr="00C17D40">
              <w:rPr>
                <w:color w:val="000000"/>
                <w:spacing w:val="212"/>
                <w:shd w:val="solid" w:color="000000" w:fill="000000"/>
                <w:fitText w:val="288" w:id="-961857521"/>
                <w14:textFill>
                  <w14:solidFill>
                    <w14:srgbClr w14:val="000000">
                      <w14:alpha w14:val="100000"/>
                    </w14:srgbClr>
                  </w14:solidFill>
                </w14:textFill>
              </w:rPr>
              <w:t>|</w:t>
            </w:r>
            <w:r w:rsidRPr="00C17D40">
              <w:rPr>
                <w:color w:val="000000"/>
                <w:shd w:val="solid" w:color="000000" w:fill="000000"/>
                <w:fitText w:val="288" w:id="-961857521"/>
                <w14:textFill>
                  <w14:solidFill>
                    <w14:srgbClr w14:val="000000">
                      <w14:alpha w14:val="100000"/>
                    </w14:srgbClr>
                  </w14:solidFill>
                </w14:textFill>
              </w:rPr>
              <w:t>|</w:t>
            </w:r>
            <w:r w:rsidRPr="00D21B8B">
              <w:rPr>
                <w:vertAlign w:val="superscript"/>
              </w:rPr>
              <w:t>1</w:t>
            </w:r>
          </w:p>
        </w:tc>
        <w:tc>
          <w:tcPr>
            <w:tcW w:w="539" w:type="pct"/>
            <w:vAlign w:val="center"/>
          </w:tcPr>
          <w:p w14:paraId="4284FCAB" w14:textId="7D5C94F2" w:rsidR="00C17D40" w:rsidRPr="00C17D40" w:rsidRDefault="00C17D40" w:rsidP="001C2CAE">
            <w:pPr>
              <w:pStyle w:val="PBACTabletext"/>
              <w:spacing w:after="0"/>
              <w:jc w:val="center"/>
              <w:rPr>
                <w:highlight w:val="lightGray"/>
              </w:rPr>
            </w:pPr>
            <w:r w:rsidRPr="00C17D40">
              <w:rPr>
                <w:color w:val="000000"/>
                <w:spacing w:val="212"/>
                <w:shd w:val="solid" w:color="000000" w:fill="000000"/>
                <w:fitText w:val="288" w:id="-961857520"/>
                <w14:textFill>
                  <w14:solidFill>
                    <w14:srgbClr w14:val="000000">
                      <w14:alpha w14:val="100000"/>
                    </w14:srgbClr>
                  </w14:solidFill>
                </w14:textFill>
              </w:rPr>
              <w:t>|</w:t>
            </w:r>
            <w:r w:rsidRPr="00C17D40">
              <w:rPr>
                <w:color w:val="000000"/>
                <w:shd w:val="solid" w:color="000000" w:fill="000000"/>
                <w:fitText w:val="288" w:id="-961857520"/>
                <w14:textFill>
                  <w14:solidFill>
                    <w14:srgbClr w14:val="000000">
                      <w14:alpha w14:val="100000"/>
                    </w14:srgbClr>
                  </w14:solidFill>
                </w14:textFill>
              </w:rPr>
              <w:t>|</w:t>
            </w:r>
            <w:r w:rsidRPr="00C17D40">
              <w:rPr>
                <w:vertAlign w:val="superscript"/>
              </w:rPr>
              <w:t>3</w:t>
            </w:r>
          </w:p>
        </w:tc>
        <w:tc>
          <w:tcPr>
            <w:tcW w:w="537" w:type="pct"/>
            <w:vAlign w:val="center"/>
          </w:tcPr>
          <w:p w14:paraId="02DDFEC5" w14:textId="4106614B" w:rsidR="00C17D40" w:rsidRPr="00C17D40" w:rsidRDefault="00C17D40" w:rsidP="001C2CAE">
            <w:pPr>
              <w:pStyle w:val="PBACTabletext"/>
              <w:spacing w:after="0"/>
              <w:jc w:val="center"/>
              <w:rPr>
                <w:highlight w:val="lightGray"/>
              </w:rPr>
            </w:pPr>
            <w:r w:rsidRPr="00C17D40">
              <w:rPr>
                <w:color w:val="000000"/>
                <w:spacing w:val="212"/>
                <w:shd w:val="solid" w:color="000000" w:fill="000000"/>
                <w:fitText w:val="288" w:id="-961857536"/>
                <w14:textFill>
                  <w14:solidFill>
                    <w14:srgbClr w14:val="000000">
                      <w14:alpha w14:val="100000"/>
                    </w14:srgbClr>
                  </w14:solidFill>
                </w14:textFill>
              </w:rPr>
              <w:t>|</w:t>
            </w:r>
            <w:r w:rsidRPr="00C17D40">
              <w:rPr>
                <w:color w:val="000000"/>
                <w:shd w:val="solid" w:color="000000" w:fill="000000"/>
                <w:fitText w:val="288" w:id="-961857536"/>
                <w14:textFill>
                  <w14:solidFill>
                    <w14:srgbClr w14:val="000000">
                      <w14:alpha w14:val="100000"/>
                    </w14:srgbClr>
                  </w14:solidFill>
                </w14:textFill>
              </w:rPr>
              <w:t>|</w:t>
            </w:r>
            <w:r w:rsidRPr="00D21B8B">
              <w:rPr>
                <w:vertAlign w:val="superscript"/>
              </w:rPr>
              <w:t>3</w:t>
            </w:r>
          </w:p>
        </w:tc>
        <w:tc>
          <w:tcPr>
            <w:tcW w:w="538" w:type="pct"/>
            <w:vAlign w:val="center"/>
          </w:tcPr>
          <w:p w14:paraId="19838C75" w14:textId="1DBF7043" w:rsidR="00C17D40" w:rsidRPr="00C17D40" w:rsidRDefault="00C17D40" w:rsidP="001C2CAE">
            <w:pPr>
              <w:pStyle w:val="PBACTabletext"/>
              <w:spacing w:after="0"/>
              <w:jc w:val="center"/>
              <w:rPr>
                <w:highlight w:val="lightGray"/>
              </w:rPr>
            </w:pPr>
            <w:r w:rsidRPr="00C17D40">
              <w:rPr>
                <w:color w:val="000000"/>
                <w:spacing w:val="212"/>
                <w:shd w:val="solid" w:color="000000" w:fill="000000"/>
                <w:fitText w:val="288" w:id="-961857535"/>
                <w14:textFill>
                  <w14:solidFill>
                    <w14:srgbClr w14:val="000000">
                      <w14:alpha w14:val="100000"/>
                    </w14:srgbClr>
                  </w14:solidFill>
                </w14:textFill>
              </w:rPr>
              <w:t>|</w:t>
            </w:r>
            <w:r w:rsidRPr="00C17D40">
              <w:rPr>
                <w:color w:val="000000"/>
                <w:shd w:val="solid" w:color="000000" w:fill="000000"/>
                <w:fitText w:val="288" w:id="-961857535"/>
                <w14:textFill>
                  <w14:solidFill>
                    <w14:srgbClr w14:val="000000">
                      <w14:alpha w14:val="100000"/>
                    </w14:srgbClr>
                  </w14:solidFill>
                </w14:textFill>
              </w:rPr>
              <w:t>|</w:t>
            </w:r>
            <w:r w:rsidRPr="00D21B8B">
              <w:rPr>
                <w:vertAlign w:val="superscript"/>
              </w:rPr>
              <w:t>3</w:t>
            </w:r>
          </w:p>
        </w:tc>
        <w:tc>
          <w:tcPr>
            <w:tcW w:w="616" w:type="pct"/>
            <w:vAlign w:val="center"/>
          </w:tcPr>
          <w:p w14:paraId="66B02385" w14:textId="77777777" w:rsidR="00C17D40" w:rsidRPr="00456281" w:rsidRDefault="00C17D40" w:rsidP="001C2CAE">
            <w:pPr>
              <w:pStyle w:val="PBACTabletext"/>
              <w:spacing w:after="0"/>
              <w:jc w:val="center"/>
              <w:rPr>
                <w:b/>
                <w:bCs/>
              </w:rPr>
            </w:pPr>
            <w:r w:rsidRPr="00456281">
              <w:t>23%</w:t>
            </w:r>
          </w:p>
        </w:tc>
      </w:tr>
      <w:tr w:rsidR="00501A79" w:rsidRPr="00456281" w14:paraId="612222C1" w14:textId="77777777" w:rsidTr="00501A79">
        <w:trPr>
          <w:trHeight w:val="20"/>
        </w:trPr>
        <w:tc>
          <w:tcPr>
            <w:tcW w:w="1154" w:type="pct"/>
            <w:vAlign w:val="center"/>
          </w:tcPr>
          <w:p w14:paraId="1CDEDB69" w14:textId="77777777" w:rsidR="00C17D40" w:rsidRPr="00456281" w:rsidRDefault="00C17D40" w:rsidP="001C2CAE">
            <w:pPr>
              <w:pStyle w:val="PBACTabletext"/>
              <w:spacing w:after="0"/>
            </w:pPr>
            <w:r w:rsidRPr="00456281">
              <w:t>Assume constant at 50% across all years</w:t>
            </w:r>
          </w:p>
        </w:tc>
        <w:tc>
          <w:tcPr>
            <w:tcW w:w="538" w:type="pct"/>
            <w:vAlign w:val="center"/>
          </w:tcPr>
          <w:p w14:paraId="2C94072A" w14:textId="24813E37" w:rsidR="00C17D40" w:rsidRPr="00C17D40" w:rsidRDefault="00C17D40" w:rsidP="001C2CAE">
            <w:pPr>
              <w:pStyle w:val="PBACTabletext"/>
              <w:spacing w:after="0"/>
              <w:jc w:val="center"/>
              <w:rPr>
                <w:highlight w:val="lightGray"/>
              </w:rPr>
            </w:pPr>
            <w:r w:rsidRPr="00C17D40">
              <w:rPr>
                <w:color w:val="000000"/>
                <w:spacing w:val="212"/>
                <w:shd w:val="solid" w:color="000000" w:fill="000000"/>
                <w:fitText w:val="288" w:id="-961857534"/>
                <w14:textFill>
                  <w14:solidFill>
                    <w14:srgbClr w14:val="000000">
                      <w14:alpha w14:val="100000"/>
                    </w14:srgbClr>
                  </w14:solidFill>
                </w14:textFill>
              </w:rPr>
              <w:t>|</w:t>
            </w:r>
            <w:r w:rsidRPr="00C17D40">
              <w:rPr>
                <w:color w:val="000000"/>
                <w:shd w:val="solid" w:color="000000" w:fill="000000"/>
                <w:fitText w:val="288" w:id="-961857534"/>
                <w14:textFill>
                  <w14:solidFill>
                    <w14:srgbClr w14:val="000000">
                      <w14:alpha w14:val="100000"/>
                    </w14:srgbClr>
                  </w14:solidFill>
                </w14:textFill>
              </w:rPr>
              <w:t>|</w:t>
            </w:r>
            <w:r w:rsidRPr="00D21B8B">
              <w:rPr>
                <w:vertAlign w:val="superscript"/>
              </w:rPr>
              <w:t>1</w:t>
            </w:r>
          </w:p>
        </w:tc>
        <w:tc>
          <w:tcPr>
            <w:tcW w:w="538" w:type="pct"/>
            <w:vAlign w:val="center"/>
          </w:tcPr>
          <w:p w14:paraId="45E39CB1" w14:textId="1FB7EC6C" w:rsidR="00C17D40" w:rsidRPr="00C17D40" w:rsidRDefault="00C17D40" w:rsidP="001C2CAE">
            <w:pPr>
              <w:pStyle w:val="PBACTabletext"/>
              <w:spacing w:after="0"/>
              <w:jc w:val="center"/>
              <w:rPr>
                <w:highlight w:val="lightGray"/>
              </w:rPr>
            </w:pPr>
            <w:r w:rsidRPr="00C17D40">
              <w:rPr>
                <w:color w:val="000000"/>
                <w:spacing w:val="212"/>
                <w:shd w:val="solid" w:color="000000" w:fill="000000"/>
                <w:fitText w:val="288" w:id="-961857533"/>
                <w14:textFill>
                  <w14:solidFill>
                    <w14:srgbClr w14:val="000000">
                      <w14:alpha w14:val="100000"/>
                    </w14:srgbClr>
                  </w14:solidFill>
                </w14:textFill>
              </w:rPr>
              <w:t>|</w:t>
            </w:r>
            <w:r w:rsidRPr="00C17D40">
              <w:rPr>
                <w:color w:val="000000"/>
                <w:shd w:val="solid" w:color="000000" w:fill="000000"/>
                <w:fitText w:val="288" w:id="-961857533"/>
                <w14:textFill>
                  <w14:solidFill>
                    <w14:srgbClr w14:val="000000">
                      <w14:alpha w14:val="100000"/>
                    </w14:srgbClr>
                  </w14:solidFill>
                </w14:textFill>
              </w:rPr>
              <w:t>|</w:t>
            </w:r>
            <w:r w:rsidRPr="00D21B8B">
              <w:rPr>
                <w:vertAlign w:val="superscript"/>
              </w:rPr>
              <w:t>1</w:t>
            </w:r>
          </w:p>
        </w:tc>
        <w:tc>
          <w:tcPr>
            <w:tcW w:w="538" w:type="pct"/>
            <w:vAlign w:val="center"/>
          </w:tcPr>
          <w:p w14:paraId="47FF0240" w14:textId="39222F3B" w:rsidR="00C17D40" w:rsidRPr="00C17D40" w:rsidRDefault="00C17D40" w:rsidP="001C2CAE">
            <w:pPr>
              <w:pStyle w:val="PBACTabletext"/>
              <w:spacing w:after="0"/>
              <w:jc w:val="center"/>
              <w:rPr>
                <w:highlight w:val="lightGray"/>
              </w:rPr>
            </w:pPr>
            <w:r w:rsidRPr="00C17D40">
              <w:rPr>
                <w:color w:val="000000"/>
                <w:spacing w:val="212"/>
                <w:shd w:val="solid" w:color="000000" w:fill="000000"/>
                <w:fitText w:val="288" w:id="-961857532"/>
                <w14:textFill>
                  <w14:solidFill>
                    <w14:srgbClr w14:val="000000">
                      <w14:alpha w14:val="100000"/>
                    </w14:srgbClr>
                  </w14:solidFill>
                </w14:textFill>
              </w:rPr>
              <w:t>|</w:t>
            </w:r>
            <w:r w:rsidRPr="00C17D40">
              <w:rPr>
                <w:color w:val="000000"/>
                <w:shd w:val="solid" w:color="000000" w:fill="000000"/>
                <w:fitText w:val="288" w:id="-961857532"/>
                <w14:textFill>
                  <w14:solidFill>
                    <w14:srgbClr w14:val="000000">
                      <w14:alpha w14:val="100000"/>
                    </w14:srgbClr>
                  </w14:solidFill>
                </w14:textFill>
              </w:rPr>
              <w:t>|</w:t>
            </w:r>
            <w:r w:rsidRPr="00D21B8B">
              <w:rPr>
                <w:vertAlign w:val="superscript"/>
              </w:rPr>
              <w:t>1</w:t>
            </w:r>
          </w:p>
        </w:tc>
        <w:tc>
          <w:tcPr>
            <w:tcW w:w="539" w:type="pct"/>
            <w:vAlign w:val="center"/>
          </w:tcPr>
          <w:p w14:paraId="1D0623D3" w14:textId="0BE08EBB" w:rsidR="00C17D40" w:rsidRPr="00C17D40" w:rsidRDefault="00C17D40" w:rsidP="001C2CAE">
            <w:pPr>
              <w:pStyle w:val="PBACTabletext"/>
              <w:spacing w:after="0"/>
              <w:jc w:val="center"/>
              <w:rPr>
                <w:highlight w:val="lightGray"/>
              </w:rPr>
            </w:pPr>
            <w:r w:rsidRPr="00C17D40">
              <w:rPr>
                <w:color w:val="000000"/>
                <w:spacing w:val="212"/>
                <w:shd w:val="solid" w:color="000000" w:fill="000000"/>
                <w:fitText w:val="288" w:id="-961857531"/>
                <w14:textFill>
                  <w14:solidFill>
                    <w14:srgbClr w14:val="000000">
                      <w14:alpha w14:val="100000"/>
                    </w14:srgbClr>
                  </w14:solidFill>
                </w14:textFill>
              </w:rPr>
              <w:t>|</w:t>
            </w:r>
            <w:r w:rsidRPr="00C17D40">
              <w:rPr>
                <w:color w:val="000000"/>
                <w:shd w:val="solid" w:color="000000" w:fill="000000"/>
                <w:fitText w:val="288" w:id="-961857531"/>
                <w14:textFill>
                  <w14:solidFill>
                    <w14:srgbClr w14:val="000000">
                      <w14:alpha w14:val="100000"/>
                    </w14:srgbClr>
                  </w14:solidFill>
                </w14:textFill>
              </w:rPr>
              <w:t>|</w:t>
            </w:r>
            <w:r w:rsidRPr="00D21B8B">
              <w:rPr>
                <w:vertAlign w:val="superscript"/>
              </w:rPr>
              <w:t>1</w:t>
            </w:r>
          </w:p>
        </w:tc>
        <w:tc>
          <w:tcPr>
            <w:tcW w:w="537" w:type="pct"/>
            <w:vAlign w:val="center"/>
          </w:tcPr>
          <w:p w14:paraId="0F990F93" w14:textId="05C10CCA" w:rsidR="00C17D40" w:rsidRPr="00C17D40" w:rsidRDefault="00C17D40" w:rsidP="001C2CAE">
            <w:pPr>
              <w:pStyle w:val="PBACTabletext"/>
              <w:spacing w:after="0"/>
              <w:jc w:val="center"/>
              <w:rPr>
                <w:highlight w:val="lightGray"/>
              </w:rPr>
            </w:pPr>
            <w:r w:rsidRPr="00C17D40">
              <w:rPr>
                <w:color w:val="000000"/>
                <w:spacing w:val="212"/>
                <w:shd w:val="solid" w:color="000000" w:fill="000000"/>
                <w:fitText w:val="288" w:id="-961857530"/>
                <w14:textFill>
                  <w14:solidFill>
                    <w14:srgbClr w14:val="000000">
                      <w14:alpha w14:val="100000"/>
                    </w14:srgbClr>
                  </w14:solidFill>
                </w14:textFill>
              </w:rPr>
              <w:t>|</w:t>
            </w:r>
            <w:r w:rsidRPr="00C17D40">
              <w:rPr>
                <w:color w:val="000000"/>
                <w:shd w:val="solid" w:color="000000" w:fill="000000"/>
                <w:fitText w:val="288" w:id="-961857530"/>
                <w14:textFill>
                  <w14:solidFill>
                    <w14:srgbClr w14:val="000000">
                      <w14:alpha w14:val="100000"/>
                    </w14:srgbClr>
                  </w14:solidFill>
                </w14:textFill>
              </w:rPr>
              <w:t>|</w:t>
            </w:r>
            <w:r w:rsidRPr="00D21B8B">
              <w:rPr>
                <w:vertAlign w:val="superscript"/>
              </w:rPr>
              <w:t>1</w:t>
            </w:r>
          </w:p>
        </w:tc>
        <w:tc>
          <w:tcPr>
            <w:tcW w:w="538" w:type="pct"/>
            <w:vAlign w:val="center"/>
          </w:tcPr>
          <w:p w14:paraId="7DF73D89" w14:textId="5DB963AC" w:rsidR="00C17D40" w:rsidRPr="00C17D40" w:rsidRDefault="00C17D40" w:rsidP="001C2CAE">
            <w:pPr>
              <w:pStyle w:val="PBACTabletext"/>
              <w:spacing w:after="0"/>
              <w:jc w:val="center"/>
              <w:rPr>
                <w:highlight w:val="lightGray"/>
              </w:rPr>
            </w:pPr>
            <w:r w:rsidRPr="00C17D40">
              <w:rPr>
                <w:color w:val="000000"/>
                <w:spacing w:val="212"/>
                <w:shd w:val="solid" w:color="000000" w:fill="000000"/>
                <w:fitText w:val="288" w:id="-961857529"/>
                <w14:textFill>
                  <w14:solidFill>
                    <w14:srgbClr w14:val="000000">
                      <w14:alpha w14:val="100000"/>
                    </w14:srgbClr>
                  </w14:solidFill>
                </w14:textFill>
              </w:rPr>
              <w:t>|</w:t>
            </w:r>
            <w:r w:rsidRPr="00C17D40">
              <w:rPr>
                <w:color w:val="000000"/>
                <w:shd w:val="solid" w:color="000000" w:fill="000000"/>
                <w:fitText w:val="288" w:id="-961857529"/>
                <w14:textFill>
                  <w14:solidFill>
                    <w14:srgbClr w14:val="000000">
                      <w14:alpha w14:val="100000"/>
                    </w14:srgbClr>
                  </w14:solidFill>
                </w14:textFill>
              </w:rPr>
              <w:t>|</w:t>
            </w:r>
            <w:r w:rsidRPr="00D21B8B">
              <w:rPr>
                <w:vertAlign w:val="superscript"/>
              </w:rPr>
              <w:t>3</w:t>
            </w:r>
          </w:p>
        </w:tc>
        <w:tc>
          <w:tcPr>
            <w:tcW w:w="616" w:type="pct"/>
            <w:vAlign w:val="center"/>
          </w:tcPr>
          <w:p w14:paraId="1100A762" w14:textId="77777777" w:rsidR="00C17D40" w:rsidRPr="00456281" w:rsidRDefault="00C17D40" w:rsidP="001C2CAE">
            <w:pPr>
              <w:pStyle w:val="PBACTabletext"/>
              <w:spacing w:after="0"/>
              <w:jc w:val="center"/>
              <w:rPr>
                <w:b/>
                <w:bCs/>
              </w:rPr>
            </w:pPr>
            <w:r w:rsidRPr="00456281">
              <w:t>15%</w:t>
            </w:r>
          </w:p>
        </w:tc>
      </w:tr>
    </w:tbl>
    <w:p w14:paraId="079B9226" w14:textId="1A2C31E5" w:rsidR="00016609" w:rsidRPr="00456281" w:rsidRDefault="00016609" w:rsidP="00501A79">
      <w:pPr>
        <w:pStyle w:val="PBACTblFignote"/>
        <w:jc w:val="both"/>
      </w:pPr>
      <w:r w:rsidRPr="00456281">
        <w:t>Source: Compiled during the evaluation using Attachment 11 of the submission</w:t>
      </w:r>
      <w:r w:rsidR="002A694A" w:rsidRPr="00456281">
        <w:t xml:space="preserve"> and corrected to reflect the correct co-payment calculation</w:t>
      </w:r>
    </w:p>
    <w:p w14:paraId="76425EF1" w14:textId="1D6DC4E0" w:rsidR="00016609" w:rsidRPr="00456281" w:rsidRDefault="00016609" w:rsidP="00501A79">
      <w:pPr>
        <w:pStyle w:val="PBACTblFignote"/>
        <w:jc w:val="both"/>
      </w:pPr>
      <w:r w:rsidRPr="00456281">
        <w:t xml:space="preserve">Abbreviations: Gem+NabP, gemcitabine plus nanoparticle </w:t>
      </w:r>
      <w:r w:rsidR="00D83C9B" w:rsidRPr="00456281">
        <w:t>albumin-bound</w:t>
      </w:r>
      <w:r w:rsidRPr="00456281">
        <w:t xml:space="preserve"> paclitaxel; FOLFIRINOX, Fluorouracil, Folinic Acid, Irinotecan, Oxaliplatin; NALIRIFOX, nanoliposomal irinotecan (nal-IRI) in combination with 5-fluorouracil, leucovorin/folinic acid, and oxaliplatin.</w:t>
      </w:r>
    </w:p>
    <w:p w14:paraId="6B414B05" w14:textId="42980BAC" w:rsidR="00016609" w:rsidRPr="00456281" w:rsidRDefault="00016609" w:rsidP="00501A79">
      <w:pPr>
        <w:pStyle w:val="PBACTblFignote"/>
        <w:jc w:val="both"/>
      </w:pPr>
      <w:r w:rsidRPr="00456281">
        <w:rPr>
          <w:vertAlign w:val="superscript"/>
        </w:rPr>
        <w:t xml:space="preserve">a </w:t>
      </w:r>
      <w:r w:rsidRPr="00456281">
        <w:t>Values presented in this table differs from that in the submission because these numbers represent the net impact on the health budget. The submission presented net impact on PBS/RPBS (including co-pay).</w:t>
      </w:r>
      <w:r w:rsidR="00E55662" w:rsidRPr="00456281">
        <w:t xml:space="preserve"> </w:t>
      </w:r>
    </w:p>
    <w:p w14:paraId="3F346D6E" w14:textId="77777777" w:rsidR="00C14E3E" w:rsidRPr="00C14E3E" w:rsidRDefault="00C14E3E" w:rsidP="00501A79">
      <w:pPr>
        <w:pStyle w:val="PBACTblFignote"/>
        <w:widowControl w:val="0"/>
        <w:jc w:val="both"/>
        <w:rPr>
          <w:i/>
          <w:iCs/>
        </w:rPr>
      </w:pPr>
      <w:r w:rsidRPr="00C14E3E">
        <w:rPr>
          <w:i/>
          <w:iCs/>
        </w:rPr>
        <w:t>The redacted values correspond to the following ranges:</w:t>
      </w:r>
    </w:p>
    <w:p w14:paraId="02A95CB2" w14:textId="1E266E19" w:rsidR="00C14E3E" w:rsidRPr="009C3CBE" w:rsidRDefault="00C14E3E" w:rsidP="00501A79">
      <w:pPr>
        <w:pStyle w:val="PBACTblFignote"/>
        <w:widowControl w:val="0"/>
        <w:jc w:val="both"/>
        <w:rPr>
          <w:i/>
          <w:iCs/>
        </w:rPr>
      </w:pPr>
      <w:r w:rsidRPr="009C3CBE">
        <w:rPr>
          <w:i/>
          <w:iCs/>
          <w:vertAlign w:val="superscript"/>
        </w:rPr>
        <w:t>1</w:t>
      </w:r>
      <w:r w:rsidRPr="009C3CBE">
        <w:rPr>
          <w:i/>
          <w:iCs/>
        </w:rPr>
        <w:t xml:space="preserve"> $10 million to &lt; $20 million</w:t>
      </w:r>
    </w:p>
    <w:p w14:paraId="5B6A7911" w14:textId="06BE9349" w:rsidR="00C14E3E" w:rsidRPr="009C3CBE" w:rsidRDefault="00C14E3E" w:rsidP="00501A79">
      <w:pPr>
        <w:pStyle w:val="PBACTblFignote"/>
        <w:widowControl w:val="0"/>
        <w:jc w:val="both"/>
        <w:rPr>
          <w:i/>
          <w:iCs/>
        </w:rPr>
      </w:pPr>
      <w:bookmarkStart w:id="158" w:name="_Hlk113629090"/>
      <w:r w:rsidRPr="009C3CBE">
        <w:rPr>
          <w:i/>
          <w:iCs/>
          <w:vertAlign w:val="superscript"/>
        </w:rPr>
        <w:t>2</w:t>
      </w:r>
      <w:r w:rsidRPr="009C3CBE">
        <w:rPr>
          <w:i/>
          <w:iCs/>
        </w:rPr>
        <w:t xml:space="preserve"> $0 to &lt; $10 million</w:t>
      </w:r>
    </w:p>
    <w:bookmarkEnd w:id="158"/>
    <w:p w14:paraId="7D180E4A" w14:textId="0C70FE02" w:rsidR="00E55662" w:rsidRPr="001C2CAE" w:rsidRDefault="00C14E3E" w:rsidP="00501A79">
      <w:pPr>
        <w:pStyle w:val="PBACTblFignote"/>
        <w:keepNext w:val="0"/>
        <w:keepLines w:val="0"/>
        <w:widowControl w:val="0"/>
        <w:spacing w:after="120"/>
        <w:jc w:val="both"/>
        <w:rPr>
          <w:i/>
          <w:iCs/>
        </w:rPr>
      </w:pPr>
      <w:r w:rsidRPr="009C3CBE">
        <w:rPr>
          <w:i/>
          <w:iCs/>
          <w:vertAlign w:val="superscript"/>
        </w:rPr>
        <w:t xml:space="preserve">3 </w:t>
      </w:r>
      <w:r w:rsidRPr="009C3CBE">
        <w:rPr>
          <w:i/>
          <w:iCs/>
        </w:rPr>
        <w:t>$20 million to &lt; $30 million</w:t>
      </w:r>
    </w:p>
    <w:p w14:paraId="0F6299E9" w14:textId="77777777" w:rsidR="00016609" w:rsidRPr="00456281" w:rsidRDefault="00016609" w:rsidP="00016609">
      <w:pPr>
        <w:pStyle w:val="4-SubsectionHeading"/>
      </w:pPr>
      <w:bookmarkStart w:id="159" w:name="_Toc22897649"/>
      <w:bookmarkStart w:id="160" w:name="_Toc107927635"/>
      <w:bookmarkStart w:id="161" w:name="_Toc157002558"/>
      <w:bookmarkEnd w:id="147"/>
      <w:bookmarkEnd w:id="156"/>
      <w:bookmarkEnd w:id="157"/>
      <w:r w:rsidRPr="00456281">
        <w:t>Financial Management – Risk Sharing Arrangements</w:t>
      </w:r>
      <w:bookmarkEnd w:id="159"/>
      <w:bookmarkEnd w:id="160"/>
      <w:bookmarkEnd w:id="161"/>
    </w:p>
    <w:p w14:paraId="54B74AF2" w14:textId="493FBD1B" w:rsidR="00016609" w:rsidRPr="00456281" w:rsidRDefault="00016609" w:rsidP="00016609">
      <w:pPr>
        <w:pStyle w:val="3-BodyText"/>
      </w:pPr>
      <w:r w:rsidRPr="00456281">
        <w:t xml:space="preserve">No risk sharing arrangement (RSAs) </w:t>
      </w:r>
      <w:r w:rsidR="00C7466B" w:rsidRPr="00456281">
        <w:t xml:space="preserve">was </w:t>
      </w:r>
      <w:r w:rsidRPr="00456281">
        <w:t>proposed in the submission. The submission stated that the estimated extent of use of nal-IRI was expected to be stable and predictable.</w:t>
      </w:r>
    </w:p>
    <w:p w14:paraId="3C2C6DF1" w14:textId="3F967AB1" w:rsidR="00690769" w:rsidRPr="00456281" w:rsidRDefault="00690769" w:rsidP="00690769">
      <w:pPr>
        <w:pStyle w:val="3-BodyText"/>
        <w:numPr>
          <w:ilvl w:val="0"/>
          <w:numId w:val="0"/>
        </w:numPr>
        <w:ind w:left="720"/>
        <w:rPr>
          <w:i/>
          <w:iCs/>
        </w:rPr>
      </w:pPr>
      <w:r w:rsidRPr="00456281">
        <w:rPr>
          <w:i/>
          <w:iCs/>
        </w:rPr>
        <w:t>For more detail on PBAC’s view, see section 7 PBAC outcome.</w:t>
      </w:r>
    </w:p>
    <w:p w14:paraId="19EFD363" w14:textId="77777777" w:rsidR="00DE02D4" w:rsidRPr="00456281" w:rsidRDefault="00DE02D4" w:rsidP="009C3CBE">
      <w:pPr>
        <w:pStyle w:val="2-SectionHeading"/>
      </w:pPr>
      <w:bookmarkStart w:id="162" w:name="_Hlk76381249"/>
      <w:bookmarkStart w:id="163" w:name="_Hlk76377955"/>
      <w:r w:rsidRPr="00456281">
        <w:t>PBAC Outcome</w:t>
      </w:r>
    </w:p>
    <w:p w14:paraId="102E89CE" w14:textId="061C8FCB" w:rsidR="00E24B0C" w:rsidRPr="00456281" w:rsidRDefault="00E24B0C" w:rsidP="00E24B0C">
      <w:pPr>
        <w:widowControl w:val="0"/>
        <w:numPr>
          <w:ilvl w:val="1"/>
          <w:numId w:val="1"/>
        </w:numPr>
        <w:spacing w:after="120"/>
        <w:rPr>
          <w:rFonts w:asciiTheme="minorHAnsi" w:hAnsiTheme="minorHAnsi"/>
          <w:snapToGrid w:val="0"/>
        </w:rPr>
      </w:pPr>
      <w:bookmarkStart w:id="164" w:name="_Ref164153154"/>
      <w:r w:rsidRPr="00456281">
        <w:rPr>
          <w:rFonts w:asciiTheme="minorHAnsi" w:hAnsiTheme="minorHAnsi"/>
          <w:snapToGrid w:val="0"/>
        </w:rPr>
        <w:t xml:space="preserve">The PBAC did not recommend </w:t>
      </w:r>
      <w:r w:rsidRPr="00456281">
        <w:rPr>
          <w:rFonts w:eastAsiaTheme="majorEastAsia"/>
        </w:rPr>
        <w:t xml:space="preserve">nanoliposomal irinotecan (nal-IRI) </w:t>
      </w:r>
      <w:r w:rsidRPr="00456281">
        <w:t>in combination with oxaliplatin, 5</w:t>
      </w:r>
      <w:r w:rsidRPr="00456281">
        <w:noBreakHyphen/>
        <w:t xml:space="preserve">fluorouracil (5-FU) and leucovorin (LV) for use as a four-drug chemotherapy regimen known as NALIRIFOX, for the first-line treatment of metastatic </w:t>
      </w:r>
      <w:r w:rsidRPr="00456281">
        <w:lastRenderedPageBreak/>
        <w:t xml:space="preserve">pancreatic adenocarcinoma (mPAC). </w:t>
      </w:r>
      <w:r w:rsidRPr="00456281">
        <w:rPr>
          <w:rFonts w:asciiTheme="minorHAnsi" w:hAnsiTheme="minorHAnsi"/>
          <w:snapToGrid w:val="0"/>
        </w:rPr>
        <w:t xml:space="preserve">The PBAC considered that the combination regimen known as FOLFIRINOX (containing irinotecan, 5-FU, LV and oxaliplatin) was the relevant main comparator in the proposed population, rather than gemcitabine with nanoparticle albumin-bound paclitaxel (Gem+NabP) as nominated by the submission. The PBAC considered that the submission had not established superiority of NALIRIFOX to FOLFIRINOX. The PBAC considered there is a </w:t>
      </w:r>
      <w:r w:rsidR="00941440">
        <w:rPr>
          <w:rFonts w:asciiTheme="minorHAnsi" w:hAnsiTheme="minorHAnsi"/>
          <w:snapToGrid w:val="0"/>
        </w:rPr>
        <w:t xml:space="preserve">high </w:t>
      </w:r>
      <w:r w:rsidRPr="00456281">
        <w:rPr>
          <w:rFonts w:asciiTheme="minorHAnsi" w:hAnsiTheme="minorHAnsi"/>
          <w:snapToGrid w:val="0"/>
        </w:rPr>
        <w:t>clinical need for new effective treatments for pancreatic cancer, however the submission’s clinical claims were not supported by the clinical evidence.</w:t>
      </w:r>
      <w:bookmarkEnd w:id="164"/>
      <w:r w:rsidRPr="00456281">
        <w:rPr>
          <w:rFonts w:asciiTheme="minorHAnsi" w:hAnsiTheme="minorHAnsi"/>
          <w:snapToGrid w:val="0"/>
        </w:rPr>
        <w:t xml:space="preserve"> </w:t>
      </w:r>
    </w:p>
    <w:p w14:paraId="0C5175C6" w14:textId="659C6D8B" w:rsidR="00D34E46" w:rsidRPr="00456281" w:rsidRDefault="00D34E46" w:rsidP="00D34E46">
      <w:pPr>
        <w:widowControl w:val="0"/>
        <w:numPr>
          <w:ilvl w:val="1"/>
          <w:numId w:val="1"/>
        </w:numPr>
        <w:spacing w:after="120"/>
        <w:rPr>
          <w:rFonts w:asciiTheme="minorHAnsi" w:hAnsiTheme="minorHAnsi"/>
          <w:snapToGrid w:val="0"/>
        </w:rPr>
      </w:pPr>
      <w:r w:rsidRPr="00456281">
        <w:t>The primary reason for this outcome was due to the comparative clinical evidence presented.</w:t>
      </w:r>
      <w:r w:rsidR="00046321" w:rsidRPr="00456281">
        <w:t xml:space="preserve"> </w:t>
      </w:r>
    </w:p>
    <w:p w14:paraId="53AC9512" w14:textId="419361CD" w:rsidR="00CF3FBF" w:rsidRPr="00456281" w:rsidRDefault="00CF3FBF" w:rsidP="000503D3">
      <w:pPr>
        <w:widowControl w:val="0"/>
        <w:numPr>
          <w:ilvl w:val="1"/>
          <w:numId w:val="1"/>
        </w:numPr>
        <w:spacing w:after="120"/>
        <w:rPr>
          <w:rFonts w:asciiTheme="minorHAnsi" w:hAnsiTheme="minorHAnsi"/>
          <w:snapToGrid w:val="0"/>
        </w:rPr>
      </w:pPr>
      <w:r w:rsidRPr="00456281">
        <w:rPr>
          <w:rFonts w:asciiTheme="minorHAnsi" w:hAnsiTheme="minorHAnsi"/>
          <w:bCs/>
          <w:snapToGrid w:val="0"/>
        </w:rPr>
        <w:t xml:space="preserve">The PBAC considered there was a </w:t>
      </w:r>
      <w:r w:rsidR="00074A7B">
        <w:rPr>
          <w:rFonts w:asciiTheme="minorHAnsi" w:hAnsiTheme="minorHAnsi"/>
          <w:bCs/>
          <w:snapToGrid w:val="0"/>
        </w:rPr>
        <w:t xml:space="preserve">high </w:t>
      </w:r>
      <w:r w:rsidRPr="00456281">
        <w:rPr>
          <w:rFonts w:asciiTheme="minorHAnsi" w:hAnsiTheme="minorHAnsi"/>
          <w:bCs/>
          <w:snapToGrid w:val="0"/>
        </w:rPr>
        <w:t xml:space="preserve">clinical need for effective therapies for patients with pancreatic cancer, and noted this was </w:t>
      </w:r>
      <w:r w:rsidR="00A14F33" w:rsidRPr="00456281">
        <w:rPr>
          <w:rFonts w:asciiTheme="minorHAnsi" w:hAnsiTheme="minorHAnsi"/>
          <w:bCs/>
          <w:snapToGrid w:val="0"/>
        </w:rPr>
        <w:t>described</w:t>
      </w:r>
      <w:r w:rsidRPr="00456281">
        <w:rPr>
          <w:rFonts w:asciiTheme="minorHAnsi" w:hAnsiTheme="minorHAnsi"/>
          <w:bCs/>
          <w:snapToGrid w:val="0"/>
        </w:rPr>
        <w:t xml:space="preserve"> in the consumer comments. The PBAC also noted that while the consumer comments expressed a strong desire for new treatment options, there were mixed views regarding the </w:t>
      </w:r>
      <w:r w:rsidR="003B5A36" w:rsidRPr="00456281">
        <w:rPr>
          <w:rFonts w:asciiTheme="minorHAnsi" w:hAnsiTheme="minorHAnsi"/>
          <w:bCs/>
          <w:snapToGrid w:val="0"/>
        </w:rPr>
        <w:t xml:space="preserve">potential </w:t>
      </w:r>
      <w:r w:rsidR="00201E30" w:rsidRPr="00456281">
        <w:rPr>
          <w:rFonts w:asciiTheme="minorHAnsi" w:hAnsiTheme="minorHAnsi"/>
          <w:bCs/>
          <w:snapToGrid w:val="0"/>
        </w:rPr>
        <w:t xml:space="preserve">clinical </w:t>
      </w:r>
      <w:r w:rsidRPr="00456281">
        <w:rPr>
          <w:rFonts w:asciiTheme="minorHAnsi" w:hAnsiTheme="minorHAnsi"/>
          <w:bCs/>
          <w:snapToGrid w:val="0"/>
        </w:rPr>
        <w:t xml:space="preserve">benefits </w:t>
      </w:r>
      <w:r w:rsidR="003B5A36" w:rsidRPr="00456281">
        <w:rPr>
          <w:rFonts w:asciiTheme="minorHAnsi" w:hAnsiTheme="minorHAnsi"/>
          <w:bCs/>
          <w:snapToGrid w:val="0"/>
        </w:rPr>
        <w:t>and</w:t>
      </w:r>
      <w:r w:rsidR="00201E30" w:rsidRPr="00456281">
        <w:rPr>
          <w:rFonts w:asciiTheme="minorHAnsi" w:hAnsiTheme="minorHAnsi"/>
          <w:bCs/>
          <w:snapToGrid w:val="0"/>
        </w:rPr>
        <w:t xml:space="preserve"> risks</w:t>
      </w:r>
      <w:r w:rsidR="003B5A36" w:rsidRPr="00456281">
        <w:rPr>
          <w:rFonts w:asciiTheme="minorHAnsi" w:hAnsiTheme="minorHAnsi"/>
          <w:bCs/>
          <w:snapToGrid w:val="0"/>
        </w:rPr>
        <w:t xml:space="preserve"> </w:t>
      </w:r>
      <w:r w:rsidRPr="00456281">
        <w:rPr>
          <w:rFonts w:asciiTheme="minorHAnsi" w:hAnsiTheme="minorHAnsi"/>
          <w:bCs/>
          <w:snapToGrid w:val="0"/>
        </w:rPr>
        <w:t xml:space="preserve">of the proposed PBS listing </w:t>
      </w:r>
      <w:r w:rsidRPr="00456281">
        <w:t>of nal-IRI as part of the NALIRIFOX regimen,</w:t>
      </w:r>
      <w:r w:rsidRPr="00456281">
        <w:rPr>
          <w:rFonts w:asciiTheme="minorHAnsi" w:hAnsiTheme="minorHAnsi"/>
          <w:bCs/>
          <w:snapToGrid w:val="0"/>
        </w:rPr>
        <w:t xml:space="preserve"> in comparison with treatments that are currently available</w:t>
      </w:r>
      <w:r w:rsidR="00A14F33" w:rsidRPr="00456281">
        <w:rPr>
          <w:rFonts w:asciiTheme="minorHAnsi" w:hAnsiTheme="minorHAnsi"/>
          <w:bCs/>
          <w:snapToGrid w:val="0"/>
        </w:rPr>
        <w:t xml:space="preserve"> (paragraph </w:t>
      </w:r>
      <w:r w:rsidR="00A14F33" w:rsidRPr="00456281">
        <w:rPr>
          <w:rFonts w:asciiTheme="minorHAnsi" w:hAnsiTheme="minorHAnsi"/>
          <w:bCs/>
          <w:snapToGrid w:val="0"/>
        </w:rPr>
        <w:fldChar w:fldCharType="begin"/>
      </w:r>
      <w:r w:rsidR="00A14F33" w:rsidRPr="00456281">
        <w:rPr>
          <w:rFonts w:asciiTheme="minorHAnsi" w:hAnsiTheme="minorHAnsi"/>
          <w:bCs/>
          <w:snapToGrid w:val="0"/>
        </w:rPr>
        <w:instrText xml:space="preserve"> REF _Ref164117792 \r \h </w:instrText>
      </w:r>
      <w:r w:rsidR="00A14F33" w:rsidRPr="00456281">
        <w:rPr>
          <w:rFonts w:asciiTheme="minorHAnsi" w:hAnsiTheme="minorHAnsi"/>
          <w:bCs/>
          <w:snapToGrid w:val="0"/>
        </w:rPr>
      </w:r>
      <w:r w:rsidR="00A14F33" w:rsidRPr="00456281">
        <w:rPr>
          <w:rFonts w:asciiTheme="minorHAnsi" w:hAnsiTheme="minorHAnsi"/>
          <w:bCs/>
          <w:snapToGrid w:val="0"/>
        </w:rPr>
        <w:fldChar w:fldCharType="separate"/>
      </w:r>
      <w:r w:rsidR="00EE5AD4">
        <w:rPr>
          <w:rFonts w:asciiTheme="minorHAnsi" w:hAnsiTheme="minorHAnsi"/>
          <w:bCs/>
          <w:snapToGrid w:val="0"/>
        </w:rPr>
        <w:t>6.2</w:t>
      </w:r>
      <w:r w:rsidR="00A14F33" w:rsidRPr="00456281">
        <w:rPr>
          <w:rFonts w:asciiTheme="minorHAnsi" w:hAnsiTheme="minorHAnsi"/>
          <w:bCs/>
          <w:snapToGrid w:val="0"/>
        </w:rPr>
        <w:fldChar w:fldCharType="end"/>
      </w:r>
      <w:r w:rsidR="00A14F33" w:rsidRPr="00456281">
        <w:rPr>
          <w:rFonts w:asciiTheme="minorHAnsi" w:hAnsiTheme="minorHAnsi"/>
          <w:bCs/>
          <w:snapToGrid w:val="0"/>
        </w:rPr>
        <w:t>)</w:t>
      </w:r>
      <w:r w:rsidRPr="00456281">
        <w:rPr>
          <w:rFonts w:asciiTheme="minorHAnsi" w:hAnsiTheme="minorHAnsi"/>
          <w:bCs/>
          <w:snapToGrid w:val="0"/>
        </w:rPr>
        <w:t>.</w:t>
      </w:r>
    </w:p>
    <w:p w14:paraId="4E39B2B8" w14:textId="1B1B2B2D" w:rsidR="00960AA5" w:rsidRPr="00456281" w:rsidRDefault="002742C0" w:rsidP="005122D2">
      <w:pPr>
        <w:pStyle w:val="ExecSumBodyText"/>
        <w:widowControl w:val="0"/>
        <w:numPr>
          <w:ilvl w:val="1"/>
          <w:numId w:val="1"/>
        </w:numPr>
      </w:pPr>
      <w:bookmarkStart w:id="165" w:name="_Ref164153238"/>
      <w:r w:rsidRPr="00456281">
        <w:rPr>
          <w:rStyle w:val="normaltextrun"/>
        </w:rPr>
        <w:t>In regard to the restriction, t</w:t>
      </w:r>
      <w:r w:rsidR="004026F1" w:rsidRPr="00456281">
        <w:rPr>
          <w:rStyle w:val="normaltextrun"/>
          <w:rFonts w:ascii="Calibri" w:hAnsi="Calibri" w:cs="Calibri"/>
          <w:color w:val="000000" w:themeColor="text1"/>
        </w:rPr>
        <w:t xml:space="preserve">he submission proposed that a patient must have an ECOG </w:t>
      </w:r>
      <w:r w:rsidR="00A14F33" w:rsidRPr="00456281">
        <w:rPr>
          <w:rStyle w:val="normaltextrun"/>
          <w:rFonts w:ascii="Calibri" w:hAnsi="Calibri" w:cs="Calibri"/>
          <w:color w:val="000000" w:themeColor="text1"/>
        </w:rPr>
        <w:t xml:space="preserve">PS </w:t>
      </w:r>
      <w:r w:rsidR="004026F1" w:rsidRPr="00456281">
        <w:rPr>
          <w:rStyle w:val="normaltextrun"/>
          <w:rFonts w:ascii="Calibri" w:hAnsi="Calibri" w:cs="Calibri"/>
          <w:color w:val="000000" w:themeColor="text1"/>
        </w:rPr>
        <w:t>score of ≤2 to be eligible for nal-IRI, which aligned with the PBS restriction for NabP.</w:t>
      </w:r>
      <w:r w:rsidR="00A14F33" w:rsidRPr="00456281">
        <w:rPr>
          <w:rStyle w:val="normaltextrun"/>
          <w:rFonts w:ascii="Calibri" w:hAnsi="Calibri" w:cs="Calibri"/>
          <w:color w:val="000000" w:themeColor="text1"/>
        </w:rPr>
        <w:t xml:space="preserve"> </w:t>
      </w:r>
      <w:r w:rsidR="004026F1" w:rsidRPr="00456281">
        <w:rPr>
          <w:color w:val="000000" w:themeColor="text1"/>
        </w:rPr>
        <w:t xml:space="preserve">However, the PBAC </w:t>
      </w:r>
      <w:r w:rsidR="00A14F33" w:rsidRPr="00456281">
        <w:rPr>
          <w:color w:val="000000" w:themeColor="text1"/>
        </w:rPr>
        <w:t xml:space="preserve">considered </w:t>
      </w:r>
      <w:r w:rsidR="004026F1" w:rsidRPr="00456281">
        <w:rPr>
          <w:color w:val="000000" w:themeColor="text1"/>
        </w:rPr>
        <w:t xml:space="preserve">that </w:t>
      </w:r>
      <w:r w:rsidR="00A14F33" w:rsidRPr="00456281">
        <w:rPr>
          <w:color w:val="000000" w:themeColor="text1"/>
        </w:rPr>
        <w:t>access</w:t>
      </w:r>
      <w:r w:rsidR="004026F1" w:rsidRPr="00456281">
        <w:rPr>
          <w:color w:val="000000" w:themeColor="text1"/>
        </w:rPr>
        <w:t xml:space="preserve"> should be limited to patients with ECOG PS 0</w:t>
      </w:r>
      <w:r w:rsidR="00A14F33" w:rsidRPr="00456281">
        <w:rPr>
          <w:color w:val="000000" w:themeColor="text1"/>
        </w:rPr>
        <w:t xml:space="preserve"> to </w:t>
      </w:r>
      <w:r w:rsidR="004026F1" w:rsidRPr="00456281">
        <w:rPr>
          <w:color w:val="000000" w:themeColor="text1"/>
        </w:rPr>
        <w:t>1</w:t>
      </w:r>
      <w:r w:rsidR="00A14F33" w:rsidRPr="00456281">
        <w:rPr>
          <w:color w:val="000000" w:themeColor="text1"/>
        </w:rPr>
        <w:t xml:space="preserve">, </w:t>
      </w:r>
      <w:r w:rsidR="00A14F33" w:rsidRPr="00456281">
        <w:t>consistent with the clinical evidence supporting its use (the NAPOLI-3 trial), and consistent with clinical practice guidelines such as the NCCN guidelines</w:t>
      </w:r>
      <w:r w:rsidR="008C08CA" w:rsidRPr="00456281">
        <w:t xml:space="preserve"> (paragraph </w:t>
      </w:r>
      <w:r w:rsidR="008C08CA" w:rsidRPr="00456281">
        <w:fldChar w:fldCharType="begin"/>
      </w:r>
      <w:r w:rsidR="008C08CA" w:rsidRPr="00456281">
        <w:instrText xml:space="preserve"> REF _Ref162513796 \r \h </w:instrText>
      </w:r>
      <w:r w:rsidR="008C08CA" w:rsidRPr="00456281">
        <w:fldChar w:fldCharType="separate"/>
      </w:r>
      <w:r w:rsidR="00EE5AD4">
        <w:t>3.3</w:t>
      </w:r>
      <w:r w:rsidR="008C08CA" w:rsidRPr="00456281">
        <w:fldChar w:fldCharType="end"/>
      </w:r>
      <w:r w:rsidR="008C08CA" w:rsidRPr="00456281">
        <w:t>)</w:t>
      </w:r>
      <w:r w:rsidR="00A14F33" w:rsidRPr="00456281">
        <w:t>.</w:t>
      </w:r>
      <w:r w:rsidR="00960AA5" w:rsidRPr="00456281">
        <w:t xml:space="preserve"> The PBAC considered it was unlikely that NALIRIFOX would be offered to ECOG 2 patients as the risk of severe diarrhoea with NALIRIFOX made it a relatively toxic combination compared with Gem+NabP.</w:t>
      </w:r>
      <w:bookmarkEnd w:id="165"/>
    </w:p>
    <w:p w14:paraId="4B82B5E0" w14:textId="73C63F70" w:rsidR="00DF79BF" w:rsidRPr="00456281" w:rsidRDefault="00075B8F" w:rsidP="00DF79BF">
      <w:pPr>
        <w:widowControl w:val="0"/>
        <w:numPr>
          <w:ilvl w:val="1"/>
          <w:numId w:val="1"/>
        </w:numPr>
        <w:spacing w:after="120"/>
        <w:rPr>
          <w:rFonts w:asciiTheme="minorHAnsi" w:hAnsiTheme="minorHAnsi"/>
          <w:snapToGrid w:val="0"/>
        </w:rPr>
      </w:pPr>
      <w:r w:rsidRPr="00456281">
        <w:rPr>
          <w:rFonts w:asciiTheme="minorHAnsi" w:hAnsiTheme="minorHAnsi"/>
          <w:snapToGrid w:val="0"/>
        </w:rPr>
        <w:t xml:space="preserve">The PBAC did not accept the clinical place in therapy proposed by the submission. </w:t>
      </w:r>
      <w:r w:rsidR="00411122" w:rsidRPr="00456281">
        <w:rPr>
          <w:rFonts w:asciiTheme="minorHAnsi" w:hAnsiTheme="minorHAnsi"/>
          <w:snapToGrid w:val="0"/>
        </w:rPr>
        <w:t xml:space="preserve">The submission </w:t>
      </w:r>
      <w:r w:rsidR="00543E8D" w:rsidRPr="00456281">
        <w:rPr>
          <w:rFonts w:asciiTheme="minorHAnsi" w:hAnsiTheme="minorHAnsi"/>
          <w:snapToGrid w:val="0"/>
        </w:rPr>
        <w:t xml:space="preserve">noted that </w:t>
      </w:r>
      <w:r w:rsidR="00543E8D" w:rsidRPr="00456281">
        <w:t>Gem+NabP is the treatment most widely used in the first line setting currently.</w:t>
      </w:r>
      <w:r w:rsidR="009C3CBE">
        <w:t xml:space="preserve"> </w:t>
      </w:r>
      <w:r w:rsidR="00543E8D" w:rsidRPr="00456281">
        <w:t xml:space="preserve">The submission proposed </w:t>
      </w:r>
      <w:r w:rsidR="00411122" w:rsidRPr="00456281">
        <w:rPr>
          <w:rFonts w:asciiTheme="minorHAnsi" w:hAnsiTheme="minorHAnsi"/>
          <w:snapToGrid w:val="0"/>
        </w:rPr>
        <w:t xml:space="preserve">that NALIRIFOX </w:t>
      </w:r>
      <w:r w:rsidR="00543E8D" w:rsidRPr="00456281">
        <w:rPr>
          <w:rFonts w:asciiTheme="minorHAnsi" w:hAnsiTheme="minorHAnsi"/>
          <w:snapToGrid w:val="0"/>
        </w:rPr>
        <w:t>would substitute for</w:t>
      </w:r>
      <w:r w:rsidR="00411122" w:rsidRPr="00456281">
        <w:rPr>
          <w:rFonts w:asciiTheme="minorHAnsi" w:hAnsiTheme="minorHAnsi"/>
          <w:snapToGrid w:val="0"/>
        </w:rPr>
        <w:t xml:space="preserve"> Gem+NabP for the majority of patients currently treated with Gem+NabP</w:t>
      </w:r>
      <w:r w:rsidR="00543E8D" w:rsidRPr="00456281">
        <w:rPr>
          <w:rFonts w:asciiTheme="minorHAnsi" w:hAnsiTheme="minorHAnsi"/>
          <w:snapToGrid w:val="0"/>
        </w:rPr>
        <w:t xml:space="preserve"> in this setting. </w:t>
      </w:r>
      <w:r w:rsidRPr="00456281">
        <w:rPr>
          <w:rFonts w:asciiTheme="minorHAnsi" w:hAnsiTheme="minorHAnsi"/>
          <w:snapToGrid w:val="0"/>
        </w:rPr>
        <w:t>While t</w:t>
      </w:r>
      <w:r w:rsidR="00EB6C86" w:rsidRPr="00456281">
        <w:rPr>
          <w:rFonts w:asciiTheme="minorHAnsi" w:hAnsiTheme="minorHAnsi"/>
          <w:snapToGrid w:val="0"/>
        </w:rPr>
        <w:t xml:space="preserve">he submission proposed that NALIRIFOX would become the preferred first line treatment option for patients </w:t>
      </w:r>
      <w:r w:rsidR="00EB6C86" w:rsidRPr="00456281">
        <w:t>that are currently treated with Gem+NabP</w:t>
      </w:r>
      <w:r w:rsidRPr="00456281">
        <w:t xml:space="preserve"> for mPAC</w:t>
      </w:r>
      <w:r w:rsidR="00DF79BF" w:rsidRPr="00456281">
        <w:t xml:space="preserve"> (with use in up to </w:t>
      </w:r>
      <w:r w:rsidR="00F16C78" w:rsidRPr="00EE5AD4">
        <w:rPr>
          <w:color w:val="000000"/>
          <w:w w:val="15"/>
          <w:shd w:val="solid" w:color="000000" w:fill="000000"/>
          <w:fitText w:val="-20" w:id="-961860339"/>
          <w14:textFill>
            <w14:solidFill>
              <w14:srgbClr w14:val="000000">
                <w14:alpha w14:val="100000"/>
              </w14:srgbClr>
            </w14:solidFill>
          </w14:textFill>
        </w:rPr>
        <w:t xml:space="preserve">|  </w:t>
      </w:r>
      <w:r w:rsidR="00F16C78" w:rsidRPr="00EE5AD4">
        <w:rPr>
          <w:color w:val="000000"/>
          <w:spacing w:val="-69"/>
          <w:w w:val="15"/>
          <w:shd w:val="solid" w:color="000000" w:fill="000000"/>
          <w:fitText w:val="-20" w:id="-961860339"/>
          <w14:textFill>
            <w14:solidFill>
              <w14:srgbClr w14:val="000000">
                <w14:alpha w14:val="100000"/>
              </w14:srgbClr>
            </w14:solidFill>
          </w14:textFill>
        </w:rPr>
        <w:t>|</w:t>
      </w:r>
      <w:r w:rsidR="00DF79BF" w:rsidRPr="006E68FD">
        <w:t>%</w:t>
      </w:r>
      <w:r w:rsidR="00DF79BF" w:rsidRPr="00456281">
        <w:t xml:space="preserve"> of these patients)</w:t>
      </w:r>
      <w:r w:rsidRPr="00456281">
        <w:t xml:space="preserve">, the PBAC considered that many of these patients would not be suitable for treatment with NALIRIFOX, due to its toxicity profile, which is more similar to that of FOLFIRINOX than Gem+NabP. </w:t>
      </w:r>
      <w:r w:rsidR="00DF79BF" w:rsidRPr="00456281">
        <w:rPr>
          <w:rFonts w:asciiTheme="minorHAnsi" w:hAnsiTheme="minorHAnsi"/>
          <w:snapToGrid w:val="0"/>
        </w:rPr>
        <w:t xml:space="preserve">The submission </w:t>
      </w:r>
      <w:r w:rsidR="00DF79BF" w:rsidRPr="00456281">
        <w:t>acknowledged that the PBS listing of NALIRIFOX could substitute for FOLFIRINOX, but considered this would only occur in a minority of patients currently treated with this regimen, and assumed no substitution of FOLFIRINOX in the base case economic evaluation and financial estimates.</w:t>
      </w:r>
    </w:p>
    <w:p w14:paraId="767578F4" w14:textId="44DBE95C" w:rsidR="00732855" w:rsidRPr="00456281" w:rsidRDefault="00732855" w:rsidP="00D25A02">
      <w:pPr>
        <w:pStyle w:val="3-BodyText"/>
        <w:rPr>
          <w:snapToGrid/>
        </w:rPr>
      </w:pPr>
      <w:r w:rsidRPr="00456281">
        <w:rPr>
          <w:snapToGrid/>
        </w:rPr>
        <w:t xml:space="preserve">The PBAC noted that Gem+NabP is currently the most frequently used treatment in the first-line setting, however considered that the submission’s nomination of Gem+NabP as main comparator was inappropriate, because the population in which NALIRIFOX will be used is closer to </w:t>
      </w:r>
      <w:r w:rsidR="00207DC3" w:rsidRPr="00456281">
        <w:rPr>
          <w:snapToGrid/>
        </w:rPr>
        <w:t>the population treated with</w:t>
      </w:r>
      <w:r w:rsidRPr="00456281">
        <w:rPr>
          <w:snapToGrid/>
        </w:rPr>
        <w:t xml:space="preserve"> FOLFIRINOX. The PBAC </w:t>
      </w:r>
      <w:r w:rsidRPr="00456281">
        <w:rPr>
          <w:snapToGrid/>
        </w:rPr>
        <w:lastRenderedPageBreak/>
        <w:t>considered that FOLFIRINOX was the appropriate main comparator for NALIRIFOX for the proposed listing.</w:t>
      </w:r>
      <w:r w:rsidR="009C3CBE">
        <w:rPr>
          <w:snapToGrid/>
        </w:rPr>
        <w:t xml:space="preserve"> </w:t>
      </w:r>
      <w:r w:rsidRPr="00456281">
        <w:rPr>
          <w:snapToGrid/>
        </w:rPr>
        <w:t xml:space="preserve">The PBAC noted that characteristics of this </w:t>
      </w:r>
      <w:r w:rsidR="00F20191" w:rsidRPr="00456281">
        <w:rPr>
          <w:snapToGrid/>
        </w:rPr>
        <w:t xml:space="preserve">population </w:t>
      </w:r>
      <w:r w:rsidRPr="00456281">
        <w:rPr>
          <w:snapToGrid/>
        </w:rPr>
        <w:t>may include younger age</w:t>
      </w:r>
      <w:r w:rsidR="00F20191" w:rsidRPr="00456281">
        <w:rPr>
          <w:snapToGrid/>
        </w:rPr>
        <w:t xml:space="preserve"> and</w:t>
      </w:r>
      <w:r w:rsidRPr="00456281">
        <w:rPr>
          <w:snapToGrid/>
        </w:rPr>
        <w:t xml:space="preserve"> good performance status (ECOG PS 0 to 1), as discussed in paragraph</w:t>
      </w:r>
      <w:r w:rsidR="005A3170" w:rsidRPr="00456281">
        <w:rPr>
          <w:snapToGrid/>
        </w:rPr>
        <w:t xml:space="preserve"> </w:t>
      </w:r>
      <w:r w:rsidR="005A3170" w:rsidRPr="00456281">
        <w:rPr>
          <w:snapToGrid/>
        </w:rPr>
        <w:fldChar w:fldCharType="begin"/>
      </w:r>
      <w:r w:rsidR="005A3170" w:rsidRPr="00456281">
        <w:rPr>
          <w:snapToGrid/>
        </w:rPr>
        <w:instrText xml:space="preserve"> REF _Ref164242484 \r \h </w:instrText>
      </w:r>
      <w:r w:rsidR="005A3170" w:rsidRPr="00456281">
        <w:rPr>
          <w:snapToGrid/>
        </w:rPr>
      </w:r>
      <w:r w:rsidR="005A3170" w:rsidRPr="00456281">
        <w:rPr>
          <w:snapToGrid/>
        </w:rPr>
        <w:fldChar w:fldCharType="separate"/>
      </w:r>
      <w:r w:rsidR="00EE5AD4">
        <w:rPr>
          <w:snapToGrid/>
        </w:rPr>
        <w:t>5.2</w:t>
      </w:r>
      <w:r w:rsidR="005A3170" w:rsidRPr="00456281">
        <w:rPr>
          <w:snapToGrid/>
        </w:rPr>
        <w:fldChar w:fldCharType="end"/>
      </w:r>
      <w:r w:rsidR="006F301F" w:rsidRPr="00456281">
        <w:rPr>
          <w:snapToGrid/>
        </w:rPr>
        <w:t>.</w:t>
      </w:r>
    </w:p>
    <w:p w14:paraId="2DC2A37F" w14:textId="0615619E" w:rsidR="00DE02D4" w:rsidRPr="00456281" w:rsidRDefault="005665DC" w:rsidP="00DE02D4">
      <w:pPr>
        <w:widowControl w:val="0"/>
        <w:numPr>
          <w:ilvl w:val="1"/>
          <w:numId w:val="1"/>
        </w:numPr>
        <w:spacing w:after="120"/>
        <w:rPr>
          <w:rFonts w:asciiTheme="minorHAnsi" w:hAnsiTheme="minorHAnsi"/>
          <w:snapToGrid w:val="0"/>
        </w:rPr>
      </w:pPr>
      <w:r w:rsidRPr="00456281">
        <w:rPr>
          <w:rFonts w:asciiTheme="minorHAnsi" w:hAnsiTheme="minorHAnsi"/>
          <w:snapToGrid w:val="0"/>
        </w:rPr>
        <w:t xml:space="preserve">The PBAC noted that the evidence for the comparison between NALIRIFOX and Gem+NabP was based on a head-to-head, RCT – </w:t>
      </w:r>
      <w:r w:rsidR="00732855" w:rsidRPr="00456281">
        <w:rPr>
          <w:rFonts w:asciiTheme="minorHAnsi" w:hAnsiTheme="minorHAnsi"/>
          <w:snapToGrid w:val="0"/>
        </w:rPr>
        <w:t xml:space="preserve">known as </w:t>
      </w:r>
      <w:r w:rsidRPr="00456281">
        <w:rPr>
          <w:rFonts w:asciiTheme="minorHAnsi" w:hAnsiTheme="minorHAnsi"/>
          <w:snapToGrid w:val="0"/>
        </w:rPr>
        <w:t xml:space="preserve">NAPOLI-3, while the evidence for the comparison between NALIRIFOX and FOLFIRINOX was based on </w:t>
      </w:r>
      <w:r w:rsidR="00063C34" w:rsidRPr="00456281">
        <w:rPr>
          <w:rFonts w:asciiTheme="minorHAnsi" w:hAnsiTheme="minorHAnsi"/>
          <w:snapToGrid w:val="0"/>
        </w:rPr>
        <w:t>an indirect comparison across</w:t>
      </w:r>
      <w:r w:rsidRPr="00456281">
        <w:rPr>
          <w:rFonts w:asciiTheme="minorHAnsi" w:hAnsiTheme="minorHAnsi"/>
          <w:snapToGrid w:val="0"/>
        </w:rPr>
        <w:t xml:space="preserve"> three RCTs – NAPOLI-3, ACCORD11/PRODIGE4 (FOLFIRINOX versus </w:t>
      </w:r>
      <w:r w:rsidR="00093B60" w:rsidRPr="00456281">
        <w:rPr>
          <w:rFonts w:asciiTheme="minorHAnsi" w:hAnsiTheme="minorHAnsi"/>
          <w:snapToGrid w:val="0"/>
        </w:rPr>
        <w:t>g</w:t>
      </w:r>
      <w:r w:rsidRPr="00456281">
        <w:rPr>
          <w:rFonts w:asciiTheme="minorHAnsi" w:hAnsiTheme="minorHAnsi"/>
          <w:snapToGrid w:val="0"/>
        </w:rPr>
        <w:t>em</w:t>
      </w:r>
      <w:r w:rsidR="00093B60" w:rsidRPr="00456281">
        <w:rPr>
          <w:rFonts w:asciiTheme="minorHAnsi" w:hAnsiTheme="minorHAnsi"/>
          <w:snapToGrid w:val="0"/>
        </w:rPr>
        <w:t>citabine</w:t>
      </w:r>
      <w:r w:rsidRPr="00456281">
        <w:rPr>
          <w:rFonts w:asciiTheme="minorHAnsi" w:hAnsiTheme="minorHAnsi"/>
          <w:snapToGrid w:val="0"/>
        </w:rPr>
        <w:t xml:space="preserve">) and MPACT (Gem+NabP versus </w:t>
      </w:r>
      <w:r w:rsidR="00732855" w:rsidRPr="00456281">
        <w:rPr>
          <w:rFonts w:asciiTheme="minorHAnsi" w:hAnsiTheme="minorHAnsi"/>
          <w:snapToGrid w:val="0"/>
        </w:rPr>
        <w:t>g</w:t>
      </w:r>
      <w:r w:rsidRPr="00456281">
        <w:rPr>
          <w:rFonts w:asciiTheme="minorHAnsi" w:hAnsiTheme="minorHAnsi"/>
          <w:snapToGrid w:val="0"/>
        </w:rPr>
        <w:t>em</w:t>
      </w:r>
      <w:r w:rsidR="00732855" w:rsidRPr="00456281">
        <w:rPr>
          <w:rFonts w:asciiTheme="minorHAnsi" w:hAnsiTheme="minorHAnsi"/>
          <w:snapToGrid w:val="0"/>
        </w:rPr>
        <w:t>citabine</w:t>
      </w:r>
      <w:r w:rsidRPr="00456281">
        <w:rPr>
          <w:rFonts w:asciiTheme="minorHAnsi" w:hAnsiTheme="minorHAnsi"/>
          <w:snapToGrid w:val="0"/>
        </w:rPr>
        <w:t xml:space="preserve">). </w:t>
      </w:r>
    </w:p>
    <w:p w14:paraId="111AA904" w14:textId="257AC0C5" w:rsidR="00C73515" w:rsidRPr="00456281" w:rsidRDefault="00336D1C" w:rsidP="00447D83">
      <w:pPr>
        <w:pStyle w:val="3-BodyText"/>
        <w:widowControl w:val="0"/>
        <w:numPr>
          <w:ilvl w:val="1"/>
          <w:numId w:val="1"/>
        </w:numPr>
      </w:pPr>
      <w:r w:rsidRPr="00456281">
        <w:t xml:space="preserve">On the basis of direct evidence presented by the submission, the comparison of NALIRIFOX and Gem+NabP resulted in improvements of approximately 1.9 months in median OS and 1.8 months in median PFS over a median duration of follow-up of </w:t>
      </w:r>
      <w:r w:rsidR="00207DC3" w:rsidRPr="00456281">
        <w:t xml:space="preserve">approximately </w:t>
      </w:r>
      <w:r w:rsidRPr="00456281">
        <w:t xml:space="preserve">16 months. </w:t>
      </w:r>
      <w:r w:rsidR="00E03A0E" w:rsidRPr="00456281">
        <w:t xml:space="preserve">The PBAC noted that the median OS was 11.1 months for NALIRIFOX and 9.2 months for Gem+NabP, resulting in a </w:t>
      </w:r>
      <w:r w:rsidR="0003719B" w:rsidRPr="00456281">
        <w:t xml:space="preserve">statistically significant </w:t>
      </w:r>
      <w:r w:rsidR="00E03A0E" w:rsidRPr="00456281">
        <w:t xml:space="preserve">improvement </w:t>
      </w:r>
      <w:r w:rsidR="0003719B" w:rsidRPr="00456281">
        <w:t xml:space="preserve">in OS </w:t>
      </w:r>
      <w:r w:rsidR="00E03A0E" w:rsidRPr="00456281">
        <w:t xml:space="preserve">for NALIRIFOX (HR 0.83; 95% CI: 0.70, 0.99). </w:t>
      </w:r>
      <w:r w:rsidR="00557823" w:rsidRPr="00456281">
        <w:t xml:space="preserve">The PBAC considered the clinical claim of superior effectiveness of </w:t>
      </w:r>
      <w:r w:rsidR="00456281">
        <w:t>NALIRIFOX</w:t>
      </w:r>
      <w:r w:rsidR="00557823" w:rsidRPr="00456281">
        <w:t xml:space="preserve"> over Gem+NabP </w:t>
      </w:r>
      <w:r w:rsidR="0079730F" w:rsidRPr="00456281">
        <w:t xml:space="preserve">was </w:t>
      </w:r>
      <w:r w:rsidR="00C73515" w:rsidRPr="00456281">
        <w:t>supported by the data</w:t>
      </w:r>
      <w:r w:rsidR="00C73515" w:rsidRPr="00456281">
        <w:rPr>
          <w:szCs w:val="20"/>
        </w:rPr>
        <w:t xml:space="preserve">, although the magnitude was </w:t>
      </w:r>
      <w:r w:rsidR="000E37BC">
        <w:rPr>
          <w:szCs w:val="20"/>
        </w:rPr>
        <w:t>small</w:t>
      </w:r>
      <w:r w:rsidR="00D11315">
        <w:rPr>
          <w:szCs w:val="20"/>
        </w:rPr>
        <w:t xml:space="preserve"> and may not be clinically meaningful</w:t>
      </w:r>
      <w:r w:rsidR="00C73515" w:rsidRPr="00456281">
        <w:rPr>
          <w:szCs w:val="20"/>
        </w:rPr>
        <w:t>.</w:t>
      </w:r>
    </w:p>
    <w:p w14:paraId="26A94C86" w14:textId="1C672851" w:rsidR="00830397" w:rsidRPr="00456281" w:rsidRDefault="00C73515" w:rsidP="00E000B3">
      <w:pPr>
        <w:pStyle w:val="3-BodyText"/>
      </w:pPr>
      <w:bookmarkStart w:id="166" w:name="_Ref164154789"/>
      <w:r w:rsidRPr="00456281">
        <w:t>While overall rates of adverse events were similar across both arms in NAPOLI-3, t</w:t>
      </w:r>
      <w:r w:rsidRPr="00456281">
        <w:rPr>
          <w:szCs w:val="20"/>
        </w:rPr>
        <w:t>he PBAC considered that the claim of non-inferior comparative safety of NALIRIFOX versus Gem+NabP was not adequately supported by the data, due to increased rates of drug</w:t>
      </w:r>
      <w:r w:rsidRPr="00456281">
        <w:rPr>
          <w:szCs w:val="20"/>
        </w:rPr>
        <w:noBreakHyphen/>
        <w:t xml:space="preserve">related serious adverse events, as well as all-cause and drug-related TEAEs leading to interruption of treatment, for NALIRIFOX patients in NAPOLI-3 compared with Gem+NabP. </w:t>
      </w:r>
      <w:r w:rsidR="00830397" w:rsidRPr="00456281">
        <w:t xml:space="preserve">The </w:t>
      </w:r>
      <w:r w:rsidR="001A6868" w:rsidRPr="00456281">
        <w:t xml:space="preserve">PBAC also noted that the </w:t>
      </w:r>
      <w:r w:rsidR="00830397" w:rsidRPr="00456281">
        <w:t xml:space="preserve">safety profiles of NALIRIFOX and Gem+NabP </w:t>
      </w:r>
      <w:r w:rsidR="006417CE" w:rsidRPr="00456281">
        <w:t>were</w:t>
      </w:r>
      <w:r w:rsidR="00830397" w:rsidRPr="00456281">
        <w:t xml:space="preserve"> different</w:t>
      </w:r>
      <w:r w:rsidR="000A0069" w:rsidRPr="00456281">
        <w:t xml:space="preserve"> as shown in </w:t>
      </w:r>
      <w:r w:rsidR="000A0069" w:rsidRPr="00456281">
        <w:fldChar w:fldCharType="begin"/>
      </w:r>
      <w:r w:rsidR="000A0069" w:rsidRPr="00456281">
        <w:instrText xml:space="preserve"> REF _Ref159405819 \h </w:instrText>
      </w:r>
      <w:r w:rsidR="000A0069" w:rsidRPr="00456281">
        <w:fldChar w:fldCharType="separate"/>
      </w:r>
      <w:r w:rsidR="00EE5AD4" w:rsidRPr="00456281">
        <w:t xml:space="preserve">Table </w:t>
      </w:r>
      <w:r w:rsidR="00EE5AD4">
        <w:rPr>
          <w:noProof/>
        </w:rPr>
        <w:t>9</w:t>
      </w:r>
      <w:r w:rsidR="000A0069" w:rsidRPr="00456281">
        <w:fldChar w:fldCharType="end"/>
      </w:r>
      <w:r w:rsidR="00830397" w:rsidRPr="00456281">
        <w:t xml:space="preserve">, </w:t>
      </w:r>
      <w:r w:rsidR="000A0069" w:rsidRPr="00456281">
        <w:t>for example higher rates of</w:t>
      </w:r>
      <w:r w:rsidR="00830397" w:rsidRPr="00456281">
        <w:t xml:space="preserve"> </w:t>
      </w:r>
      <w:r w:rsidR="001A6868" w:rsidRPr="00456281">
        <w:t xml:space="preserve">Grade 3-4 diarrhoea (20.3% versus 4.5%) and nausea (11.9% versus 2.6%) </w:t>
      </w:r>
      <w:r w:rsidR="008C08CA" w:rsidRPr="00456281">
        <w:t xml:space="preserve">occurred </w:t>
      </w:r>
      <w:r w:rsidR="001A6868" w:rsidRPr="00456281">
        <w:t xml:space="preserve">in patients receiving NALIRIFOX, and </w:t>
      </w:r>
      <w:r w:rsidR="000A0069" w:rsidRPr="00456281">
        <w:t>higher rates of</w:t>
      </w:r>
      <w:r w:rsidR="001A6868" w:rsidRPr="00456281">
        <w:t xml:space="preserve"> </w:t>
      </w:r>
      <w:r w:rsidR="008C08CA" w:rsidRPr="00456281">
        <w:t xml:space="preserve">Grade 3-4 </w:t>
      </w:r>
      <w:r w:rsidR="001A6868" w:rsidRPr="00456281">
        <w:t xml:space="preserve">neutropenia (14.1% versus 24.5%) </w:t>
      </w:r>
      <w:r w:rsidR="008C08CA" w:rsidRPr="00456281">
        <w:t xml:space="preserve">occurred </w:t>
      </w:r>
      <w:r w:rsidR="001A6868" w:rsidRPr="00456281">
        <w:t xml:space="preserve">in patients receiving Gem+NabP. </w:t>
      </w:r>
      <w:r w:rsidR="00AA7D1D" w:rsidRPr="00456281">
        <w:t>The PBAC considered that higher rates of gastrointestinal toxicities such as diarrhoea and nausea with NALIRIFOX would be significant for patients</w:t>
      </w:r>
      <w:r w:rsidR="00336D1C" w:rsidRPr="00456281">
        <w:t xml:space="preserve"> and impact quality of life</w:t>
      </w:r>
      <w:r w:rsidR="00AA7D1D" w:rsidRPr="00456281">
        <w:t>.</w:t>
      </w:r>
      <w:bookmarkEnd w:id="166"/>
    </w:p>
    <w:p w14:paraId="28106F02" w14:textId="7142112B" w:rsidR="00830397" w:rsidRPr="00456281" w:rsidRDefault="00545D3D" w:rsidP="00E03A0E">
      <w:pPr>
        <w:pStyle w:val="3-BodyText"/>
      </w:pPr>
      <w:bookmarkStart w:id="167" w:name="_Ref164241674"/>
      <w:r w:rsidRPr="00456281">
        <w:t xml:space="preserve">The PBAC noted that </w:t>
      </w:r>
      <w:r w:rsidR="0079730F" w:rsidRPr="00456281">
        <w:t xml:space="preserve">the submission did not present a formal </w:t>
      </w:r>
      <w:r w:rsidR="00FE3E66" w:rsidRPr="00456281">
        <w:t>statistical</w:t>
      </w:r>
      <w:r w:rsidR="00D92D25" w:rsidRPr="00456281">
        <w:t xml:space="preserve"> </w:t>
      </w:r>
      <w:r w:rsidRPr="00456281">
        <w:t>comparison between NALIRIFOX and FOLFIRINOX</w:t>
      </w:r>
      <w:r w:rsidR="008C08CA" w:rsidRPr="00456281">
        <w:t xml:space="preserve">. </w:t>
      </w:r>
      <w:r w:rsidRPr="00456281">
        <w:t>During the evaluation, a</w:t>
      </w:r>
      <w:r w:rsidR="00FE3E66" w:rsidRPr="00456281">
        <w:t>n unanchored indirect</w:t>
      </w:r>
      <w:r w:rsidR="00D92D25" w:rsidRPr="00456281">
        <w:t xml:space="preserve"> </w:t>
      </w:r>
      <w:r w:rsidRPr="00456281">
        <w:t>comparison of OS based on the NALIRIFOX arm of the NAPOLI-3 trial, and the FOLFIRINOX arm of the ACCORD11/PRODIGE4 trial suggested no difference</w:t>
      </w:r>
      <w:r w:rsidR="000A0069" w:rsidRPr="00456281">
        <w:t xml:space="preserve"> in efficacy</w:t>
      </w:r>
      <w:r w:rsidRPr="00456281">
        <w:t xml:space="preserve"> between the treatments (median OS of 11.1 months for both treatments). The PBAC also noted that a multistep indirect treatment comparison (ITC) (with both </w:t>
      </w:r>
      <w:r w:rsidR="000A0069" w:rsidRPr="00456281">
        <w:t>g</w:t>
      </w:r>
      <w:r w:rsidRPr="00456281">
        <w:t>em</w:t>
      </w:r>
      <w:r w:rsidR="000A0069" w:rsidRPr="00456281">
        <w:t>citabine</w:t>
      </w:r>
      <w:r w:rsidRPr="00456281">
        <w:t xml:space="preserve"> and Gem+NabP as common comparators) suggested no difference between NALIRIFOX and FOLFIRINOX </w:t>
      </w:r>
      <w:r w:rsidR="000A0069" w:rsidRPr="00456281">
        <w:t xml:space="preserve">for OS </w:t>
      </w:r>
      <w:r w:rsidRPr="00456281">
        <w:t xml:space="preserve">(HR 1.05; 95% CI 0.76, 1.46). The PBAC noted a similar result in a recently published meta-analysis </w:t>
      </w:r>
      <w:r w:rsidR="00BA28D2" w:rsidRPr="00456281">
        <w:t xml:space="preserve">by Nichetti et al (2024) </w:t>
      </w:r>
      <w:r w:rsidRPr="00456281">
        <w:t>of 7 phase 3 trials (HR 1.06; 95% CI 0.81, 1.39).</w:t>
      </w:r>
      <w:r w:rsidR="00336D1C" w:rsidRPr="00456281">
        <w:t xml:space="preserve"> </w:t>
      </w:r>
      <w:r w:rsidR="008C08CA" w:rsidRPr="00456281">
        <w:t xml:space="preserve">Based </w:t>
      </w:r>
      <w:r w:rsidR="00336D1C" w:rsidRPr="00456281">
        <w:t>on these analyses, the PBAC considered that the submission’s clinical claim of superior effectiveness of NALIRIFOX over FOLFIRINOX was not supported.</w:t>
      </w:r>
      <w:bookmarkEnd w:id="167"/>
    </w:p>
    <w:p w14:paraId="72C84D91" w14:textId="2C936DC5" w:rsidR="00C862B7" w:rsidRPr="00456281" w:rsidRDefault="00C862B7" w:rsidP="00CA6DF1">
      <w:pPr>
        <w:pStyle w:val="3-BodyText"/>
        <w:widowControl w:val="0"/>
      </w:pPr>
      <w:r w:rsidRPr="00456281">
        <w:lastRenderedPageBreak/>
        <w:t xml:space="preserve">The PBAC noted that the submission did not present conclusive evidence to suggest that NALIRIFOX has improved safety over FOLFIRINOX </w:t>
      </w:r>
      <w:r w:rsidR="00CA6DF1" w:rsidRPr="00456281">
        <w:t xml:space="preserve">as the ‘side by side’ comparison between NALIRIFOX and FOLFIRINOX presented in the submission did not allow for a quantitative comparison (see paragraph </w:t>
      </w:r>
      <w:r w:rsidR="00CA6DF1" w:rsidRPr="00456281">
        <w:fldChar w:fldCharType="begin"/>
      </w:r>
      <w:r w:rsidR="00CA6DF1" w:rsidRPr="00456281">
        <w:instrText xml:space="preserve"> REF _Ref164240331 \r \h </w:instrText>
      </w:r>
      <w:r w:rsidR="00CA6DF1" w:rsidRPr="00456281">
        <w:fldChar w:fldCharType="separate"/>
      </w:r>
      <w:r w:rsidR="00EE5AD4">
        <w:t>6.53</w:t>
      </w:r>
      <w:r w:rsidR="00CA6DF1" w:rsidRPr="00456281">
        <w:fldChar w:fldCharType="end"/>
      </w:r>
      <w:r w:rsidR="00CA6DF1" w:rsidRPr="00456281">
        <w:t xml:space="preserve">). </w:t>
      </w:r>
      <w:r w:rsidRPr="00456281">
        <w:t>T</w:t>
      </w:r>
      <w:r w:rsidRPr="00456281">
        <w:rPr>
          <w:szCs w:val="20"/>
        </w:rPr>
        <w:t xml:space="preserve">he PBAC considered that the claim of superior comparative safety of NALIRIFOX over FOLFIRINOX was not supported by the data. </w:t>
      </w:r>
      <w:r w:rsidRPr="00456281">
        <w:t>It was noted that the published meta-analysis (Nichetti et al</w:t>
      </w:r>
      <w:r w:rsidR="008C08CA" w:rsidRPr="00456281">
        <w:t xml:space="preserve"> 2024</w:t>
      </w:r>
      <w:r w:rsidRPr="00456281">
        <w:t xml:space="preserve">), reported that FOLFIRINOX and NALIRIFOX have similar toxicities. </w:t>
      </w:r>
    </w:p>
    <w:p w14:paraId="4E35BAC7" w14:textId="091BE8A8" w:rsidR="00336D1C" w:rsidRPr="00456281" w:rsidRDefault="00545D3D" w:rsidP="0056284E">
      <w:pPr>
        <w:pStyle w:val="3-BodyText"/>
      </w:pPr>
      <w:bookmarkStart w:id="168" w:name="_Ref164153013"/>
      <w:r w:rsidRPr="00456281">
        <w:t xml:space="preserve">The PBAC noted </w:t>
      </w:r>
      <w:r w:rsidR="00BA28D2" w:rsidRPr="00456281">
        <w:t xml:space="preserve">that both the PSCR and </w:t>
      </w:r>
      <w:r w:rsidRPr="00456281">
        <w:t xml:space="preserve">Pre-PBAC response presented a single-step ITC </w:t>
      </w:r>
      <w:r w:rsidR="00B65A7E" w:rsidRPr="00456281">
        <w:t xml:space="preserve">using data from the </w:t>
      </w:r>
      <w:r w:rsidR="008554A4" w:rsidRPr="00456281">
        <w:t>recently presented</w:t>
      </w:r>
      <w:r w:rsidR="003A708D" w:rsidRPr="00456281">
        <w:t xml:space="preserve"> </w:t>
      </w:r>
      <w:r w:rsidR="00B65A7E" w:rsidRPr="00456281">
        <w:t xml:space="preserve">GENERATE trial, which directly compared FOLFIRINOX with Gem+NabP. </w:t>
      </w:r>
      <w:r w:rsidR="00CA6DF1" w:rsidRPr="00456281">
        <w:t xml:space="preserve">The pre-PBAC response claimed that Gem+NabP </w:t>
      </w:r>
      <w:r w:rsidR="004E2817" w:rsidRPr="00456281">
        <w:t>was</w:t>
      </w:r>
      <w:r w:rsidR="00CA6DF1" w:rsidRPr="00456281">
        <w:t xml:space="preserve"> non-inferior to FOLFIRINOX based on the results from the GENERATE trial, and that </w:t>
      </w:r>
      <w:r w:rsidR="004E2817" w:rsidRPr="00456281">
        <w:t>NALIRIFOX was superior to FOLFIRINOX on the basis of the one-step ITC (</w:t>
      </w:r>
      <w:r w:rsidR="004E2817" w:rsidRPr="00456281">
        <w:fldChar w:fldCharType="begin"/>
      </w:r>
      <w:r w:rsidR="004E2817" w:rsidRPr="00456281">
        <w:instrText xml:space="preserve"> REF _Ref158804187 \h </w:instrText>
      </w:r>
      <w:r w:rsidR="004E2817" w:rsidRPr="00456281">
        <w:fldChar w:fldCharType="separate"/>
      </w:r>
      <w:r w:rsidR="00EE5AD4" w:rsidRPr="00456281">
        <w:t xml:space="preserve">Table </w:t>
      </w:r>
      <w:r w:rsidR="00EE5AD4">
        <w:rPr>
          <w:noProof/>
        </w:rPr>
        <w:t>7</w:t>
      </w:r>
      <w:r w:rsidR="004E2817" w:rsidRPr="00456281">
        <w:fldChar w:fldCharType="end"/>
      </w:r>
      <w:r w:rsidR="004E2817" w:rsidRPr="00456281">
        <w:t xml:space="preserve">). </w:t>
      </w:r>
      <w:r w:rsidR="00336D1C" w:rsidRPr="00456281">
        <w:t>T</w:t>
      </w:r>
      <w:r w:rsidR="00B65A7E" w:rsidRPr="00456281">
        <w:t xml:space="preserve">he PBAC noted the ESC’s concerns around </w:t>
      </w:r>
      <w:r w:rsidR="004E2817" w:rsidRPr="00456281">
        <w:t xml:space="preserve">the GENERATE </w:t>
      </w:r>
      <w:r w:rsidR="00B65A7E" w:rsidRPr="00456281">
        <w:t>trial (</w:t>
      </w:r>
      <w:r w:rsidR="00336D1C" w:rsidRPr="00456281">
        <w:t xml:space="preserve">such as </w:t>
      </w:r>
      <w:r w:rsidR="00BA28D2" w:rsidRPr="00456281">
        <w:t xml:space="preserve">differences </w:t>
      </w:r>
      <w:r w:rsidR="003A708D" w:rsidRPr="00456281">
        <w:t xml:space="preserve">between treatment arms </w:t>
      </w:r>
      <w:r w:rsidR="00BA28D2" w:rsidRPr="00456281">
        <w:t xml:space="preserve">in patient and disease characteristics, the </w:t>
      </w:r>
      <w:r w:rsidR="003A708D" w:rsidRPr="00456281">
        <w:t>use</w:t>
      </w:r>
      <w:r w:rsidR="00BA28D2" w:rsidRPr="00456281">
        <w:t xml:space="preserve"> of a modified </w:t>
      </w:r>
      <w:r w:rsidR="008820EB" w:rsidRPr="00456281">
        <w:t xml:space="preserve">FOLFIRINOX </w:t>
      </w:r>
      <w:r w:rsidR="00BA28D2" w:rsidRPr="00456281">
        <w:t>regimen that may bias against FOLFIRINOX</w:t>
      </w:r>
      <w:r w:rsidR="003A708D" w:rsidRPr="00456281">
        <w:t>,</w:t>
      </w:r>
      <w:r w:rsidR="00BA28D2" w:rsidRPr="00456281">
        <w:t xml:space="preserve"> and </w:t>
      </w:r>
      <w:r w:rsidR="003A708D" w:rsidRPr="00456281">
        <w:t>inadequate reporting of analysis methodology</w:t>
      </w:r>
      <w:r w:rsidR="00B65A7E" w:rsidRPr="00456281">
        <w:t>)</w:t>
      </w:r>
      <w:r w:rsidR="00336D1C" w:rsidRPr="00456281">
        <w:t>.</w:t>
      </w:r>
      <w:r w:rsidR="009C3CBE">
        <w:t xml:space="preserve"> </w:t>
      </w:r>
      <w:r w:rsidR="00336D1C" w:rsidRPr="00456281">
        <w:t xml:space="preserve">The PBAC noted further concerns including </w:t>
      </w:r>
      <w:r w:rsidR="00336D1C" w:rsidRPr="00456281">
        <w:rPr>
          <w:rFonts w:eastAsiaTheme="majorEastAsia"/>
        </w:rPr>
        <w:t>the higher proportion of patients discontinuing due to AEs</w:t>
      </w:r>
      <w:r w:rsidR="001F5C20" w:rsidRPr="00456281">
        <w:rPr>
          <w:rFonts w:eastAsiaTheme="majorEastAsia"/>
        </w:rPr>
        <w:t xml:space="preserve"> with FOLFIRINOX</w:t>
      </w:r>
      <w:r w:rsidR="00336D1C" w:rsidRPr="00456281">
        <w:rPr>
          <w:rFonts w:eastAsiaTheme="majorEastAsia"/>
        </w:rPr>
        <w:t xml:space="preserve"> (34.3% versus 23.9% for Gem+NabP)</w:t>
      </w:r>
      <w:r w:rsidR="004E2817" w:rsidRPr="00456281">
        <w:rPr>
          <w:rFonts w:eastAsiaTheme="majorEastAsia"/>
        </w:rPr>
        <w:t xml:space="preserve">. The PBAC noted </w:t>
      </w:r>
      <w:r w:rsidR="00336D1C" w:rsidRPr="00456281">
        <w:rPr>
          <w:rFonts w:eastAsiaTheme="majorEastAsia"/>
        </w:rPr>
        <w:t>the substantially longer median OS</w:t>
      </w:r>
      <w:r w:rsidR="004E2817" w:rsidRPr="00456281">
        <w:rPr>
          <w:rFonts w:eastAsiaTheme="majorEastAsia"/>
        </w:rPr>
        <w:t xml:space="preserve"> for Gem+NabP</w:t>
      </w:r>
      <w:r w:rsidR="00336D1C" w:rsidRPr="00456281">
        <w:rPr>
          <w:rFonts w:eastAsiaTheme="majorEastAsia"/>
        </w:rPr>
        <w:t xml:space="preserve"> in the GENERATE trial versus the NAPOLI-3 trial (17.0 versus 9.2 months), raising concerns as to whether the assumption of transitivity was met</w:t>
      </w:r>
      <w:r w:rsidR="004E2817" w:rsidRPr="00456281">
        <w:rPr>
          <w:rFonts w:eastAsiaTheme="majorEastAsia"/>
        </w:rPr>
        <w:t xml:space="preserve"> in the one-step ITC</w:t>
      </w:r>
      <w:r w:rsidR="00336D1C" w:rsidRPr="00456281">
        <w:rPr>
          <w:rFonts w:eastAsiaTheme="majorEastAsia"/>
        </w:rPr>
        <w:t xml:space="preserve">. </w:t>
      </w:r>
      <w:r w:rsidR="00D06588" w:rsidRPr="00456281">
        <w:rPr>
          <w:rFonts w:eastAsiaTheme="majorEastAsia"/>
        </w:rPr>
        <w:t xml:space="preserve">The PBAC also </w:t>
      </w:r>
      <w:r w:rsidR="00223544" w:rsidRPr="00456281">
        <w:rPr>
          <w:rFonts w:eastAsiaTheme="majorEastAsia"/>
        </w:rPr>
        <w:t xml:space="preserve">noted </w:t>
      </w:r>
      <w:r w:rsidR="00D06588" w:rsidRPr="00456281">
        <w:rPr>
          <w:rFonts w:eastAsiaTheme="majorEastAsia"/>
        </w:rPr>
        <w:t xml:space="preserve">that the reported median </w:t>
      </w:r>
      <w:r w:rsidR="00D06588" w:rsidRPr="00456281">
        <w:t>OS achieved with Gem+NabP</w:t>
      </w:r>
      <w:r w:rsidR="00D06588" w:rsidRPr="00456281">
        <w:rPr>
          <w:rFonts w:eastAsiaTheme="majorEastAsia"/>
        </w:rPr>
        <w:t xml:space="preserve"> </w:t>
      </w:r>
      <w:r w:rsidR="002C7FB2" w:rsidRPr="00456281">
        <w:rPr>
          <w:rFonts w:eastAsiaTheme="majorEastAsia"/>
        </w:rPr>
        <w:t xml:space="preserve">in the GENERATE trial </w:t>
      </w:r>
      <w:r w:rsidR="00D06588" w:rsidRPr="00456281">
        <w:rPr>
          <w:rFonts w:eastAsiaTheme="majorEastAsia"/>
        </w:rPr>
        <w:t xml:space="preserve">of 17 months was </w:t>
      </w:r>
      <w:r w:rsidR="00D06588" w:rsidRPr="00456281">
        <w:t>long</w:t>
      </w:r>
      <w:r w:rsidR="00223544" w:rsidRPr="00456281">
        <w:t>er than has been reported in other trials</w:t>
      </w:r>
      <w:r w:rsidR="00D06588" w:rsidRPr="00456281">
        <w:t xml:space="preserve">. </w:t>
      </w:r>
      <w:r w:rsidR="004E2817" w:rsidRPr="00456281">
        <w:t xml:space="preserve">The PBAC further noted that the improvement in median OS of approximately 3 months for Gem+NabP compared with FOLFIRINOX that was reported for the GENERATE trial, was longer than the improvement in median PFS of approximately one month, and that this may reflect the OS results being impacted by subsequent treatments </w:t>
      </w:r>
      <w:r w:rsidR="004E2817" w:rsidRPr="00456281">
        <w:rPr>
          <w:rFonts w:eastAsiaTheme="majorEastAsia"/>
        </w:rPr>
        <w:t xml:space="preserve">(paragraph </w:t>
      </w:r>
      <w:r w:rsidR="004E2817" w:rsidRPr="00456281">
        <w:fldChar w:fldCharType="begin"/>
      </w:r>
      <w:r w:rsidR="004E2817" w:rsidRPr="00456281">
        <w:instrText xml:space="preserve"> REF _Ref164148625 \r \h </w:instrText>
      </w:r>
      <w:r w:rsidR="004E2817" w:rsidRPr="00456281">
        <w:fldChar w:fldCharType="separate"/>
      </w:r>
      <w:r w:rsidR="00EE5AD4">
        <w:t>6.6</w:t>
      </w:r>
      <w:r w:rsidR="004E2817" w:rsidRPr="00456281">
        <w:fldChar w:fldCharType="end"/>
      </w:r>
      <w:r w:rsidR="004E2817" w:rsidRPr="00456281">
        <w:t>).</w:t>
      </w:r>
      <w:r w:rsidR="007854B3" w:rsidRPr="00456281">
        <w:t>The PBAC noted the ITC based on the GENERATE trial had not been evaluated, however d</w:t>
      </w:r>
      <w:r w:rsidR="00336D1C" w:rsidRPr="00456281">
        <w:t xml:space="preserve">ue to multiple concerns, considered that </w:t>
      </w:r>
      <w:r w:rsidR="007854B3" w:rsidRPr="00456281">
        <w:rPr>
          <w:rFonts w:eastAsiaTheme="majorEastAsia"/>
        </w:rPr>
        <w:t>it</w:t>
      </w:r>
      <w:r w:rsidR="002C7FB2" w:rsidRPr="00456281">
        <w:rPr>
          <w:rFonts w:eastAsiaTheme="majorEastAsia"/>
        </w:rPr>
        <w:t xml:space="preserve"> was unreliable</w:t>
      </w:r>
      <w:r w:rsidR="00336D1C" w:rsidRPr="00456281">
        <w:rPr>
          <w:rFonts w:eastAsiaTheme="majorEastAsia"/>
        </w:rPr>
        <w:t>.</w:t>
      </w:r>
      <w:bookmarkEnd w:id="168"/>
      <w:r w:rsidR="00336D1C" w:rsidRPr="00456281">
        <w:rPr>
          <w:rFonts w:eastAsiaTheme="majorEastAsia"/>
        </w:rPr>
        <w:t xml:space="preserve"> </w:t>
      </w:r>
    </w:p>
    <w:p w14:paraId="313F7A34" w14:textId="17F30304" w:rsidR="00001707" w:rsidRPr="00456281" w:rsidRDefault="00E93A54" w:rsidP="00664DAB">
      <w:pPr>
        <w:pStyle w:val="3-BodyText"/>
      </w:pPr>
      <w:r w:rsidRPr="00456281">
        <w:rPr>
          <w:rFonts w:eastAsiaTheme="majorEastAsia"/>
        </w:rPr>
        <w:t>The PBAC noted that the submission presented a cost-utility analys</w:t>
      </w:r>
      <w:r w:rsidR="00C862B7" w:rsidRPr="00456281">
        <w:rPr>
          <w:rFonts w:eastAsiaTheme="majorEastAsia"/>
        </w:rPr>
        <w:t>i</w:t>
      </w:r>
      <w:r w:rsidRPr="00456281">
        <w:rPr>
          <w:rFonts w:eastAsiaTheme="majorEastAsia"/>
        </w:rPr>
        <w:t>s</w:t>
      </w:r>
      <w:r w:rsidR="001F7DC3" w:rsidRPr="00456281">
        <w:rPr>
          <w:rFonts w:eastAsiaTheme="majorEastAsia"/>
        </w:rPr>
        <w:t>,</w:t>
      </w:r>
      <w:r w:rsidRPr="00456281">
        <w:rPr>
          <w:rFonts w:eastAsiaTheme="majorEastAsia"/>
        </w:rPr>
        <w:t xml:space="preserve"> comparing NALIRIFOX with Gem+NabP. </w:t>
      </w:r>
      <w:r w:rsidR="005D2E71" w:rsidRPr="00456281">
        <w:rPr>
          <w:rFonts w:eastAsiaTheme="majorEastAsia"/>
        </w:rPr>
        <w:t>The PBAC did not consider</w:t>
      </w:r>
      <w:r w:rsidR="001F5C20" w:rsidRPr="00456281">
        <w:rPr>
          <w:rFonts w:eastAsiaTheme="majorEastAsia"/>
        </w:rPr>
        <w:t xml:space="preserve"> this analysis using Gem+NabP as the comparator to be informative</w:t>
      </w:r>
      <w:r w:rsidR="00F13E4C" w:rsidRPr="00456281">
        <w:rPr>
          <w:rFonts w:eastAsiaTheme="majorEastAsia"/>
        </w:rPr>
        <w:t xml:space="preserve"> because it </w:t>
      </w:r>
      <w:r w:rsidR="00F13E4C" w:rsidRPr="00456281">
        <w:rPr>
          <w:snapToGrid/>
        </w:rPr>
        <w:t xml:space="preserve">considered that FOLFIRINOX was the appropriate main comparator (paragraph </w:t>
      </w:r>
      <w:r w:rsidR="00F13E4C" w:rsidRPr="00456281">
        <w:rPr>
          <w:snapToGrid/>
        </w:rPr>
        <w:fldChar w:fldCharType="begin"/>
      </w:r>
      <w:r w:rsidR="00F13E4C" w:rsidRPr="00456281">
        <w:rPr>
          <w:snapToGrid/>
        </w:rPr>
        <w:instrText xml:space="preserve"> REF _Ref164153154 \r \h </w:instrText>
      </w:r>
      <w:r w:rsidR="00F13E4C" w:rsidRPr="00456281">
        <w:rPr>
          <w:snapToGrid/>
        </w:rPr>
      </w:r>
      <w:r w:rsidR="00F13E4C" w:rsidRPr="00456281">
        <w:rPr>
          <w:snapToGrid/>
        </w:rPr>
        <w:fldChar w:fldCharType="separate"/>
      </w:r>
      <w:r w:rsidR="00EE5AD4">
        <w:rPr>
          <w:snapToGrid/>
        </w:rPr>
        <w:t>7.1</w:t>
      </w:r>
      <w:r w:rsidR="00F13E4C" w:rsidRPr="00456281">
        <w:rPr>
          <w:snapToGrid/>
        </w:rPr>
        <w:fldChar w:fldCharType="end"/>
      </w:r>
      <w:r w:rsidR="00F13E4C" w:rsidRPr="00456281">
        <w:rPr>
          <w:snapToGrid/>
        </w:rPr>
        <w:t xml:space="preserve">). </w:t>
      </w:r>
      <w:r w:rsidRPr="00456281">
        <w:rPr>
          <w:rFonts w:eastAsiaTheme="majorEastAsia"/>
        </w:rPr>
        <w:t xml:space="preserve">The PBAC noted the submission also </w:t>
      </w:r>
      <w:r w:rsidR="0026255A" w:rsidRPr="00456281">
        <w:rPr>
          <w:rFonts w:eastAsiaTheme="majorEastAsia"/>
        </w:rPr>
        <w:t xml:space="preserve">presented alternative </w:t>
      </w:r>
      <w:r w:rsidR="007459D2" w:rsidRPr="00456281">
        <w:rPr>
          <w:rFonts w:eastAsiaTheme="majorEastAsia"/>
        </w:rPr>
        <w:t xml:space="preserve">modelled </w:t>
      </w:r>
      <w:r w:rsidR="0026255A" w:rsidRPr="00456281">
        <w:rPr>
          <w:rFonts w:eastAsiaTheme="majorEastAsia"/>
        </w:rPr>
        <w:t>scenarios to incorporate FOLFIRINOX</w:t>
      </w:r>
      <w:r w:rsidR="001F7DC3" w:rsidRPr="00456281">
        <w:rPr>
          <w:rFonts w:eastAsiaTheme="majorEastAsia"/>
        </w:rPr>
        <w:t xml:space="preserve"> as a comparator</w:t>
      </w:r>
      <w:r w:rsidR="00F13E4C" w:rsidRPr="00456281">
        <w:rPr>
          <w:rFonts w:eastAsiaTheme="majorEastAsia"/>
        </w:rPr>
        <w:t xml:space="preserve"> in a proportion of patients, which assumed that NALIRIFOX was superior to FOLFIRINOX</w:t>
      </w:r>
      <w:r w:rsidR="007459D2" w:rsidRPr="00456281">
        <w:rPr>
          <w:rFonts w:eastAsiaTheme="majorEastAsia"/>
        </w:rPr>
        <w:t>. The PBAC</w:t>
      </w:r>
      <w:r w:rsidR="007854B3" w:rsidRPr="00456281">
        <w:rPr>
          <w:rFonts w:eastAsiaTheme="majorEastAsia"/>
        </w:rPr>
        <w:t xml:space="preserve"> considered these scenarios </w:t>
      </w:r>
      <w:r w:rsidR="00F13E4C" w:rsidRPr="00456281">
        <w:rPr>
          <w:rFonts w:eastAsiaTheme="majorEastAsia"/>
        </w:rPr>
        <w:t>were not</w:t>
      </w:r>
      <w:r w:rsidR="007854B3" w:rsidRPr="00456281">
        <w:rPr>
          <w:rFonts w:eastAsiaTheme="majorEastAsia"/>
        </w:rPr>
        <w:t xml:space="preserve"> informative as they </w:t>
      </w:r>
      <w:r w:rsidR="001F5C20" w:rsidRPr="00456281">
        <w:rPr>
          <w:rFonts w:eastAsiaTheme="majorEastAsia"/>
        </w:rPr>
        <w:t>relied on</w:t>
      </w:r>
      <w:r w:rsidR="007854B3" w:rsidRPr="00456281">
        <w:rPr>
          <w:rFonts w:eastAsiaTheme="majorEastAsia"/>
        </w:rPr>
        <w:t xml:space="preserve"> </w:t>
      </w:r>
      <w:r w:rsidR="004B4F54" w:rsidRPr="00456281">
        <w:rPr>
          <w:rFonts w:eastAsiaTheme="majorEastAsia"/>
        </w:rPr>
        <w:t>the clinical claim</w:t>
      </w:r>
      <w:r w:rsidR="00323B09" w:rsidRPr="00456281">
        <w:rPr>
          <w:rFonts w:eastAsiaTheme="majorEastAsia"/>
        </w:rPr>
        <w:t xml:space="preserve"> of </w:t>
      </w:r>
      <w:r w:rsidR="00323B09" w:rsidRPr="00456281">
        <w:t xml:space="preserve">superior efficacy of NALIRIFOX </w:t>
      </w:r>
      <w:r w:rsidR="004B4F54" w:rsidRPr="00456281">
        <w:t>over</w:t>
      </w:r>
      <w:r w:rsidR="00323B09" w:rsidRPr="00456281">
        <w:t xml:space="preserve"> FOLFIRINOX</w:t>
      </w:r>
      <w:r w:rsidR="004B4F54" w:rsidRPr="00456281">
        <w:t xml:space="preserve">, a claim which it considered was </w:t>
      </w:r>
      <w:r w:rsidR="00F13E4C" w:rsidRPr="00456281">
        <w:t xml:space="preserve">not </w:t>
      </w:r>
      <w:r w:rsidR="004B4F54" w:rsidRPr="00456281">
        <w:t>supported (paragraph</w:t>
      </w:r>
      <w:r w:rsidR="00F13E4C" w:rsidRPr="00456281">
        <w:t xml:space="preserve"> </w:t>
      </w:r>
      <w:r w:rsidR="00F13E4C" w:rsidRPr="00456281">
        <w:fldChar w:fldCharType="begin"/>
      </w:r>
      <w:r w:rsidR="00F13E4C" w:rsidRPr="00456281">
        <w:instrText xml:space="preserve"> REF _Ref164241674 \r \h </w:instrText>
      </w:r>
      <w:r w:rsidR="00F13E4C" w:rsidRPr="00456281">
        <w:fldChar w:fldCharType="separate"/>
      </w:r>
      <w:r w:rsidR="00EE5AD4">
        <w:t>7.10</w:t>
      </w:r>
      <w:r w:rsidR="00F13E4C" w:rsidRPr="00456281">
        <w:fldChar w:fldCharType="end"/>
      </w:r>
      <w:r w:rsidR="004B4F54" w:rsidRPr="00456281">
        <w:t>)</w:t>
      </w:r>
      <w:r w:rsidR="00C862B7" w:rsidRPr="00456281">
        <w:rPr>
          <w:rFonts w:eastAsiaTheme="majorEastAsia"/>
        </w:rPr>
        <w:t>.</w:t>
      </w:r>
      <w:r w:rsidR="00001707" w:rsidRPr="00456281">
        <w:rPr>
          <w:rFonts w:eastAsiaTheme="majorEastAsia"/>
        </w:rPr>
        <w:t xml:space="preserve"> </w:t>
      </w:r>
    </w:p>
    <w:p w14:paraId="64888E8A" w14:textId="514A70C2" w:rsidR="00B54B8E" w:rsidRPr="00456281" w:rsidRDefault="00B54B8E" w:rsidP="00B54B8E">
      <w:pPr>
        <w:pStyle w:val="3-BodyText"/>
        <w:widowControl w:val="0"/>
      </w:pPr>
      <w:r w:rsidRPr="00456281">
        <w:t>The PBAC noted the estimated use and financial implications presented by the submission (</w:t>
      </w:r>
      <w:r w:rsidRPr="00456281">
        <w:fldChar w:fldCharType="begin"/>
      </w:r>
      <w:r w:rsidRPr="00456281">
        <w:instrText xml:space="preserve"> REF _Ref104805295 \h </w:instrText>
      </w:r>
      <w:r w:rsidRPr="00456281">
        <w:fldChar w:fldCharType="separate"/>
      </w:r>
      <w:r w:rsidR="00EE5AD4" w:rsidRPr="00456281">
        <w:t xml:space="preserve">Table </w:t>
      </w:r>
      <w:r w:rsidR="00EE5AD4">
        <w:rPr>
          <w:noProof/>
        </w:rPr>
        <w:t>20</w:t>
      </w:r>
      <w:r w:rsidRPr="00456281">
        <w:fldChar w:fldCharType="end"/>
      </w:r>
      <w:r w:rsidRPr="00456281">
        <w:t>).</w:t>
      </w:r>
      <w:r w:rsidR="009C3CBE">
        <w:t xml:space="preserve"> </w:t>
      </w:r>
      <w:r w:rsidRPr="00456281">
        <w:t xml:space="preserve">The PBAC considered that the submission’s assumption that NALIRIFOX would replace Gem+NabP in up to </w:t>
      </w:r>
      <w:r w:rsidR="00F16C78" w:rsidRPr="00EE5AD4">
        <w:rPr>
          <w:color w:val="000000"/>
          <w:w w:val="15"/>
          <w:shd w:val="solid" w:color="000000" w:fill="000000"/>
          <w:fitText w:val="-20" w:id="-961860338"/>
          <w14:textFill>
            <w14:solidFill>
              <w14:srgbClr w14:val="000000">
                <w14:alpha w14:val="100000"/>
              </w14:srgbClr>
            </w14:solidFill>
          </w14:textFill>
        </w:rPr>
        <w:t xml:space="preserve">|  </w:t>
      </w:r>
      <w:r w:rsidR="00F16C78" w:rsidRPr="00EE5AD4">
        <w:rPr>
          <w:color w:val="000000"/>
          <w:spacing w:val="-69"/>
          <w:w w:val="15"/>
          <w:shd w:val="solid" w:color="000000" w:fill="000000"/>
          <w:fitText w:val="-20" w:id="-961860338"/>
          <w14:textFill>
            <w14:solidFill>
              <w14:srgbClr w14:val="000000">
                <w14:alpha w14:val="100000"/>
              </w14:srgbClr>
            </w14:solidFill>
          </w14:textFill>
        </w:rPr>
        <w:t>|</w:t>
      </w:r>
      <w:r w:rsidRPr="00923674">
        <w:t>%</w:t>
      </w:r>
      <w:r w:rsidRPr="00456281">
        <w:t xml:space="preserve"> of patients was not reasonable, and that replacement of FOLFIRINOX should have been modelled. The PBAC noted that the estimates were highly sensitive to the medicines replaced, and the additional cost </w:t>
      </w:r>
      <w:r w:rsidRPr="00456281">
        <w:lastRenderedPageBreak/>
        <w:t>was not justified as the submission had not demonstrated clinical superiority over the most relevant comparator, which was FOLFIRINOX.</w:t>
      </w:r>
    </w:p>
    <w:p w14:paraId="1AA99446" w14:textId="177C97F6" w:rsidR="00DE019C" w:rsidRPr="00456281" w:rsidRDefault="00DE019C" w:rsidP="00B3484B">
      <w:pPr>
        <w:widowControl w:val="0"/>
        <w:numPr>
          <w:ilvl w:val="1"/>
          <w:numId w:val="1"/>
        </w:numPr>
        <w:spacing w:after="120"/>
        <w:rPr>
          <w:rFonts w:asciiTheme="minorHAnsi" w:hAnsiTheme="minorHAnsi"/>
          <w:snapToGrid w:val="0"/>
        </w:rPr>
      </w:pPr>
      <w:r w:rsidRPr="00456281">
        <w:rPr>
          <w:rFonts w:asciiTheme="minorHAnsi" w:hAnsiTheme="minorHAnsi"/>
          <w:bCs/>
          <w:snapToGrid w:val="0"/>
        </w:rPr>
        <w:t>The PBAC considered that a resubmission would need to</w:t>
      </w:r>
      <w:r w:rsidR="00B3484B" w:rsidRPr="00456281">
        <w:rPr>
          <w:rFonts w:asciiTheme="minorHAnsi" w:hAnsiTheme="minorHAnsi"/>
          <w:bCs/>
          <w:snapToGrid w:val="0"/>
        </w:rPr>
        <w:t xml:space="preserve"> nominate FOLFIRINOX as the main comparator, and </w:t>
      </w:r>
      <w:r w:rsidR="008C08CA" w:rsidRPr="00456281">
        <w:rPr>
          <w:rFonts w:asciiTheme="minorHAnsi" w:hAnsiTheme="minorHAnsi"/>
          <w:bCs/>
          <w:snapToGrid w:val="0"/>
        </w:rPr>
        <w:t xml:space="preserve">if </w:t>
      </w:r>
      <w:r w:rsidR="00B3484B" w:rsidRPr="00456281">
        <w:rPr>
          <w:rFonts w:asciiTheme="minorHAnsi" w:hAnsiTheme="minorHAnsi"/>
          <w:bCs/>
          <w:snapToGrid w:val="0"/>
        </w:rPr>
        <w:t xml:space="preserve">there </w:t>
      </w:r>
      <w:r w:rsidR="00F13E4C" w:rsidRPr="00456281">
        <w:rPr>
          <w:rFonts w:asciiTheme="minorHAnsi" w:hAnsiTheme="minorHAnsi"/>
          <w:bCs/>
          <w:snapToGrid w:val="0"/>
        </w:rPr>
        <w:t>was</w:t>
      </w:r>
      <w:r w:rsidR="00B3484B" w:rsidRPr="00456281">
        <w:rPr>
          <w:rFonts w:asciiTheme="minorHAnsi" w:hAnsiTheme="minorHAnsi"/>
          <w:bCs/>
          <w:snapToGrid w:val="0"/>
        </w:rPr>
        <w:t xml:space="preserve"> insufficient </w:t>
      </w:r>
      <w:r w:rsidR="008C08CA" w:rsidRPr="00456281">
        <w:rPr>
          <w:rFonts w:asciiTheme="minorHAnsi" w:hAnsiTheme="minorHAnsi"/>
          <w:bCs/>
          <w:snapToGrid w:val="0"/>
        </w:rPr>
        <w:t xml:space="preserve">evidence to support a claim of superiority of NALIRIFOX over FOLFIRINOX in terms of efficacy or safety, the </w:t>
      </w:r>
      <w:r w:rsidR="008C08CA" w:rsidRPr="00456281">
        <w:t xml:space="preserve">appropriate form of economic evaluation would be a cost-minimisation approach. </w:t>
      </w:r>
    </w:p>
    <w:p w14:paraId="5C315A82" w14:textId="3AA0F6DA" w:rsidR="00EE1CC2" w:rsidRPr="00456281" w:rsidRDefault="00DE02D4" w:rsidP="000C4B36">
      <w:pPr>
        <w:widowControl w:val="0"/>
        <w:numPr>
          <w:ilvl w:val="1"/>
          <w:numId w:val="1"/>
        </w:numPr>
        <w:spacing w:after="120"/>
        <w:rPr>
          <w:rFonts w:asciiTheme="minorHAnsi" w:hAnsiTheme="minorHAnsi"/>
          <w:snapToGrid w:val="0"/>
        </w:rPr>
      </w:pPr>
      <w:r w:rsidRPr="00456281">
        <w:rPr>
          <w:rFonts w:asciiTheme="minorHAnsi" w:hAnsiTheme="minorHAnsi"/>
          <w:snapToGrid w:val="0"/>
        </w:rPr>
        <w:t xml:space="preserve">The PBAC noted that this submission is eligible for an Independent </w:t>
      </w:r>
      <w:r w:rsidR="002209FC" w:rsidRPr="00456281">
        <w:rPr>
          <w:rFonts w:asciiTheme="minorHAnsi" w:hAnsiTheme="minorHAnsi"/>
          <w:snapToGrid w:val="0"/>
        </w:rPr>
        <w:t xml:space="preserve">Review. </w:t>
      </w:r>
    </w:p>
    <w:p w14:paraId="7C343439" w14:textId="77777777" w:rsidR="00DE02D4" w:rsidRPr="00456281" w:rsidRDefault="00DE02D4" w:rsidP="00853A7A">
      <w:pPr>
        <w:keepNext/>
        <w:spacing w:before="240"/>
        <w:rPr>
          <w:rFonts w:asciiTheme="minorHAnsi" w:hAnsiTheme="minorHAnsi"/>
          <w:b/>
          <w:bCs/>
          <w:snapToGrid w:val="0"/>
        </w:rPr>
      </w:pPr>
      <w:r w:rsidRPr="00456281">
        <w:rPr>
          <w:rFonts w:asciiTheme="minorHAnsi" w:hAnsiTheme="minorHAnsi"/>
          <w:b/>
          <w:bCs/>
          <w:snapToGrid w:val="0"/>
        </w:rPr>
        <w:t>Outcome:</w:t>
      </w:r>
    </w:p>
    <w:p w14:paraId="0B8C300B" w14:textId="7CDFBDC9" w:rsidR="00C14E3E" w:rsidRPr="00501A79" w:rsidRDefault="00DE02D4" w:rsidP="00501A79">
      <w:pPr>
        <w:rPr>
          <w:rFonts w:asciiTheme="minorHAnsi" w:hAnsiTheme="minorHAnsi"/>
          <w:bCs/>
          <w:snapToGrid w:val="0"/>
        </w:rPr>
      </w:pPr>
      <w:r w:rsidRPr="00456281">
        <w:rPr>
          <w:rFonts w:asciiTheme="minorHAnsi" w:hAnsiTheme="minorHAnsi"/>
          <w:bCs/>
          <w:snapToGrid w:val="0"/>
        </w:rPr>
        <w:t>Not recommended</w:t>
      </w:r>
    </w:p>
    <w:p w14:paraId="1C1BD89C" w14:textId="77777777" w:rsidR="00C14E3E" w:rsidRPr="00C14E3E" w:rsidRDefault="00C14E3E" w:rsidP="00C14E3E">
      <w:pPr>
        <w:keepNext/>
        <w:keepLines/>
        <w:numPr>
          <w:ilvl w:val="0"/>
          <w:numId w:val="1"/>
        </w:numPr>
        <w:spacing w:before="240" w:after="120"/>
        <w:jc w:val="left"/>
        <w:outlineLvl w:val="0"/>
        <w:rPr>
          <w:b/>
          <w:snapToGrid w:val="0"/>
          <w:sz w:val="32"/>
          <w:szCs w:val="32"/>
        </w:rPr>
      </w:pPr>
      <w:bookmarkStart w:id="169" w:name="_Hlk165280286"/>
      <w:r w:rsidRPr="00C14E3E">
        <w:rPr>
          <w:b/>
          <w:snapToGrid w:val="0"/>
          <w:sz w:val="32"/>
          <w:szCs w:val="32"/>
        </w:rPr>
        <w:t>Context for Decision</w:t>
      </w:r>
    </w:p>
    <w:p w14:paraId="73519E81" w14:textId="77777777" w:rsidR="00C14E3E" w:rsidRPr="00C14E3E" w:rsidRDefault="00C14E3E" w:rsidP="00C14E3E">
      <w:pPr>
        <w:keepNext/>
        <w:keepLines/>
        <w:widowControl w:val="0"/>
        <w:spacing w:after="120"/>
        <w:ind w:left="720"/>
        <w:rPr>
          <w:bCs/>
          <w:snapToGrid w:val="0"/>
        </w:rPr>
      </w:pPr>
      <w:r w:rsidRPr="00C14E3E">
        <w:rPr>
          <w:bCs/>
          <w:snapToGrid w:val="0"/>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D3A9FCB" w14:textId="77777777" w:rsidR="00C14E3E" w:rsidRPr="00C14E3E" w:rsidRDefault="00C14E3E" w:rsidP="00C14E3E">
      <w:pPr>
        <w:keepNext/>
        <w:keepLines/>
        <w:numPr>
          <w:ilvl w:val="0"/>
          <w:numId w:val="1"/>
        </w:numPr>
        <w:spacing w:before="240" w:after="120"/>
        <w:jc w:val="left"/>
        <w:outlineLvl w:val="0"/>
        <w:rPr>
          <w:b/>
          <w:snapToGrid w:val="0"/>
          <w:sz w:val="32"/>
          <w:szCs w:val="32"/>
        </w:rPr>
      </w:pPr>
      <w:r w:rsidRPr="00C14E3E">
        <w:rPr>
          <w:b/>
          <w:snapToGrid w:val="0"/>
          <w:sz w:val="32"/>
          <w:szCs w:val="32"/>
        </w:rPr>
        <w:t>Sponsor’s Comment</w:t>
      </w:r>
    </w:p>
    <w:bookmarkEnd w:id="169"/>
    <w:p w14:paraId="00A8E958" w14:textId="00D32ED7" w:rsidR="00DE02D4" w:rsidRPr="00456281" w:rsidRDefault="002D21A2" w:rsidP="009C3CBE">
      <w:pPr>
        <w:widowControl w:val="0"/>
        <w:ind w:left="720"/>
        <w:rPr>
          <w:rFonts w:asciiTheme="minorHAnsi" w:hAnsiTheme="minorHAnsi"/>
          <w:b/>
          <w:bCs/>
          <w:snapToGrid w:val="0"/>
        </w:rPr>
      </w:pPr>
      <w:r w:rsidRPr="002D21A2">
        <w:rPr>
          <w:bCs/>
          <w:snapToGrid w:val="0"/>
        </w:rPr>
        <w:t>Servier is disappointed by this decision but welcomes the PBAC’s recognition of the need for new effective treatment options for patients living with metastatic pancreatic cancer in the first-line setting. Servier will consider options to resolve the issues PBAC have identified, in the hope that Australian patients can access nanoliposomal irinotecan through the PBS for the treatment of pancreatic cancer in a timely way.</w:t>
      </w:r>
      <w:bookmarkEnd w:id="2"/>
      <w:bookmarkEnd w:id="3"/>
      <w:bookmarkEnd w:id="4"/>
      <w:bookmarkEnd w:id="5"/>
      <w:bookmarkEnd w:id="6"/>
      <w:bookmarkEnd w:id="7"/>
      <w:bookmarkEnd w:id="162"/>
      <w:bookmarkEnd w:id="163"/>
    </w:p>
    <w:sectPr w:rsidR="00DE02D4" w:rsidRPr="00456281">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B7D3E" w14:textId="77777777" w:rsidR="00FF584C" w:rsidRDefault="00FF584C" w:rsidP="00A678CB">
      <w:r>
        <w:separator/>
      </w:r>
    </w:p>
  </w:endnote>
  <w:endnote w:type="continuationSeparator" w:id="0">
    <w:p w14:paraId="2AB51233" w14:textId="77777777" w:rsidR="00FF584C" w:rsidRDefault="00FF584C" w:rsidP="00A678CB">
      <w:r>
        <w:continuationSeparator/>
      </w:r>
    </w:p>
  </w:endnote>
  <w:endnote w:type="continuationNotice" w:id="1">
    <w:p w14:paraId="1C9C9F07" w14:textId="77777777" w:rsidR="00FF584C" w:rsidRDefault="00FF58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abon">
    <w:altName w:val="Cambria"/>
    <w:charset w:val="00"/>
    <w:family w:val="roman"/>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
    <w:altName w:val="Yu Gothic"/>
    <w:panose1 w:val="00000000000000000000"/>
    <w:charset w:val="0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0A05C" w14:textId="77777777" w:rsidR="00C17D40" w:rsidRDefault="00C17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C43A" w14:textId="77777777" w:rsidR="00A678CB" w:rsidRDefault="00A678CB">
    <w:pPr>
      <w:pStyle w:val="Footer"/>
      <w:jc w:val="center"/>
    </w:pPr>
  </w:p>
  <w:p w14:paraId="1A79B2B3" w14:textId="3634EC93" w:rsidR="00A678CB" w:rsidRPr="00DA1025" w:rsidRDefault="00EE5AD4">
    <w:pPr>
      <w:pStyle w:val="Footer"/>
      <w:jc w:val="center"/>
      <w:rPr>
        <w:b/>
        <w:bCs/>
      </w:rPr>
    </w:pPr>
    <w:sdt>
      <w:sdtPr>
        <w:id w:val="1036156457"/>
        <w:docPartObj>
          <w:docPartGallery w:val="Page Numbers (Bottom of Page)"/>
          <w:docPartUnique/>
        </w:docPartObj>
      </w:sdtPr>
      <w:sdtEndPr>
        <w:rPr>
          <w:b/>
          <w:bCs/>
          <w:noProof/>
        </w:rPr>
      </w:sdtEndPr>
      <w:sdtContent>
        <w:r w:rsidR="00A678CB" w:rsidRPr="00DA1025">
          <w:rPr>
            <w:b/>
            <w:bCs/>
          </w:rPr>
          <w:fldChar w:fldCharType="begin"/>
        </w:r>
        <w:r w:rsidR="00A678CB" w:rsidRPr="00DA1025">
          <w:rPr>
            <w:b/>
            <w:bCs/>
          </w:rPr>
          <w:instrText xml:space="preserve"> PAGE   \* MERGEFORMAT </w:instrText>
        </w:r>
        <w:r w:rsidR="00A678CB" w:rsidRPr="00DA1025">
          <w:rPr>
            <w:b/>
            <w:bCs/>
          </w:rPr>
          <w:fldChar w:fldCharType="separate"/>
        </w:r>
        <w:r w:rsidR="00A678CB" w:rsidRPr="00DA1025">
          <w:rPr>
            <w:b/>
            <w:bCs/>
            <w:noProof/>
          </w:rPr>
          <w:t>2</w:t>
        </w:r>
        <w:r w:rsidR="00A678CB" w:rsidRPr="00DA1025">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6405F" w14:textId="77777777" w:rsidR="00C17D40" w:rsidRDefault="00C17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553CA" w14:textId="77777777" w:rsidR="00FF584C" w:rsidRDefault="00FF584C" w:rsidP="00A678CB">
      <w:r>
        <w:separator/>
      </w:r>
    </w:p>
  </w:footnote>
  <w:footnote w:type="continuationSeparator" w:id="0">
    <w:p w14:paraId="47C02AB6" w14:textId="77777777" w:rsidR="00FF584C" w:rsidRDefault="00FF584C" w:rsidP="00A678CB">
      <w:r>
        <w:continuationSeparator/>
      </w:r>
    </w:p>
  </w:footnote>
  <w:footnote w:type="continuationNotice" w:id="1">
    <w:p w14:paraId="775BD005" w14:textId="77777777" w:rsidR="00FF584C" w:rsidRDefault="00FF584C"/>
  </w:footnote>
  <w:footnote w:id="2">
    <w:p w14:paraId="349E0085" w14:textId="77777777" w:rsidR="00F5573C" w:rsidRDefault="00F5573C" w:rsidP="00F5573C">
      <w:pPr>
        <w:pStyle w:val="FootnoteText"/>
      </w:pPr>
      <w:r>
        <w:rPr>
          <w:rStyle w:val="FootnoteReference"/>
        </w:rPr>
        <w:footnoteRef/>
      </w:r>
      <w:r>
        <w:t xml:space="preserve"> </w:t>
      </w:r>
      <w:r w:rsidRPr="000B64B2">
        <w:t>Barbier et al</w:t>
      </w:r>
      <w:r>
        <w:t>.</w:t>
      </w:r>
      <w:r w:rsidRPr="000B64B2">
        <w:t>, (2020</w:t>
      </w:r>
      <w:r>
        <w:t>), ‘</w:t>
      </w:r>
      <w:r w:rsidRPr="000B64B2">
        <w:t>Differentiation of liposomal irinotecan from dose‐dense non‐liposomal irinotecan in patient‐derived pancreatic cancer xenograft tumor models</w:t>
      </w:r>
      <w:r>
        <w:t>’,</w:t>
      </w:r>
      <w:r w:rsidRPr="000B64B2">
        <w:t xml:space="preserve"> J Clin Oncol</w:t>
      </w:r>
      <w:r>
        <w:t xml:space="preserve">, </w:t>
      </w:r>
      <w:r w:rsidRPr="000B64B2">
        <w:t>38:e16724</w:t>
      </w:r>
    </w:p>
  </w:footnote>
  <w:footnote w:id="3">
    <w:p w14:paraId="2C86CE73" w14:textId="77777777" w:rsidR="00F5573C" w:rsidRDefault="00F5573C" w:rsidP="00F5573C">
      <w:pPr>
        <w:pStyle w:val="FootnoteText"/>
      </w:pPr>
      <w:r>
        <w:rPr>
          <w:rStyle w:val="FootnoteReference"/>
        </w:rPr>
        <w:footnoteRef/>
      </w:r>
      <w:r w:rsidRPr="000B64B2">
        <w:t xml:space="preserve"> Kalra et al</w:t>
      </w:r>
      <w:r>
        <w:t>.</w:t>
      </w:r>
      <w:r w:rsidRPr="000B64B2">
        <w:t>,</w:t>
      </w:r>
      <w:r>
        <w:t xml:space="preserve"> (2014), ‘</w:t>
      </w:r>
      <w:r w:rsidRPr="000B64B2">
        <w:t>Preclinical activity of nanoliposomal irinotecan is governed by tumor deposition and intratumor pro-drug conversion</w:t>
      </w:r>
      <w:r>
        <w:t xml:space="preserve">’, </w:t>
      </w:r>
      <w:r w:rsidRPr="000B64B2">
        <w:t>Cancer Res</w:t>
      </w:r>
      <w:r>
        <w:t xml:space="preserve">, </w:t>
      </w:r>
      <w:r w:rsidRPr="000B64B2">
        <w:t>74(23):7003-13</w:t>
      </w:r>
    </w:p>
  </w:footnote>
  <w:footnote w:id="4">
    <w:p w14:paraId="0738479D" w14:textId="58100458" w:rsidR="005C1203" w:rsidRDefault="005C1203">
      <w:pPr>
        <w:pStyle w:val="FootnoteText"/>
      </w:pPr>
      <w:r>
        <w:rPr>
          <w:rStyle w:val="FootnoteReference"/>
        </w:rPr>
        <w:footnoteRef/>
      </w:r>
      <w:r>
        <w:t xml:space="preserve"> The e</w:t>
      </w:r>
      <w:r w:rsidRPr="005C1203">
        <w:t xml:space="preserve">stimated </w:t>
      </w:r>
      <w:r>
        <w:t>s</w:t>
      </w:r>
      <w:r w:rsidRPr="005C1203">
        <w:t xml:space="preserve">tudy </w:t>
      </w:r>
      <w:r>
        <w:t>c</w:t>
      </w:r>
      <w:r w:rsidRPr="005C1203">
        <w:t xml:space="preserve">ompletion </w:t>
      </w:r>
      <w:r>
        <w:t>d</w:t>
      </w:r>
      <w:r w:rsidRPr="005C1203">
        <w:t xml:space="preserve">ate </w:t>
      </w:r>
      <w:r>
        <w:t xml:space="preserve">reported by ClinicalTrials.gov is 31 </w:t>
      </w:r>
      <w:r w:rsidRPr="005C1203">
        <w:t>December 2024</w:t>
      </w:r>
      <w:r>
        <w:t xml:space="preserve"> (</w:t>
      </w:r>
      <w:r w:rsidRPr="005C1203">
        <w:t>https://classic.clinicaltrials.gov/ct2/show/NCT04083235</w:t>
      </w:r>
      <w:r>
        <w:t xml:space="preserve"> ; date accessed 11 March 2024)</w:t>
      </w:r>
    </w:p>
  </w:footnote>
  <w:footnote w:id="5">
    <w:p w14:paraId="2CFB77E4" w14:textId="5FE49EBC" w:rsidR="00A15354" w:rsidRDefault="00A15354">
      <w:pPr>
        <w:pStyle w:val="FootnoteText"/>
      </w:pPr>
      <w:r>
        <w:rPr>
          <w:rStyle w:val="FootnoteReference"/>
        </w:rPr>
        <w:footnoteRef/>
      </w:r>
      <w:r>
        <w:t xml:space="preserve"> The mFOLFIRINOX regimen used in the GENERATE trial differs from the FOLFIRINOX and mFOLFIRINOX regimens used in the ACCORD11</w:t>
      </w:r>
      <w:r w:rsidR="00A96FB3">
        <w:t>/PRODIGE4</w:t>
      </w:r>
      <w:r>
        <w:t xml:space="preserve"> trial and in Australian clinical practice, respectively. The main differences relate to the dose </w:t>
      </w:r>
      <w:r w:rsidR="009B156B">
        <w:t xml:space="preserve">of </w:t>
      </w:r>
      <w:r>
        <w:t>irinotecan (150 mg/m</w:t>
      </w:r>
      <w:r w:rsidRPr="00CE0150">
        <w:rPr>
          <w:vertAlign w:val="superscript"/>
        </w:rPr>
        <w:t>2</w:t>
      </w:r>
      <w:r>
        <w:t xml:space="preserve"> in GENERATE</w:t>
      </w:r>
      <w:r w:rsidR="009B156B">
        <w:t>,</w:t>
      </w:r>
      <w:r>
        <w:t xml:space="preserve"> 180 mg/m</w:t>
      </w:r>
      <w:r w:rsidRPr="00CE0150">
        <w:rPr>
          <w:vertAlign w:val="superscript"/>
        </w:rPr>
        <w:t>2</w:t>
      </w:r>
      <w:r>
        <w:t xml:space="preserve"> in ACCORD11 and Australian practice, respectively), the dose of leucovorin/folinic acid (200 mg/m</w:t>
      </w:r>
      <w:r w:rsidRPr="00CE0150">
        <w:rPr>
          <w:vertAlign w:val="superscript"/>
        </w:rPr>
        <w:t>2</w:t>
      </w:r>
      <w:r>
        <w:t xml:space="preserve"> in GENERATE, 400 mg/m</w:t>
      </w:r>
      <w:r w:rsidRPr="00CE0150">
        <w:rPr>
          <w:vertAlign w:val="superscript"/>
        </w:rPr>
        <w:t>2</w:t>
      </w:r>
      <w:r>
        <w:t xml:space="preserve"> in ACCORD11 and 50 mg in Australian practice) and the lack of a bolus dose of 5-FU in GENERATE compared with ACCORD11 and Australian practice (2400 mg/m</w:t>
      </w:r>
      <w:r w:rsidRPr="00CE0150">
        <w:rPr>
          <w:vertAlign w:val="superscript"/>
        </w:rPr>
        <w:t>2</w:t>
      </w:r>
      <w:r>
        <w:t xml:space="preserve">). </w:t>
      </w:r>
    </w:p>
  </w:footnote>
  <w:footnote w:id="6">
    <w:p w14:paraId="65B60B80" w14:textId="7360FD2A" w:rsidR="001F13A6" w:rsidRDefault="001F13A6" w:rsidP="001F13A6">
      <w:pPr>
        <w:pStyle w:val="FootnoteText"/>
      </w:pPr>
      <w:r>
        <w:rPr>
          <w:rStyle w:val="FootnoteReference"/>
        </w:rPr>
        <w:footnoteRef/>
      </w:r>
      <w:r>
        <w:t xml:space="preserve"> </w:t>
      </w:r>
      <w:r w:rsidRPr="001F13A6">
        <w:t>Obha et al (2023), ESMO presentation slides: Nab paclitaxel plus gemcitabine versus modified FOLFIRINOX or S IROX in metastatic or recurrent pancreatic cancer (JCOG1611, GENERATE). Madrid, Spain, 22 October 2023.</w:t>
      </w:r>
      <w:r>
        <w:t xml:space="preserve"> Provided by the sponsor with </w:t>
      </w:r>
      <w:r w:rsidR="005B6613">
        <w:t xml:space="preserve">the </w:t>
      </w:r>
      <w:r>
        <w:t>PSCR.</w:t>
      </w:r>
    </w:p>
  </w:footnote>
  <w:footnote w:id="7">
    <w:p w14:paraId="4CA0A4FC" w14:textId="430C8125" w:rsidR="00EE09EC" w:rsidRDefault="00EE09EC">
      <w:pPr>
        <w:pStyle w:val="FootnoteText"/>
      </w:pPr>
      <w:r>
        <w:rPr>
          <w:rStyle w:val="FootnoteReference"/>
        </w:rPr>
        <w:footnoteRef/>
      </w:r>
      <w:r>
        <w:t xml:space="preserve"> </w:t>
      </w:r>
      <w:r w:rsidRPr="00EE09EC">
        <w:t>Nichetti F et al.</w:t>
      </w:r>
      <w:r>
        <w:t xml:space="preserve"> </w:t>
      </w:r>
      <w:r w:rsidRPr="00EE09EC">
        <w:t>(2024) ‘NALIRIFOX, FOLFIRINOX, and Gemcitabine With Nab-Paclitaxel as First-Line Chemotherapy for Metastatic Pancreatic Cancer: A Systematic Review and Meta-Analysis. JAMA Netw Open. 2024;7(1):e2350756. doi:</w:t>
      </w:r>
      <w:r>
        <w:t xml:space="preserve"> </w:t>
      </w:r>
      <w:r w:rsidRPr="00CE0150">
        <w:rPr>
          <w:rStyle w:val="Hyperlink"/>
        </w:rPr>
        <w:t>10.1001/jamanetworkopen.2023.50756</w:t>
      </w:r>
      <w:r>
        <w:t xml:space="preserve">   </w:t>
      </w:r>
    </w:p>
  </w:footnote>
  <w:footnote w:id="8">
    <w:p w14:paraId="2AFCB48B" w14:textId="77777777" w:rsidR="0097400C" w:rsidRDefault="0097400C" w:rsidP="0097400C">
      <w:pPr>
        <w:pStyle w:val="FootnoteText"/>
      </w:pPr>
      <w:r>
        <w:rPr>
          <w:rStyle w:val="FootnoteReference"/>
        </w:rPr>
        <w:footnoteRef/>
      </w:r>
      <w:r>
        <w:t xml:space="preserve"> </w:t>
      </w:r>
      <w:r w:rsidRPr="00647668">
        <w:t xml:space="preserve">Owusuaa </w:t>
      </w:r>
      <w:r>
        <w:t>et al., (2022)</w:t>
      </w:r>
      <w:r w:rsidRPr="00647668">
        <w:t xml:space="preserve">. </w:t>
      </w:r>
      <w:r>
        <w:t>‘</w:t>
      </w:r>
      <w:r w:rsidRPr="00647668">
        <w:t>Predictors of Mortality in Patients with Advanced Cancer-A Systematic Review and Meta-Analysis</w:t>
      </w:r>
      <w:r>
        <w:t>’</w:t>
      </w:r>
      <w:r w:rsidRPr="00647668">
        <w:t>. Cancers (Basel)</w:t>
      </w:r>
      <w:r>
        <w:t xml:space="preserve">, </w:t>
      </w:r>
      <w:r w:rsidRPr="00647668">
        <w:t>14(2)</w:t>
      </w:r>
      <w:r>
        <w:t xml:space="preserve">, </w:t>
      </w:r>
      <w:r w:rsidRPr="00647668">
        <w:t>328</w:t>
      </w:r>
      <w:r>
        <w:t>,</w:t>
      </w:r>
      <w:r w:rsidRPr="00647668">
        <w:t xml:space="preserve"> </w:t>
      </w:r>
      <w:r>
        <w:t>DOI</w:t>
      </w:r>
      <w:r w:rsidRPr="00647668">
        <w:t xml:space="preserve">: </w:t>
      </w:r>
      <w:hyperlink r:id="rId1" w:history="1">
        <w:r w:rsidRPr="00647668">
          <w:rPr>
            <w:rStyle w:val="Hyperlink"/>
          </w:rPr>
          <w:t>10.3390/cancers14020328.</w:t>
        </w:r>
      </w:hyperlink>
    </w:p>
  </w:footnote>
  <w:footnote w:id="9">
    <w:p w14:paraId="48B61258" w14:textId="77777777" w:rsidR="00016609" w:rsidRDefault="00016609" w:rsidP="00016609">
      <w:pPr>
        <w:pStyle w:val="FootnoteText"/>
      </w:pPr>
      <w:r>
        <w:rPr>
          <w:rStyle w:val="FootnoteReference"/>
        </w:rPr>
        <w:footnoteRef/>
      </w:r>
      <w:r>
        <w:t xml:space="preserve"> </w:t>
      </w:r>
      <w:r w:rsidRPr="0072412A">
        <w:t>Kim JH</w:t>
      </w:r>
      <w:r>
        <w:t>, (2016), ‘</w:t>
      </w:r>
      <w:r w:rsidRPr="0072412A">
        <w:t>Comparison of the RECIST 1.0 and RECIST 1.1 in patients treated with targeted agents: a pooled analysis and review</w:t>
      </w:r>
      <w:r>
        <w:t xml:space="preserve">’, </w:t>
      </w:r>
      <w:r w:rsidRPr="0072412A">
        <w:t>Oncotarget</w:t>
      </w:r>
      <w:r>
        <w:t xml:space="preserve">, </w:t>
      </w:r>
      <w:r w:rsidRPr="0072412A">
        <w:t>7(12):13680-7</w:t>
      </w:r>
      <w:r>
        <w:t>,</w:t>
      </w:r>
      <w:r w:rsidRPr="0072412A">
        <w:t xml:space="preserve"> Doi: </w:t>
      </w:r>
      <w:hyperlink r:id="rId2" w:history="1">
        <w:r w:rsidRPr="0072412A">
          <w:rPr>
            <w:rStyle w:val="Hyperlink"/>
          </w:rPr>
          <w:t>10.18632/oncotarget.7322.</w:t>
        </w:r>
      </w:hyperlink>
    </w:p>
  </w:footnote>
  <w:footnote w:id="10">
    <w:p w14:paraId="6E2A76DE" w14:textId="29ECD122" w:rsidR="00F81ADA" w:rsidRDefault="00F81ADA" w:rsidP="00F81ADA">
      <w:pPr>
        <w:pStyle w:val="FootnoteText"/>
      </w:pPr>
      <w:r>
        <w:rPr>
          <w:rStyle w:val="FootnoteReference"/>
        </w:rPr>
        <w:footnoteRef/>
      </w:r>
      <w:r>
        <w:t xml:space="preserve"> </w:t>
      </w:r>
      <w:r w:rsidRPr="00786E45">
        <w:t xml:space="preserve">NCCN Guidelines Version </w:t>
      </w:r>
      <w:r w:rsidR="001A3DBD">
        <w:t>1</w:t>
      </w:r>
      <w:r w:rsidRPr="00786E45">
        <w:t>.</w:t>
      </w:r>
      <w:r w:rsidR="001A3DBD" w:rsidRPr="00786E45">
        <w:t>202</w:t>
      </w:r>
      <w:r w:rsidR="001A3DBD">
        <w:t>4</w:t>
      </w:r>
      <w:r w:rsidR="001A3DBD" w:rsidRPr="00786E45">
        <w:t xml:space="preserve"> </w:t>
      </w:r>
      <w:r w:rsidRPr="00786E45">
        <w:t>Pancreatic Adenocarcinoma</w:t>
      </w:r>
      <w:r w:rsidR="001A3DBD">
        <w:t xml:space="preserve"> (PANC-F, 5 of 12)</w:t>
      </w:r>
    </w:p>
  </w:footnote>
  <w:footnote w:id="11">
    <w:p w14:paraId="6F112358" w14:textId="77777777" w:rsidR="00873E01" w:rsidRPr="00F0198F" w:rsidRDefault="00873E01" w:rsidP="00873E01">
      <w:pPr>
        <w:pStyle w:val="FootnoteText"/>
      </w:pPr>
      <w:r w:rsidRPr="00F0198F">
        <w:rPr>
          <w:rStyle w:val="FootnoteReference"/>
        </w:rPr>
        <w:footnoteRef/>
      </w:r>
      <w:r w:rsidRPr="00F0198F">
        <w:t xml:space="preserve"> </w:t>
      </w:r>
      <w:r w:rsidRPr="00F0198F">
        <w:rPr>
          <w:rFonts w:asciiTheme="minorHAnsi" w:hAnsiTheme="minorHAnsi" w:cstheme="minorHAnsi"/>
          <w:color w:val="222222"/>
          <w:shd w:val="clear" w:color="auto" w:fill="FFFFFF"/>
        </w:rPr>
        <w:t>Gebski et al. "Data maturity and follow-up in time-to-event analyses." International journal of epidemiology 47.3 (2018): 850-859.</w:t>
      </w:r>
    </w:p>
  </w:footnote>
  <w:footnote w:id="12">
    <w:p w14:paraId="7F85D230" w14:textId="77777777" w:rsidR="00873E01" w:rsidRPr="00300504" w:rsidRDefault="00873E01" w:rsidP="00873E01">
      <w:pPr>
        <w:pStyle w:val="FootnoteText"/>
        <w:rPr>
          <w:rFonts w:asciiTheme="minorHAnsi" w:hAnsiTheme="minorHAnsi" w:cstheme="minorHAnsi"/>
        </w:rPr>
      </w:pPr>
      <w:r>
        <w:rPr>
          <w:rStyle w:val="FootnoteReference"/>
        </w:rPr>
        <w:footnoteRef/>
      </w:r>
      <w:r>
        <w:t xml:space="preserve"> </w:t>
      </w:r>
      <w:r w:rsidRPr="00300504">
        <w:rPr>
          <w:rFonts w:asciiTheme="minorHAnsi" w:hAnsiTheme="minorHAnsi" w:cstheme="minorHAnsi"/>
        </w:rPr>
        <w:t xml:space="preserve">NICE’s HTA assessment of </w:t>
      </w:r>
      <w:r w:rsidRPr="00300504">
        <w:rPr>
          <w:rFonts w:asciiTheme="minorHAnsi" w:hAnsiTheme="minorHAnsi" w:cstheme="minorHAnsi"/>
          <w:lang w:val="en-US"/>
        </w:rPr>
        <w:t>Gem+NabP for untreated mPAC</w:t>
      </w:r>
    </w:p>
  </w:footnote>
  <w:footnote w:id="13">
    <w:p w14:paraId="4BDD78F1" w14:textId="77777777" w:rsidR="00873E01" w:rsidRDefault="00873E01" w:rsidP="00873E01">
      <w:pPr>
        <w:pStyle w:val="FootnoteText"/>
      </w:pPr>
      <w:r w:rsidRPr="00300504">
        <w:rPr>
          <w:rStyle w:val="FootnoteReference"/>
          <w:rFonts w:asciiTheme="minorHAnsi" w:hAnsiTheme="minorHAnsi" w:cstheme="minorHAnsi"/>
        </w:rPr>
        <w:footnoteRef/>
      </w:r>
      <w:r w:rsidRPr="00300504">
        <w:rPr>
          <w:rFonts w:asciiTheme="minorHAnsi" w:hAnsiTheme="minorHAnsi" w:cstheme="minorHAnsi"/>
        </w:rPr>
        <w:t xml:space="preserve"> </w:t>
      </w:r>
      <w:r w:rsidRPr="00300504">
        <w:rPr>
          <w:rFonts w:asciiTheme="minorHAnsi" w:hAnsiTheme="minorHAnsi" w:cstheme="minorHAnsi"/>
          <w:color w:val="222222"/>
          <w:shd w:val="clear" w:color="auto" w:fill="FFFFFF"/>
        </w:rPr>
        <w:t>Yoo et al. "Health-Related Quality of Life of Patients with Metastatic Pancreatic Cancer: A Systematic Literature Review." </w:t>
      </w:r>
      <w:r w:rsidRPr="00E46A8A">
        <w:rPr>
          <w:rFonts w:asciiTheme="minorHAnsi" w:hAnsiTheme="minorHAnsi" w:cstheme="minorHAnsi"/>
          <w:color w:val="222222"/>
          <w:shd w:val="clear" w:color="auto" w:fill="FFFFFF"/>
        </w:rPr>
        <w:t>Cancer Management and Research (2022): 3383-3403.</w:t>
      </w:r>
    </w:p>
  </w:footnote>
  <w:footnote w:id="14">
    <w:p w14:paraId="77340106" w14:textId="77777777" w:rsidR="00AD3B73" w:rsidRDefault="00AD3B73" w:rsidP="00873E01">
      <w:pPr>
        <w:pStyle w:val="FootnoteText"/>
      </w:pPr>
      <w:r w:rsidRPr="009C3CBE">
        <w:rPr>
          <w:rStyle w:val="FootnoteReference"/>
        </w:rPr>
        <w:footnoteRef/>
      </w:r>
      <w:r w:rsidRPr="009C3CBE">
        <w:t xml:space="preserve"> Lee, B, (2023), ‘Use of Metastatic Pancreatic Cancer Treatment Algorithms in Routine Clinical Practice in Australia - a PURPLE Translational Registry study’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88DB" w14:textId="77777777" w:rsidR="00C17D40" w:rsidRDefault="00C17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F5D14" w14:textId="3D67DAC5" w:rsidR="00A678CB" w:rsidRPr="00E85C39" w:rsidRDefault="00883AD6">
    <w:pPr>
      <w:pStyle w:val="Header"/>
      <w:rPr>
        <w:rFonts w:asciiTheme="minorHAnsi" w:hAnsiTheme="minorHAnsi"/>
        <w:i/>
      </w:rPr>
    </w:pPr>
    <w:r w:rsidRPr="00E85C39">
      <w:rPr>
        <w:rFonts w:asciiTheme="minorHAnsi" w:hAnsiTheme="minorHAnsi"/>
        <w:i/>
      </w:rPr>
      <w:t xml:space="preserve">Public Summary Document </w:t>
    </w:r>
    <w:r w:rsidR="00A441F4" w:rsidRPr="00E85C39">
      <w:rPr>
        <w:rFonts w:asciiTheme="minorHAnsi" w:hAnsiTheme="minorHAnsi"/>
        <w:i/>
      </w:rPr>
      <w:t xml:space="preserve">– </w:t>
    </w:r>
    <w:r w:rsidR="00A66CE1" w:rsidRPr="00E85C39">
      <w:rPr>
        <w:rFonts w:asciiTheme="minorHAnsi" w:hAnsiTheme="minorHAnsi"/>
        <w:i/>
      </w:rPr>
      <w:t>March 2024</w:t>
    </w:r>
    <w:r w:rsidR="00A678CB" w:rsidRPr="00E85C39">
      <w:rPr>
        <w:rFonts w:asciiTheme="minorHAnsi" w:hAnsiTheme="minorHAnsi"/>
        <w:i/>
      </w:rPr>
      <w:t xml:space="preserve"> PBAC Meeting</w:t>
    </w:r>
  </w:p>
  <w:p w14:paraId="4A4B5A54" w14:textId="77777777" w:rsidR="00A678CB" w:rsidRPr="008C7ECB" w:rsidRDefault="00A678CB" w:rsidP="0030561C">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620E7" w14:textId="77777777" w:rsidR="00C17D40" w:rsidRDefault="00C17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3C61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507FA0"/>
    <w:multiLevelType w:val="hybridMultilevel"/>
    <w:tmpl w:val="DC568DEA"/>
    <w:lvl w:ilvl="0" w:tplc="B9E87766">
      <w:start w:val="1"/>
      <w:numFmt w:val="bullet"/>
      <w:lvlText w:val=""/>
      <w:lvlJc w:val="left"/>
      <w:pPr>
        <w:ind w:left="720" w:hanging="360"/>
      </w:pPr>
      <w:rPr>
        <w:rFonts w:ascii="Symbol" w:hAnsi="Symbol"/>
      </w:rPr>
    </w:lvl>
    <w:lvl w:ilvl="1" w:tplc="20248580">
      <w:start w:val="1"/>
      <w:numFmt w:val="bullet"/>
      <w:lvlText w:val=""/>
      <w:lvlJc w:val="left"/>
      <w:pPr>
        <w:ind w:left="720" w:hanging="360"/>
      </w:pPr>
      <w:rPr>
        <w:rFonts w:ascii="Symbol" w:hAnsi="Symbol"/>
      </w:rPr>
    </w:lvl>
    <w:lvl w:ilvl="2" w:tplc="F2D208F2">
      <w:start w:val="1"/>
      <w:numFmt w:val="bullet"/>
      <w:lvlText w:val=""/>
      <w:lvlJc w:val="left"/>
      <w:pPr>
        <w:ind w:left="720" w:hanging="360"/>
      </w:pPr>
      <w:rPr>
        <w:rFonts w:ascii="Symbol" w:hAnsi="Symbol"/>
      </w:rPr>
    </w:lvl>
    <w:lvl w:ilvl="3" w:tplc="A97A2D82">
      <w:start w:val="1"/>
      <w:numFmt w:val="bullet"/>
      <w:lvlText w:val=""/>
      <w:lvlJc w:val="left"/>
      <w:pPr>
        <w:ind w:left="720" w:hanging="360"/>
      </w:pPr>
      <w:rPr>
        <w:rFonts w:ascii="Symbol" w:hAnsi="Symbol"/>
      </w:rPr>
    </w:lvl>
    <w:lvl w:ilvl="4" w:tplc="452C1C80">
      <w:start w:val="1"/>
      <w:numFmt w:val="bullet"/>
      <w:lvlText w:val=""/>
      <w:lvlJc w:val="left"/>
      <w:pPr>
        <w:ind w:left="720" w:hanging="360"/>
      </w:pPr>
      <w:rPr>
        <w:rFonts w:ascii="Symbol" w:hAnsi="Symbol"/>
      </w:rPr>
    </w:lvl>
    <w:lvl w:ilvl="5" w:tplc="A66E48C2">
      <w:start w:val="1"/>
      <w:numFmt w:val="bullet"/>
      <w:lvlText w:val=""/>
      <w:lvlJc w:val="left"/>
      <w:pPr>
        <w:ind w:left="720" w:hanging="360"/>
      </w:pPr>
      <w:rPr>
        <w:rFonts w:ascii="Symbol" w:hAnsi="Symbol"/>
      </w:rPr>
    </w:lvl>
    <w:lvl w:ilvl="6" w:tplc="9A82E8FE">
      <w:start w:val="1"/>
      <w:numFmt w:val="bullet"/>
      <w:lvlText w:val=""/>
      <w:lvlJc w:val="left"/>
      <w:pPr>
        <w:ind w:left="720" w:hanging="360"/>
      </w:pPr>
      <w:rPr>
        <w:rFonts w:ascii="Symbol" w:hAnsi="Symbol"/>
      </w:rPr>
    </w:lvl>
    <w:lvl w:ilvl="7" w:tplc="F8244594">
      <w:start w:val="1"/>
      <w:numFmt w:val="bullet"/>
      <w:lvlText w:val=""/>
      <w:lvlJc w:val="left"/>
      <w:pPr>
        <w:ind w:left="720" w:hanging="360"/>
      </w:pPr>
      <w:rPr>
        <w:rFonts w:ascii="Symbol" w:hAnsi="Symbol"/>
      </w:rPr>
    </w:lvl>
    <w:lvl w:ilvl="8" w:tplc="8B84B104">
      <w:start w:val="1"/>
      <w:numFmt w:val="bullet"/>
      <w:lvlText w:val=""/>
      <w:lvlJc w:val="left"/>
      <w:pPr>
        <w:ind w:left="720" w:hanging="360"/>
      </w:pPr>
      <w:rPr>
        <w:rFonts w:ascii="Symbol" w:hAnsi="Symbol"/>
      </w:rPr>
    </w:lvl>
  </w:abstractNum>
  <w:abstractNum w:abstractNumId="3" w15:restartNumberingAfterBreak="0">
    <w:nsid w:val="01EB4A4D"/>
    <w:multiLevelType w:val="hybridMultilevel"/>
    <w:tmpl w:val="7A3AA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8D7388"/>
    <w:multiLevelType w:val="hybridMultilevel"/>
    <w:tmpl w:val="047E96E2"/>
    <w:lvl w:ilvl="0" w:tplc="02BAEEAC">
      <w:start w:val="1"/>
      <w:numFmt w:val="bullet"/>
      <w:lvlText w:val=""/>
      <w:lvlJc w:val="left"/>
      <w:pPr>
        <w:ind w:left="720" w:hanging="360"/>
      </w:pPr>
      <w:rPr>
        <w:rFonts w:ascii="Symbol" w:hAnsi="Symbol"/>
      </w:rPr>
    </w:lvl>
    <w:lvl w:ilvl="1" w:tplc="DBAA9522">
      <w:start w:val="1"/>
      <w:numFmt w:val="bullet"/>
      <w:lvlText w:val=""/>
      <w:lvlJc w:val="left"/>
      <w:pPr>
        <w:ind w:left="720" w:hanging="360"/>
      </w:pPr>
      <w:rPr>
        <w:rFonts w:ascii="Symbol" w:hAnsi="Symbol"/>
      </w:rPr>
    </w:lvl>
    <w:lvl w:ilvl="2" w:tplc="AF281568">
      <w:start w:val="1"/>
      <w:numFmt w:val="bullet"/>
      <w:lvlText w:val=""/>
      <w:lvlJc w:val="left"/>
      <w:pPr>
        <w:ind w:left="720" w:hanging="360"/>
      </w:pPr>
      <w:rPr>
        <w:rFonts w:ascii="Symbol" w:hAnsi="Symbol"/>
      </w:rPr>
    </w:lvl>
    <w:lvl w:ilvl="3" w:tplc="9AB6DB6A">
      <w:start w:val="1"/>
      <w:numFmt w:val="bullet"/>
      <w:lvlText w:val=""/>
      <w:lvlJc w:val="left"/>
      <w:pPr>
        <w:ind w:left="720" w:hanging="360"/>
      </w:pPr>
      <w:rPr>
        <w:rFonts w:ascii="Symbol" w:hAnsi="Symbol"/>
      </w:rPr>
    </w:lvl>
    <w:lvl w:ilvl="4" w:tplc="2B663426">
      <w:start w:val="1"/>
      <w:numFmt w:val="bullet"/>
      <w:lvlText w:val=""/>
      <w:lvlJc w:val="left"/>
      <w:pPr>
        <w:ind w:left="720" w:hanging="360"/>
      </w:pPr>
      <w:rPr>
        <w:rFonts w:ascii="Symbol" w:hAnsi="Symbol"/>
      </w:rPr>
    </w:lvl>
    <w:lvl w:ilvl="5" w:tplc="E32ED7CE">
      <w:start w:val="1"/>
      <w:numFmt w:val="bullet"/>
      <w:lvlText w:val=""/>
      <w:lvlJc w:val="left"/>
      <w:pPr>
        <w:ind w:left="720" w:hanging="360"/>
      </w:pPr>
      <w:rPr>
        <w:rFonts w:ascii="Symbol" w:hAnsi="Symbol"/>
      </w:rPr>
    </w:lvl>
    <w:lvl w:ilvl="6" w:tplc="9D1E1B36">
      <w:start w:val="1"/>
      <w:numFmt w:val="bullet"/>
      <w:lvlText w:val=""/>
      <w:lvlJc w:val="left"/>
      <w:pPr>
        <w:ind w:left="720" w:hanging="360"/>
      </w:pPr>
      <w:rPr>
        <w:rFonts w:ascii="Symbol" w:hAnsi="Symbol"/>
      </w:rPr>
    </w:lvl>
    <w:lvl w:ilvl="7" w:tplc="41ACF436">
      <w:start w:val="1"/>
      <w:numFmt w:val="bullet"/>
      <w:lvlText w:val=""/>
      <w:lvlJc w:val="left"/>
      <w:pPr>
        <w:ind w:left="720" w:hanging="360"/>
      </w:pPr>
      <w:rPr>
        <w:rFonts w:ascii="Symbol" w:hAnsi="Symbol"/>
      </w:rPr>
    </w:lvl>
    <w:lvl w:ilvl="8" w:tplc="64207B96">
      <w:start w:val="1"/>
      <w:numFmt w:val="bullet"/>
      <w:lvlText w:val=""/>
      <w:lvlJc w:val="left"/>
      <w:pPr>
        <w:ind w:left="720" w:hanging="360"/>
      </w:pPr>
      <w:rPr>
        <w:rFonts w:ascii="Symbol" w:hAnsi="Symbol"/>
      </w:rPr>
    </w:lvl>
  </w:abstractNum>
  <w:abstractNum w:abstractNumId="5" w15:restartNumberingAfterBreak="0">
    <w:nsid w:val="03EC152F"/>
    <w:multiLevelType w:val="hybridMultilevel"/>
    <w:tmpl w:val="BB10F6A2"/>
    <w:lvl w:ilvl="0" w:tplc="31AE3DB4">
      <w:start w:val="1"/>
      <w:numFmt w:val="bullet"/>
      <w:lvlText w:val=""/>
      <w:lvlJc w:val="left"/>
      <w:pPr>
        <w:ind w:left="1080" w:hanging="360"/>
      </w:pPr>
      <w:rPr>
        <w:rFonts w:ascii="Symbol" w:hAnsi="Symbol"/>
      </w:rPr>
    </w:lvl>
    <w:lvl w:ilvl="1" w:tplc="7B3E71CE">
      <w:start w:val="1"/>
      <w:numFmt w:val="bullet"/>
      <w:lvlText w:val=""/>
      <w:lvlJc w:val="left"/>
      <w:pPr>
        <w:ind w:left="1080" w:hanging="360"/>
      </w:pPr>
      <w:rPr>
        <w:rFonts w:ascii="Symbol" w:hAnsi="Symbol"/>
      </w:rPr>
    </w:lvl>
    <w:lvl w:ilvl="2" w:tplc="7054D822">
      <w:start w:val="1"/>
      <w:numFmt w:val="bullet"/>
      <w:lvlText w:val=""/>
      <w:lvlJc w:val="left"/>
      <w:pPr>
        <w:ind w:left="1080" w:hanging="360"/>
      </w:pPr>
      <w:rPr>
        <w:rFonts w:ascii="Symbol" w:hAnsi="Symbol"/>
      </w:rPr>
    </w:lvl>
    <w:lvl w:ilvl="3" w:tplc="4FEEF076">
      <w:start w:val="1"/>
      <w:numFmt w:val="bullet"/>
      <w:lvlText w:val=""/>
      <w:lvlJc w:val="left"/>
      <w:pPr>
        <w:ind w:left="1080" w:hanging="360"/>
      </w:pPr>
      <w:rPr>
        <w:rFonts w:ascii="Symbol" w:hAnsi="Symbol"/>
      </w:rPr>
    </w:lvl>
    <w:lvl w:ilvl="4" w:tplc="9FBECCB4">
      <w:start w:val="1"/>
      <w:numFmt w:val="bullet"/>
      <w:lvlText w:val=""/>
      <w:lvlJc w:val="left"/>
      <w:pPr>
        <w:ind w:left="1080" w:hanging="360"/>
      </w:pPr>
      <w:rPr>
        <w:rFonts w:ascii="Symbol" w:hAnsi="Symbol"/>
      </w:rPr>
    </w:lvl>
    <w:lvl w:ilvl="5" w:tplc="8C645852">
      <w:start w:val="1"/>
      <w:numFmt w:val="bullet"/>
      <w:lvlText w:val=""/>
      <w:lvlJc w:val="left"/>
      <w:pPr>
        <w:ind w:left="1080" w:hanging="360"/>
      </w:pPr>
      <w:rPr>
        <w:rFonts w:ascii="Symbol" w:hAnsi="Symbol"/>
      </w:rPr>
    </w:lvl>
    <w:lvl w:ilvl="6" w:tplc="B014A2CE">
      <w:start w:val="1"/>
      <w:numFmt w:val="bullet"/>
      <w:lvlText w:val=""/>
      <w:lvlJc w:val="left"/>
      <w:pPr>
        <w:ind w:left="1080" w:hanging="360"/>
      </w:pPr>
      <w:rPr>
        <w:rFonts w:ascii="Symbol" w:hAnsi="Symbol"/>
      </w:rPr>
    </w:lvl>
    <w:lvl w:ilvl="7" w:tplc="2CE600F8">
      <w:start w:val="1"/>
      <w:numFmt w:val="bullet"/>
      <w:lvlText w:val=""/>
      <w:lvlJc w:val="left"/>
      <w:pPr>
        <w:ind w:left="1080" w:hanging="360"/>
      </w:pPr>
      <w:rPr>
        <w:rFonts w:ascii="Symbol" w:hAnsi="Symbol"/>
      </w:rPr>
    </w:lvl>
    <w:lvl w:ilvl="8" w:tplc="A59AB416">
      <w:start w:val="1"/>
      <w:numFmt w:val="bullet"/>
      <w:lvlText w:val=""/>
      <w:lvlJc w:val="left"/>
      <w:pPr>
        <w:ind w:left="1080" w:hanging="360"/>
      </w:pPr>
      <w:rPr>
        <w:rFonts w:ascii="Symbol" w:hAnsi="Symbol"/>
      </w:rPr>
    </w:lvl>
  </w:abstractNum>
  <w:abstractNum w:abstractNumId="6" w15:restartNumberingAfterBreak="0">
    <w:nsid w:val="084C08DD"/>
    <w:multiLevelType w:val="hybridMultilevel"/>
    <w:tmpl w:val="7C3433A0"/>
    <w:lvl w:ilvl="0" w:tplc="0EA06112">
      <w:start w:val="1"/>
      <w:numFmt w:val="bullet"/>
      <w:lvlText w:val=""/>
      <w:lvlJc w:val="left"/>
      <w:pPr>
        <w:ind w:left="1800" w:hanging="360"/>
      </w:pPr>
      <w:rPr>
        <w:rFonts w:ascii="Symbol" w:hAnsi="Symbol"/>
      </w:rPr>
    </w:lvl>
    <w:lvl w:ilvl="1" w:tplc="59600EE6">
      <w:start w:val="1"/>
      <w:numFmt w:val="bullet"/>
      <w:lvlText w:val=""/>
      <w:lvlJc w:val="left"/>
      <w:pPr>
        <w:ind w:left="1800" w:hanging="360"/>
      </w:pPr>
      <w:rPr>
        <w:rFonts w:ascii="Symbol" w:hAnsi="Symbol"/>
      </w:rPr>
    </w:lvl>
    <w:lvl w:ilvl="2" w:tplc="E6A6293A">
      <w:start w:val="1"/>
      <w:numFmt w:val="bullet"/>
      <w:lvlText w:val=""/>
      <w:lvlJc w:val="left"/>
      <w:pPr>
        <w:ind w:left="1800" w:hanging="360"/>
      </w:pPr>
      <w:rPr>
        <w:rFonts w:ascii="Symbol" w:hAnsi="Symbol"/>
      </w:rPr>
    </w:lvl>
    <w:lvl w:ilvl="3" w:tplc="07023F2C">
      <w:start w:val="1"/>
      <w:numFmt w:val="bullet"/>
      <w:lvlText w:val=""/>
      <w:lvlJc w:val="left"/>
      <w:pPr>
        <w:ind w:left="1800" w:hanging="360"/>
      </w:pPr>
      <w:rPr>
        <w:rFonts w:ascii="Symbol" w:hAnsi="Symbol"/>
      </w:rPr>
    </w:lvl>
    <w:lvl w:ilvl="4" w:tplc="D9E6F09A">
      <w:start w:val="1"/>
      <w:numFmt w:val="bullet"/>
      <w:lvlText w:val=""/>
      <w:lvlJc w:val="left"/>
      <w:pPr>
        <w:ind w:left="1800" w:hanging="360"/>
      </w:pPr>
      <w:rPr>
        <w:rFonts w:ascii="Symbol" w:hAnsi="Symbol"/>
      </w:rPr>
    </w:lvl>
    <w:lvl w:ilvl="5" w:tplc="035E870C">
      <w:start w:val="1"/>
      <w:numFmt w:val="bullet"/>
      <w:lvlText w:val=""/>
      <w:lvlJc w:val="left"/>
      <w:pPr>
        <w:ind w:left="1800" w:hanging="360"/>
      </w:pPr>
      <w:rPr>
        <w:rFonts w:ascii="Symbol" w:hAnsi="Symbol"/>
      </w:rPr>
    </w:lvl>
    <w:lvl w:ilvl="6" w:tplc="5944009E">
      <w:start w:val="1"/>
      <w:numFmt w:val="bullet"/>
      <w:lvlText w:val=""/>
      <w:lvlJc w:val="left"/>
      <w:pPr>
        <w:ind w:left="1800" w:hanging="360"/>
      </w:pPr>
      <w:rPr>
        <w:rFonts w:ascii="Symbol" w:hAnsi="Symbol"/>
      </w:rPr>
    </w:lvl>
    <w:lvl w:ilvl="7" w:tplc="2C2A9356">
      <w:start w:val="1"/>
      <w:numFmt w:val="bullet"/>
      <w:lvlText w:val=""/>
      <w:lvlJc w:val="left"/>
      <w:pPr>
        <w:ind w:left="1800" w:hanging="360"/>
      </w:pPr>
      <w:rPr>
        <w:rFonts w:ascii="Symbol" w:hAnsi="Symbol"/>
      </w:rPr>
    </w:lvl>
    <w:lvl w:ilvl="8" w:tplc="B122E5FC">
      <w:start w:val="1"/>
      <w:numFmt w:val="bullet"/>
      <w:lvlText w:val=""/>
      <w:lvlJc w:val="left"/>
      <w:pPr>
        <w:ind w:left="1800" w:hanging="360"/>
      </w:pPr>
      <w:rPr>
        <w:rFonts w:ascii="Symbol" w:hAnsi="Symbol"/>
      </w:rPr>
    </w:lvl>
  </w:abstractNum>
  <w:abstractNum w:abstractNumId="7" w15:restartNumberingAfterBreak="0">
    <w:nsid w:val="0A6B5914"/>
    <w:multiLevelType w:val="hybridMultilevel"/>
    <w:tmpl w:val="5AACCE88"/>
    <w:lvl w:ilvl="0" w:tplc="CEAAF5A8">
      <w:start w:val="1"/>
      <w:numFmt w:val="bullet"/>
      <w:lvlText w:val=""/>
      <w:lvlJc w:val="left"/>
      <w:pPr>
        <w:ind w:left="720" w:hanging="360"/>
      </w:pPr>
      <w:rPr>
        <w:rFonts w:ascii="Symbol" w:hAnsi="Symbol"/>
      </w:rPr>
    </w:lvl>
    <w:lvl w:ilvl="1" w:tplc="CD3C29FC">
      <w:start w:val="1"/>
      <w:numFmt w:val="bullet"/>
      <w:lvlText w:val=""/>
      <w:lvlJc w:val="left"/>
      <w:pPr>
        <w:ind w:left="720" w:hanging="360"/>
      </w:pPr>
      <w:rPr>
        <w:rFonts w:ascii="Symbol" w:hAnsi="Symbol"/>
      </w:rPr>
    </w:lvl>
    <w:lvl w:ilvl="2" w:tplc="03CC21A8">
      <w:start w:val="1"/>
      <w:numFmt w:val="bullet"/>
      <w:lvlText w:val=""/>
      <w:lvlJc w:val="left"/>
      <w:pPr>
        <w:ind w:left="720" w:hanging="360"/>
      </w:pPr>
      <w:rPr>
        <w:rFonts w:ascii="Symbol" w:hAnsi="Symbol"/>
      </w:rPr>
    </w:lvl>
    <w:lvl w:ilvl="3" w:tplc="90E04B5A">
      <w:start w:val="1"/>
      <w:numFmt w:val="bullet"/>
      <w:lvlText w:val=""/>
      <w:lvlJc w:val="left"/>
      <w:pPr>
        <w:ind w:left="720" w:hanging="360"/>
      </w:pPr>
      <w:rPr>
        <w:rFonts w:ascii="Symbol" w:hAnsi="Symbol"/>
      </w:rPr>
    </w:lvl>
    <w:lvl w:ilvl="4" w:tplc="127A26A2">
      <w:start w:val="1"/>
      <w:numFmt w:val="bullet"/>
      <w:lvlText w:val=""/>
      <w:lvlJc w:val="left"/>
      <w:pPr>
        <w:ind w:left="720" w:hanging="360"/>
      </w:pPr>
      <w:rPr>
        <w:rFonts w:ascii="Symbol" w:hAnsi="Symbol"/>
      </w:rPr>
    </w:lvl>
    <w:lvl w:ilvl="5" w:tplc="6568A0D8">
      <w:start w:val="1"/>
      <w:numFmt w:val="bullet"/>
      <w:lvlText w:val=""/>
      <w:lvlJc w:val="left"/>
      <w:pPr>
        <w:ind w:left="720" w:hanging="360"/>
      </w:pPr>
      <w:rPr>
        <w:rFonts w:ascii="Symbol" w:hAnsi="Symbol"/>
      </w:rPr>
    </w:lvl>
    <w:lvl w:ilvl="6" w:tplc="2E108B52">
      <w:start w:val="1"/>
      <w:numFmt w:val="bullet"/>
      <w:lvlText w:val=""/>
      <w:lvlJc w:val="left"/>
      <w:pPr>
        <w:ind w:left="720" w:hanging="360"/>
      </w:pPr>
      <w:rPr>
        <w:rFonts w:ascii="Symbol" w:hAnsi="Symbol"/>
      </w:rPr>
    </w:lvl>
    <w:lvl w:ilvl="7" w:tplc="54AEEF66">
      <w:start w:val="1"/>
      <w:numFmt w:val="bullet"/>
      <w:lvlText w:val=""/>
      <w:lvlJc w:val="left"/>
      <w:pPr>
        <w:ind w:left="720" w:hanging="360"/>
      </w:pPr>
      <w:rPr>
        <w:rFonts w:ascii="Symbol" w:hAnsi="Symbol"/>
      </w:rPr>
    </w:lvl>
    <w:lvl w:ilvl="8" w:tplc="AD8EAFFE">
      <w:start w:val="1"/>
      <w:numFmt w:val="bullet"/>
      <w:lvlText w:val=""/>
      <w:lvlJc w:val="left"/>
      <w:pPr>
        <w:ind w:left="720" w:hanging="360"/>
      </w:pPr>
      <w:rPr>
        <w:rFonts w:ascii="Symbol" w:hAnsi="Symbol"/>
      </w:rPr>
    </w:lvl>
  </w:abstractNum>
  <w:abstractNum w:abstractNumId="8"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9A0593"/>
    <w:multiLevelType w:val="hybridMultilevel"/>
    <w:tmpl w:val="3050B46C"/>
    <w:lvl w:ilvl="0" w:tplc="0E32F788">
      <w:start w:val="1"/>
      <w:numFmt w:val="bullet"/>
      <w:lvlText w:val=""/>
      <w:lvlJc w:val="left"/>
      <w:pPr>
        <w:ind w:left="1160" w:hanging="360"/>
      </w:pPr>
      <w:rPr>
        <w:rFonts w:ascii="Symbol" w:hAnsi="Symbol"/>
      </w:rPr>
    </w:lvl>
    <w:lvl w:ilvl="1" w:tplc="C92AFB7A">
      <w:start w:val="1"/>
      <w:numFmt w:val="bullet"/>
      <w:lvlText w:val=""/>
      <w:lvlJc w:val="left"/>
      <w:pPr>
        <w:ind w:left="1160" w:hanging="360"/>
      </w:pPr>
      <w:rPr>
        <w:rFonts w:ascii="Symbol" w:hAnsi="Symbol"/>
      </w:rPr>
    </w:lvl>
    <w:lvl w:ilvl="2" w:tplc="087A99B8">
      <w:start w:val="1"/>
      <w:numFmt w:val="bullet"/>
      <w:lvlText w:val=""/>
      <w:lvlJc w:val="left"/>
      <w:pPr>
        <w:ind w:left="1160" w:hanging="360"/>
      </w:pPr>
      <w:rPr>
        <w:rFonts w:ascii="Symbol" w:hAnsi="Symbol"/>
      </w:rPr>
    </w:lvl>
    <w:lvl w:ilvl="3" w:tplc="B30661B4">
      <w:start w:val="1"/>
      <w:numFmt w:val="bullet"/>
      <w:lvlText w:val=""/>
      <w:lvlJc w:val="left"/>
      <w:pPr>
        <w:ind w:left="1160" w:hanging="360"/>
      </w:pPr>
      <w:rPr>
        <w:rFonts w:ascii="Symbol" w:hAnsi="Symbol"/>
      </w:rPr>
    </w:lvl>
    <w:lvl w:ilvl="4" w:tplc="A59CF146">
      <w:start w:val="1"/>
      <w:numFmt w:val="bullet"/>
      <w:lvlText w:val=""/>
      <w:lvlJc w:val="left"/>
      <w:pPr>
        <w:ind w:left="1160" w:hanging="360"/>
      </w:pPr>
      <w:rPr>
        <w:rFonts w:ascii="Symbol" w:hAnsi="Symbol"/>
      </w:rPr>
    </w:lvl>
    <w:lvl w:ilvl="5" w:tplc="CF6E3630">
      <w:start w:val="1"/>
      <w:numFmt w:val="bullet"/>
      <w:lvlText w:val=""/>
      <w:lvlJc w:val="left"/>
      <w:pPr>
        <w:ind w:left="1160" w:hanging="360"/>
      </w:pPr>
      <w:rPr>
        <w:rFonts w:ascii="Symbol" w:hAnsi="Symbol"/>
      </w:rPr>
    </w:lvl>
    <w:lvl w:ilvl="6" w:tplc="3DC886BA">
      <w:start w:val="1"/>
      <w:numFmt w:val="bullet"/>
      <w:lvlText w:val=""/>
      <w:lvlJc w:val="left"/>
      <w:pPr>
        <w:ind w:left="1160" w:hanging="360"/>
      </w:pPr>
      <w:rPr>
        <w:rFonts w:ascii="Symbol" w:hAnsi="Symbol"/>
      </w:rPr>
    </w:lvl>
    <w:lvl w:ilvl="7" w:tplc="FC82A8C2">
      <w:start w:val="1"/>
      <w:numFmt w:val="bullet"/>
      <w:lvlText w:val=""/>
      <w:lvlJc w:val="left"/>
      <w:pPr>
        <w:ind w:left="1160" w:hanging="360"/>
      </w:pPr>
      <w:rPr>
        <w:rFonts w:ascii="Symbol" w:hAnsi="Symbol"/>
      </w:rPr>
    </w:lvl>
    <w:lvl w:ilvl="8" w:tplc="99DADA44">
      <w:start w:val="1"/>
      <w:numFmt w:val="bullet"/>
      <w:lvlText w:val=""/>
      <w:lvlJc w:val="left"/>
      <w:pPr>
        <w:ind w:left="1160" w:hanging="360"/>
      </w:pPr>
      <w:rPr>
        <w:rFonts w:ascii="Symbol" w:hAnsi="Symbol"/>
      </w:rPr>
    </w:lvl>
  </w:abstractNum>
  <w:abstractNum w:abstractNumId="10" w15:restartNumberingAfterBreak="0">
    <w:nsid w:val="0FE60DF5"/>
    <w:multiLevelType w:val="hybridMultilevel"/>
    <w:tmpl w:val="04569FFA"/>
    <w:lvl w:ilvl="0" w:tplc="BDECAEB4">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00B375C"/>
    <w:multiLevelType w:val="hybridMultilevel"/>
    <w:tmpl w:val="0E5083E0"/>
    <w:lvl w:ilvl="0" w:tplc="AD8A1B8E">
      <w:start w:val="1"/>
      <w:numFmt w:val="bullet"/>
      <w:lvlText w:val=""/>
      <w:lvlJc w:val="left"/>
      <w:pPr>
        <w:ind w:left="720" w:hanging="360"/>
      </w:pPr>
      <w:rPr>
        <w:rFonts w:ascii="Symbol" w:hAnsi="Symbol"/>
      </w:rPr>
    </w:lvl>
    <w:lvl w:ilvl="1" w:tplc="633204A4">
      <w:start w:val="1"/>
      <w:numFmt w:val="bullet"/>
      <w:lvlText w:val=""/>
      <w:lvlJc w:val="left"/>
      <w:pPr>
        <w:ind w:left="720" w:hanging="360"/>
      </w:pPr>
      <w:rPr>
        <w:rFonts w:ascii="Symbol" w:hAnsi="Symbol"/>
      </w:rPr>
    </w:lvl>
    <w:lvl w:ilvl="2" w:tplc="6E60D28E">
      <w:start w:val="1"/>
      <w:numFmt w:val="bullet"/>
      <w:lvlText w:val=""/>
      <w:lvlJc w:val="left"/>
      <w:pPr>
        <w:ind w:left="720" w:hanging="360"/>
      </w:pPr>
      <w:rPr>
        <w:rFonts w:ascii="Symbol" w:hAnsi="Symbol"/>
      </w:rPr>
    </w:lvl>
    <w:lvl w:ilvl="3" w:tplc="2E6437AA">
      <w:start w:val="1"/>
      <w:numFmt w:val="bullet"/>
      <w:lvlText w:val=""/>
      <w:lvlJc w:val="left"/>
      <w:pPr>
        <w:ind w:left="720" w:hanging="360"/>
      </w:pPr>
      <w:rPr>
        <w:rFonts w:ascii="Symbol" w:hAnsi="Symbol"/>
      </w:rPr>
    </w:lvl>
    <w:lvl w:ilvl="4" w:tplc="DC68442C">
      <w:start w:val="1"/>
      <w:numFmt w:val="bullet"/>
      <w:lvlText w:val=""/>
      <w:lvlJc w:val="left"/>
      <w:pPr>
        <w:ind w:left="720" w:hanging="360"/>
      </w:pPr>
      <w:rPr>
        <w:rFonts w:ascii="Symbol" w:hAnsi="Symbol"/>
      </w:rPr>
    </w:lvl>
    <w:lvl w:ilvl="5" w:tplc="B760548C">
      <w:start w:val="1"/>
      <w:numFmt w:val="bullet"/>
      <w:lvlText w:val=""/>
      <w:lvlJc w:val="left"/>
      <w:pPr>
        <w:ind w:left="720" w:hanging="360"/>
      </w:pPr>
      <w:rPr>
        <w:rFonts w:ascii="Symbol" w:hAnsi="Symbol"/>
      </w:rPr>
    </w:lvl>
    <w:lvl w:ilvl="6" w:tplc="0CE402A0">
      <w:start w:val="1"/>
      <w:numFmt w:val="bullet"/>
      <w:lvlText w:val=""/>
      <w:lvlJc w:val="left"/>
      <w:pPr>
        <w:ind w:left="720" w:hanging="360"/>
      </w:pPr>
      <w:rPr>
        <w:rFonts w:ascii="Symbol" w:hAnsi="Symbol"/>
      </w:rPr>
    </w:lvl>
    <w:lvl w:ilvl="7" w:tplc="214A551A">
      <w:start w:val="1"/>
      <w:numFmt w:val="bullet"/>
      <w:lvlText w:val=""/>
      <w:lvlJc w:val="left"/>
      <w:pPr>
        <w:ind w:left="720" w:hanging="360"/>
      </w:pPr>
      <w:rPr>
        <w:rFonts w:ascii="Symbol" w:hAnsi="Symbol"/>
      </w:rPr>
    </w:lvl>
    <w:lvl w:ilvl="8" w:tplc="4CEC739A">
      <w:start w:val="1"/>
      <w:numFmt w:val="bullet"/>
      <w:lvlText w:val=""/>
      <w:lvlJc w:val="left"/>
      <w:pPr>
        <w:ind w:left="720" w:hanging="360"/>
      </w:pPr>
      <w:rPr>
        <w:rFonts w:ascii="Symbol" w:hAnsi="Symbol"/>
      </w:rPr>
    </w:lvl>
  </w:abstractNum>
  <w:abstractNum w:abstractNumId="12" w15:restartNumberingAfterBreak="0">
    <w:nsid w:val="13DC2252"/>
    <w:multiLevelType w:val="hybridMultilevel"/>
    <w:tmpl w:val="6C686FA0"/>
    <w:lvl w:ilvl="0" w:tplc="0B1EB7CA">
      <w:start w:val="20"/>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3F84ADB"/>
    <w:multiLevelType w:val="hybridMultilevel"/>
    <w:tmpl w:val="F302490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4DF6E1D"/>
    <w:multiLevelType w:val="hybridMultilevel"/>
    <w:tmpl w:val="5CB279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16CE1CFF"/>
    <w:multiLevelType w:val="hybridMultilevel"/>
    <w:tmpl w:val="1318DC14"/>
    <w:lvl w:ilvl="0" w:tplc="78164734">
      <w:start w:val="1"/>
      <w:numFmt w:val="bullet"/>
      <w:lvlText w:val=""/>
      <w:lvlJc w:val="left"/>
      <w:pPr>
        <w:ind w:left="1800" w:hanging="360"/>
      </w:pPr>
      <w:rPr>
        <w:rFonts w:ascii="Symbol" w:hAnsi="Symbol"/>
      </w:rPr>
    </w:lvl>
    <w:lvl w:ilvl="1" w:tplc="E30828B4">
      <w:start w:val="1"/>
      <w:numFmt w:val="bullet"/>
      <w:lvlText w:val=""/>
      <w:lvlJc w:val="left"/>
      <w:pPr>
        <w:ind w:left="1800" w:hanging="360"/>
      </w:pPr>
      <w:rPr>
        <w:rFonts w:ascii="Symbol" w:hAnsi="Symbol"/>
      </w:rPr>
    </w:lvl>
    <w:lvl w:ilvl="2" w:tplc="D596621E">
      <w:start w:val="1"/>
      <w:numFmt w:val="bullet"/>
      <w:lvlText w:val=""/>
      <w:lvlJc w:val="left"/>
      <w:pPr>
        <w:ind w:left="1800" w:hanging="360"/>
      </w:pPr>
      <w:rPr>
        <w:rFonts w:ascii="Symbol" w:hAnsi="Symbol"/>
      </w:rPr>
    </w:lvl>
    <w:lvl w:ilvl="3" w:tplc="B03A3492">
      <w:start w:val="1"/>
      <w:numFmt w:val="bullet"/>
      <w:lvlText w:val=""/>
      <w:lvlJc w:val="left"/>
      <w:pPr>
        <w:ind w:left="1800" w:hanging="360"/>
      </w:pPr>
      <w:rPr>
        <w:rFonts w:ascii="Symbol" w:hAnsi="Symbol"/>
      </w:rPr>
    </w:lvl>
    <w:lvl w:ilvl="4" w:tplc="47DC31A4">
      <w:start w:val="1"/>
      <w:numFmt w:val="bullet"/>
      <w:lvlText w:val=""/>
      <w:lvlJc w:val="left"/>
      <w:pPr>
        <w:ind w:left="1800" w:hanging="360"/>
      </w:pPr>
      <w:rPr>
        <w:rFonts w:ascii="Symbol" w:hAnsi="Symbol"/>
      </w:rPr>
    </w:lvl>
    <w:lvl w:ilvl="5" w:tplc="AEDA9654">
      <w:start w:val="1"/>
      <w:numFmt w:val="bullet"/>
      <w:lvlText w:val=""/>
      <w:lvlJc w:val="left"/>
      <w:pPr>
        <w:ind w:left="1800" w:hanging="360"/>
      </w:pPr>
      <w:rPr>
        <w:rFonts w:ascii="Symbol" w:hAnsi="Symbol"/>
      </w:rPr>
    </w:lvl>
    <w:lvl w:ilvl="6" w:tplc="BFA80CCC">
      <w:start w:val="1"/>
      <w:numFmt w:val="bullet"/>
      <w:lvlText w:val=""/>
      <w:lvlJc w:val="left"/>
      <w:pPr>
        <w:ind w:left="1800" w:hanging="360"/>
      </w:pPr>
      <w:rPr>
        <w:rFonts w:ascii="Symbol" w:hAnsi="Symbol"/>
      </w:rPr>
    </w:lvl>
    <w:lvl w:ilvl="7" w:tplc="551A5D3C">
      <w:start w:val="1"/>
      <w:numFmt w:val="bullet"/>
      <w:lvlText w:val=""/>
      <w:lvlJc w:val="left"/>
      <w:pPr>
        <w:ind w:left="1800" w:hanging="360"/>
      </w:pPr>
      <w:rPr>
        <w:rFonts w:ascii="Symbol" w:hAnsi="Symbol"/>
      </w:rPr>
    </w:lvl>
    <w:lvl w:ilvl="8" w:tplc="2F762C50">
      <w:start w:val="1"/>
      <w:numFmt w:val="bullet"/>
      <w:lvlText w:val=""/>
      <w:lvlJc w:val="left"/>
      <w:pPr>
        <w:ind w:left="1800" w:hanging="360"/>
      </w:pPr>
      <w:rPr>
        <w:rFonts w:ascii="Symbol" w:hAnsi="Symbol"/>
      </w:rPr>
    </w:lvl>
  </w:abstractNum>
  <w:abstractNum w:abstractNumId="16" w15:restartNumberingAfterBreak="0">
    <w:nsid w:val="17DA34A5"/>
    <w:multiLevelType w:val="hybridMultilevel"/>
    <w:tmpl w:val="BF4E892A"/>
    <w:lvl w:ilvl="0" w:tplc="89C26604">
      <w:start w:val="1"/>
      <w:numFmt w:val="bullet"/>
      <w:lvlText w:val=""/>
      <w:lvlJc w:val="left"/>
      <w:pPr>
        <w:ind w:left="1800" w:hanging="360"/>
      </w:pPr>
      <w:rPr>
        <w:rFonts w:ascii="Symbol" w:hAnsi="Symbol"/>
      </w:rPr>
    </w:lvl>
    <w:lvl w:ilvl="1" w:tplc="30EE6176">
      <w:start w:val="1"/>
      <w:numFmt w:val="bullet"/>
      <w:lvlText w:val=""/>
      <w:lvlJc w:val="left"/>
      <w:pPr>
        <w:ind w:left="1800" w:hanging="360"/>
      </w:pPr>
      <w:rPr>
        <w:rFonts w:ascii="Symbol" w:hAnsi="Symbol"/>
      </w:rPr>
    </w:lvl>
    <w:lvl w:ilvl="2" w:tplc="5E3EC78A">
      <w:start w:val="1"/>
      <w:numFmt w:val="bullet"/>
      <w:lvlText w:val=""/>
      <w:lvlJc w:val="left"/>
      <w:pPr>
        <w:ind w:left="1800" w:hanging="360"/>
      </w:pPr>
      <w:rPr>
        <w:rFonts w:ascii="Symbol" w:hAnsi="Symbol"/>
      </w:rPr>
    </w:lvl>
    <w:lvl w:ilvl="3" w:tplc="779E4DC6">
      <w:start w:val="1"/>
      <w:numFmt w:val="bullet"/>
      <w:lvlText w:val=""/>
      <w:lvlJc w:val="left"/>
      <w:pPr>
        <w:ind w:left="1800" w:hanging="360"/>
      </w:pPr>
      <w:rPr>
        <w:rFonts w:ascii="Symbol" w:hAnsi="Symbol"/>
      </w:rPr>
    </w:lvl>
    <w:lvl w:ilvl="4" w:tplc="2DB60F28">
      <w:start w:val="1"/>
      <w:numFmt w:val="bullet"/>
      <w:lvlText w:val=""/>
      <w:lvlJc w:val="left"/>
      <w:pPr>
        <w:ind w:left="1800" w:hanging="360"/>
      </w:pPr>
      <w:rPr>
        <w:rFonts w:ascii="Symbol" w:hAnsi="Symbol"/>
      </w:rPr>
    </w:lvl>
    <w:lvl w:ilvl="5" w:tplc="DF542634">
      <w:start w:val="1"/>
      <w:numFmt w:val="bullet"/>
      <w:lvlText w:val=""/>
      <w:lvlJc w:val="left"/>
      <w:pPr>
        <w:ind w:left="1800" w:hanging="360"/>
      </w:pPr>
      <w:rPr>
        <w:rFonts w:ascii="Symbol" w:hAnsi="Symbol"/>
      </w:rPr>
    </w:lvl>
    <w:lvl w:ilvl="6" w:tplc="EF2AAF22">
      <w:start w:val="1"/>
      <w:numFmt w:val="bullet"/>
      <w:lvlText w:val=""/>
      <w:lvlJc w:val="left"/>
      <w:pPr>
        <w:ind w:left="1800" w:hanging="360"/>
      </w:pPr>
      <w:rPr>
        <w:rFonts w:ascii="Symbol" w:hAnsi="Symbol"/>
      </w:rPr>
    </w:lvl>
    <w:lvl w:ilvl="7" w:tplc="283253DA">
      <w:start w:val="1"/>
      <w:numFmt w:val="bullet"/>
      <w:lvlText w:val=""/>
      <w:lvlJc w:val="left"/>
      <w:pPr>
        <w:ind w:left="1800" w:hanging="360"/>
      </w:pPr>
      <w:rPr>
        <w:rFonts w:ascii="Symbol" w:hAnsi="Symbol"/>
      </w:rPr>
    </w:lvl>
    <w:lvl w:ilvl="8" w:tplc="3D9613D6">
      <w:start w:val="1"/>
      <w:numFmt w:val="bullet"/>
      <w:lvlText w:val=""/>
      <w:lvlJc w:val="left"/>
      <w:pPr>
        <w:ind w:left="1800" w:hanging="360"/>
      </w:pPr>
      <w:rPr>
        <w:rFonts w:ascii="Symbol" w:hAnsi="Symbol"/>
      </w:rPr>
    </w:lvl>
  </w:abstractNum>
  <w:abstractNum w:abstractNumId="17" w15:restartNumberingAfterBreak="0">
    <w:nsid w:val="181922B8"/>
    <w:multiLevelType w:val="hybridMultilevel"/>
    <w:tmpl w:val="6E46DC40"/>
    <w:lvl w:ilvl="0" w:tplc="CB840A52">
      <w:start w:val="1"/>
      <w:numFmt w:val="bullet"/>
      <w:lvlText w:val=""/>
      <w:lvlJc w:val="left"/>
      <w:pPr>
        <w:ind w:left="1134" w:hanging="360"/>
      </w:pPr>
      <w:rPr>
        <w:rFonts w:ascii="Symbol" w:hAnsi="Symbol" w:hint="default"/>
        <w:color w:val="auto"/>
      </w:rPr>
    </w:lvl>
    <w:lvl w:ilvl="1" w:tplc="0C090003">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8" w15:restartNumberingAfterBreak="0">
    <w:nsid w:val="189B16B5"/>
    <w:multiLevelType w:val="hybridMultilevel"/>
    <w:tmpl w:val="C7AEE0A0"/>
    <w:lvl w:ilvl="0" w:tplc="F83A558E">
      <w:start w:val="1"/>
      <w:numFmt w:val="bullet"/>
      <w:lvlText w:val="•"/>
      <w:lvlJc w:val="left"/>
      <w:pPr>
        <w:tabs>
          <w:tab w:val="num" w:pos="720"/>
        </w:tabs>
        <w:ind w:left="720" w:hanging="360"/>
      </w:pPr>
      <w:rPr>
        <w:rFonts w:ascii="Arial" w:hAnsi="Arial" w:hint="default"/>
      </w:rPr>
    </w:lvl>
    <w:lvl w:ilvl="1" w:tplc="95F09E12" w:tentative="1">
      <w:start w:val="1"/>
      <w:numFmt w:val="bullet"/>
      <w:lvlText w:val="•"/>
      <w:lvlJc w:val="left"/>
      <w:pPr>
        <w:tabs>
          <w:tab w:val="num" w:pos="1440"/>
        </w:tabs>
        <w:ind w:left="1440" w:hanging="360"/>
      </w:pPr>
      <w:rPr>
        <w:rFonts w:ascii="Arial" w:hAnsi="Arial" w:hint="default"/>
      </w:rPr>
    </w:lvl>
    <w:lvl w:ilvl="2" w:tplc="A16E7CA4" w:tentative="1">
      <w:start w:val="1"/>
      <w:numFmt w:val="bullet"/>
      <w:lvlText w:val="•"/>
      <w:lvlJc w:val="left"/>
      <w:pPr>
        <w:tabs>
          <w:tab w:val="num" w:pos="2160"/>
        </w:tabs>
        <w:ind w:left="2160" w:hanging="360"/>
      </w:pPr>
      <w:rPr>
        <w:rFonts w:ascii="Arial" w:hAnsi="Arial" w:hint="default"/>
      </w:rPr>
    </w:lvl>
    <w:lvl w:ilvl="3" w:tplc="0EDC493E" w:tentative="1">
      <w:start w:val="1"/>
      <w:numFmt w:val="bullet"/>
      <w:lvlText w:val="•"/>
      <w:lvlJc w:val="left"/>
      <w:pPr>
        <w:tabs>
          <w:tab w:val="num" w:pos="2880"/>
        </w:tabs>
        <w:ind w:left="2880" w:hanging="360"/>
      </w:pPr>
      <w:rPr>
        <w:rFonts w:ascii="Arial" w:hAnsi="Arial" w:hint="default"/>
      </w:rPr>
    </w:lvl>
    <w:lvl w:ilvl="4" w:tplc="4D68F75E" w:tentative="1">
      <w:start w:val="1"/>
      <w:numFmt w:val="bullet"/>
      <w:lvlText w:val="•"/>
      <w:lvlJc w:val="left"/>
      <w:pPr>
        <w:tabs>
          <w:tab w:val="num" w:pos="3600"/>
        </w:tabs>
        <w:ind w:left="3600" w:hanging="360"/>
      </w:pPr>
      <w:rPr>
        <w:rFonts w:ascii="Arial" w:hAnsi="Arial" w:hint="default"/>
      </w:rPr>
    </w:lvl>
    <w:lvl w:ilvl="5" w:tplc="8FF67BE4" w:tentative="1">
      <w:start w:val="1"/>
      <w:numFmt w:val="bullet"/>
      <w:lvlText w:val="•"/>
      <w:lvlJc w:val="left"/>
      <w:pPr>
        <w:tabs>
          <w:tab w:val="num" w:pos="4320"/>
        </w:tabs>
        <w:ind w:left="4320" w:hanging="360"/>
      </w:pPr>
      <w:rPr>
        <w:rFonts w:ascii="Arial" w:hAnsi="Arial" w:hint="default"/>
      </w:rPr>
    </w:lvl>
    <w:lvl w:ilvl="6" w:tplc="72186E22" w:tentative="1">
      <w:start w:val="1"/>
      <w:numFmt w:val="bullet"/>
      <w:lvlText w:val="•"/>
      <w:lvlJc w:val="left"/>
      <w:pPr>
        <w:tabs>
          <w:tab w:val="num" w:pos="5040"/>
        </w:tabs>
        <w:ind w:left="5040" w:hanging="360"/>
      </w:pPr>
      <w:rPr>
        <w:rFonts w:ascii="Arial" w:hAnsi="Arial" w:hint="default"/>
      </w:rPr>
    </w:lvl>
    <w:lvl w:ilvl="7" w:tplc="8A10EC50" w:tentative="1">
      <w:start w:val="1"/>
      <w:numFmt w:val="bullet"/>
      <w:lvlText w:val="•"/>
      <w:lvlJc w:val="left"/>
      <w:pPr>
        <w:tabs>
          <w:tab w:val="num" w:pos="5760"/>
        </w:tabs>
        <w:ind w:left="5760" w:hanging="360"/>
      </w:pPr>
      <w:rPr>
        <w:rFonts w:ascii="Arial" w:hAnsi="Arial" w:hint="default"/>
      </w:rPr>
    </w:lvl>
    <w:lvl w:ilvl="8" w:tplc="54DE561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D200824"/>
    <w:multiLevelType w:val="hybridMultilevel"/>
    <w:tmpl w:val="FE64D1E6"/>
    <w:lvl w:ilvl="0" w:tplc="1ED2D11E">
      <w:start w:val="1"/>
      <w:numFmt w:val="bullet"/>
      <w:lvlText w:val=""/>
      <w:lvlJc w:val="left"/>
      <w:pPr>
        <w:ind w:left="720" w:hanging="360"/>
      </w:pPr>
      <w:rPr>
        <w:rFonts w:ascii="Symbol" w:hAnsi="Symbol"/>
      </w:rPr>
    </w:lvl>
    <w:lvl w:ilvl="1" w:tplc="0856298E">
      <w:start w:val="1"/>
      <w:numFmt w:val="bullet"/>
      <w:lvlText w:val=""/>
      <w:lvlJc w:val="left"/>
      <w:pPr>
        <w:ind w:left="720" w:hanging="360"/>
      </w:pPr>
      <w:rPr>
        <w:rFonts w:ascii="Symbol" w:hAnsi="Symbol"/>
      </w:rPr>
    </w:lvl>
    <w:lvl w:ilvl="2" w:tplc="8108AE22">
      <w:start w:val="1"/>
      <w:numFmt w:val="bullet"/>
      <w:lvlText w:val=""/>
      <w:lvlJc w:val="left"/>
      <w:pPr>
        <w:ind w:left="720" w:hanging="360"/>
      </w:pPr>
      <w:rPr>
        <w:rFonts w:ascii="Symbol" w:hAnsi="Symbol"/>
      </w:rPr>
    </w:lvl>
    <w:lvl w:ilvl="3" w:tplc="BE58C1FC">
      <w:start w:val="1"/>
      <w:numFmt w:val="bullet"/>
      <w:lvlText w:val=""/>
      <w:lvlJc w:val="left"/>
      <w:pPr>
        <w:ind w:left="720" w:hanging="360"/>
      </w:pPr>
      <w:rPr>
        <w:rFonts w:ascii="Symbol" w:hAnsi="Symbol"/>
      </w:rPr>
    </w:lvl>
    <w:lvl w:ilvl="4" w:tplc="6792B3C4">
      <w:start w:val="1"/>
      <w:numFmt w:val="bullet"/>
      <w:lvlText w:val=""/>
      <w:lvlJc w:val="left"/>
      <w:pPr>
        <w:ind w:left="720" w:hanging="360"/>
      </w:pPr>
      <w:rPr>
        <w:rFonts w:ascii="Symbol" w:hAnsi="Symbol"/>
      </w:rPr>
    </w:lvl>
    <w:lvl w:ilvl="5" w:tplc="06B6AFBC">
      <w:start w:val="1"/>
      <w:numFmt w:val="bullet"/>
      <w:lvlText w:val=""/>
      <w:lvlJc w:val="left"/>
      <w:pPr>
        <w:ind w:left="720" w:hanging="360"/>
      </w:pPr>
      <w:rPr>
        <w:rFonts w:ascii="Symbol" w:hAnsi="Symbol"/>
      </w:rPr>
    </w:lvl>
    <w:lvl w:ilvl="6" w:tplc="3CF02576">
      <w:start w:val="1"/>
      <w:numFmt w:val="bullet"/>
      <w:lvlText w:val=""/>
      <w:lvlJc w:val="left"/>
      <w:pPr>
        <w:ind w:left="720" w:hanging="360"/>
      </w:pPr>
      <w:rPr>
        <w:rFonts w:ascii="Symbol" w:hAnsi="Symbol"/>
      </w:rPr>
    </w:lvl>
    <w:lvl w:ilvl="7" w:tplc="9D5090F6">
      <w:start w:val="1"/>
      <w:numFmt w:val="bullet"/>
      <w:lvlText w:val=""/>
      <w:lvlJc w:val="left"/>
      <w:pPr>
        <w:ind w:left="720" w:hanging="360"/>
      </w:pPr>
      <w:rPr>
        <w:rFonts w:ascii="Symbol" w:hAnsi="Symbol"/>
      </w:rPr>
    </w:lvl>
    <w:lvl w:ilvl="8" w:tplc="A9BE4A1E">
      <w:start w:val="1"/>
      <w:numFmt w:val="bullet"/>
      <w:lvlText w:val=""/>
      <w:lvlJc w:val="left"/>
      <w:pPr>
        <w:ind w:left="720" w:hanging="360"/>
      </w:pPr>
      <w:rPr>
        <w:rFonts w:ascii="Symbol" w:hAnsi="Symbol"/>
      </w:rPr>
    </w:lvl>
  </w:abstractNum>
  <w:abstractNum w:abstractNumId="20" w15:restartNumberingAfterBreak="0">
    <w:nsid w:val="1F813FAD"/>
    <w:multiLevelType w:val="hybridMultilevel"/>
    <w:tmpl w:val="01E29AF6"/>
    <w:lvl w:ilvl="0" w:tplc="65E43832">
      <w:start w:val="1"/>
      <w:numFmt w:val="bullet"/>
      <w:lvlText w:val=""/>
      <w:lvlJc w:val="left"/>
      <w:pPr>
        <w:ind w:left="720" w:hanging="360"/>
      </w:pPr>
      <w:rPr>
        <w:rFonts w:ascii="Symbol" w:hAnsi="Symbol"/>
      </w:rPr>
    </w:lvl>
    <w:lvl w:ilvl="1" w:tplc="41049C96">
      <w:start w:val="1"/>
      <w:numFmt w:val="bullet"/>
      <w:lvlText w:val=""/>
      <w:lvlJc w:val="left"/>
      <w:pPr>
        <w:ind w:left="720" w:hanging="360"/>
      </w:pPr>
      <w:rPr>
        <w:rFonts w:ascii="Symbol" w:hAnsi="Symbol"/>
      </w:rPr>
    </w:lvl>
    <w:lvl w:ilvl="2" w:tplc="9EB65B86">
      <w:start w:val="1"/>
      <w:numFmt w:val="bullet"/>
      <w:lvlText w:val=""/>
      <w:lvlJc w:val="left"/>
      <w:pPr>
        <w:ind w:left="720" w:hanging="360"/>
      </w:pPr>
      <w:rPr>
        <w:rFonts w:ascii="Symbol" w:hAnsi="Symbol"/>
      </w:rPr>
    </w:lvl>
    <w:lvl w:ilvl="3" w:tplc="960CE83C">
      <w:start w:val="1"/>
      <w:numFmt w:val="bullet"/>
      <w:lvlText w:val=""/>
      <w:lvlJc w:val="left"/>
      <w:pPr>
        <w:ind w:left="720" w:hanging="360"/>
      </w:pPr>
      <w:rPr>
        <w:rFonts w:ascii="Symbol" w:hAnsi="Symbol"/>
      </w:rPr>
    </w:lvl>
    <w:lvl w:ilvl="4" w:tplc="FE582B3C">
      <w:start w:val="1"/>
      <w:numFmt w:val="bullet"/>
      <w:lvlText w:val=""/>
      <w:lvlJc w:val="left"/>
      <w:pPr>
        <w:ind w:left="720" w:hanging="360"/>
      </w:pPr>
      <w:rPr>
        <w:rFonts w:ascii="Symbol" w:hAnsi="Symbol"/>
      </w:rPr>
    </w:lvl>
    <w:lvl w:ilvl="5" w:tplc="EA94B6C6">
      <w:start w:val="1"/>
      <w:numFmt w:val="bullet"/>
      <w:lvlText w:val=""/>
      <w:lvlJc w:val="left"/>
      <w:pPr>
        <w:ind w:left="720" w:hanging="360"/>
      </w:pPr>
      <w:rPr>
        <w:rFonts w:ascii="Symbol" w:hAnsi="Symbol"/>
      </w:rPr>
    </w:lvl>
    <w:lvl w:ilvl="6" w:tplc="3D7AF032">
      <w:start w:val="1"/>
      <w:numFmt w:val="bullet"/>
      <w:lvlText w:val=""/>
      <w:lvlJc w:val="left"/>
      <w:pPr>
        <w:ind w:left="720" w:hanging="360"/>
      </w:pPr>
      <w:rPr>
        <w:rFonts w:ascii="Symbol" w:hAnsi="Symbol"/>
      </w:rPr>
    </w:lvl>
    <w:lvl w:ilvl="7" w:tplc="32B6E5A4">
      <w:start w:val="1"/>
      <w:numFmt w:val="bullet"/>
      <w:lvlText w:val=""/>
      <w:lvlJc w:val="left"/>
      <w:pPr>
        <w:ind w:left="720" w:hanging="360"/>
      </w:pPr>
      <w:rPr>
        <w:rFonts w:ascii="Symbol" w:hAnsi="Symbol"/>
      </w:rPr>
    </w:lvl>
    <w:lvl w:ilvl="8" w:tplc="5812377A">
      <w:start w:val="1"/>
      <w:numFmt w:val="bullet"/>
      <w:lvlText w:val=""/>
      <w:lvlJc w:val="left"/>
      <w:pPr>
        <w:ind w:left="720" w:hanging="360"/>
      </w:pPr>
      <w:rPr>
        <w:rFonts w:ascii="Symbol" w:hAnsi="Symbol"/>
      </w:rPr>
    </w:lvl>
  </w:abstractNum>
  <w:abstractNum w:abstractNumId="21" w15:restartNumberingAfterBreak="0">
    <w:nsid w:val="206334CD"/>
    <w:multiLevelType w:val="hybridMultilevel"/>
    <w:tmpl w:val="BB24EE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20994DA7"/>
    <w:multiLevelType w:val="hybridMultilevel"/>
    <w:tmpl w:val="A1A81398"/>
    <w:lvl w:ilvl="0" w:tplc="FEA22D92">
      <w:start w:val="1"/>
      <w:numFmt w:val="bullet"/>
      <w:lvlText w:val=""/>
      <w:lvlJc w:val="left"/>
      <w:pPr>
        <w:ind w:left="1080" w:hanging="360"/>
      </w:pPr>
      <w:rPr>
        <w:rFonts w:ascii="Symbol" w:hAnsi="Symbol"/>
      </w:rPr>
    </w:lvl>
    <w:lvl w:ilvl="1" w:tplc="7E806E44">
      <w:start w:val="1"/>
      <w:numFmt w:val="bullet"/>
      <w:lvlText w:val=""/>
      <w:lvlJc w:val="left"/>
      <w:pPr>
        <w:ind w:left="1080" w:hanging="360"/>
      </w:pPr>
      <w:rPr>
        <w:rFonts w:ascii="Symbol" w:hAnsi="Symbol"/>
      </w:rPr>
    </w:lvl>
    <w:lvl w:ilvl="2" w:tplc="80304ED4">
      <w:start w:val="1"/>
      <w:numFmt w:val="bullet"/>
      <w:lvlText w:val=""/>
      <w:lvlJc w:val="left"/>
      <w:pPr>
        <w:ind w:left="1080" w:hanging="360"/>
      </w:pPr>
      <w:rPr>
        <w:rFonts w:ascii="Symbol" w:hAnsi="Symbol"/>
      </w:rPr>
    </w:lvl>
    <w:lvl w:ilvl="3" w:tplc="8B26B752">
      <w:start w:val="1"/>
      <w:numFmt w:val="bullet"/>
      <w:lvlText w:val=""/>
      <w:lvlJc w:val="left"/>
      <w:pPr>
        <w:ind w:left="1080" w:hanging="360"/>
      </w:pPr>
      <w:rPr>
        <w:rFonts w:ascii="Symbol" w:hAnsi="Symbol"/>
      </w:rPr>
    </w:lvl>
    <w:lvl w:ilvl="4" w:tplc="6346CE92">
      <w:start w:val="1"/>
      <w:numFmt w:val="bullet"/>
      <w:lvlText w:val=""/>
      <w:lvlJc w:val="left"/>
      <w:pPr>
        <w:ind w:left="1080" w:hanging="360"/>
      </w:pPr>
      <w:rPr>
        <w:rFonts w:ascii="Symbol" w:hAnsi="Symbol"/>
      </w:rPr>
    </w:lvl>
    <w:lvl w:ilvl="5" w:tplc="759689F8">
      <w:start w:val="1"/>
      <w:numFmt w:val="bullet"/>
      <w:lvlText w:val=""/>
      <w:lvlJc w:val="left"/>
      <w:pPr>
        <w:ind w:left="1080" w:hanging="360"/>
      </w:pPr>
      <w:rPr>
        <w:rFonts w:ascii="Symbol" w:hAnsi="Symbol"/>
      </w:rPr>
    </w:lvl>
    <w:lvl w:ilvl="6" w:tplc="67ACB6DC">
      <w:start w:val="1"/>
      <w:numFmt w:val="bullet"/>
      <w:lvlText w:val=""/>
      <w:lvlJc w:val="left"/>
      <w:pPr>
        <w:ind w:left="1080" w:hanging="360"/>
      </w:pPr>
      <w:rPr>
        <w:rFonts w:ascii="Symbol" w:hAnsi="Symbol"/>
      </w:rPr>
    </w:lvl>
    <w:lvl w:ilvl="7" w:tplc="8C1C73F6">
      <w:start w:val="1"/>
      <w:numFmt w:val="bullet"/>
      <w:lvlText w:val=""/>
      <w:lvlJc w:val="left"/>
      <w:pPr>
        <w:ind w:left="1080" w:hanging="360"/>
      </w:pPr>
      <w:rPr>
        <w:rFonts w:ascii="Symbol" w:hAnsi="Symbol"/>
      </w:rPr>
    </w:lvl>
    <w:lvl w:ilvl="8" w:tplc="49BE5B32">
      <w:start w:val="1"/>
      <w:numFmt w:val="bullet"/>
      <w:lvlText w:val=""/>
      <w:lvlJc w:val="left"/>
      <w:pPr>
        <w:ind w:left="1080" w:hanging="360"/>
      </w:pPr>
      <w:rPr>
        <w:rFonts w:ascii="Symbol" w:hAnsi="Symbol"/>
      </w:rPr>
    </w:lvl>
  </w:abstractNum>
  <w:abstractNum w:abstractNumId="23"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23B6274A"/>
    <w:multiLevelType w:val="hybridMultilevel"/>
    <w:tmpl w:val="E07A47CC"/>
    <w:lvl w:ilvl="0" w:tplc="E1B6BF4A">
      <w:start w:val="1"/>
      <w:numFmt w:val="decimal"/>
      <w:lvlText w:val="%1."/>
      <w:lvlJc w:val="left"/>
      <w:pPr>
        <w:ind w:left="360" w:hanging="360"/>
      </w:pPr>
      <w:rPr>
        <w:rFonts w:hint="default"/>
        <w:color w:val="auto"/>
      </w:rPr>
    </w:lvl>
    <w:lvl w:ilvl="1" w:tplc="0C090019">
      <w:start w:val="1"/>
      <w:numFmt w:val="lowerLetter"/>
      <w:lvlText w:val="%2."/>
      <w:lvlJc w:val="left"/>
      <w:pPr>
        <w:ind w:left="22" w:hanging="360"/>
      </w:pPr>
    </w:lvl>
    <w:lvl w:ilvl="2" w:tplc="0C09001B" w:tentative="1">
      <w:start w:val="1"/>
      <w:numFmt w:val="lowerRoman"/>
      <w:lvlText w:val="%3."/>
      <w:lvlJc w:val="right"/>
      <w:pPr>
        <w:ind w:left="742" w:hanging="180"/>
      </w:pPr>
    </w:lvl>
    <w:lvl w:ilvl="3" w:tplc="0C09000F" w:tentative="1">
      <w:start w:val="1"/>
      <w:numFmt w:val="decimal"/>
      <w:lvlText w:val="%4."/>
      <w:lvlJc w:val="left"/>
      <w:pPr>
        <w:ind w:left="1462" w:hanging="360"/>
      </w:pPr>
    </w:lvl>
    <w:lvl w:ilvl="4" w:tplc="0C090019" w:tentative="1">
      <w:start w:val="1"/>
      <w:numFmt w:val="lowerLetter"/>
      <w:lvlText w:val="%5."/>
      <w:lvlJc w:val="left"/>
      <w:pPr>
        <w:ind w:left="2182" w:hanging="360"/>
      </w:pPr>
    </w:lvl>
    <w:lvl w:ilvl="5" w:tplc="0C09001B" w:tentative="1">
      <w:start w:val="1"/>
      <w:numFmt w:val="lowerRoman"/>
      <w:lvlText w:val="%6."/>
      <w:lvlJc w:val="right"/>
      <w:pPr>
        <w:ind w:left="2902" w:hanging="180"/>
      </w:pPr>
    </w:lvl>
    <w:lvl w:ilvl="6" w:tplc="0C09000F" w:tentative="1">
      <w:start w:val="1"/>
      <w:numFmt w:val="decimal"/>
      <w:lvlText w:val="%7."/>
      <w:lvlJc w:val="left"/>
      <w:pPr>
        <w:ind w:left="3622" w:hanging="360"/>
      </w:pPr>
    </w:lvl>
    <w:lvl w:ilvl="7" w:tplc="0C090019" w:tentative="1">
      <w:start w:val="1"/>
      <w:numFmt w:val="lowerLetter"/>
      <w:lvlText w:val="%8."/>
      <w:lvlJc w:val="left"/>
      <w:pPr>
        <w:ind w:left="4342" w:hanging="360"/>
      </w:pPr>
    </w:lvl>
    <w:lvl w:ilvl="8" w:tplc="0C09001B" w:tentative="1">
      <w:start w:val="1"/>
      <w:numFmt w:val="lowerRoman"/>
      <w:lvlText w:val="%9."/>
      <w:lvlJc w:val="right"/>
      <w:pPr>
        <w:ind w:left="5062" w:hanging="180"/>
      </w:pPr>
    </w:lvl>
  </w:abstractNum>
  <w:abstractNum w:abstractNumId="25" w15:restartNumberingAfterBreak="0">
    <w:nsid w:val="23C918CA"/>
    <w:multiLevelType w:val="hybridMultilevel"/>
    <w:tmpl w:val="4A840F46"/>
    <w:lvl w:ilvl="0" w:tplc="38684DB2">
      <w:start w:val="1"/>
      <w:numFmt w:val="bullet"/>
      <w:lvlText w:val=""/>
      <w:lvlJc w:val="left"/>
      <w:pPr>
        <w:ind w:left="1080" w:hanging="360"/>
      </w:pPr>
      <w:rPr>
        <w:rFonts w:ascii="Symbol" w:hAnsi="Symbol"/>
      </w:rPr>
    </w:lvl>
    <w:lvl w:ilvl="1" w:tplc="FFD06678">
      <w:start w:val="1"/>
      <w:numFmt w:val="bullet"/>
      <w:lvlText w:val=""/>
      <w:lvlJc w:val="left"/>
      <w:pPr>
        <w:ind w:left="1080" w:hanging="360"/>
      </w:pPr>
      <w:rPr>
        <w:rFonts w:ascii="Symbol" w:hAnsi="Symbol"/>
      </w:rPr>
    </w:lvl>
    <w:lvl w:ilvl="2" w:tplc="A30EF104">
      <w:start w:val="1"/>
      <w:numFmt w:val="bullet"/>
      <w:lvlText w:val=""/>
      <w:lvlJc w:val="left"/>
      <w:pPr>
        <w:ind w:left="1080" w:hanging="360"/>
      </w:pPr>
      <w:rPr>
        <w:rFonts w:ascii="Symbol" w:hAnsi="Symbol"/>
      </w:rPr>
    </w:lvl>
    <w:lvl w:ilvl="3" w:tplc="BC8A8236">
      <w:start w:val="1"/>
      <w:numFmt w:val="bullet"/>
      <w:lvlText w:val=""/>
      <w:lvlJc w:val="left"/>
      <w:pPr>
        <w:ind w:left="1080" w:hanging="360"/>
      </w:pPr>
      <w:rPr>
        <w:rFonts w:ascii="Symbol" w:hAnsi="Symbol"/>
      </w:rPr>
    </w:lvl>
    <w:lvl w:ilvl="4" w:tplc="E30CD4B4">
      <w:start w:val="1"/>
      <w:numFmt w:val="bullet"/>
      <w:lvlText w:val=""/>
      <w:lvlJc w:val="left"/>
      <w:pPr>
        <w:ind w:left="1080" w:hanging="360"/>
      </w:pPr>
      <w:rPr>
        <w:rFonts w:ascii="Symbol" w:hAnsi="Symbol"/>
      </w:rPr>
    </w:lvl>
    <w:lvl w:ilvl="5" w:tplc="BD944EA6">
      <w:start w:val="1"/>
      <w:numFmt w:val="bullet"/>
      <w:lvlText w:val=""/>
      <w:lvlJc w:val="left"/>
      <w:pPr>
        <w:ind w:left="1080" w:hanging="360"/>
      </w:pPr>
      <w:rPr>
        <w:rFonts w:ascii="Symbol" w:hAnsi="Symbol"/>
      </w:rPr>
    </w:lvl>
    <w:lvl w:ilvl="6" w:tplc="B2A88244">
      <w:start w:val="1"/>
      <w:numFmt w:val="bullet"/>
      <w:lvlText w:val=""/>
      <w:lvlJc w:val="left"/>
      <w:pPr>
        <w:ind w:left="1080" w:hanging="360"/>
      </w:pPr>
      <w:rPr>
        <w:rFonts w:ascii="Symbol" w:hAnsi="Symbol"/>
      </w:rPr>
    </w:lvl>
    <w:lvl w:ilvl="7" w:tplc="06AEA536">
      <w:start w:val="1"/>
      <w:numFmt w:val="bullet"/>
      <w:lvlText w:val=""/>
      <w:lvlJc w:val="left"/>
      <w:pPr>
        <w:ind w:left="1080" w:hanging="360"/>
      </w:pPr>
      <w:rPr>
        <w:rFonts w:ascii="Symbol" w:hAnsi="Symbol"/>
      </w:rPr>
    </w:lvl>
    <w:lvl w:ilvl="8" w:tplc="80082614">
      <w:start w:val="1"/>
      <w:numFmt w:val="bullet"/>
      <w:lvlText w:val=""/>
      <w:lvlJc w:val="left"/>
      <w:pPr>
        <w:ind w:left="1080" w:hanging="360"/>
      </w:pPr>
      <w:rPr>
        <w:rFonts w:ascii="Symbol" w:hAnsi="Symbol"/>
      </w:rPr>
    </w:lvl>
  </w:abstractNum>
  <w:abstractNum w:abstractNumId="2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5252AD7"/>
    <w:multiLevelType w:val="hybridMultilevel"/>
    <w:tmpl w:val="83282B14"/>
    <w:lvl w:ilvl="0" w:tplc="CB840A52">
      <w:start w:val="1"/>
      <w:numFmt w:val="bullet"/>
      <w:lvlText w:val=""/>
      <w:lvlJc w:val="left"/>
      <w:pPr>
        <w:ind w:left="1134" w:hanging="360"/>
      </w:pPr>
      <w:rPr>
        <w:rFonts w:ascii="Symbol" w:hAnsi="Symbol" w:hint="default"/>
        <w:color w:val="auto"/>
      </w:rPr>
    </w:lvl>
    <w:lvl w:ilvl="1" w:tplc="0C090003">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8" w15:restartNumberingAfterBreak="0">
    <w:nsid w:val="2AE07F9B"/>
    <w:multiLevelType w:val="hybridMultilevel"/>
    <w:tmpl w:val="57BA100C"/>
    <w:lvl w:ilvl="0" w:tplc="E3480016">
      <w:start w:val="1"/>
      <w:numFmt w:val="bullet"/>
      <w:lvlText w:val=""/>
      <w:lvlJc w:val="left"/>
      <w:pPr>
        <w:ind w:left="1080" w:hanging="360"/>
      </w:pPr>
      <w:rPr>
        <w:rFonts w:ascii="Symbol" w:hAnsi="Symbol"/>
      </w:rPr>
    </w:lvl>
    <w:lvl w:ilvl="1" w:tplc="AF8031E2">
      <w:start w:val="1"/>
      <w:numFmt w:val="bullet"/>
      <w:lvlText w:val=""/>
      <w:lvlJc w:val="left"/>
      <w:pPr>
        <w:ind w:left="1080" w:hanging="360"/>
      </w:pPr>
      <w:rPr>
        <w:rFonts w:ascii="Symbol" w:hAnsi="Symbol"/>
      </w:rPr>
    </w:lvl>
    <w:lvl w:ilvl="2" w:tplc="0CB4960A">
      <w:start w:val="1"/>
      <w:numFmt w:val="bullet"/>
      <w:lvlText w:val=""/>
      <w:lvlJc w:val="left"/>
      <w:pPr>
        <w:ind w:left="1080" w:hanging="360"/>
      </w:pPr>
      <w:rPr>
        <w:rFonts w:ascii="Symbol" w:hAnsi="Symbol"/>
      </w:rPr>
    </w:lvl>
    <w:lvl w:ilvl="3" w:tplc="6FDA5DDC">
      <w:start w:val="1"/>
      <w:numFmt w:val="bullet"/>
      <w:lvlText w:val=""/>
      <w:lvlJc w:val="left"/>
      <w:pPr>
        <w:ind w:left="1080" w:hanging="360"/>
      </w:pPr>
      <w:rPr>
        <w:rFonts w:ascii="Symbol" w:hAnsi="Symbol"/>
      </w:rPr>
    </w:lvl>
    <w:lvl w:ilvl="4" w:tplc="286C06C4">
      <w:start w:val="1"/>
      <w:numFmt w:val="bullet"/>
      <w:lvlText w:val=""/>
      <w:lvlJc w:val="left"/>
      <w:pPr>
        <w:ind w:left="1080" w:hanging="360"/>
      </w:pPr>
      <w:rPr>
        <w:rFonts w:ascii="Symbol" w:hAnsi="Symbol"/>
      </w:rPr>
    </w:lvl>
    <w:lvl w:ilvl="5" w:tplc="0264359C">
      <w:start w:val="1"/>
      <w:numFmt w:val="bullet"/>
      <w:lvlText w:val=""/>
      <w:lvlJc w:val="left"/>
      <w:pPr>
        <w:ind w:left="1080" w:hanging="360"/>
      </w:pPr>
      <w:rPr>
        <w:rFonts w:ascii="Symbol" w:hAnsi="Symbol"/>
      </w:rPr>
    </w:lvl>
    <w:lvl w:ilvl="6" w:tplc="024EE42A">
      <w:start w:val="1"/>
      <w:numFmt w:val="bullet"/>
      <w:lvlText w:val=""/>
      <w:lvlJc w:val="left"/>
      <w:pPr>
        <w:ind w:left="1080" w:hanging="360"/>
      </w:pPr>
      <w:rPr>
        <w:rFonts w:ascii="Symbol" w:hAnsi="Symbol"/>
      </w:rPr>
    </w:lvl>
    <w:lvl w:ilvl="7" w:tplc="CD78F330">
      <w:start w:val="1"/>
      <w:numFmt w:val="bullet"/>
      <w:lvlText w:val=""/>
      <w:lvlJc w:val="left"/>
      <w:pPr>
        <w:ind w:left="1080" w:hanging="360"/>
      </w:pPr>
      <w:rPr>
        <w:rFonts w:ascii="Symbol" w:hAnsi="Symbol"/>
      </w:rPr>
    </w:lvl>
    <w:lvl w:ilvl="8" w:tplc="05CE03CC">
      <w:start w:val="1"/>
      <w:numFmt w:val="bullet"/>
      <w:lvlText w:val=""/>
      <w:lvlJc w:val="left"/>
      <w:pPr>
        <w:ind w:left="1080" w:hanging="360"/>
      </w:pPr>
      <w:rPr>
        <w:rFonts w:ascii="Symbol" w:hAnsi="Symbol"/>
      </w:rPr>
    </w:lvl>
  </w:abstractNum>
  <w:abstractNum w:abstractNumId="29" w15:restartNumberingAfterBreak="0">
    <w:nsid w:val="2B6F07A4"/>
    <w:multiLevelType w:val="hybridMultilevel"/>
    <w:tmpl w:val="A69881B2"/>
    <w:lvl w:ilvl="0" w:tplc="293407A4">
      <w:start w:val="1"/>
      <w:numFmt w:val="bullet"/>
      <w:lvlText w:val=""/>
      <w:lvlJc w:val="left"/>
      <w:pPr>
        <w:ind w:left="720" w:hanging="360"/>
      </w:pPr>
      <w:rPr>
        <w:rFonts w:ascii="Symbol" w:hAnsi="Symbol"/>
      </w:rPr>
    </w:lvl>
    <w:lvl w:ilvl="1" w:tplc="5A4A2554">
      <w:start w:val="1"/>
      <w:numFmt w:val="bullet"/>
      <w:lvlText w:val=""/>
      <w:lvlJc w:val="left"/>
      <w:pPr>
        <w:ind w:left="720" w:hanging="360"/>
      </w:pPr>
      <w:rPr>
        <w:rFonts w:ascii="Symbol" w:hAnsi="Symbol"/>
      </w:rPr>
    </w:lvl>
    <w:lvl w:ilvl="2" w:tplc="62DE71F2">
      <w:start w:val="1"/>
      <w:numFmt w:val="bullet"/>
      <w:lvlText w:val=""/>
      <w:lvlJc w:val="left"/>
      <w:pPr>
        <w:ind w:left="720" w:hanging="360"/>
      </w:pPr>
      <w:rPr>
        <w:rFonts w:ascii="Symbol" w:hAnsi="Symbol"/>
      </w:rPr>
    </w:lvl>
    <w:lvl w:ilvl="3" w:tplc="BE4C06FA">
      <w:start w:val="1"/>
      <w:numFmt w:val="bullet"/>
      <w:lvlText w:val=""/>
      <w:lvlJc w:val="left"/>
      <w:pPr>
        <w:ind w:left="720" w:hanging="360"/>
      </w:pPr>
      <w:rPr>
        <w:rFonts w:ascii="Symbol" w:hAnsi="Symbol"/>
      </w:rPr>
    </w:lvl>
    <w:lvl w:ilvl="4" w:tplc="0C8EF988">
      <w:start w:val="1"/>
      <w:numFmt w:val="bullet"/>
      <w:lvlText w:val=""/>
      <w:lvlJc w:val="left"/>
      <w:pPr>
        <w:ind w:left="720" w:hanging="360"/>
      </w:pPr>
      <w:rPr>
        <w:rFonts w:ascii="Symbol" w:hAnsi="Symbol"/>
      </w:rPr>
    </w:lvl>
    <w:lvl w:ilvl="5" w:tplc="9E20B8AC">
      <w:start w:val="1"/>
      <w:numFmt w:val="bullet"/>
      <w:lvlText w:val=""/>
      <w:lvlJc w:val="left"/>
      <w:pPr>
        <w:ind w:left="720" w:hanging="360"/>
      </w:pPr>
      <w:rPr>
        <w:rFonts w:ascii="Symbol" w:hAnsi="Symbol"/>
      </w:rPr>
    </w:lvl>
    <w:lvl w:ilvl="6" w:tplc="1EA86884">
      <w:start w:val="1"/>
      <w:numFmt w:val="bullet"/>
      <w:lvlText w:val=""/>
      <w:lvlJc w:val="left"/>
      <w:pPr>
        <w:ind w:left="720" w:hanging="360"/>
      </w:pPr>
      <w:rPr>
        <w:rFonts w:ascii="Symbol" w:hAnsi="Symbol"/>
      </w:rPr>
    </w:lvl>
    <w:lvl w:ilvl="7" w:tplc="08D29948">
      <w:start w:val="1"/>
      <w:numFmt w:val="bullet"/>
      <w:lvlText w:val=""/>
      <w:lvlJc w:val="left"/>
      <w:pPr>
        <w:ind w:left="720" w:hanging="360"/>
      </w:pPr>
      <w:rPr>
        <w:rFonts w:ascii="Symbol" w:hAnsi="Symbol"/>
      </w:rPr>
    </w:lvl>
    <w:lvl w:ilvl="8" w:tplc="E7181252">
      <w:start w:val="1"/>
      <w:numFmt w:val="bullet"/>
      <w:lvlText w:val=""/>
      <w:lvlJc w:val="left"/>
      <w:pPr>
        <w:ind w:left="720" w:hanging="360"/>
      </w:pPr>
      <w:rPr>
        <w:rFonts w:ascii="Symbol" w:hAnsi="Symbol"/>
      </w:rPr>
    </w:lvl>
  </w:abstractNum>
  <w:abstractNum w:abstractNumId="30" w15:restartNumberingAfterBreak="0">
    <w:nsid w:val="2C7C4C80"/>
    <w:multiLevelType w:val="hybridMultilevel"/>
    <w:tmpl w:val="00D6499A"/>
    <w:lvl w:ilvl="0" w:tplc="CB840A52">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E3431E8"/>
    <w:multiLevelType w:val="hybridMultilevel"/>
    <w:tmpl w:val="87EC1410"/>
    <w:lvl w:ilvl="0" w:tplc="F7506348">
      <w:start w:val="1"/>
      <w:numFmt w:val="bullet"/>
      <w:lvlText w:val=""/>
      <w:lvlJc w:val="left"/>
      <w:pPr>
        <w:ind w:left="720" w:hanging="360"/>
      </w:pPr>
      <w:rPr>
        <w:rFonts w:ascii="Symbol" w:hAnsi="Symbol"/>
      </w:rPr>
    </w:lvl>
    <w:lvl w:ilvl="1" w:tplc="56F0A9CE">
      <w:start w:val="1"/>
      <w:numFmt w:val="bullet"/>
      <w:lvlText w:val=""/>
      <w:lvlJc w:val="left"/>
      <w:pPr>
        <w:ind w:left="720" w:hanging="360"/>
      </w:pPr>
      <w:rPr>
        <w:rFonts w:ascii="Symbol" w:hAnsi="Symbol"/>
      </w:rPr>
    </w:lvl>
    <w:lvl w:ilvl="2" w:tplc="D55EFB3A">
      <w:start w:val="1"/>
      <w:numFmt w:val="bullet"/>
      <w:lvlText w:val=""/>
      <w:lvlJc w:val="left"/>
      <w:pPr>
        <w:ind w:left="720" w:hanging="360"/>
      </w:pPr>
      <w:rPr>
        <w:rFonts w:ascii="Symbol" w:hAnsi="Symbol"/>
      </w:rPr>
    </w:lvl>
    <w:lvl w:ilvl="3" w:tplc="8BF60016">
      <w:start w:val="1"/>
      <w:numFmt w:val="bullet"/>
      <w:lvlText w:val=""/>
      <w:lvlJc w:val="left"/>
      <w:pPr>
        <w:ind w:left="720" w:hanging="360"/>
      </w:pPr>
      <w:rPr>
        <w:rFonts w:ascii="Symbol" w:hAnsi="Symbol"/>
      </w:rPr>
    </w:lvl>
    <w:lvl w:ilvl="4" w:tplc="87240A9A">
      <w:start w:val="1"/>
      <w:numFmt w:val="bullet"/>
      <w:lvlText w:val=""/>
      <w:lvlJc w:val="left"/>
      <w:pPr>
        <w:ind w:left="720" w:hanging="360"/>
      </w:pPr>
      <w:rPr>
        <w:rFonts w:ascii="Symbol" w:hAnsi="Symbol"/>
      </w:rPr>
    </w:lvl>
    <w:lvl w:ilvl="5" w:tplc="FE22F95C">
      <w:start w:val="1"/>
      <w:numFmt w:val="bullet"/>
      <w:lvlText w:val=""/>
      <w:lvlJc w:val="left"/>
      <w:pPr>
        <w:ind w:left="720" w:hanging="360"/>
      </w:pPr>
      <w:rPr>
        <w:rFonts w:ascii="Symbol" w:hAnsi="Symbol"/>
      </w:rPr>
    </w:lvl>
    <w:lvl w:ilvl="6" w:tplc="EA90194E">
      <w:start w:val="1"/>
      <w:numFmt w:val="bullet"/>
      <w:lvlText w:val=""/>
      <w:lvlJc w:val="left"/>
      <w:pPr>
        <w:ind w:left="720" w:hanging="360"/>
      </w:pPr>
      <w:rPr>
        <w:rFonts w:ascii="Symbol" w:hAnsi="Symbol"/>
      </w:rPr>
    </w:lvl>
    <w:lvl w:ilvl="7" w:tplc="1400B898">
      <w:start w:val="1"/>
      <w:numFmt w:val="bullet"/>
      <w:lvlText w:val=""/>
      <w:lvlJc w:val="left"/>
      <w:pPr>
        <w:ind w:left="720" w:hanging="360"/>
      </w:pPr>
      <w:rPr>
        <w:rFonts w:ascii="Symbol" w:hAnsi="Symbol"/>
      </w:rPr>
    </w:lvl>
    <w:lvl w:ilvl="8" w:tplc="2FAC338C">
      <w:start w:val="1"/>
      <w:numFmt w:val="bullet"/>
      <w:lvlText w:val=""/>
      <w:lvlJc w:val="left"/>
      <w:pPr>
        <w:ind w:left="720" w:hanging="360"/>
      </w:pPr>
      <w:rPr>
        <w:rFonts w:ascii="Symbol" w:hAnsi="Symbol"/>
      </w:rPr>
    </w:lvl>
  </w:abstractNum>
  <w:abstractNum w:abstractNumId="33" w15:restartNumberingAfterBreak="0">
    <w:nsid w:val="2E4B237F"/>
    <w:multiLevelType w:val="hybridMultilevel"/>
    <w:tmpl w:val="0B46B6DC"/>
    <w:lvl w:ilvl="0" w:tplc="870EB6E4">
      <w:start w:val="1"/>
      <w:numFmt w:val="bullet"/>
      <w:lvlText w:val=""/>
      <w:lvlJc w:val="left"/>
      <w:pPr>
        <w:ind w:left="1080" w:hanging="360"/>
      </w:pPr>
      <w:rPr>
        <w:rFonts w:ascii="Symbol" w:hAnsi="Symbol"/>
      </w:rPr>
    </w:lvl>
    <w:lvl w:ilvl="1" w:tplc="D7AA5758">
      <w:start w:val="1"/>
      <w:numFmt w:val="bullet"/>
      <w:lvlText w:val=""/>
      <w:lvlJc w:val="left"/>
      <w:pPr>
        <w:ind w:left="1080" w:hanging="360"/>
      </w:pPr>
      <w:rPr>
        <w:rFonts w:ascii="Symbol" w:hAnsi="Symbol"/>
      </w:rPr>
    </w:lvl>
    <w:lvl w:ilvl="2" w:tplc="2EEEB21A">
      <w:start w:val="1"/>
      <w:numFmt w:val="bullet"/>
      <w:lvlText w:val=""/>
      <w:lvlJc w:val="left"/>
      <w:pPr>
        <w:ind w:left="1080" w:hanging="360"/>
      </w:pPr>
      <w:rPr>
        <w:rFonts w:ascii="Symbol" w:hAnsi="Symbol"/>
      </w:rPr>
    </w:lvl>
    <w:lvl w:ilvl="3" w:tplc="0AA808F2">
      <w:start w:val="1"/>
      <w:numFmt w:val="bullet"/>
      <w:lvlText w:val=""/>
      <w:lvlJc w:val="left"/>
      <w:pPr>
        <w:ind w:left="1080" w:hanging="360"/>
      </w:pPr>
      <w:rPr>
        <w:rFonts w:ascii="Symbol" w:hAnsi="Symbol"/>
      </w:rPr>
    </w:lvl>
    <w:lvl w:ilvl="4" w:tplc="91C498D4">
      <w:start w:val="1"/>
      <w:numFmt w:val="bullet"/>
      <w:lvlText w:val=""/>
      <w:lvlJc w:val="left"/>
      <w:pPr>
        <w:ind w:left="1080" w:hanging="360"/>
      </w:pPr>
      <w:rPr>
        <w:rFonts w:ascii="Symbol" w:hAnsi="Symbol"/>
      </w:rPr>
    </w:lvl>
    <w:lvl w:ilvl="5" w:tplc="9D36C630">
      <w:start w:val="1"/>
      <w:numFmt w:val="bullet"/>
      <w:lvlText w:val=""/>
      <w:lvlJc w:val="left"/>
      <w:pPr>
        <w:ind w:left="1080" w:hanging="360"/>
      </w:pPr>
      <w:rPr>
        <w:rFonts w:ascii="Symbol" w:hAnsi="Symbol"/>
      </w:rPr>
    </w:lvl>
    <w:lvl w:ilvl="6" w:tplc="95E4D1A2">
      <w:start w:val="1"/>
      <w:numFmt w:val="bullet"/>
      <w:lvlText w:val=""/>
      <w:lvlJc w:val="left"/>
      <w:pPr>
        <w:ind w:left="1080" w:hanging="360"/>
      </w:pPr>
      <w:rPr>
        <w:rFonts w:ascii="Symbol" w:hAnsi="Symbol"/>
      </w:rPr>
    </w:lvl>
    <w:lvl w:ilvl="7" w:tplc="CD6889A4">
      <w:start w:val="1"/>
      <w:numFmt w:val="bullet"/>
      <w:lvlText w:val=""/>
      <w:lvlJc w:val="left"/>
      <w:pPr>
        <w:ind w:left="1080" w:hanging="360"/>
      </w:pPr>
      <w:rPr>
        <w:rFonts w:ascii="Symbol" w:hAnsi="Symbol"/>
      </w:rPr>
    </w:lvl>
    <w:lvl w:ilvl="8" w:tplc="F9BE9E74">
      <w:start w:val="1"/>
      <w:numFmt w:val="bullet"/>
      <w:lvlText w:val=""/>
      <w:lvlJc w:val="left"/>
      <w:pPr>
        <w:ind w:left="1080" w:hanging="360"/>
      </w:pPr>
      <w:rPr>
        <w:rFonts w:ascii="Symbol" w:hAnsi="Symbol"/>
      </w:rPr>
    </w:lvl>
  </w:abstractNum>
  <w:abstractNum w:abstractNumId="34" w15:restartNumberingAfterBreak="0">
    <w:nsid w:val="30D21B0B"/>
    <w:multiLevelType w:val="hybridMultilevel"/>
    <w:tmpl w:val="62D2B0E0"/>
    <w:lvl w:ilvl="0" w:tplc="1A2A0ADE">
      <w:start w:val="1"/>
      <w:numFmt w:val="bullet"/>
      <w:lvlText w:val=""/>
      <w:lvlJc w:val="left"/>
      <w:pPr>
        <w:ind w:left="720" w:hanging="360"/>
      </w:pPr>
      <w:rPr>
        <w:rFonts w:ascii="Symbol" w:hAnsi="Symbol"/>
      </w:rPr>
    </w:lvl>
    <w:lvl w:ilvl="1" w:tplc="5AFA9DAE">
      <w:start w:val="1"/>
      <w:numFmt w:val="bullet"/>
      <w:lvlText w:val=""/>
      <w:lvlJc w:val="left"/>
      <w:pPr>
        <w:ind w:left="720" w:hanging="360"/>
      </w:pPr>
      <w:rPr>
        <w:rFonts w:ascii="Symbol" w:hAnsi="Symbol"/>
      </w:rPr>
    </w:lvl>
    <w:lvl w:ilvl="2" w:tplc="973A1034">
      <w:start w:val="1"/>
      <w:numFmt w:val="bullet"/>
      <w:lvlText w:val=""/>
      <w:lvlJc w:val="left"/>
      <w:pPr>
        <w:ind w:left="720" w:hanging="360"/>
      </w:pPr>
      <w:rPr>
        <w:rFonts w:ascii="Symbol" w:hAnsi="Symbol"/>
      </w:rPr>
    </w:lvl>
    <w:lvl w:ilvl="3" w:tplc="126ACAE0">
      <w:start w:val="1"/>
      <w:numFmt w:val="bullet"/>
      <w:lvlText w:val=""/>
      <w:lvlJc w:val="left"/>
      <w:pPr>
        <w:ind w:left="720" w:hanging="360"/>
      </w:pPr>
      <w:rPr>
        <w:rFonts w:ascii="Symbol" w:hAnsi="Symbol"/>
      </w:rPr>
    </w:lvl>
    <w:lvl w:ilvl="4" w:tplc="7410E894">
      <w:start w:val="1"/>
      <w:numFmt w:val="bullet"/>
      <w:lvlText w:val=""/>
      <w:lvlJc w:val="left"/>
      <w:pPr>
        <w:ind w:left="720" w:hanging="360"/>
      </w:pPr>
      <w:rPr>
        <w:rFonts w:ascii="Symbol" w:hAnsi="Symbol"/>
      </w:rPr>
    </w:lvl>
    <w:lvl w:ilvl="5" w:tplc="01D83E24">
      <w:start w:val="1"/>
      <w:numFmt w:val="bullet"/>
      <w:lvlText w:val=""/>
      <w:lvlJc w:val="left"/>
      <w:pPr>
        <w:ind w:left="720" w:hanging="360"/>
      </w:pPr>
      <w:rPr>
        <w:rFonts w:ascii="Symbol" w:hAnsi="Symbol"/>
      </w:rPr>
    </w:lvl>
    <w:lvl w:ilvl="6" w:tplc="4C4EC872">
      <w:start w:val="1"/>
      <w:numFmt w:val="bullet"/>
      <w:lvlText w:val=""/>
      <w:lvlJc w:val="left"/>
      <w:pPr>
        <w:ind w:left="720" w:hanging="360"/>
      </w:pPr>
      <w:rPr>
        <w:rFonts w:ascii="Symbol" w:hAnsi="Symbol"/>
      </w:rPr>
    </w:lvl>
    <w:lvl w:ilvl="7" w:tplc="3D72CA4A">
      <w:start w:val="1"/>
      <w:numFmt w:val="bullet"/>
      <w:lvlText w:val=""/>
      <w:lvlJc w:val="left"/>
      <w:pPr>
        <w:ind w:left="720" w:hanging="360"/>
      </w:pPr>
      <w:rPr>
        <w:rFonts w:ascii="Symbol" w:hAnsi="Symbol"/>
      </w:rPr>
    </w:lvl>
    <w:lvl w:ilvl="8" w:tplc="374E0564">
      <w:start w:val="1"/>
      <w:numFmt w:val="bullet"/>
      <w:lvlText w:val=""/>
      <w:lvlJc w:val="left"/>
      <w:pPr>
        <w:ind w:left="720" w:hanging="360"/>
      </w:pPr>
      <w:rPr>
        <w:rFonts w:ascii="Symbol" w:hAnsi="Symbol"/>
      </w:rPr>
    </w:lvl>
  </w:abstractNum>
  <w:abstractNum w:abstractNumId="35" w15:restartNumberingAfterBreak="0">
    <w:nsid w:val="31B067E9"/>
    <w:multiLevelType w:val="hybridMultilevel"/>
    <w:tmpl w:val="2D8EE550"/>
    <w:lvl w:ilvl="0" w:tplc="3B84BBF8">
      <w:start w:val="1"/>
      <w:numFmt w:val="bullet"/>
      <w:lvlText w:val=""/>
      <w:lvlJc w:val="left"/>
      <w:pPr>
        <w:ind w:left="360" w:hanging="360"/>
      </w:pPr>
      <w:rPr>
        <w:rFonts w:ascii="Symbol" w:hAnsi="Symbol" w:hint="default"/>
      </w:rPr>
    </w:lvl>
    <w:lvl w:ilvl="1" w:tplc="8FECD116" w:tentative="1">
      <w:start w:val="1"/>
      <w:numFmt w:val="bullet"/>
      <w:lvlText w:val="o"/>
      <w:lvlJc w:val="left"/>
      <w:pPr>
        <w:ind w:left="1080" w:hanging="360"/>
      </w:pPr>
      <w:rPr>
        <w:rFonts w:ascii="Courier New" w:hAnsi="Courier New" w:hint="default"/>
      </w:rPr>
    </w:lvl>
    <w:lvl w:ilvl="2" w:tplc="D47403AC" w:tentative="1">
      <w:start w:val="1"/>
      <w:numFmt w:val="bullet"/>
      <w:lvlText w:val=""/>
      <w:lvlJc w:val="left"/>
      <w:pPr>
        <w:ind w:left="1800" w:hanging="360"/>
      </w:pPr>
      <w:rPr>
        <w:rFonts w:ascii="Wingdings" w:hAnsi="Wingdings" w:hint="default"/>
      </w:rPr>
    </w:lvl>
    <w:lvl w:ilvl="3" w:tplc="24B0C8CE" w:tentative="1">
      <w:start w:val="1"/>
      <w:numFmt w:val="bullet"/>
      <w:lvlText w:val=""/>
      <w:lvlJc w:val="left"/>
      <w:pPr>
        <w:ind w:left="2520" w:hanging="360"/>
      </w:pPr>
      <w:rPr>
        <w:rFonts w:ascii="Symbol" w:hAnsi="Symbol" w:hint="default"/>
      </w:rPr>
    </w:lvl>
    <w:lvl w:ilvl="4" w:tplc="2D7A03A6" w:tentative="1">
      <w:start w:val="1"/>
      <w:numFmt w:val="bullet"/>
      <w:lvlText w:val="o"/>
      <w:lvlJc w:val="left"/>
      <w:pPr>
        <w:ind w:left="3240" w:hanging="360"/>
      </w:pPr>
      <w:rPr>
        <w:rFonts w:ascii="Courier New" w:hAnsi="Courier New" w:hint="default"/>
      </w:rPr>
    </w:lvl>
    <w:lvl w:ilvl="5" w:tplc="69460AE8" w:tentative="1">
      <w:start w:val="1"/>
      <w:numFmt w:val="bullet"/>
      <w:lvlText w:val=""/>
      <w:lvlJc w:val="left"/>
      <w:pPr>
        <w:ind w:left="3960" w:hanging="360"/>
      </w:pPr>
      <w:rPr>
        <w:rFonts w:ascii="Wingdings" w:hAnsi="Wingdings" w:hint="default"/>
      </w:rPr>
    </w:lvl>
    <w:lvl w:ilvl="6" w:tplc="A06856DA" w:tentative="1">
      <w:start w:val="1"/>
      <w:numFmt w:val="bullet"/>
      <w:lvlText w:val=""/>
      <w:lvlJc w:val="left"/>
      <w:pPr>
        <w:ind w:left="4680" w:hanging="360"/>
      </w:pPr>
      <w:rPr>
        <w:rFonts w:ascii="Symbol" w:hAnsi="Symbol" w:hint="default"/>
      </w:rPr>
    </w:lvl>
    <w:lvl w:ilvl="7" w:tplc="4AF069AC" w:tentative="1">
      <w:start w:val="1"/>
      <w:numFmt w:val="bullet"/>
      <w:lvlText w:val="o"/>
      <w:lvlJc w:val="left"/>
      <w:pPr>
        <w:ind w:left="5400" w:hanging="360"/>
      </w:pPr>
      <w:rPr>
        <w:rFonts w:ascii="Courier New" w:hAnsi="Courier New" w:hint="default"/>
      </w:rPr>
    </w:lvl>
    <w:lvl w:ilvl="8" w:tplc="7B52895E" w:tentative="1">
      <w:start w:val="1"/>
      <w:numFmt w:val="bullet"/>
      <w:lvlText w:val=""/>
      <w:lvlJc w:val="left"/>
      <w:pPr>
        <w:ind w:left="6120" w:hanging="360"/>
      </w:pPr>
      <w:rPr>
        <w:rFonts w:ascii="Wingdings" w:hAnsi="Wingdings" w:hint="default"/>
      </w:rPr>
    </w:lvl>
  </w:abstractNum>
  <w:abstractNum w:abstractNumId="36" w15:restartNumberingAfterBreak="0">
    <w:nsid w:val="326D4378"/>
    <w:multiLevelType w:val="hybridMultilevel"/>
    <w:tmpl w:val="42844F7A"/>
    <w:lvl w:ilvl="0" w:tplc="8D1A9A92">
      <w:start w:val="1"/>
      <w:numFmt w:val="bullet"/>
      <w:lvlText w:val=""/>
      <w:lvlJc w:val="left"/>
      <w:pPr>
        <w:ind w:left="720" w:hanging="360"/>
      </w:pPr>
      <w:rPr>
        <w:rFonts w:ascii="Symbol" w:hAnsi="Symbol"/>
      </w:rPr>
    </w:lvl>
    <w:lvl w:ilvl="1" w:tplc="71486754">
      <w:start w:val="1"/>
      <w:numFmt w:val="bullet"/>
      <w:lvlText w:val=""/>
      <w:lvlJc w:val="left"/>
      <w:pPr>
        <w:ind w:left="720" w:hanging="360"/>
      </w:pPr>
      <w:rPr>
        <w:rFonts w:ascii="Symbol" w:hAnsi="Symbol"/>
      </w:rPr>
    </w:lvl>
    <w:lvl w:ilvl="2" w:tplc="6CDCC366">
      <w:start w:val="1"/>
      <w:numFmt w:val="bullet"/>
      <w:lvlText w:val=""/>
      <w:lvlJc w:val="left"/>
      <w:pPr>
        <w:ind w:left="720" w:hanging="360"/>
      </w:pPr>
      <w:rPr>
        <w:rFonts w:ascii="Symbol" w:hAnsi="Symbol"/>
      </w:rPr>
    </w:lvl>
    <w:lvl w:ilvl="3" w:tplc="BB5A1108">
      <w:start w:val="1"/>
      <w:numFmt w:val="bullet"/>
      <w:lvlText w:val=""/>
      <w:lvlJc w:val="left"/>
      <w:pPr>
        <w:ind w:left="720" w:hanging="360"/>
      </w:pPr>
      <w:rPr>
        <w:rFonts w:ascii="Symbol" w:hAnsi="Symbol"/>
      </w:rPr>
    </w:lvl>
    <w:lvl w:ilvl="4" w:tplc="B6160D06">
      <w:start w:val="1"/>
      <w:numFmt w:val="bullet"/>
      <w:lvlText w:val=""/>
      <w:lvlJc w:val="left"/>
      <w:pPr>
        <w:ind w:left="720" w:hanging="360"/>
      </w:pPr>
      <w:rPr>
        <w:rFonts w:ascii="Symbol" w:hAnsi="Symbol"/>
      </w:rPr>
    </w:lvl>
    <w:lvl w:ilvl="5" w:tplc="DD00C31A">
      <w:start w:val="1"/>
      <w:numFmt w:val="bullet"/>
      <w:lvlText w:val=""/>
      <w:lvlJc w:val="left"/>
      <w:pPr>
        <w:ind w:left="720" w:hanging="360"/>
      </w:pPr>
      <w:rPr>
        <w:rFonts w:ascii="Symbol" w:hAnsi="Symbol"/>
      </w:rPr>
    </w:lvl>
    <w:lvl w:ilvl="6" w:tplc="5FD8581A">
      <w:start w:val="1"/>
      <w:numFmt w:val="bullet"/>
      <w:lvlText w:val=""/>
      <w:lvlJc w:val="left"/>
      <w:pPr>
        <w:ind w:left="720" w:hanging="360"/>
      </w:pPr>
      <w:rPr>
        <w:rFonts w:ascii="Symbol" w:hAnsi="Symbol"/>
      </w:rPr>
    </w:lvl>
    <w:lvl w:ilvl="7" w:tplc="4C105DE6">
      <w:start w:val="1"/>
      <w:numFmt w:val="bullet"/>
      <w:lvlText w:val=""/>
      <w:lvlJc w:val="left"/>
      <w:pPr>
        <w:ind w:left="720" w:hanging="360"/>
      </w:pPr>
      <w:rPr>
        <w:rFonts w:ascii="Symbol" w:hAnsi="Symbol"/>
      </w:rPr>
    </w:lvl>
    <w:lvl w:ilvl="8" w:tplc="BC545C3A">
      <w:start w:val="1"/>
      <w:numFmt w:val="bullet"/>
      <w:lvlText w:val=""/>
      <w:lvlJc w:val="left"/>
      <w:pPr>
        <w:ind w:left="720" w:hanging="360"/>
      </w:pPr>
      <w:rPr>
        <w:rFonts w:ascii="Symbol" w:hAnsi="Symbol"/>
      </w:rPr>
    </w:lvl>
  </w:abstractNum>
  <w:abstractNum w:abstractNumId="37" w15:restartNumberingAfterBreak="0">
    <w:nsid w:val="35704B7E"/>
    <w:multiLevelType w:val="hybridMultilevel"/>
    <w:tmpl w:val="ECA2862E"/>
    <w:lvl w:ilvl="0" w:tplc="F4AAC9D0">
      <w:start w:val="1"/>
      <w:numFmt w:val="bullet"/>
      <w:lvlText w:val=""/>
      <w:lvlJc w:val="left"/>
      <w:pPr>
        <w:ind w:left="720" w:hanging="360"/>
      </w:pPr>
      <w:rPr>
        <w:rFonts w:ascii="Symbol" w:hAnsi="Symbol"/>
      </w:rPr>
    </w:lvl>
    <w:lvl w:ilvl="1" w:tplc="D5B88328">
      <w:start w:val="1"/>
      <w:numFmt w:val="bullet"/>
      <w:lvlText w:val=""/>
      <w:lvlJc w:val="left"/>
      <w:pPr>
        <w:ind w:left="720" w:hanging="360"/>
      </w:pPr>
      <w:rPr>
        <w:rFonts w:ascii="Symbol" w:hAnsi="Symbol"/>
      </w:rPr>
    </w:lvl>
    <w:lvl w:ilvl="2" w:tplc="F852EBB4">
      <w:start w:val="1"/>
      <w:numFmt w:val="bullet"/>
      <w:lvlText w:val=""/>
      <w:lvlJc w:val="left"/>
      <w:pPr>
        <w:ind w:left="720" w:hanging="360"/>
      </w:pPr>
      <w:rPr>
        <w:rFonts w:ascii="Symbol" w:hAnsi="Symbol"/>
      </w:rPr>
    </w:lvl>
    <w:lvl w:ilvl="3" w:tplc="04300A92">
      <w:start w:val="1"/>
      <w:numFmt w:val="bullet"/>
      <w:lvlText w:val=""/>
      <w:lvlJc w:val="left"/>
      <w:pPr>
        <w:ind w:left="720" w:hanging="360"/>
      </w:pPr>
      <w:rPr>
        <w:rFonts w:ascii="Symbol" w:hAnsi="Symbol"/>
      </w:rPr>
    </w:lvl>
    <w:lvl w:ilvl="4" w:tplc="DA903F18">
      <w:start w:val="1"/>
      <w:numFmt w:val="bullet"/>
      <w:lvlText w:val=""/>
      <w:lvlJc w:val="left"/>
      <w:pPr>
        <w:ind w:left="720" w:hanging="360"/>
      </w:pPr>
      <w:rPr>
        <w:rFonts w:ascii="Symbol" w:hAnsi="Symbol"/>
      </w:rPr>
    </w:lvl>
    <w:lvl w:ilvl="5" w:tplc="D9B0AD2A">
      <w:start w:val="1"/>
      <w:numFmt w:val="bullet"/>
      <w:lvlText w:val=""/>
      <w:lvlJc w:val="left"/>
      <w:pPr>
        <w:ind w:left="720" w:hanging="360"/>
      </w:pPr>
      <w:rPr>
        <w:rFonts w:ascii="Symbol" w:hAnsi="Symbol"/>
      </w:rPr>
    </w:lvl>
    <w:lvl w:ilvl="6" w:tplc="D6BA1616">
      <w:start w:val="1"/>
      <w:numFmt w:val="bullet"/>
      <w:lvlText w:val=""/>
      <w:lvlJc w:val="left"/>
      <w:pPr>
        <w:ind w:left="720" w:hanging="360"/>
      </w:pPr>
      <w:rPr>
        <w:rFonts w:ascii="Symbol" w:hAnsi="Symbol"/>
      </w:rPr>
    </w:lvl>
    <w:lvl w:ilvl="7" w:tplc="CCC2A410">
      <w:start w:val="1"/>
      <w:numFmt w:val="bullet"/>
      <w:lvlText w:val=""/>
      <w:lvlJc w:val="left"/>
      <w:pPr>
        <w:ind w:left="720" w:hanging="360"/>
      </w:pPr>
      <w:rPr>
        <w:rFonts w:ascii="Symbol" w:hAnsi="Symbol"/>
      </w:rPr>
    </w:lvl>
    <w:lvl w:ilvl="8" w:tplc="A26C76E0">
      <w:start w:val="1"/>
      <w:numFmt w:val="bullet"/>
      <w:lvlText w:val=""/>
      <w:lvlJc w:val="left"/>
      <w:pPr>
        <w:ind w:left="720" w:hanging="360"/>
      </w:pPr>
      <w:rPr>
        <w:rFonts w:ascii="Symbol" w:hAnsi="Symbol"/>
      </w:rPr>
    </w:lvl>
  </w:abstractNum>
  <w:abstractNum w:abstractNumId="38" w15:restartNumberingAfterBreak="0">
    <w:nsid w:val="3ADB297F"/>
    <w:multiLevelType w:val="hybridMultilevel"/>
    <w:tmpl w:val="8146C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B2126BD"/>
    <w:multiLevelType w:val="multilevel"/>
    <w:tmpl w:val="D6147934"/>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C0D0A01"/>
    <w:multiLevelType w:val="hybridMultilevel"/>
    <w:tmpl w:val="14429822"/>
    <w:lvl w:ilvl="0" w:tplc="ED6AC550">
      <w:start w:val="1"/>
      <w:numFmt w:val="bullet"/>
      <w:lvlText w:val=""/>
      <w:lvlJc w:val="left"/>
      <w:pPr>
        <w:ind w:left="720" w:hanging="360"/>
      </w:pPr>
      <w:rPr>
        <w:rFonts w:ascii="Symbol" w:hAnsi="Symbol"/>
      </w:rPr>
    </w:lvl>
    <w:lvl w:ilvl="1" w:tplc="38FEC9EA">
      <w:start w:val="1"/>
      <w:numFmt w:val="bullet"/>
      <w:lvlText w:val=""/>
      <w:lvlJc w:val="left"/>
      <w:pPr>
        <w:ind w:left="720" w:hanging="360"/>
      </w:pPr>
      <w:rPr>
        <w:rFonts w:ascii="Symbol" w:hAnsi="Symbol"/>
      </w:rPr>
    </w:lvl>
    <w:lvl w:ilvl="2" w:tplc="8D4416BA">
      <w:start w:val="1"/>
      <w:numFmt w:val="bullet"/>
      <w:lvlText w:val=""/>
      <w:lvlJc w:val="left"/>
      <w:pPr>
        <w:ind w:left="720" w:hanging="360"/>
      </w:pPr>
      <w:rPr>
        <w:rFonts w:ascii="Symbol" w:hAnsi="Symbol"/>
      </w:rPr>
    </w:lvl>
    <w:lvl w:ilvl="3" w:tplc="4484DB5A">
      <w:start w:val="1"/>
      <w:numFmt w:val="bullet"/>
      <w:lvlText w:val=""/>
      <w:lvlJc w:val="left"/>
      <w:pPr>
        <w:ind w:left="720" w:hanging="360"/>
      </w:pPr>
      <w:rPr>
        <w:rFonts w:ascii="Symbol" w:hAnsi="Symbol"/>
      </w:rPr>
    </w:lvl>
    <w:lvl w:ilvl="4" w:tplc="8F5C4958">
      <w:start w:val="1"/>
      <w:numFmt w:val="bullet"/>
      <w:lvlText w:val=""/>
      <w:lvlJc w:val="left"/>
      <w:pPr>
        <w:ind w:left="720" w:hanging="360"/>
      </w:pPr>
      <w:rPr>
        <w:rFonts w:ascii="Symbol" w:hAnsi="Symbol"/>
      </w:rPr>
    </w:lvl>
    <w:lvl w:ilvl="5" w:tplc="36245ACA">
      <w:start w:val="1"/>
      <w:numFmt w:val="bullet"/>
      <w:lvlText w:val=""/>
      <w:lvlJc w:val="left"/>
      <w:pPr>
        <w:ind w:left="720" w:hanging="360"/>
      </w:pPr>
      <w:rPr>
        <w:rFonts w:ascii="Symbol" w:hAnsi="Symbol"/>
      </w:rPr>
    </w:lvl>
    <w:lvl w:ilvl="6" w:tplc="71F8C0D6">
      <w:start w:val="1"/>
      <w:numFmt w:val="bullet"/>
      <w:lvlText w:val=""/>
      <w:lvlJc w:val="left"/>
      <w:pPr>
        <w:ind w:left="720" w:hanging="360"/>
      </w:pPr>
      <w:rPr>
        <w:rFonts w:ascii="Symbol" w:hAnsi="Symbol"/>
      </w:rPr>
    </w:lvl>
    <w:lvl w:ilvl="7" w:tplc="7D500C82">
      <w:start w:val="1"/>
      <w:numFmt w:val="bullet"/>
      <w:lvlText w:val=""/>
      <w:lvlJc w:val="left"/>
      <w:pPr>
        <w:ind w:left="720" w:hanging="360"/>
      </w:pPr>
      <w:rPr>
        <w:rFonts w:ascii="Symbol" w:hAnsi="Symbol"/>
      </w:rPr>
    </w:lvl>
    <w:lvl w:ilvl="8" w:tplc="3ED00930">
      <w:start w:val="1"/>
      <w:numFmt w:val="bullet"/>
      <w:lvlText w:val=""/>
      <w:lvlJc w:val="left"/>
      <w:pPr>
        <w:ind w:left="720" w:hanging="360"/>
      </w:pPr>
      <w:rPr>
        <w:rFonts w:ascii="Symbol" w:hAnsi="Symbol"/>
      </w:rPr>
    </w:lvl>
  </w:abstractNum>
  <w:abstractNum w:abstractNumId="41" w15:restartNumberingAfterBreak="0">
    <w:nsid w:val="3C1111E2"/>
    <w:multiLevelType w:val="hybridMultilevel"/>
    <w:tmpl w:val="A1E2E3C6"/>
    <w:lvl w:ilvl="0" w:tplc="E53CBE38">
      <w:start w:val="1"/>
      <w:numFmt w:val="bullet"/>
      <w:lvlText w:val=""/>
      <w:lvlJc w:val="left"/>
      <w:pPr>
        <w:ind w:left="720" w:hanging="360"/>
      </w:pPr>
      <w:rPr>
        <w:rFonts w:ascii="Symbol" w:hAnsi="Symbol"/>
      </w:rPr>
    </w:lvl>
    <w:lvl w:ilvl="1" w:tplc="019C2390">
      <w:start w:val="1"/>
      <w:numFmt w:val="bullet"/>
      <w:lvlText w:val=""/>
      <w:lvlJc w:val="left"/>
      <w:pPr>
        <w:ind w:left="720" w:hanging="360"/>
      </w:pPr>
      <w:rPr>
        <w:rFonts w:ascii="Symbol" w:hAnsi="Symbol"/>
      </w:rPr>
    </w:lvl>
    <w:lvl w:ilvl="2" w:tplc="9B0A3E1E">
      <w:start w:val="1"/>
      <w:numFmt w:val="bullet"/>
      <w:lvlText w:val=""/>
      <w:lvlJc w:val="left"/>
      <w:pPr>
        <w:ind w:left="720" w:hanging="360"/>
      </w:pPr>
      <w:rPr>
        <w:rFonts w:ascii="Symbol" w:hAnsi="Symbol"/>
      </w:rPr>
    </w:lvl>
    <w:lvl w:ilvl="3" w:tplc="7C600FEA">
      <w:start w:val="1"/>
      <w:numFmt w:val="bullet"/>
      <w:lvlText w:val=""/>
      <w:lvlJc w:val="left"/>
      <w:pPr>
        <w:ind w:left="720" w:hanging="360"/>
      </w:pPr>
      <w:rPr>
        <w:rFonts w:ascii="Symbol" w:hAnsi="Symbol"/>
      </w:rPr>
    </w:lvl>
    <w:lvl w:ilvl="4" w:tplc="C9B6D4AC">
      <w:start w:val="1"/>
      <w:numFmt w:val="bullet"/>
      <w:lvlText w:val=""/>
      <w:lvlJc w:val="left"/>
      <w:pPr>
        <w:ind w:left="720" w:hanging="360"/>
      </w:pPr>
      <w:rPr>
        <w:rFonts w:ascii="Symbol" w:hAnsi="Symbol"/>
      </w:rPr>
    </w:lvl>
    <w:lvl w:ilvl="5" w:tplc="8A80F42C">
      <w:start w:val="1"/>
      <w:numFmt w:val="bullet"/>
      <w:lvlText w:val=""/>
      <w:lvlJc w:val="left"/>
      <w:pPr>
        <w:ind w:left="720" w:hanging="360"/>
      </w:pPr>
      <w:rPr>
        <w:rFonts w:ascii="Symbol" w:hAnsi="Symbol"/>
      </w:rPr>
    </w:lvl>
    <w:lvl w:ilvl="6" w:tplc="FA74C720">
      <w:start w:val="1"/>
      <w:numFmt w:val="bullet"/>
      <w:lvlText w:val=""/>
      <w:lvlJc w:val="left"/>
      <w:pPr>
        <w:ind w:left="720" w:hanging="360"/>
      </w:pPr>
      <w:rPr>
        <w:rFonts w:ascii="Symbol" w:hAnsi="Symbol"/>
      </w:rPr>
    </w:lvl>
    <w:lvl w:ilvl="7" w:tplc="CB5037C2">
      <w:start w:val="1"/>
      <w:numFmt w:val="bullet"/>
      <w:lvlText w:val=""/>
      <w:lvlJc w:val="left"/>
      <w:pPr>
        <w:ind w:left="720" w:hanging="360"/>
      </w:pPr>
      <w:rPr>
        <w:rFonts w:ascii="Symbol" w:hAnsi="Symbol"/>
      </w:rPr>
    </w:lvl>
    <w:lvl w:ilvl="8" w:tplc="7CBEF762">
      <w:start w:val="1"/>
      <w:numFmt w:val="bullet"/>
      <w:lvlText w:val=""/>
      <w:lvlJc w:val="left"/>
      <w:pPr>
        <w:ind w:left="720" w:hanging="360"/>
      </w:pPr>
      <w:rPr>
        <w:rFonts w:ascii="Symbol" w:hAnsi="Symbol"/>
      </w:rPr>
    </w:lvl>
  </w:abstractNum>
  <w:abstractNum w:abstractNumId="42" w15:restartNumberingAfterBreak="0">
    <w:nsid w:val="40967DC9"/>
    <w:multiLevelType w:val="hybridMultilevel"/>
    <w:tmpl w:val="C08A19A8"/>
    <w:lvl w:ilvl="0" w:tplc="B5BC7174">
      <w:start w:val="1"/>
      <w:numFmt w:val="bullet"/>
      <w:lvlText w:val=""/>
      <w:lvlJc w:val="left"/>
      <w:pPr>
        <w:ind w:left="1160" w:hanging="360"/>
      </w:pPr>
      <w:rPr>
        <w:rFonts w:ascii="Symbol" w:hAnsi="Symbol"/>
      </w:rPr>
    </w:lvl>
    <w:lvl w:ilvl="1" w:tplc="CC4647A2">
      <w:start w:val="1"/>
      <w:numFmt w:val="bullet"/>
      <w:lvlText w:val=""/>
      <w:lvlJc w:val="left"/>
      <w:pPr>
        <w:ind w:left="1160" w:hanging="360"/>
      </w:pPr>
      <w:rPr>
        <w:rFonts w:ascii="Symbol" w:hAnsi="Symbol"/>
      </w:rPr>
    </w:lvl>
    <w:lvl w:ilvl="2" w:tplc="7EB08E54">
      <w:start w:val="1"/>
      <w:numFmt w:val="bullet"/>
      <w:lvlText w:val=""/>
      <w:lvlJc w:val="left"/>
      <w:pPr>
        <w:ind w:left="1160" w:hanging="360"/>
      </w:pPr>
      <w:rPr>
        <w:rFonts w:ascii="Symbol" w:hAnsi="Symbol"/>
      </w:rPr>
    </w:lvl>
    <w:lvl w:ilvl="3" w:tplc="9EB61DFE">
      <w:start w:val="1"/>
      <w:numFmt w:val="bullet"/>
      <w:lvlText w:val=""/>
      <w:lvlJc w:val="left"/>
      <w:pPr>
        <w:ind w:left="1160" w:hanging="360"/>
      </w:pPr>
      <w:rPr>
        <w:rFonts w:ascii="Symbol" w:hAnsi="Symbol"/>
      </w:rPr>
    </w:lvl>
    <w:lvl w:ilvl="4" w:tplc="E5684BAC">
      <w:start w:val="1"/>
      <w:numFmt w:val="bullet"/>
      <w:lvlText w:val=""/>
      <w:lvlJc w:val="left"/>
      <w:pPr>
        <w:ind w:left="1160" w:hanging="360"/>
      </w:pPr>
      <w:rPr>
        <w:rFonts w:ascii="Symbol" w:hAnsi="Symbol"/>
      </w:rPr>
    </w:lvl>
    <w:lvl w:ilvl="5" w:tplc="6E1CAFE0">
      <w:start w:val="1"/>
      <w:numFmt w:val="bullet"/>
      <w:lvlText w:val=""/>
      <w:lvlJc w:val="left"/>
      <w:pPr>
        <w:ind w:left="1160" w:hanging="360"/>
      </w:pPr>
      <w:rPr>
        <w:rFonts w:ascii="Symbol" w:hAnsi="Symbol"/>
      </w:rPr>
    </w:lvl>
    <w:lvl w:ilvl="6" w:tplc="CEBA535C">
      <w:start w:val="1"/>
      <w:numFmt w:val="bullet"/>
      <w:lvlText w:val=""/>
      <w:lvlJc w:val="left"/>
      <w:pPr>
        <w:ind w:left="1160" w:hanging="360"/>
      </w:pPr>
      <w:rPr>
        <w:rFonts w:ascii="Symbol" w:hAnsi="Symbol"/>
      </w:rPr>
    </w:lvl>
    <w:lvl w:ilvl="7" w:tplc="70F00F76">
      <w:start w:val="1"/>
      <w:numFmt w:val="bullet"/>
      <w:lvlText w:val=""/>
      <w:lvlJc w:val="left"/>
      <w:pPr>
        <w:ind w:left="1160" w:hanging="360"/>
      </w:pPr>
      <w:rPr>
        <w:rFonts w:ascii="Symbol" w:hAnsi="Symbol"/>
      </w:rPr>
    </w:lvl>
    <w:lvl w:ilvl="8" w:tplc="8834BA5E">
      <w:start w:val="1"/>
      <w:numFmt w:val="bullet"/>
      <w:lvlText w:val=""/>
      <w:lvlJc w:val="left"/>
      <w:pPr>
        <w:ind w:left="1160" w:hanging="360"/>
      </w:pPr>
      <w:rPr>
        <w:rFonts w:ascii="Symbol" w:hAnsi="Symbol"/>
      </w:rPr>
    </w:lvl>
  </w:abstractNum>
  <w:abstractNum w:abstractNumId="43" w15:restartNumberingAfterBreak="0">
    <w:nsid w:val="420B6ECC"/>
    <w:multiLevelType w:val="hybridMultilevel"/>
    <w:tmpl w:val="560095D8"/>
    <w:lvl w:ilvl="0" w:tplc="ED1E5F1E">
      <w:start w:val="1"/>
      <w:numFmt w:val="bullet"/>
      <w:pStyle w:val="NormalBullets"/>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87E4D1D6">
      <w:start w:val="1"/>
      <w:numFmt w:val="bullet"/>
      <w:lvlText w:val=""/>
      <w:lvlJc w:val="left"/>
      <w:pPr>
        <w:ind w:left="2160" w:hanging="360"/>
      </w:pPr>
      <w:rPr>
        <w:rFonts w:ascii="Wingdings" w:hAnsi="Wingdings" w:hint="default"/>
      </w:rPr>
    </w:lvl>
    <w:lvl w:ilvl="3" w:tplc="B26EBE3C" w:tentative="1">
      <w:start w:val="1"/>
      <w:numFmt w:val="bullet"/>
      <w:lvlText w:val=""/>
      <w:lvlJc w:val="left"/>
      <w:pPr>
        <w:ind w:left="2880" w:hanging="360"/>
      </w:pPr>
      <w:rPr>
        <w:rFonts w:ascii="Symbol" w:hAnsi="Symbol" w:hint="default"/>
      </w:rPr>
    </w:lvl>
    <w:lvl w:ilvl="4" w:tplc="AF3E72D2" w:tentative="1">
      <w:start w:val="1"/>
      <w:numFmt w:val="bullet"/>
      <w:lvlText w:val="o"/>
      <w:lvlJc w:val="left"/>
      <w:pPr>
        <w:ind w:left="3600" w:hanging="360"/>
      </w:pPr>
      <w:rPr>
        <w:rFonts w:ascii="Courier New" w:hAnsi="Courier New" w:cs="Courier New" w:hint="default"/>
      </w:rPr>
    </w:lvl>
    <w:lvl w:ilvl="5" w:tplc="79F2BED2" w:tentative="1">
      <w:start w:val="1"/>
      <w:numFmt w:val="bullet"/>
      <w:lvlText w:val=""/>
      <w:lvlJc w:val="left"/>
      <w:pPr>
        <w:ind w:left="4320" w:hanging="360"/>
      </w:pPr>
      <w:rPr>
        <w:rFonts w:ascii="Wingdings" w:hAnsi="Wingdings" w:hint="default"/>
      </w:rPr>
    </w:lvl>
    <w:lvl w:ilvl="6" w:tplc="19321076" w:tentative="1">
      <w:start w:val="1"/>
      <w:numFmt w:val="bullet"/>
      <w:lvlText w:val=""/>
      <w:lvlJc w:val="left"/>
      <w:pPr>
        <w:ind w:left="5040" w:hanging="360"/>
      </w:pPr>
      <w:rPr>
        <w:rFonts w:ascii="Symbol" w:hAnsi="Symbol" w:hint="default"/>
      </w:rPr>
    </w:lvl>
    <w:lvl w:ilvl="7" w:tplc="C7A826BC" w:tentative="1">
      <w:start w:val="1"/>
      <w:numFmt w:val="bullet"/>
      <w:lvlText w:val="o"/>
      <w:lvlJc w:val="left"/>
      <w:pPr>
        <w:ind w:left="5760" w:hanging="360"/>
      </w:pPr>
      <w:rPr>
        <w:rFonts w:ascii="Courier New" w:hAnsi="Courier New" w:cs="Courier New" w:hint="default"/>
      </w:rPr>
    </w:lvl>
    <w:lvl w:ilvl="8" w:tplc="6F3A9138" w:tentative="1">
      <w:start w:val="1"/>
      <w:numFmt w:val="bullet"/>
      <w:lvlText w:val=""/>
      <w:lvlJc w:val="left"/>
      <w:pPr>
        <w:ind w:left="6480" w:hanging="360"/>
      </w:pPr>
      <w:rPr>
        <w:rFonts w:ascii="Wingdings" w:hAnsi="Wingdings" w:hint="default"/>
      </w:rPr>
    </w:lvl>
  </w:abstractNum>
  <w:abstractNum w:abstractNumId="44" w15:restartNumberingAfterBreak="0">
    <w:nsid w:val="423F306B"/>
    <w:multiLevelType w:val="hybridMultilevel"/>
    <w:tmpl w:val="66266052"/>
    <w:lvl w:ilvl="0" w:tplc="A56A745E">
      <w:start w:val="1"/>
      <w:numFmt w:val="bullet"/>
      <w:lvlText w:val=""/>
      <w:lvlJc w:val="left"/>
      <w:pPr>
        <w:ind w:left="720" w:hanging="360"/>
      </w:pPr>
      <w:rPr>
        <w:rFonts w:ascii="Symbol" w:hAnsi="Symbol"/>
      </w:rPr>
    </w:lvl>
    <w:lvl w:ilvl="1" w:tplc="AFD640FC">
      <w:start w:val="1"/>
      <w:numFmt w:val="bullet"/>
      <w:lvlText w:val=""/>
      <w:lvlJc w:val="left"/>
      <w:pPr>
        <w:ind w:left="720" w:hanging="360"/>
      </w:pPr>
      <w:rPr>
        <w:rFonts w:ascii="Symbol" w:hAnsi="Symbol"/>
      </w:rPr>
    </w:lvl>
    <w:lvl w:ilvl="2" w:tplc="5B58B3C0">
      <w:start w:val="1"/>
      <w:numFmt w:val="bullet"/>
      <w:lvlText w:val=""/>
      <w:lvlJc w:val="left"/>
      <w:pPr>
        <w:ind w:left="720" w:hanging="360"/>
      </w:pPr>
      <w:rPr>
        <w:rFonts w:ascii="Symbol" w:hAnsi="Symbol"/>
      </w:rPr>
    </w:lvl>
    <w:lvl w:ilvl="3" w:tplc="3B3CF422">
      <w:start w:val="1"/>
      <w:numFmt w:val="bullet"/>
      <w:lvlText w:val=""/>
      <w:lvlJc w:val="left"/>
      <w:pPr>
        <w:ind w:left="720" w:hanging="360"/>
      </w:pPr>
      <w:rPr>
        <w:rFonts w:ascii="Symbol" w:hAnsi="Symbol"/>
      </w:rPr>
    </w:lvl>
    <w:lvl w:ilvl="4" w:tplc="7ACA08AE">
      <w:start w:val="1"/>
      <w:numFmt w:val="bullet"/>
      <w:lvlText w:val=""/>
      <w:lvlJc w:val="left"/>
      <w:pPr>
        <w:ind w:left="720" w:hanging="360"/>
      </w:pPr>
      <w:rPr>
        <w:rFonts w:ascii="Symbol" w:hAnsi="Symbol"/>
      </w:rPr>
    </w:lvl>
    <w:lvl w:ilvl="5" w:tplc="3FAC3998">
      <w:start w:val="1"/>
      <w:numFmt w:val="bullet"/>
      <w:lvlText w:val=""/>
      <w:lvlJc w:val="left"/>
      <w:pPr>
        <w:ind w:left="720" w:hanging="360"/>
      </w:pPr>
      <w:rPr>
        <w:rFonts w:ascii="Symbol" w:hAnsi="Symbol"/>
      </w:rPr>
    </w:lvl>
    <w:lvl w:ilvl="6" w:tplc="DF1817E8">
      <w:start w:val="1"/>
      <w:numFmt w:val="bullet"/>
      <w:lvlText w:val=""/>
      <w:lvlJc w:val="left"/>
      <w:pPr>
        <w:ind w:left="720" w:hanging="360"/>
      </w:pPr>
      <w:rPr>
        <w:rFonts w:ascii="Symbol" w:hAnsi="Symbol"/>
      </w:rPr>
    </w:lvl>
    <w:lvl w:ilvl="7" w:tplc="7A5CA800">
      <w:start w:val="1"/>
      <w:numFmt w:val="bullet"/>
      <w:lvlText w:val=""/>
      <w:lvlJc w:val="left"/>
      <w:pPr>
        <w:ind w:left="720" w:hanging="360"/>
      </w:pPr>
      <w:rPr>
        <w:rFonts w:ascii="Symbol" w:hAnsi="Symbol"/>
      </w:rPr>
    </w:lvl>
    <w:lvl w:ilvl="8" w:tplc="A06CBDA2">
      <w:start w:val="1"/>
      <w:numFmt w:val="bullet"/>
      <w:lvlText w:val=""/>
      <w:lvlJc w:val="left"/>
      <w:pPr>
        <w:ind w:left="720" w:hanging="360"/>
      </w:pPr>
      <w:rPr>
        <w:rFonts w:ascii="Symbol" w:hAnsi="Symbol"/>
      </w:rPr>
    </w:lvl>
  </w:abstractNum>
  <w:abstractNum w:abstractNumId="4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4C321A6"/>
    <w:multiLevelType w:val="hybridMultilevel"/>
    <w:tmpl w:val="3D60E296"/>
    <w:lvl w:ilvl="0" w:tplc="1C14AC30">
      <w:start w:val="1"/>
      <w:numFmt w:val="bullet"/>
      <w:lvlText w:val=""/>
      <w:lvlJc w:val="left"/>
      <w:pPr>
        <w:ind w:left="1080" w:hanging="360"/>
      </w:pPr>
      <w:rPr>
        <w:rFonts w:ascii="Symbol" w:hAnsi="Symbol"/>
      </w:rPr>
    </w:lvl>
    <w:lvl w:ilvl="1" w:tplc="2A6E4D20">
      <w:start w:val="1"/>
      <w:numFmt w:val="bullet"/>
      <w:lvlText w:val=""/>
      <w:lvlJc w:val="left"/>
      <w:pPr>
        <w:ind w:left="1080" w:hanging="360"/>
      </w:pPr>
      <w:rPr>
        <w:rFonts w:ascii="Symbol" w:hAnsi="Symbol"/>
      </w:rPr>
    </w:lvl>
    <w:lvl w:ilvl="2" w:tplc="252210F2">
      <w:start w:val="1"/>
      <w:numFmt w:val="bullet"/>
      <w:lvlText w:val=""/>
      <w:lvlJc w:val="left"/>
      <w:pPr>
        <w:ind w:left="1080" w:hanging="360"/>
      </w:pPr>
      <w:rPr>
        <w:rFonts w:ascii="Symbol" w:hAnsi="Symbol"/>
      </w:rPr>
    </w:lvl>
    <w:lvl w:ilvl="3" w:tplc="6CB2433E">
      <w:start w:val="1"/>
      <w:numFmt w:val="bullet"/>
      <w:lvlText w:val=""/>
      <w:lvlJc w:val="left"/>
      <w:pPr>
        <w:ind w:left="1080" w:hanging="360"/>
      </w:pPr>
      <w:rPr>
        <w:rFonts w:ascii="Symbol" w:hAnsi="Symbol"/>
      </w:rPr>
    </w:lvl>
    <w:lvl w:ilvl="4" w:tplc="3586DE82">
      <w:start w:val="1"/>
      <w:numFmt w:val="bullet"/>
      <w:lvlText w:val=""/>
      <w:lvlJc w:val="left"/>
      <w:pPr>
        <w:ind w:left="1080" w:hanging="360"/>
      </w:pPr>
      <w:rPr>
        <w:rFonts w:ascii="Symbol" w:hAnsi="Symbol"/>
      </w:rPr>
    </w:lvl>
    <w:lvl w:ilvl="5" w:tplc="9B885AAA">
      <w:start w:val="1"/>
      <w:numFmt w:val="bullet"/>
      <w:lvlText w:val=""/>
      <w:lvlJc w:val="left"/>
      <w:pPr>
        <w:ind w:left="1080" w:hanging="360"/>
      </w:pPr>
      <w:rPr>
        <w:rFonts w:ascii="Symbol" w:hAnsi="Symbol"/>
      </w:rPr>
    </w:lvl>
    <w:lvl w:ilvl="6" w:tplc="96826F02">
      <w:start w:val="1"/>
      <w:numFmt w:val="bullet"/>
      <w:lvlText w:val=""/>
      <w:lvlJc w:val="left"/>
      <w:pPr>
        <w:ind w:left="1080" w:hanging="360"/>
      </w:pPr>
      <w:rPr>
        <w:rFonts w:ascii="Symbol" w:hAnsi="Symbol"/>
      </w:rPr>
    </w:lvl>
    <w:lvl w:ilvl="7" w:tplc="14F44C54">
      <w:start w:val="1"/>
      <w:numFmt w:val="bullet"/>
      <w:lvlText w:val=""/>
      <w:lvlJc w:val="left"/>
      <w:pPr>
        <w:ind w:left="1080" w:hanging="360"/>
      </w:pPr>
      <w:rPr>
        <w:rFonts w:ascii="Symbol" w:hAnsi="Symbol"/>
      </w:rPr>
    </w:lvl>
    <w:lvl w:ilvl="8" w:tplc="B30C661E">
      <w:start w:val="1"/>
      <w:numFmt w:val="bullet"/>
      <w:lvlText w:val=""/>
      <w:lvlJc w:val="left"/>
      <w:pPr>
        <w:ind w:left="1080" w:hanging="360"/>
      </w:pPr>
      <w:rPr>
        <w:rFonts w:ascii="Symbol" w:hAnsi="Symbol"/>
      </w:rPr>
    </w:lvl>
  </w:abstractNum>
  <w:abstractNum w:abstractNumId="47" w15:restartNumberingAfterBreak="0">
    <w:nsid w:val="47F26519"/>
    <w:multiLevelType w:val="hybridMultilevel"/>
    <w:tmpl w:val="62F028CA"/>
    <w:lvl w:ilvl="0" w:tplc="338CD394">
      <w:start w:val="1"/>
      <w:numFmt w:val="bullet"/>
      <w:lvlText w:val="•"/>
      <w:lvlJc w:val="left"/>
      <w:pPr>
        <w:tabs>
          <w:tab w:val="num" w:pos="720"/>
        </w:tabs>
        <w:ind w:left="720" w:hanging="360"/>
      </w:pPr>
      <w:rPr>
        <w:rFonts w:ascii="Arial" w:hAnsi="Arial" w:hint="default"/>
      </w:rPr>
    </w:lvl>
    <w:lvl w:ilvl="1" w:tplc="81446E74" w:tentative="1">
      <w:start w:val="1"/>
      <w:numFmt w:val="bullet"/>
      <w:lvlText w:val="•"/>
      <w:lvlJc w:val="left"/>
      <w:pPr>
        <w:tabs>
          <w:tab w:val="num" w:pos="1440"/>
        </w:tabs>
        <w:ind w:left="1440" w:hanging="360"/>
      </w:pPr>
      <w:rPr>
        <w:rFonts w:ascii="Arial" w:hAnsi="Arial" w:hint="default"/>
      </w:rPr>
    </w:lvl>
    <w:lvl w:ilvl="2" w:tplc="CD18CD56" w:tentative="1">
      <w:start w:val="1"/>
      <w:numFmt w:val="bullet"/>
      <w:lvlText w:val="•"/>
      <w:lvlJc w:val="left"/>
      <w:pPr>
        <w:tabs>
          <w:tab w:val="num" w:pos="2160"/>
        </w:tabs>
        <w:ind w:left="2160" w:hanging="360"/>
      </w:pPr>
      <w:rPr>
        <w:rFonts w:ascii="Arial" w:hAnsi="Arial" w:hint="default"/>
      </w:rPr>
    </w:lvl>
    <w:lvl w:ilvl="3" w:tplc="FA0E95C6" w:tentative="1">
      <w:start w:val="1"/>
      <w:numFmt w:val="bullet"/>
      <w:lvlText w:val="•"/>
      <w:lvlJc w:val="left"/>
      <w:pPr>
        <w:tabs>
          <w:tab w:val="num" w:pos="2880"/>
        </w:tabs>
        <w:ind w:left="2880" w:hanging="360"/>
      </w:pPr>
      <w:rPr>
        <w:rFonts w:ascii="Arial" w:hAnsi="Arial" w:hint="default"/>
      </w:rPr>
    </w:lvl>
    <w:lvl w:ilvl="4" w:tplc="7832A844" w:tentative="1">
      <w:start w:val="1"/>
      <w:numFmt w:val="bullet"/>
      <w:lvlText w:val="•"/>
      <w:lvlJc w:val="left"/>
      <w:pPr>
        <w:tabs>
          <w:tab w:val="num" w:pos="3600"/>
        </w:tabs>
        <w:ind w:left="3600" w:hanging="360"/>
      </w:pPr>
      <w:rPr>
        <w:rFonts w:ascii="Arial" w:hAnsi="Arial" w:hint="default"/>
      </w:rPr>
    </w:lvl>
    <w:lvl w:ilvl="5" w:tplc="E50ECD6C" w:tentative="1">
      <w:start w:val="1"/>
      <w:numFmt w:val="bullet"/>
      <w:lvlText w:val="•"/>
      <w:lvlJc w:val="left"/>
      <w:pPr>
        <w:tabs>
          <w:tab w:val="num" w:pos="4320"/>
        </w:tabs>
        <w:ind w:left="4320" w:hanging="360"/>
      </w:pPr>
      <w:rPr>
        <w:rFonts w:ascii="Arial" w:hAnsi="Arial" w:hint="default"/>
      </w:rPr>
    </w:lvl>
    <w:lvl w:ilvl="6" w:tplc="618A4F0C" w:tentative="1">
      <w:start w:val="1"/>
      <w:numFmt w:val="bullet"/>
      <w:lvlText w:val="•"/>
      <w:lvlJc w:val="left"/>
      <w:pPr>
        <w:tabs>
          <w:tab w:val="num" w:pos="5040"/>
        </w:tabs>
        <w:ind w:left="5040" w:hanging="360"/>
      </w:pPr>
      <w:rPr>
        <w:rFonts w:ascii="Arial" w:hAnsi="Arial" w:hint="default"/>
      </w:rPr>
    </w:lvl>
    <w:lvl w:ilvl="7" w:tplc="12D030CE" w:tentative="1">
      <w:start w:val="1"/>
      <w:numFmt w:val="bullet"/>
      <w:lvlText w:val="•"/>
      <w:lvlJc w:val="left"/>
      <w:pPr>
        <w:tabs>
          <w:tab w:val="num" w:pos="5760"/>
        </w:tabs>
        <w:ind w:left="5760" w:hanging="360"/>
      </w:pPr>
      <w:rPr>
        <w:rFonts w:ascii="Arial" w:hAnsi="Arial" w:hint="default"/>
      </w:rPr>
    </w:lvl>
    <w:lvl w:ilvl="8" w:tplc="C92AF154"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485C26A4"/>
    <w:multiLevelType w:val="hybridMultilevel"/>
    <w:tmpl w:val="51A47496"/>
    <w:lvl w:ilvl="0" w:tplc="10D40C04">
      <w:start w:val="1"/>
      <w:numFmt w:val="bullet"/>
      <w:lvlText w:val=""/>
      <w:lvlJc w:val="left"/>
      <w:pPr>
        <w:ind w:left="720" w:hanging="360"/>
      </w:pPr>
      <w:rPr>
        <w:rFonts w:ascii="Symbol" w:hAnsi="Symbol"/>
      </w:rPr>
    </w:lvl>
    <w:lvl w:ilvl="1" w:tplc="3D20510A">
      <w:start w:val="1"/>
      <w:numFmt w:val="bullet"/>
      <w:lvlText w:val=""/>
      <w:lvlJc w:val="left"/>
      <w:pPr>
        <w:ind w:left="720" w:hanging="360"/>
      </w:pPr>
      <w:rPr>
        <w:rFonts w:ascii="Symbol" w:hAnsi="Symbol"/>
      </w:rPr>
    </w:lvl>
    <w:lvl w:ilvl="2" w:tplc="81AADF0A">
      <w:start w:val="1"/>
      <w:numFmt w:val="bullet"/>
      <w:lvlText w:val=""/>
      <w:lvlJc w:val="left"/>
      <w:pPr>
        <w:ind w:left="720" w:hanging="360"/>
      </w:pPr>
      <w:rPr>
        <w:rFonts w:ascii="Symbol" w:hAnsi="Symbol"/>
      </w:rPr>
    </w:lvl>
    <w:lvl w:ilvl="3" w:tplc="146A7DA6">
      <w:start w:val="1"/>
      <w:numFmt w:val="bullet"/>
      <w:lvlText w:val=""/>
      <w:lvlJc w:val="left"/>
      <w:pPr>
        <w:ind w:left="720" w:hanging="360"/>
      </w:pPr>
      <w:rPr>
        <w:rFonts w:ascii="Symbol" w:hAnsi="Symbol"/>
      </w:rPr>
    </w:lvl>
    <w:lvl w:ilvl="4" w:tplc="D116F880">
      <w:start w:val="1"/>
      <w:numFmt w:val="bullet"/>
      <w:lvlText w:val=""/>
      <w:lvlJc w:val="left"/>
      <w:pPr>
        <w:ind w:left="720" w:hanging="360"/>
      </w:pPr>
      <w:rPr>
        <w:rFonts w:ascii="Symbol" w:hAnsi="Symbol"/>
      </w:rPr>
    </w:lvl>
    <w:lvl w:ilvl="5" w:tplc="D23241E8">
      <w:start w:val="1"/>
      <w:numFmt w:val="bullet"/>
      <w:lvlText w:val=""/>
      <w:lvlJc w:val="left"/>
      <w:pPr>
        <w:ind w:left="720" w:hanging="360"/>
      </w:pPr>
      <w:rPr>
        <w:rFonts w:ascii="Symbol" w:hAnsi="Symbol"/>
      </w:rPr>
    </w:lvl>
    <w:lvl w:ilvl="6" w:tplc="CE02B626">
      <w:start w:val="1"/>
      <w:numFmt w:val="bullet"/>
      <w:lvlText w:val=""/>
      <w:lvlJc w:val="left"/>
      <w:pPr>
        <w:ind w:left="720" w:hanging="360"/>
      </w:pPr>
      <w:rPr>
        <w:rFonts w:ascii="Symbol" w:hAnsi="Symbol"/>
      </w:rPr>
    </w:lvl>
    <w:lvl w:ilvl="7" w:tplc="77628420">
      <w:start w:val="1"/>
      <w:numFmt w:val="bullet"/>
      <w:lvlText w:val=""/>
      <w:lvlJc w:val="left"/>
      <w:pPr>
        <w:ind w:left="720" w:hanging="360"/>
      </w:pPr>
      <w:rPr>
        <w:rFonts w:ascii="Symbol" w:hAnsi="Symbol"/>
      </w:rPr>
    </w:lvl>
    <w:lvl w:ilvl="8" w:tplc="4F6E9170">
      <w:start w:val="1"/>
      <w:numFmt w:val="bullet"/>
      <w:lvlText w:val=""/>
      <w:lvlJc w:val="left"/>
      <w:pPr>
        <w:ind w:left="720" w:hanging="360"/>
      </w:pPr>
      <w:rPr>
        <w:rFonts w:ascii="Symbol" w:hAnsi="Symbol"/>
      </w:rPr>
    </w:lvl>
  </w:abstractNum>
  <w:abstractNum w:abstractNumId="49" w15:restartNumberingAfterBreak="0">
    <w:nsid w:val="4D4E63FD"/>
    <w:multiLevelType w:val="hybridMultilevel"/>
    <w:tmpl w:val="46569E1C"/>
    <w:lvl w:ilvl="0" w:tplc="CB840A52">
      <w:start w:val="1"/>
      <w:numFmt w:val="bullet"/>
      <w:lvlText w:val=""/>
      <w:lvlJc w:val="left"/>
      <w:pPr>
        <w:ind w:left="1134" w:hanging="360"/>
      </w:pPr>
      <w:rPr>
        <w:rFonts w:ascii="Symbol" w:hAnsi="Symbol" w:hint="default"/>
        <w:color w:val="auto"/>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50" w15:restartNumberingAfterBreak="0">
    <w:nsid w:val="4F1D638E"/>
    <w:multiLevelType w:val="multilevel"/>
    <w:tmpl w:val="2E7811DC"/>
    <w:styleLink w:val="SectionBi"/>
    <w:lvl w:ilvl="0">
      <w:start w:val="2"/>
      <w:numFmt w:val="upperLetter"/>
      <w:lvlText w:val="%1(i)."/>
      <w:lvlJc w:val="left"/>
      <w:pPr>
        <w:ind w:left="1134" w:hanging="1134"/>
      </w:pPr>
      <w:rPr>
        <w:rFonts w:ascii="Arial" w:hAnsi="Arial" w:hint="default"/>
        <w:b/>
        <w:sz w:val="22"/>
        <w:szCs w:val="22"/>
      </w:rPr>
    </w:lvl>
    <w:lvl w:ilvl="1">
      <w:start w:val="1"/>
      <w:numFmt w:val="decimal"/>
      <w:lvlText w:val="%1(i).%2"/>
      <w:lvlJc w:val="left"/>
      <w:pPr>
        <w:ind w:left="1134" w:hanging="1134"/>
      </w:pPr>
      <w:rPr>
        <w:rFonts w:ascii="Arial" w:hAnsi="Arial" w:hint="default"/>
        <w:sz w:val="22"/>
      </w:rPr>
    </w:lvl>
    <w:lvl w:ilvl="2">
      <w:start w:val="1"/>
      <w:numFmt w:val="decimal"/>
      <w:lvlText w:val="%1(i).%2.%3"/>
      <w:lvlJc w:val="left"/>
      <w:pPr>
        <w:ind w:left="1134" w:hanging="1134"/>
      </w:pPr>
      <w:rPr>
        <w:rFonts w:ascii="Arial" w:hAnsi="Arial" w:hint="default"/>
        <w:sz w:val="22"/>
      </w:rPr>
    </w:lvl>
    <w:lvl w:ilvl="3">
      <w:start w:val="1"/>
      <w:numFmt w:val="decimal"/>
      <w:lvlText w:val="%1(i).%2.%3.%4"/>
      <w:lvlJc w:val="left"/>
      <w:pPr>
        <w:ind w:left="1134" w:hanging="1134"/>
      </w:pPr>
      <w:rPr>
        <w:rFonts w:ascii="Arial" w:hAnsi="Arial" w:hint="default"/>
        <w:sz w:val="22"/>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51" w15:restartNumberingAfterBreak="0">
    <w:nsid w:val="502B51BE"/>
    <w:multiLevelType w:val="hybridMultilevel"/>
    <w:tmpl w:val="4D564FA4"/>
    <w:lvl w:ilvl="0" w:tplc="D35C19E0">
      <w:start w:val="1"/>
      <w:numFmt w:val="bullet"/>
      <w:lvlText w:val=""/>
      <w:lvlJc w:val="left"/>
      <w:pPr>
        <w:ind w:left="1160" w:hanging="360"/>
      </w:pPr>
      <w:rPr>
        <w:rFonts w:ascii="Symbol" w:hAnsi="Symbol"/>
      </w:rPr>
    </w:lvl>
    <w:lvl w:ilvl="1" w:tplc="141602C6">
      <w:start w:val="1"/>
      <w:numFmt w:val="bullet"/>
      <w:lvlText w:val=""/>
      <w:lvlJc w:val="left"/>
      <w:pPr>
        <w:ind w:left="1160" w:hanging="360"/>
      </w:pPr>
      <w:rPr>
        <w:rFonts w:ascii="Symbol" w:hAnsi="Symbol"/>
      </w:rPr>
    </w:lvl>
    <w:lvl w:ilvl="2" w:tplc="E7D46104">
      <w:start w:val="1"/>
      <w:numFmt w:val="bullet"/>
      <w:lvlText w:val=""/>
      <w:lvlJc w:val="left"/>
      <w:pPr>
        <w:ind w:left="1160" w:hanging="360"/>
      </w:pPr>
      <w:rPr>
        <w:rFonts w:ascii="Symbol" w:hAnsi="Symbol"/>
      </w:rPr>
    </w:lvl>
    <w:lvl w:ilvl="3" w:tplc="7564F9D0">
      <w:start w:val="1"/>
      <w:numFmt w:val="bullet"/>
      <w:lvlText w:val=""/>
      <w:lvlJc w:val="left"/>
      <w:pPr>
        <w:ind w:left="1160" w:hanging="360"/>
      </w:pPr>
      <w:rPr>
        <w:rFonts w:ascii="Symbol" w:hAnsi="Symbol"/>
      </w:rPr>
    </w:lvl>
    <w:lvl w:ilvl="4" w:tplc="41F00A2E">
      <w:start w:val="1"/>
      <w:numFmt w:val="bullet"/>
      <w:lvlText w:val=""/>
      <w:lvlJc w:val="left"/>
      <w:pPr>
        <w:ind w:left="1160" w:hanging="360"/>
      </w:pPr>
      <w:rPr>
        <w:rFonts w:ascii="Symbol" w:hAnsi="Symbol"/>
      </w:rPr>
    </w:lvl>
    <w:lvl w:ilvl="5" w:tplc="F8F6B716">
      <w:start w:val="1"/>
      <w:numFmt w:val="bullet"/>
      <w:lvlText w:val=""/>
      <w:lvlJc w:val="left"/>
      <w:pPr>
        <w:ind w:left="1160" w:hanging="360"/>
      </w:pPr>
      <w:rPr>
        <w:rFonts w:ascii="Symbol" w:hAnsi="Symbol"/>
      </w:rPr>
    </w:lvl>
    <w:lvl w:ilvl="6" w:tplc="6932F968">
      <w:start w:val="1"/>
      <w:numFmt w:val="bullet"/>
      <w:lvlText w:val=""/>
      <w:lvlJc w:val="left"/>
      <w:pPr>
        <w:ind w:left="1160" w:hanging="360"/>
      </w:pPr>
      <w:rPr>
        <w:rFonts w:ascii="Symbol" w:hAnsi="Symbol"/>
      </w:rPr>
    </w:lvl>
    <w:lvl w:ilvl="7" w:tplc="A40AAA96">
      <w:start w:val="1"/>
      <w:numFmt w:val="bullet"/>
      <w:lvlText w:val=""/>
      <w:lvlJc w:val="left"/>
      <w:pPr>
        <w:ind w:left="1160" w:hanging="360"/>
      </w:pPr>
      <w:rPr>
        <w:rFonts w:ascii="Symbol" w:hAnsi="Symbol"/>
      </w:rPr>
    </w:lvl>
    <w:lvl w:ilvl="8" w:tplc="B3F09290">
      <w:start w:val="1"/>
      <w:numFmt w:val="bullet"/>
      <w:lvlText w:val=""/>
      <w:lvlJc w:val="left"/>
      <w:pPr>
        <w:ind w:left="1160" w:hanging="360"/>
      </w:pPr>
      <w:rPr>
        <w:rFonts w:ascii="Symbol" w:hAnsi="Symbol"/>
      </w:rPr>
    </w:lvl>
  </w:abstractNum>
  <w:abstractNum w:abstractNumId="52" w15:restartNumberingAfterBreak="0">
    <w:nsid w:val="505B07E4"/>
    <w:multiLevelType w:val="hybridMultilevel"/>
    <w:tmpl w:val="5BDA2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07B35D1"/>
    <w:multiLevelType w:val="hybridMultilevel"/>
    <w:tmpl w:val="C3EA7B9C"/>
    <w:lvl w:ilvl="0" w:tplc="8DDE0C4A">
      <w:start w:val="1"/>
      <w:numFmt w:val="bullet"/>
      <w:lvlText w:val=""/>
      <w:lvlJc w:val="left"/>
      <w:pPr>
        <w:ind w:left="1800" w:hanging="360"/>
      </w:pPr>
      <w:rPr>
        <w:rFonts w:ascii="Symbol" w:hAnsi="Symbol"/>
      </w:rPr>
    </w:lvl>
    <w:lvl w:ilvl="1" w:tplc="B3706958">
      <w:start w:val="1"/>
      <w:numFmt w:val="bullet"/>
      <w:lvlText w:val=""/>
      <w:lvlJc w:val="left"/>
      <w:pPr>
        <w:ind w:left="1800" w:hanging="360"/>
      </w:pPr>
      <w:rPr>
        <w:rFonts w:ascii="Symbol" w:hAnsi="Symbol"/>
      </w:rPr>
    </w:lvl>
    <w:lvl w:ilvl="2" w:tplc="C3F4054C">
      <w:start w:val="1"/>
      <w:numFmt w:val="bullet"/>
      <w:lvlText w:val=""/>
      <w:lvlJc w:val="left"/>
      <w:pPr>
        <w:ind w:left="1800" w:hanging="360"/>
      </w:pPr>
      <w:rPr>
        <w:rFonts w:ascii="Symbol" w:hAnsi="Symbol"/>
      </w:rPr>
    </w:lvl>
    <w:lvl w:ilvl="3" w:tplc="A8F43026">
      <w:start w:val="1"/>
      <w:numFmt w:val="bullet"/>
      <w:lvlText w:val=""/>
      <w:lvlJc w:val="left"/>
      <w:pPr>
        <w:ind w:left="1800" w:hanging="360"/>
      </w:pPr>
      <w:rPr>
        <w:rFonts w:ascii="Symbol" w:hAnsi="Symbol"/>
      </w:rPr>
    </w:lvl>
    <w:lvl w:ilvl="4" w:tplc="8B129EA6">
      <w:start w:val="1"/>
      <w:numFmt w:val="bullet"/>
      <w:lvlText w:val=""/>
      <w:lvlJc w:val="left"/>
      <w:pPr>
        <w:ind w:left="1800" w:hanging="360"/>
      </w:pPr>
      <w:rPr>
        <w:rFonts w:ascii="Symbol" w:hAnsi="Symbol"/>
      </w:rPr>
    </w:lvl>
    <w:lvl w:ilvl="5" w:tplc="EC2E2C62">
      <w:start w:val="1"/>
      <w:numFmt w:val="bullet"/>
      <w:lvlText w:val=""/>
      <w:lvlJc w:val="left"/>
      <w:pPr>
        <w:ind w:left="1800" w:hanging="360"/>
      </w:pPr>
      <w:rPr>
        <w:rFonts w:ascii="Symbol" w:hAnsi="Symbol"/>
      </w:rPr>
    </w:lvl>
    <w:lvl w:ilvl="6" w:tplc="F4B6AED0">
      <w:start w:val="1"/>
      <w:numFmt w:val="bullet"/>
      <w:lvlText w:val=""/>
      <w:lvlJc w:val="left"/>
      <w:pPr>
        <w:ind w:left="1800" w:hanging="360"/>
      </w:pPr>
      <w:rPr>
        <w:rFonts w:ascii="Symbol" w:hAnsi="Symbol"/>
      </w:rPr>
    </w:lvl>
    <w:lvl w:ilvl="7" w:tplc="E8DCEC92">
      <w:start w:val="1"/>
      <w:numFmt w:val="bullet"/>
      <w:lvlText w:val=""/>
      <w:lvlJc w:val="left"/>
      <w:pPr>
        <w:ind w:left="1800" w:hanging="360"/>
      </w:pPr>
      <w:rPr>
        <w:rFonts w:ascii="Symbol" w:hAnsi="Symbol"/>
      </w:rPr>
    </w:lvl>
    <w:lvl w:ilvl="8" w:tplc="2D6A947E">
      <w:start w:val="1"/>
      <w:numFmt w:val="bullet"/>
      <w:lvlText w:val=""/>
      <w:lvlJc w:val="left"/>
      <w:pPr>
        <w:ind w:left="1800" w:hanging="360"/>
      </w:pPr>
      <w:rPr>
        <w:rFonts w:ascii="Symbol" w:hAnsi="Symbol"/>
      </w:rPr>
    </w:lvl>
  </w:abstractNum>
  <w:abstractNum w:abstractNumId="54" w15:restartNumberingAfterBreak="0">
    <w:nsid w:val="55026AEF"/>
    <w:multiLevelType w:val="hybridMultilevel"/>
    <w:tmpl w:val="4D9CA896"/>
    <w:lvl w:ilvl="0" w:tplc="FD9263DE">
      <w:start w:val="1"/>
      <w:numFmt w:val="bullet"/>
      <w:lvlText w:val=""/>
      <w:lvlJc w:val="left"/>
      <w:pPr>
        <w:ind w:left="720" w:hanging="360"/>
      </w:pPr>
      <w:rPr>
        <w:rFonts w:ascii="Symbol" w:hAnsi="Symbol"/>
      </w:rPr>
    </w:lvl>
    <w:lvl w:ilvl="1" w:tplc="CC68341A">
      <w:start w:val="1"/>
      <w:numFmt w:val="bullet"/>
      <w:lvlText w:val=""/>
      <w:lvlJc w:val="left"/>
      <w:pPr>
        <w:ind w:left="720" w:hanging="360"/>
      </w:pPr>
      <w:rPr>
        <w:rFonts w:ascii="Symbol" w:hAnsi="Symbol"/>
      </w:rPr>
    </w:lvl>
    <w:lvl w:ilvl="2" w:tplc="35240062">
      <w:start w:val="1"/>
      <w:numFmt w:val="bullet"/>
      <w:lvlText w:val=""/>
      <w:lvlJc w:val="left"/>
      <w:pPr>
        <w:ind w:left="720" w:hanging="360"/>
      </w:pPr>
      <w:rPr>
        <w:rFonts w:ascii="Symbol" w:hAnsi="Symbol"/>
      </w:rPr>
    </w:lvl>
    <w:lvl w:ilvl="3" w:tplc="09CE6678">
      <w:start w:val="1"/>
      <w:numFmt w:val="bullet"/>
      <w:lvlText w:val=""/>
      <w:lvlJc w:val="left"/>
      <w:pPr>
        <w:ind w:left="720" w:hanging="360"/>
      </w:pPr>
      <w:rPr>
        <w:rFonts w:ascii="Symbol" w:hAnsi="Symbol"/>
      </w:rPr>
    </w:lvl>
    <w:lvl w:ilvl="4" w:tplc="A0160BE4">
      <w:start w:val="1"/>
      <w:numFmt w:val="bullet"/>
      <w:lvlText w:val=""/>
      <w:lvlJc w:val="left"/>
      <w:pPr>
        <w:ind w:left="720" w:hanging="360"/>
      </w:pPr>
      <w:rPr>
        <w:rFonts w:ascii="Symbol" w:hAnsi="Symbol"/>
      </w:rPr>
    </w:lvl>
    <w:lvl w:ilvl="5" w:tplc="A22C1BAC">
      <w:start w:val="1"/>
      <w:numFmt w:val="bullet"/>
      <w:lvlText w:val=""/>
      <w:lvlJc w:val="left"/>
      <w:pPr>
        <w:ind w:left="720" w:hanging="360"/>
      </w:pPr>
      <w:rPr>
        <w:rFonts w:ascii="Symbol" w:hAnsi="Symbol"/>
      </w:rPr>
    </w:lvl>
    <w:lvl w:ilvl="6" w:tplc="126C22A2">
      <w:start w:val="1"/>
      <w:numFmt w:val="bullet"/>
      <w:lvlText w:val=""/>
      <w:lvlJc w:val="left"/>
      <w:pPr>
        <w:ind w:left="720" w:hanging="360"/>
      </w:pPr>
      <w:rPr>
        <w:rFonts w:ascii="Symbol" w:hAnsi="Symbol"/>
      </w:rPr>
    </w:lvl>
    <w:lvl w:ilvl="7" w:tplc="E8EC67B6">
      <w:start w:val="1"/>
      <w:numFmt w:val="bullet"/>
      <w:lvlText w:val=""/>
      <w:lvlJc w:val="left"/>
      <w:pPr>
        <w:ind w:left="720" w:hanging="360"/>
      </w:pPr>
      <w:rPr>
        <w:rFonts w:ascii="Symbol" w:hAnsi="Symbol"/>
      </w:rPr>
    </w:lvl>
    <w:lvl w:ilvl="8" w:tplc="24C023B4">
      <w:start w:val="1"/>
      <w:numFmt w:val="bullet"/>
      <w:lvlText w:val=""/>
      <w:lvlJc w:val="left"/>
      <w:pPr>
        <w:ind w:left="720" w:hanging="360"/>
      </w:pPr>
      <w:rPr>
        <w:rFonts w:ascii="Symbol" w:hAnsi="Symbol"/>
      </w:rPr>
    </w:lvl>
  </w:abstractNum>
  <w:abstractNum w:abstractNumId="5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61B0F3B"/>
    <w:multiLevelType w:val="hybridMultilevel"/>
    <w:tmpl w:val="D6BECB3C"/>
    <w:lvl w:ilvl="0" w:tplc="2FF4F86E">
      <w:start w:val="1"/>
      <w:numFmt w:val="bullet"/>
      <w:lvlText w:val=""/>
      <w:lvlJc w:val="left"/>
      <w:pPr>
        <w:ind w:left="1800" w:hanging="360"/>
      </w:pPr>
      <w:rPr>
        <w:rFonts w:ascii="Symbol" w:hAnsi="Symbol"/>
      </w:rPr>
    </w:lvl>
    <w:lvl w:ilvl="1" w:tplc="2B6C1E46">
      <w:start w:val="1"/>
      <w:numFmt w:val="bullet"/>
      <w:lvlText w:val=""/>
      <w:lvlJc w:val="left"/>
      <w:pPr>
        <w:ind w:left="1800" w:hanging="360"/>
      </w:pPr>
      <w:rPr>
        <w:rFonts w:ascii="Symbol" w:hAnsi="Symbol"/>
      </w:rPr>
    </w:lvl>
    <w:lvl w:ilvl="2" w:tplc="BA361EE0">
      <w:start w:val="1"/>
      <w:numFmt w:val="bullet"/>
      <w:lvlText w:val=""/>
      <w:lvlJc w:val="left"/>
      <w:pPr>
        <w:ind w:left="1800" w:hanging="360"/>
      </w:pPr>
      <w:rPr>
        <w:rFonts w:ascii="Symbol" w:hAnsi="Symbol"/>
      </w:rPr>
    </w:lvl>
    <w:lvl w:ilvl="3" w:tplc="BF049424">
      <w:start w:val="1"/>
      <w:numFmt w:val="bullet"/>
      <w:lvlText w:val=""/>
      <w:lvlJc w:val="left"/>
      <w:pPr>
        <w:ind w:left="1800" w:hanging="360"/>
      </w:pPr>
      <w:rPr>
        <w:rFonts w:ascii="Symbol" w:hAnsi="Symbol"/>
      </w:rPr>
    </w:lvl>
    <w:lvl w:ilvl="4" w:tplc="B9F0A860">
      <w:start w:val="1"/>
      <w:numFmt w:val="bullet"/>
      <w:lvlText w:val=""/>
      <w:lvlJc w:val="left"/>
      <w:pPr>
        <w:ind w:left="1800" w:hanging="360"/>
      </w:pPr>
      <w:rPr>
        <w:rFonts w:ascii="Symbol" w:hAnsi="Symbol"/>
      </w:rPr>
    </w:lvl>
    <w:lvl w:ilvl="5" w:tplc="15DCFB7A">
      <w:start w:val="1"/>
      <w:numFmt w:val="bullet"/>
      <w:lvlText w:val=""/>
      <w:lvlJc w:val="left"/>
      <w:pPr>
        <w:ind w:left="1800" w:hanging="360"/>
      </w:pPr>
      <w:rPr>
        <w:rFonts w:ascii="Symbol" w:hAnsi="Symbol"/>
      </w:rPr>
    </w:lvl>
    <w:lvl w:ilvl="6" w:tplc="037C2FE4">
      <w:start w:val="1"/>
      <w:numFmt w:val="bullet"/>
      <w:lvlText w:val=""/>
      <w:lvlJc w:val="left"/>
      <w:pPr>
        <w:ind w:left="1800" w:hanging="360"/>
      </w:pPr>
      <w:rPr>
        <w:rFonts w:ascii="Symbol" w:hAnsi="Symbol"/>
      </w:rPr>
    </w:lvl>
    <w:lvl w:ilvl="7" w:tplc="CE089B90">
      <w:start w:val="1"/>
      <w:numFmt w:val="bullet"/>
      <w:lvlText w:val=""/>
      <w:lvlJc w:val="left"/>
      <w:pPr>
        <w:ind w:left="1800" w:hanging="360"/>
      </w:pPr>
      <w:rPr>
        <w:rFonts w:ascii="Symbol" w:hAnsi="Symbol"/>
      </w:rPr>
    </w:lvl>
    <w:lvl w:ilvl="8" w:tplc="8056D72C">
      <w:start w:val="1"/>
      <w:numFmt w:val="bullet"/>
      <w:lvlText w:val=""/>
      <w:lvlJc w:val="left"/>
      <w:pPr>
        <w:ind w:left="1800" w:hanging="360"/>
      </w:pPr>
      <w:rPr>
        <w:rFonts w:ascii="Symbol" w:hAnsi="Symbol"/>
      </w:rPr>
    </w:lvl>
  </w:abstractNum>
  <w:abstractNum w:abstractNumId="57" w15:restartNumberingAfterBreak="0">
    <w:nsid w:val="59A972E9"/>
    <w:multiLevelType w:val="hybridMultilevel"/>
    <w:tmpl w:val="4AC0047E"/>
    <w:lvl w:ilvl="0" w:tplc="94CA96E4">
      <w:start w:val="1"/>
      <w:numFmt w:val="bullet"/>
      <w:lvlText w:val=""/>
      <w:lvlJc w:val="left"/>
      <w:pPr>
        <w:ind w:left="1800" w:hanging="360"/>
      </w:pPr>
      <w:rPr>
        <w:rFonts w:ascii="Symbol" w:hAnsi="Symbol"/>
      </w:rPr>
    </w:lvl>
    <w:lvl w:ilvl="1" w:tplc="4B2A1364">
      <w:start w:val="1"/>
      <w:numFmt w:val="bullet"/>
      <w:lvlText w:val=""/>
      <w:lvlJc w:val="left"/>
      <w:pPr>
        <w:ind w:left="1800" w:hanging="360"/>
      </w:pPr>
      <w:rPr>
        <w:rFonts w:ascii="Symbol" w:hAnsi="Symbol"/>
      </w:rPr>
    </w:lvl>
    <w:lvl w:ilvl="2" w:tplc="30E6371A">
      <w:start w:val="1"/>
      <w:numFmt w:val="bullet"/>
      <w:lvlText w:val=""/>
      <w:lvlJc w:val="left"/>
      <w:pPr>
        <w:ind w:left="1800" w:hanging="360"/>
      </w:pPr>
      <w:rPr>
        <w:rFonts w:ascii="Symbol" w:hAnsi="Symbol"/>
      </w:rPr>
    </w:lvl>
    <w:lvl w:ilvl="3" w:tplc="3546062A">
      <w:start w:val="1"/>
      <w:numFmt w:val="bullet"/>
      <w:lvlText w:val=""/>
      <w:lvlJc w:val="left"/>
      <w:pPr>
        <w:ind w:left="1800" w:hanging="360"/>
      </w:pPr>
      <w:rPr>
        <w:rFonts w:ascii="Symbol" w:hAnsi="Symbol"/>
      </w:rPr>
    </w:lvl>
    <w:lvl w:ilvl="4" w:tplc="F29A8C8E">
      <w:start w:val="1"/>
      <w:numFmt w:val="bullet"/>
      <w:lvlText w:val=""/>
      <w:lvlJc w:val="left"/>
      <w:pPr>
        <w:ind w:left="1800" w:hanging="360"/>
      </w:pPr>
      <w:rPr>
        <w:rFonts w:ascii="Symbol" w:hAnsi="Symbol"/>
      </w:rPr>
    </w:lvl>
    <w:lvl w:ilvl="5" w:tplc="91B2DDCA">
      <w:start w:val="1"/>
      <w:numFmt w:val="bullet"/>
      <w:lvlText w:val=""/>
      <w:lvlJc w:val="left"/>
      <w:pPr>
        <w:ind w:left="1800" w:hanging="360"/>
      </w:pPr>
      <w:rPr>
        <w:rFonts w:ascii="Symbol" w:hAnsi="Symbol"/>
      </w:rPr>
    </w:lvl>
    <w:lvl w:ilvl="6" w:tplc="20549EFA">
      <w:start w:val="1"/>
      <w:numFmt w:val="bullet"/>
      <w:lvlText w:val=""/>
      <w:lvlJc w:val="left"/>
      <w:pPr>
        <w:ind w:left="1800" w:hanging="360"/>
      </w:pPr>
      <w:rPr>
        <w:rFonts w:ascii="Symbol" w:hAnsi="Symbol"/>
      </w:rPr>
    </w:lvl>
    <w:lvl w:ilvl="7" w:tplc="8092C780">
      <w:start w:val="1"/>
      <w:numFmt w:val="bullet"/>
      <w:lvlText w:val=""/>
      <w:lvlJc w:val="left"/>
      <w:pPr>
        <w:ind w:left="1800" w:hanging="360"/>
      </w:pPr>
      <w:rPr>
        <w:rFonts w:ascii="Symbol" w:hAnsi="Symbol"/>
      </w:rPr>
    </w:lvl>
    <w:lvl w:ilvl="8" w:tplc="0096F41A">
      <w:start w:val="1"/>
      <w:numFmt w:val="bullet"/>
      <w:lvlText w:val=""/>
      <w:lvlJc w:val="left"/>
      <w:pPr>
        <w:ind w:left="1800" w:hanging="360"/>
      </w:pPr>
      <w:rPr>
        <w:rFonts w:ascii="Symbol" w:hAnsi="Symbol"/>
      </w:rPr>
    </w:lvl>
  </w:abstractNum>
  <w:abstractNum w:abstractNumId="58" w15:restartNumberingAfterBreak="0">
    <w:nsid w:val="5A360696"/>
    <w:multiLevelType w:val="hybridMultilevel"/>
    <w:tmpl w:val="B99AD7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5CBD0BF8"/>
    <w:multiLevelType w:val="hybridMultilevel"/>
    <w:tmpl w:val="1DB63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1" w15:restartNumberingAfterBreak="0">
    <w:nsid w:val="60183795"/>
    <w:multiLevelType w:val="multilevel"/>
    <w:tmpl w:val="2E4A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2DC5289"/>
    <w:multiLevelType w:val="hybridMultilevel"/>
    <w:tmpl w:val="2020B378"/>
    <w:lvl w:ilvl="0" w:tplc="74D69DAC">
      <w:start w:val="1"/>
      <w:numFmt w:val="bullet"/>
      <w:lvlText w:val=""/>
      <w:lvlJc w:val="left"/>
      <w:pPr>
        <w:ind w:left="720" w:hanging="360"/>
      </w:pPr>
      <w:rPr>
        <w:rFonts w:ascii="Symbol" w:hAnsi="Symbol"/>
      </w:rPr>
    </w:lvl>
    <w:lvl w:ilvl="1" w:tplc="5498E5FE">
      <w:start w:val="1"/>
      <w:numFmt w:val="bullet"/>
      <w:lvlText w:val=""/>
      <w:lvlJc w:val="left"/>
      <w:pPr>
        <w:ind w:left="720" w:hanging="360"/>
      </w:pPr>
      <w:rPr>
        <w:rFonts w:ascii="Symbol" w:hAnsi="Symbol"/>
      </w:rPr>
    </w:lvl>
    <w:lvl w:ilvl="2" w:tplc="DF823840">
      <w:start w:val="1"/>
      <w:numFmt w:val="bullet"/>
      <w:lvlText w:val=""/>
      <w:lvlJc w:val="left"/>
      <w:pPr>
        <w:ind w:left="720" w:hanging="360"/>
      </w:pPr>
      <w:rPr>
        <w:rFonts w:ascii="Symbol" w:hAnsi="Symbol"/>
      </w:rPr>
    </w:lvl>
    <w:lvl w:ilvl="3" w:tplc="53AEA340">
      <w:start w:val="1"/>
      <w:numFmt w:val="bullet"/>
      <w:lvlText w:val=""/>
      <w:lvlJc w:val="left"/>
      <w:pPr>
        <w:ind w:left="720" w:hanging="360"/>
      </w:pPr>
      <w:rPr>
        <w:rFonts w:ascii="Symbol" w:hAnsi="Symbol"/>
      </w:rPr>
    </w:lvl>
    <w:lvl w:ilvl="4" w:tplc="5608D9B4">
      <w:start w:val="1"/>
      <w:numFmt w:val="bullet"/>
      <w:lvlText w:val=""/>
      <w:lvlJc w:val="left"/>
      <w:pPr>
        <w:ind w:left="720" w:hanging="360"/>
      </w:pPr>
      <w:rPr>
        <w:rFonts w:ascii="Symbol" w:hAnsi="Symbol"/>
      </w:rPr>
    </w:lvl>
    <w:lvl w:ilvl="5" w:tplc="863E6EB6">
      <w:start w:val="1"/>
      <w:numFmt w:val="bullet"/>
      <w:lvlText w:val=""/>
      <w:lvlJc w:val="left"/>
      <w:pPr>
        <w:ind w:left="720" w:hanging="360"/>
      </w:pPr>
      <w:rPr>
        <w:rFonts w:ascii="Symbol" w:hAnsi="Symbol"/>
      </w:rPr>
    </w:lvl>
    <w:lvl w:ilvl="6" w:tplc="C5EEC906">
      <w:start w:val="1"/>
      <w:numFmt w:val="bullet"/>
      <w:lvlText w:val=""/>
      <w:lvlJc w:val="left"/>
      <w:pPr>
        <w:ind w:left="720" w:hanging="360"/>
      </w:pPr>
      <w:rPr>
        <w:rFonts w:ascii="Symbol" w:hAnsi="Symbol"/>
      </w:rPr>
    </w:lvl>
    <w:lvl w:ilvl="7" w:tplc="6C80E5E2">
      <w:start w:val="1"/>
      <w:numFmt w:val="bullet"/>
      <w:lvlText w:val=""/>
      <w:lvlJc w:val="left"/>
      <w:pPr>
        <w:ind w:left="720" w:hanging="360"/>
      </w:pPr>
      <w:rPr>
        <w:rFonts w:ascii="Symbol" w:hAnsi="Symbol"/>
      </w:rPr>
    </w:lvl>
    <w:lvl w:ilvl="8" w:tplc="A8A6916C">
      <w:start w:val="1"/>
      <w:numFmt w:val="bullet"/>
      <w:lvlText w:val=""/>
      <w:lvlJc w:val="left"/>
      <w:pPr>
        <w:ind w:left="720" w:hanging="360"/>
      </w:pPr>
      <w:rPr>
        <w:rFonts w:ascii="Symbol" w:hAnsi="Symbol"/>
      </w:rPr>
    </w:lvl>
  </w:abstractNum>
  <w:abstractNum w:abstractNumId="63"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4" w15:restartNumberingAfterBreak="0">
    <w:nsid w:val="689E34B2"/>
    <w:multiLevelType w:val="hybridMultilevel"/>
    <w:tmpl w:val="840C2DF8"/>
    <w:lvl w:ilvl="0" w:tplc="CB840A5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A1A2D09"/>
    <w:multiLevelType w:val="hybridMultilevel"/>
    <w:tmpl w:val="E94C8BC2"/>
    <w:lvl w:ilvl="0" w:tplc="359274C0">
      <w:start w:val="1"/>
      <w:numFmt w:val="bullet"/>
      <w:lvlText w:val=""/>
      <w:lvlJc w:val="left"/>
      <w:pPr>
        <w:ind w:left="1800" w:hanging="360"/>
      </w:pPr>
      <w:rPr>
        <w:rFonts w:ascii="Symbol" w:hAnsi="Symbol"/>
      </w:rPr>
    </w:lvl>
    <w:lvl w:ilvl="1" w:tplc="7A768BB6">
      <w:start w:val="1"/>
      <w:numFmt w:val="bullet"/>
      <w:lvlText w:val=""/>
      <w:lvlJc w:val="left"/>
      <w:pPr>
        <w:ind w:left="1800" w:hanging="360"/>
      </w:pPr>
      <w:rPr>
        <w:rFonts w:ascii="Symbol" w:hAnsi="Symbol"/>
      </w:rPr>
    </w:lvl>
    <w:lvl w:ilvl="2" w:tplc="3D684B64">
      <w:start w:val="1"/>
      <w:numFmt w:val="bullet"/>
      <w:lvlText w:val=""/>
      <w:lvlJc w:val="left"/>
      <w:pPr>
        <w:ind w:left="1800" w:hanging="360"/>
      </w:pPr>
      <w:rPr>
        <w:rFonts w:ascii="Symbol" w:hAnsi="Symbol"/>
      </w:rPr>
    </w:lvl>
    <w:lvl w:ilvl="3" w:tplc="C0C86256">
      <w:start w:val="1"/>
      <w:numFmt w:val="bullet"/>
      <w:lvlText w:val=""/>
      <w:lvlJc w:val="left"/>
      <w:pPr>
        <w:ind w:left="1800" w:hanging="360"/>
      </w:pPr>
      <w:rPr>
        <w:rFonts w:ascii="Symbol" w:hAnsi="Symbol"/>
      </w:rPr>
    </w:lvl>
    <w:lvl w:ilvl="4" w:tplc="F2E4A5BA">
      <w:start w:val="1"/>
      <w:numFmt w:val="bullet"/>
      <w:lvlText w:val=""/>
      <w:lvlJc w:val="left"/>
      <w:pPr>
        <w:ind w:left="1800" w:hanging="360"/>
      </w:pPr>
      <w:rPr>
        <w:rFonts w:ascii="Symbol" w:hAnsi="Symbol"/>
      </w:rPr>
    </w:lvl>
    <w:lvl w:ilvl="5" w:tplc="45EA9556">
      <w:start w:val="1"/>
      <w:numFmt w:val="bullet"/>
      <w:lvlText w:val=""/>
      <w:lvlJc w:val="left"/>
      <w:pPr>
        <w:ind w:left="1800" w:hanging="360"/>
      </w:pPr>
      <w:rPr>
        <w:rFonts w:ascii="Symbol" w:hAnsi="Symbol"/>
      </w:rPr>
    </w:lvl>
    <w:lvl w:ilvl="6" w:tplc="9E549B34">
      <w:start w:val="1"/>
      <w:numFmt w:val="bullet"/>
      <w:lvlText w:val=""/>
      <w:lvlJc w:val="left"/>
      <w:pPr>
        <w:ind w:left="1800" w:hanging="360"/>
      </w:pPr>
      <w:rPr>
        <w:rFonts w:ascii="Symbol" w:hAnsi="Symbol"/>
      </w:rPr>
    </w:lvl>
    <w:lvl w:ilvl="7" w:tplc="87623156">
      <w:start w:val="1"/>
      <w:numFmt w:val="bullet"/>
      <w:lvlText w:val=""/>
      <w:lvlJc w:val="left"/>
      <w:pPr>
        <w:ind w:left="1800" w:hanging="360"/>
      </w:pPr>
      <w:rPr>
        <w:rFonts w:ascii="Symbol" w:hAnsi="Symbol"/>
      </w:rPr>
    </w:lvl>
    <w:lvl w:ilvl="8" w:tplc="015A5A4A">
      <w:start w:val="1"/>
      <w:numFmt w:val="bullet"/>
      <w:lvlText w:val=""/>
      <w:lvlJc w:val="left"/>
      <w:pPr>
        <w:ind w:left="1800" w:hanging="360"/>
      </w:pPr>
      <w:rPr>
        <w:rFonts w:ascii="Symbol" w:hAnsi="Symbol"/>
      </w:rPr>
    </w:lvl>
  </w:abstractNum>
  <w:abstractNum w:abstractNumId="66" w15:restartNumberingAfterBreak="0">
    <w:nsid w:val="6CA004CE"/>
    <w:multiLevelType w:val="hybridMultilevel"/>
    <w:tmpl w:val="E77C0C0A"/>
    <w:lvl w:ilvl="0" w:tplc="1E4A885A">
      <w:start w:val="1"/>
      <w:numFmt w:val="bullet"/>
      <w:lvlText w:val=""/>
      <w:lvlJc w:val="left"/>
      <w:pPr>
        <w:ind w:left="1080" w:hanging="360"/>
      </w:pPr>
      <w:rPr>
        <w:rFonts w:ascii="Symbol" w:hAnsi="Symbol"/>
      </w:rPr>
    </w:lvl>
    <w:lvl w:ilvl="1" w:tplc="8F3ECD30">
      <w:start w:val="1"/>
      <w:numFmt w:val="bullet"/>
      <w:lvlText w:val=""/>
      <w:lvlJc w:val="left"/>
      <w:pPr>
        <w:ind w:left="1080" w:hanging="360"/>
      </w:pPr>
      <w:rPr>
        <w:rFonts w:ascii="Symbol" w:hAnsi="Symbol"/>
      </w:rPr>
    </w:lvl>
    <w:lvl w:ilvl="2" w:tplc="24A88244">
      <w:start w:val="1"/>
      <w:numFmt w:val="bullet"/>
      <w:lvlText w:val=""/>
      <w:lvlJc w:val="left"/>
      <w:pPr>
        <w:ind w:left="1080" w:hanging="360"/>
      </w:pPr>
      <w:rPr>
        <w:rFonts w:ascii="Symbol" w:hAnsi="Symbol"/>
      </w:rPr>
    </w:lvl>
    <w:lvl w:ilvl="3" w:tplc="0CEAB73E">
      <w:start w:val="1"/>
      <w:numFmt w:val="bullet"/>
      <w:lvlText w:val=""/>
      <w:lvlJc w:val="left"/>
      <w:pPr>
        <w:ind w:left="1080" w:hanging="360"/>
      </w:pPr>
      <w:rPr>
        <w:rFonts w:ascii="Symbol" w:hAnsi="Symbol"/>
      </w:rPr>
    </w:lvl>
    <w:lvl w:ilvl="4" w:tplc="75584F62">
      <w:start w:val="1"/>
      <w:numFmt w:val="bullet"/>
      <w:lvlText w:val=""/>
      <w:lvlJc w:val="left"/>
      <w:pPr>
        <w:ind w:left="1080" w:hanging="360"/>
      </w:pPr>
      <w:rPr>
        <w:rFonts w:ascii="Symbol" w:hAnsi="Symbol"/>
      </w:rPr>
    </w:lvl>
    <w:lvl w:ilvl="5" w:tplc="D2F20BFC">
      <w:start w:val="1"/>
      <w:numFmt w:val="bullet"/>
      <w:lvlText w:val=""/>
      <w:lvlJc w:val="left"/>
      <w:pPr>
        <w:ind w:left="1080" w:hanging="360"/>
      </w:pPr>
      <w:rPr>
        <w:rFonts w:ascii="Symbol" w:hAnsi="Symbol"/>
      </w:rPr>
    </w:lvl>
    <w:lvl w:ilvl="6" w:tplc="416E9A5E">
      <w:start w:val="1"/>
      <w:numFmt w:val="bullet"/>
      <w:lvlText w:val=""/>
      <w:lvlJc w:val="left"/>
      <w:pPr>
        <w:ind w:left="1080" w:hanging="360"/>
      </w:pPr>
      <w:rPr>
        <w:rFonts w:ascii="Symbol" w:hAnsi="Symbol"/>
      </w:rPr>
    </w:lvl>
    <w:lvl w:ilvl="7" w:tplc="B4E0ADEC">
      <w:start w:val="1"/>
      <w:numFmt w:val="bullet"/>
      <w:lvlText w:val=""/>
      <w:lvlJc w:val="left"/>
      <w:pPr>
        <w:ind w:left="1080" w:hanging="360"/>
      </w:pPr>
      <w:rPr>
        <w:rFonts w:ascii="Symbol" w:hAnsi="Symbol"/>
      </w:rPr>
    </w:lvl>
    <w:lvl w:ilvl="8" w:tplc="B310133E">
      <w:start w:val="1"/>
      <w:numFmt w:val="bullet"/>
      <w:lvlText w:val=""/>
      <w:lvlJc w:val="left"/>
      <w:pPr>
        <w:ind w:left="1080" w:hanging="360"/>
      </w:pPr>
      <w:rPr>
        <w:rFonts w:ascii="Symbol" w:hAnsi="Symbol"/>
      </w:rPr>
    </w:lvl>
  </w:abstractNum>
  <w:abstractNum w:abstractNumId="67"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6EDF348E"/>
    <w:multiLevelType w:val="multilevel"/>
    <w:tmpl w:val="D6147934"/>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1521C08"/>
    <w:multiLevelType w:val="hybridMultilevel"/>
    <w:tmpl w:val="ED7C5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35B446E"/>
    <w:multiLevelType w:val="hybridMultilevel"/>
    <w:tmpl w:val="F84E8614"/>
    <w:lvl w:ilvl="0" w:tplc="200240FA">
      <w:start w:val="1"/>
      <w:numFmt w:val="bullet"/>
      <w:lvlText w:val=""/>
      <w:lvlJc w:val="left"/>
      <w:pPr>
        <w:ind w:left="1080" w:hanging="360"/>
      </w:pPr>
      <w:rPr>
        <w:rFonts w:ascii="Symbol" w:hAnsi="Symbol"/>
      </w:rPr>
    </w:lvl>
    <w:lvl w:ilvl="1" w:tplc="27262AD8">
      <w:start w:val="1"/>
      <w:numFmt w:val="bullet"/>
      <w:lvlText w:val=""/>
      <w:lvlJc w:val="left"/>
      <w:pPr>
        <w:ind w:left="1080" w:hanging="360"/>
      </w:pPr>
      <w:rPr>
        <w:rFonts w:ascii="Symbol" w:hAnsi="Symbol"/>
      </w:rPr>
    </w:lvl>
    <w:lvl w:ilvl="2" w:tplc="21D8D260">
      <w:start w:val="1"/>
      <w:numFmt w:val="bullet"/>
      <w:lvlText w:val=""/>
      <w:lvlJc w:val="left"/>
      <w:pPr>
        <w:ind w:left="1080" w:hanging="360"/>
      </w:pPr>
      <w:rPr>
        <w:rFonts w:ascii="Symbol" w:hAnsi="Symbol"/>
      </w:rPr>
    </w:lvl>
    <w:lvl w:ilvl="3" w:tplc="64A205E4">
      <w:start w:val="1"/>
      <w:numFmt w:val="bullet"/>
      <w:lvlText w:val=""/>
      <w:lvlJc w:val="left"/>
      <w:pPr>
        <w:ind w:left="1080" w:hanging="360"/>
      </w:pPr>
      <w:rPr>
        <w:rFonts w:ascii="Symbol" w:hAnsi="Symbol"/>
      </w:rPr>
    </w:lvl>
    <w:lvl w:ilvl="4" w:tplc="360CF114">
      <w:start w:val="1"/>
      <w:numFmt w:val="bullet"/>
      <w:lvlText w:val=""/>
      <w:lvlJc w:val="left"/>
      <w:pPr>
        <w:ind w:left="1080" w:hanging="360"/>
      </w:pPr>
      <w:rPr>
        <w:rFonts w:ascii="Symbol" w:hAnsi="Symbol"/>
      </w:rPr>
    </w:lvl>
    <w:lvl w:ilvl="5" w:tplc="1E68E876">
      <w:start w:val="1"/>
      <w:numFmt w:val="bullet"/>
      <w:lvlText w:val=""/>
      <w:lvlJc w:val="left"/>
      <w:pPr>
        <w:ind w:left="1080" w:hanging="360"/>
      </w:pPr>
      <w:rPr>
        <w:rFonts w:ascii="Symbol" w:hAnsi="Symbol"/>
      </w:rPr>
    </w:lvl>
    <w:lvl w:ilvl="6" w:tplc="B7C21EAC">
      <w:start w:val="1"/>
      <w:numFmt w:val="bullet"/>
      <w:lvlText w:val=""/>
      <w:lvlJc w:val="left"/>
      <w:pPr>
        <w:ind w:left="1080" w:hanging="360"/>
      </w:pPr>
      <w:rPr>
        <w:rFonts w:ascii="Symbol" w:hAnsi="Symbol"/>
      </w:rPr>
    </w:lvl>
    <w:lvl w:ilvl="7" w:tplc="FFEA77DA">
      <w:start w:val="1"/>
      <w:numFmt w:val="bullet"/>
      <w:lvlText w:val=""/>
      <w:lvlJc w:val="left"/>
      <w:pPr>
        <w:ind w:left="1080" w:hanging="360"/>
      </w:pPr>
      <w:rPr>
        <w:rFonts w:ascii="Symbol" w:hAnsi="Symbol"/>
      </w:rPr>
    </w:lvl>
    <w:lvl w:ilvl="8" w:tplc="4F26C032">
      <w:start w:val="1"/>
      <w:numFmt w:val="bullet"/>
      <w:lvlText w:val=""/>
      <w:lvlJc w:val="left"/>
      <w:pPr>
        <w:ind w:left="1080" w:hanging="360"/>
      </w:pPr>
      <w:rPr>
        <w:rFonts w:ascii="Symbol" w:hAnsi="Symbol"/>
      </w:rPr>
    </w:lvl>
  </w:abstractNum>
  <w:abstractNum w:abstractNumId="71" w15:restartNumberingAfterBreak="0">
    <w:nsid w:val="74470ED0"/>
    <w:multiLevelType w:val="hybridMultilevel"/>
    <w:tmpl w:val="D4A0BAF2"/>
    <w:lvl w:ilvl="0" w:tplc="46D4BD9E">
      <w:start w:val="1"/>
      <w:numFmt w:val="bullet"/>
      <w:lvlText w:val=""/>
      <w:lvlJc w:val="left"/>
      <w:pPr>
        <w:ind w:left="720" w:hanging="360"/>
      </w:pPr>
      <w:rPr>
        <w:rFonts w:ascii="Symbol" w:hAnsi="Symbol"/>
      </w:rPr>
    </w:lvl>
    <w:lvl w:ilvl="1" w:tplc="F95E2E72">
      <w:start w:val="1"/>
      <w:numFmt w:val="bullet"/>
      <w:lvlText w:val=""/>
      <w:lvlJc w:val="left"/>
      <w:pPr>
        <w:ind w:left="720" w:hanging="360"/>
      </w:pPr>
      <w:rPr>
        <w:rFonts w:ascii="Symbol" w:hAnsi="Symbol"/>
      </w:rPr>
    </w:lvl>
    <w:lvl w:ilvl="2" w:tplc="5AA26838">
      <w:start w:val="1"/>
      <w:numFmt w:val="bullet"/>
      <w:lvlText w:val=""/>
      <w:lvlJc w:val="left"/>
      <w:pPr>
        <w:ind w:left="720" w:hanging="360"/>
      </w:pPr>
      <w:rPr>
        <w:rFonts w:ascii="Symbol" w:hAnsi="Symbol"/>
      </w:rPr>
    </w:lvl>
    <w:lvl w:ilvl="3" w:tplc="CD88994C">
      <w:start w:val="1"/>
      <w:numFmt w:val="bullet"/>
      <w:lvlText w:val=""/>
      <w:lvlJc w:val="left"/>
      <w:pPr>
        <w:ind w:left="720" w:hanging="360"/>
      </w:pPr>
      <w:rPr>
        <w:rFonts w:ascii="Symbol" w:hAnsi="Symbol"/>
      </w:rPr>
    </w:lvl>
    <w:lvl w:ilvl="4" w:tplc="A6FCADB0">
      <w:start w:val="1"/>
      <w:numFmt w:val="bullet"/>
      <w:lvlText w:val=""/>
      <w:lvlJc w:val="left"/>
      <w:pPr>
        <w:ind w:left="720" w:hanging="360"/>
      </w:pPr>
      <w:rPr>
        <w:rFonts w:ascii="Symbol" w:hAnsi="Symbol"/>
      </w:rPr>
    </w:lvl>
    <w:lvl w:ilvl="5" w:tplc="EB466FFE">
      <w:start w:val="1"/>
      <w:numFmt w:val="bullet"/>
      <w:lvlText w:val=""/>
      <w:lvlJc w:val="left"/>
      <w:pPr>
        <w:ind w:left="720" w:hanging="360"/>
      </w:pPr>
      <w:rPr>
        <w:rFonts w:ascii="Symbol" w:hAnsi="Symbol"/>
      </w:rPr>
    </w:lvl>
    <w:lvl w:ilvl="6" w:tplc="BE6A70E4">
      <w:start w:val="1"/>
      <w:numFmt w:val="bullet"/>
      <w:lvlText w:val=""/>
      <w:lvlJc w:val="left"/>
      <w:pPr>
        <w:ind w:left="720" w:hanging="360"/>
      </w:pPr>
      <w:rPr>
        <w:rFonts w:ascii="Symbol" w:hAnsi="Symbol"/>
      </w:rPr>
    </w:lvl>
    <w:lvl w:ilvl="7" w:tplc="760AF5F8">
      <w:start w:val="1"/>
      <w:numFmt w:val="bullet"/>
      <w:lvlText w:val=""/>
      <w:lvlJc w:val="left"/>
      <w:pPr>
        <w:ind w:left="720" w:hanging="360"/>
      </w:pPr>
      <w:rPr>
        <w:rFonts w:ascii="Symbol" w:hAnsi="Symbol"/>
      </w:rPr>
    </w:lvl>
    <w:lvl w:ilvl="8" w:tplc="ECEE1D64">
      <w:start w:val="1"/>
      <w:numFmt w:val="bullet"/>
      <w:lvlText w:val=""/>
      <w:lvlJc w:val="left"/>
      <w:pPr>
        <w:ind w:left="720" w:hanging="360"/>
      </w:pPr>
      <w:rPr>
        <w:rFonts w:ascii="Symbol" w:hAnsi="Symbol"/>
      </w:rPr>
    </w:lvl>
  </w:abstractNum>
  <w:abstractNum w:abstractNumId="72" w15:restartNumberingAfterBreak="0">
    <w:nsid w:val="74BB046D"/>
    <w:multiLevelType w:val="hybridMultilevel"/>
    <w:tmpl w:val="DE6EAE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3" w15:restartNumberingAfterBreak="0">
    <w:nsid w:val="768D4338"/>
    <w:multiLevelType w:val="hybridMultilevel"/>
    <w:tmpl w:val="E40428E0"/>
    <w:lvl w:ilvl="0" w:tplc="66B4A574">
      <w:start w:val="1"/>
      <w:numFmt w:val="bullet"/>
      <w:lvlText w:val=""/>
      <w:lvlJc w:val="left"/>
      <w:pPr>
        <w:ind w:left="1800" w:hanging="360"/>
      </w:pPr>
      <w:rPr>
        <w:rFonts w:ascii="Symbol" w:hAnsi="Symbol"/>
      </w:rPr>
    </w:lvl>
    <w:lvl w:ilvl="1" w:tplc="F3E08308">
      <w:start w:val="1"/>
      <w:numFmt w:val="bullet"/>
      <w:lvlText w:val=""/>
      <w:lvlJc w:val="left"/>
      <w:pPr>
        <w:ind w:left="1800" w:hanging="360"/>
      </w:pPr>
      <w:rPr>
        <w:rFonts w:ascii="Symbol" w:hAnsi="Symbol"/>
      </w:rPr>
    </w:lvl>
    <w:lvl w:ilvl="2" w:tplc="56C2A632">
      <w:start w:val="1"/>
      <w:numFmt w:val="bullet"/>
      <w:lvlText w:val=""/>
      <w:lvlJc w:val="left"/>
      <w:pPr>
        <w:ind w:left="1800" w:hanging="360"/>
      </w:pPr>
      <w:rPr>
        <w:rFonts w:ascii="Symbol" w:hAnsi="Symbol"/>
      </w:rPr>
    </w:lvl>
    <w:lvl w:ilvl="3" w:tplc="71786F46">
      <w:start w:val="1"/>
      <w:numFmt w:val="bullet"/>
      <w:lvlText w:val=""/>
      <w:lvlJc w:val="left"/>
      <w:pPr>
        <w:ind w:left="1800" w:hanging="360"/>
      </w:pPr>
      <w:rPr>
        <w:rFonts w:ascii="Symbol" w:hAnsi="Symbol"/>
      </w:rPr>
    </w:lvl>
    <w:lvl w:ilvl="4" w:tplc="29424952">
      <w:start w:val="1"/>
      <w:numFmt w:val="bullet"/>
      <w:lvlText w:val=""/>
      <w:lvlJc w:val="left"/>
      <w:pPr>
        <w:ind w:left="1800" w:hanging="360"/>
      </w:pPr>
      <w:rPr>
        <w:rFonts w:ascii="Symbol" w:hAnsi="Symbol"/>
      </w:rPr>
    </w:lvl>
    <w:lvl w:ilvl="5" w:tplc="23143358">
      <w:start w:val="1"/>
      <w:numFmt w:val="bullet"/>
      <w:lvlText w:val=""/>
      <w:lvlJc w:val="left"/>
      <w:pPr>
        <w:ind w:left="1800" w:hanging="360"/>
      </w:pPr>
      <w:rPr>
        <w:rFonts w:ascii="Symbol" w:hAnsi="Symbol"/>
      </w:rPr>
    </w:lvl>
    <w:lvl w:ilvl="6" w:tplc="3B56D9A2">
      <w:start w:val="1"/>
      <w:numFmt w:val="bullet"/>
      <w:lvlText w:val=""/>
      <w:lvlJc w:val="left"/>
      <w:pPr>
        <w:ind w:left="1800" w:hanging="360"/>
      </w:pPr>
      <w:rPr>
        <w:rFonts w:ascii="Symbol" w:hAnsi="Symbol"/>
      </w:rPr>
    </w:lvl>
    <w:lvl w:ilvl="7" w:tplc="D9343320">
      <w:start w:val="1"/>
      <w:numFmt w:val="bullet"/>
      <w:lvlText w:val=""/>
      <w:lvlJc w:val="left"/>
      <w:pPr>
        <w:ind w:left="1800" w:hanging="360"/>
      </w:pPr>
      <w:rPr>
        <w:rFonts w:ascii="Symbol" w:hAnsi="Symbol"/>
      </w:rPr>
    </w:lvl>
    <w:lvl w:ilvl="8" w:tplc="C8F2618E">
      <w:start w:val="1"/>
      <w:numFmt w:val="bullet"/>
      <w:lvlText w:val=""/>
      <w:lvlJc w:val="left"/>
      <w:pPr>
        <w:ind w:left="1800" w:hanging="360"/>
      </w:pPr>
      <w:rPr>
        <w:rFonts w:ascii="Symbol" w:hAnsi="Symbol"/>
      </w:rPr>
    </w:lvl>
  </w:abstractNum>
  <w:abstractNum w:abstractNumId="74" w15:restartNumberingAfterBreak="0">
    <w:nsid w:val="76F43C5E"/>
    <w:multiLevelType w:val="hybridMultilevel"/>
    <w:tmpl w:val="3F8C419C"/>
    <w:lvl w:ilvl="0" w:tplc="71401CA6">
      <w:start w:val="1"/>
      <w:numFmt w:val="bullet"/>
      <w:lvlText w:val=""/>
      <w:lvlJc w:val="left"/>
      <w:pPr>
        <w:ind w:left="720" w:hanging="360"/>
      </w:pPr>
      <w:rPr>
        <w:rFonts w:ascii="Symbol" w:hAnsi="Symbol"/>
      </w:rPr>
    </w:lvl>
    <w:lvl w:ilvl="1" w:tplc="90360C4A">
      <w:start w:val="1"/>
      <w:numFmt w:val="bullet"/>
      <w:lvlText w:val=""/>
      <w:lvlJc w:val="left"/>
      <w:pPr>
        <w:ind w:left="720" w:hanging="360"/>
      </w:pPr>
      <w:rPr>
        <w:rFonts w:ascii="Symbol" w:hAnsi="Symbol"/>
      </w:rPr>
    </w:lvl>
    <w:lvl w:ilvl="2" w:tplc="CA98A9BC">
      <w:start w:val="1"/>
      <w:numFmt w:val="bullet"/>
      <w:lvlText w:val=""/>
      <w:lvlJc w:val="left"/>
      <w:pPr>
        <w:ind w:left="720" w:hanging="360"/>
      </w:pPr>
      <w:rPr>
        <w:rFonts w:ascii="Symbol" w:hAnsi="Symbol"/>
      </w:rPr>
    </w:lvl>
    <w:lvl w:ilvl="3" w:tplc="10D069BC">
      <w:start w:val="1"/>
      <w:numFmt w:val="bullet"/>
      <w:lvlText w:val=""/>
      <w:lvlJc w:val="left"/>
      <w:pPr>
        <w:ind w:left="720" w:hanging="360"/>
      </w:pPr>
      <w:rPr>
        <w:rFonts w:ascii="Symbol" w:hAnsi="Symbol"/>
      </w:rPr>
    </w:lvl>
    <w:lvl w:ilvl="4" w:tplc="E16A5B70">
      <w:start w:val="1"/>
      <w:numFmt w:val="bullet"/>
      <w:lvlText w:val=""/>
      <w:lvlJc w:val="left"/>
      <w:pPr>
        <w:ind w:left="720" w:hanging="360"/>
      </w:pPr>
      <w:rPr>
        <w:rFonts w:ascii="Symbol" w:hAnsi="Symbol"/>
      </w:rPr>
    </w:lvl>
    <w:lvl w:ilvl="5" w:tplc="2F1A768E">
      <w:start w:val="1"/>
      <w:numFmt w:val="bullet"/>
      <w:lvlText w:val=""/>
      <w:lvlJc w:val="left"/>
      <w:pPr>
        <w:ind w:left="720" w:hanging="360"/>
      </w:pPr>
      <w:rPr>
        <w:rFonts w:ascii="Symbol" w:hAnsi="Symbol"/>
      </w:rPr>
    </w:lvl>
    <w:lvl w:ilvl="6" w:tplc="9CD0490A">
      <w:start w:val="1"/>
      <w:numFmt w:val="bullet"/>
      <w:lvlText w:val=""/>
      <w:lvlJc w:val="left"/>
      <w:pPr>
        <w:ind w:left="720" w:hanging="360"/>
      </w:pPr>
      <w:rPr>
        <w:rFonts w:ascii="Symbol" w:hAnsi="Symbol"/>
      </w:rPr>
    </w:lvl>
    <w:lvl w:ilvl="7" w:tplc="6B14547E">
      <w:start w:val="1"/>
      <w:numFmt w:val="bullet"/>
      <w:lvlText w:val=""/>
      <w:lvlJc w:val="left"/>
      <w:pPr>
        <w:ind w:left="720" w:hanging="360"/>
      </w:pPr>
      <w:rPr>
        <w:rFonts w:ascii="Symbol" w:hAnsi="Symbol"/>
      </w:rPr>
    </w:lvl>
    <w:lvl w:ilvl="8" w:tplc="D27098A2">
      <w:start w:val="1"/>
      <w:numFmt w:val="bullet"/>
      <w:lvlText w:val=""/>
      <w:lvlJc w:val="left"/>
      <w:pPr>
        <w:ind w:left="720" w:hanging="360"/>
      </w:pPr>
      <w:rPr>
        <w:rFonts w:ascii="Symbol" w:hAnsi="Symbol"/>
      </w:rPr>
    </w:lvl>
  </w:abstractNum>
  <w:abstractNum w:abstractNumId="75" w15:restartNumberingAfterBreak="0">
    <w:nsid w:val="784D033C"/>
    <w:multiLevelType w:val="multilevel"/>
    <w:tmpl w:val="11404934"/>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olor w:val="auto"/>
        <w:sz w:val="24"/>
        <w:szCs w:val="24"/>
        <w:specVanish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B571A06"/>
    <w:multiLevelType w:val="hybridMultilevel"/>
    <w:tmpl w:val="CA9A1808"/>
    <w:lvl w:ilvl="0" w:tplc="CB840A52">
      <w:start w:val="1"/>
      <w:numFmt w:val="bullet"/>
      <w:lvlText w:val=""/>
      <w:lvlJc w:val="left"/>
      <w:pPr>
        <w:ind w:left="1134" w:hanging="360"/>
      </w:pPr>
      <w:rPr>
        <w:rFonts w:ascii="Symbol" w:hAnsi="Symbol" w:hint="default"/>
        <w:color w:val="auto"/>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77" w15:restartNumberingAfterBreak="0">
    <w:nsid w:val="7B8F5D0B"/>
    <w:multiLevelType w:val="hybridMultilevel"/>
    <w:tmpl w:val="8C2E20DE"/>
    <w:lvl w:ilvl="0" w:tplc="25B4D6DA">
      <w:start w:val="1"/>
      <w:numFmt w:val="bullet"/>
      <w:lvlText w:val=""/>
      <w:lvlJc w:val="left"/>
      <w:pPr>
        <w:ind w:left="1800" w:hanging="360"/>
      </w:pPr>
      <w:rPr>
        <w:rFonts w:ascii="Symbol" w:hAnsi="Symbol"/>
      </w:rPr>
    </w:lvl>
    <w:lvl w:ilvl="1" w:tplc="EF6CA854">
      <w:start w:val="1"/>
      <w:numFmt w:val="bullet"/>
      <w:lvlText w:val=""/>
      <w:lvlJc w:val="left"/>
      <w:pPr>
        <w:ind w:left="1800" w:hanging="360"/>
      </w:pPr>
      <w:rPr>
        <w:rFonts w:ascii="Symbol" w:hAnsi="Symbol"/>
      </w:rPr>
    </w:lvl>
    <w:lvl w:ilvl="2" w:tplc="4A700C82">
      <w:start w:val="1"/>
      <w:numFmt w:val="bullet"/>
      <w:lvlText w:val=""/>
      <w:lvlJc w:val="left"/>
      <w:pPr>
        <w:ind w:left="1800" w:hanging="360"/>
      </w:pPr>
      <w:rPr>
        <w:rFonts w:ascii="Symbol" w:hAnsi="Symbol"/>
      </w:rPr>
    </w:lvl>
    <w:lvl w:ilvl="3" w:tplc="18607CAA">
      <w:start w:val="1"/>
      <w:numFmt w:val="bullet"/>
      <w:lvlText w:val=""/>
      <w:lvlJc w:val="left"/>
      <w:pPr>
        <w:ind w:left="1800" w:hanging="360"/>
      </w:pPr>
      <w:rPr>
        <w:rFonts w:ascii="Symbol" w:hAnsi="Symbol"/>
      </w:rPr>
    </w:lvl>
    <w:lvl w:ilvl="4" w:tplc="0E262D8A">
      <w:start w:val="1"/>
      <w:numFmt w:val="bullet"/>
      <w:lvlText w:val=""/>
      <w:lvlJc w:val="left"/>
      <w:pPr>
        <w:ind w:left="1800" w:hanging="360"/>
      </w:pPr>
      <w:rPr>
        <w:rFonts w:ascii="Symbol" w:hAnsi="Symbol"/>
      </w:rPr>
    </w:lvl>
    <w:lvl w:ilvl="5" w:tplc="5A96AA40">
      <w:start w:val="1"/>
      <w:numFmt w:val="bullet"/>
      <w:lvlText w:val=""/>
      <w:lvlJc w:val="left"/>
      <w:pPr>
        <w:ind w:left="1800" w:hanging="360"/>
      </w:pPr>
      <w:rPr>
        <w:rFonts w:ascii="Symbol" w:hAnsi="Symbol"/>
      </w:rPr>
    </w:lvl>
    <w:lvl w:ilvl="6" w:tplc="D730E5B6">
      <w:start w:val="1"/>
      <w:numFmt w:val="bullet"/>
      <w:lvlText w:val=""/>
      <w:lvlJc w:val="left"/>
      <w:pPr>
        <w:ind w:left="1800" w:hanging="360"/>
      </w:pPr>
      <w:rPr>
        <w:rFonts w:ascii="Symbol" w:hAnsi="Symbol"/>
      </w:rPr>
    </w:lvl>
    <w:lvl w:ilvl="7" w:tplc="01FC93BE">
      <w:start w:val="1"/>
      <w:numFmt w:val="bullet"/>
      <w:lvlText w:val=""/>
      <w:lvlJc w:val="left"/>
      <w:pPr>
        <w:ind w:left="1800" w:hanging="360"/>
      </w:pPr>
      <w:rPr>
        <w:rFonts w:ascii="Symbol" w:hAnsi="Symbol"/>
      </w:rPr>
    </w:lvl>
    <w:lvl w:ilvl="8" w:tplc="71622E46">
      <w:start w:val="1"/>
      <w:numFmt w:val="bullet"/>
      <w:lvlText w:val=""/>
      <w:lvlJc w:val="left"/>
      <w:pPr>
        <w:ind w:left="1800" w:hanging="360"/>
      </w:pPr>
      <w:rPr>
        <w:rFonts w:ascii="Symbol" w:hAnsi="Symbol"/>
      </w:rPr>
    </w:lvl>
  </w:abstractNum>
  <w:abstractNum w:abstractNumId="78" w15:restartNumberingAfterBreak="0">
    <w:nsid w:val="7CD5582D"/>
    <w:multiLevelType w:val="hybridMultilevel"/>
    <w:tmpl w:val="F2FE89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DEC1A29"/>
    <w:multiLevelType w:val="hybridMultilevel"/>
    <w:tmpl w:val="7D1C394E"/>
    <w:lvl w:ilvl="0" w:tplc="D5B655EA">
      <w:start w:val="1"/>
      <w:numFmt w:val="bullet"/>
      <w:lvlText w:val=""/>
      <w:lvlJc w:val="left"/>
      <w:pPr>
        <w:ind w:left="720" w:hanging="360"/>
      </w:pPr>
      <w:rPr>
        <w:rFonts w:ascii="Symbol" w:hAnsi="Symbol"/>
      </w:rPr>
    </w:lvl>
    <w:lvl w:ilvl="1" w:tplc="4A88916E">
      <w:start w:val="1"/>
      <w:numFmt w:val="bullet"/>
      <w:lvlText w:val=""/>
      <w:lvlJc w:val="left"/>
      <w:pPr>
        <w:ind w:left="720" w:hanging="360"/>
      </w:pPr>
      <w:rPr>
        <w:rFonts w:ascii="Symbol" w:hAnsi="Symbol"/>
      </w:rPr>
    </w:lvl>
    <w:lvl w:ilvl="2" w:tplc="9F72719E">
      <w:start w:val="1"/>
      <w:numFmt w:val="bullet"/>
      <w:lvlText w:val=""/>
      <w:lvlJc w:val="left"/>
      <w:pPr>
        <w:ind w:left="720" w:hanging="360"/>
      </w:pPr>
      <w:rPr>
        <w:rFonts w:ascii="Symbol" w:hAnsi="Symbol"/>
      </w:rPr>
    </w:lvl>
    <w:lvl w:ilvl="3" w:tplc="26AACC02">
      <w:start w:val="1"/>
      <w:numFmt w:val="bullet"/>
      <w:lvlText w:val=""/>
      <w:lvlJc w:val="left"/>
      <w:pPr>
        <w:ind w:left="720" w:hanging="360"/>
      </w:pPr>
      <w:rPr>
        <w:rFonts w:ascii="Symbol" w:hAnsi="Symbol"/>
      </w:rPr>
    </w:lvl>
    <w:lvl w:ilvl="4" w:tplc="14264FC4">
      <w:start w:val="1"/>
      <w:numFmt w:val="bullet"/>
      <w:lvlText w:val=""/>
      <w:lvlJc w:val="left"/>
      <w:pPr>
        <w:ind w:left="720" w:hanging="360"/>
      </w:pPr>
      <w:rPr>
        <w:rFonts w:ascii="Symbol" w:hAnsi="Symbol"/>
      </w:rPr>
    </w:lvl>
    <w:lvl w:ilvl="5" w:tplc="AAD6794A">
      <w:start w:val="1"/>
      <w:numFmt w:val="bullet"/>
      <w:lvlText w:val=""/>
      <w:lvlJc w:val="left"/>
      <w:pPr>
        <w:ind w:left="720" w:hanging="360"/>
      </w:pPr>
      <w:rPr>
        <w:rFonts w:ascii="Symbol" w:hAnsi="Symbol"/>
      </w:rPr>
    </w:lvl>
    <w:lvl w:ilvl="6" w:tplc="A9C44D28">
      <w:start w:val="1"/>
      <w:numFmt w:val="bullet"/>
      <w:lvlText w:val=""/>
      <w:lvlJc w:val="left"/>
      <w:pPr>
        <w:ind w:left="720" w:hanging="360"/>
      </w:pPr>
      <w:rPr>
        <w:rFonts w:ascii="Symbol" w:hAnsi="Symbol"/>
      </w:rPr>
    </w:lvl>
    <w:lvl w:ilvl="7" w:tplc="70EECD70">
      <w:start w:val="1"/>
      <w:numFmt w:val="bullet"/>
      <w:lvlText w:val=""/>
      <w:lvlJc w:val="left"/>
      <w:pPr>
        <w:ind w:left="720" w:hanging="360"/>
      </w:pPr>
      <w:rPr>
        <w:rFonts w:ascii="Symbol" w:hAnsi="Symbol"/>
      </w:rPr>
    </w:lvl>
    <w:lvl w:ilvl="8" w:tplc="EC5E8794">
      <w:start w:val="1"/>
      <w:numFmt w:val="bullet"/>
      <w:lvlText w:val=""/>
      <w:lvlJc w:val="left"/>
      <w:pPr>
        <w:ind w:left="720" w:hanging="360"/>
      </w:pPr>
      <w:rPr>
        <w:rFonts w:ascii="Symbol" w:hAnsi="Symbol"/>
      </w:rPr>
    </w:lvl>
  </w:abstractNum>
  <w:abstractNum w:abstractNumId="80" w15:restartNumberingAfterBreak="0">
    <w:nsid w:val="7F967536"/>
    <w:multiLevelType w:val="hybridMultilevel"/>
    <w:tmpl w:val="E02EF488"/>
    <w:lvl w:ilvl="0" w:tplc="95FC6CCA">
      <w:start w:val="1"/>
      <w:numFmt w:val="bullet"/>
      <w:lvlText w:val=""/>
      <w:lvlJc w:val="left"/>
      <w:pPr>
        <w:ind w:left="1080" w:hanging="360"/>
      </w:pPr>
      <w:rPr>
        <w:rFonts w:ascii="Symbol" w:hAnsi="Symbol"/>
      </w:rPr>
    </w:lvl>
    <w:lvl w:ilvl="1" w:tplc="053E64B8">
      <w:start w:val="1"/>
      <w:numFmt w:val="bullet"/>
      <w:lvlText w:val=""/>
      <w:lvlJc w:val="left"/>
      <w:pPr>
        <w:ind w:left="1080" w:hanging="360"/>
      </w:pPr>
      <w:rPr>
        <w:rFonts w:ascii="Symbol" w:hAnsi="Symbol"/>
      </w:rPr>
    </w:lvl>
    <w:lvl w:ilvl="2" w:tplc="41886AC4">
      <w:start w:val="1"/>
      <w:numFmt w:val="bullet"/>
      <w:lvlText w:val=""/>
      <w:lvlJc w:val="left"/>
      <w:pPr>
        <w:ind w:left="1080" w:hanging="360"/>
      </w:pPr>
      <w:rPr>
        <w:rFonts w:ascii="Symbol" w:hAnsi="Symbol"/>
      </w:rPr>
    </w:lvl>
    <w:lvl w:ilvl="3" w:tplc="3F48FA58">
      <w:start w:val="1"/>
      <w:numFmt w:val="bullet"/>
      <w:lvlText w:val=""/>
      <w:lvlJc w:val="left"/>
      <w:pPr>
        <w:ind w:left="1080" w:hanging="360"/>
      </w:pPr>
      <w:rPr>
        <w:rFonts w:ascii="Symbol" w:hAnsi="Symbol"/>
      </w:rPr>
    </w:lvl>
    <w:lvl w:ilvl="4" w:tplc="CBC60886">
      <w:start w:val="1"/>
      <w:numFmt w:val="bullet"/>
      <w:lvlText w:val=""/>
      <w:lvlJc w:val="left"/>
      <w:pPr>
        <w:ind w:left="1080" w:hanging="360"/>
      </w:pPr>
      <w:rPr>
        <w:rFonts w:ascii="Symbol" w:hAnsi="Symbol"/>
      </w:rPr>
    </w:lvl>
    <w:lvl w:ilvl="5" w:tplc="3BCC8F6E">
      <w:start w:val="1"/>
      <w:numFmt w:val="bullet"/>
      <w:lvlText w:val=""/>
      <w:lvlJc w:val="left"/>
      <w:pPr>
        <w:ind w:left="1080" w:hanging="360"/>
      </w:pPr>
      <w:rPr>
        <w:rFonts w:ascii="Symbol" w:hAnsi="Symbol"/>
      </w:rPr>
    </w:lvl>
    <w:lvl w:ilvl="6" w:tplc="14A8ED32">
      <w:start w:val="1"/>
      <w:numFmt w:val="bullet"/>
      <w:lvlText w:val=""/>
      <w:lvlJc w:val="left"/>
      <w:pPr>
        <w:ind w:left="1080" w:hanging="360"/>
      </w:pPr>
      <w:rPr>
        <w:rFonts w:ascii="Symbol" w:hAnsi="Symbol"/>
      </w:rPr>
    </w:lvl>
    <w:lvl w:ilvl="7" w:tplc="30942C4C">
      <w:start w:val="1"/>
      <w:numFmt w:val="bullet"/>
      <w:lvlText w:val=""/>
      <w:lvlJc w:val="left"/>
      <w:pPr>
        <w:ind w:left="1080" w:hanging="360"/>
      </w:pPr>
      <w:rPr>
        <w:rFonts w:ascii="Symbol" w:hAnsi="Symbol"/>
      </w:rPr>
    </w:lvl>
    <w:lvl w:ilvl="8" w:tplc="DA7EBED4">
      <w:start w:val="1"/>
      <w:numFmt w:val="bullet"/>
      <w:lvlText w:val=""/>
      <w:lvlJc w:val="left"/>
      <w:pPr>
        <w:ind w:left="1080" w:hanging="360"/>
      </w:pPr>
      <w:rPr>
        <w:rFonts w:ascii="Symbol" w:hAnsi="Symbol"/>
      </w:rPr>
    </w:lvl>
  </w:abstractNum>
  <w:num w:numId="1" w16cid:durableId="1003043740">
    <w:abstractNumId w:val="75"/>
  </w:num>
  <w:num w:numId="2" w16cid:durableId="1752391841">
    <w:abstractNumId w:val="45"/>
  </w:num>
  <w:num w:numId="3" w16cid:durableId="1199857644">
    <w:abstractNumId w:val="0"/>
  </w:num>
  <w:num w:numId="4" w16cid:durableId="147502757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3457142">
    <w:abstractNumId w:val="63"/>
  </w:num>
  <w:num w:numId="6" w16cid:durableId="618532620">
    <w:abstractNumId w:val="10"/>
  </w:num>
  <w:num w:numId="7" w16cid:durableId="1817182792">
    <w:abstractNumId w:val="58"/>
  </w:num>
  <w:num w:numId="8" w16cid:durableId="661078992">
    <w:abstractNumId w:val="43"/>
  </w:num>
  <w:num w:numId="9" w16cid:durableId="302540840">
    <w:abstractNumId w:val="38"/>
  </w:num>
  <w:num w:numId="10" w16cid:durableId="1337877908">
    <w:abstractNumId w:val="52"/>
  </w:num>
  <w:num w:numId="11" w16cid:durableId="739250291">
    <w:abstractNumId w:val="69"/>
  </w:num>
  <w:num w:numId="12" w16cid:durableId="1182624876">
    <w:abstractNumId w:val="3"/>
  </w:num>
  <w:num w:numId="13" w16cid:durableId="1995598587">
    <w:abstractNumId w:val="59"/>
  </w:num>
  <w:num w:numId="14" w16cid:durableId="696078797">
    <w:abstractNumId w:val="21"/>
  </w:num>
  <w:num w:numId="15" w16cid:durableId="1098870552">
    <w:abstractNumId w:val="14"/>
  </w:num>
  <w:num w:numId="16" w16cid:durableId="1562521064">
    <w:abstractNumId w:val="13"/>
  </w:num>
  <w:num w:numId="17" w16cid:durableId="631905796">
    <w:abstractNumId w:val="72"/>
  </w:num>
  <w:num w:numId="18" w16cid:durableId="103773818">
    <w:abstractNumId w:val="76"/>
  </w:num>
  <w:num w:numId="19" w16cid:durableId="1536234551">
    <w:abstractNumId w:val="17"/>
  </w:num>
  <w:num w:numId="20" w16cid:durableId="347145881">
    <w:abstractNumId w:val="49"/>
  </w:num>
  <w:num w:numId="21" w16cid:durableId="1955019684">
    <w:abstractNumId w:val="27"/>
  </w:num>
  <w:num w:numId="22" w16cid:durableId="2062750304">
    <w:abstractNumId w:val="68"/>
  </w:num>
  <w:num w:numId="23" w16cid:durableId="400180283">
    <w:abstractNumId w:val="39"/>
  </w:num>
  <w:num w:numId="24" w16cid:durableId="1618902034">
    <w:abstractNumId w:val="30"/>
  </w:num>
  <w:num w:numId="25" w16cid:durableId="308680139">
    <w:abstractNumId w:val="64"/>
  </w:num>
  <w:num w:numId="26" w16cid:durableId="4408387">
    <w:abstractNumId w:val="24"/>
  </w:num>
  <w:num w:numId="27" w16cid:durableId="929319154">
    <w:abstractNumId w:val="78"/>
  </w:num>
  <w:num w:numId="28" w16cid:durableId="1343051078">
    <w:abstractNumId w:val="50"/>
  </w:num>
  <w:num w:numId="29" w16cid:durableId="1326127048">
    <w:abstractNumId w:val="55"/>
  </w:num>
  <w:num w:numId="30" w16cid:durableId="656111545">
    <w:abstractNumId w:val="8"/>
  </w:num>
  <w:num w:numId="31" w16cid:durableId="610743132">
    <w:abstractNumId w:val="1"/>
  </w:num>
  <w:num w:numId="32" w16cid:durableId="1979416570">
    <w:abstractNumId w:val="26"/>
  </w:num>
  <w:num w:numId="33" w16cid:durableId="1757436058">
    <w:abstractNumId w:val="31"/>
  </w:num>
  <w:num w:numId="34" w16cid:durableId="85226697">
    <w:abstractNumId w:val="23"/>
  </w:num>
  <w:num w:numId="35" w16cid:durableId="1336376043">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07181512">
    <w:abstractNumId w:val="67"/>
  </w:num>
  <w:num w:numId="37" w16cid:durableId="976688410">
    <w:abstractNumId w:val="4"/>
  </w:num>
  <w:num w:numId="38" w16cid:durableId="85805626">
    <w:abstractNumId w:val="9"/>
  </w:num>
  <w:num w:numId="39" w16cid:durableId="1975939436">
    <w:abstractNumId w:val="51"/>
  </w:num>
  <w:num w:numId="40" w16cid:durableId="755397219">
    <w:abstractNumId w:val="11"/>
  </w:num>
  <w:num w:numId="41" w16cid:durableId="1412585874">
    <w:abstractNumId w:val="20"/>
  </w:num>
  <w:num w:numId="42" w16cid:durableId="932544323">
    <w:abstractNumId w:val="32"/>
  </w:num>
  <w:num w:numId="43" w16cid:durableId="889612665">
    <w:abstractNumId w:val="74"/>
  </w:num>
  <w:num w:numId="44" w16cid:durableId="589044020">
    <w:abstractNumId w:val="37"/>
  </w:num>
  <w:num w:numId="45" w16cid:durableId="1196039276">
    <w:abstractNumId w:val="79"/>
  </w:num>
  <w:num w:numId="46" w16cid:durableId="2112773842">
    <w:abstractNumId w:val="54"/>
  </w:num>
  <w:num w:numId="47" w16cid:durableId="1003051211">
    <w:abstractNumId w:val="33"/>
  </w:num>
  <w:num w:numId="48" w16cid:durableId="1927614360">
    <w:abstractNumId w:val="48"/>
  </w:num>
  <w:num w:numId="49" w16cid:durableId="1438331207">
    <w:abstractNumId w:val="25"/>
  </w:num>
  <w:num w:numId="50" w16cid:durableId="2003390365">
    <w:abstractNumId w:val="57"/>
  </w:num>
  <w:num w:numId="51" w16cid:durableId="506140812">
    <w:abstractNumId w:val="62"/>
  </w:num>
  <w:num w:numId="52" w16cid:durableId="48456127">
    <w:abstractNumId w:val="6"/>
  </w:num>
  <w:num w:numId="53" w16cid:durableId="1792362992">
    <w:abstractNumId w:val="34"/>
  </w:num>
  <w:num w:numId="54" w16cid:durableId="1674911496">
    <w:abstractNumId w:val="56"/>
  </w:num>
  <w:num w:numId="55" w16cid:durableId="515193776">
    <w:abstractNumId w:val="71"/>
  </w:num>
  <w:num w:numId="56" w16cid:durableId="564222930">
    <w:abstractNumId w:val="70"/>
  </w:num>
  <w:num w:numId="57" w16cid:durableId="1381392888">
    <w:abstractNumId w:val="53"/>
  </w:num>
  <w:num w:numId="58" w16cid:durableId="1091202442">
    <w:abstractNumId w:val="22"/>
  </w:num>
  <w:num w:numId="59" w16cid:durableId="1453935331">
    <w:abstractNumId w:val="44"/>
  </w:num>
  <w:num w:numId="60" w16cid:durableId="278343745">
    <w:abstractNumId w:val="5"/>
  </w:num>
  <w:num w:numId="61" w16cid:durableId="879787087">
    <w:abstractNumId w:val="15"/>
  </w:num>
  <w:num w:numId="62" w16cid:durableId="1332216752">
    <w:abstractNumId w:val="80"/>
  </w:num>
  <w:num w:numId="63" w16cid:durableId="222060306">
    <w:abstractNumId w:val="77"/>
  </w:num>
  <w:num w:numId="64" w16cid:durableId="1547907985">
    <w:abstractNumId w:val="66"/>
  </w:num>
  <w:num w:numId="65" w16cid:durableId="1362363130">
    <w:abstractNumId w:val="65"/>
  </w:num>
  <w:num w:numId="66" w16cid:durableId="1541167684">
    <w:abstractNumId w:val="28"/>
  </w:num>
  <w:num w:numId="67" w16cid:durableId="588007790">
    <w:abstractNumId w:val="16"/>
  </w:num>
  <w:num w:numId="68" w16cid:durableId="1721249186">
    <w:abstractNumId w:val="7"/>
  </w:num>
  <w:num w:numId="69" w16cid:durableId="253053276">
    <w:abstractNumId w:val="46"/>
  </w:num>
  <w:num w:numId="70" w16cid:durableId="1372610518">
    <w:abstractNumId w:val="73"/>
  </w:num>
  <w:num w:numId="71" w16cid:durableId="710148362">
    <w:abstractNumId w:val="36"/>
  </w:num>
  <w:num w:numId="72" w16cid:durableId="79134123">
    <w:abstractNumId w:val="41"/>
  </w:num>
  <w:num w:numId="73" w16cid:durableId="2074891173">
    <w:abstractNumId w:val="40"/>
  </w:num>
  <w:num w:numId="74" w16cid:durableId="1401168672">
    <w:abstractNumId w:val="2"/>
  </w:num>
  <w:num w:numId="75" w16cid:durableId="2015186325">
    <w:abstractNumId w:val="29"/>
  </w:num>
  <w:num w:numId="76" w16cid:durableId="2061398560">
    <w:abstractNumId w:val="42"/>
  </w:num>
  <w:num w:numId="77" w16cid:durableId="151495778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63441214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74381037">
    <w:abstractNumId w:val="19"/>
  </w:num>
  <w:num w:numId="80" w16cid:durableId="1762020893">
    <w:abstractNumId w:val="18"/>
  </w:num>
  <w:num w:numId="81" w16cid:durableId="1258489348">
    <w:abstractNumId w:val="61"/>
  </w:num>
  <w:num w:numId="82" w16cid:durableId="1466195143">
    <w:abstractNumId w:val="47"/>
  </w:num>
  <w:num w:numId="83" w16cid:durableId="727192998">
    <w:abstractNumId w:val="35"/>
  </w:num>
  <w:num w:numId="84" w16cid:durableId="1582446154">
    <w:abstractNumId w:val="0"/>
  </w:num>
  <w:num w:numId="85" w16cid:durableId="1639648492">
    <w:abstractNumId w:val="12"/>
  </w:num>
  <w:num w:numId="86" w16cid:durableId="195470872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8CB"/>
    <w:rsid w:val="000000C4"/>
    <w:rsid w:val="000005CE"/>
    <w:rsid w:val="00000692"/>
    <w:rsid w:val="00001707"/>
    <w:rsid w:val="00002849"/>
    <w:rsid w:val="00003168"/>
    <w:rsid w:val="000035BA"/>
    <w:rsid w:val="0000374E"/>
    <w:rsid w:val="00003B22"/>
    <w:rsid w:val="000050B3"/>
    <w:rsid w:val="00005666"/>
    <w:rsid w:val="000059DC"/>
    <w:rsid w:val="00005FD6"/>
    <w:rsid w:val="0000614B"/>
    <w:rsid w:val="00006AF6"/>
    <w:rsid w:val="00006D00"/>
    <w:rsid w:val="00007FBB"/>
    <w:rsid w:val="00010BDB"/>
    <w:rsid w:val="000114D1"/>
    <w:rsid w:val="00012A36"/>
    <w:rsid w:val="000130D1"/>
    <w:rsid w:val="00013233"/>
    <w:rsid w:val="0001426B"/>
    <w:rsid w:val="00014506"/>
    <w:rsid w:val="000145C8"/>
    <w:rsid w:val="0001523C"/>
    <w:rsid w:val="00016609"/>
    <w:rsid w:val="0001671A"/>
    <w:rsid w:val="00016CC3"/>
    <w:rsid w:val="000173DB"/>
    <w:rsid w:val="000174D2"/>
    <w:rsid w:val="00017C67"/>
    <w:rsid w:val="000203DB"/>
    <w:rsid w:val="00020C06"/>
    <w:rsid w:val="00020DF1"/>
    <w:rsid w:val="00021AFB"/>
    <w:rsid w:val="00023B37"/>
    <w:rsid w:val="00023DD7"/>
    <w:rsid w:val="00024306"/>
    <w:rsid w:val="0002571B"/>
    <w:rsid w:val="00027854"/>
    <w:rsid w:val="00030F50"/>
    <w:rsid w:val="00031123"/>
    <w:rsid w:val="0003133C"/>
    <w:rsid w:val="0003249C"/>
    <w:rsid w:val="0003276E"/>
    <w:rsid w:val="00033066"/>
    <w:rsid w:val="000344D4"/>
    <w:rsid w:val="00036C63"/>
    <w:rsid w:val="0003719B"/>
    <w:rsid w:val="000400FD"/>
    <w:rsid w:val="0004013F"/>
    <w:rsid w:val="00040806"/>
    <w:rsid w:val="00040A52"/>
    <w:rsid w:val="00040AAF"/>
    <w:rsid w:val="000422C5"/>
    <w:rsid w:val="0004346C"/>
    <w:rsid w:val="000438BE"/>
    <w:rsid w:val="000444AE"/>
    <w:rsid w:val="00045D86"/>
    <w:rsid w:val="00046321"/>
    <w:rsid w:val="000466AC"/>
    <w:rsid w:val="000468C8"/>
    <w:rsid w:val="00046926"/>
    <w:rsid w:val="00047421"/>
    <w:rsid w:val="000478D9"/>
    <w:rsid w:val="000503D3"/>
    <w:rsid w:val="00051AB5"/>
    <w:rsid w:val="00051B21"/>
    <w:rsid w:val="0005217B"/>
    <w:rsid w:val="00052634"/>
    <w:rsid w:val="00052BE0"/>
    <w:rsid w:val="00052DE2"/>
    <w:rsid w:val="00053018"/>
    <w:rsid w:val="00053FB0"/>
    <w:rsid w:val="00053FDA"/>
    <w:rsid w:val="0005401A"/>
    <w:rsid w:val="00055093"/>
    <w:rsid w:val="000551BD"/>
    <w:rsid w:val="00055941"/>
    <w:rsid w:val="00055D53"/>
    <w:rsid w:val="00056698"/>
    <w:rsid w:val="00056CEB"/>
    <w:rsid w:val="00057493"/>
    <w:rsid w:val="0005769A"/>
    <w:rsid w:val="00057C8A"/>
    <w:rsid w:val="00060216"/>
    <w:rsid w:val="00061389"/>
    <w:rsid w:val="00061BB7"/>
    <w:rsid w:val="00061BF6"/>
    <w:rsid w:val="000620D7"/>
    <w:rsid w:val="0006217A"/>
    <w:rsid w:val="000627C4"/>
    <w:rsid w:val="00063C34"/>
    <w:rsid w:val="00064AFE"/>
    <w:rsid w:val="000653CD"/>
    <w:rsid w:val="00065B32"/>
    <w:rsid w:val="00065BCD"/>
    <w:rsid w:val="00066092"/>
    <w:rsid w:val="0006674E"/>
    <w:rsid w:val="0006770B"/>
    <w:rsid w:val="00067A78"/>
    <w:rsid w:val="00072DC3"/>
    <w:rsid w:val="0007391B"/>
    <w:rsid w:val="00073C01"/>
    <w:rsid w:val="00074103"/>
    <w:rsid w:val="0007420B"/>
    <w:rsid w:val="00074A7B"/>
    <w:rsid w:val="000750D4"/>
    <w:rsid w:val="00075B8F"/>
    <w:rsid w:val="00075D7B"/>
    <w:rsid w:val="00075DE5"/>
    <w:rsid w:val="0007613D"/>
    <w:rsid w:val="000762DB"/>
    <w:rsid w:val="00076415"/>
    <w:rsid w:val="00076C6A"/>
    <w:rsid w:val="00077A9A"/>
    <w:rsid w:val="00081B06"/>
    <w:rsid w:val="00081C85"/>
    <w:rsid w:val="00081FCE"/>
    <w:rsid w:val="00082F5E"/>
    <w:rsid w:val="000837B0"/>
    <w:rsid w:val="00084630"/>
    <w:rsid w:val="0008597E"/>
    <w:rsid w:val="00085DFF"/>
    <w:rsid w:val="00085F27"/>
    <w:rsid w:val="00086A3A"/>
    <w:rsid w:val="000874B3"/>
    <w:rsid w:val="00087725"/>
    <w:rsid w:val="00087E5A"/>
    <w:rsid w:val="00087F37"/>
    <w:rsid w:val="00091A90"/>
    <w:rsid w:val="00093672"/>
    <w:rsid w:val="000937C6"/>
    <w:rsid w:val="00093ACC"/>
    <w:rsid w:val="00093B60"/>
    <w:rsid w:val="000942E7"/>
    <w:rsid w:val="00094D10"/>
    <w:rsid w:val="000950E6"/>
    <w:rsid w:val="00096F4D"/>
    <w:rsid w:val="000974E8"/>
    <w:rsid w:val="0009752F"/>
    <w:rsid w:val="00097F63"/>
    <w:rsid w:val="000A0069"/>
    <w:rsid w:val="000A1728"/>
    <w:rsid w:val="000A1DC8"/>
    <w:rsid w:val="000A21D4"/>
    <w:rsid w:val="000A270C"/>
    <w:rsid w:val="000A2EE5"/>
    <w:rsid w:val="000A3759"/>
    <w:rsid w:val="000A3C98"/>
    <w:rsid w:val="000A572D"/>
    <w:rsid w:val="000A682A"/>
    <w:rsid w:val="000A6ED5"/>
    <w:rsid w:val="000A7CC8"/>
    <w:rsid w:val="000B0641"/>
    <w:rsid w:val="000B12A6"/>
    <w:rsid w:val="000B1AE8"/>
    <w:rsid w:val="000B1DE7"/>
    <w:rsid w:val="000B228F"/>
    <w:rsid w:val="000B3301"/>
    <w:rsid w:val="000B37D9"/>
    <w:rsid w:val="000B4BE4"/>
    <w:rsid w:val="000B4BEF"/>
    <w:rsid w:val="000B4DE7"/>
    <w:rsid w:val="000B53E8"/>
    <w:rsid w:val="000B5569"/>
    <w:rsid w:val="000B6A1E"/>
    <w:rsid w:val="000C0D5C"/>
    <w:rsid w:val="000C0FB2"/>
    <w:rsid w:val="000C188C"/>
    <w:rsid w:val="000C1931"/>
    <w:rsid w:val="000C4B36"/>
    <w:rsid w:val="000C4D90"/>
    <w:rsid w:val="000C50DD"/>
    <w:rsid w:val="000C526E"/>
    <w:rsid w:val="000C5DAE"/>
    <w:rsid w:val="000C6B64"/>
    <w:rsid w:val="000C74E9"/>
    <w:rsid w:val="000C79E3"/>
    <w:rsid w:val="000D16B5"/>
    <w:rsid w:val="000D1DEA"/>
    <w:rsid w:val="000D213F"/>
    <w:rsid w:val="000D22D1"/>
    <w:rsid w:val="000D22E3"/>
    <w:rsid w:val="000D2588"/>
    <w:rsid w:val="000D25D2"/>
    <w:rsid w:val="000D26A9"/>
    <w:rsid w:val="000D30D9"/>
    <w:rsid w:val="000D31B5"/>
    <w:rsid w:val="000D41E9"/>
    <w:rsid w:val="000D442D"/>
    <w:rsid w:val="000D48F4"/>
    <w:rsid w:val="000D53D3"/>
    <w:rsid w:val="000D62AB"/>
    <w:rsid w:val="000D78B2"/>
    <w:rsid w:val="000D7A16"/>
    <w:rsid w:val="000E06C0"/>
    <w:rsid w:val="000E07BB"/>
    <w:rsid w:val="000E0C94"/>
    <w:rsid w:val="000E143A"/>
    <w:rsid w:val="000E186C"/>
    <w:rsid w:val="000E247B"/>
    <w:rsid w:val="000E3455"/>
    <w:rsid w:val="000E34F2"/>
    <w:rsid w:val="000E37BC"/>
    <w:rsid w:val="000E4C61"/>
    <w:rsid w:val="000E5781"/>
    <w:rsid w:val="000E6890"/>
    <w:rsid w:val="000E68E7"/>
    <w:rsid w:val="000E68FA"/>
    <w:rsid w:val="000E6CB1"/>
    <w:rsid w:val="000E70C3"/>
    <w:rsid w:val="000E7C52"/>
    <w:rsid w:val="000F0F1D"/>
    <w:rsid w:val="000F1483"/>
    <w:rsid w:val="000F18B9"/>
    <w:rsid w:val="000F22AB"/>
    <w:rsid w:val="000F28A5"/>
    <w:rsid w:val="000F2DCA"/>
    <w:rsid w:val="000F3A85"/>
    <w:rsid w:val="000F3CE2"/>
    <w:rsid w:val="000F43FD"/>
    <w:rsid w:val="000F4D39"/>
    <w:rsid w:val="000F506A"/>
    <w:rsid w:val="000F514A"/>
    <w:rsid w:val="000F5953"/>
    <w:rsid w:val="000F7907"/>
    <w:rsid w:val="001002EE"/>
    <w:rsid w:val="00100BC9"/>
    <w:rsid w:val="00101109"/>
    <w:rsid w:val="00101143"/>
    <w:rsid w:val="00101822"/>
    <w:rsid w:val="001029B0"/>
    <w:rsid w:val="00102E81"/>
    <w:rsid w:val="0010319F"/>
    <w:rsid w:val="001036AF"/>
    <w:rsid w:val="00103AEC"/>
    <w:rsid w:val="0010498A"/>
    <w:rsid w:val="001056E7"/>
    <w:rsid w:val="00106DE5"/>
    <w:rsid w:val="00107E25"/>
    <w:rsid w:val="001100EF"/>
    <w:rsid w:val="001102DC"/>
    <w:rsid w:val="001107CC"/>
    <w:rsid w:val="00110D83"/>
    <w:rsid w:val="00110F02"/>
    <w:rsid w:val="00112212"/>
    <w:rsid w:val="001124C7"/>
    <w:rsid w:val="001126DB"/>
    <w:rsid w:val="00113CBB"/>
    <w:rsid w:val="00113CC1"/>
    <w:rsid w:val="0011454E"/>
    <w:rsid w:val="00114A1A"/>
    <w:rsid w:val="00114AE7"/>
    <w:rsid w:val="00114CEA"/>
    <w:rsid w:val="001156E9"/>
    <w:rsid w:val="00116231"/>
    <w:rsid w:val="00116765"/>
    <w:rsid w:val="001169DB"/>
    <w:rsid w:val="00117730"/>
    <w:rsid w:val="0012072D"/>
    <w:rsid w:val="001217AD"/>
    <w:rsid w:val="00121FBB"/>
    <w:rsid w:val="001222D4"/>
    <w:rsid w:val="00123310"/>
    <w:rsid w:val="001239FA"/>
    <w:rsid w:val="00123CD3"/>
    <w:rsid w:val="00124C2A"/>
    <w:rsid w:val="00124C45"/>
    <w:rsid w:val="00125871"/>
    <w:rsid w:val="001263B9"/>
    <w:rsid w:val="00126511"/>
    <w:rsid w:val="00127335"/>
    <w:rsid w:val="00130B23"/>
    <w:rsid w:val="00130D8B"/>
    <w:rsid w:val="00130D9D"/>
    <w:rsid w:val="001322EC"/>
    <w:rsid w:val="0013250F"/>
    <w:rsid w:val="001327B8"/>
    <w:rsid w:val="00132B14"/>
    <w:rsid w:val="0013319B"/>
    <w:rsid w:val="00133950"/>
    <w:rsid w:val="00133C76"/>
    <w:rsid w:val="0013428C"/>
    <w:rsid w:val="001343CA"/>
    <w:rsid w:val="00134744"/>
    <w:rsid w:val="001347C5"/>
    <w:rsid w:val="00135862"/>
    <w:rsid w:val="001360A7"/>
    <w:rsid w:val="0013650C"/>
    <w:rsid w:val="00137104"/>
    <w:rsid w:val="001375DF"/>
    <w:rsid w:val="00137655"/>
    <w:rsid w:val="00137B5E"/>
    <w:rsid w:val="00140F34"/>
    <w:rsid w:val="00140FE4"/>
    <w:rsid w:val="0014119E"/>
    <w:rsid w:val="00141338"/>
    <w:rsid w:val="001416ED"/>
    <w:rsid w:val="0014184D"/>
    <w:rsid w:val="0014217D"/>
    <w:rsid w:val="00142621"/>
    <w:rsid w:val="00142E7A"/>
    <w:rsid w:val="00143DD2"/>
    <w:rsid w:val="00144DF2"/>
    <w:rsid w:val="00144F5B"/>
    <w:rsid w:val="0014566B"/>
    <w:rsid w:val="00147364"/>
    <w:rsid w:val="0015093F"/>
    <w:rsid w:val="00150F75"/>
    <w:rsid w:val="001510FE"/>
    <w:rsid w:val="00152A95"/>
    <w:rsid w:val="00153A92"/>
    <w:rsid w:val="00154A85"/>
    <w:rsid w:val="00154D2E"/>
    <w:rsid w:val="00156207"/>
    <w:rsid w:val="001562D0"/>
    <w:rsid w:val="001564D5"/>
    <w:rsid w:val="00157A47"/>
    <w:rsid w:val="00161E5D"/>
    <w:rsid w:val="001624D8"/>
    <w:rsid w:val="00163215"/>
    <w:rsid w:val="001633E8"/>
    <w:rsid w:val="00163C42"/>
    <w:rsid w:val="00163F0A"/>
    <w:rsid w:val="00165C7C"/>
    <w:rsid w:val="0016602A"/>
    <w:rsid w:val="00166931"/>
    <w:rsid w:val="00166AC0"/>
    <w:rsid w:val="00166C4E"/>
    <w:rsid w:val="0016735F"/>
    <w:rsid w:val="001708F9"/>
    <w:rsid w:val="00171C8C"/>
    <w:rsid w:val="00172B4B"/>
    <w:rsid w:val="00172C07"/>
    <w:rsid w:val="001731A0"/>
    <w:rsid w:val="001739AC"/>
    <w:rsid w:val="001739E4"/>
    <w:rsid w:val="00173D37"/>
    <w:rsid w:val="00174D95"/>
    <w:rsid w:val="00176D29"/>
    <w:rsid w:val="00176E14"/>
    <w:rsid w:val="00177150"/>
    <w:rsid w:val="00177675"/>
    <w:rsid w:val="00177F7B"/>
    <w:rsid w:val="001814C5"/>
    <w:rsid w:val="00181588"/>
    <w:rsid w:val="00182007"/>
    <w:rsid w:val="00183323"/>
    <w:rsid w:val="0018393A"/>
    <w:rsid w:val="00183E9D"/>
    <w:rsid w:val="00184161"/>
    <w:rsid w:val="00186207"/>
    <w:rsid w:val="00186F61"/>
    <w:rsid w:val="00187336"/>
    <w:rsid w:val="001875A3"/>
    <w:rsid w:val="00191D67"/>
    <w:rsid w:val="00191D7C"/>
    <w:rsid w:val="00191F13"/>
    <w:rsid w:val="00193B06"/>
    <w:rsid w:val="00194473"/>
    <w:rsid w:val="0019523B"/>
    <w:rsid w:val="00195275"/>
    <w:rsid w:val="00196082"/>
    <w:rsid w:val="00196627"/>
    <w:rsid w:val="00196AE0"/>
    <w:rsid w:val="00196FC8"/>
    <w:rsid w:val="001A0E06"/>
    <w:rsid w:val="001A1300"/>
    <w:rsid w:val="001A159A"/>
    <w:rsid w:val="001A20A6"/>
    <w:rsid w:val="001A2A27"/>
    <w:rsid w:val="001A2C47"/>
    <w:rsid w:val="001A2C9B"/>
    <w:rsid w:val="001A337B"/>
    <w:rsid w:val="001A35EC"/>
    <w:rsid w:val="001A3DBD"/>
    <w:rsid w:val="001A438E"/>
    <w:rsid w:val="001A4B23"/>
    <w:rsid w:val="001A5602"/>
    <w:rsid w:val="001A58C1"/>
    <w:rsid w:val="001A5D1F"/>
    <w:rsid w:val="001A5E68"/>
    <w:rsid w:val="001A6179"/>
    <w:rsid w:val="001A672C"/>
    <w:rsid w:val="001A6868"/>
    <w:rsid w:val="001A7673"/>
    <w:rsid w:val="001B0C2F"/>
    <w:rsid w:val="001B1838"/>
    <w:rsid w:val="001B1F30"/>
    <w:rsid w:val="001B2B8D"/>
    <w:rsid w:val="001B41B0"/>
    <w:rsid w:val="001B4950"/>
    <w:rsid w:val="001B4AD4"/>
    <w:rsid w:val="001B5AEF"/>
    <w:rsid w:val="001B6627"/>
    <w:rsid w:val="001B79DA"/>
    <w:rsid w:val="001C24B9"/>
    <w:rsid w:val="001C2CAE"/>
    <w:rsid w:val="001C3724"/>
    <w:rsid w:val="001C469F"/>
    <w:rsid w:val="001C537E"/>
    <w:rsid w:val="001C54B2"/>
    <w:rsid w:val="001C55A6"/>
    <w:rsid w:val="001C5A5C"/>
    <w:rsid w:val="001C629B"/>
    <w:rsid w:val="001C6607"/>
    <w:rsid w:val="001C6F13"/>
    <w:rsid w:val="001D08B0"/>
    <w:rsid w:val="001D096D"/>
    <w:rsid w:val="001D0C38"/>
    <w:rsid w:val="001D1F4D"/>
    <w:rsid w:val="001D36D3"/>
    <w:rsid w:val="001D3C13"/>
    <w:rsid w:val="001D73BC"/>
    <w:rsid w:val="001D7AB6"/>
    <w:rsid w:val="001E0213"/>
    <w:rsid w:val="001E0464"/>
    <w:rsid w:val="001E0B8C"/>
    <w:rsid w:val="001E1024"/>
    <w:rsid w:val="001E141D"/>
    <w:rsid w:val="001E236C"/>
    <w:rsid w:val="001E23A5"/>
    <w:rsid w:val="001E24E0"/>
    <w:rsid w:val="001E2593"/>
    <w:rsid w:val="001E30D1"/>
    <w:rsid w:val="001E3BD3"/>
    <w:rsid w:val="001E459A"/>
    <w:rsid w:val="001E6300"/>
    <w:rsid w:val="001E6797"/>
    <w:rsid w:val="001E69AE"/>
    <w:rsid w:val="001E750A"/>
    <w:rsid w:val="001F0375"/>
    <w:rsid w:val="001F0662"/>
    <w:rsid w:val="001F0A91"/>
    <w:rsid w:val="001F13A6"/>
    <w:rsid w:val="001F23D0"/>
    <w:rsid w:val="001F2653"/>
    <w:rsid w:val="001F2E14"/>
    <w:rsid w:val="001F3143"/>
    <w:rsid w:val="001F3BF3"/>
    <w:rsid w:val="001F43E7"/>
    <w:rsid w:val="001F50E3"/>
    <w:rsid w:val="001F567C"/>
    <w:rsid w:val="001F5685"/>
    <w:rsid w:val="001F58EF"/>
    <w:rsid w:val="001F5C20"/>
    <w:rsid w:val="001F76AB"/>
    <w:rsid w:val="001F7DC3"/>
    <w:rsid w:val="00200520"/>
    <w:rsid w:val="00201E30"/>
    <w:rsid w:val="002031FC"/>
    <w:rsid w:val="00203296"/>
    <w:rsid w:val="0020353C"/>
    <w:rsid w:val="00203C9A"/>
    <w:rsid w:val="0020423D"/>
    <w:rsid w:val="00204326"/>
    <w:rsid w:val="00204361"/>
    <w:rsid w:val="002043A7"/>
    <w:rsid w:val="0020528A"/>
    <w:rsid w:val="002056B2"/>
    <w:rsid w:val="00206C5F"/>
    <w:rsid w:val="00207CC4"/>
    <w:rsid w:val="00207DC3"/>
    <w:rsid w:val="00207FDE"/>
    <w:rsid w:val="002108AC"/>
    <w:rsid w:val="0021103C"/>
    <w:rsid w:val="002111C5"/>
    <w:rsid w:val="0021179B"/>
    <w:rsid w:val="002118A2"/>
    <w:rsid w:val="00212DD3"/>
    <w:rsid w:val="002130AF"/>
    <w:rsid w:val="00213333"/>
    <w:rsid w:val="00213B6A"/>
    <w:rsid w:val="00213F46"/>
    <w:rsid w:val="002142AF"/>
    <w:rsid w:val="00214C10"/>
    <w:rsid w:val="00215055"/>
    <w:rsid w:val="00215107"/>
    <w:rsid w:val="002179F4"/>
    <w:rsid w:val="0022086A"/>
    <w:rsid w:val="002209FC"/>
    <w:rsid w:val="00221001"/>
    <w:rsid w:val="00221062"/>
    <w:rsid w:val="002213EE"/>
    <w:rsid w:val="002217F3"/>
    <w:rsid w:val="00223544"/>
    <w:rsid w:val="00224170"/>
    <w:rsid w:val="00224A74"/>
    <w:rsid w:val="00225632"/>
    <w:rsid w:val="00225637"/>
    <w:rsid w:val="00225997"/>
    <w:rsid w:val="002266C5"/>
    <w:rsid w:val="002266FA"/>
    <w:rsid w:val="002267F2"/>
    <w:rsid w:val="00226B35"/>
    <w:rsid w:val="00226D02"/>
    <w:rsid w:val="002300AA"/>
    <w:rsid w:val="00230710"/>
    <w:rsid w:val="002308A1"/>
    <w:rsid w:val="002308A6"/>
    <w:rsid w:val="00231D42"/>
    <w:rsid w:val="00232533"/>
    <w:rsid w:val="00232B70"/>
    <w:rsid w:val="00233809"/>
    <w:rsid w:val="00233C15"/>
    <w:rsid w:val="002340BB"/>
    <w:rsid w:val="00234CB7"/>
    <w:rsid w:val="00234EB4"/>
    <w:rsid w:val="00236367"/>
    <w:rsid w:val="00236923"/>
    <w:rsid w:val="0023723C"/>
    <w:rsid w:val="002372C1"/>
    <w:rsid w:val="00237764"/>
    <w:rsid w:val="00237A71"/>
    <w:rsid w:val="00237CAC"/>
    <w:rsid w:val="002401CC"/>
    <w:rsid w:val="0024064A"/>
    <w:rsid w:val="00240669"/>
    <w:rsid w:val="00240AD9"/>
    <w:rsid w:val="00240DA1"/>
    <w:rsid w:val="00241BF8"/>
    <w:rsid w:val="002421C1"/>
    <w:rsid w:val="002430A7"/>
    <w:rsid w:val="002433D2"/>
    <w:rsid w:val="0024356A"/>
    <w:rsid w:val="00244293"/>
    <w:rsid w:val="002449FC"/>
    <w:rsid w:val="00244B16"/>
    <w:rsid w:val="00246AE0"/>
    <w:rsid w:val="00246B4C"/>
    <w:rsid w:val="00247237"/>
    <w:rsid w:val="0024755E"/>
    <w:rsid w:val="00247B30"/>
    <w:rsid w:val="00250A27"/>
    <w:rsid w:val="00250AC8"/>
    <w:rsid w:val="00250C32"/>
    <w:rsid w:val="00250F0D"/>
    <w:rsid w:val="002515D8"/>
    <w:rsid w:val="00251F8B"/>
    <w:rsid w:val="00252092"/>
    <w:rsid w:val="00252197"/>
    <w:rsid w:val="002530C3"/>
    <w:rsid w:val="00253F74"/>
    <w:rsid w:val="00254C31"/>
    <w:rsid w:val="00254CD2"/>
    <w:rsid w:val="00255019"/>
    <w:rsid w:val="00255487"/>
    <w:rsid w:val="00255838"/>
    <w:rsid w:val="00255A74"/>
    <w:rsid w:val="00255B17"/>
    <w:rsid w:val="00256674"/>
    <w:rsid w:val="0025724A"/>
    <w:rsid w:val="00257D2A"/>
    <w:rsid w:val="00260774"/>
    <w:rsid w:val="00261066"/>
    <w:rsid w:val="002613EB"/>
    <w:rsid w:val="0026146A"/>
    <w:rsid w:val="00262002"/>
    <w:rsid w:val="00262240"/>
    <w:rsid w:val="0026255A"/>
    <w:rsid w:val="00262787"/>
    <w:rsid w:val="00264274"/>
    <w:rsid w:val="00265AD3"/>
    <w:rsid w:val="00265B9E"/>
    <w:rsid w:val="00266C09"/>
    <w:rsid w:val="00267C57"/>
    <w:rsid w:val="0027014E"/>
    <w:rsid w:val="002705C2"/>
    <w:rsid w:val="002705C6"/>
    <w:rsid w:val="00272378"/>
    <w:rsid w:val="00272879"/>
    <w:rsid w:val="00273C2E"/>
    <w:rsid w:val="002742A2"/>
    <w:rsid w:val="002742C0"/>
    <w:rsid w:val="00274545"/>
    <w:rsid w:val="00274A47"/>
    <w:rsid w:val="00274F67"/>
    <w:rsid w:val="00275387"/>
    <w:rsid w:val="00275E64"/>
    <w:rsid w:val="00277196"/>
    <w:rsid w:val="002802A4"/>
    <w:rsid w:val="002804BB"/>
    <w:rsid w:val="00280E63"/>
    <w:rsid w:val="002820AF"/>
    <w:rsid w:val="0028267F"/>
    <w:rsid w:val="00282778"/>
    <w:rsid w:val="002836B5"/>
    <w:rsid w:val="0028384F"/>
    <w:rsid w:val="00283B30"/>
    <w:rsid w:val="002860CD"/>
    <w:rsid w:val="002865DD"/>
    <w:rsid w:val="00287400"/>
    <w:rsid w:val="0028C624"/>
    <w:rsid w:val="00290A36"/>
    <w:rsid w:val="00290C73"/>
    <w:rsid w:val="0029118F"/>
    <w:rsid w:val="002913A8"/>
    <w:rsid w:val="002915D8"/>
    <w:rsid w:val="00291669"/>
    <w:rsid w:val="00291828"/>
    <w:rsid w:val="00291CBB"/>
    <w:rsid w:val="002923D3"/>
    <w:rsid w:val="00292EAD"/>
    <w:rsid w:val="002930E0"/>
    <w:rsid w:val="00293181"/>
    <w:rsid w:val="00293D9A"/>
    <w:rsid w:val="00293FD7"/>
    <w:rsid w:val="00294116"/>
    <w:rsid w:val="00294348"/>
    <w:rsid w:val="002953FF"/>
    <w:rsid w:val="00295BF6"/>
    <w:rsid w:val="00297EE7"/>
    <w:rsid w:val="00297F1B"/>
    <w:rsid w:val="002A09F7"/>
    <w:rsid w:val="002A0A87"/>
    <w:rsid w:val="002A0E14"/>
    <w:rsid w:val="002A1107"/>
    <w:rsid w:val="002A1151"/>
    <w:rsid w:val="002A1565"/>
    <w:rsid w:val="002A1E1D"/>
    <w:rsid w:val="002A20A5"/>
    <w:rsid w:val="002A2B0F"/>
    <w:rsid w:val="002A2B2B"/>
    <w:rsid w:val="002A3272"/>
    <w:rsid w:val="002A32D1"/>
    <w:rsid w:val="002A440B"/>
    <w:rsid w:val="002A4835"/>
    <w:rsid w:val="002A504A"/>
    <w:rsid w:val="002A5D27"/>
    <w:rsid w:val="002A6297"/>
    <w:rsid w:val="002A694A"/>
    <w:rsid w:val="002A718D"/>
    <w:rsid w:val="002A737B"/>
    <w:rsid w:val="002B02EC"/>
    <w:rsid w:val="002B051C"/>
    <w:rsid w:val="002B060D"/>
    <w:rsid w:val="002B0783"/>
    <w:rsid w:val="002B0825"/>
    <w:rsid w:val="002B0888"/>
    <w:rsid w:val="002B3156"/>
    <w:rsid w:val="002B339A"/>
    <w:rsid w:val="002B35CD"/>
    <w:rsid w:val="002B3A12"/>
    <w:rsid w:val="002B426A"/>
    <w:rsid w:val="002B427C"/>
    <w:rsid w:val="002B4755"/>
    <w:rsid w:val="002B62CC"/>
    <w:rsid w:val="002B6706"/>
    <w:rsid w:val="002B6AC6"/>
    <w:rsid w:val="002B6FF7"/>
    <w:rsid w:val="002B7C61"/>
    <w:rsid w:val="002C1052"/>
    <w:rsid w:val="002C154D"/>
    <w:rsid w:val="002C3F84"/>
    <w:rsid w:val="002C41DB"/>
    <w:rsid w:val="002C4864"/>
    <w:rsid w:val="002C6020"/>
    <w:rsid w:val="002C6A5D"/>
    <w:rsid w:val="002C7230"/>
    <w:rsid w:val="002C7FB2"/>
    <w:rsid w:val="002D02C7"/>
    <w:rsid w:val="002D092C"/>
    <w:rsid w:val="002D0EAA"/>
    <w:rsid w:val="002D179B"/>
    <w:rsid w:val="002D1BEC"/>
    <w:rsid w:val="002D21A2"/>
    <w:rsid w:val="002D2665"/>
    <w:rsid w:val="002D272F"/>
    <w:rsid w:val="002D2C15"/>
    <w:rsid w:val="002D5741"/>
    <w:rsid w:val="002D57CD"/>
    <w:rsid w:val="002D646F"/>
    <w:rsid w:val="002D76FE"/>
    <w:rsid w:val="002D7CEC"/>
    <w:rsid w:val="002D7D3C"/>
    <w:rsid w:val="002E0A4C"/>
    <w:rsid w:val="002E0CA6"/>
    <w:rsid w:val="002E10B2"/>
    <w:rsid w:val="002E184B"/>
    <w:rsid w:val="002E23D0"/>
    <w:rsid w:val="002E27C9"/>
    <w:rsid w:val="002E32CA"/>
    <w:rsid w:val="002E3E65"/>
    <w:rsid w:val="002E4BF0"/>
    <w:rsid w:val="002E4C4C"/>
    <w:rsid w:val="002E4DDC"/>
    <w:rsid w:val="002E5EBA"/>
    <w:rsid w:val="002E654A"/>
    <w:rsid w:val="002E69BB"/>
    <w:rsid w:val="002F0231"/>
    <w:rsid w:val="002F0BDE"/>
    <w:rsid w:val="002F1B38"/>
    <w:rsid w:val="002F20B8"/>
    <w:rsid w:val="002F2375"/>
    <w:rsid w:val="002F23D0"/>
    <w:rsid w:val="002F2949"/>
    <w:rsid w:val="002F2CB7"/>
    <w:rsid w:val="002F3FBC"/>
    <w:rsid w:val="002F4DD0"/>
    <w:rsid w:val="002F4EBE"/>
    <w:rsid w:val="002F5012"/>
    <w:rsid w:val="00300504"/>
    <w:rsid w:val="00300BE6"/>
    <w:rsid w:val="003013D4"/>
    <w:rsid w:val="00301AEC"/>
    <w:rsid w:val="00303C6E"/>
    <w:rsid w:val="00304922"/>
    <w:rsid w:val="00304F12"/>
    <w:rsid w:val="003053B2"/>
    <w:rsid w:val="0030561C"/>
    <w:rsid w:val="00306F3A"/>
    <w:rsid w:val="00307380"/>
    <w:rsid w:val="00310177"/>
    <w:rsid w:val="00310634"/>
    <w:rsid w:val="00310B14"/>
    <w:rsid w:val="00310FA8"/>
    <w:rsid w:val="003111CD"/>
    <w:rsid w:val="003113E9"/>
    <w:rsid w:val="00311662"/>
    <w:rsid w:val="00311717"/>
    <w:rsid w:val="00311E2B"/>
    <w:rsid w:val="00312ED9"/>
    <w:rsid w:val="00313A7D"/>
    <w:rsid w:val="00314759"/>
    <w:rsid w:val="00315993"/>
    <w:rsid w:val="003163E3"/>
    <w:rsid w:val="00316B9E"/>
    <w:rsid w:val="00317C6D"/>
    <w:rsid w:val="0032034D"/>
    <w:rsid w:val="0032038B"/>
    <w:rsid w:val="00320B25"/>
    <w:rsid w:val="00321529"/>
    <w:rsid w:val="00321D18"/>
    <w:rsid w:val="00322722"/>
    <w:rsid w:val="00322BA7"/>
    <w:rsid w:val="00323303"/>
    <w:rsid w:val="00323B09"/>
    <w:rsid w:val="00323FF8"/>
    <w:rsid w:val="003240EA"/>
    <w:rsid w:val="0032531E"/>
    <w:rsid w:val="003253A8"/>
    <w:rsid w:val="003256EB"/>
    <w:rsid w:val="003259C7"/>
    <w:rsid w:val="00325C32"/>
    <w:rsid w:val="00326DE5"/>
    <w:rsid w:val="003270D2"/>
    <w:rsid w:val="00327E5A"/>
    <w:rsid w:val="003301F5"/>
    <w:rsid w:val="00330248"/>
    <w:rsid w:val="0033076B"/>
    <w:rsid w:val="00330C62"/>
    <w:rsid w:val="00330FB2"/>
    <w:rsid w:val="00331D60"/>
    <w:rsid w:val="00332ABE"/>
    <w:rsid w:val="00332E9F"/>
    <w:rsid w:val="003337FE"/>
    <w:rsid w:val="0033388C"/>
    <w:rsid w:val="0033450A"/>
    <w:rsid w:val="00335E6C"/>
    <w:rsid w:val="00336D1C"/>
    <w:rsid w:val="00337752"/>
    <w:rsid w:val="00337965"/>
    <w:rsid w:val="00337FD2"/>
    <w:rsid w:val="00340FFF"/>
    <w:rsid w:val="00342607"/>
    <w:rsid w:val="0034384D"/>
    <w:rsid w:val="00344BA7"/>
    <w:rsid w:val="00345756"/>
    <w:rsid w:val="00346527"/>
    <w:rsid w:val="00346A61"/>
    <w:rsid w:val="0034712B"/>
    <w:rsid w:val="0034769B"/>
    <w:rsid w:val="003479E9"/>
    <w:rsid w:val="00347DC0"/>
    <w:rsid w:val="003502D4"/>
    <w:rsid w:val="00350BA9"/>
    <w:rsid w:val="00350FE3"/>
    <w:rsid w:val="00351BC5"/>
    <w:rsid w:val="003527B2"/>
    <w:rsid w:val="0035441E"/>
    <w:rsid w:val="00354E5F"/>
    <w:rsid w:val="003550EF"/>
    <w:rsid w:val="0035697F"/>
    <w:rsid w:val="003577D3"/>
    <w:rsid w:val="0035787A"/>
    <w:rsid w:val="003603E6"/>
    <w:rsid w:val="003607F2"/>
    <w:rsid w:val="00360BB6"/>
    <w:rsid w:val="00360BB9"/>
    <w:rsid w:val="00360BCD"/>
    <w:rsid w:val="00360CB1"/>
    <w:rsid w:val="00361325"/>
    <w:rsid w:val="003615DC"/>
    <w:rsid w:val="003616AD"/>
    <w:rsid w:val="00361BDD"/>
    <w:rsid w:val="0036252F"/>
    <w:rsid w:val="00362597"/>
    <w:rsid w:val="003626BD"/>
    <w:rsid w:val="00362B8A"/>
    <w:rsid w:val="00362C45"/>
    <w:rsid w:val="003630AA"/>
    <w:rsid w:val="003632D2"/>
    <w:rsid w:val="00363591"/>
    <w:rsid w:val="003635DE"/>
    <w:rsid w:val="00364D25"/>
    <w:rsid w:val="00365AA2"/>
    <w:rsid w:val="00365AF3"/>
    <w:rsid w:val="00365C1C"/>
    <w:rsid w:val="003667B3"/>
    <w:rsid w:val="00367068"/>
    <w:rsid w:val="00367837"/>
    <w:rsid w:val="00367A3C"/>
    <w:rsid w:val="00370CD0"/>
    <w:rsid w:val="00371023"/>
    <w:rsid w:val="00371649"/>
    <w:rsid w:val="003716FD"/>
    <w:rsid w:val="00371A13"/>
    <w:rsid w:val="003720F4"/>
    <w:rsid w:val="003739C6"/>
    <w:rsid w:val="00373C49"/>
    <w:rsid w:val="00373FD5"/>
    <w:rsid w:val="0037433D"/>
    <w:rsid w:val="00375E37"/>
    <w:rsid w:val="00376FE5"/>
    <w:rsid w:val="00377381"/>
    <w:rsid w:val="003777DD"/>
    <w:rsid w:val="003807A3"/>
    <w:rsid w:val="00380D61"/>
    <w:rsid w:val="003810C1"/>
    <w:rsid w:val="00382533"/>
    <w:rsid w:val="00382BE7"/>
    <w:rsid w:val="00382BFD"/>
    <w:rsid w:val="00382EE2"/>
    <w:rsid w:val="00383354"/>
    <w:rsid w:val="00384263"/>
    <w:rsid w:val="003849E5"/>
    <w:rsid w:val="00384ADF"/>
    <w:rsid w:val="00385668"/>
    <w:rsid w:val="00385C7A"/>
    <w:rsid w:val="00386A42"/>
    <w:rsid w:val="003870E4"/>
    <w:rsid w:val="00387320"/>
    <w:rsid w:val="0039051B"/>
    <w:rsid w:val="00392134"/>
    <w:rsid w:val="00392992"/>
    <w:rsid w:val="00392D7A"/>
    <w:rsid w:val="00393330"/>
    <w:rsid w:val="0039396A"/>
    <w:rsid w:val="00393D8E"/>
    <w:rsid w:val="003943A0"/>
    <w:rsid w:val="00394C88"/>
    <w:rsid w:val="00394D8D"/>
    <w:rsid w:val="0039534E"/>
    <w:rsid w:val="00395449"/>
    <w:rsid w:val="00395520"/>
    <w:rsid w:val="00395C17"/>
    <w:rsid w:val="00396B77"/>
    <w:rsid w:val="0039712C"/>
    <w:rsid w:val="0039725B"/>
    <w:rsid w:val="00397340"/>
    <w:rsid w:val="0039777B"/>
    <w:rsid w:val="00397809"/>
    <w:rsid w:val="0039795D"/>
    <w:rsid w:val="00397F51"/>
    <w:rsid w:val="0039BCE1"/>
    <w:rsid w:val="003A0222"/>
    <w:rsid w:val="003A0C6F"/>
    <w:rsid w:val="003A1544"/>
    <w:rsid w:val="003A1D47"/>
    <w:rsid w:val="003A1EA7"/>
    <w:rsid w:val="003A21C5"/>
    <w:rsid w:val="003A27D2"/>
    <w:rsid w:val="003A29E7"/>
    <w:rsid w:val="003A6192"/>
    <w:rsid w:val="003A6968"/>
    <w:rsid w:val="003A708D"/>
    <w:rsid w:val="003A7284"/>
    <w:rsid w:val="003A767C"/>
    <w:rsid w:val="003B0508"/>
    <w:rsid w:val="003B054A"/>
    <w:rsid w:val="003B15AA"/>
    <w:rsid w:val="003B15CB"/>
    <w:rsid w:val="003B22B4"/>
    <w:rsid w:val="003B3629"/>
    <w:rsid w:val="003B3B19"/>
    <w:rsid w:val="003B3FC4"/>
    <w:rsid w:val="003B43A5"/>
    <w:rsid w:val="003B4401"/>
    <w:rsid w:val="003B4486"/>
    <w:rsid w:val="003B4682"/>
    <w:rsid w:val="003B48B2"/>
    <w:rsid w:val="003B4ECA"/>
    <w:rsid w:val="003B52CD"/>
    <w:rsid w:val="003B53A9"/>
    <w:rsid w:val="003B5A36"/>
    <w:rsid w:val="003B5B73"/>
    <w:rsid w:val="003B60EF"/>
    <w:rsid w:val="003B612F"/>
    <w:rsid w:val="003B6587"/>
    <w:rsid w:val="003C0119"/>
    <w:rsid w:val="003C0230"/>
    <w:rsid w:val="003C0E90"/>
    <w:rsid w:val="003C10AD"/>
    <w:rsid w:val="003C1371"/>
    <w:rsid w:val="003C13CD"/>
    <w:rsid w:val="003C14C9"/>
    <w:rsid w:val="003C14D2"/>
    <w:rsid w:val="003C1F84"/>
    <w:rsid w:val="003C230B"/>
    <w:rsid w:val="003C2CBD"/>
    <w:rsid w:val="003C3246"/>
    <w:rsid w:val="003C4BE6"/>
    <w:rsid w:val="003C559A"/>
    <w:rsid w:val="003C561F"/>
    <w:rsid w:val="003C619D"/>
    <w:rsid w:val="003C7C73"/>
    <w:rsid w:val="003D0104"/>
    <w:rsid w:val="003D2918"/>
    <w:rsid w:val="003D2A92"/>
    <w:rsid w:val="003D432D"/>
    <w:rsid w:val="003D4A1A"/>
    <w:rsid w:val="003D5685"/>
    <w:rsid w:val="003D5B14"/>
    <w:rsid w:val="003D5BE0"/>
    <w:rsid w:val="003D6425"/>
    <w:rsid w:val="003D67DA"/>
    <w:rsid w:val="003D6BF0"/>
    <w:rsid w:val="003E0014"/>
    <w:rsid w:val="003E1D2A"/>
    <w:rsid w:val="003E2910"/>
    <w:rsid w:val="003E3072"/>
    <w:rsid w:val="003E38B5"/>
    <w:rsid w:val="003E3FA3"/>
    <w:rsid w:val="003E45A1"/>
    <w:rsid w:val="003E5E49"/>
    <w:rsid w:val="003E5E73"/>
    <w:rsid w:val="003E67DF"/>
    <w:rsid w:val="003E7065"/>
    <w:rsid w:val="003E7E60"/>
    <w:rsid w:val="003F1302"/>
    <w:rsid w:val="003F3040"/>
    <w:rsid w:val="003F36FF"/>
    <w:rsid w:val="003F3B5E"/>
    <w:rsid w:val="003F50A9"/>
    <w:rsid w:val="003F6229"/>
    <w:rsid w:val="003F7C18"/>
    <w:rsid w:val="004007D2"/>
    <w:rsid w:val="00401B7C"/>
    <w:rsid w:val="0040215B"/>
    <w:rsid w:val="004024AC"/>
    <w:rsid w:val="004026F1"/>
    <w:rsid w:val="00403981"/>
    <w:rsid w:val="00403C0E"/>
    <w:rsid w:val="00403C56"/>
    <w:rsid w:val="00403E4E"/>
    <w:rsid w:val="0040438C"/>
    <w:rsid w:val="00404773"/>
    <w:rsid w:val="004049B0"/>
    <w:rsid w:val="00404DC8"/>
    <w:rsid w:val="0040516D"/>
    <w:rsid w:val="004051EC"/>
    <w:rsid w:val="00405CD2"/>
    <w:rsid w:val="00406728"/>
    <w:rsid w:val="00407C37"/>
    <w:rsid w:val="00407FE9"/>
    <w:rsid w:val="00410736"/>
    <w:rsid w:val="00410C83"/>
    <w:rsid w:val="00411023"/>
    <w:rsid w:val="00411122"/>
    <w:rsid w:val="004117A0"/>
    <w:rsid w:val="00411C27"/>
    <w:rsid w:val="00411C56"/>
    <w:rsid w:val="0041284E"/>
    <w:rsid w:val="004128C5"/>
    <w:rsid w:val="00412B25"/>
    <w:rsid w:val="00412C4A"/>
    <w:rsid w:val="00412FCB"/>
    <w:rsid w:val="004131DB"/>
    <w:rsid w:val="00414927"/>
    <w:rsid w:val="00414D46"/>
    <w:rsid w:val="00414EA4"/>
    <w:rsid w:val="0041573C"/>
    <w:rsid w:val="0041613C"/>
    <w:rsid w:val="00416456"/>
    <w:rsid w:val="00416FE1"/>
    <w:rsid w:val="004218DE"/>
    <w:rsid w:val="004219BB"/>
    <w:rsid w:val="00421E72"/>
    <w:rsid w:val="00422655"/>
    <w:rsid w:val="00422B91"/>
    <w:rsid w:val="00423557"/>
    <w:rsid w:val="004237B1"/>
    <w:rsid w:val="0042431C"/>
    <w:rsid w:val="0042473C"/>
    <w:rsid w:val="00425658"/>
    <w:rsid w:val="00425AD8"/>
    <w:rsid w:val="00426120"/>
    <w:rsid w:val="004263D9"/>
    <w:rsid w:val="00426662"/>
    <w:rsid w:val="00430718"/>
    <w:rsid w:val="004308D5"/>
    <w:rsid w:val="00430B7A"/>
    <w:rsid w:val="004315F9"/>
    <w:rsid w:val="00432326"/>
    <w:rsid w:val="004324A4"/>
    <w:rsid w:val="00432A6E"/>
    <w:rsid w:val="00432E47"/>
    <w:rsid w:val="004344DF"/>
    <w:rsid w:val="00434F3C"/>
    <w:rsid w:val="00435942"/>
    <w:rsid w:val="00437A64"/>
    <w:rsid w:val="004405EA"/>
    <w:rsid w:val="004418A9"/>
    <w:rsid w:val="004422E1"/>
    <w:rsid w:val="00442C65"/>
    <w:rsid w:val="004437C8"/>
    <w:rsid w:val="00444245"/>
    <w:rsid w:val="00444570"/>
    <w:rsid w:val="00446CAF"/>
    <w:rsid w:val="00447183"/>
    <w:rsid w:val="004472CC"/>
    <w:rsid w:val="0044775D"/>
    <w:rsid w:val="004479B9"/>
    <w:rsid w:val="00447BF7"/>
    <w:rsid w:val="00447D83"/>
    <w:rsid w:val="004511DF"/>
    <w:rsid w:val="00451320"/>
    <w:rsid w:val="0045317A"/>
    <w:rsid w:val="00453258"/>
    <w:rsid w:val="00453552"/>
    <w:rsid w:val="00455230"/>
    <w:rsid w:val="0045565A"/>
    <w:rsid w:val="00455822"/>
    <w:rsid w:val="004561A2"/>
    <w:rsid w:val="00456281"/>
    <w:rsid w:val="0045664F"/>
    <w:rsid w:val="00457316"/>
    <w:rsid w:val="00457324"/>
    <w:rsid w:val="00457751"/>
    <w:rsid w:val="00457C53"/>
    <w:rsid w:val="004603BA"/>
    <w:rsid w:val="00460485"/>
    <w:rsid w:val="00460B3D"/>
    <w:rsid w:val="00463523"/>
    <w:rsid w:val="00463E00"/>
    <w:rsid w:val="004642F6"/>
    <w:rsid w:val="00464743"/>
    <w:rsid w:val="00465167"/>
    <w:rsid w:val="004660D9"/>
    <w:rsid w:val="00466F2A"/>
    <w:rsid w:val="004674B5"/>
    <w:rsid w:val="004678A4"/>
    <w:rsid w:val="00467DA1"/>
    <w:rsid w:val="004701C9"/>
    <w:rsid w:val="0047097E"/>
    <w:rsid w:val="00471478"/>
    <w:rsid w:val="00471598"/>
    <w:rsid w:val="004715EE"/>
    <w:rsid w:val="004723BE"/>
    <w:rsid w:val="004727EF"/>
    <w:rsid w:val="00472D85"/>
    <w:rsid w:val="00473247"/>
    <w:rsid w:val="004762E6"/>
    <w:rsid w:val="00476ADB"/>
    <w:rsid w:val="00476C6B"/>
    <w:rsid w:val="004773EA"/>
    <w:rsid w:val="00480CA0"/>
    <w:rsid w:val="00480F39"/>
    <w:rsid w:val="00481E44"/>
    <w:rsid w:val="00481FF0"/>
    <w:rsid w:val="0048234A"/>
    <w:rsid w:val="004825B6"/>
    <w:rsid w:val="004834AF"/>
    <w:rsid w:val="00484B46"/>
    <w:rsid w:val="004859B8"/>
    <w:rsid w:val="00485B70"/>
    <w:rsid w:val="00485FF9"/>
    <w:rsid w:val="00486B10"/>
    <w:rsid w:val="004873AD"/>
    <w:rsid w:val="004879AF"/>
    <w:rsid w:val="00487A37"/>
    <w:rsid w:val="00487D0C"/>
    <w:rsid w:val="004901BD"/>
    <w:rsid w:val="00490A18"/>
    <w:rsid w:val="00490BB1"/>
    <w:rsid w:val="00491127"/>
    <w:rsid w:val="004919A7"/>
    <w:rsid w:val="00492D1F"/>
    <w:rsid w:val="00493897"/>
    <w:rsid w:val="00493E0B"/>
    <w:rsid w:val="0049429A"/>
    <w:rsid w:val="004950F1"/>
    <w:rsid w:val="00495185"/>
    <w:rsid w:val="0049589D"/>
    <w:rsid w:val="00495A55"/>
    <w:rsid w:val="00496855"/>
    <w:rsid w:val="004972AD"/>
    <w:rsid w:val="004979F3"/>
    <w:rsid w:val="004A097A"/>
    <w:rsid w:val="004A0D6F"/>
    <w:rsid w:val="004A1D3D"/>
    <w:rsid w:val="004A1FC7"/>
    <w:rsid w:val="004A2E88"/>
    <w:rsid w:val="004A2F0E"/>
    <w:rsid w:val="004A39FB"/>
    <w:rsid w:val="004A3CAD"/>
    <w:rsid w:val="004A3F81"/>
    <w:rsid w:val="004A40DE"/>
    <w:rsid w:val="004A433A"/>
    <w:rsid w:val="004A49A7"/>
    <w:rsid w:val="004A4BDC"/>
    <w:rsid w:val="004A50D8"/>
    <w:rsid w:val="004A5702"/>
    <w:rsid w:val="004A5E1D"/>
    <w:rsid w:val="004A6834"/>
    <w:rsid w:val="004A6C3E"/>
    <w:rsid w:val="004A7025"/>
    <w:rsid w:val="004A7677"/>
    <w:rsid w:val="004B0E75"/>
    <w:rsid w:val="004B1238"/>
    <w:rsid w:val="004B2D06"/>
    <w:rsid w:val="004B3626"/>
    <w:rsid w:val="004B37B1"/>
    <w:rsid w:val="004B3DE6"/>
    <w:rsid w:val="004B3F02"/>
    <w:rsid w:val="004B4CF2"/>
    <w:rsid w:val="004B4F54"/>
    <w:rsid w:val="004B5A85"/>
    <w:rsid w:val="004B5B3A"/>
    <w:rsid w:val="004B77DE"/>
    <w:rsid w:val="004B78A8"/>
    <w:rsid w:val="004B7B6F"/>
    <w:rsid w:val="004C1214"/>
    <w:rsid w:val="004C137D"/>
    <w:rsid w:val="004C152C"/>
    <w:rsid w:val="004C173A"/>
    <w:rsid w:val="004C1837"/>
    <w:rsid w:val="004C2155"/>
    <w:rsid w:val="004C24A1"/>
    <w:rsid w:val="004C47FF"/>
    <w:rsid w:val="004C596F"/>
    <w:rsid w:val="004C5E9E"/>
    <w:rsid w:val="004C6746"/>
    <w:rsid w:val="004D04D7"/>
    <w:rsid w:val="004D10D6"/>
    <w:rsid w:val="004D140D"/>
    <w:rsid w:val="004D262D"/>
    <w:rsid w:val="004D299D"/>
    <w:rsid w:val="004D3615"/>
    <w:rsid w:val="004D3814"/>
    <w:rsid w:val="004D408E"/>
    <w:rsid w:val="004D42C3"/>
    <w:rsid w:val="004D4AC9"/>
    <w:rsid w:val="004D7174"/>
    <w:rsid w:val="004D79A7"/>
    <w:rsid w:val="004D7A3A"/>
    <w:rsid w:val="004E0B1C"/>
    <w:rsid w:val="004E0FF1"/>
    <w:rsid w:val="004E19E8"/>
    <w:rsid w:val="004E2817"/>
    <w:rsid w:val="004E3057"/>
    <w:rsid w:val="004E3543"/>
    <w:rsid w:val="004E35E3"/>
    <w:rsid w:val="004E43D1"/>
    <w:rsid w:val="004E5B07"/>
    <w:rsid w:val="004E741C"/>
    <w:rsid w:val="004E7B28"/>
    <w:rsid w:val="004E7C0F"/>
    <w:rsid w:val="004F003B"/>
    <w:rsid w:val="004F12AA"/>
    <w:rsid w:val="004F15BF"/>
    <w:rsid w:val="004F187D"/>
    <w:rsid w:val="004F343F"/>
    <w:rsid w:val="004F3899"/>
    <w:rsid w:val="004F40E4"/>
    <w:rsid w:val="004F4693"/>
    <w:rsid w:val="004F4705"/>
    <w:rsid w:val="004F522D"/>
    <w:rsid w:val="004F552C"/>
    <w:rsid w:val="004F563C"/>
    <w:rsid w:val="004F56F3"/>
    <w:rsid w:val="004F5D85"/>
    <w:rsid w:val="004F60B3"/>
    <w:rsid w:val="004F627F"/>
    <w:rsid w:val="004F64A7"/>
    <w:rsid w:val="004F6D6B"/>
    <w:rsid w:val="004F7429"/>
    <w:rsid w:val="00500D52"/>
    <w:rsid w:val="00500DDE"/>
    <w:rsid w:val="005018AB"/>
    <w:rsid w:val="00501A79"/>
    <w:rsid w:val="00501EAA"/>
    <w:rsid w:val="0050232D"/>
    <w:rsid w:val="00502B9C"/>
    <w:rsid w:val="00503165"/>
    <w:rsid w:val="00503C2F"/>
    <w:rsid w:val="00504017"/>
    <w:rsid w:val="00504051"/>
    <w:rsid w:val="00505367"/>
    <w:rsid w:val="00505C21"/>
    <w:rsid w:val="00506971"/>
    <w:rsid w:val="00506C7D"/>
    <w:rsid w:val="00507446"/>
    <w:rsid w:val="005074F0"/>
    <w:rsid w:val="00507565"/>
    <w:rsid w:val="00507E1A"/>
    <w:rsid w:val="00510381"/>
    <w:rsid w:val="00510E38"/>
    <w:rsid w:val="00511B62"/>
    <w:rsid w:val="00511C2C"/>
    <w:rsid w:val="00512210"/>
    <w:rsid w:val="005122D2"/>
    <w:rsid w:val="00512593"/>
    <w:rsid w:val="005128B7"/>
    <w:rsid w:val="00512D87"/>
    <w:rsid w:val="00512FB0"/>
    <w:rsid w:val="005135E0"/>
    <w:rsid w:val="0051371A"/>
    <w:rsid w:val="00513792"/>
    <w:rsid w:val="00513CFC"/>
    <w:rsid w:val="00513F40"/>
    <w:rsid w:val="00515861"/>
    <w:rsid w:val="00515A42"/>
    <w:rsid w:val="00515F26"/>
    <w:rsid w:val="00516D71"/>
    <w:rsid w:val="00517185"/>
    <w:rsid w:val="0051783D"/>
    <w:rsid w:val="00517CCE"/>
    <w:rsid w:val="005206DF"/>
    <w:rsid w:val="00520B3C"/>
    <w:rsid w:val="00521AE3"/>
    <w:rsid w:val="0052225B"/>
    <w:rsid w:val="00522E0B"/>
    <w:rsid w:val="00523E13"/>
    <w:rsid w:val="00524AFC"/>
    <w:rsid w:val="00525204"/>
    <w:rsid w:val="005258F0"/>
    <w:rsid w:val="00526A17"/>
    <w:rsid w:val="00526E82"/>
    <w:rsid w:val="00526F3A"/>
    <w:rsid w:val="0052763C"/>
    <w:rsid w:val="00527C23"/>
    <w:rsid w:val="00530054"/>
    <w:rsid w:val="0053064B"/>
    <w:rsid w:val="00530DC8"/>
    <w:rsid w:val="00530EE4"/>
    <w:rsid w:val="00532135"/>
    <w:rsid w:val="005322FC"/>
    <w:rsid w:val="00532F4D"/>
    <w:rsid w:val="00533234"/>
    <w:rsid w:val="005336CB"/>
    <w:rsid w:val="005341A9"/>
    <w:rsid w:val="00534315"/>
    <w:rsid w:val="0053431E"/>
    <w:rsid w:val="00534DFE"/>
    <w:rsid w:val="00535744"/>
    <w:rsid w:val="00536252"/>
    <w:rsid w:val="005362A4"/>
    <w:rsid w:val="0053719D"/>
    <w:rsid w:val="0053727E"/>
    <w:rsid w:val="005375FF"/>
    <w:rsid w:val="00540337"/>
    <w:rsid w:val="0054053C"/>
    <w:rsid w:val="00540893"/>
    <w:rsid w:val="00540E0C"/>
    <w:rsid w:val="00541961"/>
    <w:rsid w:val="00541FD9"/>
    <w:rsid w:val="00542CFE"/>
    <w:rsid w:val="00542D1C"/>
    <w:rsid w:val="00542D54"/>
    <w:rsid w:val="00543AF6"/>
    <w:rsid w:val="00543E8D"/>
    <w:rsid w:val="00544184"/>
    <w:rsid w:val="00544884"/>
    <w:rsid w:val="00544B71"/>
    <w:rsid w:val="00544D2F"/>
    <w:rsid w:val="005453AF"/>
    <w:rsid w:val="00545A45"/>
    <w:rsid w:val="00545D3D"/>
    <w:rsid w:val="00546316"/>
    <w:rsid w:val="005500A8"/>
    <w:rsid w:val="0055071A"/>
    <w:rsid w:val="0055089B"/>
    <w:rsid w:val="00550A0C"/>
    <w:rsid w:val="00551152"/>
    <w:rsid w:val="0055124C"/>
    <w:rsid w:val="00551A74"/>
    <w:rsid w:val="00551C0A"/>
    <w:rsid w:val="00553E6F"/>
    <w:rsid w:val="00554933"/>
    <w:rsid w:val="0055536E"/>
    <w:rsid w:val="00555EC9"/>
    <w:rsid w:val="005561B2"/>
    <w:rsid w:val="0055640C"/>
    <w:rsid w:val="00556CAD"/>
    <w:rsid w:val="00556FCC"/>
    <w:rsid w:val="00557823"/>
    <w:rsid w:val="00557B07"/>
    <w:rsid w:val="00557CFB"/>
    <w:rsid w:val="00557D86"/>
    <w:rsid w:val="0056043D"/>
    <w:rsid w:val="0056096D"/>
    <w:rsid w:val="00560E6A"/>
    <w:rsid w:val="00561ACF"/>
    <w:rsid w:val="0056224E"/>
    <w:rsid w:val="0056225D"/>
    <w:rsid w:val="005624AC"/>
    <w:rsid w:val="00564D9C"/>
    <w:rsid w:val="0056519A"/>
    <w:rsid w:val="005657B3"/>
    <w:rsid w:val="005659AB"/>
    <w:rsid w:val="00566471"/>
    <w:rsid w:val="005664F4"/>
    <w:rsid w:val="005665DC"/>
    <w:rsid w:val="005666F3"/>
    <w:rsid w:val="00566855"/>
    <w:rsid w:val="00566B05"/>
    <w:rsid w:val="00566BCA"/>
    <w:rsid w:val="00567BCC"/>
    <w:rsid w:val="00570B7B"/>
    <w:rsid w:val="00571822"/>
    <w:rsid w:val="00571A06"/>
    <w:rsid w:val="00571DDD"/>
    <w:rsid w:val="0057307E"/>
    <w:rsid w:val="005742E0"/>
    <w:rsid w:val="0057430A"/>
    <w:rsid w:val="00574DA5"/>
    <w:rsid w:val="00575871"/>
    <w:rsid w:val="00575FE0"/>
    <w:rsid w:val="00576681"/>
    <w:rsid w:val="005766D4"/>
    <w:rsid w:val="00576F61"/>
    <w:rsid w:val="005774AC"/>
    <w:rsid w:val="005800E9"/>
    <w:rsid w:val="0058027C"/>
    <w:rsid w:val="00580B8C"/>
    <w:rsid w:val="00581198"/>
    <w:rsid w:val="00581592"/>
    <w:rsid w:val="0058317E"/>
    <w:rsid w:val="0058577E"/>
    <w:rsid w:val="00586E42"/>
    <w:rsid w:val="00590536"/>
    <w:rsid w:val="00590CB7"/>
    <w:rsid w:val="0059149D"/>
    <w:rsid w:val="00592708"/>
    <w:rsid w:val="005932CA"/>
    <w:rsid w:val="00593829"/>
    <w:rsid w:val="005941A3"/>
    <w:rsid w:val="00594578"/>
    <w:rsid w:val="00594FC0"/>
    <w:rsid w:val="0059602B"/>
    <w:rsid w:val="00596D0E"/>
    <w:rsid w:val="005A023C"/>
    <w:rsid w:val="005A039F"/>
    <w:rsid w:val="005A0491"/>
    <w:rsid w:val="005A04BB"/>
    <w:rsid w:val="005A0870"/>
    <w:rsid w:val="005A0A95"/>
    <w:rsid w:val="005A15A1"/>
    <w:rsid w:val="005A278E"/>
    <w:rsid w:val="005A27DB"/>
    <w:rsid w:val="005A2C5F"/>
    <w:rsid w:val="005A30C1"/>
    <w:rsid w:val="005A30C8"/>
    <w:rsid w:val="005A3170"/>
    <w:rsid w:val="005A3DD0"/>
    <w:rsid w:val="005A4050"/>
    <w:rsid w:val="005A4803"/>
    <w:rsid w:val="005A6410"/>
    <w:rsid w:val="005A6C36"/>
    <w:rsid w:val="005A6C45"/>
    <w:rsid w:val="005A7FD8"/>
    <w:rsid w:val="005B0C95"/>
    <w:rsid w:val="005B1367"/>
    <w:rsid w:val="005B16E5"/>
    <w:rsid w:val="005B176F"/>
    <w:rsid w:val="005B2915"/>
    <w:rsid w:val="005B30D8"/>
    <w:rsid w:val="005B396A"/>
    <w:rsid w:val="005B4BFE"/>
    <w:rsid w:val="005B52FD"/>
    <w:rsid w:val="005B5877"/>
    <w:rsid w:val="005B5896"/>
    <w:rsid w:val="005B5C6B"/>
    <w:rsid w:val="005B6613"/>
    <w:rsid w:val="005B7BA8"/>
    <w:rsid w:val="005B7CA4"/>
    <w:rsid w:val="005C1163"/>
    <w:rsid w:val="005C1203"/>
    <w:rsid w:val="005C1BC2"/>
    <w:rsid w:val="005C2E18"/>
    <w:rsid w:val="005C3483"/>
    <w:rsid w:val="005C4018"/>
    <w:rsid w:val="005C4687"/>
    <w:rsid w:val="005C476E"/>
    <w:rsid w:val="005C57C1"/>
    <w:rsid w:val="005C6146"/>
    <w:rsid w:val="005C6574"/>
    <w:rsid w:val="005C7726"/>
    <w:rsid w:val="005D01D2"/>
    <w:rsid w:val="005D06F6"/>
    <w:rsid w:val="005D0B01"/>
    <w:rsid w:val="005D125D"/>
    <w:rsid w:val="005D17DB"/>
    <w:rsid w:val="005D1E1D"/>
    <w:rsid w:val="005D2168"/>
    <w:rsid w:val="005D22DE"/>
    <w:rsid w:val="005D2962"/>
    <w:rsid w:val="005D2B44"/>
    <w:rsid w:val="005D2E71"/>
    <w:rsid w:val="005D37ED"/>
    <w:rsid w:val="005D3A7E"/>
    <w:rsid w:val="005D3B22"/>
    <w:rsid w:val="005D429C"/>
    <w:rsid w:val="005D63FF"/>
    <w:rsid w:val="005D743E"/>
    <w:rsid w:val="005E0515"/>
    <w:rsid w:val="005E05B7"/>
    <w:rsid w:val="005E0D74"/>
    <w:rsid w:val="005E18CC"/>
    <w:rsid w:val="005E1EC4"/>
    <w:rsid w:val="005E28AD"/>
    <w:rsid w:val="005E335B"/>
    <w:rsid w:val="005E3429"/>
    <w:rsid w:val="005E3EBA"/>
    <w:rsid w:val="005E4395"/>
    <w:rsid w:val="005E4498"/>
    <w:rsid w:val="005E50D5"/>
    <w:rsid w:val="005E5E6E"/>
    <w:rsid w:val="005E6EC7"/>
    <w:rsid w:val="005E7036"/>
    <w:rsid w:val="005E7B9D"/>
    <w:rsid w:val="005E7C76"/>
    <w:rsid w:val="005E7EFF"/>
    <w:rsid w:val="005F010C"/>
    <w:rsid w:val="005F036C"/>
    <w:rsid w:val="005F13EE"/>
    <w:rsid w:val="005F1A46"/>
    <w:rsid w:val="005F273A"/>
    <w:rsid w:val="005F27E7"/>
    <w:rsid w:val="005F2B88"/>
    <w:rsid w:val="005F2DCE"/>
    <w:rsid w:val="005F2F3C"/>
    <w:rsid w:val="005F2F80"/>
    <w:rsid w:val="005F3605"/>
    <w:rsid w:val="005F3AB3"/>
    <w:rsid w:val="005F3BF1"/>
    <w:rsid w:val="005F3D66"/>
    <w:rsid w:val="005F60CE"/>
    <w:rsid w:val="005F66BA"/>
    <w:rsid w:val="005F740D"/>
    <w:rsid w:val="005F7925"/>
    <w:rsid w:val="005F7E18"/>
    <w:rsid w:val="00600428"/>
    <w:rsid w:val="006006F9"/>
    <w:rsid w:val="0060093A"/>
    <w:rsid w:val="00600A10"/>
    <w:rsid w:val="00600CB0"/>
    <w:rsid w:val="006017A6"/>
    <w:rsid w:val="0060283E"/>
    <w:rsid w:val="00602EAD"/>
    <w:rsid w:val="0060344C"/>
    <w:rsid w:val="006040C6"/>
    <w:rsid w:val="006049CC"/>
    <w:rsid w:val="00604D4E"/>
    <w:rsid w:val="00605EF7"/>
    <w:rsid w:val="00605F6D"/>
    <w:rsid w:val="00606C6E"/>
    <w:rsid w:val="00607080"/>
    <w:rsid w:val="00607210"/>
    <w:rsid w:val="00607527"/>
    <w:rsid w:val="006101EB"/>
    <w:rsid w:val="00611191"/>
    <w:rsid w:val="006119D5"/>
    <w:rsid w:val="00612006"/>
    <w:rsid w:val="00612E80"/>
    <w:rsid w:val="0061494A"/>
    <w:rsid w:val="0061516C"/>
    <w:rsid w:val="0061604C"/>
    <w:rsid w:val="0061659E"/>
    <w:rsid w:val="00616A9B"/>
    <w:rsid w:val="006170F6"/>
    <w:rsid w:val="006174D6"/>
    <w:rsid w:val="006177ED"/>
    <w:rsid w:val="00617C11"/>
    <w:rsid w:val="00617D8E"/>
    <w:rsid w:val="006202B8"/>
    <w:rsid w:val="00620727"/>
    <w:rsid w:val="00620C53"/>
    <w:rsid w:val="00620E6A"/>
    <w:rsid w:val="00621672"/>
    <w:rsid w:val="0062171A"/>
    <w:rsid w:val="00621E5C"/>
    <w:rsid w:val="00621FDF"/>
    <w:rsid w:val="00622525"/>
    <w:rsid w:val="00622B60"/>
    <w:rsid w:val="00622FA8"/>
    <w:rsid w:val="00623EE3"/>
    <w:rsid w:val="00624115"/>
    <w:rsid w:val="00624B92"/>
    <w:rsid w:val="006254FB"/>
    <w:rsid w:val="00625B42"/>
    <w:rsid w:val="006264BC"/>
    <w:rsid w:val="0062650E"/>
    <w:rsid w:val="0062719E"/>
    <w:rsid w:val="0063086A"/>
    <w:rsid w:val="00630C65"/>
    <w:rsid w:val="00632742"/>
    <w:rsid w:val="0063299B"/>
    <w:rsid w:val="006339BE"/>
    <w:rsid w:val="006344FF"/>
    <w:rsid w:val="00634792"/>
    <w:rsid w:val="00634950"/>
    <w:rsid w:val="00635986"/>
    <w:rsid w:val="00635DC6"/>
    <w:rsid w:val="00636151"/>
    <w:rsid w:val="00636DF6"/>
    <w:rsid w:val="00637C9A"/>
    <w:rsid w:val="00637FF2"/>
    <w:rsid w:val="0064054F"/>
    <w:rsid w:val="006407A3"/>
    <w:rsid w:val="00641263"/>
    <w:rsid w:val="006417CE"/>
    <w:rsid w:val="00642234"/>
    <w:rsid w:val="00642A27"/>
    <w:rsid w:val="00643441"/>
    <w:rsid w:val="0064380E"/>
    <w:rsid w:val="00643A6E"/>
    <w:rsid w:val="006442D9"/>
    <w:rsid w:val="00644733"/>
    <w:rsid w:val="0064535C"/>
    <w:rsid w:val="0064597A"/>
    <w:rsid w:val="00645AD2"/>
    <w:rsid w:val="00646308"/>
    <w:rsid w:val="006479C9"/>
    <w:rsid w:val="00650182"/>
    <w:rsid w:val="006502AF"/>
    <w:rsid w:val="00650E04"/>
    <w:rsid w:val="006519A8"/>
    <w:rsid w:val="00651B59"/>
    <w:rsid w:val="00651B70"/>
    <w:rsid w:val="00652605"/>
    <w:rsid w:val="006536C2"/>
    <w:rsid w:val="00653830"/>
    <w:rsid w:val="00653BB5"/>
    <w:rsid w:val="00655931"/>
    <w:rsid w:val="0065593C"/>
    <w:rsid w:val="006561D8"/>
    <w:rsid w:val="00656290"/>
    <w:rsid w:val="0065683E"/>
    <w:rsid w:val="00657904"/>
    <w:rsid w:val="00657AA2"/>
    <w:rsid w:val="00657B85"/>
    <w:rsid w:val="00657D44"/>
    <w:rsid w:val="00660517"/>
    <w:rsid w:val="006618CC"/>
    <w:rsid w:val="00661C09"/>
    <w:rsid w:val="00662E21"/>
    <w:rsid w:val="006635E8"/>
    <w:rsid w:val="0066360C"/>
    <w:rsid w:val="00663B4D"/>
    <w:rsid w:val="00663C39"/>
    <w:rsid w:val="006641D9"/>
    <w:rsid w:val="00664B6C"/>
    <w:rsid w:val="00666F47"/>
    <w:rsid w:val="00667852"/>
    <w:rsid w:val="00670032"/>
    <w:rsid w:val="006710F2"/>
    <w:rsid w:val="006719F2"/>
    <w:rsid w:val="00672C16"/>
    <w:rsid w:val="006731B4"/>
    <w:rsid w:val="00673262"/>
    <w:rsid w:val="0067438D"/>
    <w:rsid w:val="0067445F"/>
    <w:rsid w:val="0067482F"/>
    <w:rsid w:val="00674A5B"/>
    <w:rsid w:val="00675060"/>
    <w:rsid w:val="00675E51"/>
    <w:rsid w:val="006769AA"/>
    <w:rsid w:val="00677C02"/>
    <w:rsid w:val="006809A1"/>
    <w:rsid w:val="00680D06"/>
    <w:rsid w:val="00681A2E"/>
    <w:rsid w:val="006827DA"/>
    <w:rsid w:val="00682CC7"/>
    <w:rsid w:val="00682F08"/>
    <w:rsid w:val="006838B8"/>
    <w:rsid w:val="006849AE"/>
    <w:rsid w:val="00685E96"/>
    <w:rsid w:val="006866F0"/>
    <w:rsid w:val="00687070"/>
    <w:rsid w:val="00687102"/>
    <w:rsid w:val="00687B5A"/>
    <w:rsid w:val="00690066"/>
    <w:rsid w:val="00690673"/>
    <w:rsid w:val="00690769"/>
    <w:rsid w:val="00690DB7"/>
    <w:rsid w:val="00691398"/>
    <w:rsid w:val="00692C51"/>
    <w:rsid w:val="00692DBC"/>
    <w:rsid w:val="00693548"/>
    <w:rsid w:val="00693785"/>
    <w:rsid w:val="006941C7"/>
    <w:rsid w:val="00694C07"/>
    <w:rsid w:val="00695AEB"/>
    <w:rsid w:val="0069640C"/>
    <w:rsid w:val="00696DFD"/>
    <w:rsid w:val="00696FE1"/>
    <w:rsid w:val="006970A9"/>
    <w:rsid w:val="006971A8"/>
    <w:rsid w:val="00697DFB"/>
    <w:rsid w:val="006A0698"/>
    <w:rsid w:val="006A08BC"/>
    <w:rsid w:val="006A11C3"/>
    <w:rsid w:val="006A16C1"/>
    <w:rsid w:val="006A3101"/>
    <w:rsid w:val="006A465C"/>
    <w:rsid w:val="006A4D98"/>
    <w:rsid w:val="006A5F48"/>
    <w:rsid w:val="006A5FB5"/>
    <w:rsid w:val="006A63EF"/>
    <w:rsid w:val="006A6959"/>
    <w:rsid w:val="006A699A"/>
    <w:rsid w:val="006A7659"/>
    <w:rsid w:val="006A7D6E"/>
    <w:rsid w:val="006B04C9"/>
    <w:rsid w:val="006B066A"/>
    <w:rsid w:val="006B0F38"/>
    <w:rsid w:val="006B0F56"/>
    <w:rsid w:val="006B1FD9"/>
    <w:rsid w:val="006B25BD"/>
    <w:rsid w:val="006B2C04"/>
    <w:rsid w:val="006B33C5"/>
    <w:rsid w:val="006B3A95"/>
    <w:rsid w:val="006B4770"/>
    <w:rsid w:val="006B47FE"/>
    <w:rsid w:val="006B4FA1"/>
    <w:rsid w:val="006B5179"/>
    <w:rsid w:val="006B56C0"/>
    <w:rsid w:val="006B579C"/>
    <w:rsid w:val="006B579E"/>
    <w:rsid w:val="006B6B32"/>
    <w:rsid w:val="006C1236"/>
    <w:rsid w:val="006C1273"/>
    <w:rsid w:val="006C1C21"/>
    <w:rsid w:val="006C1E2C"/>
    <w:rsid w:val="006C2869"/>
    <w:rsid w:val="006C2FE3"/>
    <w:rsid w:val="006C359F"/>
    <w:rsid w:val="006C4AC3"/>
    <w:rsid w:val="006C5B53"/>
    <w:rsid w:val="006C5BE1"/>
    <w:rsid w:val="006C616B"/>
    <w:rsid w:val="006C6FE6"/>
    <w:rsid w:val="006C72AC"/>
    <w:rsid w:val="006D0279"/>
    <w:rsid w:val="006D0936"/>
    <w:rsid w:val="006D0B37"/>
    <w:rsid w:val="006D0C9E"/>
    <w:rsid w:val="006D1669"/>
    <w:rsid w:val="006D402F"/>
    <w:rsid w:val="006D41E8"/>
    <w:rsid w:val="006D466D"/>
    <w:rsid w:val="006D5239"/>
    <w:rsid w:val="006D5245"/>
    <w:rsid w:val="006D62AF"/>
    <w:rsid w:val="006D65E0"/>
    <w:rsid w:val="006D6709"/>
    <w:rsid w:val="006D6B02"/>
    <w:rsid w:val="006D6FEF"/>
    <w:rsid w:val="006D773E"/>
    <w:rsid w:val="006D7A59"/>
    <w:rsid w:val="006E060F"/>
    <w:rsid w:val="006E0F98"/>
    <w:rsid w:val="006E129C"/>
    <w:rsid w:val="006E1AF8"/>
    <w:rsid w:val="006E225E"/>
    <w:rsid w:val="006E271F"/>
    <w:rsid w:val="006E3019"/>
    <w:rsid w:val="006E3F16"/>
    <w:rsid w:val="006E4B8C"/>
    <w:rsid w:val="006E4C45"/>
    <w:rsid w:val="006E4F13"/>
    <w:rsid w:val="006E5A20"/>
    <w:rsid w:val="006E5DED"/>
    <w:rsid w:val="006E68FD"/>
    <w:rsid w:val="006E6E24"/>
    <w:rsid w:val="006E6F01"/>
    <w:rsid w:val="006E7743"/>
    <w:rsid w:val="006E7CC2"/>
    <w:rsid w:val="006F1260"/>
    <w:rsid w:val="006F1625"/>
    <w:rsid w:val="006F19D0"/>
    <w:rsid w:val="006F29AE"/>
    <w:rsid w:val="006F301F"/>
    <w:rsid w:val="006F46D3"/>
    <w:rsid w:val="006F4DB3"/>
    <w:rsid w:val="006F4F01"/>
    <w:rsid w:val="006F629B"/>
    <w:rsid w:val="006F6422"/>
    <w:rsid w:val="006F6A94"/>
    <w:rsid w:val="006F6E55"/>
    <w:rsid w:val="006F72B3"/>
    <w:rsid w:val="006F75C6"/>
    <w:rsid w:val="00700189"/>
    <w:rsid w:val="00700B3D"/>
    <w:rsid w:val="0070148F"/>
    <w:rsid w:val="007019CA"/>
    <w:rsid w:val="00702A51"/>
    <w:rsid w:val="00702A54"/>
    <w:rsid w:val="00702B57"/>
    <w:rsid w:val="007032B0"/>
    <w:rsid w:val="007032B1"/>
    <w:rsid w:val="00703767"/>
    <w:rsid w:val="00705090"/>
    <w:rsid w:val="007051F7"/>
    <w:rsid w:val="0070568F"/>
    <w:rsid w:val="00706312"/>
    <w:rsid w:val="007072A3"/>
    <w:rsid w:val="00707D5F"/>
    <w:rsid w:val="00707EE0"/>
    <w:rsid w:val="0071033E"/>
    <w:rsid w:val="00710569"/>
    <w:rsid w:val="00710CF6"/>
    <w:rsid w:val="00711014"/>
    <w:rsid w:val="00711C05"/>
    <w:rsid w:val="00712C76"/>
    <w:rsid w:val="00712FD6"/>
    <w:rsid w:val="0071393E"/>
    <w:rsid w:val="00713BB1"/>
    <w:rsid w:val="0071477F"/>
    <w:rsid w:val="007149BF"/>
    <w:rsid w:val="007160D8"/>
    <w:rsid w:val="00716850"/>
    <w:rsid w:val="00717456"/>
    <w:rsid w:val="007216CA"/>
    <w:rsid w:val="00722CAE"/>
    <w:rsid w:val="00723F52"/>
    <w:rsid w:val="007242A9"/>
    <w:rsid w:val="007247F8"/>
    <w:rsid w:val="00724A05"/>
    <w:rsid w:val="0072560A"/>
    <w:rsid w:val="00725A2D"/>
    <w:rsid w:val="00726516"/>
    <w:rsid w:val="00727233"/>
    <w:rsid w:val="00727782"/>
    <w:rsid w:val="00727BC5"/>
    <w:rsid w:val="00727F50"/>
    <w:rsid w:val="00730A71"/>
    <w:rsid w:val="00730B93"/>
    <w:rsid w:val="00730B9A"/>
    <w:rsid w:val="00730CC3"/>
    <w:rsid w:val="00730F55"/>
    <w:rsid w:val="00731F5A"/>
    <w:rsid w:val="007321AD"/>
    <w:rsid w:val="0073255F"/>
    <w:rsid w:val="007327D5"/>
    <w:rsid w:val="00732855"/>
    <w:rsid w:val="00732B77"/>
    <w:rsid w:val="00734706"/>
    <w:rsid w:val="00734A6E"/>
    <w:rsid w:val="00735253"/>
    <w:rsid w:val="0073547C"/>
    <w:rsid w:val="007359ED"/>
    <w:rsid w:val="007359F6"/>
    <w:rsid w:val="007362E5"/>
    <w:rsid w:val="007364EF"/>
    <w:rsid w:val="00736EC1"/>
    <w:rsid w:val="00736F43"/>
    <w:rsid w:val="007379DB"/>
    <w:rsid w:val="00740BC8"/>
    <w:rsid w:val="0074164B"/>
    <w:rsid w:val="00741BD9"/>
    <w:rsid w:val="0074251F"/>
    <w:rsid w:val="0074298E"/>
    <w:rsid w:val="00742D2E"/>
    <w:rsid w:val="0074319D"/>
    <w:rsid w:val="007440E7"/>
    <w:rsid w:val="00744832"/>
    <w:rsid w:val="00745698"/>
    <w:rsid w:val="007459D2"/>
    <w:rsid w:val="007461FF"/>
    <w:rsid w:val="00747696"/>
    <w:rsid w:val="00747809"/>
    <w:rsid w:val="00747DC1"/>
    <w:rsid w:val="00750653"/>
    <w:rsid w:val="007506B5"/>
    <w:rsid w:val="00751042"/>
    <w:rsid w:val="0075114A"/>
    <w:rsid w:val="00751C50"/>
    <w:rsid w:val="00752023"/>
    <w:rsid w:val="00753495"/>
    <w:rsid w:val="00753542"/>
    <w:rsid w:val="00753706"/>
    <w:rsid w:val="00753FC4"/>
    <w:rsid w:val="007548CB"/>
    <w:rsid w:val="00756E8F"/>
    <w:rsid w:val="0075733F"/>
    <w:rsid w:val="00760725"/>
    <w:rsid w:val="00760E1B"/>
    <w:rsid w:val="0076126F"/>
    <w:rsid w:val="00761435"/>
    <w:rsid w:val="00761845"/>
    <w:rsid w:val="0076184F"/>
    <w:rsid w:val="007619DF"/>
    <w:rsid w:val="00762539"/>
    <w:rsid w:val="0076267D"/>
    <w:rsid w:val="007626FA"/>
    <w:rsid w:val="0076355D"/>
    <w:rsid w:val="007638DD"/>
    <w:rsid w:val="0076435B"/>
    <w:rsid w:val="007643A7"/>
    <w:rsid w:val="007645A8"/>
    <w:rsid w:val="0076466E"/>
    <w:rsid w:val="00764822"/>
    <w:rsid w:val="00764BAE"/>
    <w:rsid w:val="00764E47"/>
    <w:rsid w:val="00764FED"/>
    <w:rsid w:val="007667EE"/>
    <w:rsid w:val="007679BA"/>
    <w:rsid w:val="00771111"/>
    <w:rsid w:val="0077187E"/>
    <w:rsid w:val="00771E59"/>
    <w:rsid w:val="00771F0C"/>
    <w:rsid w:val="00772516"/>
    <w:rsid w:val="0077266D"/>
    <w:rsid w:val="00772C08"/>
    <w:rsid w:val="00772E68"/>
    <w:rsid w:val="00772FB9"/>
    <w:rsid w:val="007735CD"/>
    <w:rsid w:val="00773D96"/>
    <w:rsid w:val="00773E18"/>
    <w:rsid w:val="00774313"/>
    <w:rsid w:val="00774F2F"/>
    <w:rsid w:val="007757B3"/>
    <w:rsid w:val="00775E54"/>
    <w:rsid w:val="007763B4"/>
    <w:rsid w:val="00777AC7"/>
    <w:rsid w:val="00780058"/>
    <w:rsid w:val="00780BD7"/>
    <w:rsid w:val="00782037"/>
    <w:rsid w:val="007827E2"/>
    <w:rsid w:val="007838BB"/>
    <w:rsid w:val="00784106"/>
    <w:rsid w:val="00784224"/>
    <w:rsid w:val="007852C8"/>
    <w:rsid w:val="007854B3"/>
    <w:rsid w:val="0078563E"/>
    <w:rsid w:val="00786120"/>
    <w:rsid w:val="0078645F"/>
    <w:rsid w:val="00787ACE"/>
    <w:rsid w:val="00787CE9"/>
    <w:rsid w:val="00787F9F"/>
    <w:rsid w:val="00790743"/>
    <w:rsid w:val="0079083E"/>
    <w:rsid w:val="0079186E"/>
    <w:rsid w:val="00792F10"/>
    <w:rsid w:val="00792FB2"/>
    <w:rsid w:val="00793787"/>
    <w:rsid w:val="007941FC"/>
    <w:rsid w:val="0079491D"/>
    <w:rsid w:val="007953AE"/>
    <w:rsid w:val="007959EB"/>
    <w:rsid w:val="0079614C"/>
    <w:rsid w:val="007961C9"/>
    <w:rsid w:val="00797196"/>
    <w:rsid w:val="0079730F"/>
    <w:rsid w:val="00797CB1"/>
    <w:rsid w:val="007A0963"/>
    <w:rsid w:val="007A2A86"/>
    <w:rsid w:val="007A2B7A"/>
    <w:rsid w:val="007A4106"/>
    <w:rsid w:val="007A56D1"/>
    <w:rsid w:val="007A62EA"/>
    <w:rsid w:val="007A6616"/>
    <w:rsid w:val="007A6813"/>
    <w:rsid w:val="007A6943"/>
    <w:rsid w:val="007A6B54"/>
    <w:rsid w:val="007A7255"/>
    <w:rsid w:val="007B0D5B"/>
    <w:rsid w:val="007B124F"/>
    <w:rsid w:val="007B1ED5"/>
    <w:rsid w:val="007B1F4E"/>
    <w:rsid w:val="007B4117"/>
    <w:rsid w:val="007B4481"/>
    <w:rsid w:val="007B45A9"/>
    <w:rsid w:val="007B46F3"/>
    <w:rsid w:val="007B5811"/>
    <w:rsid w:val="007B5F2D"/>
    <w:rsid w:val="007B60E6"/>
    <w:rsid w:val="007B635F"/>
    <w:rsid w:val="007B658E"/>
    <w:rsid w:val="007B65CF"/>
    <w:rsid w:val="007B6700"/>
    <w:rsid w:val="007B6A8F"/>
    <w:rsid w:val="007B6E04"/>
    <w:rsid w:val="007B6E75"/>
    <w:rsid w:val="007B7566"/>
    <w:rsid w:val="007C2123"/>
    <w:rsid w:val="007C3276"/>
    <w:rsid w:val="007C3658"/>
    <w:rsid w:val="007C37D4"/>
    <w:rsid w:val="007C3F7E"/>
    <w:rsid w:val="007C4527"/>
    <w:rsid w:val="007C5B71"/>
    <w:rsid w:val="007C6C42"/>
    <w:rsid w:val="007D0B2A"/>
    <w:rsid w:val="007D123B"/>
    <w:rsid w:val="007D212A"/>
    <w:rsid w:val="007D2627"/>
    <w:rsid w:val="007D2CE5"/>
    <w:rsid w:val="007D3882"/>
    <w:rsid w:val="007D3A14"/>
    <w:rsid w:val="007D3C0D"/>
    <w:rsid w:val="007D4293"/>
    <w:rsid w:val="007D4C40"/>
    <w:rsid w:val="007D6255"/>
    <w:rsid w:val="007D649B"/>
    <w:rsid w:val="007D68D9"/>
    <w:rsid w:val="007D6999"/>
    <w:rsid w:val="007D74C1"/>
    <w:rsid w:val="007D76E8"/>
    <w:rsid w:val="007D7840"/>
    <w:rsid w:val="007D7E8B"/>
    <w:rsid w:val="007E0389"/>
    <w:rsid w:val="007E04FB"/>
    <w:rsid w:val="007E0ED4"/>
    <w:rsid w:val="007E2F3B"/>
    <w:rsid w:val="007E3907"/>
    <w:rsid w:val="007E3989"/>
    <w:rsid w:val="007E4163"/>
    <w:rsid w:val="007E42E4"/>
    <w:rsid w:val="007E4674"/>
    <w:rsid w:val="007E5B80"/>
    <w:rsid w:val="007E5FBE"/>
    <w:rsid w:val="007E637D"/>
    <w:rsid w:val="007E65C1"/>
    <w:rsid w:val="007E67A9"/>
    <w:rsid w:val="007E67AA"/>
    <w:rsid w:val="007E6C5F"/>
    <w:rsid w:val="007E6C60"/>
    <w:rsid w:val="007E78A5"/>
    <w:rsid w:val="007E797D"/>
    <w:rsid w:val="007F194A"/>
    <w:rsid w:val="007F23FB"/>
    <w:rsid w:val="007F2CC2"/>
    <w:rsid w:val="007F2D55"/>
    <w:rsid w:val="007F3432"/>
    <w:rsid w:val="007F44F9"/>
    <w:rsid w:val="007F47FF"/>
    <w:rsid w:val="007F5010"/>
    <w:rsid w:val="007F54D5"/>
    <w:rsid w:val="007F58A3"/>
    <w:rsid w:val="007F5BD9"/>
    <w:rsid w:val="007F5DC2"/>
    <w:rsid w:val="007F606A"/>
    <w:rsid w:val="007F6312"/>
    <w:rsid w:val="007F6556"/>
    <w:rsid w:val="007F6FBB"/>
    <w:rsid w:val="00800385"/>
    <w:rsid w:val="00800621"/>
    <w:rsid w:val="00800854"/>
    <w:rsid w:val="00801A1B"/>
    <w:rsid w:val="00801A1E"/>
    <w:rsid w:val="0080218D"/>
    <w:rsid w:val="00802B29"/>
    <w:rsid w:val="0080343F"/>
    <w:rsid w:val="008037EC"/>
    <w:rsid w:val="008049B3"/>
    <w:rsid w:val="00806E44"/>
    <w:rsid w:val="00807293"/>
    <w:rsid w:val="00807796"/>
    <w:rsid w:val="0081008E"/>
    <w:rsid w:val="00812DD6"/>
    <w:rsid w:val="00813FB4"/>
    <w:rsid w:val="00814299"/>
    <w:rsid w:val="008148C1"/>
    <w:rsid w:val="00814DE2"/>
    <w:rsid w:val="00814FAF"/>
    <w:rsid w:val="00815521"/>
    <w:rsid w:val="00815A6F"/>
    <w:rsid w:val="0081645C"/>
    <w:rsid w:val="0081652F"/>
    <w:rsid w:val="00816539"/>
    <w:rsid w:val="00816944"/>
    <w:rsid w:val="008169CE"/>
    <w:rsid w:val="00816C31"/>
    <w:rsid w:val="008170A5"/>
    <w:rsid w:val="00817427"/>
    <w:rsid w:val="0081786C"/>
    <w:rsid w:val="00817E65"/>
    <w:rsid w:val="00820312"/>
    <w:rsid w:val="00821A48"/>
    <w:rsid w:val="0082256A"/>
    <w:rsid w:val="00822FB6"/>
    <w:rsid w:val="0082316F"/>
    <w:rsid w:val="008245B0"/>
    <w:rsid w:val="00825D1D"/>
    <w:rsid w:val="008262EF"/>
    <w:rsid w:val="00826354"/>
    <w:rsid w:val="0082720A"/>
    <w:rsid w:val="00827B2F"/>
    <w:rsid w:val="00830397"/>
    <w:rsid w:val="00832474"/>
    <w:rsid w:val="008329B5"/>
    <w:rsid w:val="00832CD2"/>
    <w:rsid w:val="00832CF2"/>
    <w:rsid w:val="00833073"/>
    <w:rsid w:val="00833B60"/>
    <w:rsid w:val="00833E18"/>
    <w:rsid w:val="0083495B"/>
    <w:rsid w:val="00834D3A"/>
    <w:rsid w:val="00836897"/>
    <w:rsid w:val="00837002"/>
    <w:rsid w:val="00841952"/>
    <w:rsid w:val="0084328B"/>
    <w:rsid w:val="00843E91"/>
    <w:rsid w:val="00843EBA"/>
    <w:rsid w:val="00844202"/>
    <w:rsid w:val="00844329"/>
    <w:rsid w:val="00844345"/>
    <w:rsid w:val="008450D1"/>
    <w:rsid w:val="008451E7"/>
    <w:rsid w:val="00845F2D"/>
    <w:rsid w:val="00846DA7"/>
    <w:rsid w:val="0084706A"/>
    <w:rsid w:val="00847957"/>
    <w:rsid w:val="0084798E"/>
    <w:rsid w:val="00850157"/>
    <w:rsid w:val="008507FC"/>
    <w:rsid w:val="00851FC1"/>
    <w:rsid w:val="00852063"/>
    <w:rsid w:val="008523F6"/>
    <w:rsid w:val="00852887"/>
    <w:rsid w:val="00852C50"/>
    <w:rsid w:val="00852E73"/>
    <w:rsid w:val="00853003"/>
    <w:rsid w:val="0085323B"/>
    <w:rsid w:val="00853A7A"/>
    <w:rsid w:val="00853ECA"/>
    <w:rsid w:val="00854E02"/>
    <w:rsid w:val="00854E70"/>
    <w:rsid w:val="008554A4"/>
    <w:rsid w:val="00855A6A"/>
    <w:rsid w:val="00856366"/>
    <w:rsid w:val="00856465"/>
    <w:rsid w:val="00856C15"/>
    <w:rsid w:val="00857790"/>
    <w:rsid w:val="00860CF7"/>
    <w:rsid w:val="00861FDB"/>
    <w:rsid w:val="008629CE"/>
    <w:rsid w:val="00862B7E"/>
    <w:rsid w:val="00863DBD"/>
    <w:rsid w:val="00863FE6"/>
    <w:rsid w:val="008641A2"/>
    <w:rsid w:val="00864572"/>
    <w:rsid w:val="008648E4"/>
    <w:rsid w:val="0086509D"/>
    <w:rsid w:val="0086512A"/>
    <w:rsid w:val="008659C2"/>
    <w:rsid w:val="008661C4"/>
    <w:rsid w:val="008665C5"/>
    <w:rsid w:val="0086744B"/>
    <w:rsid w:val="008675D2"/>
    <w:rsid w:val="00867AD1"/>
    <w:rsid w:val="00870255"/>
    <w:rsid w:val="008712E0"/>
    <w:rsid w:val="0087131B"/>
    <w:rsid w:val="0087146E"/>
    <w:rsid w:val="0087196F"/>
    <w:rsid w:val="008724DF"/>
    <w:rsid w:val="00872FD6"/>
    <w:rsid w:val="008733EF"/>
    <w:rsid w:val="008736AD"/>
    <w:rsid w:val="00873C83"/>
    <w:rsid w:val="00873E01"/>
    <w:rsid w:val="00874715"/>
    <w:rsid w:val="00874A79"/>
    <w:rsid w:val="00874B27"/>
    <w:rsid w:val="00874E16"/>
    <w:rsid w:val="0087549F"/>
    <w:rsid w:val="0087636A"/>
    <w:rsid w:val="008763C8"/>
    <w:rsid w:val="0087757A"/>
    <w:rsid w:val="0087771A"/>
    <w:rsid w:val="00877D0E"/>
    <w:rsid w:val="008807EA"/>
    <w:rsid w:val="00881247"/>
    <w:rsid w:val="008820EB"/>
    <w:rsid w:val="008823D2"/>
    <w:rsid w:val="00882905"/>
    <w:rsid w:val="008829AD"/>
    <w:rsid w:val="00882AFE"/>
    <w:rsid w:val="00882DC2"/>
    <w:rsid w:val="00883842"/>
    <w:rsid w:val="00883AD6"/>
    <w:rsid w:val="00883B85"/>
    <w:rsid w:val="008842A1"/>
    <w:rsid w:val="0088433F"/>
    <w:rsid w:val="00884DA9"/>
    <w:rsid w:val="008854D4"/>
    <w:rsid w:val="00886087"/>
    <w:rsid w:val="008863B2"/>
    <w:rsid w:val="00886585"/>
    <w:rsid w:val="00886CEB"/>
    <w:rsid w:val="00890221"/>
    <w:rsid w:val="0089127A"/>
    <w:rsid w:val="00892002"/>
    <w:rsid w:val="0089249C"/>
    <w:rsid w:val="00892ACC"/>
    <w:rsid w:val="00892B57"/>
    <w:rsid w:val="00892D73"/>
    <w:rsid w:val="008931E9"/>
    <w:rsid w:val="00893244"/>
    <w:rsid w:val="00893305"/>
    <w:rsid w:val="008936FE"/>
    <w:rsid w:val="00893ABA"/>
    <w:rsid w:val="00893C17"/>
    <w:rsid w:val="00893DA8"/>
    <w:rsid w:val="00893F05"/>
    <w:rsid w:val="00895658"/>
    <w:rsid w:val="0089596C"/>
    <w:rsid w:val="00895E4C"/>
    <w:rsid w:val="008966B0"/>
    <w:rsid w:val="00896ECA"/>
    <w:rsid w:val="008A0243"/>
    <w:rsid w:val="008A02AF"/>
    <w:rsid w:val="008A05DD"/>
    <w:rsid w:val="008A08AF"/>
    <w:rsid w:val="008A16F1"/>
    <w:rsid w:val="008A2FAD"/>
    <w:rsid w:val="008A5928"/>
    <w:rsid w:val="008A640C"/>
    <w:rsid w:val="008A6F50"/>
    <w:rsid w:val="008A78B1"/>
    <w:rsid w:val="008A7917"/>
    <w:rsid w:val="008A7AC6"/>
    <w:rsid w:val="008B0600"/>
    <w:rsid w:val="008B0E3A"/>
    <w:rsid w:val="008B101C"/>
    <w:rsid w:val="008B21A6"/>
    <w:rsid w:val="008B433F"/>
    <w:rsid w:val="008B438C"/>
    <w:rsid w:val="008B47BA"/>
    <w:rsid w:val="008B4924"/>
    <w:rsid w:val="008B4CBA"/>
    <w:rsid w:val="008B542C"/>
    <w:rsid w:val="008B61F2"/>
    <w:rsid w:val="008B6B39"/>
    <w:rsid w:val="008B6FC8"/>
    <w:rsid w:val="008B7229"/>
    <w:rsid w:val="008B7AA5"/>
    <w:rsid w:val="008C08CA"/>
    <w:rsid w:val="008C09D0"/>
    <w:rsid w:val="008C2BE4"/>
    <w:rsid w:val="008C2C42"/>
    <w:rsid w:val="008C3647"/>
    <w:rsid w:val="008C379C"/>
    <w:rsid w:val="008C415C"/>
    <w:rsid w:val="008C48D2"/>
    <w:rsid w:val="008C5279"/>
    <w:rsid w:val="008C67FF"/>
    <w:rsid w:val="008C6A64"/>
    <w:rsid w:val="008C6B0E"/>
    <w:rsid w:val="008C7F60"/>
    <w:rsid w:val="008C7FA1"/>
    <w:rsid w:val="008D005B"/>
    <w:rsid w:val="008D005E"/>
    <w:rsid w:val="008D0166"/>
    <w:rsid w:val="008D06A8"/>
    <w:rsid w:val="008D14EE"/>
    <w:rsid w:val="008D15D8"/>
    <w:rsid w:val="008D186E"/>
    <w:rsid w:val="008D18BC"/>
    <w:rsid w:val="008D1D33"/>
    <w:rsid w:val="008D23B0"/>
    <w:rsid w:val="008D24A6"/>
    <w:rsid w:val="008D2BEA"/>
    <w:rsid w:val="008D34B4"/>
    <w:rsid w:val="008D373D"/>
    <w:rsid w:val="008D3D8D"/>
    <w:rsid w:val="008D3F3F"/>
    <w:rsid w:val="008D4753"/>
    <w:rsid w:val="008D4823"/>
    <w:rsid w:val="008D4C5F"/>
    <w:rsid w:val="008D4CD4"/>
    <w:rsid w:val="008D59A0"/>
    <w:rsid w:val="008D5AC2"/>
    <w:rsid w:val="008D6579"/>
    <w:rsid w:val="008D70FF"/>
    <w:rsid w:val="008D7323"/>
    <w:rsid w:val="008D78E3"/>
    <w:rsid w:val="008D7D15"/>
    <w:rsid w:val="008D7E9B"/>
    <w:rsid w:val="008E0289"/>
    <w:rsid w:val="008E0B22"/>
    <w:rsid w:val="008E0EF7"/>
    <w:rsid w:val="008E0F3D"/>
    <w:rsid w:val="008E0F44"/>
    <w:rsid w:val="008E1571"/>
    <w:rsid w:val="008E1C24"/>
    <w:rsid w:val="008E1F9E"/>
    <w:rsid w:val="008E22C4"/>
    <w:rsid w:val="008E28DE"/>
    <w:rsid w:val="008E3444"/>
    <w:rsid w:val="008E46E8"/>
    <w:rsid w:val="008E53B5"/>
    <w:rsid w:val="008E5CCA"/>
    <w:rsid w:val="008E619F"/>
    <w:rsid w:val="008F02FE"/>
    <w:rsid w:val="008F0EB9"/>
    <w:rsid w:val="008F164F"/>
    <w:rsid w:val="008F2F66"/>
    <w:rsid w:val="008F3693"/>
    <w:rsid w:val="008F396F"/>
    <w:rsid w:val="008F60F0"/>
    <w:rsid w:val="008F6F95"/>
    <w:rsid w:val="008F738E"/>
    <w:rsid w:val="008F73E1"/>
    <w:rsid w:val="008F7C8D"/>
    <w:rsid w:val="0090090D"/>
    <w:rsid w:val="00901B32"/>
    <w:rsid w:val="00902302"/>
    <w:rsid w:val="009031FF"/>
    <w:rsid w:val="009033E4"/>
    <w:rsid w:val="009035AA"/>
    <w:rsid w:val="00903A98"/>
    <w:rsid w:val="00904969"/>
    <w:rsid w:val="00904F3A"/>
    <w:rsid w:val="00905790"/>
    <w:rsid w:val="00905B61"/>
    <w:rsid w:val="00905D26"/>
    <w:rsid w:val="00905EEE"/>
    <w:rsid w:val="00905FFD"/>
    <w:rsid w:val="0090649B"/>
    <w:rsid w:val="00907FC1"/>
    <w:rsid w:val="00910C62"/>
    <w:rsid w:val="00910D18"/>
    <w:rsid w:val="00911528"/>
    <w:rsid w:val="00912247"/>
    <w:rsid w:val="0091285E"/>
    <w:rsid w:val="00912B6D"/>
    <w:rsid w:val="00913078"/>
    <w:rsid w:val="00913CDC"/>
    <w:rsid w:val="009148ED"/>
    <w:rsid w:val="0091567C"/>
    <w:rsid w:val="0091574C"/>
    <w:rsid w:val="00916F05"/>
    <w:rsid w:val="009174D5"/>
    <w:rsid w:val="0091763C"/>
    <w:rsid w:val="00917715"/>
    <w:rsid w:val="00917C39"/>
    <w:rsid w:val="00920496"/>
    <w:rsid w:val="00920E36"/>
    <w:rsid w:val="00921733"/>
    <w:rsid w:val="009219CD"/>
    <w:rsid w:val="00921FAA"/>
    <w:rsid w:val="00922B92"/>
    <w:rsid w:val="00923139"/>
    <w:rsid w:val="00923221"/>
    <w:rsid w:val="00923674"/>
    <w:rsid w:val="009242E4"/>
    <w:rsid w:val="009248E9"/>
    <w:rsid w:val="009250D5"/>
    <w:rsid w:val="009250F5"/>
    <w:rsid w:val="0092545B"/>
    <w:rsid w:val="0092558C"/>
    <w:rsid w:val="00925CDC"/>
    <w:rsid w:val="009274F8"/>
    <w:rsid w:val="00930AB3"/>
    <w:rsid w:val="00930F39"/>
    <w:rsid w:val="00931177"/>
    <w:rsid w:val="00931783"/>
    <w:rsid w:val="00931C02"/>
    <w:rsid w:val="00931CF5"/>
    <w:rsid w:val="0093283E"/>
    <w:rsid w:val="009329AA"/>
    <w:rsid w:val="00932E2A"/>
    <w:rsid w:val="00932F03"/>
    <w:rsid w:val="00933886"/>
    <w:rsid w:val="00933E85"/>
    <w:rsid w:val="0093425F"/>
    <w:rsid w:val="00934A88"/>
    <w:rsid w:val="00935385"/>
    <w:rsid w:val="00935BB3"/>
    <w:rsid w:val="009365D6"/>
    <w:rsid w:val="0093743F"/>
    <w:rsid w:val="009379EB"/>
    <w:rsid w:val="00937C99"/>
    <w:rsid w:val="0094093F"/>
    <w:rsid w:val="00940DD6"/>
    <w:rsid w:val="00940E6E"/>
    <w:rsid w:val="00941440"/>
    <w:rsid w:val="009419B1"/>
    <w:rsid w:val="00941E2F"/>
    <w:rsid w:val="00942316"/>
    <w:rsid w:val="00943B05"/>
    <w:rsid w:val="00944BA8"/>
    <w:rsid w:val="00944C7A"/>
    <w:rsid w:val="009455BE"/>
    <w:rsid w:val="00945DB8"/>
    <w:rsid w:val="00945E3F"/>
    <w:rsid w:val="009462D9"/>
    <w:rsid w:val="00946C08"/>
    <w:rsid w:val="00947EA2"/>
    <w:rsid w:val="00950790"/>
    <w:rsid w:val="00951292"/>
    <w:rsid w:val="0095180B"/>
    <w:rsid w:val="00953676"/>
    <w:rsid w:val="00954454"/>
    <w:rsid w:val="00954479"/>
    <w:rsid w:val="009549C2"/>
    <w:rsid w:val="00954B95"/>
    <w:rsid w:val="00956744"/>
    <w:rsid w:val="009567E3"/>
    <w:rsid w:val="00956A09"/>
    <w:rsid w:val="00957858"/>
    <w:rsid w:val="00957DD3"/>
    <w:rsid w:val="0096051E"/>
    <w:rsid w:val="00960AA5"/>
    <w:rsid w:val="009617A0"/>
    <w:rsid w:val="009620E3"/>
    <w:rsid w:val="00962877"/>
    <w:rsid w:val="00963506"/>
    <w:rsid w:val="009638DF"/>
    <w:rsid w:val="009646BC"/>
    <w:rsid w:val="00964BFC"/>
    <w:rsid w:val="009663A7"/>
    <w:rsid w:val="009670B6"/>
    <w:rsid w:val="00970BAE"/>
    <w:rsid w:val="00970C79"/>
    <w:rsid w:val="00970C97"/>
    <w:rsid w:val="00971516"/>
    <w:rsid w:val="00971B28"/>
    <w:rsid w:val="00972944"/>
    <w:rsid w:val="00973C0D"/>
    <w:rsid w:val="00973C53"/>
    <w:rsid w:val="0097400C"/>
    <w:rsid w:val="009749E5"/>
    <w:rsid w:val="00975820"/>
    <w:rsid w:val="009769A2"/>
    <w:rsid w:val="00976AAE"/>
    <w:rsid w:val="00977128"/>
    <w:rsid w:val="00977AE7"/>
    <w:rsid w:val="00977E01"/>
    <w:rsid w:val="009802F6"/>
    <w:rsid w:val="00981B40"/>
    <w:rsid w:val="00982019"/>
    <w:rsid w:val="00982C16"/>
    <w:rsid w:val="00983023"/>
    <w:rsid w:val="0098356F"/>
    <w:rsid w:val="00983EF7"/>
    <w:rsid w:val="00983F0A"/>
    <w:rsid w:val="00984025"/>
    <w:rsid w:val="009843C2"/>
    <w:rsid w:val="00985190"/>
    <w:rsid w:val="00985759"/>
    <w:rsid w:val="00985C20"/>
    <w:rsid w:val="009863E3"/>
    <w:rsid w:val="009866C0"/>
    <w:rsid w:val="00986912"/>
    <w:rsid w:val="00987213"/>
    <w:rsid w:val="00987546"/>
    <w:rsid w:val="00987708"/>
    <w:rsid w:val="0099043C"/>
    <w:rsid w:val="009908E4"/>
    <w:rsid w:val="00990985"/>
    <w:rsid w:val="00990AFB"/>
    <w:rsid w:val="00991539"/>
    <w:rsid w:val="00992A62"/>
    <w:rsid w:val="00996477"/>
    <w:rsid w:val="0099679D"/>
    <w:rsid w:val="00996E3D"/>
    <w:rsid w:val="009A0061"/>
    <w:rsid w:val="009A044C"/>
    <w:rsid w:val="009A0B3B"/>
    <w:rsid w:val="009A0E3F"/>
    <w:rsid w:val="009A1280"/>
    <w:rsid w:val="009A210B"/>
    <w:rsid w:val="009A250C"/>
    <w:rsid w:val="009A264A"/>
    <w:rsid w:val="009A333A"/>
    <w:rsid w:val="009A3807"/>
    <w:rsid w:val="009A3AE9"/>
    <w:rsid w:val="009A4934"/>
    <w:rsid w:val="009A4DEE"/>
    <w:rsid w:val="009A6829"/>
    <w:rsid w:val="009A6A02"/>
    <w:rsid w:val="009A70B0"/>
    <w:rsid w:val="009A712F"/>
    <w:rsid w:val="009A75A0"/>
    <w:rsid w:val="009B0157"/>
    <w:rsid w:val="009B156B"/>
    <w:rsid w:val="009B185E"/>
    <w:rsid w:val="009B2108"/>
    <w:rsid w:val="009B259F"/>
    <w:rsid w:val="009B288C"/>
    <w:rsid w:val="009B33CB"/>
    <w:rsid w:val="009B4C06"/>
    <w:rsid w:val="009B50FC"/>
    <w:rsid w:val="009B6096"/>
    <w:rsid w:val="009B6231"/>
    <w:rsid w:val="009B6450"/>
    <w:rsid w:val="009B6B39"/>
    <w:rsid w:val="009B7593"/>
    <w:rsid w:val="009B79C5"/>
    <w:rsid w:val="009B7D37"/>
    <w:rsid w:val="009C097C"/>
    <w:rsid w:val="009C0EEE"/>
    <w:rsid w:val="009C1437"/>
    <w:rsid w:val="009C1963"/>
    <w:rsid w:val="009C2659"/>
    <w:rsid w:val="009C27C7"/>
    <w:rsid w:val="009C296E"/>
    <w:rsid w:val="009C3CBE"/>
    <w:rsid w:val="009C4896"/>
    <w:rsid w:val="009C4EBD"/>
    <w:rsid w:val="009C5B2E"/>
    <w:rsid w:val="009D0619"/>
    <w:rsid w:val="009D06DB"/>
    <w:rsid w:val="009D089B"/>
    <w:rsid w:val="009D0DD4"/>
    <w:rsid w:val="009D102B"/>
    <w:rsid w:val="009D202B"/>
    <w:rsid w:val="009D2B93"/>
    <w:rsid w:val="009D3633"/>
    <w:rsid w:val="009D37A5"/>
    <w:rsid w:val="009D3940"/>
    <w:rsid w:val="009D3FAF"/>
    <w:rsid w:val="009D42E9"/>
    <w:rsid w:val="009D45B4"/>
    <w:rsid w:val="009D4A4E"/>
    <w:rsid w:val="009D4E3E"/>
    <w:rsid w:val="009D6228"/>
    <w:rsid w:val="009D69C3"/>
    <w:rsid w:val="009D6AE8"/>
    <w:rsid w:val="009E0269"/>
    <w:rsid w:val="009E03F5"/>
    <w:rsid w:val="009E042E"/>
    <w:rsid w:val="009E062B"/>
    <w:rsid w:val="009E120C"/>
    <w:rsid w:val="009E1CFB"/>
    <w:rsid w:val="009E2A20"/>
    <w:rsid w:val="009E2ADD"/>
    <w:rsid w:val="009E2E11"/>
    <w:rsid w:val="009E3968"/>
    <w:rsid w:val="009E4405"/>
    <w:rsid w:val="009E444E"/>
    <w:rsid w:val="009E46BD"/>
    <w:rsid w:val="009E586F"/>
    <w:rsid w:val="009E5A1E"/>
    <w:rsid w:val="009E6515"/>
    <w:rsid w:val="009E716E"/>
    <w:rsid w:val="009F0AAC"/>
    <w:rsid w:val="009F0F0D"/>
    <w:rsid w:val="009F21E1"/>
    <w:rsid w:val="009F2902"/>
    <w:rsid w:val="009F3BF5"/>
    <w:rsid w:val="009F3CFC"/>
    <w:rsid w:val="009F4E51"/>
    <w:rsid w:val="009F526E"/>
    <w:rsid w:val="009F5C63"/>
    <w:rsid w:val="009F5C7D"/>
    <w:rsid w:val="009F62A2"/>
    <w:rsid w:val="009F633D"/>
    <w:rsid w:val="009F658D"/>
    <w:rsid w:val="009F7E0F"/>
    <w:rsid w:val="00A00796"/>
    <w:rsid w:val="00A0123A"/>
    <w:rsid w:val="00A01777"/>
    <w:rsid w:val="00A02871"/>
    <w:rsid w:val="00A02BAE"/>
    <w:rsid w:val="00A03686"/>
    <w:rsid w:val="00A03A81"/>
    <w:rsid w:val="00A03DCC"/>
    <w:rsid w:val="00A07846"/>
    <w:rsid w:val="00A07F63"/>
    <w:rsid w:val="00A10868"/>
    <w:rsid w:val="00A10E0E"/>
    <w:rsid w:val="00A11A75"/>
    <w:rsid w:val="00A11BB6"/>
    <w:rsid w:val="00A1225B"/>
    <w:rsid w:val="00A12C1D"/>
    <w:rsid w:val="00A1303F"/>
    <w:rsid w:val="00A13F4C"/>
    <w:rsid w:val="00A14F33"/>
    <w:rsid w:val="00A15354"/>
    <w:rsid w:val="00A157E1"/>
    <w:rsid w:val="00A1585F"/>
    <w:rsid w:val="00A16033"/>
    <w:rsid w:val="00A169F2"/>
    <w:rsid w:val="00A16AC3"/>
    <w:rsid w:val="00A20050"/>
    <w:rsid w:val="00A2160A"/>
    <w:rsid w:val="00A222CC"/>
    <w:rsid w:val="00A225E8"/>
    <w:rsid w:val="00A22613"/>
    <w:rsid w:val="00A22C78"/>
    <w:rsid w:val="00A22DBA"/>
    <w:rsid w:val="00A2317E"/>
    <w:rsid w:val="00A234A8"/>
    <w:rsid w:val="00A2368D"/>
    <w:rsid w:val="00A2445F"/>
    <w:rsid w:val="00A25907"/>
    <w:rsid w:val="00A3097D"/>
    <w:rsid w:val="00A30F03"/>
    <w:rsid w:val="00A3116A"/>
    <w:rsid w:val="00A31A1B"/>
    <w:rsid w:val="00A32959"/>
    <w:rsid w:val="00A32B69"/>
    <w:rsid w:val="00A3492E"/>
    <w:rsid w:val="00A35BE3"/>
    <w:rsid w:val="00A35C93"/>
    <w:rsid w:val="00A36CDC"/>
    <w:rsid w:val="00A37C4B"/>
    <w:rsid w:val="00A37F1F"/>
    <w:rsid w:val="00A37FCE"/>
    <w:rsid w:val="00A401F5"/>
    <w:rsid w:val="00A40AA2"/>
    <w:rsid w:val="00A40CEB"/>
    <w:rsid w:val="00A41025"/>
    <w:rsid w:val="00A414FC"/>
    <w:rsid w:val="00A417BF"/>
    <w:rsid w:val="00A41A69"/>
    <w:rsid w:val="00A42112"/>
    <w:rsid w:val="00A421AC"/>
    <w:rsid w:val="00A42DE1"/>
    <w:rsid w:val="00A4367D"/>
    <w:rsid w:val="00A441F4"/>
    <w:rsid w:val="00A50C7C"/>
    <w:rsid w:val="00A513A3"/>
    <w:rsid w:val="00A51B55"/>
    <w:rsid w:val="00A51DA8"/>
    <w:rsid w:val="00A51DD3"/>
    <w:rsid w:val="00A520F6"/>
    <w:rsid w:val="00A526C6"/>
    <w:rsid w:val="00A526EC"/>
    <w:rsid w:val="00A52838"/>
    <w:rsid w:val="00A5292C"/>
    <w:rsid w:val="00A52FEB"/>
    <w:rsid w:val="00A53FA4"/>
    <w:rsid w:val="00A549C1"/>
    <w:rsid w:val="00A554D1"/>
    <w:rsid w:val="00A55E6E"/>
    <w:rsid w:val="00A564AC"/>
    <w:rsid w:val="00A56A04"/>
    <w:rsid w:val="00A56E48"/>
    <w:rsid w:val="00A57E8B"/>
    <w:rsid w:val="00A57EA5"/>
    <w:rsid w:val="00A612C6"/>
    <w:rsid w:val="00A62979"/>
    <w:rsid w:val="00A62F28"/>
    <w:rsid w:val="00A630FD"/>
    <w:rsid w:val="00A638F3"/>
    <w:rsid w:val="00A63C9A"/>
    <w:rsid w:val="00A64050"/>
    <w:rsid w:val="00A640C0"/>
    <w:rsid w:val="00A64B8C"/>
    <w:rsid w:val="00A6591F"/>
    <w:rsid w:val="00A6592E"/>
    <w:rsid w:val="00A65D50"/>
    <w:rsid w:val="00A661A7"/>
    <w:rsid w:val="00A66C2E"/>
    <w:rsid w:val="00A66CE1"/>
    <w:rsid w:val="00A66FE7"/>
    <w:rsid w:val="00A66FEA"/>
    <w:rsid w:val="00A67115"/>
    <w:rsid w:val="00A678CB"/>
    <w:rsid w:val="00A679F2"/>
    <w:rsid w:val="00A7003F"/>
    <w:rsid w:val="00A700A3"/>
    <w:rsid w:val="00A708B1"/>
    <w:rsid w:val="00A70E26"/>
    <w:rsid w:val="00A72256"/>
    <w:rsid w:val="00A7331F"/>
    <w:rsid w:val="00A738FC"/>
    <w:rsid w:val="00A73C75"/>
    <w:rsid w:val="00A74972"/>
    <w:rsid w:val="00A74C99"/>
    <w:rsid w:val="00A77F1F"/>
    <w:rsid w:val="00A809B4"/>
    <w:rsid w:val="00A80ADC"/>
    <w:rsid w:val="00A8102E"/>
    <w:rsid w:val="00A8121B"/>
    <w:rsid w:val="00A81278"/>
    <w:rsid w:val="00A814E6"/>
    <w:rsid w:val="00A825D9"/>
    <w:rsid w:val="00A842B9"/>
    <w:rsid w:val="00A84C03"/>
    <w:rsid w:val="00A851B4"/>
    <w:rsid w:val="00A85663"/>
    <w:rsid w:val="00A86E07"/>
    <w:rsid w:val="00A86F37"/>
    <w:rsid w:val="00A87502"/>
    <w:rsid w:val="00A87BF3"/>
    <w:rsid w:val="00A90491"/>
    <w:rsid w:val="00A90E57"/>
    <w:rsid w:val="00A9178B"/>
    <w:rsid w:val="00A92387"/>
    <w:rsid w:val="00A9247C"/>
    <w:rsid w:val="00A929C6"/>
    <w:rsid w:val="00A931D1"/>
    <w:rsid w:val="00A93B35"/>
    <w:rsid w:val="00A93BB0"/>
    <w:rsid w:val="00A93F93"/>
    <w:rsid w:val="00A94A36"/>
    <w:rsid w:val="00A94C38"/>
    <w:rsid w:val="00A94E02"/>
    <w:rsid w:val="00A95441"/>
    <w:rsid w:val="00A95BB6"/>
    <w:rsid w:val="00A96038"/>
    <w:rsid w:val="00A96066"/>
    <w:rsid w:val="00A9691E"/>
    <w:rsid w:val="00A96FB3"/>
    <w:rsid w:val="00A9769D"/>
    <w:rsid w:val="00AA17DA"/>
    <w:rsid w:val="00AA274C"/>
    <w:rsid w:val="00AA4788"/>
    <w:rsid w:val="00AA485E"/>
    <w:rsid w:val="00AA58C3"/>
    <w:rsid w:val="00AA5BC0"/>
    <w:rsid w:val="00AA620B"/>
    <w:rsid w:val="00AA7207"/>
    <w:rsid w:val="00AA7D1D"/>
    <w:rsid w:val="00AB0487"/>
    <w:rsid w:val="00AB096B"/>
    <w:rsid w:val="00AB0DDD"/>
    <w:rsid w:val="00AB13CB"/>
    <w:rsid w:val="00AB152B"/>
    <w:rsid w:val="00AB1603"/>
    <w:rsid w:val="00AB1CEF"/>
    <w:rsid w:val="00AB2846"/>
    <w:rsid w:val="00AB3975"/>
    <w:rsid w:val="00AB3A4E"/>
    <w:rsid w:val="00AB3EB3"/>
    <w:rsid w:val="00AB40BF"/>
    <w:rsid w:val="00AB41C3"/>
    <w:rsid w:val="00AB4E7A"/>
    <w:rsid w:val="00AB5132"/>
    <w:rsid w:val="00AB523D"/>
    <w:rsid w:val="00AB6FBB"/>
    <w:rsid w:val="00AB70BF"/>
    <w:rsid w:val="00AB78A4"/>
    <w:rsid w:val="00AB833B"/>
    <w:rsid w:val="00AC0524"/>
    <w:rsid w:val="00AC09A8"/>
    <w:rsid w:val="00AC0F4E"/>
    <w:rsid w:val="00AC13EE"/>
    <w:rsid w:val="00AC16BD"/>
    <w:rsid w:val="00AC1A80"/>
    <w:rsid w:val="00AC24A6"/>
    <w:rsid w:val="00AC27FB"/>
    <w:rsid w:val="00AC2C8D"/>
    <w:rsid w:val="00AC4318"/>
    <w:rsid w:val="00AC4416"/>
    <w:rsid w:val="00AC5166"/>
    <w:rsid w:val="00AC57C0"/>
    <w:rsid w:val="00AC5B0F"/>
    <w:rsid w:val="00AC602D"/>
    <w:rsid w:val="00AC632C"/>
    <w:rsid w:val="00AC6790"/>
    <w:rsid w:val="00AC7A24"/>
    <w:rsid w:val="00AD062C"/>
    <w:rsid w:val="00AD0857"/>
    <w:rsid w:val="00AD1919"/>
    <w:rsid w:val="00AD3022"/>
    <w:rsid w:val="00AD3B73"/>
    <w:rsid w:val="00AD5C3C"/>
    <w:rsid w:val="00AD69FF"/>
    <w:rsid w:val="00AD6ED4"/>
    <w:rsid w:val="00AE0F3E"/>
    <w:rsid w:val="00AE2614"/>
    <w:rsid w:val="00AE2787"/>
    <w:rsid w:val="00AE2B60"/>
    <w:rsid w:val="00AE3232"/>
    <w:rsid w:val="00AE3A34"/>
    <w:rsid w:val="00AE3BC1"/>
    <w:rsid w:val="00AE3FD5"/>
    <w:rsid w:val="00AE4343"/>
    <w:rsid w:val="00AE4525"/>
    <w:rsid w:val="00AE5986"/>
    <w:rsid w:val="00AE5E35"/>
    <w:rsid w:val="00AE6D78"/>
    <w:rsid w:val="00AE74A3"/>
    <w:rsid w:val="00AE75B5"/>
    <w:rsid w:val="00AE779F"/>
    <w:rsid w:val="00AF05F1"/>
    <w:rsid w:val="00AF14C8"/>
    <w:rsid w:val="00AF1ED2"/>
    <w:rsid w:val="00AF30D1"/>
    <w:rsid w:val="00AF31D5"/>
    <w:rsid w:val="00AF3C48"/>
    <w:rsid w:val="00AF4703"/>
    <w:rsid w:val="00AF5AD2"/>
    <w:rsid w:val="00AF61CE"/>
    <w:rsid w:val="00AF7B99"/>
    <w:rsid w:val="00AF7D3C"/>
    <w:rsid w:val="00AF7FFD"/>
    <w:rsid w:val="00B01558"/>
    <w:rsid w:val="00B019F0"/>
    <w:rsid w:val="00B01E3F"/>
    <w:rsid w:val="00B021BE"/>
    <w:rsid w:val="00B0396C"/>
    <w:rsid w:val="00B042B8"/>
    <w:rsid w:val="00B04E68"/>
    <w:rsid w:val="00B054A1"/>
    <w:rsid w:val="00B05A67"/>
    <w:rsid w:val="00B0651A"/>
    <w:rsid w:val="00B069D1"/>
    <w:rsid w:val="00B07183"/>
    <w:rsid w:val="00B11A90"/>
    <w:rsid w:val="00B12BD4"/>
    <w:rsid w:val="00B12C96"/>
    <w:rsid w:val="00B134F8"/>
    <w:rsid w:val="00B144F3"/>
    <w:rsid w:val="00B154F0"/>
    <w:rsid w:val="00B15A62"/>
    <w:rsid w:val="00B162D7"/>
    <w:rsid w:val="00B16617"/>
    <w:rsid w:val="00B16928"/>
    <w:rsid w:val="00B16EA8"/>
    <w:rsid w:val="00B17395"/>
    <w:rsid w:val="00B20E67"/>
    <w:rsid w:val="00B21072"/>
    <w:rsid w:val="00B21C5A"/>
    <w:rsid w:val="00B21D7F"/>
    <w:rsid w:val="00B2290E"/>
    <w:rsid w:val="00B22AD0"/>
    <w:rsid w:val="00B23984"/>
    <w:rsid w:val="00B24124"/>
    <w:rsid w:val="00B24499"/>
    <w:rsid w:val="00B249B7"/>
    <w:rsid w:val="00B24B37"/>
    <w:rsid w:val="00B256AB"/>
    <w:rsid w:val="00B25EBA"/>
    <w:rsid w:val="00B26443"/>
    <w:rsid w:val="00B30681"/>
    <w:rsid w:val="00B3125F"/>
    <w:rsid w:val="00B312C7"/>
    <w:rsid w:val="00B3216D"/>
    <w:rsid w:val="00B32354"/>
    <w:rsid w:val="00B32632"/>
    <w:rsid w:val="00B329BD"/>
    <w:rsid w:val="00B32F6E"/>
    <w:rsid w:val="00B33165"/>
    <w:rsid w:val="00B34254"/>
    <w:rsid w:val="00B3484B"/>
    <w:rsid w:val="00B34B66"/>
    <w:rsid w:val="00B34E08"/>
    <w:rsid w:val="00B354E8"/>
    <w:rsid w:val="00B35B3A"/>
    <w:rsid w:val="00B36333"/>
    <w:rsid w:val="00B36BE6"/>
    <w:rsid w:val="00B36C54"/>
    <w:rsid w:val="00B37177"/>
    <w:rsid w:val="00B40A23"/>
    <w:rsid w:val="00B41316"/>
    <w:rsid w:val="00B4148F"/>
    <w:rsid w:val="00B42307"/>
    <w:rsid w:val="00B42B52"/>
    <w:rsid w:val="00B42C21"/>
    <w:rsid w:val="00B4457F"/>
    <w:rsid w:val="00B44A19"/>
    <w:rsid w:val="00B44B2B"/>
    <w:rsid w:val="00B44EFF"/>
    <w:rsid w:val="00B453EE"/>
    <w:rsid w:val="00B45991"/>
    <w:rsid w:val="00B462DB"/>
    <w:rsid w:val="00B47373"/>
    <w:rsid w:val="00B47FF0"/>
    <w:rsid w:val="00B50F7A"/>
    <w:rsid w:val="00B5162B"/>
    <w:rsid w:val="00B51852"/>
    <w:rsid w:val="00B51E70"/>
    <w:rsid w:val="00B5252B"/>
    <w:rsid w:val="00B54B8E"/>
    <w:rsid w:val="00B55636"/>
    <w:rsid w:val="00B55A61"/>
    <w:rsid w:val="00B561C3"/>
    <w:rsid w:val="00B56509"/>
    <w:rsid w:val="00B56716"/>
    <w:rsid w:val="00B60171"/>
    <w:rsid w:val="00B60783"/>
    <w:rsid w:val="00B60C37"/>
    <w:rsid w:val="00B60DE2"/>
    <w:rsid w:val="00B60E96"/>
    <w:rsid w:val="00B60EBA"/>
    <w:rsid w:val="00B61DF6"/>
    <w:rsid w:val="00B629F3"/>
    <w:rsid w:val="00B629FD"/>
    <w:rsid w:val="00B62F27"/>
    <w:rsid w:val="00B63D06"/>
    <w:rsid w:val="00B647F9"/>
    <w:rsid w:val="00B658DC"/>
    <w:rsid w:val="00B65A7E"/>
    <w:rsid w:val="00B65C96"/>
    <w:rsid w:val="00B66375"/>
    <w:rsid w:val="00B6672C"/>
    <w:rsid w:val="00B676F6"/>
    <w:rsid w:val="00B703C3"/>
    <w:rsid w:val="00B703E8"/>
    <w:rsid w:val="00B707C6"/>
    <w:rsid w:val="00B712A8"/>
    <w:rsid w:val="00B72BED"/>
    <w:rsid w:val="00B73756"/>
    <w:rsid w:val="00B73A59"/>
    <w:rsid w:val="00B741FA"/>
    <w:rsid w:val="00B745E4"/>
    <w:rsid w:val="00B7475A"/>
    <w:rsid w:val="00B74905"/>
    <w:rsid w:val="00B75F7B"/>
    <w:rsid w:val="00B75FEE"/>
    <w:rsid w:val="00B77B76"/>
    <w:rsid w:val="00B8012F"/>
    <w:rsid w:val="00B801F3"/>
    <w:rsid w:val="00B803C2"/>
    <w:rsid w:val="00B80A95"/>
    <w:rsid w:val="00B81A46"/>
    <w:rsid w:val="00B8200B"/>
    <w:rsid w:val="00B82AF1"/>
    <w:rsid w:val="00B838AB"/>
    <w:rsid w:val="00B8394A"/>
    <w:rsid w:val="00B83FAD"/>
    <w:rsid w:val="00B84A9B"/>
    <w:rsid w:val="00B85916"/>
    <w:rsid w:val="00B85C7E"/>
    <w:rsid w:val="00B86267"/>
    <w:rsid w:val="00B86833"/>
    <w:rsid w:val="00B86D94"/>
    <w:rsid w:val="00B8774E"/>
    <w:rsid w:val="00B909B9"/>
    <w:rsid w:val="00B92018"/>
    <w:rsid w:val="00B9244E"/>
    <w:rsid w:val="00B93793"/>
    <w:rsid w:val="00B93CA4"/>
    <w:rsid w:val="00B95297"/>
    <w:rsid w:val="00B95479"/>
    <w:rsid w:val="00B960BF"/>
    <w:rsid w:val="00B97406"/>
    <w:rsid w:val="00B9772E"/>
    <w:rsid w:val="00B97DBC"/>
    <w:rsid w:val="00BA00AF"/>
    <w:rsid w:val="00BA0372"/>
    <w:rsid w:val="00BA213F"/>
    <w:rsid w:val="00BA28D2"/>
    <w:rsid w:val="00BA2FE2"/>
    <w:rsid w:val="00BA3847"/>
    <w:rsid w:val="00BA387F"/>
    <w:rsid w:val="00BA47AA"/>
    <w:rsid w:val="00BA48CB"/>
    <w:rsid w:val="00BA5275"/>
    <w:rsid w:val="00BA5297"/>
    <w:rsid w:val="00BA633F"/>
    <w:rsid w:val="00BA6413"/>
    <w:rsid w:val="00BA6EE4"/>
    <w:rsid w:val="00BA7022"/>
    <w:rsid w:val="00BB0A29"/>
    <w:rsid w:val="00BB1130"/>
    <w:rsid w:val="00BB1A01"/>
    <w:rsid w:val="00BB25C0"/>
    <w:rsid w:val="00BB2D66"/>
    <w:rsid w:val="00BB31CB"/>
    <w:rsid w:val="00BB4B03"/>
    <w:rsid w:val="00BB4D2C"/>
    <w:rsid w:val="00BB51FB"/>
    <w:rsid w:val="00BB5686"/>
    <w:rsid w:val="00BB67FE"/>
    <w:rsid w:val="00BB6CBA"/>
    <w:rsid w:val="00BB7155"/>
    <w:rsid w:val="00BC0BBE"/>
    <w:rsid w:val="00BC1B1E"/>
    <w:rsid w:val="00BC2549"/>
    <w:rsid w:val="00BC2ABF"/>
    <w:rsid w:val="00BC58F4"/>
    <w:rsid w:val="00BC654D"/>
    <w:rsid w:val="00BC6629"/>
    <w:rsid w:val="00BC69D4"/>
    <w:rsid w:val="00BC6D44"/>
    <w:rsid w:val="00BC794F"/>
    <w:rsid w:val="00BC7D3E"/>
    <w:rsid w:val="00BD00B2"/>
    <w:rsid w:val="00BD1337"/>
    <w:rsid w:val="00BD310E"/>
    <w:rsid w:val="00BD3298"/>
    <w:rsid w:val="00BD4882"/>
    <w:rsid w:val="00BD4C8D"/>
    <w:rsid w:val="00BD535B"/>
    <w:rsid w:val="00BD5DBC"/>
    <w:rsid w:val="00BD5E5F"/>
    <w:rsid w:val="00BD6AE7"/>
    <w:rsid w:val="00BD6DD4"/>
    <w:rsid w:val="00BD6F2B"/>
    <w:rsid w:val="00BD7589"/>
    <w:rsid w:val="00BD7F0B"/>
    <w:rsid w:val="00BE0C88"/>
    <w:rsid w:val="00BE394C"/>
    <w:rsid w:val="00BE50B3"/>
    <w:rsid w:val="00BE5674"/>
    <w:rsid w:val="00BE6783"/>
    <w:rsid w:val="00BE70A7"/>
    <w:rsid w:val="00BE71B4"/>
    <w:rsid w:val="00BE735F"/>
    <w:rsid w:val="00BF0D24"/>
    <w:rsid w:val="00BF1158"/>
    <w:rsid w:val="00BF1B9F"/>
    <w:rsid w:val="00BF2F16"/>
    <w:rsid w:val="00BF31EF"/>
    <w:rsid w:val="00BF3ACC"/>
    <w:rsid w:val="00BF4250"/>
    <w:rsid w:val="00BF4FCB"/>
    <w:rsid w:val="00BF52A1"/>
    <w:rsid w:val="00BF5787"/>
    <w:rsid w:val="00BF62AA"/>
    <w:rsid w:val="00BF63BD"/>
    <w:rsid w:val="00BF700A"/>
    <w:rsid w:val="00C00679"/>
    <w:rsid w:val="00C0104A"/>
    <w:rsid w:val="00C021EB"/>
    <w:rsid w:val="00C02DBA"/>
    <w:rsid w:val="00C03327"/>
    <w:rsid w:val="00C0385F"/>
    <w:rsid w:val="00C03921"/>
    <w:rsid w:val="00C05652"/>
    <w:rsid w:val="00C0574B"/>
    <w:rsid w:val="00C05C1D"/>
    <w:rsid w:val="00C066AC"/>
    <w:rsid w:val="00C069E7"/>
    <w:rsid w:val="00C06DEF"/>
    <w:rsid w:val="00C07E76"/>
    <w:rsid w:val="00C10969"/>
    <w:rsid w:val="00C11A94"/>
    <w:rsid w:val="00C12893"/>
    <w:rsid w:val="00C131E9"/>
    <w:rsid w:val="00C13200"/>
    <w:rsid w:val="00C1341A"/>
    <w:rsid w:val="00C13540"/>
    <w:rsid w:val="00C1403D"/>
    <w:rsid w:val="00C143D7"/>
    <w:rsid w:val="00C14E3E"/>
    <w:rsid w:val="00C150E6"/>
    <w:rsid w:val="00C15879"/>
    <w:rsid w:val="00C15A39"/>
    <w:rsid w:val="00C1614E"/>
    <w:rsid w:val="00C163BB"/>
    <w:rsid w:val="00C167D1"/>
    <w:rsid w:val="00C167E5"/>
    <w:rsid w:val="00C1743A"/>
    <w:rsid w:val="00C17550"/>
    <w:rsid w:val="00C17AC7"/>
    <w:rsid w:val="00C17B9D"/>
    <w:rsid w:val="00C17D40"/>
    <w:rsid w:val="00C2160D"/>
    <w:rsid w:val="00C21FA6"/>
    <w:rsid w:val="00C22DCD"/>
    <w:rsid w:val="00C23F36"/>
    <w:rsid w:val="00C245C8"/>
    <w:rsid w:val="00C2558B"/>
    <w:rsid w:val="00C2658B"/>
    <w:rsid w:val="00C269BD"/>
    <w:rsid w:val="00C30456"/>
    <w:rsid w:val="00C30648"/>
    <w:rsid w:val="00C32793"/>
    <w:rsid w:val="00C328D9"/>
    <w:rsid w:val="00C32D8B"/>
    <w:rsid w:val="00C356FE"/>
    <w:rsid w:val="00C36D0E"/>
    <w:rsid w:val="00C36EFF"/>
    <w:rsid w:val="00C40152"/>
    <w:rsid w:val="00C411C8"/>
    <w:rsid w:val="00C41526"/>
    <w:rsid w:val="00C41F7C"/>
    <w:rsid w:val="00C42782"/>
    <w:rsid w:val="00C4282B"/>
    <w:rsid w:val="00C42E2A"/>
    <w:rsid w:val="00C43BF2"/>
    <w:rsid w:val="00C43D68"/>
    <w:rsid w:val="00C446E4"/>
    <w:rsid w:val="00C45BE9"/>
    <w:rsid w:val="00C46342"/>
    <w:rsid w:val="00C47467"/>
    <w:rsid w:val="00C47475"/>
    <w:rsid w:val="00C47824"/>
    <w:rsid w:val="00C47A76"/>
    <w:rsid w:val="00C50672"/>
    <w:rsid w:val="00C513CE"/>
    <w:rsid w:val="00C51AEC"/>
    <w:rsid w:val="00C51EFA"/>
    <w:rsid w:val="00C526DD"/>
    <w:rsid w:val="00C52CE4"/>
    <w:rsid w:val="00C53557"/>
    <w:rsid w:val="00C5460E"/>
    <w:rsid w:val="00C5490D"/>
    <w:rsid w:val="00C54A2B"/>
    <w:rsid w:val="00C55322"/>
    <w:rsid w:val="00C55357"/>
    <w:rsid w:val="00C55407"/>
    <w:rsid w:val="00C559FB"/>
    <w:rsid w:val="00C55FD3"/>
    <w:rsid w:val="00C56BA8"/>
    <w:rsid w:val="00C57F84"/>
    <w:rsid w:val="00C6085B"/>
    <w:rsid w:val="00C60EF2"/>
    <w:rsid w:val="00C61CD5"/>
    <w:rsid w:val="00C63476"/>
    <w:rsid w:val="00C63B60"/>
    <w:rsid w:val="00C64876"/>
    <w:rsid w:val="00C652F2"/>
    <w:rsid w:val="00C659BB"/>
    <w:rsid w:val="00C675FA"/>
    <w:rsid w:val="00C70925"/>
    <w:rsid w:val="00C70D00"/>
    <w:rsid w:val="00C70F71"/>
    <w:rsid w:val="00C73436"/>
    <w:rsid w:val="00C73515"/>
    <w:rsid w:val="00C739E3"/>
    <w:rsid w:val="00C73C2A"/>
    <w:rsid w:val="00C7466B"/>
    <w:rsid w:val="00C755FD"/>
    <w:rsid w:val="00C75C5C"/>
    <w:rsid w:val="00C760B3"/>
    <w:rsid w:val="00C7768B"/>
    <w:rsid w:val="00C776FA"/>
    <w:rsid w:val="00C77F98"/>
    <w:rsid w:val="00C8054C"/>
    <w:rsid w:val="00C806B9"/>
    <w:rsid w:val="00C80F40"/>
    <w:rsid w:val="00C80FA4"/>
    <w:rsid w:val="00C814E0"/>
    <w:rsid w:val="00C82E80"/>
    <w:rsid w:val="00C8313B"/>
    <w:rsid w:val="00C833B3"/>
    <w:rsid w:val="00C836A7"/>
    <w:rsid w:val="00C83D54"/>
    <w:rsid w:val="00C8404F"/>
    <w:rsid w:val="00C84832"/>
    <w:rsid w:val="00C85BBF"/>
    <w:rsid w:val="00C862B7"/>
    <w:rsid w:val="00C86FCA"/>
    <w:rsid w:val="00C87000"/>
    <w:rsid w:val="00C87EDF"/>
    <w:rsid w:val="00C90772"/>
    <w:rsid w:val="00C9100D"/>
    <w:rsid w:val="00C91019"/>
    <w:rsid w:val="00C91317"/>
    <w:rsid w:val="00C91470"/>
    <w:rsid w:val="00C91E30"/>
    <w:rsid w:val="00C91E7D"/>
    <w:rsid w:val="00C92659"/>
    <w:rsid w:val="00C92A1D"/>
    <w:rsid w:val="00C930A6"/>
    <w:rsid w:val="00C933BB"/>
    <w:rsid w:val="00C93548"/>
    <w:rsid w:val="00C93D1F"/>
    <w:rsid w:val="00C94177"/>
    <w:rsid w:val="00C943F5"/>
    <w:rsid w:val="00C94DC7"/>
    <w:rsid w:val="00C96697"/>
    <w:rsid w:val="00C97CE7"/>
    <w:rsid w:val="00CA1A67"/>
    <w:rsid w:val="00CA3821"/>
    <w:rsid w:val="00CA3C7D"/>
    <w:rsid w:val="00CA3F51"/>
    <w:rsid w:val="00CA47FF"/>
    <w:rsid w:val="00CA6A8F"/>
    <w:rsid w:val="00CA6DF1"/>
    <w:rsid w:val="00CA6E06"/>
    <w:rsid w:val="00CA73D9"/>
    <w:rsid w:val="00CA77F0"/>
    <w:rsid w:val="00CB1A7A"/>
    <w:rsid w:val="00CB207E"/>
    <w:rsid w:val="00CB31D1"/>
    <w:rsid w:val="00CB3231"/>
    <w:rsid w:val="00CB3DE9"/>
    <w:rsid w:val="00CB47F1"/>
    <w:rsid w:val="00CB5106"/>
    <w:rsid w:val="00CB539B"/>
    <w:rsid w:val="00CB756F"/>
    <w:rsid w:val="00CB776A"/>
    <w:rsid w:val="00CB78E8"/>
    <w:rsid w:val="00CB7FC6"/>
    <w:rsid w:val="00CC0B92"/>
    <w:rsid w:val="00CC0DCC"/>
    <w:rsid w:val="00CC1BB1"/>
    <w:rsid w:val="00CC22FE"/>
    <w:rsid w:val="00CC29BD"/>
    <w:rsid w:val="00CC401D"/>
    <w:rsid w:val="00CC4336"/>
    <w:rsid w:val="00CC4631"/>
    <w:rsid w:val="00CC5FC8"/>
    <w:rsid w:val="00CC62C4"/>
    <w:rsid w:val="00CC6388"/>
    <w:rsid w:val="00CD1D5B"/>
    <w:rsid w:val="00CD2D5B"/>
    <w:rsid w:val="00CD3816"/>
    <w:rsid w:val="00CD3A90"/>
    <w:rsid w:val="00CD46AD"/>
    <w:rsid w:val="00CD4996"/>
    <w:rsid w:val="00CD4A90"/>
    <w:rsid w:val="00CD5763"/>
    <w:rsid w:val="00CD653F"/>
    <w:rsid w:val="00CD65AA"/>
    <w:rsid w:val="00CD671E"/>
    <w:rsid w:val="00CD6A8E"/>
    <w:rsid w:val="00CD6C5B"/>
    <w:rsid w:val="00CD7923"/>
    <w:rsid w:val="00CE0150"/>
    <w:rsid w:val="00CE054F"/>
    <w:rsid w:val="00CE0E4F"/>
    <w:rsid w:val="00CE1693"/>
    <w:rsid w:val="00CE1D08"/>
    <w:rsid w:val="00CE1ECF"/>
    <w:rsid w:val="00CE246B"/>
    <w:rsid w:val="00CE40CD"/>
    <w:rsid w:val="00CE4A54"/>
    <w:rsid w:val="00CE5DC1"/>
    <w:rsid w:val="00CE6C06"/>
    <w:rsid w:val="00CE71CC"/>
    <w:rsid w:val="00CE7588"/>
    <w:rsid w:val="00CE7AE4"/>
    <w:rsid w:val="00CE7F09"/>
    <w:rsid w:val="00CF0C4A"/>
    <w:rsid w:val="00CF1013"/>
    <w:rsid w:val="00CF271A"/>
    <w:rsid w:val="00CF2BD1"/>
    <w:rsid w:val="00CF2F55"/>
    <w:rsid w:val="00CF3480"/>
    <w:rsid w:val="00CF3F5B"/>
    <w:rsid w:val="00CF3FBF"/>
    <w:rsid w:val="00CF3FC9"/>
    <w:rsid w:val="00CF5ED6"/>
    <w:rsid w:val="00CF71F7"/>
    <w:rsid w:val="00CF79F3"/>
    <w:rsid w:val="00D007C5"/>
    <w:rsid w:val="00D00C7C"/>
    <w:rsid w:val="00D03C04"/>
    <w:rsid w:val="00D04220"/>
    <w:rsid w:val="00D06588"/>
    <w:rsid w:val="00D06EFD"/>
    <w:rsid w:val="00D071B9"/>
    <w:rsid w:val="00D075E2"/>
    <w:rsid w:val="00D078D5"/>
    <w:rsid w:val="00D07D65"/>
    <w:rsid w:val="00D07F29"/>
    <w:rsid w:val="00D10A0A"/>
    <w:rsid w:val="00D10E7C"/>
    <w:rsid w:val="00D112A1"/>
    <w:rsid w:val="00D11315"/>
    <w:rsid w:val="00D11D43"/>
    <w:rsid w:val="00D12D23"/>
    <w:rsid w:val="00D13936"/>
    <w:rsid w:val="00D1460D"/>
    <w:rsid w:val="00D1478E"/>
    <w:rsid w:val="00D14C77"/>
    <w:rsid w:val="00D15768"/>
    <w:rsid w:val="00D165F6"/>
    <w:rsid w:val="00D166C9"/>
    <w:rsid w:val="00D17725"/>
    <w:rsid w:val="00D2134D"/>
    <w:rsid w:val="00D214F0"/>
    <w:rsid w:val="00D21DC6"/>
    <w:rsid w:val="00D221B6"/>
    <w:rsid w:val="00D2248B"/>
    <w:rsid w:val="00D23AEE"/>
    <w:rsid w:val="00D23EF4"/>
    <w:rsid w:val="00D23FE2"/>
    <w:rsid w:val="00D25A0F"/>
    <w:rsid w:val="00D26431"/>
    <w:rsid w:val="00D264E8"/>
    <w:rsid w:val="00D266C3"/>
    <w:rsid w:val="00D275EA"/>
    <w:rsid w:val="00D27B16"/>
    <w:rsid w:val="00D27DA2"/>
    <w:rsid w:val="00D31F88"/>
    <w:rsid w:val="00D330A2"/>
    <w:rsid w:val="00D336C0"/>
    <w:rsid w:val="00D34398"/>
    <w:rsid w:val="00D34538"/>
    <w:rsid w:val="00D34E46"/>
    <w:rsid w:val="00D34FCD"/>
    <w:rsid w:val="00D35A8A"/>
    <w:rsid w:val="00D36AB7"/>
    <w:rsid w:val="00D37E2B"/>
    <w:rsid w:val="00D40631"/>
    <w:rsid w:val="00D407CA"/>
    <w:rsid w:val="00D420F4"/>
    <w:rsid w:val="00D433C0"/>
    <w:rsid w:val="00D448FF"/>
    <w:rsid w:val="00D44C4A"/>
    <w:rsid w:val="00D44F53"/>
    <w:rsid w:val="00D45329"/>
    <w:rsid w:val="00D453A9"/>
    <w:rsid w:val="00D454B4"/>
    <w:rsid w:val="00D454D6"/>
    <w:rsid w:val="00D45730"/>
    <w:rsid w:val="00D46496"/>
    <w:rsid w:val="00D47256"/>
    <w:rsid w:val="00D475D9"/>
    <w:rsid w:val="00D47600"/>
    <w:rsid w:val="00D506AD"/>
    <w:rsid w:val="00D50BF7"/>
    <w:rsid w:val="00D51FDE"/>
    <w:rsid w:val="00D52117"/>
    <w:rsid w:val="00D525C7"/>
    <w:rsid w:val="00D52FFD"/>
    <w:rsid w:val="00D551F2"/>
    <w:rsid w:val="00D55318"/>
    <w:rsid w:val="00D5648D"/>
    <w:rsid w:val="00D56AAF"/>
    <w:rsid w:val="00D56BE7"/>
    <w:rsid w:val="00D576C9"/>
    <w:rsid w:val="00D57718"/>
    <w:rsid w:val="00D60223"/>
    <w:rsid w:val="00D61201"/>
    <w:rsid w:val="00D61518"/>
    <w:rsid w:val="00D61FC1"/>
    <w:rsid w:val="00D623A0"/>
    <w:rsid w:val="00D62840"/>
    <w:rsid w:val="00D62A18"/>
    <w:rsid w:val="00D62DED"/>
    <w:rsid w:val="00D63A79"/>
    <w:rsid w:val="00D64003"/>
    <w:rsid w:val="00D647BE"/>
    <w:rsid w:val="00D64E69"/>
    <w:rsid w:val="00D64F71"/>
    <w:rsid w:val="00D650EF"/>
    <w:rsid w:val="00D664B4"/>
    <w:rsid w:val="00D66C72"/>
    <w:rsid w:val="00D67016"/>
    <w:rsid w:val="00D675CB"/>
    <w:rsid w:val="00D67EB5"/>
    <w:rsid w:val="00D706CC"/>
    <w:rsid w:val="00D70E7B"/>
    <w:rsid w:val="00D70EBF"/>
    <w:rsid w:val="00D71F43"/>
    <w:rsid w:val="00D72377"/>
    <w:rsid w:val="00D72549"/>
    <w:rsid w:val="00D74A3D"/>
    <w:rsid w:val="00D750CB"/>
    <w:rsid w:val="00D76A2C"/>
    <w:rsid w:val="00D7704C"/>
    <w:rsid w:val="00D776E8"/>
    <w:rsid w:val="00D800B9"/>
    <w:rsid w:val="00D80DEE"/>
    <w:rsid w:val="00D81955"/>
    <w:rsid w:val="00D81B1C"/>
    <w:rsid w:val="00D81B60"/>
    <w:rsid w:val="00D81C25"/>
    <w:rsid w:val="00D81F3C"/>
    <w:rsid w:val="00D82FFC"/>
    <w:rsid w:val="00D8302C"/>
    <w:rsid w:val="00D83376"/>
    <w:rsid w:val="00D83C9B"/>
    <w:rsid w:val="00D83FA9"/>
    <w:rsid w:val="00D840BB"/>
    <w:rsid w:val="00D84653"/>
    <w:rsid w:val="00D84EDE"/>
    <w:rsid w:val="00D84F7C"/>
    <w:rsid w:val="00D85021"/>
    <w:rsid w:val="00D85472"/>
    <w:rsid w:val="00D8636A"/>
    <w:rsid w:val="00D864AB"/>
    <w:rsid w:val="00D86689"/>
    <w:rsid w:val="00D86C20"/>
    <w:rsid w:val="00D872D1"/>
    <w:rsid w:val="00D873A0"/>
    <w:rsid w:val="00D87B46"/>
    <w:rsid w:val="00D87B52"/>
    <w:rsid w:val="00D87C8B"/>
    <w:rsid w:val="00D92188"/>
    <w:rsid w:val="00D92D25"/>
    <w:rsid w:val="00D93E79"/>
    <w:rsid w:val="00D93F27"/>
    <w:rsid w:val="00D9423D"/>
    <w:rsid w:val="00D947B6"/>
    <w:rsid w:val="00D94D22"/>
    <w:rsid w:val="00D968CC"/>
    <w:rsid w:val="00D97A52"/>
    <w:rsid w:val="00DA0432"/>
    <w:rsid w:val="00DA0C05"/>
    <w:rsid w:val="00DA0C91"/>
    <w:rsid w:val="00DA1025"/>
    <w:rsid w:val="00DA1AA4"/>
    <w:rsid w:val="00DA3193"/>
    <w:rsid w:val="00DA3EFC"/>
    <w:rsid w:val="00DA42AE"/>
    <w:rsid w:val="00DA5DCC"/>
    <w:rsid w:val="00DA6694"/>
    <w:rsid w:val="00DA68F3"/>
    <w:rsid w:val="00DA79DA"/>
    <w:rsid w:val="00DA7ABE"/>
    <w:rsid w:val="00DA7EBB"/>
    <w:rsid w:val="00DB0691"/>
    <w:rsid w:val="00DB0DF7"/>
    <w:rsid w:val="00DB1219"/>
    <w:rsid w:val="00DB17DE"/>
    <w:rsid w:val="00DB1BCF"/>
    <w:rsid w:val="00DB24B7"/>
    <w:rsid w:val="00DB28EF"/>
    <w:rsid w:val="00DB2AB8"/>
    <w:rsid w:val="00DB3114"/>
    <w:rsid w:val="00DB47A5"/>
    <w:rsid w:val="00DB6D44"/>
    <w:rsid w:val="00DB71A1"/>
    <w:rsid w:val="00DB74EF"/>
    <w:rsid w:val="00DC0336"/>
    <w:rsid w:val="00DC2786"/>
    <w:rsid w:val="00DC2D23"/>
    <w:rsid w:val="00DC3331"/>
    <w:rsid w:val="00DC36C0"/>
    <w:rsid w:val="00DC398C"/>
    <w:rsid w:val="00DC4AD0"/>
    <w:rsid w:val="00DC5137"/>
    <w:rsid w:val="00DC545A"/>
    <w:rsid w:val="00DC5978"/>
    <w:rsid w:val="00DC5B0C"/>
    <w:rsid w:val="00DC5D9A"/>
    <w:rsid w:val="00DC626C"/>
    <w:rsid w:val="00DC6B11"/>
    <w:rsid w:val="00DC734D"/>
    <w:rsid w:val="00DC7A5D"/>
    <w:rsid w:val="00DC7ED6"/>
    <w:rsid w:val="00DD1112"/>
    <w:rsid w:val="00DD1458"/>
    <w:rsid w:val="00DD15EC"/>
    <w:rsid w:val="00DD21BA"/>
    <w:rsid w:val="00DD2B61"/>
    <w:rsid w:val="00DD311A"/>
    <w:rsid w:val="00DD36C5"/>
    <w:rsid w:val="00DD4550"/>
    <w:rsid w:val="00DD5401"/>
    <w:rsid w:val="00DD5CE2"/>
    <w:rsid w:val="00DD774A"/>
    <w:rsid w:val="00DD7CEB"/>
    <w:rsid w:val="00DD7E6B"/>
    <w:rsid w:val="00DE019C"/>
    <w:rsid w:val="00DE02D4"/>
    <w:rsid w:val="00DE0F36"/>
    <w:rsid w:val="00DE1A2F"/>
    <w:rsid w:val="00DE32E8"/>
    <w:rsid w:val="00DE4C18"/>
    <w:rsid w:val="00DE60D0"/>
    <w:rsid w:val="00DE64B5"/>
    <w:rsid w:val="00DE75E6"/>
    <w:rsid w:val="00DF08F1"/>
    <w:rsid w:val="00DF0D00"/>
    <w:rsid w:val="00DF2153"/>
    <w:rsid w:val="00DF23C1"/>
    <w:rsid w:val="00DF296E"/>
    <w:rsid w:val="00DF29BC"/>
    <w:rsid w:val="00DF2E9C"/>
    <w:rsid w:val="00DF46CA"/>
    <w:rsid w:val="00DF524A"/>
    <w:rsid w:val="00DF5B10"/>
    <w:rsid w:val="00DF6CF3"/>
    <w:rsid w:val="00DF79BF"/>
    <w:rsid w:val="00E0006C"/>
    <w:rsid w:val="00E01320"/>
    <w:rsid w:val="00E0221E"/>
    <w:rsid w:val="00E02C8F"/>
    <w:rsid w:val="00E02EDD"/>
    <w:rsid w:val="00E03A0E"/>
    <w:rsid w:val="00E03C9A"/>
    <w:rsid w:val="00E03D57"/>
    <w:rsid w:val="00E03D59"/>
    <w:rsid w:val="00E04E31"/>
    <w:rsid w:val="00E067E8"/>
    <w:rsid w:val="00E06A03"/>
    <w:rsid w:val="00E06EE1"/>
    <w:rsid w:val="00E06F46"/>
    <w:rsid w:val="00E07477"/>
    <w:rsid w:val="00E10EC6"/>
    <w:rsid w:val="00E118E9"/>
    <w:rsid w:val="00E1312D"/>
    <w:rsid w:val="00E13427"/>
    <w:rsid w:val="00E14A91"/>
    <w:rsid w:val="00E15078"/>
    <w:rsid w:val="00E153A8"/>
    <w:rsid w:val="00E153D9"/>
    <w:rsid w:val="00E15D53"/>
    <w:rsid w:val="00E15F33"/>
    <w:rsid w:val="00E179A4"/>
    <w:rsid w:val="00E17C32"/>
    <w:rsid w:val="00E20AD4"/>
    <w:rsid w:val="00E20CE2"/>
    <w:rsid w:val="00E21DA1"/>
    <w:rsid w:val="00E24B0C"/>
    <w:rsid w:val="00E251BA"/>
    <w:rsid w:val="00E25E0C"/>
    <w:rsid w:val="00E25E82"/>
    <w:rsid w:val="00E265F7"/>
    <w:rsid w:val="00E26B72"/>
    <w:rsid w:val="00E26BB0"/>
    <w:rsid w:val="00E277CC"/>
    <w:rsid w:val="00E2784A"/>
    <w:rsid w:val="00E27B50"/>
    <w:rsid w:val="00E27ED1"/>
    <w:rsid w:val="00E3115C"/>
    <w:rsid w:val="00E31CE1"/>
    <w:rsid w:val="00E31DD6"/>
    <w:rsid w:val="00E320C1"/>
    <w:rsid w:val="00E32268"/>
    <w:rsid w:val="00E32914"/>
    <w:rsid w:val="00E32D62"/>
    <w:rsid w:val="00E33180"/>
    <w:rsid w:val="00E33C5B"/>
    <w:rsid w:val="00E34016"/>
    <w:rsid w:val="00E34753"/>
    <w:rsid w:val="00E347FC"/>
    <w:rsid w:val="00E34882"/>
    <w:rsid w:val="00E34EF7"/>
    <w:rsid w:val="00E35BAB"/>
    <w:rsid w:val="00E35D69"/>
    <w:rsid w:val="00E37488"/>
    <w:rsid w:val="00E37696"/>
    <w:rsid w:val="00E37DBD"/>
    <w:rsid w:val="00E4046B"/>
    <w:rsid w:val="00E41285"/>
    <w:rsid w:val="00E412BE"/>
    <w:rsid w:val="00E41717"/>
    <w:rsid w:val="00E417EF"/>
    <w:rsid w:val="00E423C1"/>
    <w:rsid w:val="00E42EE4"/>
    <w:rsid w:val="00E43A2C"/>
    <w:rsid w:val="00E445ED"/>
    <w:rsid w:val="00E461EF"/>
    <w:rsid w:val="00E466C3"/>
    <w:rsid w:val="00E46A8A"/>
    <w:rsid w:val="00E46DB0"/>
    <w:rsid w:val="00E47D87"/>
    <w:rsid w:val="00E47F2A"/>
    <w:rsid w:val="00E500F8"/>
    <w:rsid w:val="00E50A44"/>
    <w:rsid w:val="00E50C09"/>
    <w:rsid w:val="00E512EE"/>
    <w:rsid w:val="00E51EDE"/>
    <w:rsid w:val="00E536A5"/>
    <w:rsid w:val="00E53AD0"/>
    <w:rsid w:val="00E53DB2"/>
    <w:rsid w:val="00E5432A"/>
    <w:rsid w:val="00E55662"/>
    <w:rsid w:val="00E55C40"/>
    <w:rsid w:val="00E56028"/>
    <w:rsid w:val="00E566EE"/>
    <w:rsid w:val="00E569DB"/>
    <w:rsid w:val="00E56F52"/>
    <w:rsid w:val="00E60C02"/>
    <w:rsid w:val="00E64E40"/>
    <w:rsid w:val="00E66260"/>
    <w:rsid w:val="00E67281"/>
    <w:rsid w:val="00E674D7"/>
    <w:rsid w:val="00E67FC5"/>
    <w:rsid w:val="00E703F6"/>
    <w:rsid w:val="00E70FFC"/>
    <w:rsid w:val="00E719B5"/>
    <w:rsid w:val="00E71A42"/>
    <w:rsid w:val="00E7372D"/>
    <w:rsid w:val="00E74721"/>
    <w:rsid w:val="00E76032"/>
    <w:rsid w:val="00E760C5"/>
    <w:rsid w:val="00E764D6"/>
    <w:rsid w:val="00E766FC"/>
    <w:rsid w:val="00E77BE9"/>
    <w:rsid w:val="00E8047A"/>
    <w:rsid w:val="00E805BF"/>
    <w:rsid w:val="00E8064B"/>
    <w:rsid w:val="00E80B7F"/>
    <w:rsid w:val="00E810CD"/>
    <w:rsid w:val="00E81341"/>
    <w:rsid w:val="00E81499"/>
    <w:rsid w:val="00E81679"/>
    <w:rsid w:val="00E82331"/>
    <w:rsid w:val="00E823E2"/>
    <w:rsid w:val="00E82EEF"/>
    <w:rsid w:val="00E83563"/>
    <w:rsid w:val="00E8364F"/>
    <w:rsid w:val="00E8441F"/>
    <w:rsid w:val="00E84B26"/>
    <w:rsid w:val="00E850E0"/>
    <w:rsid w:val="00E851AF"/>
    <w:rsid w:val="00E85501"/>
    <w:rsid w:val="00E8566D"/>
    <w:rsid w:val="00E8591A"/>
    <w:rsid w:val="00E85C39"/>
    <w:rsid w:val="00E86630"/>
    <w:rsid w:val="00E86A31"/>
    <w:rsid w:val="00E90C0C"/>
    <w:rsid w:val="00E91336"/>
    <w:rsid w:val="00E915F7"/>
    <w:rsid w:val="00E926DF"/>
    <w:rsid w:val="00E931B0"/>
    <w:rsid w:val="00E9391D"/>
    <w:rsid w:val="00E93A54"/>
    <w:rsid w:val="00E93ED4"/>
    <w:rsid w:val="00E94099"/>
    <w:rsid w:val="00E94F0B"/>
    <w:rsid w:val="00E95A8F"/>
    <w:rsid w:val="00E97817"/>
    <w:rsid w:val="00E97D9A"/>
    <w:rsid w:val="00EA0E78"/>
    <w:rsid w:val="00EA12AC"/>
    <w:rsid w:val="00EA18EB"/>
    <w:rsid w:val="00EA2093"/>
    <w:rsid w:val="00EA35C4"/>
    <w:rsid w:val="00EA4A21"/>
    <w:rsid w:val="00EA65A0"/>
    <w:rsid w:val="00EA6927"/>
    <w:rsid w:val="00EA693E"/>
    <w:rsid w:val="00EA7E42"/>
    <w:rsid w:val="00EB0A00"/>
    <w:rsid w:val="00EB0CA1"/>
    <w:rsid w:val="00EB3589"/>
    <w:rsid w:val="00EB3B71"/>
    <w:rsid w:val="00EB5006"/>
    <w:rsid w:val="00EB56B5"/>
    <w:rsid w:val="00EB656D"/>
    <w:rsid w:val="00EB6C86"/>
    <w:rsid w:val="00EB745D"/>
    <w:rsid w:val="00EB7817"/>
    <w:rsid w:val="00EB7EE9"/>
    <w:rsid w:val="00EC03A4"/>
    <w:rsid w:val="00EC1A7B"/>
    <w:rsid w:val="00EC1F35"/>
    <w:rsid w:val="00EC1FDE"/>
    <w:rsid w:val="00EC3597"/>
    <w:rsid w:val="00EC3B6C"/>
    <w:rsid w:val="00EC435D"/>
    <w:rsid w:val="00EC552E"/>
    <w:rsid w:val="00EC5C7F"/>
    <w:rsid w:val="00EC6AF8"/>
    <w:rsid w:val="00EC6E30"/>
    <w:rsid w:val="00ED0058"/>
    <w:rsid w:val="00ED0985"/>
    <w:rsid w:val="00ED13CC"/>
    <w:rsid w:val="00ED21B8"/>
    <w:rsid w:val="00ED2275"/>
    <w:rsid w:val="00ED242C"/>
    <w:rsid w:val="00ED296B"/>
    <w:rsid w:val="00ED34B4"/>
    <w:rsid w:val="00ED39C9"/>
    <w:rsid w:val="00ED5029"/>
    <w:rsid w:val="00ED5084"/>
    <w:rsid w:val="00ED515F"/>
    <w:rsid w:val="00ED524E"/>
    <w:rsid w:val="00ED5DCD"/>
    <w:rsid w:val="00ED61D1"/>
    <w:rsid w:val="00ED65EF"/>
    <w:rsid w:val="00ED7039"/>
    <w:rsid w:val="00ED75F7"/>
    <w:rsid w:val="00EE0952"/>
    <w:rsid w:val="00EE09EC"/>
    <w:rsid w:val="00EE0EAB"/>
    <w:rsid w:val="00EE1419"/>
    <w:rsid w:val="00EE1C8C"/>
    <w:rsid w:val="00EE1CC2"/>
    <w:rsid w:val="00EE225B"/>
    <w:rsid w:val="00EE32CA"/>
    <w:rsid w:val="00EE393A"/>
    <w:rsid w:val="00EE4C88"/>
    <w:rsid w:val="00EE4F69"/>
    <w:rsid w:val="00EE5AD4"/>
    <w:rsid w:val="00EE5F07"/>
    <w:rsid w:val="00EE5F1C"/>
    <w:rsid w:val="00EE5F51"/>
    <w:rsid w:val="00EE6102"/>
    <w:rsid w:val="00EE686A"/>
    <w:rsid w:val="00EE7BA4"/>
    <w:rsid w:val="00EF01A2"/>
    <w:rsid w:val="00EF2552"/>
    <w:rsid w:val="00EF3522"/>
    <w:rsid w:val="00EF3613"/>
    <w:rsid w:val="00EF381F"/>
    <w:rsid w:val="00EF3C73"/>
    <w:rsid w:val="00EF55C4"/>
    <w:rsid w:val="00EF5DA6"/>
    <w:rsid w:val="00EF6A6A"/>
    <w:rsid w:val="00EF72DC"/>
    <w:rsid w:val="00EF79E0"/>
    <w:rsid w:val="00EF7FE4"/>
    <w:rsid w:val="00F00A92"/>
    <w:rsid w:val="00F01865"/>
    <w:rsid w:val="00F0198F"/>
    <w:rsid w:val="00F0258D"/>
    <w:rsid w:val="00F02D43"/>
    <w:rsid w:val="00F02F21"/>
    <w:rsid w:val="00F0308C"/>
    <w:rsid w:val="00F03A45"/>
    <w:rsid w:val="00F041C6"/>
    <w:rsid w:val="00F044F9"/>
    <w:rsid w:val="00F05141"/>
    <w:rsid w:val="00F06229"/>
    <w:rsid w:val="00F06DF5"/>
    <w:rsid w:val="00F06FFF"/>
    <w:rsid w:val="00F07410"/>
    <w:rsid w:val="00F078D4"/>
    <w:rsid w:val="00F10A1C"/>
    <w:rsid w:val="00F12575"/>
    <w:rsid w:val="00F12922"/>
    <w:rsid w:val="00F12C1B"/>
    <w:rsid w:val="00F13065"/>
    <w:rsid w:val="00F136E2"/>
    <w:rsid w:val="00F13E4C"/>
    <w:rsid w:val="00F140CF"/>
    <w:rsid w:val="00F143C0"/>
    <w:rsid w:val="00F15144"/>
    <w:rsid w:val="00F151D9"/>
    <w:rsid w:val="00F15EEE"/>
    <w:rsid w:val="00F16C78"/>
    <w:rsid w:val="00F16E2A"/>
    <w:rsid w:val="00F20191"/>
    <w:rsid w:val="00F20DD5"/>
    <w:rsid w:val="00F21252"/>
    <w:rsid w:val="00F2141D"/>
    <w:rsid w:val="00F21431"/>
    <w:rsid w:val="00F2158B"/>
    <w:rsid w:val="00F219D4"/>
    <w:rsid w:val="00F21CDF"/>
    <w:rsid w:val="00F21F08"/>
    <w:rsid w:val="00F227F6"/>
    <w:rsid w:val="00F23007"/>
    <w:rsid w:val="00F230A1"/>
    <w:rsid w:val="00F23393"/>
    <w:rsid w:val="00F23721"/>
    <w:rsid w:val="00F2471F"/>
    <w:rsid w:val="00F24B38"/>
    <w:rsid w:val="00F25182"/>
    <w:rsid w:val="00F253A0"/>
    <w:rsid w:val="00F25D05"/>
    <w:rsid w:val="00F260BA"/>
    <w:rsid w:val="00F26D35"/>
    <w:rsid w:val="00F27494"/>
    <w:rsid w:val="00F278ED"/>
    <w:rsid w:val="00F30AEA"/>
    <w:rsid w:val="00F314BB"/>
    <w:rsid w:val="00F31FA0"/>
    <w:rsid w:val="00F3304D"/>
    <w:rsid w:val="00F33829"/>
    <w:rsid w:val="00F33DB9"/>
    <w:rsid w:val="00F342B5"/>
    <w:rsid w:val="00F3431E"/>
    <w:rsid w:val="00F3447A"/>
    <w:rsid w:val="00F34D49"/>
    <w:rsid w:val="00F35275"/>
    <w:rsid w:val="00F35375"/>
    <w:rsid w:val="00F3550D"/>
    <w:rsid w:val="00F35554"/>
    <w:rsid w:val="00F355E6"/>
    <w:rsid w:val="00F3578B"/>
    <w:rsid w:val="00F357A6"/>
    <w:rsid w:val="00F3604E"/>
    <w:rsid w:val="00F3696E"/>
    <w:rsid w:val="00F36D17"/>
    <w:rsid w:val="00F36E0A"/>
    <w:rsid w:val="00F37F8A"/>
    <w:rsid w:val="00F4102C"/>
    <w:rsid w:val="00F412DC"/>
    <w:rsid w:val="00F41B81"/>
    <w:rsid w:val="00F41FA6"/>
    <w:rsid w:val="00F42581"/>
    <w:rsid w:val="00F4318E"/>
    <w:rsid w:val="00F4339B"/>
    <w:rsid w:val="00F4370B"/>
    <w:rsid w:val="00F44459"/>
    <w:rsid w:val="00F448C3"/>
    <w:rsid w:val="00F449CD"/>
    <w:rsid w:val="00F44B1D"/>
    <w:rsid w:val="00F460E6"/>
    <w:rsid w:val="00F4611F"/>
    <w:rsid w:val="00F46C56"/>
    <w:rsid w:val="00F47A82"/>
    <w:rsid w:val="00F51A17"/>
    <w:rsid w:val="00F52552"/>
    <w:rsid w:val="00F53559"/>
    <w:rsid w:val="00F546D0"/>
    <w:rsid w:val="00F54800"/>
    <w:rsid w:val="00F551BD"/>
    <w:rsid w:val="00F551E7"/>
    <w:rsid w:val="00F5573C"/>
    <w:rsid w:val="00F55C7C"/>
    <w:rsid w:val="00F56024"/>
    <w:rsid w:val="00F56A08"/>
    <w:rsid w:val="00F57258"/>
    <w:rsid w:val="00F57B1D"/>
    <w:rsid w:val="00F609B1"/>
    <w:rsid w:val="00F62155"/>
    <w:rsid w:val="00F62776"/>
    <w:rsid w:val="00F62B41"/>
    <w:rsid w:val="00F62C9E"/>
    <w:rsid w:val="00F63629"/>
    <w:rsid w:val="00F63BE3"/>
    <w:rsid w:val="00F6473C"/>
    <w:rsid w:val="00F64B72"/>
    <w:rsid w:val="00F651A9"/>
    <w:rsid w:val="00F6580B"/>
    <w:rsid w:val="00F65923"/>
    <w:rsid w:val="00F66482"/>
    <w:rsid w:val="00F6657F"/>
    <w:rsid w:val="00F6702F"/>
    <w:rsid w:val="00F6739C"/>
    <w:rsid w:val="00F67A15"/>
    <w:rsid w:val="00F703A1"/>
    <w:rsid w:val="00F709AC"/>
    <w:rsid w:val="00F7101C"/>
    <w:rsid w:val="00F71B91"/>
    <w:rsid w:val="00F725F6"/>
    <w:rsid w:val="00F73C33"/>
    <w:rsid w:val="00F7451F"/>
    <w:rsid w:val="00F7470D"/>
    <w:rsid w:val="00F747F7"/>
    <w:rsid w:val="00F74ABA"/>
    <w:rsid w:val="00F74C40"/>
    <w:rsid w:val="00F74F49"/>
    <w:rsid w:val="00F75755"/>
    <w:rsid w:val="00F7615C"/>
    <w:rsid w:val="00F768FD"/>
    <w:rsid w:val="00F76C56"/>
    <w:rsid w:val="00F76CBE"/>
    <w:rsid w:val="00F7741A"/>
    <w:rsid w:val="00F774DE"/>
    <w:rsid w:val="00F77B36"/>
    <w:rsid w:val="00F801B4"/>
    <w:rsid w:val="00F80843"/>
    <w:rsid w:val="00F80D42"/>
    <w:rsid w:val="00F814F9"/>
    <w:rsid w:val="00F817C0"/>
    <w:rsid w:val="00F8181E"/>
    <w:rsid w:val="00F8199E"/>
    <w:rsid w:val="00F81ADA"/>
    <w:rsid w:val="00F81E27"/>
    <w:rsid w:val="00F81F2F"/>
    <w:rsid w:val="00F83E62"/>
    <w:rsid w:val="00F844F4"/>
    <w:rsid w:val="00F8538C"/>
    <w:rsid w:val="00F87092"/>
    <w:rsid w:val="00F90B89"/>
    <w:rsid w:val="00F91056"/>
    <w:rsid w:val="00F9140E"/>
    <w:rsid w:val="00F92612"/>
    <w:rsid w:val="00F92A07"/>
    <w:rsid w:val="00F92AD6"/>
    <w:rsid w:val="00F9303D"/>
    <w:rsid w:val="00F930CE"/>
    <w:rsid w:val="00F93486"/>
    <w:rsid w:val="00F9364D"/>
    <w:rsid w:val="00F93ABA"/>
    <w:rsid w:val="00F94A82"/>
    <w:rsid w:val="00F9506B"/>
    <w:rsid w:val="00F958ED"/>
    <w:rsid w:val="00F95A3A"/>
    <w:rsid w:val="00F970AC"/>
    <w:rsid w:val="00F97C3D"/>
    <w:rsid w:val="00FA0FB0"/>
    <w:rsid w:val="00FA1104"/>
    <w:rsid w:val="00FA2258"/>
    <w:rsid w:val="00FA275A"/>
    <w:rsid w:val="00FA30FD"/>
    <w:rsid w:val="00FA360E"/>
    <w:rsid w:val="00FA3FC2"/>
    <w:rsid w:val="00FA48B2"/>
    <w:rsid w:val="00FA5106"/>
    <w:rsid w:val="00FA542D"/>
    <w:rsid w:val="00FA5AC3"/>
    <w:rsid w:val="00FA76B1"/>
    <w:rsid w:val="00FA7742"/>
    <w:rsid w:val="00FA7FAE"/>
    <w:rsid w:val="00FB1B11"/>
    <w:rsid w:val="00FB2011"/>
    <w:rsid w:val="00FB36D8"/>
    <w:rsid w:val="00FB54C2"/>
    <w:rsid w:val="00FB5DA2"/>
    <w:rsid w:val="00FB6C84"/>
    <w:rsid w:val="00FB7DBE"/>
    <w:rsid w:val="00FC01E0"/>
    <w:rsid w:val="00FC0BF9"/>
    <w:rsid w:val="00FC18B9"/>
    <w:rsid w:val="00FC2907"/>
    <w:rsid w:val="00FC2DBF"/>
    <w:rsid w:val="00FC2FB7"/>
    <w:rsid w:val="00FC300A"/>
    <w:rsid w:val="00FC3037"/>
    <w:rsid w:val="00FC31DC"/>
    <w:rsid w:val="00FC44CF"/>
    <w:rsid w:val="00FC4525"/>
    <w:rsid w:val="00FC489F"/>
    <w:rsid w:val="00FC5612"/>
    <w:rsid w:val="00FC572C"/>
    <w:rsid w:val="00FC6B95"/>
    <w:rsid w:val="00FC6E5C"/>
    <w:rsid w:val="00FC79E4"/>
    <w:rsid w:val="00FC7A2F"/>
    <w:rsid w:val="00FC7AC5"/>
    <w:rsid w:val="00FD0A3A"/>
    <w:rsid w:val="00FD0E7F"/>
    <w:rsid w:val="00FD1477"/>
    <w:rsid w:val="00FD1E6C"/>
    <w:rsid w:val="00FD1EA9"/>
    <w:rsid w:val="00FD214F"/>
    <w:rsid w:val="00FD2747"/>
    <w:rsid w:val="00FD2A64"/>
    <w:rsid w:val="00FD37C0"/>
    <w:rsid w:val="00FD3A23"/>
    <w:rsid w:val="00FD3AE0"/>
    <w:rsid w:val="00FD514F"/>
    <w:rsid w:val="00FD5E4A"/>
    <w:rsid w:val="00FD651D"/>
    <w:rsid w:val="00FD6535"/>
    <w:rsid w:val="00FD6A38"/>
    <w:rsid w:val="00FD6C53"/>
    <w:rsid w:val="00FD7549"/>
    <w:rsid w:val="00FE09BA"/>
    <w:rsid w:val="00FE1D7C"/>
    <w:rsid w:val="00FE201C"/>
    <w:rsid w:val="00FE2628"/>
    <w:rsid w:val="00FE2858"/>
    <w:rsid w:val="00FE3980"/>
    <w:rsid w:val="00FE3B7A"/>
    <w:rsid w:val="00FE3E66"/>
    <w:rsid w:val="00FE4715"/>
    <w:rsid w:val="00FF0955"/>
    <w:rsid w:val="00FF0AB1"/>
    <w:rsid w:val="00FF0CC0"/>
    <w:rsid w:val="00FF2FBA"/>
    <w:rsid w:val="00FF3A12"/>
    <w:rsid w:val="00FF3F3E"/>
    <w:rsid w:val="00FF3FF1"/>
    <w:rsid w:val="00FF46E9"/>
    <w:rsid w:val="00FF48D3"/>
    <w:rsid w:val="00FF4963"/>
    <w:rsid w:val="00FF4CF5"/>
    <w:rsid w:val="00FF5111"/>
    <w:rsid w:val="00FF5167"/>
    <w:rsid w:val="00FF5653"/>
    <w:rsid w:val="00FF584C"/>
    <w:rsid w:val="01A39CE0"/>
    <w:rsid w:val="01D2B997"/>
    <w:rsid w:val="01E0A0D8"/>
    <w:rsid w:val="02270692"/>
    <w:rsid w:val="02BAB2E7"/>
    <w:rsid w:val="02FFB9DC"/>
    <w:rsid w:val="031DB180"/>
    <w:rsid w:val="03632CF6"/>
    <w:rsid w:val="03F91F16"/>
    <w:rsid w:val="040860F9"/>
    <w:rsid w:val="055E686F"/>
    <w:rsid w:val="066ADD89"/>
    <w:rsid w:val="07115324"/>
    <w:rsid w:val="073AC3C4"/>
    <w:rsid w:val="07492951"/>
    <w:rsid w:val="07C3E6CC"/>
    <w:rsid w:val="07D56E66"/>
    <w:rsid w:val="07E57A10"/>
    <w:rsid w:val="07E9C563"/>
    <w:rsid w:val="08664BFA"/>
    <w:rsid w:val="0911D19A"/>
    <w:rsid w:val="09A8FBF3"/>
    <w:rsid w:val="09B86AA6"/>
    <w:rsid w:val="0A227EE1"/>
    <w:rsid w:val="0A3EA38C"/>
    <w:rsid w:val="0A82B2A5"/>
    <w:rsid w:val="0B72832F"/>
    <w:rsid w:val="0BAD0C5B"/>
    <w:rsid w:val="0C1F4464"/>
    <w:rsid w:val="0C31542E"/>
    <w:rsid w:val="0C5D2AB6"/>
    <w:rsid w:val="0C8D1F77"/>
    <w:rsid w:val="0CA8BA95"/>
    <w:rsid w:val="0CDC2E52"/>
    <w:rsid w:val="0D9EC0FA"/>
    <w:rsid w:val="0DC27068"/>
    <w:rsid w:val="0E035B9B"/>
    <w:rsid w:val="0E5CF75D"/>
    <w:rsid w:val="0E674DDA"/>
    <w:rsid w:val="0E703A09"/>
    <w:rsid w:val="0E9B04BB"/>
    <w:rsid w:val="0EB7F214"/>
    <w:rsid w:val="0F837B93"/>
    <w:rsid w:val="0F9758A9"/>
    <w:rsid w:val="10256890"/>
    <w:rsid w:val="104613AD"/>
    <w:rsid w:val="111A0E27"/>
    <w:rsid w:val="11A23009"/>
    <w:rsid w:val="12017214"/>
    <w:rsid w:val="1207DC03"/>
    <w:rsid w:val="12B97A09"/>
    <w:rsid w:val="12FBB3AA"/>
    <w:rsid w:val="1316309F"/>
    <w:rsid w:val="134DDECB"/>
    <w:rsid w:val="1364712C"/>
    <w:rsid w:val="13D85A6A"/>
    <w:rsid w:val="13DDB92F"/>
    <w:rsid w:val="142E7853"/>
    <w:rsid w:val="1445F84D"/>
    <w:rsid w:val="1492490D"/>
    <w:rsid w:val="14C21026"/>
    <w:rsid w:val="15865734"/>
    <w:rsid w:val="1594ACCF"/>
    <w:rsid w:val="15A0AF24"/>
    <w:rsid w:val="15F9CD63"/>
    <w:rsid w:val="1774326D"/>
    <w:rsid w:val="17E10BD4"/>
    <w:rsid w:val="1854DDE6"/>
    <w:rsid w:val="187BF7B7"/>
    <w:rsid w:val="18D44BB3"/>
    <w:rsid w:val="1905E54B"/>
    <w:rsid w:val="199A922C"/>
    <w:rsid w:val="19C2014D"/>
    <w:rsid w:val="19FD8DAC"/>
    <w:rsid w:val="1AF8CFCF"/>
    <w:rsid w:val="1B1343AE"/>
    <w:rsid w:val="1B40763D"/>
    <w:rsid w:val="1B4CE610"/>
    <w:rsid w:val="1BE4B536"/>
    <w:rsid w:val="1C24E2AE"/>
    <w:rsid w:val="1C91AA31"/>
    <w:rsid w:val="1C981EF9"/>
    <w:rsid w:val="1CD71B75"/>
    <w:rsid w:val="1D3F8264"/>
    <w:rsid w:val="1F7CAEFD"/>
    <w:rsid w:val="201AAF69"/>
    <w:rsid w:val="20213A5F"/>
    <w:rsid w:val="2050A442"/>
    <w:rsid w:val="21011C54"/>
    <w:rsid w:val="212BCB18"/>
    <w:rsid w:val="213F76B7"/>
    <w:rsid w:val="2187C2E1"/>
    <w:rsid w:val="21956417"/>
    <w:rsid w:val="21A0BF1E"/>
    <w:rsid w:val="21ECF2D6"/>
    <w:rsid w:val="2323295F"/>
    <w:rsid w:val="2385C08A"/>
    <w:rsid w:val="24126002"/>
    <w:rsid w:val="24D313BE"/>
    <w:rsid w:val="2541E921"/>
    <w:rsid w:val="25558410"/>
    <w:rsid w:val="25B05E67"/>
    <w:rsid w:val="25C2D79F"/>
    <w:rsid w:val="25CFB74A"/>
    <w:rsid w:val="26247B54"/>
    <w:rsid w:val="2654D887"/>
    <w:rsid w:val="2677186E"/>
    <w:rsid w:val="2741DA75"/>
    <w:rsid w:val="27AA10C6"/>
    <w:rsid w:val="27DEF588"/>
    <w:rsid w:val="27FB1A91"/>
    <w:rsid w:val="285AD394"/>
    <w:rsid w:val="28A96DE8"/>
    <w:rsid w:val="28DA839B"/>
    <w:rsid w:val="29114528"/>
    <w:rsid w:val="29181732"/>
    <w:rsid w:val="29837DB7"/>
    <w:rsid w:val="2A3B7B2B"/>
    <w:rsid w:val="2AB9DC96"/>
    <w:rsid w:val="2B61F598"/>
    <w:rsid w:val="2B901C4F"/>
    <w:rsid w:val="2BE85D37"/>
    <w:rsid w:val="2C3F7721"/>
    <w:rsid w:val="2C4209A8"/>
    <w:rsid w:val="2CBBF32D"/>
    <w:rsid w:val="2D6FFF68"/>
    <w:rsid w:val="2DA32013"/>
    <w:rsid w:val="2DB7027A"/>
    <w:rsid w:val="2DEEF6D7"/>
    <w:rsid w:val="2E9F217A"/>
    <w:rsid w:val="2EC10E3C"/>
    <w:rsid w:val="2EFA5381"/>
    <w:rsid w:val="2EFB16C6"/>
    <w:rsid w:val="2F44A506"/>
    <w:rsid w:val="30092568"/>
    <w:rsid w:val="3018987F"/>
    <w:rsid w:val="30A621A3"/>
    <w:rsid w:val="30B4A8A3"/>
    <w:rsid w:val="30D8367F"/>
    <w:rsid w:val="314D6E28"/>
    <w:rsid w:val="31984426"/>
    <w:rsid w:val="3222AC73"/>
    <w:rsid w:val="32DC5F3B"/>
    <w:rsid w:val="3397D1B6"/>
    <w:rsid w:val="33BF329B"/>
    <w:rsid w:val="349D3599"/>
    <w:rsid w:val="356EFA5F"/>
    <w:rsid w:val="35918846"/>
    <w:rsid w:val="369192B2"/>
    <w:rsid w:val="36CB0F63"/>
    <w:rsid w:val="36DE1B3A"/>
    <w:rsid w:val="36EE82FA"/>
    <w:rsid w:val="3709BCB7"/>
    <w:rsid w:val="377D2889"/>
    <w:rsid w:val="379581C6"/>
    <w:rsid w:val="37C6C56B"/>
    <w:rsid w:val="387248A6"/>
    <w:rsid w:val="391FBFC7"/>
    <w:rsid w:val="396DEF1F"/>
    <w:rsid w:val="39B138EC"/>
    <w:rsid w:val="3AAD8BEB"/>
    <w:rsid w:val="3AD1A1B5"/>
    <w:rsid w:val="3B945216"/>
    <w:rsid w:val="3BA498AA"/>
    <w:rsid w:val="3BF74CB3"/>
    <w:rsid w:val="3C70A705"/>
    <w:rsid w:val="3C9CB127"/>
    <w:rsid w:val="3CC2B59C"/>
    <w:rsid w:val="3D79BA3A"/>
    <w:rsid w:val="3EB8043E"/>
    <w:rsid w:val="3EBA3F3C"/>
    <w:rsid w:val="3EE3B849"/>
    <w:rsid w:val="3EF3FC1D"/>
    <w:rsid w:val="3FAFC288"/>
    <w:rsid w:val="40AFF611"/>
    <w:rsid w:val="4194F6C0"/>
    <w:rsid w:val="429305FB"/>
    <w:rsid w:val="4373D1C6"/>
    <w:rsid w:val="4420ADBB"/>
    <w:rsid w:val="44CD51D5"/>
    <w:rsid w:val="452B97DC"/>
    <w:rsid w:val="458C51A1"/>
    <w:rsid w:val="46689992"/>
    <w:rsid w:val="46772EBE"/>
    <w:rsid w:val="4750466C"/>
    <w:rsid w:val="47815860"/>
    <w:rsid w:val="4872DD85"/>
    <w:rsid w:val="48B510A2"/>
    <w:rsid w:val="48C0A47B"/>
    <w:rsid w:val="48C1B747"/>
    <w:rsid w:val="48F16AB2"/>
    <w:rsid w:val="4A544410"/>
    <w:rsid w:val="4A8E00F1"/>
    <w:rsid w:val="4B11A06B"/>
    <w:rsid w:val="4B27403A"/>
    <w:rsid w:val="4BC0FB3D"/>
    <w:rsid w:val="4BCE3154"/>
    <w:rsid w:val="4C65732A"/>
    <w:rsid w:val="4C752072"/>
    <w:rsid w:val="4CDD79B8"/>
    <w:rsid w:val="4CDFC0CF"/>
    <w:rsid w:val="4D35F021"/>
    <w:rsid w:val="4E12ADDF"/>
    <w:rsid w:val="4E3CAEC5"/>
    <w:rsid w:val="4E40167E"/>
    <w:rsid w:val="4E4FFD60"/>
    <w:rsid w:val="4F5E2629"/>
    <w:rsid w:val="4F622ED7"/>
    <w:rsid w:val="4F67E825"/>
    <w:rsid w:val="503B45A4"/>
    <w:rsid w:val="50B078C7"/>
    <w:rsid w:val="50FCFE41"/>
    <w:rsid w:val="513521A1"/>
    <w:rsid w:val="52070C32"/>
    <w:rsid w:val="5226B2F3"/>
    <w:rsid w:val="52701CD2"/>
    <w:rsid w:val="52DDA629"/>
    <w:rsid w:val="530BBF32"/>
    <w:rsid w:val="53134584"/>
    <w:rsid w:val="532758B7"/>
    <w:rsid w:val="532EA51A"/>
    <w:rsid w:val="53E7113A"/>
    <w:rsid w:val="53EF900D"/>
    <w:rsid w:val="546F2BF4"/>
    <w:rsid w:val="547B3CC5"/>
    <w:rsid w:val="559811A6"/>
    <w:rsid w:val="560FCCC6"/>
    <w:rsid w:val="56136E36"/>
    <w:rsid w:val="568A0265"/>
    <w:rsid w:val="56A3B621"/>
    <w:rsid w:val="56F47AEE"/>
    <w:rsid w:val="56FCB88F"/>
    <w:rsid w:val="571AEA4F"/>
    <w:rsid w:val="575A72F4"/>
    <w:rsid w:val="5788FFD9"/>
    <w:rsid w:val="57C48696"/>
    <w:rsid w:val="57F6D404"/>
    <w:rsid w:val="58326423"/>
    <w:rsid w:val="584C3A4D"/>
    <w:rsid w:val="589E8794"/>
    <w:rsid w:val="59465895"/>
    <w:rsid w:val="59E1F659"/>
    <w:rsid w:val="59EC750D"/>
    <w:rsid w:val="5A78091C"/>
    <w:rsid w:val="5ADFA387"/>
    <w:rsid w:val="5B0E41C0"/>
    <w:rsid w:val="5B4FFAD8"/>
    <w:rsid w:val="5B8350F1"/>
    <w:rsid w:val="5C01682B"/>
    <w:rsid w:val="5C19955A"/>
    <w:rsid w:val="5CC0C56B"/>
    <w:rsid w:val="5CCCE6E0"/>
    <w:rsid w:val="5CF23F77"/>
    <w:rsid w:val="5D4BAD5C"/>
    <w:rsid w:val="5D520CDA"/>
    <w:rsid w:val="5DFA3632"/>
    <w:rsid w:val="5EE1546E"/>
    <w:rsid w:val="5F0E53AC"/>
    <w:rsid w:val="5F683AB0"/>
    <w:rsid w:val="6088FB04"/>
    <w:rsid w:val="60B1C128"/>
    <w:rsid w:val="60E96831"/>
    <w:rsid w:val="61673355"/>
    <w:rsid w:val="61EFBDF3"/>
    <w:rsid w:val="62137C2A"/>
    <w:rsid w:val="628088C7"/>
    <w:rsid w:val="633F0AA7"/>
    <w:rsid w:val="6390A72A"/>
    <w:rsid w:val="64D82A90"/>
    <w:rsid w:val="650D0BB6"/>
    <w:rsid w:val="66801EE5"/>
    <w:rsid w:val="670DE14D"/>
    <w:rsid w:val="679E0298"/>
    <w:rsid w:val="6829D6D8"/>
    <w:rsid w:val="6852D1EB"/>
    <w:rsid w:val="6898AE64"/>
    <w:rsid w:val="68BB4799"/>
    <w:rsid w:val="68C9DB86"/>
    <w:rsid w:val="68E74D39"/>
    <w:rsid w:val="6926F149"/>
    <w:rsid w:val="6986B2D7"/>
    <w:rsid w:val="698BC2F1"/>
    <w:rsid w:val="69B06B22"/>
    <w:rsid w:val="69CCA5E5"/>
    <w:rsid w:val="6A197A96"/>
    <w:rsid w:val="6A55DC0D"/>
    <w:rsid w:val="6A750A28"/>
    <w:rsid w:val="6A9542C6"/>
    <w:rsid w:val="6ADC5954"/>
    <w:rsid w:val="6B58CF06"/>
    <w:rsid w:val="6B69AFBF"/>
    <w:rsid w:val="6B83A179"/>
    <w:rsid w:val="6BA44B23"/>
    <w:rsid w:val="6C123CD4"/>
    <w:rsid w:val="6C1EE8B3"/>
    <w:rsid w:val="6C3237D1"/>
    <w:rsid w:val="6C538CFD"/>
    <w:rsid w:val="6C873E7D"/>
    <w:rsid w:val="6D2E1DFA"/>
    <w:rsid w:val="6D480EA6"/>
    <w:rsid w:val="6D926107"/>
    <w:rsid w:val="6DC645C0"/>
    <w:rsid w:val="6DFC56E1"/>
    <w:rsid w:val="6E5BBE8E"/>
    <w:rsid w:val="6EA2C7CC"/>
    <w:rsid w:val="6EC0BAD3"/>
    <w:rsid w:val="6ED34A30"/>
    <w:rsid w:val="6EE3DF07"/>
    <w:rsid w:val="6F3B7EC8"/>
    <w:rsid w:val="70618B94"/>
    <w:rsid w:val="708AF7F4"/>
    <w:rsid w:val="70FD30B0"/>
    <w:rsid w:val="717DBCC6"/>
    <w:rsid w:val="719AD89A"/>
    <w:rsid w:val="71DCC583"/>
    <w:rsid w:val="71E9C5A5"/>
    <w:rsid w:val="7262999F"/>
    <w:rsid w:val="728CA99D"/>
    <w:rsid w:val="728DD268"/>
    <w:rsid w:val="729E5DB2"/>
    <w:rsid w:val="72E7DBA4"/>
    <w:rsid w:val="72EF97CF"/>
    <w:rsid w:val="73DD9011"/>
    <w:rsid w:val="75130214"/>
    <w:rsid w:val="7531B486"/>
    <w:rsid w:val="75625F3B"/>
    <w:rsid w:val="75A609D8"/>
    <w:rsid w:val="75EA992F"/>
    <w:rsid w:val="76B96DD8"/>
    <w:rsid w:val="76CDACF1"/>
    <w:rsid w:val="76EEF5EE"/>
    <w:rsid w:val="76F26A1E"/>
    <w:rsid w:val="771E32F0"/>
    <w:rsid w:val="77B3C794"/>
    <w:rsid w:val="7800725E"/>
    <w:rsid w:val="78BE16F4"/>
    <w:rsid w:val="790870B9"/>
    <w:rsid w:val="79248969"/>
    <w:rsid w:val="7943EB66"/>
    <w:rsid w:val="79CD92C9"/>
    <w:rsid w:val="7A32779B"/>
    <w:rsid w:val="7A3D15E9"/>
    <w:rsid w:val="7A555598"/>
    <w:rsid w:val="7B0F1891"/>
    <w:rsid w:val="7B44C37D"/>
    <w:rsid w:val="7BE61A6C"/>
    <w:rsid w:val="7BEDC91F"/>
    <w:rsid w:val="7BEE9643"/>
    <w:rsid w:val="7CB8111E"/>
    <w:rsid w:val="7CC2114E"/>
    <w:rsid w:val="7CF853D9"/>
    <w:rsid w:val="7D2096C9"/>
    <w:rsid w:val="7E23A43B"/>
    <w:rsid w:val="7EBFA118"/>
    <w:rsid w:val="7FA4CDF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177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7"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8CB"/>
    <w:pPr>
      <w:spacing w:after="0" w:line="240" w:lineRule="auto"/>
      <w:jc w:val="both"/>
    </w:pPr>
    <w:rPr>
      <w:rFonts w:ascii="Calibri" w:eastAsia="Times New Roman" w:hAnsi="Calibri" w:cs="Arial"/>
      <w:kern w:val="0"/>
      <w:sz w:val="24"/>
      <w:szCs w:val="24"/>
      <w:lang w:eastAsia="en-AU"/>
      <w14:ligatures w14:val="none"/>
    </w:rPr>
  </w:style>
  <w:style w:type="paragraph" w:styleId="Heading1">
    <w:name w:val="heading 1"/>
    <w:basedOn w:val="Normal"/>
    <w:next w:val="Normal"/>
    <w:link w:val="Heading1Char"/>
    <w:uiPriority w:val="1"/>
    <w:rsid w:val="00A678CB"/>
    <w:pPr>
      <w:ind w:left="720" w:hanging="720"/>
      <w:outlineLvl w:val="0"/>
    </w:pPr>
    <w:rPr>
      <w:b/>
      <w:caps/>
      <w:sz w:val="32"/>
    </w:rPr>
  </w:style>
  <w:style w:type="paragraph" w:styleId="Heading2">
    <w:name w:val="heading 2"/>
    <w:basedOn w:val="Normal"/>
    <w:next w:val="Normal"/>
    <w:link w:val="Heading2Char"/>
    <w:rsid w:val="00A678CB"/>
    <w:pPr>
      <w:outlineLvl w:val="1"/>
    </w:pPr>
    <w:rPr>
      <w:b/>
      <w:i/>
      <w:sz w:val="28"/>
    </w:rPr>
  </w:style>
  <w:style w:type="paragraph" w:styleId="Heading3">
    <w:name w:val="heading 3"/>
    <w:basedOn w:val="Normal"/>
    <w:next w:val="Normal"/>
    <w:link w:val="Heading3Char"/>
    <w:rsid w:val="00A678CB"/>
    <w:pPr>
      <w:outlineLvl w:val="2"/>
    </w:pPr>
    <w:rPr>
      <w:u w:val="single"/>
    </w:rPr>
  </w:style>
  <w:style w:type="paragraph" w:styleId="Heading4">
    <w:name w:val="heading 4"/>
    <w:basedOn w:val="Normal"/>
    <w:next w:val="Normal"/>
    <w:link w:val="Heading4Char"/>
    <w:rsid w:val="00A678CB"/>
    <w:pPr>
      <w:keepNext/>
      <w:spacing w:before="240" w:after="60"/>
      <w:outlineLvl w:val="3"/>
    </w:pPr>
    <w:rPr>
      <w:b/>
      <w:bCs/>
      <w:i/>
      <w:sz w:val="26"/>
      <w:szCs w:val="28"/>
    </w:rPr>
  </w:style>
  <w:style w:type="paragraph" w:styleId="Heading5">
    <w:name w:val="heading 5"/>
    <w:basedOn w:val="Normal"/>
    <w:next w:val="Normal"/>
    <w:link w:val="Heading5Char"/>
    <w:rsid w:val="00A678CB"/>
    <w:pPr>
      <w:spacing w:before="240" w:after="60"/>
      <w:outlineLvl w:val="4"/>
    </w:pPr>
    <w:rPr>
      <w:b/>
      <w:bCs/>
      <w:iCs/>
      <w:sz w:val="26"/>
      <w:szCs w:val="26"/>
    </w:rPr>
  </w:style>
  <w:style w:type="paragraph" w:styleId="Heading6">
    <w:name w:val="heading 6"/>
    <w:basedOn w:val="Normal"/>
    <w:next w:val="Normal"/>
    <w:link w:val="Heading6Char"/>
    <w:rsid w:val="00A678CB"/>
    <w:pPr>
      <w:spacing w:before="240" w:after="60"/>
      <w:outlineLvl w:val="5"/>
    </w:pPr>
    <w:rPr>
      <w:b/>
      <w:bCs/>
      <w:i/>
    </w:rPr>
  </w:style>
  <w:style w:type="paragraph" w:styleId="Heading7">
    <w:name w:val="heading 7"/>
    <w:basedOn w:val="Normal"/>
    <w:next w:val="Normal"/>
    <w:link w:val="Heading7Char"/>
    <w:rsid w:val="00A678CB"/>
    <w:pPr>
      <w:keepNext/>
      <w:jc w:val="center"/>
      <w:outlineLvl w:val="6"/>
    </w:pPr>
    <w:rPr>
      <w:b/>
      <w:sz w:val="20"/>
    </w:rPr>
  </w:style>
  <w:style w:type="paragraph" w:styleId="Heading8">
    <w:name w:val="heading 8"/>
    <w:basedOn w:val="Normal"/>
    <w:next w:val="Normal"/>
    <w:link w:val="Heading8Char"/>
    <w:uiPriority w:val="7"/>
    <w:rsid w:val="00A678CB"/>
    <w:pPr>
      <w:keepNext/>
      <w:jc w:val="right"/>
      <w:outlineLvl w:val="7"/>
    </w:pPr>
    <w:rPr>
      <w:b/>
    </w:rPr>
  </w:style>
  <w:style w:type="paragraph" w:styleId="Heading9">
    <w:name w:val="heading 9"/>
    <w:basedOn w:val="Normal"/>
    <w:next w:val="Normal"/>
    <w:link w:val="Heading9Char"/>
    <w:rsid w:val="00A678CB"/>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678CB"/>
    <w:rPr>
      <w:rFonts w:ascii="Calibri" w:eastAsia="Times New Roman" w:hAnsi="Calibri" w:cs="Arial"/>
      <w:b/>
      <w:caps/>
      <w:kern w:val="0"/>
      <w:sz w:val="32"/>
      <w:szCs w:val="24"/>
      <w:lang w:eastAsia="en-AU"/>
      <w14:ligatures w14:val="none"/>
    </w:rPr>
  </w:style>
  <w:style w:type="character" w:customStyle="1" w:styleId="Heading2Char">
    <w:name w:val="Heading 2 Char"/>
    <w:basedOn w:val="DefaultParagraphFont"/>
    <w:link w:val="Heading2"/>
    <w:rsid w:val="00A678CB"/>
    <w:rPr>
      <w:rFonts w:ascii="Calibri" w:eastAsia="Times New Roman" w:hAnsi="Calibri" w:cs="Arial"/>
      <w:b/>
      <w:i/>
      <w:kern w:val="0"/>
      <w:sz w:val="28"/>
      <w:szCs w:val="24"/>
      <w:lang w:eastAsia="en-AU"/>
      <w14:ligatures w14:val="none"/>
    </w:rPr>
  </w:style>
  <w:style w:type="character" w:customStyle="1" w:styleId="Heading3Char">
    <w:name w:val="Heading 3 Char"/>
    <w:basedOn w:val="DefaultParagraphFont"/>
    <w:link w:val="Heading3"/>
    <w:rsid w:val="00A678CB"/>
    <w:rPr>
      <w:rFonts w:ascii="Calibri" w:eastAsia="Times New Roman" w:hAnsi="Calibri" w:cs="Arial"/>
      <w:kern w:val="0"/>
      <w:sz w:val="24"/>
      <w:szCs w:val="24"/>
      <w:u w:val="single"/>
      <w:lang w:eastAsia="en-AU"/>
      <w14:ligatures w14:val="none"/>
    </w:rPr>
  </w:style>
  <w:style w:type="character" w:customStyle="1" w:styleId="Heading4Char">
    <w:name w:val="Heading 4 Char"/>
    <w:basedOn w:val="DefaultParagraphFont"/>
    <w:link w:val="Heading4"/>
    <w:rsid w:val="00A678CB"/>
    <w:rPr>
      <w:rFonts w:ascii="Calibri" w:eastAsia="Times New Roman" w:hAnsi="Calibri" w:cs="Arial"/>
      <w:b/>
      <w:bCs/>
      <w:i/>
      <w:kern w:val="0"/>
      <w:sz w:val="26"/>
      <w:szCs w:val="28"/>
      <w:lang w:eastAsia="en-AU"/>
      <w14:ligatures w14:val="none"/>
    </w:rPr>
  </w:style>
  <w:style w:type="character" w:customStyle="1" w:styleId="Heading5Char">
    <w:name w:val="Heading 5 Char"/>
    <w:basedOn w:val="DefaultParagraphFont"/>
    <w:link w:val="Heading5"/>
    <w:rsid w:val="00A678CB"/>
    <w:rPr>
      <w:rFonts w:ascii="Calibri" w:eastAsia="Times New Roman" w:hAnsi="Calibri" w:cs="Arial"/>
      <w:b/>
      <w:bCs/>
      <w:iCs/>
      <w:kern w:val="0"/>
      <w:sz w:val="26"/>
      <w:szCs w:val="26"/>
      <w:lang w:eastAsia="en-AU"/>
      <w14:ligatures w14:val="none"/>
    </w:rPr>
  </w:style>
  <w:style w:type="character" w:customStyle="1" w:styleId="Heading6Char">
    <w:name w:val="Heading 6 Char"/>
    <w:basedOn w:val="DefaultParagraphFont"/>
    <w:link w:val="Heading6"/>
    <w:rsid w:val="00A678CB"/>
    <w:rPr>
      <w:rFonts w:ascii="Calibri" w:eastAsia="Times New Roman" w:hAnsi="Calibri" w:cs="Arial"/>
      <w:b/>
      <w:bCs/>
      <w:i/>
      <w:kern w:val="0"/>
      <w:sz w:val="24"/>
      <w:szCs w:val="24"/>
      <w:lang w:eastAsia="en-AU"/>
      <w14:ligatures w14:val="none"/>
    </w:rPr>
  </w:style>
  <w:style w:type="character" w:customStyle="1" w:styleId="Heading7Char">
    <w:name w:val="Heading 7 Char"/>
    <w:basedOn w:val="DefaultParagraphFont"/>
    <w:link w:val="Heading7"/>
    <w:rsid w:val="00A678CB"/>
    <w:rPr>
      <w:rFonts w:ascii="Calibri" w:eastAsia="Times New Roman" w:hAnsi="Calibri" w:cs="Arial"/>
      <w:b/>
      <w:kern w:val="0"/>
      <w:sz w:val="20"/>
      <w:szCs w:val="24"/>
      <w:lang w:eastAsia="en-AU"/>
      <w14:ligatures w14:val="none"/>
    </w:rPr>
  </w:style>
  <w:style w:type="character" w:customStyle="1" w:styleId="Heading8Char">
    <w:name w:val="Heading 8 Char"/>
    <w:basedOn w:val="DefaultParagraphFont"/>
    <w:link w:val="Heading8"/>
    <w:uiPriority w:val="7"/>
    <w:rsid w:val="00A678CB"/>
    <w:rPr>
      <w:rFonts w:ascii="Calibri" w:eastAsia="Times New Roman" w:hAnsi="Calibri" w:cs="Arial"/>
      <w:b/>
      <w:kern w:val="0"/>
      <w:sz w:val="24"/>
      <w:szCs w:val="24"/>
      <w:lang w:eastAsia="en-AU"/>
      <w14:ligatures w14:val="none"/>
    </w:rPr>
  </w:style>
  <w:style w:type="character" w:customStyle="1" w:styleId="Heading9Char">
    <w:name w:val="Heading 9 Char"/>
    <w:basedOn w:val="DefaultParagraphFont"/>
    <w:link w:val="Heading9"/>
    <w:rsid w:val="00A678CB"/>
    <w:rPr>
      <w:rFonts w:ascii="Calibri" w:eastAsia="Times New Roman" w:hAnsi="Calibri" w:cs="Arial"/>
      <w:b/>
      <w:color w:val="000000"/>
      <w:kern w:val="0"/>
      <w:sz w:val="20"/>
      <w:szCs w:val="24"/>
      <w:lang w:eastAsia="en-AU"/>
      <w14:ligatures w14:val="none"/>
    </w:rPr>
  </w:style>
  <w:style w:type="paragraph" w:customStyle="1" w:styleId="TableFooter">
    <w:name w:val="Table Footer"/>
    <w:basedOn w:val="Normal"/>
    <w:link w:val="TableFooterChar"/>
    <w:rsid w:val="00A678CB"/>
    <w:rPr>
      <w:rFonts w:ascii="Arial Narrow" w:hAnsi="Arial Narrow"/>
      <w:sz w:val="18"/>
    </w:rPr>
  </w:style>
  <w:style w:type="character" w:customStyle="1" w:styleId="TableFooterChar">
    <w:name w:val="Table Footer Char"/>
    <w:link w:val="TableFooter"/>
    <w:rsid w:val="00A678CB"/>
    <w:rPr>
      <w:rFonts w:ascii="Arial Narrow" w:eastAsia="Times New Roman" w:hAnsi="Arial Narrow" w:cs="Arial"/>
      <w:kern w:val="0"/>
      <w:sz w:val="18"/>
      <w:szCs w:val="24"/>
      <w:lang w:eastAsia="en-AU"/>
      <w14:ligatures w14:val="none"/>
    </w:rPr>
  </w:style>
  <w:style w:type="paragraph" w:customStyle="1" w:styleId="TableHeader">
    <w:name w:val="Table Header"/>
    <w:basedOn w:val="Normal"/>
    <w:uiPriority w:val="3"/>
    <w:rsid w:val="00A678CB"/>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A678CB"/>
    <w:pPr>
      <w:keepNext/>
      <w:keepLines/>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qFormat/>
    <w:rsid w:val="00A678CB"/>
    <w:rPr>
      <w:rFonts w:ascii="Arial Narrow" w:eastAsia="Times New Roman" w:hAnsi="Arial Narrow" w:cs="Arial"/>
      <w:b/>
      <w:bCs/>
      <w:kern w:val="0"/>
      <w:sz w:val="20"/>
      <w:szCs w:val="18"/>
      <w:lang w:eastAsia="en-AU"/>
      <w14:ligatures w14:val="none"/>
    </w:rPr>
  </w:style>
  <w:style w:type="paragraph" w:styleId="Title">
    <w:name w:val="Title"/>
    <w:basedOn w:val="Normal"/>
    <w:next w:val="Normal"/>
    <w:link w:val="TitleChar"/>
    <w:rsid w:val="00A678CB"/>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A678CB"/>
    <w:rPr>
      <w:rFonts w:ascii="Cambria" w:eastAsia="Times New Roman" w:hAnsi="Cambria" w:cs="Arial"/>
      <w:b/>
      <w:bCs/>
      <w:kern w:val="28"/>
      <w:sz w:val="32"/>
      <w:szCs w:val="32"/>
      <w:lang w:eastAsia="en-AU"/>
      <w14:ligatures w14:val="none"/>
    </w:rPr>
  </w:style>
  <w:style w:type="paragraph" w:styleId="BodyText">
    <w:name w:val="Body Text"/>
    <w:basedOn w:val="Normal"/>
    <w:link w:val="BodyTextChar"/>
    <w:rsid w:val="00A678CB"/>
    <w:pPr>
      <w:jc w:val="left"/>
    </w:pPr>
  </w:style>
  <w:style w:type="character" w:customStyle="1" w:styleId="BodyTextChar">
    <w:name w:val="Body Text Char"/>
    <w:basedOn w:val="DefaultParagraphFont"/>
    <w:link w:val="BodyText"/>
    <w:rsid w:val="00A678CB"/>
    <w:rPr>
      <w:rFonts w:ascii="Calibri" w:eastAsia="Times New Roman" w:hAnsi="Calibri" w:cs="Arial"/>
      <w:kern w:val="0"/>
      <w:sz w:val="24"/>
      <w:szCs w:val="24"/>
      <w:lang w:eastAsia="en-AU"/>
      <w14:ligatures w14:val="none"/>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lp1"/>
    <w:next w:val="ListBullet"/>
    <w:link w:val="ListParagraphChar"/>
    <w:uiPriority w:val="34"/>
    <w:qFormat/>
    <w:rsid w:val="00A678CB"/>
    <w:pPr>
      <w:spacing w:after="120" w:line="240" w:lineRule="auto"/>
      <w:jc w:val="both"/>
    </w:pPr>
    <w:rPr>
      <w:rFonts w:eastAsia="Times New Roman" w:cs="Arial"/>
      <w:snapToGrid w:val="0"/>
      <w:kern w:val="0"/>
      <w:sz w:val="24"/>
      <w:szCs w:val="24"/>
      <w:lang w:eastAsia="en-AU"/>
      <w14:ligatures w14:val="none"/>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p1 Char"/>
    <w:basedOn w:val="DefaultParagraphFont"/>
    <w:link w:val="ListParagraph"/>
    <w:uiPriority w:val="34"/>
    <w:qFormat/>
    <w:locked/>
    <w:rsid w:val="00A678CB"/>
    <w:rPr>
      <w:rFonts w:eastAsia="Times New Roman" w:cs="Arial"/>
      <w:snapToGrid w:val="0"/>
      <w:kern w:val="0"/>
      <w:sz w:val="24"/>
      <w:szCs w:val="24"/>
      <w:lang w:eastAsia="en-AU"/>
      <w14:ligatures w14:val="none"/>
    </w:rPr>
  </w:style>
  <w:style w:type="paragraph" w:customStyle="1" w:styleId="RegularText">
    <w:name w:val="Regular Text"/>
    <w:basedOn w:val="BodyText"/>
    <w:link w:val="RegularTextChar"/>
    <w:rsid w:val="00A678CB"/>
    <w:rPr>
      <w:b/>
    </w:rPr>
  </w:style>
  <w:style w:type="character" w:customStyle="1" w:styleId="RegularTextChar">
    <w:name w:val="Regular Text Char"/>
    <w:basedOn w:val="BodyTextChar"/>
    <w:link w:val="RegularText"/>
    <w:rsid w:val="00A678CB"/>
    <w:rPr>
      <w:rFonts w:ascii="Calibri" w:eastAsia="Times New Roman" w:hAnsi="Calibri" w:cs="Arial"/>
      <w:b/>
      <w:kern w:val="0"/>
      <w:sz w:val="24"/>
      <w:szCs w:val="24"/>
      <w:lang w:eastAsia="en-AU"/>
      <w14:ligatures w14:val="none"/>
    </w:rPr>
  </w:style>
  <w:style w:type="paragraph" w:styleId="NoSpacing">
    <w:name w:val="No Spacing"/>
    <w:uiPriority w:val="1"/>
    <w:rsid w:val="00A678CB"/>
    <w:pPr>
      <w:widowControl w:val="0"/>
      <w:spacing w:after="0" w:line="240" w:lineRule="auto"/>
      <w:jc w:val="both"/>
    </w:pPr>
    <w:rPr>
      <w:rFonts w:ascii="Arial" w:eastAsia="Times New Roman" w:hAnsi="Arial" w:cs="Arial"/>
      <w:snapToGrid w:val="0"/>
      <w:kern w:val="0"/>
      <w:szCs w:val="20"/>
      <w14:ligatures w14:val="none"/>
    </w:rPr>
  </w:style>
  <w:style w:type="paragraph" w:styleId="Header">
    <w:name w:val="header"/>
    <w:aliases w:val="Page Header,Header title,he=header,cntr/bld"/>
    <w:basedOn w:val="Normal"/>
    <w:link w:val="HeaderChar"/>
    <w:qFormat/>
    <w:rsid w:val="00A678CB"/>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A678CB"/>
    <w:rPr>
      <w:rFonts w:ascii="Calibri" w:eastAsia="Times New Roman" w:hAnsi="Calibri" w:cs="Arial"/>
      <w:kern w:val="0"/>
      <w:sz w:val="24"/>
      <w:szCs w:val="24"/>
      <w:lang w:eastAsia="en-AU"/>
      <w14:ligatures w14:val="none"/>
    </w:rPr>
  </w:style>
  <w:style w:type="paragraph" w:styleId="Footer">
    <w:name w:val="footer"/>
    <w:basedOn w:val="Normal"/>
    <w:link w:val="FooterChar"/>
    <w:uiPriority w:val="99"/>
    <w:rsid w:val="00A678CB"/>
    <w:pPr>
      <w:tabs>
        <w:tab w:val="center" w:pos="4513"/>
        <w:tab w:val="right" w:pos="9026"/>
      </w:tabs>
    </w:pPr>
  </w:style>
  <w:style w:type="character" w:customStyle="1" w:styleId="FooterChar">
    <w:name w:val="Footer Char"/>
    <w:basedOn w:val="DefaultParagraphFont"/>
    <w:link w:val="Footer"/>
    <w:uiPriority w:val="99"/>
    <w:rsid w:val="00A678CB"/>
    <w:rPr>
      <w:rFonts w:ascii="Calibri" w:eastAsia="Times New Roman" w:hAnsi="Calibri" w:cs="Arial"/>
      <w:kern w:val="0"/>
      <w:sz w:val="24"/>
      <w:szCs w:val="24"/>
      <w:lang w:eastAsia="en-AU"/>
      <w14:ligatures w14:val="none"/>
    </w:rPr>
  </w:style>
  <w:style w:type="table" w:styleId="TableGrid">
    <w:name w:val="Table Grid"/>
    <w:aliases w:val="Summary box,Table Gridbeth,CMA Table Template,ASD Table,RTI AMCP Table,new style,PBAC table,HTAtableplain,MSD Table Grid,Dossier table,Summary Table,PHE Table Grid,Lash Style Table,Section 3- footnotes"/>
    <w:basedOn w:val="TableNormal"/>
    <w:uiPriority w:val="59"/>
    <w:rsid w:val="00A678CB"/>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Table HEADER PBAC,-H18,Annotationmark"/>
    <w:qFormat/>
    <w:rsid w:val="00A678CB"/>
    <w:rPr>
      <w:rFonts w:ascii="Arial Narrow" w:hAnsi="Arial Narrow"/>
      <w:b/>
      <w:sz w:val="20"/>
      <w:szCs w:val="16"/>
    </w:rPr>
  </w:style>
  <w:style w:type="paragraph" w:customStyle="1" w:styleId="Tabletext">
    <w:name w:val="Table text"/>
    <w:basedOn w:val="Normal"/>
    <w:link w:val="TabletextChar"/>
    <w:rsid w:val="00A678CB"/>
    <w:pPr>
      <w:jc w:val="left"/>
    </w:pPr>
    <w:rPr>
      <w:rFonts w:ascii="Arial Narrow" w:hAnsi="Arial Narrow" w:cs="Times New Roman"/>
      <w:snapToGrid w:val="0"/>
      <w:sz w:val="20"/>
    </w:rPr>
  </w:style>
  <w:style w:type="character" w:customStyle="1" w:styleId="TabletextChar">
    <w:name w:val="Table text Char"/>
    <w:link w:val="Tabletext"/>
    <w:rsid w:val="00A678CB"/>
    <w:rPr>
      <w:rFonts w:ascii="Arial Narrow" w:eastAsia="Times New Roman" w:hAnsi="Arial Narrow" w:cs="Times New Roman"/>
      <w:snapToGrid w:val="0"/>
      <w:kern w:val="0"/>
      <w:sz w:val="20"/>
      <w:szCs w:val="24"/>
      <w:lang w:eastAsia="en-AU"/>
      <w14:ligatures w14:val="none"/>
    </w:rPr>
  </w:style>
  <w:style w:type="paragraph" w:customStyle="1" w:styleId="TableHeading">
    <w:name w:val="TableHeading"/>
    <w:basedOn w:val="Normal"/>
    <w:rsid w:val="00A678CB"/>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A678CB"/>
    <w:pPr>
      <w:jc w:val="both"/>
    </w:pPr>
    <w:rPr>
      <w:rFonts w:ascii="Times" w:hAnsi="Times" w:cs="Times New Roman"/>
      <w:snapToGrid w:val="0"/>
      <w:lang w:val="en-US"/>
    </w:rPr>
  </w:style>
  <w:style w:type="paragraph" w:styleId="NormalWeb">
    <w:name w:val="Normal (Web)"/>
    <w:basedOn w:val="Normal"/>
    <w:uiPriority w:val="99"/>
    <w:rsid w:val="00A678C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A678C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4B3DE6"/>
    <w:pPr>
      <w:tabs>
        <w:tab w:val="left" w:pos="440"/>
        <w:tab w:val="right" w:leader="dot" w:pos="9016"/>
      </w:tabs>
      <w:spacing w:after="120"/>
      <w:jc w:val="left"/>
    </w:pPr>
    <w:rPr>
      <w:bCs/>
      <w:noProof/>
      <w:sz w:val="20"/>
    </w:rPr>
  </w:style>
  <w:style w:type="character" w:styleId="Hyperlink">
    <w:name w:val="Hyperlink"/>
    <w:basedOn w:val="DefaultParagraphFont"/>
    <w:uiPriority w:val="99"/>
    <w:unhideWhenUsed/>
    <w:rsid w:val="00A678CB"/>
    <w:rPr>
      <w:color w:val="0563C1" w:themeColor="hyperlink"/>
      <w:u w:val="single"/>
    </w:rPr>
  </w:style>
  <w:style w:type="paragraph" w:styleId="TOCHeading">
    <w:name w:val="TOC Heading"/>
    <w:basedOn w:val="Heading1"/>
    <w:next w:val="Normal"/>
    <w:uiPriority w:val="39"/>
    <w:unhideWhenUsed/>
    <w:rsid w:val="00A678CB"/>
    <w:pPr>
      <w:keepNext/>
      <w:keepLines/>
      <w:spacing w:before="480" w:line="276" w:lineRule="auto"/>
      <w:ind w:left="0" w:firstLine="0"/>
      <w:jc w:val="left"/>
      <w:outlineLvl w:val="9"/>
    </w:pPr>
    <w:rPr>
      <w:rFonts w:asciiTheme="majorHAnsi" w:eastAsiaTheme="majorEastAsia" w:hAnsiTheme="majorHAnsi" w:cstheme="majorBidi"/>
      <w:bCs/>
      <w:snapToGrid w:val="0"/>
      <w:color w:val="2F5496" w:themeColor="accent1" w:themeShade="BF"/>
      <w:sz w:val="28"/>
      <w:szCs w:val="28"/>
      <w:lang w:val="en-US" w:eastAsia="ja-JP"/>
    </w:rPr>
  </w:style>
  <w:style w:type="paragraph" w:styleId="TOC3">
    <w:name w:val="toc 3"/>
    <w:basedOn w:val="Normal"/>
    <w:next w:val="Normal"/>
    <w:autoRedefine/>
    <w:uiPriority w:val="39"/>
    <w:unhideWhenUsed/>
    <w:rsid w:val="00A678CB"/>
    <w:pPr>
      <w:ind w:left="440"/>
      <w:jc w:val="left"/>
    </w:pPr>
    <w:rPr>
      <w:rFonts w:asciiTheme="minorHAnsi" w:hAnsiTheme="minorHAnsi"/>
      <w:sz w:val="20"/>
    </w:rPr>
  </w:style>
  <w:style w:type="paragraph" w:styleId="TOC4">
    <w:name w:val="toc 4"/>
    <w:basedOn w:val="Normal"/>
    <w:next w:val="Normal"/>
    <w:autoRedefine/>
    <w:rsid w:val="00A678CB"/>
    <w:pPr>
      <w:ind w:left="660"/>
      <w:jc w:val="left"/>
    </w:pPr>
    <w:rPr>
      <w:rFonts w:asciiTheme="minorHAnsi" w:hAnsiTheme="minorHAnsi"/>
      <w:sz w:val="20"/>
    </w:rPr>
  </w:style>
  <w:style w:type="paragraph" w:styleId="TOC5">
    <w:name w:val="toc 5"/>
    <w:basedOn w:val="Normal"/>
    <w:next w:val="Normal"/>
    <w:autoRedefine/>
    <w:rsid w:val="00A678CB"/>
    <w:pPr>
      <w:ind w:left="880"/>
      <w:jc w:val="left"/>
    </w:pPr>
    <w:rPr>
      <w:rFonts w:asciiTheme="minorHAnsi" w:hAnsiTheme="minorHAnsi"/>
      <w:sz w:val="20"/>
    </w:rPr>
  </w:style>
  <w:style w:type="paragraph" w:styleId="TOC6">
    <w:name w:val="toc 6"/>
    <w:basedOn w:val="Normal"/>
    <w:next w:val="Normal"/>
    <w:autoRedefine/>
    <w:rsid w:val="00A678CB"/>
    <w:pPr>
      <w:ind w:left="1100"/>
      <w:jc w:val="left"/>
    </w:pPr>
    <w:rPr>
      <w:rFonts w:asciiTheme="minorHAnsi" w:hAnsiTheme="minorHAnsi"/>
      <w:sz w:val="20"/>
    </w:rPr>
  </w:style>
  <w:style w:type="paragraph" w:styleId="TOC7">
    <w:name w:val="toc 7"/>
    <w:basedOn w:val="Normal"/>
    <w:next w:val="Normal"/>
    <w:autoRedefine/>
    <w:rsid w:val="00A678CB"/>
    <w:pPr>
      <w:ind w:left="1320"/>
      <w:jc w:val="left"/>
    </w:pPr>
    <w:rPr>
      <w:rFonts w:asciiTheme="minorHAnsi" w:hAnsiTheme="minorHAnsi"/>
      <w:sz w:val="20"/>
    </w:rPr>
  </w:style>
  <w:style w:type="paragraph" w:styleId="TOC8">
    <w:name w:val="toc 8"/>
    <w:basedOn w:val="Normal"/>
    <w:next w:val="Normal"/>
    <w:autoRedefine/>
    <w:rsid w:val="00A678CB"/>
    <w:pPr>
      <w:ind w:left="1540"/>
      <w:jc w:val="left"/>
    </w:pPr>
    <w:rPr>
      <w:rFonts w:asciiTheme="minorHAnsi" w:hAnsiTheme="minorHAnsi"/>
      <w:sz w:val="20"/>
    </w:rPr>
  </w:style>
  <w:style w:type="paragraph" w:styleId="TOC9">
    <w:name w:val="toc 9"/>
    <w:basedOn w:val="Normal"/>
    <w:next w:val="Normal"/>
    <w:autoRedefine/>
    <w:rsid w:val="00A678CB"/>
    <w:pPr>
      <w:ind w:left="1760"/>
      <w:jc w:val="left"/>
    </w:pPr>
    <w:rPr>
      <w:rFonts w:asciiTheme="minorHAnsi" w:hAnsiTheme="minorHAnsi"/>
      <w:sz w:val="20"/>
    </w:rPr>
  </w:style>
  <w:style w:type="paragraph" w:styleId="CommentText">
    <w:name w:val="annotation text"/>
    <w:aliases w:val="- H19,Annotationtext,Char, Char,Char1,Char2,Comment Text Char1 Char,Comment Text Char Char Char,list paragraph 2,Comment Text ZS,Comment Text Char Char,Comment Text Char2 Char,Comment Text Char Char1 Char, Car17, Car17 Car,Char Char Char"/>
    <w:basedOn w:val="Normal"/>
    <w:link w:val="CommentTextChar"/>
    <w:qFormat/>
    <w:rsid w:val="00A678CB"/>
    <w:rPr>
      <w:rFonts w:ascii="Times New Roman" w:hAnsi="Times New Roman" w:cs="Times New Roman"/>
      <w:sz w:val="20"/>
    </w:rPr>
  </w:style>
  <w:style w:type="character" w:customStyle="1" w:styleId="CommentTextChar">
    <w:name w:val="Comment Text Char"/>
    <w:aliases w:val="- H19 Char,Annotationtext Char,Char Char, Char Char,Char1 Char,Char2 Char,Comment Text Char1 Char Char,Comment Text Char Char Char Char,list paragraph 2 Char,Comment Text ZS Char,Comment Text Char Char Char1, Car17 Char, Car17 Car Char"/>
    <w:basedOn w:val="DefaultParagraphFont"/>
    <w:link w:val="CommentText"/>
    <w:uiPriority w:val="99"/>
    <w:rsid w:val="00A678CB"/>
    <w:rPr>
      <w:rFonts w:ascii="Times New Roman" w:eastAsia="Times New Roman" w:hAnsi="Times New Roman" w:cs="Times New Roman"/>
      <w:kern w:val="0"/>
      <w:sz w:val="20"/>
      <w:szCs w:val="24"/>
      <w:lang w:eastAsia="en-AU"/>
      <w14:ligatures w14:val="none"/>
    </w:rPr>
  </w:style>
  <w:style w:type="paragraph" w:customStyle="1" w:styleId="Bulletpoints">
    <w:name w:val="Bullet points"/>
    <w:basedOn w:val="ListParagraph"/>
    <w:rsid w:val="00A678CB"/>
    <w:pPr>
      <w:numPr>
        <w:numId w:val="2"/>
      </w:numPr>
      <w:contextualSpacing/>
    </w:pPr>
  </w:style>
  <w:style w:type="paragraph" w:customStyle="1" w:styleId="TableName">
    <w:name w:val="TableName"/>
    <w:basedOn w:val="Normal"/>
    <w:rsid w:val="00A678CB"/>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A678CB"/>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A678CB"/>
    <w:pPr>
      <w:keepNext/>
      <w:spacing w:after="0"/>
    </w:pPr>
  </w:style>
  <w:style w:type="paragraph" w:styleId="CommentSubject">
    <w:name w:val="annotation subject"/>
    <w:basedOn w:val="CommentText"/>
    <w:next w:val="CommentText"/>
    <w:link w:val="CommentSubjectChar"/>
    <w:rsid w:val="00A678CB"/>
    <w:rPr>
      <w:rFonts w:ascii="Arial" w:hAnsi="Arial" w:cs="Arial"/>
      <w:b/>
      <w:bCs/>
    </w:rPr>
  </w:style>
  <w:style w:type="character" w:customStyle="1" w:styleId="CommentSubjectChar">
    <w:name w:val="Comment Subject Char"/>
    <w:basedOn w:val="CommentTextChar"/>
    <w:link w:val="CommentSubject"/>
    <w:rsid w:val="00A678CB"/>
    <w:rPr>
      <w:rFonts w:ascii="Arial" w:eastAsia="Times New Roman" w:hAnsi="Arial" w:cs="Arial"/>
      <w:b/>
      <w:bCs/>
      <w:kern w:val="0"/>
      <w:sz w:val="20"/>
      <w:szCs w:val="24"/>
      <w:lang w:eastAsia="en-AU"/>
      <w14:ligatures w14:val="none"/>
    </w:rPr>
  </w:style>
  <w:style w:type="paragraph" w:styleId="Revision">
    <w:name w:val="Revision"/>
    <w:hidden/>
    <w:uiPriority w:val="99"/>
    <w:semiHidden/>
    <w:rsid w:val="00A678CB"/>
    <w:pPr>
      <w:spacing w:after="0" w:line="240" w:lineRule="auto"/>
    </w:pPr>
    <w:rPr>
      <w:rFonts w:ascii="Arial" w:eastAsia="Times New Roman" w:hAnsi="Arial" w:cs="Arial"/>
      <w:snapToGrid w:val="0"/>
      <w:kern w:val="0"/>
      <w:szCs w:val="20"/>
      <w14:ligatures w14:val="none"/>
    </w:rPr>
  </w:style>
  <w:style w:type="paragraph" w:styleId="BodyTextIndent">
    <w:name w:val="Body Text Indent"/>
    <w:basedOn w:val="Normal"/>
    <w:link w:val="BodyTextIndentChar"/>
    <w:rsid w:val="00A678CB"/>
    <w:pPr>
      <w:spacing w:after="120"/>
      <w:ind w:left="283"/>
    </w:pPr>
  </w:style>
  <w:style w:type="character" w:customStyle="1" w:styleId="BodyTextIndentChar">
    <w:name w:val="Body Text Indent Char"/>
    <w:basedOn w:val="DefaultParagraphFont"/>
    <w:link w:val="BodyTextIndent"/>
    <w:rsid w:val="00A678CB"/>
    <w:rPr>
      <w:rFonts w:ascii="Calibri" w:eastAsia="Times New Roman" w:hAnsi="Calibri" w:cs="Arial"/>
      <w:kern w:val="0"/>
      <w:sz w:val="24"/>
      <w:szCs w:val="24"/>
      <w:lang w:eastAsia="en-AU"/>
      <w14:ligatures w14:val="none"/>
    </w:rPr>
  </w:style>
  <w:style w:type="paragraph" w:customStyle="1" w:styleId="Char1CharCharChar">
    <w:name w:val="Char1 Char Char Char"/>
    <w:basedOn w:val="Normal"/>
    <w:rsid w:val="00A678CB"/>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A678CB"/>
  </w:style>
  <w:style w:type="paragraph" w:styleId="Subtitle">
    <w:name w:val="Subtitle"/>
    <w:basedOn w:val="Normal"/>
    <w:link w:val="SubtitleChar"/>
    <w:rsid w:val="00A678CB"/>
    <w:rPr>
      <w:rFonts w:asciiTheme="minorHAnsi" w:eastAsiaTheme="minorHAnsi" w:hAnsiTheme="minorHAnsi" w:cstheme="minorBidi"/>
      <w:kern w:val="2"/>
      <w:sz w:val="22"/>
      <w:szCs w:val="22"/>
      <w:lang w:eastAsia="en-US"/>
      <w14:ligatures w14:val="standardContextual"/>
    </w:rPr>
  </w:style>
  <w:style w:type="character" w:customStyle="1" w:styleId="SubtitleChar1">
    <w:name w:val="Subtitle Char1"/>
    <w:basedOn w:val="DefaultParagraphFont"/>
    <w:rsid w:val="00A678CB"/>
    <w:rPr>
      <w:rFonts w:eastAsiaTheme="minorEastAsia"/>
      <w:color w:val="5A5A5A" w:themeColor="text1" w:themeTint="A5"/>
      <w:spacing w:val="15"/>
      <w:kern w:val="0"/>
      <w:lang w:eastAsia="en-AU"/>
      <w14:ligatures w14:val="none"/>
    </w:rPr>
  </w:style>
  <w:style w:type="paragraph" w:customStyle="1" w:styleId="PBACHeading1">
    <w:name w:val="PBAC Heading 1"/>
    <w:qFormat/>
    <w:rsid w:val="00A678CB"/>
    <w:pPr>
      <w:spacing w:after="0" w:line="240" w:lineRule="auto"/>
      <w:outlineLvl w:val="0"/>
    </w:pPr>
    <w:rPr>
      <w:rFonts w:ascii="Calibri" w:eastAsia="Times New Roman" w:hAnsi="Calibri" w:cs="Arial"/>
      <w:b/>
      <w:snapToGrid w:val="0"/>
      <w:kern w:val="0"/>
      <w:sz w:val="32"/>
      <w14:ligatures w14:val="none"/>
    </w:rPr>
  </w:style>
  <w:style w:type="table" w:customStyle="1" w:styleId="PlainTable21">
    <w:name w:val="Plain Table 21"/>
    <w:basedOn w:val="TableNormal"/>
    <w:uiPriority w:val="42"/>
    <w:rsid w:val="00A678CB"/>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A678CB"/>
    <w:rPr>
      <w:color w:val="954F72" w:themeColor="followedHyperlink"/>
      <w:u w:val="single"/>
    </w:rPr>
  </w:style>
  <w:style w:type="character" w:styleId="PageNumber">
    <w:name w:val="page number"/>
    <w:basedOn w:val="DefaultParagraphFont"/>
    <w:semiHidden/>
    <w:unhideWhenUsed/>
    <w:rsid w:val="00A678CB"/>
  </w:style>
  <w:style w:type="paragraph" w:customStyle="1" w:styleId="Commentitalics">
    <w:name w:val="Comment (italics)"/>
    <w:basedOn w:val="Normal"/>
    <w:next w:val="Normal"/>
    <w:rsid w:val="00A678CB"/>
    <w:rPr>
      <w:i/>
    </w:rPr>
  </w:style>
  <w:style w:type="paragraph" w:styleId="BalloonText">
    <w:name w:val="Balloon Text"/>
    <w:basedOn w:val="Normal"/>
    <w:link w:val="BalloonTextChar"/>
    <w:semiHidden/>
    <w:unhideWhenUsed/>
    <w:rsid w:val="00A678CB"/>
    <w:rPr>
      <w:rFonts w:ascii="Tahoma" w:hAnsi="Tahoma" w:cs="Tahoma"/>
      <w:sz w:val="16"/>
      <w:szCs w:val="16"/>
    </w:rPr>
  </w:style>
  <w:style w:type="character" w:customStyle="1" w:styleId="BalloonTextChar">
    <w:name w:val="Balloon Text Char"/>
    <w:basedOn w:val="DefaultParagraphFont"/>
    <w:link w:val="BalloonText"/>
    <w:semiHidden/>
    <w:rsid w:val="00A678CB"/>
    <w:rPr>
      <w:rFonts w:ascii="Tahoma" w:eastAsia="Times New Roman" w:hAnsi="Tahoma" w:cs="Tahoma"/>
      <w:kern w:val="0"/>
      <w:sz w:val="16"/>
      <w:szCs w:val="16"/>
      <w:lang w:eastAsia="en-AU"/>
      <w14:ligatures w14:val="none"/>
    </w:rPr>
  </w:style>
  <w:style w:type="paragraph" w:customStyle="1" w:styleId="TableText0">
    <w:name w:val="Table Text"/>
    <w:link w:val="TableTextChar0"/>
    <w:qFormat/>
    <w:rsid w:val="00A678CB"/>
    <w:pPr>
      <w:keepNext/>
      <w:spacing w:after="0" w:line="240" w:lineRule="auto"/>
    </w:pPr>
    <w:rPr>
      <w:rFonts w:ascii="Arial Narrow" w:eastAsiaTheme="majorEastAsia" w:hAnsi="Arial Narrow" w:cstheme="majorBidi"/>
      <w:bCs/>
      <w:kern w:val="0"/>
      <w:sz w:val="20"/>
      <w:szCs w:val="24"/>
      <w:lang w:eastAsia="en-AU"/>
      <w14:ligatures w14:val="none"/>
    </w:rPr>
  </w:style>
  <w:style w:type="paragraph" w:customStyle="1" w:styleId="V50Tablename">
    <w:name w:val="V5.0 Table name"/>
    <w:basedOn w:val="Normal"/>
    <w:link w:val="V50TablenameChar"/>
    <w:rsid w:val="00A678CB"/>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A678CB"/>
    <w:rPr>
      <w:b/>
      <w:snapToGrid w:val="0"/>
      <w:kern w:val="0"/>
      <w:sz w:val="20"/>
      <w:szCs w:val="24"/>
      <w:lang w:val="en-US" w:eastAsia="en-AU"/>
      <w14:ligatures w14:val="none"/>
    </w:rPr>
  </w:style>
  <w:style w:type="paragraph" w:customStyle="1" w:styleId="GeneralHeading">
    <w:name w:val="General Heading"/>
    <w:qFormat/>
    <w:rsid w:val="00A678CB"/>
    <w:pPr>
      <w:keepNext/>
      <w:spacing w:before="120" w:after="120" w:line="240" w:lineRule="auto"/>
      <w:ind w:left="720" w:hanging="720"/>
      <w:outlineLvl w:val="0"/>
    </w:pPr>
    <w:rPr>
      <w:rFonts w:ascii="Calibri" w:eastAsia="Times New Roman" w:hAnsi="Calibri" w:cs="Arial"/>
      <w:b/>
      <w:snapToGrid w:val="0"/>
      <w:kern w:val="0"/>
      <w:sz w:val="28"/>
      <w:lang w:eastAsia="en-AU"/>
      <w14:ligatures w14:val="none"/>
    </w:rPr>
  </w:style>
  <w:style w:type="paragraph" w:customStyle="1" w:styleId="In-tableHeading">
    <w:name w:val="In-table Heading"/>
    <w:qFormat/>
    <w:rsid w:val="00A678CB"/>
    <w:pPr>
      <w:keepNext/>
      <w:spacing w:after="0" w:line="240" w:lineRule="auto"/>
    </w:pPr>
    <w:rPr>
      <w:rFonts w:ascii="Arial Narrow" w:eastAsiaTheme="majorEastAsia" w:hAnsi="Arial Narrow" w:cs="Times New Roman"/>
      <w:b/>
      <w:kern w:val="0"/>
      <w:sz w:val="20"/>
      <w:szCs w:val="24"/>
      <w:lang w:val="en-US" w:eastAsia="en-AU"/>
      <w14:ligatures w14:val="none"/>
    </w:rPr>
  </w:style>
  <w:style w:type="paragraph" w:customStyle="1" w:styleId="2-SectionHeading">
    <w:name w:val="2-Section Heading"/>
    <w:qFormat/>
    <w:rsid w:val="00A678CB"/>
    <w:pPr>
      <w:keepNext/>
      <w:numPr>
        <w:numId w:val="4"/>
      </w:numPr>
      <w:spacing w:before="240" w:after="120" w:line="240" w:lineRule="auto"/>
      <w:outlineLvl w:val="0"/>
    </w:pPr>
    <w:rPr>
      <w:rFonts w:eastAsia="Times New Roman" w:cs="Arial"/>
      <w:b/>
      <w:snapToGrid w:val="0"/>
      <w:kern w:val="0"/>
      <w:sz w:val="32"/>
      <w:szCs w:val="32"/>
      <w:lang w:eastAsia="en-AU"/>
      <w14:ligatures w14:val="none"/>
    </w:rPr>
  </w:style>
  <w:style w:type="paragraph" w:customStyle="1" w:styleId="1-MainHeading">
    <w:name w:val="1-Main Heading"/>
    <w:link w:val="1-MainHeadingChar"/>
    <w:qFormat/>
    <w:rsid w:val="00A678CB"/>
    <w:pPr>
      <w:keepNext/>
      <w:spacing w:before="120" w:line="240" w:lineRule="auto"/>
      <w:ind w:left="720" w:hanging="720"/>
      <w:outlineLvl w:val="0"/>
    </w:pPr>
    <w:rPr>
      <w:rFonts w:eastAsiaTheme="majorEastAsia" w:cstheme="majorBidi"/>
      <w:b/>
      <w:spacing w:val="5"/>
      <w:kern w:val="28"/>
      <w:sz w:val="36"/>
      <w:szCs w:val="36"/>
      <w:lang w:eastAsia="en-AU"/>
      <w14:ligatures w14:val="none"/>
    </w:rPr>
  </w:style>
  <w:style w:type="character" w:customStyle="1" w:styleId="1-MainHeadingChar">
    <w:name w:val="1-Main Heading Char"/>
    <w:basedOn w:val="DefaultParagraphFont"/>
    <w:link w:val="1-MainHeading"/>
    <w:rsid w:val="00A678CB"/>
    <w:rPr>
      <w:rFonts w:eastAsiaTheme="majorEastAsia" w:cstheme="majorBidi"/>
      <w:b/>
      <w:spacing w:val="5"/>
      <w:kern w:val="28"/>
      <w:sz w:val="36"/>
      <w:szCs w:val="36"/>
      <w:lang w:eastAsia="en-AU"/>
      <w14:ligatures w14:val="none"/>
    </w:rPr>
  </w:style>
  <w:style w:type="paragraph" w:customStyle="1" w:styleId="TableFigureHeading">
    <w:name w:val="Table/Figure Heading"/>
    <w:next w:val="In-tableHeading"/>
    <w:link w:val="TableFigureHeadingChar"/>
    <w:qFormat/>
    <w:rsid w:val="00A678CB"/>
    <w:pPr>
      <w:keepNext/>
      <w:spacing w:after="0" w:line="240" w:lineRule="auto"/>
    </w:pPr>
    <w:rPr>
      <w:rFonts w:ascii="Arial Narrow" w:eastAsiaTheme="majorEastAsia" w:hAnsi="Arial Narrow" w:cstheme="majorBidi"/>
      <w:b/>
      <w:bCs/>
      <w:kern w:val="0"/>
      <w:sz w:val="20"/>
      <w:szCs w:val="24"/>
      <w:lang w:eastAsia="en-AU"/>
      <w14:ligatures w14:val="none"/>
    </w:rPr>
  </w:style>
  <w:style w:type="character" w:customStyle="1" w:styleId="TableFigureHeadingChar">
    <w:name w:val="Table/Figure Heading Char"/>
    <w:basedOn w:val="DefaultParagraphFont"/>
    <w:link w:val="TableFigureHeading"/>
    <w:rsid w:val="00A678CB"/>
    <w:rPr>
      <w:rFonts w:ascii="Arial Narrow" w:eastAsiaTheme="majorEastAsia" w:hAnsi="Arial Narrow" w:cstheme="majorBidi"/>
      <w:b/>
      <w:bCs/>
      <w:kern w:val="0"/>
      <w:sz w:val="20"/>
      <w:szCs w:val="24"/>
      <w:lang w:eastAsia="en-AU"/>
      <w14:ligatures w14:val="none"/>
    </w:rPr>
  </w:style>
  <w:style w:type="paragraph" w:customStyle="1" w:styleId="3-BodyText">
    <w:name w:val="3-Body Text"/>
    <w:basedOn w:val="ListParagraph"/>
    <w:link w:val="3-BodyTextChar"/>
    <w:qFormat/>
    <w:rsid w:val="00A678CB"/>
    <w:pPr>
      <w:numPr>
        <w:ilvl w:val="1"/>
        <w:numId w:val="4"/>
      </w:numPr>
    </w:pPr>
  </w:style>
  <w:style w:type="character" w:customStyle="1" w:styleId="3-BodyTextChar">
    <w:name w:val="3-Body Text Char"/>
    <w:basedOn w:val="ListParagraphChar"/>
    <w:link w:val="3-BodyText"/>
    <w:rsid w:val="00A678CB"/>
    <w:rPr>
      <w:rFonts w:eastAsia="Times New Roman" w:cs="Arial"/>
      <w:snapToGrid w:val="0"/>
      <w:kern w:val="0"/>
      <w:sz w:val="24"/>
      <w:szCs w:val="24"/>
      <w:lang w:eastAsia="en-AU"/>
      <w14:ligatures w14:val="none"/>
    </w:rPr>
  </w:style>
  <w:style w:type="paragraph" w:customStyle="1" w:styleId="PageFooter">
    <w:name w:val="Page Footer"/>
    <w:basedOn w:val="Normal"/>
    <w:link w:val="PageFooterChar"/>
    <w:qFormat/>
    <w:rsid w:val="00A678CB"/>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A678CB"/>
    <w:rPr>
      <w:rFonts w:ascii="Calibri" w:eastAsia="Times New Roman" w:hAnsi="Calibri" w:cs="Arial"/>
      <w:b/>
      <w:kern w:val="0"/>
      <w:sz w:val="24"/>
      <w:szCs w:val="24"/>
      <w:lang w:eastAsia="en-AU"/>
      <w14:ligatures w14:val="none"/>
    </w:rPr>
  </w:style>
  <w:style w:type="paragraph" w:customStyle="1" w:styleId="FooterTableFigure">
    <w:name w:val="Footer Table/Figure"/>
    <w:basedOn w:val="Normal"/>
    <w:link w:val="FooterTableFigureChar"/>
    <w:qFormat/>
    <w:rsid w:val="00A678CB"/>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A678CB"/>
    <w:rPr>
      <w:rFonts w:ascii="Arial Narrow" w:eastAsia="Times New Roman" w:hAnsi="Arial Narrow" w:cs="Arial"/>
      <w:snapToGrid w:val="0"/>
      <w:kern w:val="0"/>
      <w:sz w:val="18"/>
      <w:lang w:eastAsia="en-AU"/>
      <w14:ligatures w14:val="none"/>
    </w:rPr>
  </w:style>
  <w:style w:type="paragraph" w:customStyle="1" w:styleId="4-SubsectionHeading">
    <w:name w:val="4-Subsection Heading"/>
    <w:basedOn w:val="Heading2"/>
    <w:next w:val="3-BodyText"/>
    <w:link w:val="4-SubsectionHeadingChar"/>
    <w:qFormat/>
    <w:rsid w:val="00A678CB"/>
    <w:pPr>
      <w:keepNext/>
      <w:spacing w:before="120" w:after="120"/>
    </w:pPr>
    <w:rPr>
      <w:rFonts w:eastAsiaTheme="majorEastAsia" w:cstheme="majorBidi"/>
      <w:spacing w:val="5"/>
      <w:kern w:val="28"/>
      <w:szCs w:val="36"/>
    </w:rPr>
  </w:style>
  <w:style w:type="character" w:customStyle="1" w:styleId="4-SubsectionHeadingChar">
    <w:name w:val="4-Subsection Heading Char"/>
    <w:basedOn w:val="Heading2Char"/>
    <w:link w:val="4-SubsectionHeading"/>
    <w:rsid w:val="00A678CB"/>
    <w:rPr>
      <w:rFonts w:ascii="Calibri" w:eastAsiaTheme="majorEastAsia" w:hAnsi="Calibri" w:cstheme="majorBidi"/>
      <w:b/>
      <w:i/>
      <w:spacing w:val="5"/>
      <w:kern w:val="28"/>
      <w:sz w:val="28"/>
      <w:szCs w:val="36"/>
      <w:lang w:eastAsia="en-AU"/>
      <w14:ligatures w14:val="none"/>
    </w:rPr>
  </w:style>
  <w:style w:type="paragraph" w:customStyle="1" w:styleId="5-SubsectionSubheading">
    <w:name w:val="5-Subsection Subheading"/>
    <w:basedOn w:val="Heading3"/>
    <w:next w:val="3-BodyText"/>
    <w:link w:val="5-SubsectionSubheadingChar"/>
    <w:qFormat/>
    <w:rsid w:val="00A678CB"/>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A678CB"/>
    <w:rPr>
      <w:rFonts w:eastAsiaTheme="majorEastAsia" w:cstheme="majorBidi"/>
      <w:b/>
      <w:color w:val="000000" w:themeColor="text1"/>
      <w:kern w:val="0"/>
      <w:sz w:val="24"/>
      <w:szCs w:val="24"/>
      <w:lang w:eastAsia="en-AU"/>
      <w14:ligatures w14:val="none"/>
    </w:rPr>
  </w:style>
  <w:style w:type="paragraph" w:styleId="ListBullet">
    <w:name w:val="List Bullet"/>
    <w:basedOn w:val="Normal"/>
    <w:unhideWhenUsed/>
    <w:rsid w:val="00A678CB"/>
    <w:pPr>
      <w:numPr>
        <w:numId w:val="3"/>
      </w:numPr>
      <w:contextualSpacing/>
    </w:pPr>
  </w:style>
  <w:style w:type="character" w:customStyle="1" w:styleId="TableTextChar0">
    <w:name w:val="Table Text Char"/>
    <w:basedOn w:val="DefaultParagraphFont"/>
    <w:link w:val="TableText0"/>
    <w:rsid w:val="00A678CB"/>
    <w:rPr>
      <w:rFonts w:ascii="Arial Narrow" w:eastAsiaTheme="majorEastAsia" w:hAnsi="Arial Narrow" w:cstheme="majorBidi"/>
      <w:bCs/>
      <w:kern w:val="0"/>
      <w:sz w:val="20"/>
      <w:szCs w:val="24"/>
      <w:lang w:eastAsia="en-AU"/>
      <w14:ligatures w14:val="none"/>
    </w:rPr>
  </w:style>
  <w:style w:type="paragraph" w:customStyle="1" w:styleId="ExecSumBodyText">
    <w:name w:val="Exec Sum Body Text"/>
    <w:basedOn w:val="Normal"/>
    <w:link w:val="ExecSumBodyTextChar"/>
    <w:uiPriority w:val="99"/>
    <w:rsid w:val="00A678C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A678CB"/>
    <w:rPr>
      <w:rFonts w:eastAsia="Times New Roman" w:cs="Arial"/>
      <w:snapToGrid w:val="0"/>
      <w:kern w:val="0"/>
      <w:sz w:val="24"/>
      <w:szCs w:val="24"/>
      <w:lang w:eastAsia="en-AU"/>
      <w14:ligatures w14:val="none"/>
    </w:rPr>
  </w:style>
  <w:style w:type="paragraph" w:customStyle="1" w:styleId="bullet">
    <w:name w:val="bullet"/>
    <w:basedOn w:val="ListParagraph"/>
    <w:link w:val="bulletChar"/>
    <w:rsid w:val="00A678C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A678CB"/>
    <w:rPr>
      <w:rFonts w:ascii="Calibri" w:eastAsia="Times New Roman" w:hAnsi="Calibri"/>
      <w:i/>
      <w:kern w:val="0"/>
      <w14:ligatures w14:val="none"/>
    </w:rPr>
  </w:style>
  <w:style w:type="paragraph" w:customStyle="1" w:styleId="Default">
    <w:name w:val="Default"/>
    <w:rsid w:val="00A678CB"/>
    <w:pPr>
      <w:autoSpaceDE w:val="0"/>
      <w:autoSpaceDN w:val="0"/>
      <w:adjustRightInd w:val="0"/>
      <w:spacing w:after="0" w:line="240" w:lineRule="auto"/>
    </w:pPr>
    <w:rPr>
      <w:rFonts w:ascii="Calibri" w:eastAsia="Times New Roman" w:hAnsi="Calibri" w:cs="Calibri"/>
      <w:color w:val="000000"/>
      <w:kern w:val="0"/>
      <w:sz w:val="24"/>
      <w:szCs w:val="24"/>
      <w:lang w:eastAsia="en-AU"/>
      <w14:ligatures w14:val="none"/>
    </w:rPr>
  </w:style>
  <w:style w:type="paragraph" w:customStyle="1" w:styleId="paragraph">
    <w:name w:val="paragraph"/>
    <w:basedOn w:val="Normal"/>
    <w:rsid w:val="00A678CB"/>
    <w:pPr>
      <w:spacing w:before="100" w:beforeAutospacing="1" w:after="100" w:afterAutospacing="1"/>
      <w:jc w:val="left"/>
    </w:pPr>
    <w:rPr>
      <w:rFonts w:ascii="Times New Roman" w:hAnsi="Times New Roman" w:cs="Times New Roman"/>
    </w:rPr>
  </w:style>
  <w:style w:type="character" w:customStyle="1" w:styleId="normaltextrun">
    <w:name w:val="normaltextrun"/>
    <w:basedOn w:val="DefaultParagraphFont"/>
    <w:rsid w:val="00A678CB"/>
  </w:style>
  <w:style w:type="character" w:customStyle="1" w:styleId="eop">
    <w:name w:val="eop"/>
    <w:basedOn w:val="DefaultParagraphFont"/>
    <w:rsid w:val="00A678CB"/>
  </w:style>
  <w:style w:type="character" w:customStyle="1" w:styleId="contentcontrolboundarysink">
    <w:name w:val="contentcontrolboundarysink"/>
    <w:basedOn w:val="DefaultParagraphFont"/>
    <w:rsid w:val="00A678CB"/>
  </w:style>
  <w:style w:type="paragraph" w:customStyle="1" w:styleId="PBACTblFignote">
    <w:name w:val="PBAC Tbl/Fig note"/>
    <w:qFormat/>
    <w:rsid w:val="00A678CB"/>
    <w:pPr>
      <w:keepNext/>
      <w:keepLines/>
      <w:spacing w:after="360" w:line="240" w:lineRule="auto"/>
      <w:contextualSpacing/>
      <w:textboxTightWrap w:val="allLines"/>
    </w:pPr>
    <w:rPr>
      <w:rFonts w:ascii="Arial Narrow" w:eastAsia="Times New Roman" w:hAnsi="Arial Narrow" w:cs="Arial"/>
      <w:kern w:val="0"/>
      <w:sz w:val="18"/>
      <w:szCs w:val="24"/>
      <w:lang w:eastAsia="en-GB"/>
      <w14:ligatures w14:val="none"/>
    </w:rPr>
  </w:style>
  <w:style w:type="paragraph" w:customStyle="1" w:styleId="PBACTabletext">
    <w:name w:val="PBAC Table text"/>
    <w:qFormat/>
    <w:rsid w:val="00A678CB"/>
    <w:pPr>
      <w:keepNext/>
      <w:keepLines/>
      <w:suppressLineNumbers/>
      <w:spacing w:after="20" w:line="240" w:lineRule="auto"/>
      <w:textboxTightWrap w:val="allLines"/>
    </w:pPr>
    <w:rPr>
      <w:rFonts w:ascii="Arial Narrow" w:eastAsia="Times New Roman" w:hAnsi="Arial Narrow" w:cs="Arial"/>
      <w:kern w:val="0"/>
      <w:sz w:val="20"/>
      <w:szCs w:val="24"/>
      <w:lang w:eastAsia="en-GB"/>
      <w14:ligatures w14:val="none"/>
    </w:rPr>
  </w:style>
  <w:style w:type="paragraph" w:styleId="FootnoteText">
    <w:name w:val="footnote text"/>
    <w:basedOn w:val="Normal"/>
    <w:link w:val="FootnoteTextChar"/>
    <w:uiPriority w:val="99"/>
    <w:semiHidden/>
    <w:unhideWhenUsed/>
    <w:rsid w:val="00A678CB"/>
    <w:rPr>
      <w:sz w:val="20"/>
      <w:szCs w:val="20"/>
    </w:rPr>
  </w:style>
  <w:style w:type="character" w:customStyle="1" w:styleId="FootnoteTextChar">
    <w:name w:val="Footnote Text Char"/>
    <w:basedOn w:val="DefaultParagraphFont"/>
    <w:link w:val="FootnoteText"/>
    <w:uiPriority w:val="99"/>
    <w:semiHidden/>
    <w:rsid w:val="00A678CB"/>
    <w:rPr>
      <w:rFonts w:ascii="Calibri" w:eastAsia="Times New Roman" w:hAnsi="Calibri" w:cs="Arial"/>
      <w:kern w:val="0"/>
      <w:sz w:val="20"/>
      <w:szCs w:val="20"/>
      <w:lang w:eastAsia="en-AU"/>
      <w14:ligatures w14:val="none"/>
    </w:rPr>
  </w:style>
  <w:style w:type="character" w:styleId="FootnoteReference">
    <w:name w:val="footnote reference"/>
    <w:basedOn w:val="DefaultParagraphFont"/>
    <w:uiPriority w:val="99"/>
    <w:semiHidden/>
    <w:unhideWhenUsed/>
    <w:rsid w:val="00A678CB"/>
    <w:rPr>
      <w:vertAlign w:val="superscript"/>
    </w:rPr>
  </w:style>
  <w:style w:type="character" w:styleId="Mention">
    <w:name w:val="Mention"/>
    <w:basedOn w:val="DefaultParagraphFont"/>
    <w:uiPriority w:val="99"/>
    <w:unhideWhenUsed/>
    <w:rsid w:val="00A678CB"/>
    <w:rPr>
      <w:color w:val="2B579A"/>
      <w:shd w:val="clear" w:color="auto" w:fill="E1DFDD"/>
    </w:rPr>
  </w:style>
  <w:style w:type="character" w:styleId="UnresolvedMention">
    <w:name w:val="Unresolved Mention"/>
    <w:basedOn w:val="DefaultParagraphFont"/>
    <w:uiPriority w:val="99"/>
    <w:semiHidden/>
    <w:unhideWhenUsed/>
    <w:rsid w:val="00A678CB"/>
    <w:rPr>
      <w:color w:val="605E5C"/>
      <w:shd w:val="clear" w:color="auto" w:fill="E1DFDD"/>
    </w:rPr>
  </w:style>
  <w:style w:type="numbering" w:customStyle="1" w:styleId="SectionBi1">
    <w:name w:val="Section Bi1"/>
    <w:uiPriority w:val="99"/>
    <w:rsid w:val="007852C8"/>
  </w:style>
  <w:style w:type="paragraph" w:customStyle="1" w:styleId="NormalBullets">
    <w:name w:val="Normal Bullets"/>
    <w:basedOn w:val="Normal"/>
    <w:uiPriority w:val="3"/>
    <w:qFormat/>
    <w:rsid w:val="007852C8"/>
    <w:pPr>
      <w:numPr>
        <w:numId w:val="8"/>
      </w:numPr>
      <w:spacing w:after="240" w:line="276" w:lineRule="auto"/>
      <w:contextualSpacing/>
      <w:jc w:val="left"/>
    </w:pPr>
    <w:rPr>
      <w:rFonts w:ascii="Sabon" w:eastAsiaTheme="majorEastAsia" w:hAnsi="Sabon" w:cstheme="majorBidi"/>
      <w:sz w:val="22"/>
      <w:szCs w:val="22"/>
      <w:lang w:eastAsia="en-US" w:bidi="en-US"/>
    </w:rPr>
  </w:style>
  <w:style w:type="paragraph" w:customStyle="1" w:styleId="TableFigureFooter">
    <w:name w:val="Table/Figure Footer"/>
    <w:basedOn w:val="Normal"/>
    <w:link w:val="TableFigureFooterChar"/>
    <w:qFormat/>
    <w:rsid w:val="007852C8"/>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7852C8"/>
    <w:rPr>
      <w:rFonts w:ascii="Arial Narrow" w:eastAsia="Times New Roman" w:hAnsi="Arial Narrow" w:cs="Arial"/>
      <w:snapToGrid w:val="0"/>
      <w:kern w:val="0"/>
      <w:sz w:val="18"/>
      <w:lang w:eastAsia="en-AU"/>
      <w14:ligatures w14:val="none"/>
    </w:rPr>
  </w:style>
  <w:style w:type="character" w:customStyle="1" w:styleId="tabchar">
    <w:name w:val="tabchar"/>
    <w:basedOn w:val="DefaultParagraphFont"/>
    <w:rsid w:val="004E3543"/>
  </w:style>
  <w:style w:type="paragraph" w:customStyle="1" w:styleId="TableHeading0">
    <w:name w:val="Table Heading"/>
    <w:basedOn w:val="TableText0"/>
    <w:link w:val="TableHeadingChar"/>
    <w:uiPriority w:val="3"/>
    <w:qFormat/>
    <w:rsid w:val="004E3543"/>
    <w:pPr>
      <w:keepLines/>
      <w:spacing w:before="20" w:after="20" w:line="276" w:lineRule="auto"/>
    </w:pPr>
    <w:rPr>
      <w:rFonts w:cs="Arial"/>
      <w:b/>
      <w:bCs w:val="0"/>
      <w:szCs w:val="20"/>
      <w:lang w:bidi="en-US"/>
    </w:rPr>
  </w:style>
  <w:style w:type="character" w:customStyle="1" w:styleId="TableHeadingChar">
    <w:name w:val="Table Heading Char"/>
    <w:basedOn w:val="DefaultParagraphFont"/>
    <w:link w:val="TableHeading0"/>
    <w:uiPriority w:val="3"/>
    <w:locked/>
    <w:rsid w:val="004E3543"/>
    <w:rPr>
      <w:rFonts w:ascii="Arial Narrow" w:eastAsiaTheme="majorEastAsia" w:hAnsi="Arial Narrow" w:cs="Arial"/>
      <w:b/>
      <w:kern w:val="0"/>
      <w:sz w:val="20"/>
      <w:szCs w:val="20"/>
      <w:lang w:eastAsia="en-AU" w:bidi="en-US"/>
      <w14:ligatures w14:val="none"/>
    </w:rPr>
  </w:style>
  <w:style w:type="table" w:customStyle="1" w:styleId="ASDTable1">
    <w:name w:val="ASD Table1"/>
    <w:basedOn w:val="TableNormal"/>
    <w:next w:val="TableGrid"/>
    <w:uiPriority w:val="59"/>
    <w:rsid w:val="004E354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DefaultParagraphFont"/>
    <w:rsid w:val="004218DE"/>
  </w:style>
  <w:style w:type="table" w:customStyle="1" w:styleId="CMATableTemplate1">
    <w:name w:val="CMA Table Template1"/>
    <w:basedOn w:val="TableNormal"/>
    <w:next w:val="TableGrid"/>
    <w:uiPriority w:val="59"/>
    <w:rsid w:val="004218D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MATableTemplate2">
    <w:name w:val="CMA Table Template2"/>
    <w:basedOn w:val="TableNormal"/>
    <w:next w:val="TableGrid"/>
    <w:uiPriority w:val="59"/>
    <w:rsid w:val="004218D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702A51"/>
    <w:rPr>
      <w:rFonts w:ascii="Segoe UI" w:hAnsi="Segoe UI" w:cs="Segoe UI" w:hint="default"/>
      <w:sz w:val="18"/>
      <w:szCs w:val="18"/>
    </w:rPr>
  </w:style>
  <w:style w:type="numbering" w:customStyle="1" w:styleId="SectionBi">
    <w:name w:val="Section Bi"/>
    <w:uiPriority w:val="99"/>
    <w:rsid w:val="007F54D5"/>
    <w:pPr>
      <w:numPr>
        <w:numId w:val="28"/>
      </w:numPr>
    </w:pPr>
  </w:style>
  <w:style w:type="paragraph" w:customStyle="1" w:styleId="3-SubsectionHeading">
    <w:name w:val="3-Subsection Heading"/>
    <w:basedOn w:val="Heading2"/>
    <w:next w:val="Normal"/>
    <w:link w:val="3-SubsectionHeadingChar"/>
    <w:qFormat/>
    <w:rsid w:val="00690769"/>
    <w:pPr>
      <w:keepNext/>
      <w:spacing w:before="120" w:after="120"/>
      <w:outlineLvl w:val="9"/>
    </w:pPr>
    <w:rPr>
      <w:rFonts w:eastAsiaTheme="majorEastAsia" w:cstheme="majorBidi"/>
      <w:spacing w:val="5"/>
      <w:kern w:val="28"/>
      <w:szCs w:val="36"/>
    </w:rPr>
  </w:style>
  <w:style w:type="character" w:customStyle="1" w:styleId="3-SubsectionHeadingChar">
    <w:name w:val="3-Subsection Heading Char"/>
    <w:basedOn w:val="Heading2Char"/>
    <w:link w:val="3-SubsectionHeading"/>
    <w:rsid w:val="00690769"/>
    <w:rPr>
      <w:rFonts w:ascii="Calibri" w:eastAsiaTheme="majorEastAsia" w:hAnsi="Calibri" w:cstheme="majorBidi"/>
      <w:b/>
      <w:i/>
      <w:spacing w:val="5"/>
      <w:kern w:val="28"/>
      <w:sz w:val="28"/>
      <w:szCs w:val="36"/>
      <w:lang w:eastAsia="en-AU"/>
      <w14:ligatures w14:val="none"/>
    </w:rPr>
  </w:style>
  <w:style w:type="paragraph" w:customStyle="1" w:styleId="3Bodytext">
    <w:name w:val="3. Body text"/>
    <w:basedOn w:val="ListParagraph"/>
    <w:qFormat/>
    <w:rsid w:val="00B54B8E"/>
    <w:pPr>
      <w:ind w:left="720" w:hanging="720"/>
      <w:jc w:val="left"/>
    </w:pPr>
    <w:rPr>
      <w:rFonts w:eastAsiaTheme="minorHAnsi" w:cstheme="minorBidi"/>
      <w:snapToGrid/>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813">
      <w:bodyDiv w:val="1"/>
      <w:marLeft w:val="0"/>
      <w:marRight w:val="0"/>
      <w:marTop w:val="0"/>
      <w:marBottom w:val="0"/>
      <w:divBdr>
        <w:top w:val="none" w:sz="0" w:space="0" w:color="auto"/>
        <w:left w:val="none" w:sz="0" w:space="0" w:color="auto"/>
        <w:bottom w:val="none" w:sz="0" w:space="0" w:color="auto"/>
        <w:right w:val="none" w:sz="0" w:space="0" w:color="auto"/>
      </w:divBdr>
      <w:divsChild>
        <w:div w:id="1413308833">
          <w:marLeft w:val="360"/>
          <w:marRight w:val="0"/>
          <w:marTop w:val="200"/>
          <w:marBottom w:val="0"/>
          <w:divBdr>
            <w:top w:val="none" w:sz="0" w:space="0" w:color="auto"/>
            <w:left w:val="none" w:sz="0" w:space="0" w:color="auto"/>
            <w:bottom w:val="none" w:sz="0" w:space="0" w:color="auto"/>
            <w:right w:val="none" w:sz="0" w:space="0" w:color="auto"/>
          </w:divBdr>
        </w:div>
      </w:divsChild>
    </w:div>
    <w:div w:id="88356149">
      <w:bodyDiv w:val="1"/>
      <w:marLeft w:val="0"/>
      <w:marRight w:val="0"/>
      <w:marTop w:val="0"/>
      <w:marBottom w:val="0"/>
      <w:divBdr>
        <w:top w:val="none" w:sz="0" w:space="0" w:color="auto"/>
        <w:left w:val="none" w:sz="0" w:space="0" w:color="auto"/>
        <w:bottom w:val="none" w:sz="0" w:space="0" w:color="auto"/>
        <w:right w:val="none" w:sz="0" w:space="0" w:color="auto"/>
      </w:divBdr>
    </w:div>
    <w:div w:id="430325216">
      <w:bodyDiv w:val="1"/>
      <w:marLeft w:val="0"/>
      <w:marRight w:val="0"/>
      <w:marTop w:val="0"/>
      <w:marBottom w:val="0"/>
      <w:divBdr>
        <w:top w:val="none" w:sz="0" w:space="0" w:color="auto"/>
        <w:left w:val="none" w:sz="0" w:space="0" w:color="auto"/>
        <w:bottom w:val="none" w:sz="0" w:space="0" w:color="auto"/>
        <w:right w:val="none" w:sz="0" w:space="0" w:color="auto"/>
      </w:divBdr>
    </w:div>
    <w:div w:id="508564228">
      <w:bodyDiv w:val="1"/>
      <w:marLeft w:val="0"/>
      <w:marRight w:val="0"/>
      <w:marTop w:val="0"/>
      <w:marBottom w:val="0"/>
      <w:divBdr>
        <w:top w:val="none" w:sz="0" w:space="0" w:color="auto"/>
        <w:left w:val="none" w:sz="0" w:space="0" w:color="auto"/>
        <w:bottom w:val="none" w:sz="0" w:space="0" w:color="auto"/>
        <w:right w:val="none" w:sz="0" w:space="0" w:color="auto"/>
      </w:divBdr>
    </w:div>
    <w:div w:id="513299210">
      <w:bodyDiv w:val="1"/>
      <w:marLeft w:val="0"/>
      <w:marRight w:val="0"/>
      <w:marTop w:val="0"/>
      <w:marBottom w:val="0"/>
      <w:divBdr>
        <w:top w:val="none" w:sz="0" w:space="0" w:color="auto"/>
        <w:left w:val="none" w:sz="0" w:space="0" w:color="auto"/>
        <w:bottom w:val="none" w:sz="0" w:space="0" w:color="auto"/>
        <w:right w:val="none" w:sz="0" w:space="0" w:color="auto"/>
      </w:divBdr>
    </w:div>
    <w:div w:id="643654742">
      <w:bodyDiv w:val="1"/>
      <w:marLeft w:val="0"/>
      <w:marRight w:val="0"/>
      <w:marTop w:val="0"/>
      <w:marBottom w:val="0"/>
      <w:divBdr>
        <w:top w:val="none" w:sz="0" w:space="0" w:color="auto"/>
        <w:left w:val="none" w:sz="0" w:space="0" w:color="auto"/>
        <w:bottom w:val="none" w:sz="0" w:space="0" w:color="auto"/>
        <w:right w:val="none" w:sz="0" w:space="0" w:color="auto"/>
      </w:divBdr>
    </w:div>
    <w:div w:id="742413930">
      <w:bodyDiv w:val="1"/>
      <w:marLeft w:val="0"/>
      <w:marRight w:val="0"/>
      <w:marTop w:val="0"/>
      <w:marBottom w:val="0"/>
      <w:divBdr>
        <w:top w:val="none" w:sz="0" w:space="0" w:color="auto"/>
        <w:left w:val="none" w:sz="0" w:space="0" w:color="auto"/>
        <w:bottom w:val="none" w:sz="0" w:space="0" w:color="auto"/>
        <w:right w:val="none" w:sz="0" w:space="0" w:color="auto"/>
      </w:divBdr>
    </w:div>
    <w:div w:id="761803725">
      <w:bodyDiv w:val="1"/>
      <w:marLeft w:val="0"/>
      <w:marRight w:val="0"/>
      <w:marTop w:val="0"/>
      <w:marBottom w:val="0"/>
      <w:divBdr>
        <w:top w:val="none" w:sz="0" w:space="0" w:color="auto"/>
        <w:left w:val="none" w:sz="0" w:space="0" w:color="auto"/>
        <w:bottom w:val="none" w:sz="0" w:space="0" w:color="auto"/>
        <w:right w:val="none" w:sz="0" w:space="0" w:color="auto"/>
      </w:divBdr>
    </w:div>
    <w:div w:id="905647511">
      <w:bodyDiv w:val="1"/>
      <w:marLeft w:val="0"/>
      <w:marRight w:val="0"/>
      <w:marTop w:val="0"/>
      <w:marBottom w:val="0"/>
      <w:divBdr>
        <w:top w:val="none" w:sz="0" w:space="0" w:color="auto"/>
        <w:left w:val="none" w:sz="0" w:space="0" w:color="auto"/>
        <w:bottom w:val="none" w:sz="0" w:space="0" w:color="auto"/>
        <w:right w:val="none" w:sz="0" w:space="0" w:color="auto"/>
      </w:divBdr>
    </w:div>
    <w:div w:id="1144350707">
      <w:bodyDiv w:val="1"/>
      <w:marLeft w:val="0"/>
      <w:marRight w:val="0"/>
      <w:marTop w:val="0"/>
      <w:marBottom w:val="0"/>
      <w:divBdr>
        <w:top w:val="none" w:sz="0" w:space="0" w:color="auto"/>
        <w:left w:val="none" w:sz="0" w:space="0" w:color="auto"/>
        <w:bottom w:val="none" w:sz="0" w:space="0" w:color="auto"/>
        <w:right w:val="none" w:sz="0" w:space="0" w:color="auto"/>
      </w:divBdr>
    </w:div>
    <w:div w:id="1293176899">
      <w:bodyDiv w:val="1"/>
      <w:marLeft w:val="0"/>
      <w:marRight w:val="0"/>
      <w:marTop w:val="0"/>
      <w:marBottom w:val="0"/>
      <w:divBdr>
        <w:top w:val="none" w:sz="0" w:space="0" w:color="auto"/>
        <w:left w:val="none" w:sz="0" w:space="0" w:color="auto"/>
        <w:bottom w:val="none" w:sz="0" w:space="0" w:color="auto"/>
        <w:right w:val="none" w:sz="0" w:space="0" w:color="auto"/>
      </w:divBdr>
    </w:div>
    <w:div w:id="1399397824">
      <w:bodyDiv w:val="1"/>
      <w:marLeft w:val="0"/>
      <w:marRight w:val="0"/>
      <w:marTop w:val="0"/>
      <w:marBottom w:val="0"/>
      <w:divBdr>
        <w:top w:val="none" w:sz="0" w:space="0" w:color="auto"/>
        <w:left w:val="none" w:sz="0" w:space="0" w:color="auto"/>
        <w:bottom w:val="none" w:sz="0" w:space="0" w:color="auto"/>
        <w:right w:val="none" w:sz="0" w:space="0" w:color="auto"/>
      </w:divBdr>
    </w:div>
    <w:div w:id="1442915215">
      <w:bodyDiv w:val="1"/>
      <w:marLeft w:val="0"/>
      <w:marRight w:val="0"/>
      <w:marTop w:val="0"/>
      <w:marBottom w:val="0"/>
      <w:divBdr>
        <w:top w:val="none" w:sz="0" w:space="0" w:color="auto"/>
        <w:left w:val="none" w:sz="0" w:space="0" w:color="auto"/>
        <w:bottom w:val="none" w:sz="0" w:space="0" w:color="auto"/>
        <w:right w:val="none" w:sz="0" w:space="0" w:color="auto"/>
      </w:divBdr>
      <w:divsChild>
        <w:div w:id="76440071">
          <w:marLeft w:val="360"/>
          <w:marRight w:val="0"/>
          <w:marTop w:val="200"/>
          <w:marBottom w:val="0"/>
          <w:divBdr>
            <w:top w:val="none" w:sz="0" w:space="0" w:color="auto"/>
            <w:left w:val="none" w:sz="0" w:space="0" w:color="auto"/>
            <w:bottom w:val="none" w:sz="0" w:space="0" w:color="auto"/>
            <w:right w:val="none" w:sz="0" w:space="0" w:color="auto"/>
          </w:divBdr>
        </w:div>
      </w:divsChild>
    </w:div>
    <w:div w:id="1485856813">
      <w:bodyDiv w:val="1"/>
      <w:marLeft w:val="0"/>
      <w:marRight w:val="0"/>
      <w:marTop w:val="0"/>
      <w:marBottom w:val="0"/>
      <w:divBdr>
        <w:top w:val="none" w:sz="0" w:space="0" w:color="auto"/>
        <w:left w:val="none" w:sz="0" w:space="0" w:color="auto"/>
        <w:bottom w:val="none" w:sz="0" w:space="0" w:color="auto"/>
        <w:right w:val="none" w:sz="0" w:space="0" w:color="auto"/>
      </w:divBdr>
    </w:div>
    <w:div w:id="1489706882">
      <w:bodyDiv w:val="1"/>
      <w:marLeft w:val="0"/>
      <w:marRight w:val="0"/>
      <w:marTop w:val="0"/>
      <w:marBottom w:val="0"/>
      <w:divBdr>
        <w:top w:val="none" w:sz="0" w:space="0" w:color="auto"/>
        <w:left w:val="none" w:sz="0" w:space="0" w:color="auto"/>
        <w:bottom w:val="none" w:sz="0" w:space="0" w:color="auto"/>
        <w:right w:val="none" w:sz="0" w:space="0" w:color="auto"/>
      </w:divBdr>
    </w:div>
    <w:div w:id="1585652096">
      <w:bodyDiv w:val="1"/>
      <w:marLeft w:val="0"/>
      <w:marRight w:val="0"/>
      <w:marTop w:val="0"/>
      <w:marBottom w:val="0"/>
      <w:divBdr>
        <w:top w:val="none" w:sz="0" w:space="0" w:color="auto"/>
        <w:left w:val="none" w:sz="0" w:space="0" w:color="auto"/>
        <w:bottom w:val="none" w:sz="0" w:space="0" w:color="auto"/>
        <w:right w:val="none" w:sz="0" w:space="0" w:color="auto"/>
      </w:divBdr>
      <w:divsChild>
        <w:div w:id="1565490086">
          <w:marLeft w:val="360"/>
          <w:marRight w:val="0"/>
          <w:marTop w:val="200"/>
          <w:marBottom w:val="0"/>
          <w:divBdr>
            <w:top w:val="none" w:sz="0" w:space="0" w:color="auto"/>
            <w:left w:val="none" w:sz="0" w:space="0" w:color="auto"/>
            <w:bottom w:val="none" w:sz="0" w:space="0" w:color="auto"/>
            <w:right w:val="none" w:sz="0" w:space="0" w:color="auto"/>
          </w:divBdr>
        </w:div>
        <w:div w:id="12196753">
          <w:marLeft w:val="360"/>
          <w:marRight w:val="0"/>
          <w:marTop w:val="200"/>
          <w:marBottom w:val="0"/>
          <w:divBdr>
            <w:top w:val="none" w:sz="0" w:space="0" w:color="auto"/>
            <w:left w:val="none" w:sz="0" w:space="0" w:color="auto"/>
            <w:bottom w:val="none" w:sz="0" w:space="0" w:color="auto"/>
            <w:right w:val="none" w:sz="0" w:space="0" w:color="auto"/>
          </w:divBdr>
        </w:div>
        <w:div w:id="1248732445">
          <w:marLeft w:val="360"/>
          <w:marRight w:val="0"/>
          <w:marTop w:val="200"/>
          <w:marBottom w:val="0"/>
          <w:divBdr>
            <w:top w:val="none" w:sz="0" w:space="0" w:color="auto"/>
            <w:left w:val="none" w:sz="0" w:space="0" w:color="auto"/>
            <w:bottom w:val="none" w:sz="0" w:space="0" w:color="auto"/>
            <w:right w:val="none" w:sz="0" w:space="0" w:color="auto"/>
          </w:divBdr>
        </w:div>
        <w:div w:id="961301088">
          <w:marLeft w:val="360"/>
          <w:marRight w:val="0"/>
          <w:marTop w:val="200"/>
          <w:marBottom w:val="0"/>
          <w:divBdr>
            <w:top w:val="none" w:sz="0" w:space="0" w:color="auto"/>
            <w:left w:val="none" w:sz="0" w:space="0" w:color="auto"/>
            <w:bottom w:val="none" w:sz="0" w:space="0" w:color="auto"/>
            <w:right w:val="none" w:sz="0" w:space="0" w:color="auto"/>
          </w:divBdr>
        </w:div>
      </w:divsChild>
    </w:div>
    <w:div w:id="1639531277">
      <w:bodyDiv w:val="1"/>
      <w:marLeft w:val="0"/>
      <w:marRight w:val="0"/>
      <w:marTop w:val="0"/>
      <w:marBottom w:val="0"/>
      <w:divBdr>
        <w:top w:val="none" w:sz="0" w:space="0" w:color="auto"/>
        <w:left w:val="none" w:sz="0" w:space="0" w:color="auto"/>
        <w:bottom w:val="none" w:sz="0" w:space="0" w:color="auto"/>
        <w:right w:val="none" w:sz="0" w:space="0" w:color="auto"/>
      </w:divBdr>
    </w:div>
    <w:div w:id="1784029783">
      <w:bodyDiv w:val="1"/>
      <w:marLeft w:val="0"/>
      <w:marRight w:val="0"/>
      <w:marTop w:val="0"/>
      <w:marBottom w:val="0"/>
      <w:divBdr>
        <w:top w:val="none" w:sz="0" w:space="0" w:color="auto"/>
        <w:left w:val="none" w:sz="0" w:space="0" w:color="auto"/>
        <w:bottom w:val="none" w:sz="0" w:space="0" w:color="auto"/>
        <w:right w:val="none" w:sz="0" w:space="0" w:color="auto"/>
      </w:divBdr>
    </w:div>
    <w:div w:id="189314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ncbi.nlm.nih.gov/pmc/articles/PMC4924670/" TargetMode="External"/><Relationship Id="rId1" Type="http://schemas.openxmlformats.org/officeDocument/2006/relationships/hyperlink" Target="https://www.ncbi.nlm.nih.gov/pmc/articles/PMC87742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C1819-8955-407B-AD08-C4E5BDD05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22235</Words>
  <Characters>126746</Characters>
  <Application>Microsoft Office Word</Application>
  <DocSecurity>0</DocSecurity>
  <Lines>1056</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2024-07-04T03:47:00Z</dcterms:created>
  <dcterms:modified xsi:type="dcterms:W3CDTF">2024-07-04T05:05:00Z</dcterms:modified>
</cp:coreProperties>
</file>