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C95E4A1" w:rsidR="00B60939" w:rsidRPr="009475AF" w:rsidRDefault="001A04FF" w:rsidP="00A908DC">
      <w:pPr>
        <w:pStyle w:val="1-MainHeading"/>
        <w:spacing w:before="0" w:after="0"/>
      </w:pPr>
      <w:bookmarkStart w:id="0" w:name="_Toc156912906"/>
      <w:r w:rsidRPr="009475AF">
        <w:t>6.06</w:t>
      </w:r>
      <w:r w:rsidR="00163F66" w:rsidRPr="009475AF">
        <w:tab/>
        <w:t>D</w:t>
      </w:r>
      <w:r w:rsidR="00C62834" w:rsidRPr="009475AF">
        <w:t>UPILUMAB</w:t>
      </w:r>
      <w:r w:rsidR="00893E94" w:rsidRPr="009475AF">
        <w:t>,</w:t>
      </w:r>
      <w:r w:rsidR="00A908DC" w:rsidRPr="009475AF">
        <w:br/>
      </w:r>
      <w:r w:rsidR="00FF1A45" w:rsidRPr="009475AF">
        <w:t>I</w:t>
      </w:r>
      <w:r w:rsidR="004B309C" w:rsidRPr="009475AF">
        <w:t>njection</w:t>
      </w:r>
      <w:r w:rsidR="00FF1A45" w:rsidRPr="009475AF">
        <w:t xml:space="preserve"> </w:t>
      </w:r>
      <w:r w:rsidR="004B309C" w:rsidRPr="009475AF">
        <w:t>200</w:t>
      </w:r>
      <w:r w:rsidR="000A5CB6" w:rsidRPr="009475AF">
        <w:t xml:space="preserve"> </w:t>
      </w:r>
      <w:r w:rsidR="004B309C" w:rsidRPr="009475AF">
        <w:t>mg</w:t>
      </w:r>
      <w:r w:rsidR="00543886" w:rsidRPr="009475AF">
        <w:t xml:space="preserve"> in </w:t>
      </w:r>
      <w:r w:rsidR="004B309C" w:rsidRPr="009475AF">
        <w:t>1.14</w:t>
      </w:r>
      <w:r w:rsidR="000A5CB6" w:rsidRPr="009475AF">
        <w:t xml:space="preserve"> </w:t>
      </w:r>
      <w:r w:rsidR="004B309C" w:rsidRPr="009475AF">
        <w:t>mL</w:t>
      </w:r>
      <w:r w:rsidR="00543886" w:rsidRPr="009475AF">
        <w:t xml:space="preserve"> single dose pre-filled syringe</w:t>
      </w:r>
      <w:r w:rsidR="00AE195E" w:rsidRPr="009475AF">
        <w:t>,</w:t>
      </w:r>
      <w:r w:rsidR="00A908DC" w:rsidRPr="009475AF">
        <w:br/>
      </w:r>
      <w:r w:rsidR="00FF1A45" w:rsidRPr="009475AF">
        <w:t xml:space="preserve">Injection </w:t>
      </w:r>
      <w:r w:rsidR="004B309C" w:rsidRPr="009475AF">
        <w:t>300</w:t>
      </w:r>
      <w:r w:rsidR="000A5CB6" w:rsidRPr="009475AF">
        <w:t xml:space="preserve"> </w:t>
      </w:r>
      <w:r w:rsidR="004B309C" w:rsidRPr="009475AF">
        <w:t>mg</w:t>
      </w:r>
      <w:r w:rsidR="00543886" w:rsidRPr="009475AF">
        <w:t xml:space="preserve"> in </w:t>
      </w:r>
      <w:r w:rsidR="004B309C" w:rsidRPr="009475AF">
        <w:t>2</w:t>
      </w:r>
      <w:r w:rsidR="000A5CB6" w:rsidRPr="009475AF">
        <w:t xml:space="preserve"> </w:t>
      </w:r>
      <w:r w:rsidR="004B309C" w:rsidRPr="009475AF">
        <w:t>mL</w:t>
      </w:r>
      <w:r w:rsidR="00543886" w:rsidRPr="009475AF">
        <w:t xml:space="preserve"> single dose pre-filled syringe</w:t>
      </w:r>
      <w:r w:rsidR="00FF1A45" w:rsidRPr="009475AF">
        <w:t>,</w:t>
      </w:r>
      <w:r w:rsidR="00163F66" w:rsidRPr="009475AF">
        <w:br/>
      </w:r>
      <w:r w:rsidR="00C62834" w:rsidRPr="009475AF">
        <w:t>Dupixent</w:t>
      </w:r>
      <w:r w:rsidR="00B60939" w:rsidRPr="009475AF">
        <w:rPr>
          <w:vertAlign w:val="superscript"/>
        </w:rPr>
        <w:t>®</w:t>
      </w:r>
      <w:r w:rsidR="004A6040" w:rsidRPr="009475AF">
        <w:t>,</w:t>
      </w:r>
      <w:r w:rsidR="004A6040" w:rsidRPr="009475AF">
        <w:br/>
      </w:r>
      <w:r w:rsidR="00433044" w:rsidRPr="009475AF">
        <w:t>S</w:t>
      </w:r>
      <w:r w:rsidR="00C62834" w:rsidRPr="009475AF">
        <w:t>anofi</w:t>
      </w:r>
      <w:r w:rsidR="00FF1A45" w:rsidRPr="009475AF">
        <w:t>-Aventis Australia Pty Ltd</w:t>
      </w:r>
      <w:bookmarkEnd w:id="0"/>
      <w:r w:rsidR="004801BE" w:rsidRPr="009475AF">
        <w:t>.</w:t>
      </w:r>
      <w:r w:rsidR="00F73E08" w:rsidRPr="009475AF">
        <w:t xml:space="preserve"> </w:t>
      </w:r>
    </w:p>
    <w:p w14:paraId="11C00795" w14:textId="3DFB6D23" w:rsidR="00B50DB8" w:rsidRPr="009475AF" w:rsidRDefault="00B50DB8" w:rsidP="004A6040">
      <w:pPr>
        <w:pStyle w:val="2-SectionHeading"/>
      </w:pPr>
      <w:bookmarkStart w:id="1" w:name="_Toc156912908"/>
      <w:r w:rsidRPr="009475AF">
        <w:t xml:space="preserve">Purpose of </w:t>
      </w:r>
      <w:r w:rsidR="00CD7193" w:rsidRPr="009475AF">
        <w:t>s</w:t>
      </w:r>
      <w:r w:rsidR="00BB3A45" w:rsidRPr="009475AF">
        <w:t>ubmission</w:t>
      </w:r>
      <w:bookmarkEnd w:id="1"/>
    </w:p>
    <w:p w14:paraId="4D948E3C" w14:textId="3B80F53A" w:rsidR="00C739E1" w:rsidRPr="009475AF" w:rsidRDefault="007170DA" w:rsidP="00C739E1">
      <w:pPr>
        <w:pStyle w:val="3-BodyText"/>
      </w:pPr>
      <w:r w:rsidRPr="009475AF">
        <w:t xml:space="preserve">The </w:t>
      </w:r>
      <w:r w:rsidR="00F73E08" w:rsidRPr="009475AF">
        <w:t xml:space="preserve">Category </w:t>
      </w:r>
      <w:r w:rsidR="00C62834" w:rsidRPr="009475AF">
        <w:t>2</w:t>
      </w:r>
      <w:r w:rsidR="003C7C15" w:rsidRPr="009475AF">
        <w:t xml:space="preserve"> </w:t>
      </w:r>
      <w:r w:rsidRPr="009475AF">
        <w:t xml:space="preserve">submission requested </w:t>
      </w:r>
      <w:bookmarkStart w:id="2" w:name="_Hlk161390634"/>
      <w:r w:rsidR="001267CE" w:rsidRPr="009475AF">
        <w:t xml:space="preserve">a </w:t>
      </w:r>
      <w:r w:rsidR="008B1757" w:rsidRPr="009475AF">
        <w:t>Section 100</w:t>
      </w:r>
      <w:r w:rsidR="00C62834" w:rsidRPr="009475AF">
        <w:t xml:space="preserve"> Highly Specialised Drugs Program</w:t>
      </w:r>
      <w:r w:rsidR="008B1757" w:rsidRPr="009475AF">
        <w:t xml:space="preserve"> listing for </w:t>
      </w:r>
      <w:r w:rsidR="00C62834" w:rsidRPr="009475AF">
        <w:t>dupilumab</w:t>
      </w:r>
      <w:r w:rsidR="008B1757" w:rsidRPr="009475AF">
        <w:t xml:space="preserve"> for </w:t>
      </w:r>
      <w:r w:rsidR="0050174E" w:rsidRPr="009475AF">
        <w:t xml:space="preserve">the </w:t>
      </w:r>
      <w:r w:rsidR="008B1757" w:rsidRPr="009475AF">
        <w:t xml:space="preserve">treatment of </w:t>
      </w:r>
      <w:r w:rsidR="00C62834" w:rsidRPr="009475AF">
        <w:t>patients aged 6</w:t>
      </w:r>
      <w:r w:rsidR="00F04081" w:rsidRPr="009475AF">
        <w:t xml:space="preserve"> to </w:t>
      </w:r>
      <w:r w:rsidR="00C62834" w:rsidRPr="009475AF">
        <w:t>11 years of age with uncontrolled severe asthma</w:t>
      </w:r>
      <w:r w:rsidR="00B1081B" w:rsidRPr="009475AF">
        <w:t xml:space="preserve"> who have</w:t>
      </w:r>
      <w:r w:rsidR="00C739E1" w:rsidRPr="009475AF">
        <w:t xml:space="preserve">: </w:t>
      </w:r>
    </w:p>
    <w:p w14:paraId="57680A6D" w14:textId="6441724B" w:rsidR="00C739E1" w:rsidRPr="009475AF" w:rsidRDefault="00166F2B" w:rsidP="007C50F6">
      <w:pPr>
        <w:pStyle w:val="3-BodyText"/>
        <w:numPr>
          <w:ilvl w:val="0"/>
          <w:numId w:val="10"/>
        </w:numPr>
        <w:ind w:left="1134"/>
      </w:pPr>
      <w:r w:rsidRPr="009475AF">
        <w:t>T</w:t>
      </w:r>
      <w:r w:rsidR="00B1081B" w:rsidRPr="009475AF">
        <w:t>otal</w:t>
      </w:r>
      <w:r w:rsidRPr="009475AF">
        <w:t xml:space="preserve"> serum</w:t>
      </w:r>
      <w:r w:rsidR="00B1081B" w:rsidRPr="009475AF">
        <w:t xml:space="preserve"> </w:t>
      </w:r>
      <w:r w:rsidR="001A3A72" w:rsidRPr="009475AF">
        <w:t>immunoglobulin E (IgE)</w:t>
      </w:r>
      <w:r w:rsidR="00B1081B" w:rsidRPr="009475AF">
        <w:t xml:space="preserve"> </w:t>
      </w:r>
      <w:r w:rsidR="00B1081B" w:rsidRPr="009475AF">
        <w:sym w:font="Symbol" w:char="F0B3"/>
      </w:r>
      <w:r w:rsidR="00B1081B" w:rsidRPr="009475AF">
        <w:t xml:space="preserve"> 30 IU/mL and evidence of atopy</w:t>
      </w:r>
      <w:r w:rsidR="00A0596B" w:rsidRPr="009475AF">
        <w:t xml:space="preserve"> </w:t>
      </w:r>
      <w:r w:rsidR="00D23C5B" w:rsidRPr="009475AF">
        <w:rPr>
          <w:b/>
          <w:bCs/>
        </w:rPr>
        <w:t>and/</w:t>
      </w:r>
      <w:r w:rsidR="00B1081B" w:rsidRPr="009475AF">
        <w:rPr>
          <w:b/>
          <w:bCs/>
        </w:rPr>
        <w:t>or</w:t>
      </w:r>
      <w:r w:rsidR="00A0596B" w:rsidRPr="009475AF">
        <w:t xml:space="preserve"> </w:t>
      </w:r>
    </w:p>
    <w:p w14:paraId="54C82214" w14:textId="707655F4" w:rsidR="00C739E1" w:rsidRPr="009475AF" w:rsidRDefault="00A0596B" w:rsidP="007C50F6">
      <w:pPr>
        <w:pStyle w:val="3-BodyText"/>
        <w:numPr>
          <w:ilvl w:val="0"/>
          <w:numId w:val="10"/>
        </w:numPr>
        <w:ind w:left="1134"/>
      </w:pPr>
      <w:r w:rsidRPr="009475AF">
        <w:t xml:space="preserve">blood eosinophils </w:t>
      </w:r>
      <w:r w:rsidRPr="009475AF">
        <w:sym w:font="Symbol" w:char="F0B3"/>
      </w:r>
      <w:r w:rsidRPr="009475AF">
        <w:t xml:space="preserve"> 150</w:t>
      </w:r>
      <w:r w:rsidR="00340DA5" w:rsidRPr="009475AF">
        <w:t xml:space="preserve"> x 10</w:t>
      </w:r>
      <w:r w:rsidR="00340DA5" w:rsidRPr="009475AF">
        <w:rPr>
          <w:vertAlign w:val="superscript"/>
        </w:rPr>
        <w:t>9</w:t>
      </w:r>
      <w:r w:rsidRPr="009475AF">
        <w:t xml:space="preserve">/L </w:t>
      </w:r>
      <w:r w:rsidR="00D23C5B" w:rsidRPr="009475AF">
        <w:rPr>
          <w:b/>
          <w:bCs/>
        </w:rPr>
        <w:t>and/</w:t>
      </w:r>
      <w:r w:rsidRPr="009475AF">
        <w:rPr>
          <w:b/>
          <w:bCs/>
        </w:rPr>
        <w:t>or</w:t>
      </w:r>
      <w:r w:rsidRPr="009475AF">
        <w:t xml:space="preserve"> </w:t>
      </w:r>
    </w:p>
    <w:p w14:paraId="19414AA1" w14:textId="2558023D" w:rsidR="002C2775" w:rsidRPr="009475AF" w:rsidRDefault="0024520A" w:rsidP="007C50F6">
      <w:pPr>
        <w:pStyle w:val="3-BodyText"/>
        <w:numPr>
          <w:ilvl w:val="0"/>
          <w:numId w:val="10"/>
        </w:numPr>
        <w:ind w:left="1134"/>
      </w:pPr>
      <w:r w:rsidRPr="009475AF">
        <w:t xml:space="preserve">fractional </w:t>
      </w:r>
      <w:r w:rsidR="001A3A72" w:rsidRPr="009475AF">
        <w:t>ex</w:t>
      </w:r>
      <w:r w:rsidR="00C7299B" w:rsidRPr="009475AF">
        <w:t>haled</w:t>
      </w:r>
      <w:r w:rsidR="001A3A72" w:rsidRPr="009475AF">
        <w:t xml:space="preserve"> nitr</w:t>
      </w:r>
      <w:r w:rsidR="0083250F" w:rsidRPr="009475AF">
        <w:t>ic</w:t>
      </w:r>
      <w:r w:rsidR="001A3A72" w:rsidRPr="009475AF">
        <w:t xml:space="preserve"> oxide (</w:t>
      </w:r>
      <w:r w:rsidR="00A0596B" w:rsidRPr="009475AF">
        <w:t>FeNO</w:t>
      </w:r>
      <w:r w:rsidR="001A3A72" w:rsidRPr="009475AF">
        <w:t>)</w:t>
      </w:r>
      <w:r w:rsidR="00A0596B" w:rsidRPr="009475AF">
        <w:t xml:space="preserve"> </w:t>
      </w:r>
      <w:r w:rsidR="00A0596B" w:rsidRPr="009475AF">
        <w:sym w:font="Symbol" w:char="F0B3"/>
      </w:r>
      <w:r w:rsidR="00A0596B" w:rsidRPr="009475AF">
        <w:t xml:space="preserve"> 20 </w:t>
      </w:r>
      <w:r w:rsidR="00867914" w:rsidRPr="009475AF">
        <w:t>parts per billion (</w:t>
      </w:r>
      <w:r w:rsidR="00A0596B" w:rsidRPr="009475AF">
        <w:t>ppb</w:t>
      </w:r>
      <w:r w:rsidR="00867914" w:rsidRPr="009475AF">
        <w:t>)</w:t>
      </w:r>
      <w:r w:rsidR="00E20916" w:rsidRPr="009475AF">
        <w:rPr>
          <w:iCs/>
        </w:rPr>
        <w:t>.</w:t>
      </w:r>
      <w:r w:rsidR="005A1548" w:rsidRPr="005A1548">
        <w:rPr>
          <w:rStyle w:val="TableFooterChar"/>
          <w:iCs/>
        </w:rPr>
        <w:t xml:space="preserve"> </w:t>
      </w:r>
      <w:r w:rsidR="005A1548" w:rsidRPr="009475AF">
        <w:rPr>
          <w:rStyle w:val="FootnoteReference"/>
          <w:iCs/>
        </w:rPr>
        <w:footnoteReference w:id="1"/>
      </w:r>
    </w:p>
    <w:bookmarkEnd w:id="2"/>
    <w:p w14:paraId="572A9BCC" w14:textId="06FA9728" w:rsidR="00FA5893" w:rsidRPr="009475AF" w:rsidRDefault="001F5851" w:rsidP="004E18E9">
      <w:pPr>
        <w:pStyle w:val="3-BodyText"/>
      </w:pPr>
      <w:r w:rsidRPr="009475AF">
        <w:t>T</w:t>
      </w:r>
      <w:r w:rsidR="00E20916" w:rsidRPr="009475AF">
        <w:t xml:space="preserve">he </w:t>
      </w:r>
      <w:r w:rsidR="00CB5589" w:rsidRPr="009475AF">
        <w:t>submission</w:t>
      </w:r>
      <w:r w:rsidR="001A296D" w:rsidRPr="009475AF">
        <w:t xml:space="preserve"> </w:t>
      </w:r>
      <w:r w:rsidR="00B1081B" w:rsidRPr="009475AF">
        <w:t xml:space="preserve">defined two </w:t>
      </w:r>
      <w:r w:rsidR="00C739E1" w:rsidRPr="009475AF">
        <w:t>s</w:t>
      </w:r>
      <w:r w:rsidR="00B1081B" w:rsidRPr="009475AF">
        <w:t>ubgroups of patients</w:t>
      </w:r>
      <w:r w:rsidR="00687807" w:rsidRPr="009475AF">
        <w:t xml:space="preserve">: </w:t>
      </w:r>
      <w:r w:rsidR="00FA5893" w:rsidRPr="009475AF">
        <w:t xml:space="preserve">Subgroup </w:t>
      </w:r>
      <w:r w:rsidR="00D511A2" w:rsidRPr="009475AF">
        <w:t>A</w:t>
      </w:r>
      <w:r w:rsidR="00FA5893" w:rsidRPr="009475AF">
        <w:t xml:space="preserve"> patients </w:t>
      </w:r>
      <w:r w:rsidR="00D511A2" w:rsidRPr="009475AF">
        <w:t>were those with</w:t>
      </w:r>
      <w:r w:rsidR="00FA5893" w:rsidRPr="009475AF">
        <w:t xml:space="preserve"> uncontrolled severe asthma who meet the PBS requirements for omalizumab treatment, including the requirement for total serum IgE </w:t>
      </w:r>
      <w:r w:rsidR="00FA5893" w:rsidRPr="009475AF">
        <w:sym w:font="Symbol" w:char="F0B3"/>
      </w:r>
      <w:r w:rsidR="00FA5893" w:rsidRPr="009475AF">
        <w:t xml:space="preserve"> 30 IU/mL</w:t>
      </w:r>
      <w:r w:rsidR="00687807" w:rsidRPr="009475AF">
        <w:t xml:space="preserve">, </w:t>
      </w:r>
      <w:r w:rsidR="00344793" w:rsidRPr="009475AF">
        <w:t>and Subgroup</w:t>
      </w:r>
      <w:r w:rsidR="00FA5893" w:rsidRPr="009475AF">
        <w:t xml:space="preserve"> B patients </w:t>
      </w:r>
      <w:r w:rsidR="00687807" w:rsidRPr="009475AF">
        <w:t xml:space="preserve">were </w:t>
      </w:r>
      <w:r w:rsidR="00FA5893" w:rsidRPr="009475AF">
        <w:t xml:space="preserve">those who meet the PBS </w:t>
      </w:r>
      <w:r w:rsidR="00687807" w:rsidRPr="009475AF">
        <w:t xml:space="preserve">requirements </w:t>
      </w:r>
      <w:r w:rsidR="00FA5893" w:rsidRPr="009475AF">
        <w:t xml:space="preserve">for use of omalizumab, </w:t>
      </w:r>
      <w:r w:rsidR="00FA5893" w:rsidRPr="009475AF">
        <w:rPr>
          <w:b/>
          <w:bCs/>
        </w:rPr>
        <w:t>except</w:t>
      </w:r>
      <w:r w:rsidR="00FA5893" w:rsidRPr="009475AF">
        <w:t xml:space="preserve"> the requirement to have total serum IgE </w:t>
      </w:r>
      <w:r w:rsidR="00FA5893" w:rsidRPr="009475AF">
        <w:sym w:font="Symbol" w:char="F0B3"/>
      </w:r>
      <w:r w:rsidR="00FA5893" w:rsidRPr="009475AF">
        <w:t xml:space="preserve"> 30 IU/mL</w:t>
      </w:r>
      <w:r w:rsidR="00687807" w:rsidRPr="009475AF">
        <w:t xml:space="preserve">. The submission proposed that Subgroup B patients </w:t>
      </w:r>
      <w:r w:rsidR="002C4506" w:rsidRPr="009475AF">
        <w:t>could qualify by either</w:t>
      </w:r>
      <w:r w:rsidR="00F65982" w:rsidRPr="009475AF">
        <w:t xml:space="preserve"> of two new requirements:</w:t>
      </w:r>
      <w:r w:rsidR="00FA5893" w:rsidRPr="009475AF">
        <w:t xml:space="preserve"> </w:t>
      </w:r>
      <w:r w:rsidR="00FA5893" w:rsidRPr="009475AF">
        <w:rPr>
          <w:b/>
          <w:bCs/>
        </w:rPr>
        <w:t>either</w:t>
      </w:r>
      <w:r w:rsidR="00FA5893" w:rsidRPr="009475AF">
        <w:t xml:space="preserve"> blood eosinophil count </w:t>
      </w:r>
      <w:r w:rsidR="00FA5893" w:rsidRPr="009475AF">
        <w:sym w:font="Symbol" w:char="F0B3"/>
      </w:r>
      <w:r w:rsidR="00FA5893" w:rsidRPr="009475AF">
        <w:t xml:space="preserve"> 0.15 x 10</w:t>
      </w:r>
      <w:r w:rsidR="00FA5893" w:rsidRPr="009475AF">
        <w:rPr>
          <w:vertAlign w:val="superscript"/>
        </w:rPr>
        <w:t>9</w:t>
      </w:r>
      <w:r w:rsidR="00FA5893" w:rsidRPr="009475AF">
        <w:t xml:space="preserve">/L </w:t>
      </w:r>
      <w:r w:rsidR="00FA5893" w:rsidRPr="009475AF">
        <w:rPr>
          <w:u w:val="single"/>
        </w:rPr>
        <w:t>or</w:t>
      </w:r>
      <w:r w:rsidR="00FA5893" w:rsidRPr="009475AF">
        <w:t xml:space="preserve"> FeNO  </w:t>
      </w:r>
      <w:r w:rsidR="00FA5893" w:rsidRPr="009475AF">
        <w:sym w:font="Symbol" w:char="F0B3"/>
      </w:r>
      <w:r w:rsidR="00FA5893" w:rsidRPr="009475AF">
        <w:t xml:space="preserve">  20 ppb. </w:t>
      </w:r>
    </w:p>
    <w:p w14:paraId="1A7415D4" w14:textId="578F9FDC" w:rsidR="001A296D" w:rsidRPr="009475AF" w:rsidRDefault="001A296D" w:rsidP="001A296D">
      <w:pPr>
        <w:pStyle w:val="3-BodyText"/>
      </w:pPr>
      <w:r w:rsidRPr="009475AF">
        <w:t>Two clinical claims were made: for patients in Subgroup A, dupilumab was non-inferior in efficacy and safety to omalizumab, and for patients in Subgroup B, dupilumab was superior in efficacy and non-inferior in safety compared to placebo</w:t>
      </w:r>
      <w:r w:rsidR="00F7263A">
        <w:t>.</w:t>
      </w:r>
    </w:p>
    <w:p w14:paraId="4783A505" w14:textId="69C2AD52" w:rsidR="00CB5589" w:rsidRPr="009475AF" w:rsidRDefault="00CB5589" w:rsidP="00CB5589">
      <w:pPr>
        <w:pStyle w:val="3-BodyText"/>
      </w:pPr>
      <w:r w:rsidRPr="009475AF">
        <w:t>Listi</w:t>
      </w:r>
      <w:r w:rsidR="002A4C44">
        <w:t>ng</w:t>
      </w:r>
      <w:r w:rsidRPr="009475AF">
        <w:t xml:space="preserve"> was requested on the basis of a cost-minimisation approach versus omalizumab</w:t>
      </w:r>
      <w:r w:rsidR="009475AF">
        <w:t xml:space="preserve">. </w:t>
      </w:r>
    </w:p>
    <w:p w14:paraId="3718DE61" w14:textId="3969373F" w:rsidR="008B1757" w:rsidRPr="009475AF" w:rsidRDefault="00696EF9" w:rsidP="004A6040">
      <w:pPr>
        <w:pStyle w:val="TableFigureHeading"/>
        <w:rPr>
          <w:rStyle w:val="CommentReference"/>
          <w:b/>
          <w:szCs w:val="24"/>
        </w:rPr>
      </w:pPr>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1</w:t>
      </w:r>
      <w:r w:rsidR="00696736">
        <w:fldChar w:fldCharType="end"/>
      </w:r>
      <w:r w:rsidRPr="009475AF">
        <w:t>:</w:t>
      </w:r>
      <w:r w:rsidR="00BC591F" w:rsidRPr="009475AF">
        <w:rPr>
          <w:rStyle w:val="CommentReference"/>
          <w:b/>
          <w:szCs w:val="24"/>
        </w:rPr>
        <w:t xml:space="preserve"> </w:t>
      </w:r>
      <w:r w:rsidR="008B1757" w:rsidRPr="009475AF">
        <w:rPr>
          <w:rStyle w:val="CommentReference"/>
          <w:b/>
          <w:szCs w:val="24"/>
        </w:rPr>
        <w:t>Key components of the clinical issue addressed by the submission</w:t>
      </w:r>
      <w:r w:rsidR="007170DA" w:rsidRPr="009475A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666"/>
        <w:gridCol w:w="7351"/>
      </w:tblGrid>
      <w:tr w:rsidR="008B1757" w:rsidRPr="009475AF" w14:paraId="569F5103" w14:textId="77777777" w:rsidTr="002A2ADE">
        <w:trPr>
          <w:cantSplit/>
          <w:tblHeader/>
        </w:trPr>
        <w:tc>
          <w:tcPr>
            <w:tcW w:w="924" w:type="pct"/>
            <w:shd w:val="clear" w:color="auto" w:fill="auto"/>
          </w:tcPr>
          <w:p w14:paraId="501803FB" w14:textId="77777777" w:rsidR="008B1757" w:rsidRPr="009475AF" w:rsidRDefault="008B1757" w:rsidP="004A6040">
            <w:pPr>
              <w:pStyle w:val="In-tableHeading"/>
              <w:rPr>
                <w:szCs w:val="20"/>
                <w:lang w:val="en-AU"/>
              </w:rPr>
            </w:pPr>
            <w:r w:rsidRPr="009475AF">
              <w:rPr>
                <w:lang w:val="en-AU"/>
              </w:rPr>
              <w:t>Component</w:t>
            </w:r>
          </w:p>
        </w:tc>
        <w:tc>
          <w:tcPr>
            <w:tcW w:w="4076" w:type="pct"/>
            <w:shd w:val="clear" w:color="auto" w:fill="auto"/>
          </w:tcPr>
          <w:p w14:paraId="445D9EBB" w14:textId="77777777" w:rsidR="008B1757" w:rsidRPr="009475AF" w:rsidRDefault="008B1757" w:rsidP="004A6040">
            <w:pPr>
              <w:pStyle w:val="In-tableHeading"/>
              <w:rPr>
                <w:lang w:val="en-AU"/>
              </w:rPr>
            </w:pPr>
            <w:r w:rsidRPr="009475AF">
              <w:rPr>
                <w:lang w:val="en-AU"/>
              </w:rPr>
              <w:t>Description</w:t>
            </w:r>
          </w:p>
        </w:tc>
      </w:tr>
      <w:tr w:rsidR="008B1757" w:rsidRPr="009475AF" w14:paraId="2EB546E2" w14:textId="77777777" w:rsidTr="002A2ADE">
        <w:trPr>
          <w:cantSplit/>
        </w:trPr>
        <w:tc>
          <w:tcPr>
            <w:tcW w:w="924" w:type="pct"/>
            <w:shd w:val="clear" w:color="auto" w:fill="auto"/>
          </w:tcPr>
          <w:p w14:paraId="38F3BB34" w14:textId="77777777" w:rsidR="008B1757" w:rsidRPr="009475AF" w:rsidRDefault="008B1757" w:rsidP="004A6040">
            <w:pPr>
              <w:pStyle w:val="TableText0"/>
            </w:pPr>
            <w:r w:rsidRPr="009475AF">
              <w:t>Population</w:t>
            </w:r>
          </w:p>
        </w:tc>
        <w:tc>
          <w:tcPr>
            <w:tcW w:w="4076" w:type="pct"/>
            <w:shd w:val="clear" w:color="auto" w:fill="auto"/>
          </w:tcPr>
          <w:p w14:paraId="05997152" w14:textId="77777777" w:rsidR="00C62834" w:rsidRPr="009475AF" w:rsidRDefault="00C62834" w:rsidP="00C62834">
            <w:pPr>
              <w:pStyle w:val="TableText0"/>
              <w:rPr>
                <w:szCs w:val="20"/>
              </w:rPr>
            </w:pPr>
            <w:r w:rsidRPr="009475AF">
              <w:rPr>
                <w:szCs w:val="20"/>
              </w:rPr>
              <w:t xml:space="preserve">Patients 6 to 11 years of age with uncontrolled severe asthma. This includes: </w:t>
            </w:r>
          </w:p>
          <w:p w14:paraId="6A9D1367" w14:textId="77777777" w:rsidR="00C62834" w:rsidRPr="009475AF" w:rsidRDefault="00C62834" w:rsidP="00480926">
            <w:pPr>
              <w:pStyle w:val="TableText0"/>
              <w:numPr>
                <w:ilvl w:val="0"/>
                <w:numId w:val="7"/>
              </w:numPr>
              <w:rPr>
                <w:szCs w:val="20"/>
              </w:rPr>
            </w:pPr>
            <w:r w:rsidRPr="009475AF">
              <w:rPr>
                <w:szCs w:val="20"/>
              </w:rPr>
              <w:t xml:space="preserve">‘Subgroup A’ patients with </w:t>
            </w:r>
            <w:r w:rsidRPr="009475AF">
              <w:rPr>
                <w:szCs w:val="20"/>
                <w:u w:val="single"/>
              </w:rPr>
              <w:t>IgE ≥ 30 IU/mL</w:t>
            </w:r>
            <w:r w:rsidRPr="009475AF">
              <w:rPr>
                <w:szCs w:val="20"/>
              </w:rPr>
              <w:t xml:space="preserve"> ± EOS ≥ 150 cells/µL ± FeNO ≥ 20 ppb (omalizumab-eligible patients)</w:t>
            </w:r>
          </w:p>
          <w:p w14:paraId="79618EEE" w14:textId="26FE5499" w:rsidR="00233C01" w:rsidRPr="009475AF" w:rsidRDefault="00C62834" w:rsidP="00480926">
            <w:pPr>
              <w:pStyle w:val="TableText0"/>
              <w:numPr>
                <w:ilvl w:val="0"/>
                <w:numId w:val="7"/>
              </w:numPr>
              <w:rPr>
                <w:szCs w:val="20"/>
              </w:rPr>
            </w:pPr>
            <w:r w:rsidRPr="009475AF">
              <w:rPr>
                <w:szCs w:val="20"/>
              </w:rPr>
              <w:t xml:space="preserve">‘Subgroup B’ patients with </w:t>
            </w:r>
            <w:r w:rsidRPr="009475AF">
              <w:rPr>
                <w:szCs w:val="20"/>
                <w:u w:val="single"/>
              </w:rPr>
              <w:t>IgE &lt; 30 IU/mL</w:t>
            </w:r>
            <w:r w:rsidRPr="009475AF">
              <w:rPr>
                <w:szCs w:val="20"/>
              </w:rPr>
              <w:t xml:space="preserve"> with EOS ≥ 150 cells/µL AND/OR FeNO ≥ 20 ppb (non-omalizumab eligible patients)</w:t>
            </w:r>
          </w:p>
        </w:tc>
      </w:tr>
      <w:tr w:rsidR="008B1757" w:rsidRPr="009475AF" w14:paraId="0CA523AF" w14:textId="77777777" w:rsidTr="002A2ADE">
        <w:trPr>
          <w:cantSplit/>
        </w:trPr>
        <w:tc>
          <w:tcPr>
            <w:tcW w:w="924" w:type="pct"/>
            <w:shd w:val="clear" w:color="auto" w:fill="auto"/>
          </w:tcPr>
          <w:p w14:paraId="7B6D20D8" w14:textId="77777777" w:rsidR="008B1757" w:rsidRPr="009475AF" w:rsidRDefault="008B1757" w:rsidP="004A6040">
            <w:pPr>
              <w:pStyle w:val="TableText0"/>
            </w:pPr>
            <w:r w:rsidRPr="009475AF">
              <w:t>Intervention</w:t>
            </w:r>
          </w:p>
        </w:tc>
        <w:tc>
          <w:tcPr>
            <w:tcW w:w="4076" w:type="pct"/>
            <w:shd w:val="clear" w:color="auto" w:fill="auto"/>
          </w:tcPr>
          <w:p w14:paraId="59D8503E" w14:textId="3389C5EB" w:rsidR="00C62834" w:rsidRPr="009475AF" w:rsidRDefault="00C62834" w:rsidP="00C62834">
            <w:pPr>
              <w:pStyle w:val="TableText0"/>
            </w:pPr>
            <w:r w:rsidRPr="009475AF">
              <w:t xml:space="preserve">VOYAGE </w:t>
            </w:r>
            <w:r w:rsidR="00512FE5" w:rsidRPr="009475AF">
              <w:t>d</w:t>
            </w:r>
            <w:r w:rsidRPr="009475AF">
              <w:t>osing</w:t>
            </w:r>
          </w:p>
          <w:p w14:paraId="5A8B5328" w14:textId="40286685" w:rsidR="00C62834" w:rsidRPr="009475AF" w:rsidRDefault="00C62834" w:rsidP="00F66049">
            <w:pPr>
              <w:pStyle w:val="TableText0"/>
              <w:numPr>
                <w:ilvl w:val="0"/>
                <w:numId w:val="26"/>
              </w:numPr>
            </w:pPr>
            <w:r w:rsidRPr="009475AF">
              <w:t>Patients weighing ≤ 30 kg: 100 mg Q2W</w:t>
            </w:r>
          </w:p>
          <w:p w14:paraId="2E02104E" w14:textId="68F1C84B" w:rsidR="00C62834" w:rsidRPr="009475AF" w:rsidRDefault="00C62834" w:rsidP="00F66049">
            <w:pPr>
              <w:pStyle w:val="TableText0"/>
              <w:numPr>
                <w:ilvl w:val="0"/>
                <w:numId w:val="26"/>
              </w:numPr>
            </w:pPr>
            <w:r w:rsidRPr="009475AF">
              <w:t>Patients weighing &gt; 30 kg: 200 mg Q2W</w:t>
            </w:r>
          </w:p>
          <w:p w14:paraId="203853F5" w14:textId="77777777" w:rsidR="00C62834" w:rsidRPr="009475AF" w:rsidRDefault="00C62834" w:rsidP="00C62834">
            <w:pPr>
              <w:pStyle w:val="TableText0"/>
            </w:pPr>
            <w:r w:rsidRPr="009475AF">
              <w:t xml:space="preserve">Requested PBS dosing (as per dupilumab product information) </w:t>
            </w:r>
          </w:p>
          <w:p w14:paraId="2BF9ACC1" w14:textId="1E9DC621" w:rsidR="00C62834" w:rsidRPr="009475AF" w:rsidRDefault="00C62834" w:rsidP="00F66049">
            <w:pPr>
              <w:pStyle w:val="TableText0"/>
              <w:numPr>
                <w:ilvl w:val="0"/>
                <w:numId w:val="27"/>
              </w:numPr>
            </w:pPr>
            <w:r w:rsidRPr="009475AF">
              <w:t>Patients weighing 15 - &lt;30 kg: 300 mg Q4W</w:t>
            </w:r>
          </w:p>
          <w:p w14:paraId="24653E48" w14:textId="25C6B482" w:rsidR="00C62834" w:rsidRPr="009475AF" w:rsidRDefault="00C62834" w:rsidP="00F66049">
            <w:pPr>
              <w:pStyle w:val="TableText0"/>
              <w:numPr>
                <w:ilvl w:val="0"/>
                <w:numId w:val="27"/>
              </w:numPr>
            </w:pPr>
            <w:r w:rsidRPr="009475AF">
              <w:t>Patients weighing 30 - &lt;60 kg: 200 mg Q2W or 300 mg Q4W</w:t>
            </w:r>
          </w:p>
          <w:p w14:paraId="2491E905" w14:textId="5307B4DE" w:rsidR="00233C01" w:rsidRPr="009475AF" w:rsidRDefault="00C62834" w:rsidP="00F66049">
            <w:pPr>
              <w:pStyle w:val="TableText0"/>
              <w:numPr>
                <w:ilvl w:val="0"/>
                <w:numId w:val="27"/>
              </w:numPr>
            </w:pPr>
            <w:r w:rsidRPr="009475AF">
              <w:t>Patients weighing ≥ 60 kg: 200 mg Q2W</w:t>
            </w:r>
          </w:p>
        </w:tc>
      </w:tr>
      <w:tr w:rsidR="008B1757" w:rsidRPr="009475AF" w14:paraId="0F81EBE4" w14:textId="77777777" w:rsidTr="002A2ADE">
        <w:trPr>
          <w:cantSplit/>
        </w:trPr>
        <w:tc>
          <w:tcPr>
            <w:tcW w:w="924" w:type="pct"/>
            <w:shd w:val="clear" w:color="auto" w:fill="auto"/>
          </w:tcPr>
          <w:p w14:paraId="3656B343" w14:textId="77777777" w:rsidR="008B1757" w:rsidRPr="009475AF" w:rsidRDefault="008B1757" w:rsidP="004A6040">
            <w:pPr>
              <w:pStyle w:val="TableText0"/>
            </w:pPr>
            <w:r w:rsidRPr="009475AF">
              <w:t>Comparator</w:t>
            </w:r>
          </w:p>
        </w:tc>
        <w:tc>
          <w:tcPr>
            <w:tcW w:w="4076" w:type="pct"/>
            <w:shd w:val="clear" w:color="auto" w:fill="auto"/>
          </w:tcPr>
          <w:p w14:paraId="773B803E" w14:textId="77777777" w:rsidR="00C62834" w:rsidRPr="009475AF" w:rsidRDefault="00C62834" w:rsidP="00C62834">
            <w:pPr>
              <w:pStyle w:val="TableText0"/>
            </w:pPr>
            <w:r w:rsidRPr="009475AF">
              <w:t>‘Subgroup A’:  omalizumab</w:t>
            </w:r>
          </w:p>
          <w:p w14:paraId="3727DE24" w14:textId="40B3C15C" w:rsidR="00233C01" w:rsidRPr="009475AF" w:rsidRDefault="00C62834" w:rsidP="00C62834">
            <w:pPr>
              <w:pStyle w:val="TableText0"/>
            </w:pPr>
            <w:r w:rsidRPr="009475AF">
              <w:t>‘Subgroup B’: Placebo, representing Standard of Care (SoC)</w:t>
            </w:r>
          </w:p>
        </w:tc>
      </w:tr>
      <w:tr w:rsidR="008B1757" w:rsidRPr="009475AF" w14:paraId="02F86F0D" w14:textId="77777777" w:rsidTr="002A2ADE">
        <w:trPr>
          <w:cantSplit/>
        </w:trPr>
        <w:tc>
          <w:tcPr>
            <w:tcW w:w="924" w:type="pct"/>
            <w:shd w:val="clear" w:color="auto" w:fill="auto"/>
          </w:tcPr>
          <w:p w14:paraId="06433105" w14:textId="77777777" w:rsidR="008B1757" w:rsidRPr="009475AF" w:rsidRDefault="008B1757" w:rsidP="004A6040">
            <w:pPr>
              <w:pStyle w:val="TableText0"/>
            </w:pPr>
            <w:r w:rsidRPr="009475AF">
              <w:t>Outcomes</w:t>
            </w:r>
          </w:p>
        </w:tc>
        <w:tc>
          <w:tcPr>
            <w:tcW w:w="4076" w:type="pct"/>
            <w:shd w:val="clear" w:color="auto" w:fill="auto"/>
          </w:tcPr>
          <w:p w14:paraId="2D7EC064" w14:textId="490A1434" w:rsidR="00F66049" w:rsidRPr="009475AF" w:rsidRDefault="00C62834" w:rsidP="00C62834">
            <w:pPr>
              <w:pStyle w:val="TableText0"/>
              <w:rPr>
                <w:rFonts w:eastAsia="Times New Roman" w:cs="Arial"/>
                <w:bCs w:val="0"/>
                <w:snapToGrid w:val="0"/>
                <w:szCs w:val="20"/>
              </w:rPr>
            </w:pPr>
            <w:r w:rsidRPr="009475AF">
              <w:rPr>
                <w:rFonts w:eastAsia="Times New Roman" w:cs="Arial"/>
                <w:bCs w:val="0"/>
                <w:snapToGrid w:val="0"/>
                <w:szCs w:val="20"/>
              </w:rPr>
              <w:t>Primary: annualised rate of severe asthma exacerbations</w:t>
            </w:r>
          </w:p>
          <w:p w14:paraId="5ABC4037" w14:textId="01DC948C" w:rsidR="00233C01" w:rsidRPr="009475AF" w:rsidRDefault="00C62834" w:rsidP="00C62834">
            <w:pPr>
              <w:pStyle w:val="TableText0"/>
              <w:rPr>
                <w:rFonts w:eastAsia="Times New Roman" w:cs="Arial"/>
                <w:bCs w:val="0"/>
                <w:snapToGrid w:val="0"/>
                <w:szCs w:val="20"/>
              </w:rPr>
            </w:pPr>
            <w:r w:rsidRPr="009475AF">
              <w:rPr>
                <w:rFonts w:eastAsia="Times New Roman" w:cs="Arial"/>
                <w:bCs w:val="0"/>
                <w:snapToGrid w:val="0"/>
                <w:szCs w:val="20"/>
              </w:rPr>
              <w:t>Secondary: change from baseline in percent predicted pre BD FEV1, change from baseline in ACQ-7-IA, change from baseline in FeNO, change in percent predicted FEV1  over time, loss of asthma control events, change in lung function measures, change in daily efficacy assessments (systemic corticosteroids, morning symptoms, nocturnal symptoms, reliever medication use), change in patient reported outcomes (ACQ-7-IA, ACQ-5-IA, PAQLA(S)-IA).</w:t>
            </w:r>
          </w:p>
        </w:tc>
      </w:tr>
      <w:tr w:rsidR="008B1757" w:rsidRPr="009475AF" w14:paraId="22223890" w14:textId="77777777" w:rsidTr="002A2ADE">
        <w:trPr>
          <w:cantSplit/>
        </w:trPr>
        <w:tc>
          <w:tcPr>
            <w:tcW w:w="924" w:type="pct"/>
            <w:shd w:val="clear" w:color="auto" w:fill="auto"/>
          </w:tcPr>
          <w:p w14:paraId="0FC8FCE0" w14:textId="77777777" w:rsidR="008B1757" w:rsidRPr="009475AF" w:rsidRDefault="008B1757" w:rsidP="004A6040">
            <w:pPr>
              <w:pStyle w:val="TableText0"/>
            </w:pPr>
            <w:r w:rsidRPr="009475AF">
              <w:t>Clinical claim</w:t>
            </w:r>
          </w:p>
        </w:tc>
        <w:tc>
          <w:tcPr>
            <w:tcW w:w="4076" w:type="pct"/>
            <w:shd w:val="clear" w:color="auto" w:fill="auto"/>
          </w:tcPr>
          <w:p w14:paraId="4CBB4AF3" w14:textId="69B29A16" w:rsidR="00C62834" w:rsidRPr="009475AF" w:rsidRDefault="00C62834" w:rsidP="00F66049">
            <w:pPr>
              <w:pStyle w:val="TableText0"/>
              <w:numPr>
                <w:ilvl w:val="0"/>
                <w:numId w:val="28"/>
              </w:numPr>
              <w:rPr>
                <w:rFonts w:eastAsia="Times New Roman" w:cs="Arial"/>
                <w:bCs w:val="0"/>
                <w:snapToGrid w:val="0"/>
                <w:szCs w:val="20"/>
              </w:rPr>
            </w:pPr>
            <w:r w:rsidRPr="009475AF">
              <w:rPr>
                <w:rFonts w:eastAsia="Times New Roman" w:cs="Arial"/>
                <w:bCs w:val="0"/>
                <w:snapToGrid w:val="0"/>
                <w:szCs w:val="20"/>
              </w:rPr>
              <w:t xml:space="preserve">‘Subgroup A’ - dupilumab has non-inferior efficacy and non-inferior safety compared to omalizumab for the treatment of paediatric patients with uncontrolled severe asthma </w:t>
            </w:r>
          </w:p>
          <w:p w14:paraId="2C99C4DE" w14:textId="03CE3E59" w:rsidR="00233C01" w:rsidRPr="009475AF" w:rsidRDefault="00C62834" w:rsidP="00F66049">
            <w:pPr>
              <w:pStyle w:val="TableText0"/>
              <w:numPr>
                <w:ilvl w:val="0"/>
                <w:numId w:val="28"/>
              </w:numPr>
              <w:rPr>
                <w:rFonts w:eastAsia="Times New Roman" w:cs="Arial"/>
                <w:bCs w:val="0"/>
                <w:snapToGrid w:val="0"/>
                <w:szCs w:val="20"/>
              </w:rPr>
            </w:pPr>
            <w:r w:rsidRPr="009475AF">
              <w:rPr>
                <w:rFonts w:eastAsia="Times New Roman" w:cs="Arial"/>
                <w:bCs w:val="0"/>
                <w:snapToGrid w:val="0"/>
                <w:szCs w:val="20"/>
              </w:rPr>
              <w:t>‘Subgroup B’ - dupilumab has superior efficacy and non-inferior safety compared to SoC for the treatment of paediatric patients with uncontrolled severe asthma</w:t>
            </w:r>
          </w:p>
        </w:tc>
      </w:tr>
    </w:tbl>
    <w:p w14:paraId="527CA7F0" w14:textId="67001FAF" w:rsidR="004E43B2" w:rsidRPr="009475AF" w:rsidRDefault="008B1757" w:rsidP="004A6040">
      <w:pPr>
        <w:pStyle w:val="FooterTableFigure"/>
        <w:rPr>
          <w:sz w:val="20"/>
        </w:rPr>
      </w:pPr>
      <w:r w:rsidRPr="009475AF">
        <w:t>Source: Table</w:t>
      </w:r>
      <w:r w:rsidR="00C62834" w:rsidRPr="009475AF">
        <w:t xml:space="preserve"> ES</w:t>
      </w:r>
      <w:r w:rsidR="00173CBA" w:rsidRPr="009475AF">
        <w:t>.1</w:t>
      </w:r>
      <w:r w:rsidRPr="009475AF">
        <w:t xml:space="preserve"> of the submission.</w:t>
      </w:r>
      <w:r w:rsidR="00173CBA" w:rsidRPr="009475AF">
        <w:t xml:space="preserve"> Abbreviations: IgE = immunoglobulin E; EOS = eosinophils; FeNO = fractional exhaled nitr</w:t>
      </w:r>
      <w:r w:rsidR="0083250F" w:rsidRPr="009475AF">
        <w:t>ic</w:t>
      </w:r>
      <w:r w:rsidR="00173CBA" w:rsidRPr="009475AF">
        <w:t xml:space="preserve"> oxide; Q2W = every two weeks; Q4W = every four weeks; SoC = standard of care; BD = bronchodilator; FEV1 = forced expiratory volume </w:t>
      </w:r>
      <w:r w:rsidR="00DB2182" w:rsidRPr="009475AF">
        <w:t xml:space="preserve">in </w:t>
      </w:r>
      <w:r w:rsidR="00173CBA" w:rsidRPr="009475AF">
        <w:t>1 second; ACQ-IA = asthma control questionnaire interviewer administered; PAQLA(S)-IA = paediatric asthma quality of life questionnaire with standardised activities interviewer administered; µL = microlitre; ppb = parts per billion</w:t>
      </w:r>
    </w:p>
    <w:p w14:paraId="6B4AB6C2" w14:textId="7F01D731" w:rsidR="005C25FF" w:rsidRPr="009475AF" w:rsidRDefault="005C25FF" w:rsidP="004A6040">
      <w:pPr>
        <w:pStyle w:val="2-SectionHeading"/>
      </w:pPr>
      <w:bookmarkStart w:id="3" w:name="_Toc156912909"/>
      <w:r w:rsidRPr="009475AF">
        <w:t>Background</w:t>
      </w:r>
      <w:bookmarkEnd w:id="3"/>
    </w:p>
    <w:p w14:paraId="2C521D6D" w14:textId="78CF03EE" w:rsidR="005C25FF" w:rsidRPr="009475AF" w:rsidRDefault="005C25FF" w:rsidP="004A6040">
      <w:pPr>
        <w:pStyle w:val="4-SubsectionHeading"/>
      </w:pPr>
      <w:bookmarkStart w:id="4" w:name="_Toc22897638"/>
      <w:bookmarkStart w:id="5" w:name="_Toc156912910"/>
      <w:r w:rsidRPr="009475AF">
        <w:t>Registration status</w:t>
      </w:r>
      <w:bookmarkEnd w:id="4"/>
      <w:bookmarkEnd w:id="5"/>
    </w:p>
    <w:p w14:paraId="5687ECCD" w14:textId="14967E37" w:rsidR="00CF3A1B" w:rsidRPr="009475AF" w:rsidRDefault="003D22E2" w:rsidP="00A63ED5">
      <w:pPr>
        <w:pStyle w:val="3-BodyText"/>
      </w:pPr>
      <w:r w:rsidRPr="009475AF">
        <w:t>Dupilumab</w:t>
      </w:r>
      <w:r w:rsidR="005C25FF" w:rsidRPr="009475AF">
        <w:t xml:space="preserve"> was </w:t>
      </w:r>
      <w:r w:rsidRPr="009475AF">
        <w:t xml:space="preserve">initially </w:t>
      </w:r>
      <w:r w:rsidR="005C25FF" w:rsidRPr="009475AF">
        <w:t>TGA registered</w:t>
      </w:r>
      <w:r w:rsidRPr="009475AF">
        <w:t xml:space="preserve"> </w:t>
      </w:r>
      <w:r w:rsidR="00E315F4" w:rsidRPr="009475AF">
        <w:t xml:space="preserve">in </w:t>
      </w:r>
      <w:r w:rsidRPr="009475AF">
        <w:t>January 2018 for the treatment of atopic dermatitis in adults</w:t>
      </w:r>
      <w:r w:rsidR="00BC29F3" w:rsidRPr="009475AF">
        <w:t>, and is currently registered for prurigo nodularis, asthma and chronic rhinosinusitis with nasal polyposis</w:t>
      </w:r>
      <w:r w:rsidR="009475AF">
        <w:t xml:space="preserve">. </w:t>
      </w:r>
      <w:r w:rsidRPr="009475AF">
        <w:t>The indication was expanded on 29</w:t>
      </w:r>
      <w:r w:rsidR="00DB0B29">
        <w:t> </w:t>
      </w:r>
      <w:r w:rsidR="00DB0B29" w:rsidRPr="009475AF">
        <w:t>June</w:t>
      </w:r>
      <w:r w:rsidR="00DB0B29">
        <w:t> </w:t>
      </w:r>
      <w:r w:rsidRPr="009475AF">
        <w:t>2022</w:t>
      </w:r>
      <w:r w:rsidR="00A63ED5" w:rsidRPr="009475AF">
        <w:t xml:space="preserve"> to include “add on maintenance treatment in patients aged 6 years and older with moderate to severe asthma with type 2 inflammation (elevated eosinophils or elevated FeNO) that is inadequately controlled despite therapy with other medicinal products for maintenance treatment”</w:t>
      </w:r>
      <w:r w:rsidRPr="009475AF">
        <w:t>.</w:t>
      </w:r>
      <w:r w:rsidR="005C25FF" w:rsidRPr="009475AF">
        <w:t xml:space="preserve"> </w:t>
      </w:r>
      <w:r w:rsidR="00A63ED5" w:rsidRPr="009475AF">
        <w:rPr>
          <w:rStyle w:val="FootnoteReference"/>
          <w:iCs/>
        </w:rPr>
        <w:footnoteReference w:id="2"/>
      </w:r>
    </w:p>
    <w:p w14:paraId="3E2A6EAB" w14:textId="0ACC5764" w:rsidR="005C25FF" w:rsidRPr="009475AF" w:rsidRDefault="005C25FF" w:rsidP="00D4247E">
      <w:pPr>
        <w:pStyle w:val="4-SubsectionHeading"/>
        <w:tabs>
          <w:tab w:val="left" w:pos="6924"/>
        </w:tabs>
      </w:pPr>
      <w:bookmarkStart w:id="6" w:name="_Toc22897639"/>
      <w:bookmarkStart w:id="7" w:name="_Toc156912911"/>
      <w:r w:rsidRPr="009475AF">
        <w:t>Previous PBAC consideration</w:t>
      </w:r>
      <w:bookmarkEnd w:id="6"/>
      <w:bookmarkEnd w:id="7"/>
    </w:p>
    <w:p w14:paraId="2C15A54F" w14:textId="6A518BFC" w:rsidR="00F45417" w:rsidRPr="009475AF" w:rsidRDefault="004C1B31" w:rsidP="009326B0">
      <w:pPr>
        <w:pStyle w:val="3-BodyText"/>
        <w:rPr>
          <w:color w:val="0066FF"/>
        </w:rPr>
      </w:pPr>
      <w:r w:rsidRPr="009475AF">
        <w:t>The PBAC has not previously considered a submission for dupilumab for paediatric asthma</w:t>
      </w:r>
      <w:r w:rsidR="009475AF">
        <w:t xml:space="preserve">. </w:t>
      </w:r>
    </w:p>
    <w:p w14:paraId="10976176" w14:textId="5C41507F" w:rsidR="00F45417" w:rsidRPr="009475AF" w:rsidRDefault="009326B0" w:rsidP="009326B0">
      <w:pPr>
        <w:pStyle w:val="3-BodyText"/>
        <w:rPr>
          <w:color w:val="0066FF"/>
        </w:rPr>
      </w:pPr>
      <w:r w:rsidRPr="009475AF">
        <w:lastRenderedPageBreak/>
        <w:t xml:space="preserve">In November 2020 </w:t>
      </w:r>
      <w:r w:rsidR="0007115F" w:rsidRPr="009475AF">
        <w:t>t</w:t>
      </w:r>
      <w:r w:rsidRPr="009475AF">
        <w:t>he PBAC recommended dupilumab for use in adults and adolescents</w:t>
      </w:r>
      <w:r w:rsidR="004C1B31" w:rsidRPr="009475AF">
        <w:t xml:space="preserve"> with uncontrolled severe allergic or eosinophilic asthma</w:t>
      </w:r>
      <w:r w:rsidRPr="009475AF">
        <w:t xml:space="preserve"> on the basis of a cost</w:t>
      </w:r>
      <w:r w:rsidR="00B00ECE" w:rsidRPr="009475AF">
        <w:t>-</w:t>
      </w:r>
      <w:r w:rsidRPr="009475AF">
        <w:t>mini</w:t>
      </w:r>
      <w:r w:rsidR="00B00ECE" w:rsidRPr="009475AF">
        <w:t>mi</w:t>
      </w:r>
      <w:r w:rsidRPr="009475AF">
        <w:t>sation approach compared to the least costly of benralizumab, mepolizumab and omalizumab</w:t>
      </w:r>
      <w:r w:rsidR="004C1B31" w:rsidRPr="009475AF">
        <w:t xml:space="preserve"> </w:t>
      </w:r>
      <w:r w:rsidR="00550AB6" w:rsidRPr="009475AF">
        <w:t>(</w:t>
      </w:r>
      <w:r w:rsidR="004C1B31" w:rsidRPr="009475AF">
        <w:t>listed 1 April 2021)</w:t>
      </w:r>
      <w:r w:rsidR="009475AF">
        <w:t xml:space="preserve">. </w:t>
      </w:r>
    </w:p>
    <w:p w14:paraId="4DA037F7" w14:textId="4947D6E6" w:rsidR="00F45417" w:rsidRPr="009475AF" w:rsidRDefault="009326B0" w:rsidP="009326B0">
      <w:pPr>
        <w:pStyle w:val="3-BodyText"/>
        <w:rPr>
          <w:color w:val="0066FF"/>
        </w:rPr>
      </w:pPr>
      <w:r w:rsidRPr="009475AF">
        <w:t xml:space="preserve">Dupilumab was recommended by the PBAC for use in adults and adolescents with atopic dermatitis </w:t>
      </w:r>
      <w:r w:rsidR="0007115F" w:rsidRPr="009475AF">
        <w:t xml:space="preserve">in March 2020 </w:t>
      </w:r>
      <w:r w:rsidRPr="009475AF">
        <w:t xml:space="preserve">and recommended for use in </w:t>
      </w:r>
      <w:r w:rsidR="0007115F" w:rsidRPr="009475AF">
        <w:t>paediatric</w:t>
      </w:r>
      <w:r w:rsidRPr="009475AF">
        <w:t xml:space="preserve"> </w:t>
      </w:r>
      <w:r w:rsidR="0007115F" w:rsidRPr="009475AF">
        <w:t>populations</w:t>
      </w:r>
      <w:r w:rsidRPr="009475AF">
        <w:t xml:space="preserve"> for that indication in March 2022</w:t>
      </w:r>
      <w:r w:rsidR="009475AF">
        <w:t xml:space="preserve">. </w:t>
      </w:r>
      <w:r w:rsidR="0007115F" w:rsidRPr="009475AF">
        <w:t xml:space="preserve">In its consideration in March 2022, the PBAC considered that the clinical evidence suggests the magnitude of benefit in patients aged 6-11 years is similar to that in the adult/adolescent population and the cost-effectiveness was acceptable at the same price per month as for the adult/adolescent population. </w:t>
      </w:r>
    </w:p>
    <w:p w14:paraId="3AC4C76E" w14:textId="4E347603" w:rsidR="005C25FF" w:rsidRPr="009475AF" w:rsidRDefault="009326B0" w:rsidP="009326B0">
      <w:pPr>
        <w:pStyle w:val="3-BodyText"/>
        <w:rPr>
          <w:color w:val="0066FF"/>
        </w:rPr>
      </w:pPr>
      <w:r w:rsidRPr="009475AF">
        <w:t xml:space="preserve">Listing for an autoinjector presentation for severe atopic dermatitis and uncontrolled severe asthma in patients 12 years and over </w:t>
      </w:r>
      <w:r w:rsidR="0007115F" w:rsidRPr="009475AF">
        <w:t xml:space="preserve">was recommended </w:t>
      </w:r>
      <w:r w:rsidRPr="009475AF">
        <w:t>in November 2022 (listing pending).</w:t>
      </w:r>
    </w:p>
    <w:p w14:paraId="35D1E57D" w14:textId="4EAD39DE" w:rsidR="002F74D4" w:rsidRPr="009475AF" w:rsidRDefault="002F74D4" w:rsidP="002F74D4">
      <w:pPr>
        <w:pStyle w:val="3-BodyText"/>
        <w:numPr>
          <w:ilvl w:val="0"/>
          <w:numId w:val="0"/>
        </w:numPr>
        <w:ind w:left="720"/>
        <w:rPr>
          <w:i/>
          <w:iCs/>
        </w:rPr>
      </w:pPr>
      <w:r w:rsidRPr="009475AF">
        <w:rPr>
          <w:i/>
          <w:iCs/>
        </w:rPr>
        <w:t>For more detail on PBAC’s view, see section 7 PBAC outcome.</w:t>
      </w:r>
    </w:p>
    <w:p w14:paraId="782DBA89" w14:textId="275647CF" w:rsidR="000F53FB" w:rsidRPr="009475AF" w:rsidRDefault="00B50DB8" w:rsidP="008A5850">
      <w:pPr>
        <w:pStyle w:val="2-SectionHeading"/>
      </w:pPr>
      <w:bookmarkStart w:id="8" w:name="_Toc107902078"/>
      <w:bookmarkStart w:id="9" w:name="_Toc156912912"/>
      <w:bookmarkEnd w:id="8"/>
      <w:r w:rsidRPr="009475AF">
        <w:t>Requested listing</w:t>
      </w:r>
      <w:bookmarkEnd w:id="9"/>
    </w:p>
    <w:p w14:paraId="480932C8" w14:textId="5D1D5AAE" w:rsidR="008D18F0" w:rsidRPr="009475AF" w:rsidRDefault="00BC29F3" w:rsidP="007C50F6">
      <w:pPr>
        <w:pStyle w:val="3-BodyText"/>
      </w:pPr>
      <w:r w:rsidRPr="009475AF">
        <w:t xml:space="preserve">The submission proposed four </w:t>
      </w:r>
      <w:r w:rsidR="004B309C" w:rsidRPr="009475AF">
        <w:t xml:space="preserve">sets of </w:t>
      </w:r>
      <w:r w:rsidRPr="009475AF">
        <w:t xml:space="preserve">restrictions including one for grandfathered patients. </w:t>
      </w:r>
      <w:r w:rsidR="008D18F0" w:rsidRPr="009475AF">
        <w:t xml:space="preserve">An abbreviated version of the proposed restrictions is presented below. </w:t>
      </w:r>
      <w:r w:rsidR="0050337A" w:rsidRPr="009475AF">
        <w:rPr>
          <w:rFonts w:cstheme="minorHAnsi"/>
          <w:iCs/>
        </w:rPr>
        <w:t>Suggestions and additions proposed by the Secretariat are added in italics and suggested deletions are crossed out with strikethrough.</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985"/>
        <w:gridCol w:w="945"/>
        <w:gridCol w:w="945"/>
        <w:gridCol w:w="945"/>
        <w:gridCol w:w="1275"/>
      </w:tblGrid>
      <w:tr w:rsidR="008D18F0" w:rsidRPr="009475AF" w14:paraId="74A62256" w14:textId="77777777" w:rsidTr="00792622">
        <w:trPr>
          <w:cantSplit/>
          <w:trHeight w:val="20"/>
        </w:trPr>
        <w:tc>
          <w:tcPr>
            <w:tcW w:w="2972" w:type="dxa"/>
            <w:vAlign w:val="center"/>
          </w:tcPr>
          <w:p w14:paraId="12054483" w14:textId="77777777" w:rsidR="008D18F0" w:rsidRPr="009475AF" w:rsidRDefault="008D18F0" w:rsidP="00286797">
            <w:pPr>
              <w:keepNext/>
              <w:keepLines/>
              <w:rPr>
                <w:rFonts w:ascii="Arial Narrow" w:hAnsi="Arial Narrow"/>
                <w:b/>
                <w:bCs/>
                <w:sz w:val="20"/>
                <w:szCs w:val="20"/>
              </w:rPr>
            </w:pPr>
            <w:bookmarkStart w:id="10" w:name="_Hlk104809055"/>
            <w:r w:rsidRPr="009475AF">
              <w:rPr>
                <w:rFonts w:ascii="Arial Narrow" w:hAnsi="Arial Narrow"/>
                <w:b/>
                <w:bCs/>
                <w:sz w:val="20"/>
                <w:szCs w:val="20"/>
              </w:rPr>
              <w:t>MEDICINAL PRODUCT</w:t>
            </w:r>
          </w:p>
          <w:p w14:paraId="6F221F18" w14:textId="77777777" w:rsidR="008D18F0" w:rsidRPr="009475AF" w:rsidRDefault="008D18F0" w:rsidP="00286797">
            <w:pPr>
              <w:keepNext/>
              <w:keepLines/>
              <w:rPr>
                <w:rFonts w:ascii="Arial Narrow" w:hAnsi="Arial Narrow"/>
                <w:b/>
                <w:sz w:val="20"/>
                <w:szCs w:val="20"/>
              </w:rPr>
            </w:pPr>
            <w:r w:rsidRPr="009475AF">
              <w:rPr>
                <w:rFonts w:ascii="Arial Narrow" w:hAnsi="Arial Narrow"/>
                <w:b/>
                <w:bCs/>
                <w:sz w:val="20"/>
                <w:szCs w:val="20"/>
              </w:rPr>
              <w:t>medicinal product pack</w:t>
            </w:r>
          </w:p>
        </w:tc>
        <w:tc>
          <w:tcPr>
            <w:tcW w:w="1985" w:type="dxa"/>
            <w:vAlign w:val="center"/>
          </w:tcPr>
          <w:p w14:paraId="0B0FBCD4" w14:textId="77777777" w:rsidR="008D18F0" w:rsidRPr="009475AF" w:rsidRDefault="008D18F0" w:rsidP="00286797">
            <w:pPr>
              <w:pStyle w:val="TableText0"/>
              <w:keepLines/>
              <w:rPr>
                <w:b/>
                <w:bCs w:val="0"/>
                <w:szCs w:val="20"/>
              </w:rPr>
            </w:pPr>
            <w:r w:rsidRPr="009475AF">
              <w:rPr>
                <w:b/>
                <w:bCs w:val="0"/>
                <w:snapToGrid w:val="0"/>
              </w:rPr>
              <w:t>Dispensed Price for Max. Qty (published*)</w:t>
            </w:r>
          </w:p>
        </w:tc>
        <w:tc>
          <w:tcPr>
            <w:tcW w:w="945" w:type="dxa"/>
            <w:vAlign w:val="center"/>
          </w:tcPr>
          <w:p w14:paraId="75CBD413" w14:textId="77777777" w:rsidR="008D18F0" w:rsidRPr="009475AF" w:rsidRDefault="008D18F0" w:rsidP="00286797">
            <w:pPr>
              <w:keepNext/>
              <w:keepLines/>
              <w:jc w:val="center"/>
              <w:rPr>
                <w:rFonts w:ascii="Arial Narrow" w:hAnsi="Arial Narrow"/>
                <w:b/>
                <w:sz w:val="20"/>
                <w:szCs w:val="20"/>
              </w:rPr>
            </w:pPr>
            <w:r w:rsidRPr="009475AF">
              <w:rPr>
                <w:rFonts w:ascii="Arial Narrow" w:hAnsi="Arial Narrow"/>
                <w:b/>
                <w:sz w:val="20"/>
                <w:szCs w:val="20"/>
              </w:rPr>
              <w:t>Max. qty packs</w:t>
            </w:r>
          </w:p>
        </w:tc>
        <w:tc>
          <w:tcPr>
            <w:tcW w:w="945" w:type="dxa"/>
            <w:vAlign w:val="center"/>
          </w:tcPr>
          <w:p w14:paraId="2793CC8C" w14:textId="77777777" w:rsidR="008D18F0" w:rsidRPr="009475AF" w:rsidRDefault="008D18F0" w:rsidP="00286797">
            <w:pPr>
              <w:keepNext/>
              <w:keepLines/>
              <w:jc w:val="center"/>
              <w:rPr>
                <w:rFonts w:ascii="Arial Narrow" w:hAnsi="Arial Narrow"/>
                <w:b/>
                <w:sz w:val="20"/>
                <w:szCs w:val="20"/>
              </w:rPr>
            </w:pPr>
            <w:r w:rsidRPr="009475AF">
              <w:rPr>
                <w:rFonts w:ascii="Arial Narrow" w:hAnsi="Arial Narrow"/>
                <w:b/>
                <w:sz w:val="20"/>
                <w:szCs w:val="20"/>
              </w:rPr>
              <w:t>Max. qty units</w:t>
            </w:r>
          </w:p>
        </w:tc>
        <w:tc>
          <w:tcPr>
            <w:tcW w:w="945" w:type="dxa"/>
            <w:vAlign w:val="center"/>
          </w:tcPr>
          <w:p w14:paraId="6C1AE335" w14:textId="77777777" w:rsidR="008D18F0" w:rsidRPr="009475AF" w:rsidRDefault="008D18F0" w:rsidP="00286797">
            <w:pPr>
              <w:keepNext/>
              <w:keepLines/>
              <w:jc w:val="center"/>
              <w:rPr>
                <w:rFonts w:ascii="Arial Narrow" w:hAnsi="Arial Narrow"/>
                <w:b/>
                <w:sz w:val="20"/>
                <w:szCs w:val="20"/>
              </w:rPr>
            </w:pPr>
            <w:r w:rsidRPr="009475AF">
              <w:rPr>
                <w:rFonts w:ascii="Arial Narrow" w:hAnsi="Arial Narrow"/>
                <w:b/>
                <w:sz w:val="20"/>
                <w:szCs w:val="20"/>
              </w:rPr>
              <w:t>№.of</w:t>
            </w:r>
          </w:p>
          <w:p w14:paraId="5E8B6BFA" w14:textId="77777777" w:rsidR="008D18F0" w:rsidRPr="009475AF" w:rsidRDefault="008D18F0" w:rsidP="00286797">
            <w:pPr>
              <w:keepNext/>
              <w:keepLines/>
              <w:jc w:val="center"/>
              <w:rPr>
                <w:rFonts w:ascii="Arial Narrow" w:hAnsi="Arial Narrow"/>
                <w:b/>
                <w:sz w:val="20"/>
                <w:szCs w:val="20"/>
              </w:rPr>
            </w:pPr>
            <w:r w:rsidRPr="009475AF">
              <w:rPr>
                <w:rFonts w:ascii="Arial Narrow" w:hAnsi="Arial Narrow"/>
                <w:b/>
                <w:sz w:val="20"/>
                <w:szCs w:val="20"/>
              </w:rPr>
              <w:t>Rpts</w:t>
            </w:r>
          </w:p>
        </w:tc>
        <w:tc>
          <w:tcPr>
            <w:tcW w:w="1275" w:type="dxa"/>
            <w:vAlign w:val="center"/>
          </w:tcPr>
          <w:p w14:paraId="25BA3C40" w14:textId="77777777" w:rsidR="008D18F0" w:rsidRPr="009475AF" w:rsidRDefault="008D18F0" w:rsidP="00286797">
            <w:pPr>
              <w:keepNext/>
              <w:keepLines/>
              <w:jc w:val="center"/>
              <w:rPr>
                <w:rFonts w:ascii="Arial Narrow" w:hAnsi="Arial Narrow"/>
                <w:b/>
                <w:sz w:val="20"/>
                <w:szCs w:val="20"/>
              </w:rPr>
            </w:pPr>
            <w:r w:rsidRPr="009475AF">
              <w:rPr>
                <w:rFonts w:ascii="Arial Narrow" w:hAnsi="Arial Narrow"/>
                <w:b/>
                <w:sz w:val="20"/>
                <w:szCs w:val="20"/>
              </w:rPr>
              <w:t>Available brands</w:t>
            </w:r>
          </w:p>
        </w:tc>
      </w:tr>
      <w:tr w:rsidR="008D18F0" w:rsidRPr="009475AF" w14:paraId="666BD40A" w14:textId="77777777" w:rsidTr="00792622">
        <w:trPr>
          <w:cantSplit/>
          <w:trHeight w:val="20"/>
        </w:trPr>
        <w:tc>
          <w:tcPr>
            <w:tcW w:w="9067" w:type="dxa"/>
            <w:gridSpan w:val="6"/>
            <w:vAlign w:val="center"/>
          </w:tcPr>
          <w:p w14:paraId="24803B33" w14:textId="77777777" w:rsidR="008D18F0" w:rsidRPr="009475AF" w:rsidRDefault="008D18F0" w:rsidP="00286797">
            <w:pPr>
              <w:pStyle w:val="TableText0"/>
              <w:keepLines/>
              <w:rPr>
                <w:rFonts w:cs="Arial"/>
                <w:szCs w:val="20"/>
              </w:rPr>
            </w:pPr>
            <w:r w:rsidRPr="009475AF">
              <w:t>DUPILUMAB</w:t>
            </w:r>
            <w:r w:rsidRPr="009475AF">
              <w:rPr>
                <w:rFonts w:cs="Arial"/>
                <w:color w:val="0066FF"/>
                <w:szCs w:val="20"/>
              </w:rPr>
              <w:t xml:space="preserve"> </w:t>
            </w:r>
          </w:p>
        </w:tc>
      </w:tr>
      <w:tr w:rsidR="008D18F0" w:rsidRPr="009475AF" w14:paraId="313C5C51" w14:textId="77777777" w:rsidTr="00792622">
        <w:trPr>
          <w:cantSplit/>
          <w:trHeight w:val="20"/>
        </w:trPr>
        <w:tc>
          <w:tcPr>
            <w:tcW w:w="2972" w:type="dxa"/>
            <w:vAlign w:val="center"/>
          </w:tcPr>
          <w:p w14:paraId="51B26C88"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Initial 1/Initial 2</w:t>
            </w:r>
          </w:p>
          <w:p w14:paraId="44FA82A2" w14:textId="77777777" w:rsidR="008D18F0" w:rsidRPr="009475AF" w:rsidRDefault="008D18F0" w:rsidP="00286797">
            <w:pPr>
              <w:keepNext/>
              <w:keepLines/>
              <w:rPr>
                <w:rFonts w:ascii="Arial Narrow" w:hAnsi="Arial Narrow"/>
                <w:color w:val="0066FF"/>
                <w:sz w:val="20"/>
                <w:szCs w:val="20"/>
              </w:rPr>
            </w:pPr>
            <w:r w:rsidRPr="009475AF">
              <w:rPr>
                <w:rFonts w:ascii="Arial Narrow" w:hAnsi="Arial Narrow"/>
                <w:sz w:val="20"/>
                <w:szCs w:val="20"/>
              </w:rPr>
              <w:t>dupilumab 200 mg/1.14 mL injection, 2 x 1.14 mL syringes</w:t>
            </w:r>
          </w:p>
        </w:tc>
        <w:tc>
          <w:tcPr>
            <w:tcW w:w="1985" w:type="dxa"/>
          </w:tcPr>
          <w:p w14:paraId="597269E6" w14:textId="77777777" w:rsidR="008D18F0" w:rsidRPr="009475AF" w:rsidRDefault="008D18F0" w:rsidP="00286797">
            <w:pPr>
              <w:pStyle w:val="TableText0"/>
              <w:keepLines/>
              <w:jc w:val="center"/>
            </w:pPr>
            <w:r w:rsidRPr="009475AF">
              <w:t xml:space="preserve"> Public: $1609.86</w:t>
            </w:r>
          </w:p>
          <w:p w14:paraId="15558FB9" w14:textId="77777777" w:rsidR="008D18F0" w:rsidRPr="009475AF" w:rsidRDefault="008D18F0" w:rsidP="00286797">
            <w:pPr>
              <w:pStyle w:val="TableText0"/>
              <w:keepLines/>
              <w:jc w:val="center"/>
            </w:pPr>
            <w:r w:rsidRPr="009475AF">
              <w:t>Private: $1658.23</w:t>
            </w:r>
          </w:p>
          <w:p w14:paraId="0E7766A8" w14:textId="77777777" w:rsidR="008D18F0" w:rsidRPr="009475AF" w:rsidRDefault="008D18F0" w:rsidP="00286797">
            <w:pPr>
              <w:pStyle w:val="TableText0"/>
              <w:keepLines/>
              <w:jc w:val="center"/>
              <w:rPr>
                <w:szCs w:val="20"/>
              </w:rPr>
            </w:pPr>
          </w:p>
        </w:tc>
        <w:tc>
          <w:tcPr>
            <w:tcW w:w="945" w:type="dxa"/>
            <w:vAlign w:val="center"/>
          </w:tcPr>
          <w:p w14:paraId="15A9E239"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1</w:t>
            </w:r>
          </w:p>
        </w:tc>
        <w:tc>
          <w:tcPr>
            <w:tcW w:w="945" w:type="dxa"/>
            <w:vAlign w:val="center"/>
          </w:tcPr>
          <w:p w14:paraId="3158581C"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2</w:t>
            </w:r>
          </w:p>
        </w:tc>
        <w:tc>
          <w:tcPr>
            <w:tcW w:w="945" w:type="dxa"/>
            <w:vAlign w:val="center"/>
          </w:tcPr>
          <w:p w14:paraId="2538F4E1"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7</w:t>
            </w:r>
          </w:p>
        </w:tc>
        <w:tc>
          <w:tcPr>
            <w:tcW w:w="1275" w:type="dxa"/>
            <w:vAlign w:val="center"/>
          </w:tcPr>
          <w:p w14:paraId="151712E3" w14:textId="77777777" w:rsidR="008D18F0" w:rsidRPr="009475AF" w:rsidRDefault="008D18F0" w:rsidP="00286797">
            <w:pPr>
              <w:keepNext/>
              <w:keepLines/>
              <w:jc w:val="center"/>
              <w:rPr>
                <w:rFonts w:ascii="Arial Narrow" w:hAnsi="Arial Narrow"/>
                <w:color w:val="0066FF"/>
                <w:sz w:val="20"/>
                <w:szCs w:val="20"/>
              </w:rPr>
            </w:pPr>
            <w:r w:rsidRPr="009475AF">
              <w:rPr>
                <w:rFonts w:ascii="Arial Narrow" w:hAnsi="Arial Narrow"/>
                <w:sz w:val="20"/>
                <w:szCs w:val="20"/>
              </w:rPr>
              <w:t>Dupixent</w:t>
            </w:r>
          </w:p>
        </w:tc>
      </w:tr>
      <w:tr w:rsidR="008D18F0" w:rsidRPr="009475AF" w14:paraId="43E1D3EB" w14:textId="77777777" w:rsidTr="00792622">
        <w:trPr>
          <w:cantSplit/>
          <w:trHeight w:val="20"/>
        </w:trPr>
        <w:tc>
          <w:tcPr>
            <w:tcW w:w="2972" w:type="dxa"/>
            <w:vAlign w:val="center"/>
          </w:tcPr>
          <w:p w14:paraId="73AE5EB2"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continuing</w:t>
            </w:r>
          </w:p>
          <w:p w14:paraId="0373D99D" w14:textId="77777777" w:rsidR="008D18F0" w:rsidRPr="009475AF" w:rsidRDefault="008D18F0" w:rsidP="00286797">
            <w:pPr>
              <w:keepNext/>
              <w:keepLines/>
              <w:rPr>
                <w:rFonts w:ascii="Arial Narrow" w:hAnsi="Arial Narrow"/>
                <w:color w:val="0066FF"/>
                <w:sz w:val="20"/>
                <w:szCs w:val="20"/>
              </w:rPr>
            </w:pPr>
            <w:r w:rsidRPr="009475AF">
              <w:rPr>
                <w:rFonts w:ascii="Arial Narrow" w:hAnsi="Arial Narrow"/>
                <w:sz w:val="20"/>
                <w:szCs w:val="20"/>
              </w:rPr>
              <w:t>dupilumab 200 mg/1.14 mL injection, 2 x 1.14 mL syringes</w:t>
            </w:r>
          </w:p>
        </w:tc>
        <w:tc>
          <w:tcPr>
            <w:tcW w:w="1985" w:type="dxa"/>
          </w:tcPr>
          <w:p w14:paraId="0E7014C2" w14:textId="77777777" w:rsidR="008D18F0" w:rsidRPr="009475AF" w:rsidRDefault="008D18F0" w:rsidP="00286797">
            <w:pPr>
              <w:pStyle w:val="TableText0"/>
              <w:keepLines/>
              <w:jc w:val="center"/>
            </w:pPr>
            <w:r w:rsidRPr="009475AF">
              <w:t>Public: $1609.86</w:t>
            </w:r>
          </w:p>
          <w:p w14:paraId="7CD91D35" w14:textId="77777777" w:rsidR="008D18F0" w:rsidRPr="009475AF" w:rsidRDefault="008D18F0" w:rsidP="00286797">
            <w:pPr>
              <w:pStyle w:val="TableText0"/>
              <w:keepLines/>
              <w:jc w:val="center"/>
            </w:pPr>
            <w:r w:rsidRPr="009475AF">
              <w:t>Private: $1658.23</w:t>
            </w:r>
          </w:p>
          <w:p w14:paraId="30426614" w14:textId="77777777" w:rsidR="008D18F0" w:rsidRPr="009475AF" w:rsidRDefault="008D18F0" w:rsidP="00286797">
            <w:pPr>
              <w:pStyle w:val="TableText0"/>
              <w:keepLines/>
              <w:jc w:val="center"/>
              <w:rPr>
                <w:szCs w:val="20"/>
              </w:rPr>
            </w:pPr>
          </w:p>
        </w:tc>
        <w:tc>
          <w:tcPr>
            <w:tcW w:w="945" w:type="dxa"/>
            <w:vAlign w:val="center"/>
          </w:tcPr>
          <w:p w14:paraId="7E52CF6D"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1</w:t>
            </w:r>
          </w:p>
        </w:tc>
        <w:tc>
          <w:tcPr>
            <w:tcW w:w="945" w:type="dxa"/>
            <w:vAlign w:val="center"/>
          </w:tcPr>
          <w:p w14:paraId="49EC7159"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2</w:t>
            </w:r>
          </w:p>
        </w:tc>
        <w:tc>
          <w:tcPr>
            <w:tcW w:w="945" w:type="dxa"/>
            <w:vAlign w:val="center"/>
          </w:tcPr>
          <w:p w14:paraId="0EC53AC7"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rPr>
              <w:t>5</w:t>
            </w:r>
          </w:p>
        </w:tc>
        <w:tc>
          <w:tcPr>
            <w:tcW w:w="1275" w:type="dxa"/>
            <w:vAlign w:val="center"/>
          </w:tcPr>
          <w:p w14:paraId="3F6C96CC" w14:textId="77777777" w:rsidR="008D18F0" w:rsidRPr="009475AF" w:rsidRDefault="008D18F0" w:rsidP="00286797">
            <w:pPr>
              <w:keepNext/>
              <w:keepLines/>
              <w:jc w:val="center"/>
              <w:rPr>
                <w:rFonts w:ascii="Arial Narrow" w:hAnsi="Arial Narrow"/>
                <w:color w:val="0066FF"/>
                <w:sz w:val="20"/>
                <w:szCs w:val="20"/>
              </w:rPr>
            </w:pPr>
            <w:r w:rsidRPr="009475AF">
              <w:rPr>
                <w:rFonts w:ascii="Arial Narrow" w:hAnsi="Arial Narrow"/>
                <w:sz w:val="20"/>
                <w:szCs w:val="20"/>
              </w:rPr>
              <w:t>Dupixent</w:t>
            </w:r>
          </w:p>
        </w:tc>
      </w:tr>
      <w:tr w:rsidR="008D18F0" w:rsidRPr="009475AF" w14:paraId="3DADB0B3" w14:textId="77777777" w:rsidTr="00792622">
        <w:trPr>
          <w:cantSplit/>
          <w:trHeight w:val="20"/>
        </w:trPr>
        <w:tc>
          <w:tcPr>
            <w:tcW w:w="2972" w:type="dxa"/>
            <w:vAlign w:val="center"/>
          </w:tcPr>
          <w:p w14:paraId="498BC6F9"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GF</w:t>
            </w:r>
          </w:p>
          <w:p w14:paraId="125D07D1" w14:textId="77777777" w:rsidR="008D18F0" w:rsidRPr="009475AF" w:rsidRDefault="008D18F0" w:rsidP="00286797">
            <w:pPr>
              <w:keepNext/>
              <w:keepLines/>
              <w:tabs>
                <w:tab w:val="left" w:pos="1077"/>
              </w:tabs>
              <w:rPr>
                <w:rFonts w:ascii="Arial Narrow" w:hAnsi="Arial Narrow"/>
                <w:color w:val="0066FF"/>
                <w:sz w:val="20"/>
                <w:szCs w:val="20"/>
              </w:rPr>
            </w:pPr>
            <w:r w:rsidRPr="009475AF">
              <w:rPr>
                <w:rFonts w:ascii="Arial Narrow" w:hAnsi="Arial Narrow"/>
                <w:sz w:val="20"/>
                <w:szCs w:val="20"/>
              </w:rPr>
              <w:t>dupilumab 200 mg/1.14 mL injection, 2 x 1.14 mL syringes</w:t>
            </w:r>
          </w:p>
        </w:tc>
        <w:tc>
          <w:tcPr>
            <w:tcW w:w="1985" w:type="dxa"/>
            <w:vAlign w:val="center"/>
          </w:tcPr>
          <w:p w14:paraId="160189BC" w14:textId="77777777" w:rsidR="008D18F0" w:rsidRPr="009475AF" w:rsidRDefault="008D18F0" w:rsidP="00286797">
            <w:pPr>
              <w:pStyle w:val="TableText0"/>
              <w:keepLines/>
              <w:jc w:val="center"/>
            </w:pPr>
            <w:r w:rsidRPr="009475AF">
              <w:t>Public: $1609.86</w:t>
            </w:r>
          </w:p>
          <w:p w14:paraId="540DBC99" w14:textId="77777777" w:rsidR="008D18F0" w:rsidRPr="009475AF" w:rsidRDefault="008D18F0" w:rsidP="00286797">
            <w:pPr>
              <w:pStyle w:val="TableText0"/>
              <w:keepLines/>
              <w:jc w:val="center"/>
            </w:pPr>
            <w:r w:rsidRPr="009475AF">
              <w:t>Private: $1658.23</w:t>
            </w:r>
          </w:p>
          <w:p w14:paraId="2E09287A" w14:textId="77777777" w:rsidR="008D18F0" w:rsidRPr="009475AF" w:rsidRDefault="008D18F0" w:rsidP="00286797">
            <w:pPr>
              <w:keepNext/>
              <w:keepLines/>
              <w:jc w:val="center"/>
              <w:rPr>
                <w:rFonts w:ascii="Arial Narrow" w:hAnsi="Arial Narrow"/>
                <w:sz w:val="20"/>
                <w:szCs w:val="20"/>
              </w:rPr>
            </w:pPr>
          </w:p>
        </w:tc>
        <w:tc>
          <w:tcPr>
            <w:tcW w:w="945" w:type="dxa"/>
            <w:vAlign w:val="center"/>
          </w:tcPr>
          <w:p w14:paraId="3062A391"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1</w:t>
            </w:r>
          </w:p>
        </w:tc>
        <w:tc>
          <w:tcPr>
            <w:tcW w:w="945" w:type="dxa"/>
            <w:vAlign w:val="center"/>
          </w:tcPr>
          <w:p w14:paraId="5329C3F2"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945" w:type="dxa"/>
            <w:vAlign w:val="center"/>
          </w:tcPr>
          <w:p w14:paraId="044F05B1"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5</w:t>
            </w:r>
          </w:p>
        </w:tc>
        <w:tc>
          <w:tcPr>
            <w:tcW w:w="1275" w:type="dxa"/>
            <w:vAlign w:val="center"/>
          </w:tcPr>
          <w:p w14:paraId="669A048E"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Dupixent</w:t>
            </w:r>
          </w:p>
        </w:tc>
      </w:tr>
      <w:tr w:rsidR="008D18F0" w:rsidRPr="009475AF" w14:paraId="4E6699EE" w14:textId="77777777" w:rsidTr="00792622">
        <w:trPr>
          <w:cantSplit/>
          <w:trHeight w:val="20"/>
        </w:trPr>
        <w:tc>
          <w:tcPr>
            <w:tcW w:w="2972" w:type="dxa"/>
            <w:vAlign w:val="center"/>
          </w:tcPr>
          <w:p w14:paraId="4B609932"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Initial 1/Initial 2</w:t>
            </w:r>
          </w:p>
          <w:p w14:paraId="53E1E8A8"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dupilumab 300 mg/2 mL injection, 2 x 2 mL syringes</w:t>
            </w:r>
          </w:p>
        </w:tc>
        <w:tc>
          <w:tcPr>
            <w:tcW w:w="1985" w:type="dxa"/>
            <w:vAlign w:val="center"/>
          </w:tcPr>
          <w:p w14:paraId="1CA7588A" w14:textId="77777777" w:rsidR="008D18F0" w:rsidRPr="009475AF" w:rsidRDefault="008D18F0" w:rsidP="00286797">
            <w:pPr>
              <w:pStyle w:val="TableText0"/>
              <w:keepLines/>
              <w:jc w:val="center"/>
            </w:pPr>
            <w:r w:rsidRPr="009475AF">
              <w:t>Public: $3219.72</w:t>
            </w:r>
          </w:p>
          <w:p w14:paraId="5AFC6200" w14:textId="77777777" w:rsidR="008D18F0" w:rsidRPr="009475AF" w:rsidRDefault="008D18F0" w:rsidP="00286797">
            <w:pPr>
              <w:pStyle w:val="TableText0"/>
              <w:keepLines/>
              <w:jc w:val="center"/>
            </w:pPr>
            <w:r w:rsidRPr="009475AF">
              <w:t>Private: $3268.09</w:t>
            </w:r>
          </w:p>
          <w:p w14:paraId="1F4878DD" w14:textId="77777777" w:rsidR="008D18F0" w:rsidRPr="009475AF" w:rsidRDefault="008D18F0" w:rsidP="00286797">
            <w:pPr>
              <w:keepNext/>
              <w:keepLines/>
              <w:jc w:val="center"/>
              <w:rPr>
                <w:rFonts w:ascii="Arial Narrow" w:hAnsi="Arial Narrow"/>
                <w:sz w:val="20"/>
                <w:szCs w:val="20"/>
              </w:rPr>
            </w:pPr>
          </w:p>
        </w:tc>
        <w:tc>
          <w:tcPr>
            <w:tcW w:w="945" w:type="dxa"/>
            <w:vAlign w:val="center"/>
          </w:tcPr>
          <w:p w14:paraId="3A51681D"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1</w:t>
            </w:r>
          </w:p>
        </w:tc>
        <w:tc>
          <w:tcPr>
            <w:tcW w:w="945" w:type="dxa"/>
            <w:vAlign w:val="center"/>
          </w:tcPr>
          <w:p w14:paraId="6013F25B"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945" w:type="dxa"/>
            <w:vAlign w:val="center"/>
          </w:tcPr>
          <w:p w14:paraId="78457462"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3</w:t>
            </w:r>
          </w:p>
        </w:tc>
        <w:tc>
          <w:tcPr>
            <w:tcW w:w="1275" w:type="dxa"/>
            <w:vAlign w:val="center"/>
          </w:tcPr>
          <w:p w14:paraId="1B8EBFF3"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Dupixent</w:t>
            </w:r>
          </w:p>
        </w:tc>
      </w:tr>
      <w:tr w:rsidR="008D18F0" w:rsidRPr="009475AF" w14:paraId="7BC60205" w14:textId="77777777" w:rsidTr="00792622">
        <w:trPr>
          <w:cantSplit/>
          <w:trHeight w:val="20"/>
        </w:trPr>
        <w:tc>
          <w:tcPr>
            <w:tcW w:w="2972" w:type="dxa"/>
            <w:vAlign w:val="center"/>
          </w:tcPr>
          <w:p w14:paraId="512C1255"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continuing</w:t>
            </w:r>
          </w:p>
          <w:p w14:paraId="22C81CAD"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dupilumab 300 mg/2 mL injection, 2 x 2 mL syringes</w:t>
            </w:r>
          </w:p>
        </w:tc>
        <w:tc>
          <w:tcPr>
            <w:tcW w:w="1985" w:type="dxa"/>
            <w:vAlign w:val="center"/>
          </w:tcPr>
          <w:p w14:paraId="7200CB7F"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Public: $3219.72</w:t>
            </w:r>
          </w:p>
          <w:p w14:paraId="238BBF40"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Private: $3268.09</w:t>
            </w:r>
          </w:p>
        </w:tc>
        <w:tc>
          <w:tcPr>
            <w:tcW w:w="945" w:type="dxa"/>
            <w:vAlign w:val="center"/>
          </w:tcPr>
          <w:p w14:paraId="4334B452"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1</w:t>
            </w:r>
          </w:p>
        </w:tc>
        <w:tc>
          <w:tcPr>
            <w:tcW w:w="945" w:type="dxa"/>
            <w:vAlign w:val="center"/>
          </w:tcPr>
          <w:p w14:paraId="57F67EDC"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945" w:type="dxa"/>
            <w:vAlign w:val="center"/>
          </w:tcPr>
          <w:p w14:paraId="266DAC4B"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1275" w:type="dxa"/>
            <w:vAlign w:val="center"/>
          </w:tcPr>
          <w:p w14:paraId="58778213"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Dupixent</w:t>
            </w:r>
          </w:p>
        </w:tc>
      </w:tr>
      <w:tr w:rsidR="008D18F0" w:rsidRPr="009475AF" w14:paraId="0408AE78" w14:textId="77777777" w:rsidTr="00792622">
        <w:trPr>
          <w:cantSplit/>
          <w:trHeight w:val="20"/>
        </w:trPr>
        <w:tc>
          <w:tcPr>
            <w:tcW w:w="2972" w:type="dxa"/>
            <w:vAlign w:val="center"/>
          </w:tcPr>
          <w:p w14:paraId="764861F7"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Tx phase: GF</w:t>
            </w:r>
          </w:p>
          <w:p w14:paraId="51E32D27" w14:textId="77777777" w:rsidR="008D18F0" w:rsidRPr="009475AF" w:rsidRDefault="008D18F0" w:rsidP="00286797">
            <w:pPr>
              <w:keepNext/>
              <w:keepLines/>
              <w:rPr>
                <w:rFonts w:ascii="Arial Narrow" w:hAnsi="Arial Narrow"/>
                <w:sz w:val="20"/>
                <w:szCs w:val="20"/>
              </w:rPr>
            </w:pPr>
            <w:r w:rsidRPr="009475AF">
              <w:rPr>
                <w:rFonts w:ascii="Arial Narrow" w:hAnsi="Arial Narrow"/>
                <w:sz w:val="20"/>
                <w:szCs w:val="20"/>
              </w:rPr>
              <w:t>dupilumab 300 mg/2 mL injection, 2 x 2 mL syringes</w:t>
            </w:r>
          </w:p>
        </w:tc>
        <w:tc>
          <w:tcPr>
            <w:tcW w:w="1985" w:type="dxa"/>
            <w:vAlign w:val="center"/>
          </w:tcPr>
          <w:p w14:paraId="134804B7"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Public: $3219.72</w:t>
            </w:r>
          </w:p>
          <w:p w14:paraId="4CE9A843"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Private: $3268.09</w:t>
            </w:r>
          </w:p>
        </w:tc>
        <w:tc>
          <w:tcPr>
            <w:tcW w:w="945" w:type="dxa"/>
            <w:vAlign w:val="center"/>
          </w:tcPr>
          <w:p w14:paraId="3AE8ECA1"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1</w:t>
            </w:r>
          </w:p>
        </w:tc>
        <w:tc>
          <w:tcPr>
            <w:tcW w:w="945" w:type="dxa"/>
            <w:vAlign w:val="center"/>
          </w:tcPr>
          <w:p w14:paraId="14CAB19C"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945" w:type="dxa"/>
            <w:vAlign w:val="center"/>
          </w:tcPr>
          <w:p w14:paraId="3F0C6E56"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2</w:t>
            </w:r>
          </w:p>
        </w:tc>
        <w:tc>
          <w:tcPr>
            <w:tcW w:w="1275" w:type="dxa"/>
            <w:vAlign w:val="center"/>
          </w:tcPr>
          <w:p w14:paraId="5AF1A9B7" w14:textId="77777777" w:rsidR="008D18F0" w:rsidRPr="009475AF" w:rsidRDefault="008D18F0" w:rsidP="00286797">
            <w:pPr>
              <w:keepNext/>
              <w:keepLines/>
              <w:jc w:val="center"/>
              <w:rPr>
                <w:rFonts w:ascii="Arial Narrow" w:hAnsi="Arial Narrow"/>
                <w:sz w:val="20"/>
                <w:szCs w:val="20"/>
              </w:rPr>
            </w:pPr>
            <w:r w:rsidRPr="009475AF">
              <w:rPr>
                <w:rFonts w:ascii="Arial Narrow" w:hAnsi="Arial Narrow"/>
                <w:sz w:val="20"/>
                <w:szCs w:val="20"/>
              </w:rPr>
              <w:t>Dupixent</w:t>
            </w:r>
          </w:p>
        </w:tc>
      </w:tr>
    </w:tbl>
    <w:bookmarkEnd w:id="10"/>
    <w:p w14:paraId="11B0C3B5" w14:textId="3CB728D1" w:rsidR="008D18F0" w:rsidRPr="009475AF" w:rsidRDefault="008D18F0" w:rsidP="007C50F6">
      <w:pPr>
        <w:spacing w:after="120"/>
      </w:pPr>
      <w:r w:rsidRPr="009475AF">
        <w:rPr>
          <w:rFonts w:ascii="Arial Narrow" w:hAnsi="Arial Narrow"/>
          <w:sz w:val="18"/>
          <w:szCs w:val="18"/>
        </w:rPr>
        <w:t xml:space="preserve">*The submission stated that should dupilumab receive a positive recommendation in the paediatric asthma cohort, the </w:t>
      </w:r>
      <w:r w:rsidR="00CF25AF">
        <w:rPr>
          <w:rFonts w:ascii="Arial Narrow" w:hAnsi="Arial Narrow"/>
          <w:sz w:val="18"/>
          <w:szCs w:val="18"/>
        </w:rPr>
        <w:t>s</w:t>
      </w:r>
      <w:r w:rsidRPr="009475AF">
        <w:rPr>
          <w:rFonts w:ascii="Arial Narrow" w:hAnsi="Arial Narrow"/>
          <w:sz w:val="18"/>
          <w:szCs w:val="18"/>
        </w:rPr>
        <w:t>ponsor will request a weighted published AEMP across all reimbursed dupilumab indications.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637"/>
        <w:gridCol w:w="812"/>
        <w:gridCol w:w="811"/>
        <w:gridCol w:w="812"/>
        <w:gridCol w:w="1881"/>
      </w:tblGrid>
      <w:tr w:rsidR="007E576D" w:rsidRPr="009475AF" w14:paraId="503219EF" w14:textId="77777777" w:rsidTr="00792622">
        <w:trPr>
          <w:cantSplit/>
          <w:trHeight w:val="20"/>
        </w:trPr>
        <w:tc>
          <w:tcPr>
            <w:tcW w:w="3114" w:type="dxa"/>
            <w:vAlign w:val="center"/>
          </w:tcPr>
          <w:p w14:paraId="2A38493D" w14:textId="77777777" w:rsidR="007E576D" w:rsidRPr="009475AF" w:rsidRDefault="007E576D" w:rsidP="00286797">
            <w:pPr>
              <w:keepLines/>
              <w:rPr>
                <w:rFonts w:ascii="Arial Narrow" w:hAnsi="Arial Narrow"/>
                <w:b/>
                <w:bCs/>
                <w:sz w:val="20"/>
                <w:szCs w:val="20"/>
              </w:rPr>
            </w:pPr>
            <w:r w:rsidRPr="009475AF">
              <w:rPr>
                <w:rFonts w:ascii="Arial Narrow" w:hAnsi="Arial Narrow"/>
                <w:b/>
                <w:bCs/>
                <w:sz w:val="20"/>
                <w:szCs w:val="20"/>
              </w:rPr>
              <w:lastRenderedPageBreak/>
              <w:t>MEDICINAL PRODUCT</w:t>
            </w:r>
          </w:p>
          <w:p w14:paraId="4C5E682D" w14:textId="77777777" w:rsidR="007E576D" w:rsidRPr="009475AF" w:rsidRDefault="007E576D" w:rsidP="00286797">
            <w:pPr>
              <w:keepLines/>
              <w:rPr>
                <w:rFonts w:ascii="Arial Narrow" w:hAnsi="Arial Narrow"/>
                <w:b/>
                <w:sz w:val="20"/>
                <w:szCs w:val="20"/>
              </w:rPr>
            </w:pPr>
            <w:r w:rsidRPr="009475AF">
              <w:rPr>
                <w:rFonts w:ascii="Arial Narrow" w:hAnsi="Arial Narrow"/>
                <w:b/>
                <w:bCs/>
                <w:sz w:val="20"/>
                <w:szCs w:val="20"/>
              </w:rPr>
              <w:t>medicinal product pack</w:t>
            </w:r>
          </w:p>
        </w:tc>
        <w:tc>
          <w:tcPr>
            <w:tcW w:w="1637" w:type="dxa"/>
            <w:vAlign w:val="center"/>
          </w:tcPr>
          <w:p w14:paraId="5CCF56F8" w14:textId="77777777" w:rsidR="007E576D" w:rsidRPr="009475AF" w:rsidRDefault="007E576D" w:rsidP="00286797">
            <w:pPr>
              <w:keepLines/>
              <w:jc w:val="center"/>
              <w:rPr>
                <w:rFonts w:ascii="Arial Narrow" w:hAnsi="Arial Narrow"/>
                <w:b/>
                <w:sz w:val="20"/>
                <w:szCs w:val="20"/>
              </w:rPr>
            </w:pPr>
            <w:r w:rsidRPr="009475AF">
              <w:rPr>
                <w:rFonts w:ascii="Arial Narrow" w:hAnsi="Arial Narrow"/>
                <w:b/>
                <w:sz w:val="20"/>
                <w:szCs w:val="20"/>
              </w:rPr>
              <w:t>PBS item code</w:t>
            </w:r>
          </w:p>
        </w:tc>
        <w:tc>
          <w:tcPr>
            <w:tcW w:w="812" w:type="dxa"/>
            <w:vAlign w:val="center"/>
          </w:tcPr>
          <w:p w14:paraId="19485305" w14:textId="77777777" w:rsidR="007E576D" w:rsidRPr="009475AF" w:rsidRDefault="007E576D" w:rsidP="00286797">
            <w:pPr>
              <w:keepLines/>
              <w:jc w:val="center"/>
              <w:rPr>
                <w:rFonts w:ascii="Arial Narrow" w:hAnsi="Arial Narrow"/>
                <w:b/>
                <w:sz w:val="20"/>
                <w:szCs w:val="20"/>
              </w:rPr>
            </w:pPr>
            <w:r w:rsidRPr="009475AF">
              <w:rPr>
                <w:rFonts w:ascii="Arial Narrow" w:hAnsi="Arial Narrow"/>
                <w:b/>
                <w:sz w:val="20"/>
                <w:szCs w:val="20"/>
              </w:rPr>
              <w:t>Max. qty packs</w:t>
            </w:r>
          </w:p>
        </w:tc>
        <w:tc>
          <w:tcPr>
            <w:tcW w:w="811" w:type="dxa"/>
            <w:vAlign w:val="center"/>
          </w:tcPr>
          <w:p w14:paraId="06A5A203" w14:textId="77777777" w:rsidR="007E576D" w:rsidRPr="009475AF" w:rsidRDefault="007E576D" w:rsidP="00286797">
            <w:pPr>
              <w:keepLines/>
              <w:jc w:val="center"/>
              <w:rPr>
                <w:rFonts w:ascii="Arial Narrow" w:hAnsi="Arial Narrow"/>
                <w:b/>
                <w:sz w:val="20"/>
                <w:szCs w:val="20"/>
              </w:rPr>
            </w:pPr>
            <w:r w:rsidRPr="009475AF">
              <w:rPr>
                <w:rFonts w:ascii="Arial Narrow" w:hAnsi="Arial Narrow"/>
                <w:b/>
                <w:sz w:val="20"/>
                <w:szCs w:val="20"/>
              </w:rPr>
              <w:t>Max. qty units</w:t>
            </w:r>
          </w:p>
        </w:tc>
        <w:tc>
          <w:tcPr>
            <w:tcW w:w="812" w:type="dxa"/>
            <w:vAlign w:val="center"/>
          </w:tcPr>
          <w:p w14:paraId="1B45139A" w14:textId="77777777" w:rsidR="007E576D" w:rsidRPr="009475AF" w:rsidRDefault="007E576D" w:rsidP="00286797">
            <w:pPr>
              <w:keepLines/>
              <w:jc w:val="center"/>
              <w:rPr>
                <w:rFonts w:ascii="Arial Narrow" w:hAnsi="Arial Narrow"/>
                <w:b/>
                <w:sz w:val="20"/>
                <w:szCs w:val="20"/>
              </w:rPr>
            </w:pPr>
            <w:r w:rsidRPr="009475AF">
              <w:rPr>
                <w:rFonts w:ascii="Arial Narrow" w:hAnsi="Arial Narrow"/>
                <w:b/>
                <w:sz w:val="20"/>
                <w:szCs w:val="20"/>
              </w:rPr>
              <w:t>№.of</w:t>
            </w:r>
          </w:p>
          <w:p w14:paraId="440DAB80" w14:textId="77777777" w:rsidR="007E576D" w:rsidRPr="009475AF" w:rsidRDefault="007E576D" w:rsidP="00286797">
            <w:pPr>
              <w:keepLines/>
              <w:jc w:val="center"/>
              <w:rPr>
                <w:rFonts w:ascii="Arial Narrow" w:hAnsi="Arial Narrow"/>
                <w:b/>
                <w:sz w:val="20"/>
                <w:szCs w:val="20"/>
              </w:rPr>
            </w:pPr>
            <w:r w:rsidRPr="009475AF">
              <w:rPr>
                <w:rFonts w:ascii="Arial Narrow" w:hAnsi="Arial Narrow"/>
                <w:b/>
                <w:sz w:val="20"/>
                <w:szCs w:val="20"/>
              </w:rPr>
              <w:t>Rpts</w:t>
            </w:r>
          </w:p>
        </w:tc>
        <w:tc>
          <w:tcPr>
            <w:tcW w:w="1881" w:type="dxa"/>
            <w:vAlign w:val="center"/>
          </w:tcPr>
          <w:p w14:paraId="5B791BF3" w14:textId="77777777" w:rsidR="007E576D" w:rsidRPr="009475AF" w:rsidRDefault="007E576D" w:rsidP="00286797">
            <w:pPr>
              <w:keepLines/>
              <w:rPr>
                <w:rFonts w:ascii="Arial Narrow" w:hAnsi="Arial Narrow"/>
                <w:b/>
                <w:sz w:val="20"/>
                <w:szCs w:val="20"/>
              </w:rPr>
            </w:pPr>
            <w:r w:rsidRPr="009475AF">
              <w:rPr>
                <w:rFonts w:ascii="Arial Narrow" w:hAnsi="Arial Narrow"/>
                <w:b/>
                <w:sz w:val="20"/>
                <w:szCs w:val="20"/>
              </w:rPr>
              <w:t>Available brands</w:t>
            </w:r>
          </w:p>
        </w:tc>
      </w:tr>
      <w:tr w:rsidR="007E576D" w:rsidRPr="009475AF" w14:paraId="51AC597A" w14:textId="77777777" w:rsidTr="00792622">
        <w:trPr>
          <w:cantSplit/>
          <w:trHeight w:val="20"/>
        </w:trPr>
        <w:tc>
          <w:tcPr>
            <w:tcW w:w="9067" w:type="dxa"/>
            <w:gridSpan w:val="6"/>
            <w:vAlign w:val="center"/>
          </w:tcPr>
          <w:p w14:paraId="2D19CBCE" w14:textId="77777777" w:rsidR="007E576D" w:rsidRPr="009475AF" w:rsidRDefault="007E576D" w:rsidP="00286797">
            <w:pPr>
              <w:keepLines/>
              <w:rPr>
                <w:rFonts w:ascii="Arial Narrow" w:hAnsi="Arial Narrow"/>
                <w:sz w:val="20"/>
                <w:szCs w:val="20"/>
              </w:rPr>
            </w:pPr>
            <w:r w:rsidRPr="009475AF">
              <w:rPr>
                <w:rFonts w:ascii="Arial Narrow" w:hAnsi="Arial Narrow"/>
                <w:sz w:val="20"/>
                <w:szCs w:val="20"/>
              </w:rPr>
              <w:t xml:space="preserve">DUPILUMAB </w:t>
            </w:r>
          </w:p>
        </w:tc>
      </w:tr>
      <w:tr w:rsidR="007E576D" w:rsidRPr="009475AF" w14:paraId="0468FF72" w14:textId="77777777" w:rsidTr="00792622">
        <w:trPr>
          <w:cantSplit/>
          <w:trHeight w:val="20"/>
        </w:trPr>
        <w:tc>
          <w:tcPr>
            <w:tcW w:w="3114" w:type="dxa"/>
            <w:vAlign w:val="center"/>
          </w:tcPr>
          <w:p w14:paraId="5BF18DA3" w14:textId="77777777" w:rsidR="007E576D" w:rsidRPr="009475AF" w:rsidRDefault="007E576D" w:rsidP="00286797">
            <w:pPr>
              <w:keepLines/>
              <w:rPr>
                <w:rFonts w:ascii="Arial Narrow" w:hAnsi="Arial Narrow"/>
                <w:sz w:val="20"/>
                <w:szCs w:val="20"/>
              </w:rPr>
            </w:pPr>
            <w:r w:rsidRPr="009475AF">
              <w:rPr>
                <w:rFonts w:ascii="Arial Narrow" w:hAnsi="Arial Narrow"/>
                <w:sz w:val="20"/>
                <w:szCs w:val="20"/>
              </w:rPr>
              <w:t xml:space="preserve">dupilumab 200 mg/1.14 mL injection, 2 x 1.14mL </w:t>
            </w:r>
          </w:p>
        </w:tc>
        <w:tc>
          <w:tcPr>
            <w:tcW w:w="1637" w:type="dxa"/>
            <w:vAlign w:val="center"/>
          </w:tcPr>
          <w:p w14:paraId="5CD38AC4"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NEW (Public)</w:t>
            </w:r>
          </w:p>
          <w:p w14:paraId="3A7F7844"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4735943B"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6D8478DE"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0E1DC9E6" w14:textId="77777777" w:rsidR="007E576D" w:rsidRPr="009475AF" w:rsidRDefault="007E576D" w:rsidP="00286797">
            <w:pPr>
              <w:keepLines/>
              <w:jc w:val="center"/>
              <w:rPr>
                <w:rFonts w:ascii="Arial Narrow" w:hAnsi="Arial Narrow"/>
                <w:sz w:val="20"/>
                <w:szCs w:val="20"/>
              </w:rPr>
            </w:pPr>
            <w:r w:rsidRPr="009475AF">
              <w:rPr>
                <w:rFonts w:ascii="Arial Narrow" w:hAnsi="Arial Narrow"/>
                <w:strike/>
                <w:sz w:val="20"/>
                <w:szCs w:val="20"/>
              </w:rPr>
              <w:t>6</w:t>
            </w:r>
            <w:r w:rsidRPr="009475AF">
              <w:rPr>
                <w:rFonts w:ascii="Arial Narrow" w:hAnsi="Arial Narrow"/>
                <w:i/>
                <w:iCs/>
                <w:sz w:val="20"/>
                <w:szCs w:val="20"/>
              </w:rPr>
              <w:t>7</w:t>
            </w:r>
          </w:p>
        </w:tc>
        <w:tc>
          <w:tcPr>
            <w:tcW w:w="1881" w:type="dxa"/>
            <w:vAlign w:val="center"/>
          </w:tcPr>
          <w:p w14:paraId="27D729BD" w14:textId="77777777" w:rsidR="007E576D" w:rsidRPr="009475AF" w:rsidRDefault="007E576D" w:rsidP="00286797">
            <w:pPr>
              <w:keepLines/>
              <w:rPr>
                <w:rFonts w:ascii="Arial Narrow" w:hAnsi="Arial Narrow"/>
                <w:sz w:val="20"/>
                <w:szCs w:val="20"/>
              </w:rPr>
            </w:pPr>
            <w:r w:rsidRPr="009475AF">
              <w:rPr>
                <w:rFonts w:ascii="Arial Narrow" w:hAnsi="Arial Narrow"/>
                <w:sz w:val="20"/>
                <w:szCs w:val="20"/>
              </w:rPr>
              <w:t>Dupixent</w:t>
            </w:r>
          </w:p>
        </w:tc>
      </w:tr>
      <w:tr w:rsidR="007E576D" w:rsidRPr="009475AF" w14:paraId="00EE70A7" w14:textId="77777777" w:rsidTr="00792622">
        <w:trPr>
          <w:cantSplit/>
          <w:trHeight w:val="20"/>
        </w:trPr>
        <w:tc>
          <w:tcPr>
            <w:tcW w:w="3114" w:type="dxa"/>
            <w:vAlign w:val="center"/>
          </w:tcPr>
          <w:p w14:paraId="4B1C6C57" w14:textId="77777777" w:rsidR="007E576D" w:rsidRPr="009475AF" w:rsidRDefault="007E576D" w:rsidP="00286797">
            <w:pPr>
              <w:keepLines/>
              <w:rPr>
                <w:rFonts w:ascii="Arial Narrow" w:hAnsi="Arial Narrow"/>
                <w:sz w:val="20"/>
                <w:szCs w:val="20"/>
              </w:rPr>
            </w:pPr>
            <w:r w:rsidRPr="009475AF">
              <w:rPr>
                <w:rFonts w:ascii="Arial Narrow" w:hAnsi="Arial Narrow"/>
                <w:sz w:val="20"/>
                <w:szCs w:val="20"/>
              </w:rPr>
              <w:t>dupilumab 300 mg/2 mL injection, 2 x 2mL syringes</w:t>
            </w:r>
          </w:p>
        </w:tc>
        <w:tc>
          <w:tcPr>
            <w:tcW w:w="1637" w:type="dxa"/>
            <w:vAlign w:val="center"/>
          </w:tcPr>
          <w:p w14:paraId="1C751ABA"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NEW (Public)</w:t>
            </w:r>
          </w:p>
          <w:p w14:paraId="538F123C"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32BB5845"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58362C0D"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3144D886" w14:textId="77777777" w:rsidR="007E576D" w:rsidRPr="009475AF" w:rsidRDefault="007E576D" w:rsidP="00286797">
            <w:pPr>
              <w:keepLines/>
              <w:jc w:val="center"/>
              <w:rPr>
                <w:rFonts w:ascii="Arial Narrow" w:hAnsi="Arial Narrow"/>
                <w:sz w:val="20"/>
                <w:szCs w:val="20"/>
              </w:rPr>
            </w:pPr>
            <w:r w:rsidRPr="009475AF">
              <w:rPr>
                <w:rFonts w:ascii="Arial Narrow" w:hAnsi="Arial Narrow"/>
                <w:sz w:val="20"/>
                <w:szCs w:val="20"/>
              </w:rPr>
              <w:t>3</w:t>
            </w:r>
          </w:p>
        </w:tc>
        <w:tc>
          <w:tcPr>
            <w:tcW w:w="1881" w:type="dxa"/>
            <w:vAlign w:val="center"/>
          </w:tcPr>
          <w:p w14:paraId="39335270" w14:textId="77777777" w:rsidR="007E576D" w:rsidRPr="009475AF" w:rsidRDefault="007E576D" w:rsidP="00286797">
            <w:pPr>
              <w:keepLines/>
              <w:rPr>
                <w:rFonts w:ascii="Arial Narrow" w:hAnsi="Arial Narrow"/>
                <w:sz w:val="20"/>
                <w:szCs w:val="20"/>
              </w:rPr>
            </w:pPr>
            <w:r w:rsidRPr="009475AF">
              <w:rPr>
                <w:rFonts w:ascii="Arial Narrow" w:hAnsi="Arial Narrow"/>
                <w:sz w:val="20"/>
                <w:szCs w:val="20"/>
              </w:rPr>
              <w:t>Dupixent</w:t>
            </w:r>
          </w:p>
        </w:tc>
      </w:tr>
      <w:tr w:rsidR="007E576D" w:rsidRPr="009475AF" w14:paraId="329BCEA5"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357DB52A" w14:textId="456132B4" w:rsidR="007E576D" w:rsidRPr="009475AF" w:rsidRDefault="007E576D" w:rsidP="00286797">
            <w:pPr>
              <w:keepLines/>
              <w:rPr>
                <w:rFonts w:ascii="Arial Narrow" w:hAnsi="Arial Narrow"/>
                <w:b/>
                <w:sz w:val="20"/>
                <w:szCs w:val="20"/>
              </w:rPr>
            </w:pPr>
            <w:r w:rsidRPr="009475AF">
              <w:rPr>
                <w:rFonts w:ascii="Arial Narrow" w:hAnsi="Arial Narrow"/>
                <w:b/>
                <w:sz w:val="20"/>
                <w:szCs w:val="20"/>
              </w:rPr>
              <w:t>Restriction Summary / Treatment of Concept</w:t>
            </w:r>
          </w:p>
        </w:tc>
      </w:tr>
      <w:tr w:rsidR="007E576D" w:rsidRPr="009475AF" w14:paraId="5962BE02"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9533D49" w14:textId="77777777" w:rsidR="007E576D" w:rsidRPr="009475AF" w:rsidRDefault="007E576D" w:rsidP="00286797">
            <w:pPr>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7E576D" w:rsidRPr="009475AF" w14:paraId="1BD0CC08"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BFE09F5" w14:textId="77777777" w:rsidR="007E576D" w:rsidRPr="009475AF" w:rsidRDefault="007E576D" w:rsidP="00286797">
            <w:pPr>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7E576D" w:rsidRPr="009475AF" w14:paraId="394D1E42"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0CCBBCB" w14:textId="77777777" w:rsidR="007E576D" w:rsidRPr="009475AF" w:rsidRDefault="007E576D" w:rsidP="00286797">
            <w:pPr>
              <w:keepLines/>
              <w:rPr>
                <w:rFonts w:ascii="Arial Narrow" w:eastAsia="Calibri" w:hAnsi="Arial Narrow"/>
                <w:color w:val="FF0000"/>
                <w:sz w:val="20"/>
                <w:szCs w:val="20"/>
              </w:rPr>
            </w:pPr>
            <w:r w:rsidRPr="009475AF">
              <w:rPr>
                <w:rFonts w:ascii="Arial Narrow" w:hAnsi="Arial Narrow"/>
                <w:b/>
                <w:sz w:val="20"/>
                <w:szCs w:val="20"/>
              </w:rPr>
              <w:t>Restriction type:</w:t>
            </w:r>
            <w:r w:rsidRPr="009475AF">
              <w:rPr>
                <w:rFonts w:ascii="Arial Narrow" w:eastAsia="Calibri" w:hAnsi="Arial Narrow"/>
                <w:color w:val="FF0000"/>
                <w:sz w:val="20"/>
                <w:szCs w:val="20"/>
              </w:rPr>
              <w:t xml:space="preserv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(in writing only via post/HPOS upload) </w:t>
            </w:r>
          </w:p>
        </w:tc>
      </w:tr>
      <w:tr w:rsidR="007E576D" w:rsidRPr="009475AF" w14:paraId="295DE9C1"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4E91161B"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2F09E333" w14:textId="640C1995" w:rsidR="007E576D" w:rsidRPr="009475AF" w:rsidRDefault="007E576D" w:rsidP="00286797">
            <w:pPr>
              <w:rPr>
                <w:rFonts w:ascii="Arial Narrow" w:hAnsi="Arial Narrow"/>
                <w:sz w:val="20"/>
                <w:szCs w:val="20"/>
              </w:rPr>
            </w:pPr>
            <w:r w:rsidRPr="009475AF">
              <w:rPr>
                <w:rFonts w:ascii="Arial Narrow" w:hAnsi="Arial Narrow"/>
                <w:sz w:val="20"/>
                <w:szCs w:val="20"/>
              </w:rPr>
              <w:t>See overarching administrative note below</w:t>
            </w:r>
            <w:r w:rsidR="009475AF">
              <w:rPr>
                <w:rFonts w:ascii="Arial Narrow" w:hAnsi="Arial Narrow"/>
                <w:sz w:val="20"/>
                <w:szCs w:val="20"/>
              </w:rPr>
              <w:t xml:space="preserve">. </w:t>
            </w:r>
          </w:p>
        </w:tc>
      </w:tr>
      <w:tr w:rsidR="007E576D" w:rsidRPr="009475AF" w14:paraId="7782A287"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31F9E702" w14:textId="77777777" w:rsidR="007E576D" w:rsidRPr="009475AF" w:rsidRDefault="007E576D"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5B200C3F" w14:textId="77777777" w:rsidR="007E576D" w:rsidRPr="009475AF" w:rsidRDefault="007E576D" w:rsidP="00286797">
            <w:pPr>
              <w:rPr>
                <w:rFonts w:ascii="Arial Narrow" w:hAnsi="Arial Narrow"/>
                <w:b/>
                <w:bCs/>
                <w:color w:val="333333"/>
                <w:sz w:val="20"/>
                <w:szCs w:val="20"/>
              </w:rPr>
            </w:pPr>
            <w:r w:rsidRPr="009475AF">
              <w:rPr>
                <w:rFonts w:ascii="Arial Narrow" w:hAnsi="Arial Narrow"/>
                <w:i/>
                <w:iCs/>
                <w:color w:val="333333"/>
                <w:sz w:val="20"/>
                <w:szCs w:val="20"/>
              </w:rPr>
              <w:t>No increase in the maximum number of repeats may be authorised.</w:t>
            </w:r>
          </w:p>
        </w:tc>
      </w:tr>
      <w:tr w:rsidR="007E576D" w:rsidRPr="009475AF" w14:paraId="3066E4D9" w14:textId="77777777" w:rsidTr="00792622">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289E019F" w14:textId="77777777" w:rsidR="007E576D" w:rsidRPr="009475AF" w:rsidRDefault="007E576D"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50B0F9AB"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Special Pricing Arrangements apply.</w:t>
            </w:r>
          </w:p>
        </w:tc>
      </w:tr>
      <w:tr w:rsidR="007E576D" w:rsidRPr="009475AF" w14:paraId="7263CB2E"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579F2C8" w14:textId="77777777" w:rsidR="007E576D" w:rsidRPr="009475AF" w:rsidRDefault="007E576D" w:rsidP="00286797">
            <w:pPr>
              <w:keepLines/>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 </w:t>
            </w:r>
          </w:p>
        </w:tc>
      </w:tr>
      <w:tr w:rsidR="007E576D" w:rsidRPr="009475AF" w14:paraId="548349A3"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3F7624F" w14:textId="77777777" w:rsidR="007E576D" w:rsidRPr="009475AF" w:rsidRDefault="007E576D" w:rsidP="00286797">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 xml:space="preserve">Initial treatment 1 – (New patient; or Recommencement </w:t>
            </w:r>
            <w:r w:rsidRPr="009475AF">
              <w:rPr>
                <w:rFonts w:ascii="Arial Narrow" w:hAnsi="Arial Narrow"/>
                <w:i/>
                <w:iCs/>
                <w:sz w:val="20"/>
                <w:szCs w:val="20"/>
              </w:rPr>
              <w:t xml:space="preserve">of treatment </w:t>
            </w:r>
            <w:r w:rsidRPr="009475AF">
              <w:rPr>
                <w:rFonts w:ascii="Arial Narrow" w:hAnsi="Arial Narrow"/>
                <w:sz w:val="20"/>
                <w:szCs w:val="20"/>
              </w:rPr>
              <w:t>in a new treatment cycle following a break in PBS-subsidised biological medicine therapy)</w:t>
            </w:r>
          </w:p>
        </w:tc>
      </w:tr>
      <w:tr w:rsidR="007E576D" w:rsidRPr="009475AF" w14:paraId="05EE6DDF"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4A62BE2" w14:textId="77777777" w:rsidR="007E576D" w:rsidRPr="009475AF" w:rsidRDefault="007E576D" w:rsidP="00286797">
            <w:pPr>
              <w:rPr>
                <w:rFonts w:ascii="Arial Narrow" w:hAnsi="Arial Narrow"/>
                <w:b/>
                <w:bCs/>
                <w:color w:val="333333"/>
                <w:sz w:val="20"/>
                <w:szCs w:val="20"/>
              </w:rPr>
            </w:pPr>
            <w:r w:rsidRPr="009475AF">
              <w:rPr>
                <w:rFonts w:ascii="Arial Narrow" w:hAnsi="Arial Narrow"/>
                <w:b/>
                <w:bCs/>
                <w:color w:val="333333"/>
                <w:sz w:val="20"/>
                <w:szCs w:val="20"/>
              </w:rPr>
              <w:t>Clinical criteria:</w:t>
            </w:r>
          </w:p>
        </w:tc>
      </w:tr>
      <w:tr w:rsidR="007E576D" w:rsidRPr="009475AF" w14:paraId="0D9C145B"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7204FA3" w14:textId="77777777" w:rsidR="007E576D" w:rsidRPr="009475AF" w:rsidRDefault="007E576D" w:rsidP="00286797">
            <w:pPr>
              <w:rPr>
                <w:rFonts w:ascii="Arial Narrow" w:hAnsi="Arial Narrow"/>
                <w:i/>
                <w:iCs/>
                <w:color w:val="333333"/>
                <w:sz w:val="20"/>
                <w:szCs w:val="20"/>
              </w:rPr>
            </w:pPr>
            <w:r w:rsidRPr="009475AF">
              <w:rPr>
                <w:rFonts w:ascii="Arial Narrow" w:hAnsi="Arial Narrow"/>
                <w:i/>
                <w:iCs/>
                <w:color w:val="333333"/>
                <w:sz w:val="20"/>
                <w:szCs w:val="20"/>
              </w:rPr>
              <w:t xml:space="preserve">Patient must not have received PBS-subsidised treatment with a biological medicine for severe asthma; or </w:t>
            </w:r>
          </w:p>
        </w:tc>
      </w:tr>
      <w:tr w:rsidR="007E576D" w:rsidRPr="009475AF" w14:paraId="3CC0050C"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5E5677D" w14:textId="77777777" w:rsidR="007E576D" w:rsidRPr="009475AF" w:rsidRDefault="007E576D" w:rsidP="00286797">
            <w:pPr>
              <w:rPr>
                <w:rFonts w:ascii="Arial Narrow" w:hAnsi="Arial Narrow"/>
                <w:i/>
                <w:iCs/>
                <w:color w:val="333333"/>
                <w:sz w:val="20"/>
                <w:szCs w:val="20"/>
              </w:rPr>
            </w:pPr>
            <w:r w:rsidRPr="009475AF">
              <w:rPr>
                <w:rFonts w:ascii="Arial Narrow" w:hAnsi="Arial Narrow"/>
                <w:i/>
                <w:iCs/>
                <w:color w:val="333333"/>
                <w:sz w:val="20"/>
                <w:szCs w:val="20"/>
              </w:rPr>
              <w:t xml:space="preserve">Patient must have had a break in treatment from the most recently approved PBS-subsidised biological medicine for severe asthma </w:t>
            </w:r>
          </w:p>
        </w:tc>
      </w:tr>
      <w:tr w:rsidR="007E576D" w:rsidRPr="009475AF" w14:paraId="0DF349D5"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A1E7820" w14:textId="77777777" w:rsidR="007E576D" w:rsidRPr="009475AF" w:rsidRDefault="007E576D" w:rsidP="00286797">
            <w:pPr>
              <w:rPr>
                <w:rFonts w:ascii="Arial Narrow" w:hAnsi="Arial Narrow"/>
                <w:b/>
                <w:bCs/>
                <w:color w:val="333333"/>
                <w:sz w:val="20"/>
                <w:szCs w:val="20"/>
              </w:rPr>
            </w:pPr>
            <w:r w:rsidRPr="009475AF">
              <w:rPr>
                <w:rFonts w:ascii="Arial Narrow" w:hAnsi="Arial Narrow"/>
                <w:b/>
                <w:bCs/>
                <w:color w:val="333333"/>
                <w:sz w:val="20"/>
                <w:szCs w:val="20"/>
              </w:rPr>
              <w:t>AND</w:t>
            </w:r>
          </w:p>
        </w:tc>
      </w:tr>
      <w:tr w:rsidR="007E576D" w:rsidRPr="009475AF" w14:paraId="01371863"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05BEA45" w14:textId="77777777" w:rsidR="007E576D" w:rsidRPr="009475AF" w:rsidRDefault="007E576D" w:rsidP="00286797">
            <w:pPr>
              <w:rPr>
                <w:rFonts w:ascii="Arial Narrow" w:hAnsi="Arial Narrow"/>
                <w:sz w:val="20"/>
                <w:szCs w:val="20"/>
              </w:rPr>
            </w:pPr>
            <w:r w:rsidRPr="009475AF">
              <w:rPr>
                <w:rFonts w:ascii="Arial Narrow" w:hAnsi="Arial Narrow"/>
                <w:b/>
                <w:bCs/>
                <w:color w:val="333333"/>
                <w:sz w:val="20"/>
                <w:szCs w:val="20"/>
              </w:rPr>
              <w:t xml:space="preserve">Clinical criteria: </w:t>
            </w:r>
          </w:p>
        </w:tc>
      </w:tr>
      <w:tr w:rsidR="007E576D" w:rsidRPr="009475AF" w14:paraId="41B79DD1"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07A5FBD" w14:textId="77777777" w:rsidR="007E576D" w:rsidRPr="009475AF" w:rsidRDefault="007E576D" w:rsidP="00286797">
            <w:pPr>
              <w:rPr>
                <w:rFonts w:ascii="Arial Narrow" w:hAnsi="Arial Narrow"/>
                <w:color w:val="333333"/>
                <w:sz w:val="20"/>
                <w:szCs w:val="20"/>
              </w:rPr>
            </w:pPr>
            <w:r w:rsidRPr="009475AF">
              <w:rPr>
                <w:rFonts w:ascii="Arial Narrow" w:hAnsi="Arial Narrow"/>
                <w:sz w:val="20"/>
                <w:szCs w:val="20"/>
              </w:rPr>
              <w:t>Patient must have a diagnosis of asthma confirmed and documented by a paediatric respiratory physician, clinical immunologist, or allergist; or paediatrician or general physician experienced in the management of patients with severe asthma in consultation with a respiratory physician, defined by the following standard clinical features: forced expiratory volume (FEV1) reversibility or airway hyperresponsiveness or peak expiratory flow (PEF) variability,</w:t>
            </w:r>
          </w:p>
        </w:tc>
      </w:tr>
      <w:tr w:rsidR="007E576D" w:rsidRPr="009475AF" w14:paraId="3C05B93F"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3353A2D"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0BBA074C"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405C096"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7E576D" w:rsidRPr="009475AF" w14:paraId="70E2860D"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C804BA3" w14:textId="77777777" w:rsidR="007E576D" w:rsidRPr="009475AF" w:rsidRDefault="007E576D" w:rsidP="00286797">
            <w:pPr>
              <w:rPr>
                <w:rFonts w:ascii="Arial Narrow" w:hAnsi="Arial Narrow"/>
                <w:color w:val="FF0000"/>
                <w:sz w:val="20"/>
                <w:szCs w:val="20"/>
              </w:rPr>
            </w:pPr>
            <w:r w:rsidRPr="009475AF">
              <w:rPr>
                <w:rFonts w:ascii="Arial Narrow" w:hAnsi="Arial Narrow"/>
                <w:sz w:val="20"/>
                <w:szCs w:val="20"/>
              </w:rPr>
              <w:t xml:space="preserve">Patient must have a duration of asthma of at least 1 year </w:t>
            </w:r>
          </w:p>
        </w:tc>
      </w:tr>
      <w:tr w:rsidR="007E576D" w:rsidRPr="009475AF" w14:paraId="28E4899E"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F1A2403"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75F20221"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BA6B81C"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7E576D" w:rsidRPr="009475AF" w14:paraId="4CA142EF"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DE8F238"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 xml:space="preserve">Patient must have total serum human immunoglobulin E greater than or equal to 30 IU/mL with past or current evidence of atopy, documented by skin prick testing or an in vitro measure of specific IgE in the last 12 months, </w:t>
            </w:r>
            <w:r w:rsidRPr="009475AF">
              <w:rPr>
                <w:rFonts w:ascii="Arial Narrow" w:hAnsi="Arial Narrow"/>
                <w:strike/>
                <w:color w:val="333333"/>
                <w:sz w:val="20"/>
                <w:szCs w:val="20"/>
              </w:rPr>
              <w:t>AND/</w:t>
            </w:r>
            <w:r w:rsidRPr="009475AF">
              <w:rPr>
                <w:rFonts w:ascii="Arial Narrow" w:hAnsi="Arial Narrow"/>
                <w:color w:val="333333"/>
                <w:sz w:val="20"/>
                <w:szCs w:val="20"/>
              </w:rPr>
              <w:t xml:space="preserve">OR </w:t>
            </w:r>
          </w:p>
        </w:tc>
      </w:tr>
      <w:tr w:rsidR="007E576D" w:rsidRPr="009475AF" w14:paraId="28E094E8"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94A77BF"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 xml:space="preserve">Patient must have blood eosinophil count greater than or equal to 150 cells per microlitre in the last 12 months; </w:t>
            </w:r>
            <w:r w:rsidRPr="009475AF">
              <w:rPr>
                <w:rFonts w:ascii="Arial Narrow" w:hAnsi="Arial Narrow"/>
                <w:strike/>
                <w:color w:val="333333"/>
                <w:sz w:val="20"/>
                <w:szCs w:val="20"/>
              </w:rPr>
              <w:t>AND/</w:t>
            </w:r>
            <w:r w:rsidRPr="009475AF">
              <w:rPr>
                <w:rFonts w:ascii="Arial Narrow" w:hAnsi="Arial Narrow"/>
                <w:color w:val="333333"/>
                <w:sz w:val="20"/>
                <w:szCs w:val="20"/>
              </w:rPr>
              <w:t xml:space="preserve">OR </w:t>
            </w:r>
          </w:p>
        </w:tc>
      </w:tr>
      <w:tr w:rsidR="007E576D" w:rsidRPr="009475AF" w14:paraId="10911BFB"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D9DFA1D"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Patient must have a fractional exhaled nitrous oxide greater than 20 ppb in the last 12 months</w:t>
            </w:r>
          </w:p>
        </w:tc>
      </w:tr>
      <w:tr w:rsidR="007E576D" w:rsidRPr="009475AF" w14:paraId="1E740159"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C3027CF"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55F2E646"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1E7D569"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7E576D" w:rsidRPr="009475AF" w14:paraId="571B114E"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49E471D"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Patient must have failed to achieve adequate control with optimised asthma therapy, despite formal assessment of and adherence to correct inhaler technique, which has been documented,</w:t>
            </w:r>
          </w:p>
        </w:tc>
      </w:tr>
      <w:tr w:rsidR="007E576D" w:rsidRPr="009475AF" w14:paraId="63128469"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6DF642B"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21C36FB5"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4EC8BFF"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7E576D" w:rsidRPr="009475AF" w14:paraId="4A3F8302"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2B3E407"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Patient must not receive more than 32 weeks of treatment under this restriction,</w:t>
            </w:r>
          </w:p>
        </w:tc>
      </w:tr>
      <w:tr w:rsidR="007E576D" w:rsidRPr="009475AF" w14:paraId="47F561F8"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52A79F"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2E76B93A"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EE05055" w14:textId="77777777" w:rsidR="007E576D" w:rsidRPr="009475AF" w:rsidRDefault="007E576D" w:rsidP="002A4C44">
            <w:pPr>
              <w:keepNext/>
              <w:rPr>
                <w:rFonts w:ascii="Arial Narrow" w:hAnsi="Arial Narrow"/>
                <w:color w:val="333333"/>
                <w:sz w:val="20"/>
                <w:szCs w:val="20"/>
              </w:rPr>
            </w:pPr>
            <w:r w:rsidRPr="009475AF">
              <w:rPr>
                <w:rFonts w:ascii="Arial Narrow" w:hAnsi="Arial Narrow"/>
                <w:b/>
                <w:bCs/>
                <w:color w:val="333333"/>
                <w:sz w:val="20"/>
                <w:szCs w:val="20"/>
              </w:rPr>
              <w:lastRenderedPageBreak/>
              <w:t>Clinical criteria:</w:t>
            </w:r>
          </w:p>
        </w:tc>
      </w:tr>
      <w:tr w:rsidR="007E576D" w:rsidRPr="009475AF" w14:paraId="05947310"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B513614" w14:textId="77777777" w:rsidR="007E576D" w:rsidRPr="009475AF" w:rsidRDefault="007E576D" w:rsidP="002A4C44">
            <w:pPr>
              <w:keepNext/>
              <w:rPr>
                <w:rFonts w:ascii="Arial Narrow" w:hAnsi="Arial Narrow"/>
                <w:color w:val="333333"/>
                <w:sz w:val="20"/>
                <w:szCs w:val="20"/>
              </w:rPr>
            </w:pPr>
            <w:r w:rsidRPr="009475AF">
              <w:rPr>
                <w:rFonts w:ascii="Arial Narrow" w:hAnsi="Arial Narrow"/>
                <w:color w:val="333333"/>
                <w:sz w:val="20"/>
                <w:szCs w:val="20"/>
              </w:rPr>
              <w:t>Patient must be under the care of the same physician for at least 6 months.</w:t>
            </w:r>
          </w:p>
        </w:tc>
      </w:tr>
      <w:tr w:rsidR="007E576D" w:rsidRPr="009475AF" w14:paraId="2C48BC2E"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49FA9F9"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7E576D" w:rsidRPr="009475AF" w14:paraId="234BE57A"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913AFCC"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7E576D" w:rsidRPr="009475AF" w14:paraId="0AC58969"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8817DD8" w14:textId="77777777" w:rsidR="007E576D" w:rsidRPr="009475AF" w:rsidRDefault="007E576D" w:rsidP="00286797">
            <w:pPr>
              <w:rPr>
                <w:rFonts w:ascii="Arial Narrow" w:hAnsi="Arial Narrow"/>
                <w:i/>
                <w:iCs/>
                <w:color w:val="333333"/>
                <w:sz w:val="20"/>
                <w:szCs w:val="20"/>
              </w:rPr>
            </w:pPr>
            <w:r w:rsidRPr="009475AF">
              <w:rPr>
                <w:rFonts w:ascii="Arial Narrow" w:hAnsi="Arial Narrow"/>
                <w:i/>
                <w:iCs/>
                <w:color w:val="333333"/>
                <w:sz w:val="20"/>
                <w:szCs w:val="20"/>
              </w:rPr>
              <w:t xml:space="preserve">The treatment must not be used in combination with and within 4 weeks of another PBS-subsidised biological medicine prescribed for severe asthma </w:t>
            </w:r>
          </w:p>
        </w:tc>
      </w:tr>
      <w:tr w:rsidR="007E576D" w:rsidRPr="009475AF" w14:paraId="7E142975"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E4A93C8" w14:textId="77777777" w:rsidR="007E576D" w:rsidRPr="009475AF" w:rsidRDefault="007E576D" w:rsidP="00286797">
            <w:pPr>
              <w:keepNext/>
              <w:rPr>
                <w:rFonts w:ascii="Arial Narrow" w:hAnsi="Arial Narrow"/>
                <w:color w:val="333333"/>
                <w:sz w:val="20"/>
                <w:szCs w:val="20"/>
              </w:rPr>
            </w:pPr>
            <w:r w:rsidRPr="009475AF">
              <w:rPr>
                <w:rFonts w:ascii="Arial Narrow" w:hAnsi="Arial Narrow"/>
                <w:b/>
                <w:bCs/>
                <w:color w:val="333333"/>
                <w:sz w:val="20"/>
                <w:szCs w:val="20"/>
              </w:rPr>
              <w:t>Treatment criteria:</w:t>
            </w:r>
          </w:p>
        </w:tc>
      </w:tr>
      <w:tr w:rsidR="007E576D" w:rsidRPr="009475AF" w14:paraId="2F5F87B1"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40CEFFC" w14:textId="77777777" w:rsidR="007E576D" w:rsidRPr="009475AF" w:rsidRDefault="007E576D" w:rsidP="00286797">
            <w:pPr>
              <w:autoSpaceDE w:val="0"/>
              <w:autoSpaceDN w:val="0"/>
              <w:adjustRightInd w:val="0"/>
              <w:rPr>
                <w:rFonts w:ascii="Arial Narrow" w:hAnsi="Arial Narrow" w:cs="Arial Narrow"/>
                <w:i/>
                <w:iCs/>
                <w:sz w:val="20"/>
                <w:szCs w:val="20"/>
              </w:rPr>
            </w:pPr>
            <w:r w:rsidRPr="009475AF">
              <w:rPr>
                <w:rFonts w:ascii="Arial Narrow" w:hAnsi="Arial Narrow" w:cs="Arial Narrow"/>
                <w:iCs/>
                <w:sz w:val="20"/>
                <w:szCs w:val="20"/>
              </w:rPr>
              <w:t>Must be treated by a paediatric respiratory physician, clinical immunologist, allergist; or paediatrician or general physician experienced in the management of patients with severe asthma, in consultation with a respiratory physician.</w:t>
            </w:r>
          </w:p>
        </w:tc>
      </w:tr>
      <w:tr w:rsidR="007E576D" w:rsidRPr="009475AF" w14:paraId="76B30886"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E2A4558"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Population criteria:</w:t>
            </w:r>
          </w:p>
        </w:tc>
      </w:tr>
      <w:tr w:rsidR="007E576D" w:rsidRPr="009475AF" w14:paraId="3C84C7E9"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3937F3B" w14:textId="77777777" w:rsidR="007E576D" w:rsidRPr="009475AF" w:rsidRDefault="007E576D" w:rsidP="00286797">
            <w:pPr>
              <w:rPr>
                <w:rFonts w:ascii="Arial Narrow" w:hAnsi="Arial Narrow"/>
                <w:color w:val="333333"/>
                <w:sz w:val="20"/>
                <w:szCs w:val="20"/>
              </w:rPr>
            </w:pPr>
            <w:r w:rsidRPr="009475AF">
              <w:rPr>
                <w:rFonts w:ascii="Arial Narrow" w:hAnsi="Arial Narrow"/>
                <w:sz w:val="20"/>
                <w:szCs w:val="20"/>
              </w:rPr>
              <w:t xml:space="preserve">Patient must be aged 6 to less than 12 years. </w:t>
            </w:r>
          </w:p>
        </w:tc>
      </w:tr>
      <w:tr w:rsidR="007E576D" w:rsidRPr="009475AF" w14:paraId="6927109D"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5AEA5E1" w14:textId="77777777" w:rsidR="007E576D" w:rsidRPr="009475AF" w:rsidRDefault="007E576D"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681E5F82" w14:textId="77777777" w:rsidR="007E576D" w:rsidRPr="009475AF" w:rsidRDefault="007E576D" w:rsidP="00286797">
            <w:pPr>
              <w:rPr>
                <w:rFonts w:ascii="Arial Narrow" w:hAnsi="Arial Narrow"/>
                <w:bCs/>
                <w:sz w:val="20"/>
                <w:szCs w:val="20"/>
              </w:rPr>
            </w:pPr>
            <w:r w:rsidRPr="009475AF">
              <w:rPr>
                <w:rFonts w:ascii="Arial Narrow" w:hAnsi="Arial Narrow"/>
                <w:bCs/>
                <w:sz w:val="20"/>
                <w:szCs w:val="20"/>
              </w:rPr>
              <w:t>Optimised asthma therapy includes:</w:t>
            </w:r>
          </w:p>
          <w:p w14:paraId="7042F5F6" w14:textId="77777777" w:rsidR="007E576D" w:rsidRPr="009475AF" w:rsidRDefault="007E576D" w:rsidP="00286797">
            <w:pPr>
              <w:rPr>
                <w:rFonts w:ascii="Arial Narrow" w:hAnsi="Arial Narrow"/>
                <w:sz w:val="20"/>
                <w:szCs w:val="20"/>
              </w:rPr>
            </w:pPr>
            <w:r w:rsidRPr="009475AF">
              <w:rPr>
                <w:rFonts w:ascii="Arial Narrow" w:hAnsi="Arial Narrow"/>
                <w:bCs/>
                <w:sz w:val="20"/>
                <w:szCs w:val="20"/>
              </w:rPr>
              <w:t>(</w:t>
            </w:r>
            <w:r w:rsidRPr="009475AF">
              <w:rPr>
                <w:rFonts w:ascii="Arial Narrow" w:hAnsi="Arial Narrow"/>
                <w:sz w:val="20"/>
                <w:szCs w:val="20"/>
              </w:rPr>
              <w:t>i) Adherence to optimal inhaled therapy, including high dose inhaled corticosteroid (ICS) and long-acting beta-2 agonist (LABA) therapy for at least six months. If LABA therapy is contraindicated, not tolerated or not effective, montelukast, cromoglycate or nedocromil may be used as an alternative;</w:t>
            </w:r>
          </w:p>
          <w:p w14:paraId="53E2C23F"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AND </w:t>
            </w:r>
          </w:p>
          <w:p w14:paraId="3D42C9AC"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(ii) treatment with at least 2 courses of oral or IV corticosteroids (daily or alternate day maintenance treatment courses, or 3-5 day exacerbation treatment courses), in the previous 12 months unless contraindicated or not tolerated.</w:t>
            </w:r>
          </w:p>
          <w:p w14:paraId="463F9CB5" w14:textId="77777777" w:rsidR="007E576D" w:rsidRPr="009475AF" w:rsidRDefault="007E576D" w:rsidP="00286797">
            <w:pPr>
              <w:rPr>
                <w:rFonts w:ascii="Arial Narrow" w:hAnsi="Arial Narrow"/>
                <w:sz w:val="20"/>
                <w:szCs w:val="20"/>
              </w:rPr>
            </w:pPr>
          </w:p>
          <w:p w14:paraId="116BA1B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 </w:t>
            </w:r>
          </w:p>
        </w:tc>
      </w:tr>
      <w:tr w:rsidR="007E576D" w:rsidRPr="009475AF" w14:paraId="7C2A4B96"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76DED07" w14:textId="77777777" w:rsidR="007E576D" w:rsidRPr="009475AF" w:rsidRDefault="007E576D"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0F2AE89B"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The initial IgE assessment</w:t>
            </w:r>
            <w:r w:rsidRPr="009475AF">
              <w:rPr>
                <w:rFonts w:ascii="Arial Narrow" w:hAnsi="Arial Narrow"/>
                <w:i/>
                <w:iCs/>
                <w:sz w:val="20"/>
                <w:szCs w:val="20"/>
              </w:rPr>
              <w:t xml:space="preserve">, blood eosinophil count or fractional exhaled nitrous oxide measurement </w:t>
            </w:r>
            <w:r w:rsidRPr="009475AF">
              <w:rPr>
                <w:rFonts w:ascii="Arial Narrow" w:hAnsi="Arial Narrow"/>
                <w:sz w:val="20"/>
                <w:szCs w:val="20"/>
              </w:rPr>
              <w:t xml:space="preserve">must be no more than 12 months old at the time of application. </w:t>
            </w:r>
          </w:p>
        </w:tc>
      </w:tr>
      <w:tr w:rsidR="007E576D" w:rsidRPr="009475AF" w14:paraId="00210B68" w14:textId="77777777" w:rsidTr="00491427">
        <w:tblPrEx>
          <w:tblCellMar>
            <w:top w:w="15" w:type="dxa"/>
            <w:bottom w:w="15" w:type="dxa"/>
          </w:tblCellMar>
          <w:tblLook w:val="04A0" w:firstRow="1" w:lastRow="0" w:firstColumn="1" w:lastColumn="0" w:noHBand="0" w:noVBand="1"/>
        </w:tblPrEx>
        <w:trPr>
          <w:trHeight w:val="20"/>
        </w:trPr>
        <w:tc>
          <w:tcPr>
            <w:tcW w:w="9067" w:type="dxa"/>
            <w:gridSpan w:val="6"/>
            <w:vAlign w:val="center"/>
          </w:tcPr>
          <w:p w14:paraId="64AF8AF2" w14:textId="77777777" w:rsidR="007E576D" w:rsidRPr="009475AF" w:rsidRDefault="007E576D"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3D725B7A"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The following initiation criteria indicate failure to achieve adequate control and must be demonstrated in all patients at the time of the application:</w:t>
            </w:r>
          </w:p>
          <w:p w14:paraId="672C30EF"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An Asthma Control Questionnaire (ACQ-5) score of at least 2.0, as assessed in the previous month (for children aged 6 to 10 years it is recommended that the Interviewer Administered version – the ACQ-IA be used), </w:t>
            </w:r>
          </w:p>
          <w:p w14:paraId="255E23F5"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AND</w:t>
            </w:r>
          </w:p>
          <w:p w14:paraId="27962D65"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 </w:t>
            </w:r>
          </w:p>
          <w:p w14:paraId="475848CB" w14:textId="77777777" w:rsidR="007E576D" w:rsidRPr="009475AF" w:rsidRDefault="007E576D" w:rsidP="00286797">
            <w:pPr>
              <w:rPr>
                <w:rFonts w:ascii="Arial Narrow" w:hAnsi="Arial Narrow"/>
                <w:sz w:val="20"/>
                <w:szCs w:val="20"/>
              </w:rPr>
            </w:pPr>
          </w:p>
          <w:p w14:paraId="20ED6A11"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The Asthma Control Questionnaire (5 item version) or ACQ-IA assessment of the patient’s response to this initial course of treatment, the assessment of oral corticosteroid dose, and the assessment of exacerbation rate should be made at around </w:t>
            </w:r>
            <w:r w:rsidRPr="009475AF">
              <w:rPr>
                <w:rFonts w:ascii="Arial Narrow" w:hAnsi="Arial Narrow"/>
                <w:strike/>
                <w:sz w:val="20"/>
                <w:szCs w:val="20"/>
              </w:rPr>
              <w:t>24</w:t>
            </w:r>
            <w:r w:rsidRPr="009475AF">
              <w:rPr>
                <w:rFonts w:ascii="Arial Narrow" w:hAnsi="Arial Narrow"/>
                <w:sz w:val="20"/>
                <w:szCs w:val="20"/>
              </w:rPr>
              <w:t xml:space="preserve"> </w:t>
            </w:r>
            <w:r w:rsidRPr="009475AF">
              <w:rPr>
                <w:rFonts w:ascii="Arial Narrow" w:hAnsi="Arial Narrow"/>
                <w:i/>
                <w:iCs/>
                <w:sz w:val="20"/>
                <w:szCs w:val="20"/>
              </w:rPr>
              <w:t>28</w:t>
            </w:r>
            <w:r w:rsidRPr="009475AF">
              <w:rPr>
                <w:rFonts w:ascii="Arial Narrow" w:hAnsi="Arial Narrow"/>
                <w:sz w:val="20"/>
                <w:szCs w:val="20"/>
              </w:rPr>
              <w:t xml:space="preserve"> weeks after the first dose so that there is adequate time for a response to be demonstrated and for the application for continuing therapy to be processed. </w:t>
            </w:r>
          </w:p>
          <w:p w14:paraId="4F0ACB3E" w14:textId="77777777" w:rsidR="007E576D" w:rsidRPr="009475AF" w:rsidRDefault="007E576D" w:rsidP="00286797">
            <w:pPr>
              <w:rPr>
                <w:rFonts w:ascii="Arial Narrow" w:hAnsi="Arial Narrow"/>
                <w:sz w:val="20"/>
                <w:szCs w:val="20"/>
              </w:rPr>
            </w:pPr>
          </w:p>
          <w:p w14:paraId="6C23E4C9"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w:t>
            </w:r>
            <w:r w:rsidRPr="009475AF">
              <w:rPr>
                <w:rFonts w:ascii="Arial Narrow" w:hAnsi="Arial Narrow"/>
                <w:strike/>
                <w:sz w:val="20"/>
                <w:szCs w:val="20"/>
              </w:rPr>
              <w:t>dupilumab</w:t>
            </w:r>
            <w:r w:rsidRPr="009475AF">
              <w:rPr>
                <w:rFonts w:ascii="Arial Narrow" w:hAnsi="Arial Narrow"/>
                <w:i/>
                <w:iCs/>
                <w:sz w:val="20"/>
                <w:szCs w:val="20"/>
              </w:rPr>
              <w:t xml:space="preserve"> this drug for this condition</w:t>
            </w:r>
            <w:r w:rsidRPr="009475AF">
              <w:rPr>
                <w:rFonts w:ascii="Arial Narrow" w:hAnsi="Arial Narrow"/>
                <w:sz w:val="20"/>
                <w:szCs w:val="20"/>
              </w:rPr>
              <w:t xml:space="preserve">. </w:t>
            </w:r>
          </w:p>
          <w:p w14:paraId="380CD600" w14:textId="77777777" w:rsidR="007E576D" w:rsidRPr="009475AF" w:rsidRDefault="007E576D" w:rsidP="00286797">
            <w:pPr>
              <w:rPr>
                <w:rFonts w:ascii="Arial Narrow" w:hAnsi="Arial Narrow"/>
                <w:sz w:val="20"/>
                <w:szCs w:val="20"/>
              </w:rPr>
            </w:pPr>
          </w:p>
          <w:p w14:paraId="5F7A95E4"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patient who fails to </w:t>
            </w:r>
            <w:r w:rsidRPr="009475AF">
              <w:rPr>
                <w:rFonts w:ascii="Arial Narrow" w:hAnsi="Arial Narrow"/>
                <w:i/>
                <w:iCs/>
                <w:sz w:val="20"/>
                <w:szCs w:val="20"/>
              </w:rPr>
              <w:t xml:space="preserve">demonstrate a response </w:t>
            </w:r>
            <w:r w:rsidRPr="009475AF">
              <w:rPr>
                <w:rFonts w:ascii="Arial Narrow" w:hAnsi="Arial Narrow"/>
                <w:strike/>
                <w:sz w:val="20"/>
                <w:szCs w:val="20"/>
              </w:rPr>
              <w:t>respond</w:t>
            </w:r>
            <w:r w:rsidRPr="009475AF">
              <w:rPr>
                <w:rFonts w:ascii="Arial Narrow" w:hAnsi="Arial Narrow"/>
                <w:sz w:val="20"/>
                <w:szCs w:val="20"/>
              </w:rPr>
              <w:t xml:space="preserve"> to </w:t>
            </w:r>
            <w:r w:rsidRPr="009475AF">
              <w:rPr>
                <w:rFonts w:ascii="Arial Narrow" w:hAnsi="Arial Narrow"/>
                <w:strike/>
                <w:sz w:val="20"/>
                <w:szCs w:val="20"/>
              </w:rPr>
              <w:t>a</w:t>
            </w:r>
            <w:r w:rsidRPr="009475AF">
              <w:rPr>
                <w:rFonts w:ascii="Arial Narrow" w:hAnsi="Arial Narrow"/>
                <w:sz w:val="20"/>
                <w:szCs w:val="20"/>
              </w:rPr>
              <w:t xml:space="preserve"> </w:t>
            </w:r>
            <w:r w:rsidRPr="009475AF">
              <w:rPr>
                <w:rFonts w:ascii="Arial Narrow" w:hAnsi="Arial Narrow"/>
                <w:strike/>
                <w:sz w:val="20"/>
                <w:szCs w:val="20"/>
              </w:rPr>
              <w:t>course of PBS-subsidised treatment dupilumab for the treatment of uncontrolled severe asthma</w:t>
            </w:r>
            <w:r w:rsidRPr="009475AF">
              <w:rPr>
                <w:rFonts w:ascii="Arial Narrow" w:hAnsi="Arial Narrow"/>
                <w:sz w:val="20"/>
                <w:szCs w:val="20"/>
              </w:rPr>
              <w:t xml:space="preserve"> </w:t>
            </w:r>
            <w:r w:rsidRPr="009475AF">
              <w:rPr>
                <w:rFonts w:ascii="Arial Narrow" w:hAnsi="Arial Narrow"/>
                <w:i/>
                <w:iCs/>
                <w:sz w:val="20"/>
                <w:szCs w:val="20"/>
              </w:rPr>
              <w:t xml:space="preserve">treatment with this drug </w:t>
            </w:r>
            <w:r w:rsidRPr="009475AF">
              <w:rPr>
                <w:rFonts w:ascii="Arial Narrow" w:hAnsi="Arial Narrow"/>
                <w:sz w:val="20"/>
                <w:szCs w:val="20"/>
              </w:rPr>
              <w:t xml:space="preserve">will not be eligible to receive further PBS-subsidised treatment with </w:t>
            </w:r>
            <w:r w:rsidRPr="009475AF">
              <w:rPr>
                <w:rFonts w:ascii="Arial Narrow" w:hAnsi="Arial Narrow"/>
                <w:i/>
                <w:iCs/>
                <w:sz w:val="20"/>
                <w:szCs w:val="20"/>
              </w:rPr>
              <w:t xml:space="preserve">this drug </w:t>
            </w:r>
            <w:r w:rsidRPr="009475AF">
              <w:rPr>
                <w:rFonts w:ascii="Arial Narrow" w:hAnsi="Arial Narrow"/>
                <w:strike/>
                <w:sz w:val="20"/>
                <w:szCs w:val="20"/>
              </w:rPr>
              <w:t>dupilumab</w:t>
            </w:r>
            <w:r w:rsidRPr="009475AF">
              <w:rPr>
                <w:rFonts w:ascii="Arial Narrow" w:hAnsi="Arial Narrow"/>
                <w:sz w:val="20"/>
                <w:szCs w:val="20"/>
              </w:rPr>
              <w:t xml:space="preserve"> for this condition within</w:t>
            </w:r>
            <w:r w:rsidRPr="009475AF">
              <w:rPr>
                <w:rFonts w:ascii="Arial Narrow" w:hAnsi="Arial Narrow"/>
                <w:i/>
                <w:iCs/>
                <w:sz w:val="20"/>
                <w:szCs w:val="20"/>
              </w:rPr>
              <w:t xml:space="preserve"> the same treatment cycle</w:t>
            </w:r>
            <w:r w:rsidRPr="009475AF">
              <w:rPr>
                <w:rFonts w:ascii="Arial Narrow" w:hAnsi="Arial Narrow"/>
                <w:sz w:val="20"/>
                <w:szCs w:val="20"/>
              </w:rPr>
              <w:t xml:space="preserve"> </w:t>
            </w:r>
            <w:r w:rsidRPr="009475AF">
              <w:rPr>
                <w:rFonts w:ascii="Arial Narrow" w:hAnsi="Arial Narrow"/>
                <w:strike/>
                <w:sz w:val="20"/>
                <w:szCs w:val="20"/>
              </w:rPr>
              <w:t>6 months of the date on which treatment was ceased</w:t>
            </w:r>
            <w:r w:rsidRPr="009475AF">
              <w:rPr>
                <w:rFonts w:ascii="Arial Narrow" w:hAnsi="Arial Narrow"/>
                <w:sz w:val="20"/>
                <w:szCs w:val="20"/>
              </w:rPr>
              <w:t xml:space="preserve">. </w:t>
            </w:r>
          </w:p>
          <w:p w14:paraId="7CD52823" w14:textId="77777777" w:rsidR="007E576D" w:rsidRPr="009475AF" w:rsidRDefault="007E576D" w:rsidP="00286797">
            <w:pPr>
              <w:rPr>
                <w:rFonts w:ascii="Arial Narrow" w:hAnsi="Arial Narrow"/>
                <w:sz w:val="20"/>
                <w:szCs w:val="20"/>
              </w:rPr>
            </w:pPr>
          </w:p>
          <w:p w14:paraId="1871BE87" w14:textId="77777777" w:rsidR="007E576D" w:rsidRPr="009475AF" w:rsidRDefault="007E576D" w:rsidP="00286797">
            <w:pPr>
              <w:rPr>
                <w:rFonts w:ascii="Arial Narrow" w:hAnsi="Arial Narrow"/>
                <w:i/>
                <w:iCs/>
                <w:sz w:val="20"/>
                <w:szCs w:val="20"/>
              </w:rPr>
            </w:pPr>
            <w:r w:rsidRPr="009475AF">
              <w:rPr>
                <w:rFonts w:ascii="Arial Narrow" w:hAnsi="Arial Narrow"/>
                <w:i/>
                <w:iCs/>
                <w:sz w:val="20"/>
                <w:szCs w:val="20"/>
              </w:rPr>
              <w:t xml:space="preserve">A treatment break in PBS-subsidised biological medicine therapy of at least 6 months must be observed in a patient who has either failed to achieve or sustain a response to treatment with 2 biological medicines within the same treatment cycle. </w:t>
            </w:r>
          </w:p>
          <w:p w14:paraId="5EA7059A" w14:textId="77777777" w:rsidR="007E576D" w:rsidRPr="009475AF" w:rsidRDefault="007E576D" w:rsidP="00286797">
            <w:pPr>
              <w:rPr>
                <w:rFonts w:ascii="Arial Narrow" w:hAnsi="Arial Narrow"/>
                <w:i/>
                <w:iCs/>
                <w:sz w:val="20"/>
                <w:szCs w:val="20"/>
              </w:rPr>
            </w:pPr>
          </w:p>
          <w:p w14:paraId="488EC680" w14:textId="77777777" w:rsidR="007E576D" w:rsidRPr="009475AF" w:rsidRDefault="007E576D" w:rsidP="00286797">
            <w:pPr>
              <w:rPr>
                <w:rFonts w:ascii="Arial Narrow" w:hAnsi="Arial Narrow"/>
                <w:i/>
                <w:iCs/>
                <w:sz w:val="20"/>
                <w:szCs w:val="20"/>
              </w:rPr>
            </w:pPr>
            <w:r w:rsidRPr="009475AF">
              <w:rPr>
                <w:rFonts w:ascii="Arial Narrow" w:hAnsi="Arial Narrow"/>
                <w:i/>
                <w:iCs/>
                <w:sz w:val="20"/>
                <w:szCs w:val="20"/>
              </w:rPr>
              <w:lastRenderedPageBreak/>
              <w:t xml:space="preserve">The length of the break in therapy is measured from the date of the most recent treatment with a PBS-subsidised biological medicine was administered until the date of the first application for recommencement of treatment with a biological medicine under the new treatment cycle. </w:t>
            </w:r>
          </w:p>
          <w:p w14:paraId="2862095F" w14:textId="77777777" w:rsidR="007E576D" w:rsidRPr="009475AF" w:rsidRDefault="007E576D" w:rsidP="00286797">
            <w:pPr>
              <w:rPr>
                <w:rFonts w:ascii="Arial Narrow" w:hAnsi="Arial Narrow"/>
                <w:i/>
                <w:iCs/>
                <w:sz w:val="20"/>
                <w:szCs w:val="20"/>
              </w:rPr>
            </w:pPr>
          </w:p>
          <w:p w14:paraId="540E586D"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At the time of the authority application, medical practitioners should request the appropriate maximum quantity and number of repeats to provide for an initial course of dupilumab of up to 32 weeks. </w:t>
            </w:r>
          </w:p>
          <w:p w14:paraId="45634269" w14:textId="77777777" w:rsidR="007E576D" w:rsidRPr="009475AF" w:rsidRDefault="007E576D" w:rsidP="00286797">
            <w:pPr>
              <w:rPr>
                <w:rFonts w:ascii="Arial Narrow" w:hAnsi="Arial Narrow"/>
                <w:sz w:val="20"/>
                <w:szCs w:val="20"/>
              </w:rPr>
            </w:pPr>
          </w:p>
          <w:p w14:paraId="0BF796CE"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The authority application must be made in writing and must include:</w:t>
            </w:r>
          </w:p>
          <w:p w14:paraId="34611C7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a completed authority prescription form; and </w:t>
            </w:r>
          </w:p>
          <w:p w14:paraId="0C8D49C9" w14:textId="77777777" w:rsidR="007E576D" w:rsidRPr="009475AF" w:rsidRDefault="007E576D" w:rsidP="00286797">
            <w:pPr>
              <w:rPr>
                <w:rFonts w:ascii="Arial Narrow" w:hAnsi="Arial Narrow"/>
                <w:i/>
                <w:iCs/>
                <w:sz w:val="20"/>
                <w:szCs w:val="20"/>
              </w:rPr>
            </w:pPr>
            <w:r w:rsidRPr="009475AF">
              <w:rPr>
                <w:rFonts w:ascii="Arial Narrow" w:hAnsi="Arial Narrow"/>
                <w:sz w:val="20"/>
                <w:szCs w:val="20"/>
              </w:rPr>
              <w:t xml:space="preserve">(b) a completed </w:t>
            </w:r>
            <w:r w:rsidRPr="009475AF">
              <w:rPr>
                <w:rFonts w:ascii="Arial Narrow" w:hAnsi="Arial Narrow"/>
                <w:strike/>
                <w:sz w:val="20"/>
                <w:szCs w:val="20"/>
              </w:rPr>
              <w:t>Paediatric Severe Allergic Asthma Initial PBS Authority Application – Supporting Information form, which includes the following:</w:t>
            </w:r>
            <w:r w:rsidRPr="009475AF">
              <w:rPr>
                <w:rFonts w:ascii="Arial Narrow" w:hAnsi="Arial Narrow"/>
                <w:i/>
                <w:iCs/>
                <w:sz w:val="20"/>
                <w:szCs w:val="20"/>
              </w:rPr>
              <w:t xml:space="preserve"> authority application form relevant to the indication and treatment phase (the latest version is located on the website specified in the Administrative Advice), which includes:</w:t>
            </w:r>
          </w:p>
          <w:p w14:paraId="23546DFA"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 details of prior optimised asthma drug therapy (dosage, date of commencement and duration of therapy); and </w:t>
            </w:r>
          </w:p>
          <w:p w14:paraId="790BCE02"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(ii) details of severe exacerbation/s experienced in the past 12 months while receiving optimised asthma therapy (date and treatment); and </w:t>
            </w:r>
          </w:p>
          <w:p w14:paraId="54EB19C9"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(iii) the IgE, </w:t>
            </w:r>
            <w:r w:rsidRPr="009475AF">
              <w:rPr>
                <w:rFonts w:ascii="Arial Narrow" w:hAnsi="Arial Narrow"/>
                <w:i/>
                <w:iCs/>
                <w:sz w:val="20"/>
                <w:szCs w:val="20"/>
              </w:rPr>
              <w:t>blood eosinophil or the fractional exhaled nitrous oxide</w:t>
            </w:r>
            <w:r w:rsidRPr="009475AF">
              <w:rPr>
                <w:rFonts w:ascii="Arial Narrow" w:hAnsi="Arial Narrow"/>
                <w:sz w:val="20"/>
                <w:szCs w:val="20"/>
              </w:rPr>
              <w:t xml:space="preserve"> result</w:t>
            </w:r>
            <w:r w:rsidRPr="009475AF">
              <w:rPr>
                <w:rFonts w:ascii="Arial Narrow" w:hAnsi="Arial Narrow"/>
                <w:i/>
                <w:iCs/>
                <w:sz w:val="20"/>
                <w:szCs w:val="20"/>
              </w:rPr>
              <w:t xml:space="preserve"> and date</w:t>
            </w:r>
            <w:r w:rsidRPr="009475AF">
              <w:rPr>
                <w:rFonts w:ascii="Arial Narrow" w:hAnsi="Arial Narrow"/>
                <w:sz w:val="20"/>
                <w:szCs w:val="20"/>
              </w:rPr>
              <w:t xml:space="preserve">; and </w:t>
            </w:r>
          </w:p>
          <w:p w14:paraId="5A4925FC"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(iv) Asthma Control Questionnaire (ACQ-5) score; or </w:t>
            </w:r>
          </w:p>
          <w:p w14:paraId="434318F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(v) Asthma Control Questionnaire interviewer administered version (ACQ-IA) score. </w:t>
            </w:r>
          </w:p>
        </w:tc>
      </w:tr>
      <w:tr w:rsidR="007E576D" w:rsidRPr="009475AF" w14:paraId="2DC503B0"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A5B0820" w14:textId="77777777" w:rsidR="007E576D" w:rsidRPr="009475AF" w:rsidRDefault="007E576D" w:rsidP="00286797">
            <w:pPr>
              <w:rPr>
                <w:rFonts w:ascii="Arial Narrow" w:hAnsi="Arial Narrow"/>
                <w:bCs/>
                <w:color w:val="FF0000"/>
                <w:sz w:val="20"/>
                <w:szCs w:val="20"/>
              </w:rPr>
            </w:pPr>
            <w:r w:rsidRPr="009475AF">
              <w:rPr>
                <w:rFonts w:ascii="Arial Narrow" w:hAnsi="Arial Narrow"/>
                <w:b/>
                <w:bCs/>
                <w:color w:val="333333"/>
                <w:sz w:val="20"/>
                <w:szCs w:val="20"/>
              </w:rPr>
              <w:lastRenderedPageBreak/>
              <w:t xml:space="preserve">Administrative Advice: </w:t>
            </w:r>
          </w:p>
          <w:p w14:paraId="71538FEA" w14:textId="77777777" w:rsidR="007E576D" w:rsidRPr="009475AF" w:rsidRDefault="007E576D" w:rsidP="00286797">
            <w:pPr>
              <w:rPr>
                <w:rFonts w:ascii="Arial Narrow" w:hAnsi="Arial Narrow"/>
                <w:i/>
                <w:iCs/>
                <w:color w:val="333333"/>
                <w:sz w:val="20"/>
                <w:szCs w:val="20"/>
              </w:rPr>
            </w:pPr>
            <w:r w:rsidRPr="009475AF">
              <w:rPr>
                <w:rFonts w:ascii="Arial Narrow" w:hAnsi="Arial Narrow"/>
                <w:bCs/>
                <w:i/>
                <w:iCs/>
                <w:sz w:val="20"/>
                <w:szCs w:val="20"/>
              </w:rPr>
              <w:t>The Services Australia website (</w:t>
            </w:r>
            <w:hyperlink r:id="rId8" w:history="1">
              <w:r w:rsidRPr="009475AF">
                <w:rPr>
                  <w:rStyle w:val="Hyperlink"/>
                  <w:rFonts w:ascii="Arial Narrow" w:hAnsi="Arial Narrow"/>
                  <w:bCs/>
                  <w:i/>
                  <w:iCs/>
                  <w:sz w:val="20"/>
                  <w:szCs w:val="20"/>
                </w:rPr>
                <w:t>www.servicesaustralia.gov.au</w:t>
              </w:r>
            </w:hyperlink>
            <w:r w:rsidRPr="009475AF">
              <w:rPr>
                <w:rFonts w:ascii="Arial Narrow" w:hAnsi="Arial Narrow"/>
                <w:bCs/>
                <w:i/>
                <w:iCs/>
                <w:sz w:val="20"/>
                <w:szCs w:val="20"/>
              </w:rPr>
              <w:t xml:space="preserve">) has details of the accepted toxicities, including severity, which will be accepted for the purposes of exempting a patient from the requirement of treatment with optimised asthma therapy. </w:t>
            </w:r>
          </w:p>
        </w:tc>
      </w:tr>
      <w:tr w:rsidR="007E576D" w:rsidRPr="009475AF" w14:paraId="463E54F1"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7FDD409" w14:textId="77777777" w:rsidR="007E576D" w:rsidRPr="009475AF" w:rsidRDefault="007E576D"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0FBC4F63" w14:textId="77777777"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For copies of the ACQ</w:t>
            </w:r>
            <w:r w:rsidRPr="009475AF">
              <w:rPr>
                <w:rFonts w:ascii="Arial Narrow" w:hAnsi="Arial Narrow"/>
                <w:strike/>
                <w:color w:val="333333"/>
                <w:sz w:val="20"/>
                <w:szCs w:val="20"/>
              </w:rPr>
              <w:t>-5, ACQ-5-IA</w:t>
            </w:r>
            <w:r w:rsidRPr="009475AF">
              <w:rPr>
                <w:rFonts w:ascii="Arial Narrow" w:hAnsi="Arial Narrow"/>
                <w:color w:val="333333"/>
                <w:sz w:val="20"/>
                <w:szCs w:val="20"/>
              </w:rPr>
              <w:t xml:space="preserve"> and the calculation sheets please contact Sanofi Medical Information on 1800 818 806 or MedInfo.Australia@sanofi.com</w:t>
            </w:r>
          </w:p>
        </w:tc>
      </w:tr>
      <w:tr w:rsidR="007E576D" w:rsidRPr="009475AF" w14:paraId="5988379D"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891B0D9" w14:textId="77777777" w:rsidR="007E576D" w:rsidRPr="009475AF" w:rsidRDefault="007E576D" w:rsidP="00286797">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283A241D" w14:textId="30683094" w:rsidR="007E576D" w:rsidRPr="009475AF" w:rsidRDefault="007E576D" w:rsidP="00286797">
            <w:pPr>
              <w:rPr>
                <w:rFonts w:ascii="Arial Narrow" w:hAnsi="Arial Narrow"/>
                <w:bCs/>
                <w:i/>
                <w:iCs/>
                <w:color w:val="333333"/>
                <w:sz w:val="20"/>
                <w:szCs w:val="20"/>
              </w:rPr>
            </w:pPr>
            <w:r w:rsidRPr="009475AF">
              <w:rPr>
                <w:rFonts w:ascii="Arial Narrow" w:hAnsi="Arial Narrow"/>
                <w:bCs/>
                <w:i/>
                <w:iCs/>
                <w:color w:val="333333"/>
                <w:sz w:val="20"/>
                <w:szCs w:val="20"/>
              </w:rPr>
              <w:t xml:space="preserve">It is recommended that an application for continuing treatment is submitted at the </w:t>
            </w:r>
            <w:r w:rsidR="008218F3" w:rsidRPr="009475AF">
              <w:rPr>
                <w:rFonts w:ascii="Arial Narrow" w:hAnsi="Arial Narrow"/>
                <w:bCs/>
                <w:i/>
                <w:iCs/>
                <w:color w:val="333333"/>
                <w:sz w:val="20"/>
                <w:szCs w:val="20"/>
              </w:rPr>
              <w:t>28-week</w:t>
            </w:r>
            <w:r w:rsidRPr="009475AF">
              <w:rPr>
                <w:rFonts w:ascii="Arial Narrow" w:hAnsi="Arial Narrow"/>
                <w:bCs/>
                <w:i/>
                <w:iCs/>
                <w:color w:val="333333"/>
                <w:sz w:val="20"/>
                <w:szCs w:val="20"/>
              </w:rPr>
              <w:t xml:space="preserve"> assessment, to ensure continuity of treatment for those patients who meet the continuation criterion for PBS-subsidised treatment with this drug for this condition.</w:t>
            </w:r>
          </w:p>
        </w:tc>
      </w:tr>
      <w:tr w:rsidR="007E576D" w:rsidRPr="009475AF" w14:paraId="6F20A761"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33931CA" w14:textId="77777777" w:rsidR="007E576D" w:rsidRPr="009475AF" w:rsidRDefault="007E576D" w:rsidP="00286797">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0437E389" w14:textId="0781793D" w:rsidR="007E576D" w:rsidRPr="009475AF" w:rsidRDefault="007E576D" w:rsidP="00286797">
            <w:pPr>
              <w:rPr>
                <w:rFonts w:ascii="Arial Narrow" w:hAnsi="Arial Narrow"/>
                <w:color w:val="333333"/>
                <w:sz w:val="20"/>
                <w:szCs w:val="20"/>
              </w:rPr>
            </w:pPr>
            <w:r w:rsidRPr="009475AF">
              <w:rPr>
                <w:rFonts w:ascii="Arial Narrow" w:hAnsi="Arial Narrow"/>
                <w:color w:val="333333"/>
                <w:sz w:val="20"/>
                <w:szCs w:val="20"/>
              </w:rPr>
              <w:t xml:space="preserve">Formal assessment and correction of inhaler technique should be performed in accordance with the National Asthma Council (NAC) Information Paper for Health Professionals on Inhaler Technique (available at </w:t>
            </w:r>
            <w:hyperlink r:id="rId9" w:history="1">
              <w:r w:rsidRPr="009475AF">
                <w:rPr>
                  <w:rStyle w:val="Hyperlink"/>
                  <w:rFonts w:ascii="Arial Narrow" w:hAnsi="Arial Narrow"/>
                  <w:sz w:val="20"/>
                  <w:szCs w:val="20"/>
                </w:rPr>
                <w:t>www.servicesaustralia.gov.au</w:t>
              </w:r>
            </w:hyperlink>
            <w:r w:rsidRPr="009475AF">
              <w:rPr>
                <w:rFonts w:ascii="Arial Narrow" w:hAnsi="Arial Narrow"/>
                <w:color w:val="333333"/>
                <w:sz w:val="20"/>
                <w:szCs w:val="20"/>
              </w:rPr>
              <w:t xml:space="preserve"> or </w:t>
            </w:r>
            <w:hyperlink r:id="rId10" w:history="1">
              <w:r w:rsidRPr="009475AF">
                <w:rPr>
                  <w:rStyle w:val="Hyperlink"/>
                  <w:rFonts w:ascii="Arial Narrow" w:hAnsi="Arial Narrow"/>
                  <w:sz w:val="20"/>
                  <w:szCs w:val="20"/>
                </w:rPr>
                <w:t>www.nationalasthma.org.au</w:t>
              </w:r>
            </w:hyperlink>
            <w:r w:rsidRPr="009475AF">
              <w:rPr>
                <w:rFonts w:ascii="Arial Narrow" w:hAnsi="Arial Narrow"/>
                <w:color w:val="333333"/>
                <w:sz w:val="20"/>
                <w:szCs w:val="20"/>
              </w:rPr>
              <w:t>); the assessment and adherence to correct technique should be documented in the patient’s medical records. Patients can obtain support with inhaler technique through their local Asthma Foundation (1800 645 130)</w:t>
            </w:r>
            <w:r w:rsidR="009475AF">
              <w:rPr>
                <w:rFonts w:ascii="Arial Narrow" w:hAnsi="Arial Narrow"/>
                <w:color w:val="333333"/>
                <w:sz w:val="20"/>
                <w:szCs w:val="20"/>
              </w:rPr>
              <w:t xml:space="preserve">. </w:t>
            </w:r>
          </w:p>
        </w:tc>
      </w:tr>
      <w:tr w:rsidR="007E576D" w:rsidRPr="009475AF" w14:paraId="367D9C27" w14:textId="77777777" w:rsidTr="00792622">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CC8614E" w14:textId="77777777" w:rsidR="007E576D" w:rsidRPr="009475AF" w:rsidRDefault="007E576D" w:rsidP="00286797">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7E499A84"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 xml:space="preserve">Any queries concerning the arrangements to prescribe may be directed to Services Australia on 1800 700 270 (hours of operation 8 a.m. to 5 p.m. </w:t>
            </w:r>
            <w:r w:rsidRPr="009475AF">
              <w:rPr>
                <w:rFonts w:ascii="Arial Narrow" w:hAnsi="Arial Narrow"/>
                <w:bCs/>
                <w:strike/>
                <w:color w:val="333333"/>
                <w:sz w:val="20"/>
                <w:szCs w:val="20"/>
              </w:rPr>
              <w:t xml:space="preserve">EST </w:t>
            </w:r>
            <w:r w:rsidRPr="009475AF">
              <w:rPr>
                <w:rFonts w:ascii="Arial Narrow" w:hAnsi="Arial Narrow"/>
                <w:bCs/>
                <w:color w:val="333333"/>
                <w:sz w:val="20"/>
                <w:szCs w:val="20"/>
              </w:rPr>
              <w:t xml:space="preserve">Monday to Friday). </w:t>
            </w:r>
          </w:p>
          <w:p w14:paraId="68B9A818" w14:textId="77777777" w:rsidR="007E576D" w:rsidRPr="009475AF" w:rsidRDefault="007E576D" w:rsidP="00286797">
            <w:pPr>
              <w:rPr>
                <w:rFonts w:ascii="Arial Narrow" w:hAnsi="Arial Narrow"/>
                <w:bCs/>
                <w:strike/>
                <w:color w:val="333333"/>
                <w:sz w:val="20"/>
                <w:szCs w:val="20"/>
              </w:rPr>
            </w:pPr>
            <w:r w:rsidRPr="009475AF">
              <w:rPr>
                <w:rFonts w:ascii="Arial Narrow" w:hAnsi="Arial Narrow"/>
                <w:bCs/>
                <w:strike/>
                <w:color w:val="333333"/>
                <w:sz w:val="20"/>
                <w:szCs w:val="20"/>
              </w:rPr>
              <w:t>The Services Australia website (</w:t>
            </w:r>
            <w:hyperlink r:id="rId11" w:history="1">
              <w:r w:rsidRPr="009475AF">
                <w:rPr>
                  <w:rStyle w:val="Hyperlink"/>
                  <w:rFonts w:ascii="Arial Narrow" w:hAnsi="Arial Narrow"/>
                  <w:bCs/>
                  <w:strike/>
                  <w:sz w:val="20"/>
                  <w:szCs w:val="20"/>
                </w:rPr>
                <w:t>www.servicesaustralia.gov.au</w:t>
              </w:r>
            </w:hyperlink>
            <w:r w:rsidRPr="009475AF">
              <w:rPr>
                <w:rFonts w:ascii="Arial Narrow" w:hAnsi="Arial Narrow"/>
                <w:bCs/>
                <w:strike/>
                <w:color w:val="333333"/>
                <w:sz w:val="20"/>
                <w:szCs w:val="20"/>
              </w:rPr>
              <w:t xml:space="preserve">) has details of the accepted toxicities, including severity, which will be accepted for the purposes of exempting a patient from the requirement of treatment with optimised asthma therapy. </w:t>
            </w:r>
          </w:p>
          <w:p w14:paraId="3572A185"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2" w:history="1">
              <w:r w:rsidRPr="009475AF">
                <w:rPr>
                  <w:rStyle w:val="Hyperlink"/>
                  <w:rFonts w:ascii="Arial Narrow" w:hAnsi="Arial Narrow"/>
                  <w:bCs/>
                  <w:sz w:val="20"/>
                  <w:szCs w:val="20"/>
                </w:rPr>
                <w:t>www.servicesaustralia.gov.au</w:t>
              </w:r>
            </w:hyperlink>
          </w:p>
          <w:p w14:paraId="09AB4E60"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13" w:history="1">
              <w:r w:rsidRPr="009475AF">
                <w:rPr>
                  <w:rStyle w:val="Hyperlink"/>
                  <w:rFonts w:ascii="Arial Narrow" w:hAnsi="Arial Narrow"/>
                  <w:bCs/>
                  <w:sz w:val="20"/>
                  <w:szCs w:val="20"/>
                </w:rPr>
                <w:t>www.servicesaustralia.gov.au/hpos</w:t>
              </w:r>
            </w:hyperlink>
          </w:p>
          <w:p w14:paraId="0BEA714D"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Or mailed to:</w:t>
            </w:r>
          </w:p>
          <w:p w14:paraId="3C0941D5"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Services Australia</w:t>
            </w:r>
          </w:p>
          <w:p w14:paraId="4A2F5E52"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 xml:space="preserve">Complex Drugs </w:t>
            </w:r>
          </w:p>
          <w:p w14:paraId="164256BE" w14:textId="77777777" w:rsidR="007E576D" w:rsidRPr="009475AF" w:rsidRDefault="007E576D" w:rsidP="00286797">
            <w:pPr>
              <w:rPr>
                <w:rFonts w:ascii="Arial Narrow" w:hAnsi="Arial Narrow"/>
                <w:bCs/>
                <w:color w:val="333333"/>
                <w:sz w:val="20"/>
                <w:szCs w:val="20"/>
              </w:rPr>
            </w:pPr>
            <w:r w:rsidRPr="009475AF">
              <w:rPr>
                <w:rFonts w:ascii="Arial Narrow" w:hAnsi="Arial Narrow"/>
                <w:bCs/>
                <w:color w:val="333333"/>
                <w:sz w:val="20"/>
                <w:szCs w:val="20"/>
              </w:rPr>
              <w:t>Reply Paid 9826</w:t>
            </w:r>
          </w:p>
          <w:p w14:paraId="0A068088" w14:textId="77777777" w:rsidR="007E576D" w:rsidRPr="009475AF" w:rsidRDefault="007E576D" w:rsidP="00286797">
            <w:pPr>
              <w:rPr>
                <w:rFonts w:ascii="Arial Narrow" w:hAnsi="Arial Narrow"/>
                <w:bCs/>
                <w:i/>
                <w:iCs/>
                <w:color w:val="333333"/>
                <w:sz w:val="20"/>
                <w:szCs w:val="20"/>
              </w:rPr>
            </w:pPr>
            <w:r w:rsidRPr="009475AF">
              <w:rPr>
                <w:rFonts w:ascii="Arial Narrow" w:hAnsi="Arial Narrow"/>
                <w:bCs/>
                <w:color w:val="333333"/>
                <w:sz w:val="20"/>
                <w:szCs w:val="20"/>
              </w:rPr>
              <w:t>HOBART TAS 7001</w:t>
            </w:r>
          </w:p>
        </w:tc>
      </w:tr>
    </w:tbl>
    <w:p w14:paraId="0B4FBFB9" w14:textId="77777777" w:rsidR="0050337A" w:rsidRPr="009475AF" w:rsidRDefault="0050337A" w:rsidP="0050337A">
      <w:pPr>
        <w:rPr>
          <w:b/>
          <w:bCs/>
        </w:rPr>
      </w:pPr>
    </w:p>
    <w:p w14:paraId="0D7ADAA0" w14:textId="77777777" w:rsidR="0050337A" w:rsidRPr="009475AF" w:rsidRDefault="0050337A" w:rsidP="00491427">
      <w:pPr>
        <w:keepNext/>
        <w:rPr>
          <w:rFonts w:ascii="Arial Narrow" w:hAnsi="Arial Narrow"/>
        </w:rPr>
      </w:pPr>
      <w:r w:rsidRPr="009475AF">
        <w:rPr>
          <w:rFonts w:ascii="Arial Narrow" w:hAnsi="Arial Narrow"/>
        </w:rPr>
        <w:lastRenderedPageBreak/>
        <w:t>OVERARCHING ADMINISTRATIVE NOTE</w:t>
      </w:r>
    </w:p>
    <w:tbl>
      <w:tblPr>
        <w:tblStyle w:val="TableGrid"/>
        <w:tblW w:w="9067" w:type="dxa"/>
        <w:tblLook w:val="04A0" w:firstRow="1" w:lastRow="0" w:firstColumn="1" w:lastColumn="0" w:noHBand="0" w:noVBand="1"/>
        <w:tblCaption w:val="OVERARCHING ADMINISTRATIVE NOTE"/>
      </w:tblPr>
      <w:tblGrid>
        <w:gridCol w:w="9067"/>
      </w:tblGrid>
      <w:tr w:rsidR="007E576D" w:rsidRPr="009475AF" w14:paraId="5788D4DC" w14:textId="77777777" w:rsidTr="00792622">
        <w:tc>
          <w:tcPr>
            <w:tcW w:w="9067" w:type="dxa"/>
            <w:vAlign w:val="center"/>
          </w:tcPr>
          <w:p w14:paraId="594F3450" w14:textId="77777777" w:rsidR="007E576D" w:rsidRPr="009475AF" w:rsidRDefault="007E576D"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4E96BF9F"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TREATMENT OF PAEDIATRIC PATIENTS WITH UNCONTROLLED SEVERE ASTHMA</w:t>
            </w:r>
          </w:p>
          <w:p w14:paraId="08421972" w14:textId="77777777" w:rsidR="007E576D" w:rsidRPr="009475AF" w:rsidRDefault="007E576D" w:rsidP="00286797">
            <w:pPr>
              <w:rPr>
                <w:rFonts w:ascii="Arial Narrow" w:hAnsi="Arial Narrow"/>
                <w:sz w:val="20"/>
                <w:szCs w:val="20"/>
              </w:rPr>
            </w:pPr>
          </w:p>
          <w:p w14:paraId="6AD6E65B"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The following information applies to the prescribing under the Pharmaceutical Benefits Scheme (PBS) of </w:t>
            </w:r>
            <w:r w:rsidRPr="009475AF">
              <w:rPr>
                <w:rFonts w:ascii="Arial Narrow" w:hAnsi="Arial Narrow"/>
                <w:i/>
                <w:iCs/>
                <w:sz w:val="20"/>
                <w:szCs w:val="20"/>
              </w:rPr>
              <w:t xml:space="preserve">the biological medicines </w:t>
            </w:r>
            <w:r w:rsidRPr="009475AF">
              <w:rPr>
                <w:rFonts w:ascii="Arial Narrow" w:hAnsi="Arial Narrow"/>
                <w:sz w:val="20"/>
                <w:szCs w:val="20"/>
              </w:rPr>
              <w:t xml:space="preserve">dupilumab and omalizumab for uncontrolled severe asthma. Therefore, where the term ‘biological medicine’ appears in notes and restrictions, it refers to dupilumab and omalizumab only. </w:t>
            </w:r>
          </w:p>
          <w:p w14:paraId="515016E3" w14:textId="77777777" w:rsidR="007E576D" w:rsidRPr="009475AF" w:rsidRDefault="007E576D" w:rsidP="00286797">
            <w:pPr>
              <w:rPr>
                <w:rFonts w:ascii="Arial Narrow" w:hAnsi="Arial Narrow"/>
                <w:sz w:val="20"/>
                <w:szCs w:val="20"/>
              </w:rPr>
            </w:pPr>
          </w:p>
          <w:p w14:paraId="088AD69D"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patient is eligible for PBS-subsidised treatment with only 1 of the above biological medicine at any </w:t>
            </w:r>
            <w:r w:rsidRPr="009475AF">
              <w:rPr>
                <w:rFonts w:ascii="Arial Narrow" w:hAnsi="Arial Narrow"/>
                <w:i/>
                <w:iCs/>
                <w:sz w:val="20"/>
                <w:szCs w:val="20"/>
              </w:rPr>
              <w:t>one</w:t>
            </w:r>
            <w:r w:rsidRPr="009475AF">
              <w:rPr>
                <w:rFonts w:ascii="Arial Narrow" w:hAnsi="Arial Narrow"/>
                <w:sz w:val="20"/>
                <w:szCs w:val="20"/>
              </w:rPr>
              <w:t xml:space="preserve"> </w:t>
            </w:r>
            <w:r w:rsidRPr="009475AF">
              <w:rPr>
                <w:rFonts w:ascii="Arial Narrow" w:hAnsi="Arial Narrow"/>
                <w:strike/>
                <w:sz w:val="20"/>
                <w:szCs w:val="20"/>
              </w:rPr>
              <w:t xml:space="preserve">1 </w:t>
            </w:r>
            <w:r w:rsidRPr="009475AF">
              <w:rPr>
                <w:rFonts w:ascii="Arial Narrow" w:hAnsi="Arial Narrow"/>
                <w:sz w:val="20"/>
                <w:szCs w:val="20"/>
              </w:rPr>
              <w:t>time.</w:t>
            </w:r>
          </w:p>
          <w:p w14:paraId="5157F7D6" w14:textId="77777777" w:rsidR="007E576D" w:rsidRPr="009475AF" w:rsidRDefault="007E576D" w:rsidP="00286797">
            <w:pPr>
              <w:rPr>
                <w:rFonts w:ascii="Arial Narrow" w:hAnsi="Arial Narrow"/>
                <w:sz w:val="20"/>
                <w:szCs w:val="20"/>
              </w:rPr>
            </w:pPr>
          </w:p>
          <w:p w14:paraId="36CBAC6D"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patient receiving PBS-subsidised treatment for uncontrolled severe asthma is able to commence a treatment cycle where they may trial a biological medicine without having to experience a disease flare when swapping to an alternate biological medicine within the same treatment cycle. </w:t>
            </w:r>
          </w:p>
          <w:p w14:paraId="3EA2A9B7" w14:textId="77777777" w:rsidR="007E576D" w:rsidRPr="009475AF" w:rsidRDefault="007E576D" w:rsidP="00286797">
            <w:pPr>
              <w:rPr>
                <w:rFonts w:ascii="Arial Narrow" w:hAnsi="Arial Narrow"/>
                <w:sz w:val="20"/>
                <w:szCs w:val="20"/>
              </w:rPr>
            </w:pPr>
          </w:p>
          <w:p w14:paraId="01559C57"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Under these arrangements, within a treatment cycle, a patient may receive long-term treatment with a biological medicine as long as they sustain a response to therapy.</w:t>
            </w:r>
          </w:p>
          <w:p w14:paraId="4C5B5453" w14:textId="77777777" w:rsidR="007E576D" w:rsidRPr="009475AF" w:rsidRDefault="007E576D" w:rsidP="00286797">
            <w:pPr>
              <w:rPr>
                <w:rFonts w:ascii="Arial Narrow" w:hAnsi="Arial Narrow"/>
                <w:sz w:val="20"/>
                <w:szCs w:val="20"/>
              </w:rPr>
            </w:pPr>
          </w:p>
          <w:p w14:paraId="66BEE02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patient currently receiving PBS-subsidised treatment as of [dupilumab list date] is considered to have started a cycle of treatment. </w:t>
            </w:r>
          </w:p>
          <w:p w14:paraId="43A9071D" w14:textId="77777777" w:rsidR="007E576D" w:rsidRPr="009475AF" w:rsidRDefault="007E576D" w:rsidP="00286797">
            <w:pPr>
              <w:rPr>
                <w:rFonts w:ascii="Arial Narrow" w:hAnsi="Arial Narrow"/>
                <w:sz w:val="20"/>
                <w:szCs w:val="20"/>
              </w:rPr>
            </w:pPr>
          </w:p>
          <w:p w14:paraId="4682B50F" w14:textId="7649217A" w:rsidR="007E576D" w:rsidRPr="009475AF" w:rsidRDefault="007E576D" w:rsidP="00286797">
            <w:pPr>
              <w:rPr>
                <w:rFonts w:ascii="Arial Narrow" w:hAnsi="Arial Narrow"/>
                <w:sz w:val="20"/>
                <w:szCs w:val="20"/>
              </w:rPr>
            </w:pPr>
            <w:r w:rsidRPr="009475AF">
              <w:rPr>
                <w:rFonts w:ascii="Arial Narrow" w:hAnsi="Arial Narrow"/>
                <w:sz w:val="20"/>
                <w:szCs w:val="20"/>
              </w:rPr>
              <w:t>Within the same treatment cycle, a patient cannot trial and fail, or cease to respond to the same PBS-subsidised biological more than once</w:t>
            </w:r>
            <w:r w:rsidR="009475AF">
              <w:rPr>
                <w:rFonts w:ascii="Arial Narrow" w:hAnsi="Arial Narrow"/>
                <w:sz w:val="20"/>
                <w:szCs w:val="20"/>
              </w:rPr>
              <w:t xml:space="preserve">. </w:t>
            </w:r>
          </w:p>
          <w:p w14:paraId="1F68CBE8" w14:textId="77777777" w:rsidR="007E576D" w:rsidRPr="009475AF" w:rsidRDefault="007E576D" w:rsidP="00286797">
            <w:pPr>
              <w:rPr>
                <w:rFonts w:ascii="Arial Narrow" w:hAnsi="Arial Narrow"/>
                <w:sz w:val="20"/>
                <w:szCs w:val="20"/>
              </w:rPr>
            </w:pPr>
          </w:p>
          <w:p w14:paraId="1263336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Therefore, once a patient fails to meet the response criteria for a PBS-subsidised biological medicine, they must change to an alternate biological medicine if they wish to continue PBS-subsidised biological treatment. </w:t>
            </w:r>
          </w:p>
          <w:p w14:paraId="02B727F9" w14:textId="77777777" w:rsidR="007E576D" w:rsidRPr="009475AF" w:rsidRDefault="007E576D" w:rsidP="00286797">
            <w:pPr>
              <w:rPr>
                <w:rFonts w:ascii="Arial Narrow" w:hAnsi="Arial Narrow"/>
                <w:sz w:val="20"/>
                <w:szCs w:val="20"/>
              </w:rPr>
            </w:pPr>
          </w:p>
          <w:p w14:paraId="4785281D"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Once a patient has either failed to achieve or sustain a response to treatment 2 times, they are deemed to have completed a single treatment cycle. They must have at least a 6-month break in PBS-subsidised biological medicine therapy before they are eligible to recommence another new treatment cycle [further details are under ‘Recommencement of treatment after a break in PBS-subsidised therapy’ below]. </w:t>
            </w:r>
          </w:p>
          <w:p w14:paraId="5A60C444" w14:textId="77777777" w:rsidR="007E576D" w:rsidRPr="009475AF" w:rsidRDefault="007E576D" w:rsidP="00286797">
            <w:pPr>
              <w:rPr>
                <w:rFonts w:ascii="Arial Narrow" w:hAnsi="Arial Narrow"/>
                <w:sz w:val="20"/>
                <w:szCs w:val="20"/>
              </w:rPr>
            </w:pPr>
          </w:p>
          <w:p w14:paraId="4D564C7A"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The length of the break in therapy is measured from the date the most recent treatment with a PBS-subsidised biological medicine is ceased until the date of the first application for recommencement of treatment with a biological medicine under the new treatment cycle. </w:t>
            </w:r>
          </w:p>
          <w:p w14:paraId="02C0D41E" w14:textId="77777777" w:rsidR="007E576D" w:rsidRPr="009475AF" w:rsidRDefault="007E576D" w:rsidP="00286797">
            <w:pPr>
              <w:rPr>
                <w:rFonts w:ascii="Arial Narrow" w:hAnsi="Arial Narrow"/>
                <w:sz w:val="20"/>
                <w:szCs w:val="20"/>
              </w:rPr>
            </w:pPr>
          </w:p>
          <w:p w14:paraId="3A9636AD"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There is no limit to the number of treatment cycles that a patient may undertake in their lifetime.</w:t>
            </w:r>
            <w:r w:rsidRPr="009475AF">
              <w:rPr>
                <w:rFonts w:ascii="Arial Narrow" w:hAnsi="Arial Narrow"/>
                <w:strike/>
                <w:sz w:val="20"/>
                <w:szCs w:val="20"/>
              </w:rPr>
              <w:t>,</w:t>
            </w:r>
            <w:r w:rsidRPr="009475AF">
              <w:rPr>
                <w:rFonts w:ascii="Arial Narrow" w:hAnsi="Arial Narrow"/>
                <w:sz w:val="20"/>
                <w:szCs w:val="20"/>
              </w:rPr>
              <w:t xml:space="preserve"> </w:t>
            </w:r>
            <w:r w:rsidRPr="009475AF">
              <w:rPr>
                <w:rFonts w:ascii="Arial Narrow" w:hAnsi="Arial Narrow"/>
                <w:strike/>
                <w:sz w:val="20"/>
                <w:szCs w:val="20"/>
              </w:rPr>
              <w:t>provided they meet the population criteria.</w:t>
            </w:r>
          </w:p>
          <w:p w14:paraId="2FBC5208" w14:textId="77777777" w:rsidR="007E576D" w:rsidRPr="009475AF" w:rsidRDefault="007E576D" w:rsidP="00286797">
            <w:pPr>
              <w:rPr>
                <w:rFonts w:ascii="Arial Narrow" w:hAnsi="Arial Narrow"/>
                <w:sz w:val="20"/>
                <w:szCs w:val="20"/>
              </w:rPr>
            </w:pPr>
          </w:p>
          <w:p w14:paraId="66A3DCD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How to prescribe PBS-subsidised biological medicine treatment for uncontrolled severe asthma.</w:t>
            </w:r>
          </w:p>
          <w:p w14:paraId="375B0496" w14:textId="77777777" w:rsidR="007E576D" w:rsidRPr="009475AF" w:rsidRDefault="007E576D" w:rsidP="00286797">
            <w:pPr>
              <w:rPr>
                <w:rFonts w:ascii="Arial Narrow" w:hAnsi="Arial Narrow"/>
                <w:sz w:val="20"/>
                <w:szCs w:val="20"/>
              </w:rPr>
            </w:pPr>
          </w:p>
          <w:p w14:paraId="39CBACFC"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(1) Initial treatment:</w:t>
            </w:r>
          </w:p>
          <w:p w14:paraId="55B805C1"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Applications for initial treatment should be made where:</w:t>
            </w:r>
          </w:p>
          <w:p w14:paraId="0FC19E86"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 a patient has not received prior PBS-subsidised biological medicine treatment and wishes to commence such therapy (Initial 1 restriction); or </w:t>
            </w:r>
          </w:p>
          <w:p w14:paraId="11EB3341"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(ii) a patient has received prior PBS-subsidised treatment with a biological medicine and wishes to recommence a new treatment cycle with this biological medicine following a treatment break in PBS-subsidised therapy (Initial 1 restriction); or </w:t>
            </w:r>
          </w:p>
          <w:p w14:paraId="0719FD6A"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0B1B72D9" w14:textId="77777777" w:rsidR="007E576D" w:rsidRPr="009475AF" w:rsidRDefault="007E576D" w:rsidP="00286797">
            <w:pPr>
              <w:rPr>
                <w:rFonts w:ascii="Arial Narrow" w:hAnsi="Arial Narrow"/>
                <w:sz w:val="20"/>
                <w:szCs w:val="20"/>
              </w:rPr>
            </w:pPr>
          </w:p>
          <w:p w14:paraId="3711B02C"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 </w:t>
            </w:r>
          </w:p>
          <w:p w14:paraId="3CA04A72" w14:textId="77777777" w:rsidR="007E576D" w:rsidRPr="009475AF" w:rsidRDefault="007E576D" w:rsidP="00286797">
            <w:pPr>
              <w:rPr>
                <w:rFonts w:ascii="Arial Narrow" w:hAnsi="Arial Narrow"/>
                <w:sz w:val="20"/>
                <w:szCs w:val="20"/>
              </w:rPr>
            </w:pPr>
          </w:p>
          <w:p w14:paraId="6C54D5AC"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(2) Continuing treatment:</w:t>
            </w:r>
          </w:p>
          <w:p w14:paraId="0D9614A9" w14:textId="77777777" w:rsidR="007E576D" w:rsidRPr="009475AF" w:rsidRDefault="007E576D" w:rsidP="00286797">
            <w:pPr>
              <w:rPr>
                <w:rFonts w:ascii="Arial Narrow" w:hAnsi="Arial Narrow"/>
                <w:sz w:val="20"/>
                <w:szCs w:val="20"/>
              </w:rPr>
            </w:pPr>
            <w:r w:rsidRPr="009475AF">
              <w:rPr>
                <w:rFonts w:ascii="Arial Narrow" w:hAnsi="Arial Narrow"/>
                <w:sz w:val="20"/>
                <w:szCs w:val="20"/>
              </w:rPr>
              <w:lastRenderedPageBreak/>
              <w:t xml:space="preserve">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 </w:t>
            </w:r>
          </w:p>
          <w:p w14:paraId="51A33D88" w14:textId="77777777" w:rsidR="007E576D" w:rsidRPr="009475AF" w:rsidRDefault="007E576D" w:rsidP="00286797">
            <w:pPr>
              <w:rPr>
                <w:rFonts w:ascii="Arial Narrow" w:hAnsi="Arial Narrow"/>
                <w:sz w:val="20"/>
                <w:szCs w:val="20"/>
              </w:rPr>
            </w:pPr>
          </w:p>
          <w:p w14:paraId="7E7C75B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(3) Baseline measurements to determine response:</w:t>
            </w:r>
          </w:p>
          <w:p w14:paraId="07BC586E"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Baseline measurements of the Asthma Control Questionnaire (ACQ, ACQ-IA; 5 item version)</w:t>
            </w:r>
            <w:r w:rsidRPr="009475AF">
              <w:rPr>
                <w:rFonts w:ascii="Arial Narrow" w:hAnsi="Arial Narrow"/>
                <w:i/>
                <w:iCs/>
                <w:sz w:val="20"/>
                <w:szCs w:val="20"/>
              </w:rPr>
              <w:t>, systemic corticosteroid dose</w:t>
            </w:r>
            <w:r w:rsidRPr="009475AF">
              <w:rPr>
                <w:rFonts w:ascii="Arial Narrow" w:hAnsi="Arial Narrow"/>
                <w:sz w:val="20"/>
                <w:szCs w:val="20"/>
              </w:rPr>
              <w:t xml:space="preserve"> and time adjusted exacerbation rate, submitted with the Initial authority application for a biological medicine must be used to determine whether an adequate response to treatment has been achieved or sustained. </w:t>
            </w:r>
          </w:p>
          <w:p w14:paraId="5F9925F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However, prescribers may provide new baseline measurements when a new Initial treatment authority application is submitted and these new baseline measurements may be used to assess response. </w:t>
            </w:r>
          </w:p>
          <w:p w14:paraId="115147F3" w14:textId="77777777" w:rsidR="007E576D" w:rsidRPr="009475AF" w:rsidRDefault="007E576D" w:rsidP="00286797">
            <w:pPr>
              <w:rPr>
                <w:rFonts w:ascii="Arial Narrow" w:hAnsi="Arial Narrow"/>
                <w:sz w:val="20"/>
                <w:szCs w:val="20"/>
              </w:rPr>
            </w:pPr>
          </w:p>
          <w:p w14:paraId="7641EDFF"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(4) Swapping therapy within the same treatment cycle. </w:t>
            </w:r>
          </w:p>
          <w:p w14:paraId="5A543CBB"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Once initial treatment with the first PBS-subsided biological medicine is approved, a patient may swap to an alternate biological medicine at any time by qualifying under an Initial 2 restriction. </w:t>
            </w:r>
          </w:p>
          <w:p w14:paraId="6CAABDC1" w14:textId="77777777" w:rsidR="007E576D" w:rsidRPr="009475AF" w:rsidRDefault="007E576D" w:rsidP="00286797">
            <w:pPr>
              <w:rPr>
                <w:rFonts w:ascii="Arial Narrow" w:hAnsi="Arial Narrow"/>
                <w:sz w:val="20"/>
                <w:szCs w:val="20"/>
              </w:rPr>
            </w:pPr>
          </w:p>
          <w:p w14:paraId="6D3E7D9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However, they cannot swap to a particular biological medicine if they have failed to respond to prior treatment with that drug with the same treatment cycle. </w:t>
            </w:r>
          </w:p>
          <w:p w14:paraId="1163DF3F" w14:textId="77777777" w:rsidR="007E576D" w:rsidRPr="009475AF" w:rsidRDefault="007E576D" w:rsidP="00286797">
            <w:pPr>
              <w:rPr>
                <w:rFonts w:ascii="Arial Narrow" w:hAnsi="Arial Narrow"/>
                <w:sz w:val="20"/>
                <w:szCs w:val="20"/>
              </w:rPr>
            </w:pPr>
          </w:p>
          <w:p w14:paraId="3F7836F3"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Within the same treatment cycle a patient may alternate between therapy with either biological medicine of their choice (1 at a time) providing:</w:t>
            </w:r>
          </w:p>
          <w:p w14:paraId="01E0D19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 they have not received PBS-subsided treatment with that particular biological medicine previously; or </w:t>
            </w:r>
          </w:p>
          <w:p w14:paraId="28D42727"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(ii) they have demonstrated an adequate response to that particular biological medicine if they have previously trialled it on the PBS; and </w:t>
            </w:r>
          </w:p>
          <w:p w14:paraId="6DEED298" w14:textId="337B27E0" w:rsidR="007E576D" w:rsidRPr="009475AF" w:rsidRDefault="007E576D" w:rsidP="00286797">
            <w:pPr>
              <w:rPr>
                <w:rFonts w:ascii="Arial Narrow" w:hAnsi="Arial Narrow"/>
                <w:sz w:val="20"/>
                <w:szCs w:val="20"/>
              </w:rPr>
            </w:pPr>
            <w:r w:rsidRPr="009475AF">
              <w:rPr>
                <w:rFonts w:ascii="Arial Narrow" w:hAnsi="Arial Narrow"/>
                <w:sz w:val="20"/>
                <w:szCs w:val="20"/>
              </w:rPr>
              <w:t xml:space="preserve">(iii) they have not previously failed to respond to treatment with either </w:t>
            </w:r>
            <w:r w:rsidRPr="009475AF">
              <w:rPr>
                <w:rFonts w:ascii="Arial Narrow" w:hAnsi="Arial Narrow"/>
                <w:strike/>
                <w:sz w:val="20"/>
                <w:szCs w:val="20"/>
              </w:rPr>
              <w:t>4</w:t>
            </w:r>
            <w:r w:rsidRPr="009475AF">
              <w:rPr>
                <w:rFonts w:ascii="Arial Narrow" w:hAnsi="Arial Narrow"/>
                <w:sz w:val="20"/>
                <w:szCs w:val="20"/>
              </w:rPr>
              <w:t xml:space="preserve"> </w:t>
            </w:r>
            <w:r w:rsidRPr="009475AF">
              <w:rPr>
                <w:rFonts w:ascii="Arial Narrow" w:hAnsi="Arial Narrow"/>
                <w:i/>
                <w:iCs/>
                <w:sz w:val="20"/>
                <w:szCs w:val="20"/>
              </w:rPr>
              <w:t xml:space="preserve">2 </w:t>
            </w:r>
            <w:r w:rsidRPr="009475AF">
              <w:rPr>
                <w:rFonts w:ascii="Arial Narrow" w:hAnsi="Arial Narrow"/>
                <w:sz w:val="20"/>
                <w:szCs w:val="20"/>
              </w:rPr>
              <w:t>biological medicines in this treatment cycle</w:t>
            </w:r>
            <w:r w:rsidR="009475AF">
              <w:rPr>
                <w:rFonts w:ascii="Arial Narrow" w:hAnsi="Arial Narrow"/>
                <w:sz w:val="20"/>
                <w:szCs w:val="20"/>
              </w:rPr>
              <w:t xml:space="preserve">. </w:t>
            </w:r>
          </w:p>
          <w:p w14:paraId="7E11F060" w14:textId="77777777" w:rsidR="007E576D" w:rsidRPr="009475AF" w:rsidRDefault="007E576D" w:rsidP="00286797">
            <w:pPr>
              <w:rPr>
                <w:rFonts w:ascii="Arial Narrow" w:hAnsi="Arial Narrow"/>
                <w:sz w:val="20"/>
                <w:szCs w:val="20"/>
              </w:rPr>
            </w:pPr>
          </w:p>
          <w:p w14:paraId="113F8718"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(5) Re-commencement of a new treatment cycle after a treatment break in PBS-subsidised therapy:</w:t>
            </w:r>
          </w:p>
          <w:p w14:paraId="4D2E4CB4"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 xml:space="preserve">A patient who wishes to trial a second or subsequent new treatment cycle, following a break in PBS-subsidised therapy of at least 6 months (in patients who have failed to achieve or ceased to sustain a response to treatment 2 times within a treatment cycle), must re-qualify through an Initial 1 restriction. </w:t>
            </w:r>
          </w:p>
          <w:p w14:paraId="04417CF2" w14:textId="77777777" w:rsidR="007E576D" w:rsidRPr="009475AF" w:rsidRDefault="007E576D" w:rsidP="00286797">
            <w:pPr>
              <w:rPr>
                <w:rFonts w:ascii="Arial Narrow" w:hAnsi="Arial Narrow"/>
                <w:sz w:val="20"/>
                <w:szCs w:val="20"/>
              </w:rPr>
            </w:pPr>
          </w:p>
          <w:p w14:paraId="5F630470" w14:textId="77777777" w:rsidR="007E576D" w:rsidRPr="009475AF" w:rsidRDefault="007E576D" w:rsidP="00286797">
            <w:pPr>
              <w:rPr>
                <w:rFonts w:ascii="Arial Narrow" w:hAnsi="Arial Narrow"/>
                <w:sz w:val="20"/>
                <w:szCs w:val="20"/>
              </w:rPr>
            </w:pPr>
            <w:r w:rsidRPr="009475AF">
              <w:rPr>
                <w:rFonts w:ascii="Arial Narrow" w:hAnsi="Arial Narrow"/>
                <w:sz w:val="20"/>
                <w:szCs w:val="20"/>
              </w:rPr>
              <w:t>(6) Monitoring of patients (Omalizumab only):</w:t>
            </w:r>
          </w:p>
          <w:p w14:paraId="74AE2330" w14:textId="55B262C3" w:rsidR="007E576D" w:rsidRPr="009475AF" w:rsidRDefault="007E576D" w:rsidP="00286797">
            <w:pPr>
              <w:rPr>
                <w:b/>
                <w:bCs/>
              </w:rPr>
            </w:pPr>
            <w:r w:rsidRPr="009475AF">
              <w:rPr>
                <w:rFonts w:ascii="Arial Narrow" w:hAnsi="Arial Narrow"/>
                <w:sz w:val="20"/>
                <w:szCs w:val="20"/>
              </w:rPr>
              <w:t>Anaphylaxis and anaphylactoid reactions have been reported following first or subsequent administration of omalizumab (see Product Information). Patients should be monitored post-injection, and medication for the treatment of anaphylactic reactions should be available for immediate use following administration of omalizumab. Patients should be informed that such reactions are possible and prompt medical attention should be sought if allergic reactions occur</w:t>
            </w:r>
            <w:r w:rsidR="009475AF">
              <w:rPr>
                <w:rFonts w:ascii="Arial Narrow" w:hAnsi="Arial Narrow"/>
                <w:sz w:val="20"/>
                <w:szCs w:val="20"/>
              </w:rPr>
              <w:t xml:space="preserve">. </w:t>
            </w:r>
          </w:p>
        </w:tc>
      </w:tr>
    </w:tbl>
    <w:p w14:paraId="70237D43" w14:textId="3CE2F164" w:rsidR="00E26B99" w:rsidRPr="009475AF" w:rsidRDefault="00852F0D" w:rsidP="007C50F6">
      <w:pPr>
        <w:pStyle w:val="TableFooter"/>
        <w:spacing w:after="120"/>
      </w:pPr>
      <w:r w:rsidRPr="009475AF">
        <w:lastRenderedPageBreak/>
        <w:t>Source: Submission Table 1.16</w:t>
      </w:r>
    </w:p>
    <w:p w14:paraId="52F29BA3" w14:textId="7F3E8B93" w:rsidR="00687807" w:rsidRPr="009475AF" w:rsidRDefault="00687807" w:rsidP="00687807">
      <w:pPr>
        <w:pStyle w:val="3-BodyText"/>
      </w:pPr>
      <w:r w:rsidRPr="009475AF">
        <w:t xml:space="preserve">The submission stated that the restriction used the same wording as the omalizumab restriction, but </w:t>
      </w:r>
      <w:r w:rsidR="009A43F5" w:rsidRPr="009475AF">
        <w:t>t</w:t>
      </w:r>
      <w:r w:rsidRPr="009475AF">
        <w:t>he submission appeared to have intended that patients in Subgroup A and Subgroup B should be combined into one restriction.</w:t>
      </w:r>
    </w:p>
    <w:p w14:paraId="404996BB" w14:textId="73A779CB" w:rsidR="00687807" w:rsidRPr="009475AF" w:rsidRDefault="009F26D7" w:rsidP="00687807">
      <w:pPr>
        <w:pStyle w:val="3-BodyText"/>
        <w:rPr>
          <w:iCs/>
        </w:rPr>
      </w:pPr>
      <w:r w:rsidRPr="009475AF">
        <w:rPr>
          <w:iCs/>
        </w:rPr>
        <w:t>The ESC noted the proposed restriction was broader than the approved TGA indication (which requires either elevated eosinophils or elevated FeNO) in that it allows for treatment of patients with high serum IgE who do not have elevated eosinophils or FeNO.</w:t>
      </w:r>
    </w:p>
    <w:p w14:paraId="62284798" w14:textId="7E6FCF5E" w:rsidR="00687807" w:rsidRPr="009475AF" w:rsidRDefault="00687807" w:rsidP="00687807">
      <w:pPr>
        <w:pStyle w:val="3-BodyText"/>
      </w:pPr>
      <w:r w:rsidRPr="009475AF">
        <w:t xml:space="preserve">The submission also suggested an alternative listing which would “[b]ase the wording of the dupilumab restriction on the patients enrolled into VOYAGE, resulting in slightly different restrictions for omalizumab and dupilumab”. </w:t>
      </w:r>
      <w:r w:rsidR="009F26D7" w:rsidRPr="009475AF">
        <w:t>For patients who continue therapy, t</w:t>
      </w:r>
      <w:r w:rsidRPr="009475AF">
        <w:t xml:space="preserve">he alternative listing removed reference to an adequate response to dupilumab needing to include reduction in the maintenance dose of corticosteroids </w:t>
      </w:r>
      <w:r w:rsidRPr="009475AF">
        <w:lastRenderedPageBreak/>
        <w:t xml:space="preserve">by at least 25% from baseline, and no deterioration in the Asthma Control Questionnaire (ACQ) or ACQ-IA score from baseline. </w:t>
      </w:r>
    </w:p>
    <w:p w14:paraId="3E4F6CE2" w14:textId="22733A11" w:rsidR="00687807" w:rsidRPr="009475AF" w:rsidRDefault="00687807" w:rsidP="00687807">
      <w:pPr>
        <w:pStyle w:val="3-BodyText"/>
      </w:pPr>
      <w:r w:rsidRPr="009475AF">
        <w:t xml:space="preserve">For adolescents and adults to be treated with dupilumab on the PBS, they must have IgE greater than or equal to 30 IU/mL OR eosinophils of greater than or equal to </w:t>
      </w:r>
      <w:r w:rsidR="007C50F6" w:rsidRPr="009475AF">
        <w:t>150</w:t>
      </w:r>
      <w:r w:rsidR="007C50F6">
        <w:t> </w:t>
      </w:r>
      <w:r w:rsidRPr="009475AF">
        <w:t>cells per microlitre.</w:t>
      </w:r>
      <w:r w:rsidR="005F5003" w:rsidRPr="009475AF">
        <w:t xml:space="preserve"> </w:t>
      </w:r>
      <w:r w:rsidR="005F5003" w:rsidRPr="009475AF">
        <w:rPr>
          <w:iCs/>
        </w:rPr>
        <w:t xml:space="preserve">No criteria based on FeNO are included in the listing for adolescents and adults. </w:t>
      </w:r>
    </w:p>
    <w:p w14:paraId="0810EBB4" w14:textId="5CC877F9" w:rsidR="00687807" w:rsidRPr="009475AF" w:rsidRDefault="00687807" w:rsidP="00687807">
      <w:pPr>
        <w:pStyle w:val="3-BodyText"/>
      </w:pPr>
      <w:r w:rsidRPr="009475AF">
        <w:t xml:space="preserve">The submission stated that the sponsor proposed “to initiate a Patient Familiarisation Programme (PFP) for dupilumab prior to its listing on the PBS, with a target of enrolling approximately </w:t>
      </w:r>
      <w:r w:rsidR="00E70AEF">
        <w:t>&lt; 500</w:t>
      </w:r>
      <w:r w:rsidR="00E70AEF" w:rsidRPr="009475AF">
        <w:t xml:space="preserve"> </w:t>
      </w:r>
      <w:r w:rsidRPr="009475AF">
        <w:t>patients”. A “grandfathering restriction is required to allow transition of patients from the PFP to PBS-subsidised drug following PBS listing”</w:t>
      </w:r>
      <w:r w:rsidR="009475AF">
        <w:t xml:space="preserve">. </w:t>
      </w:r>
    </w:p>
    <w:p w14:paraId="0C2F0474" w14:textId="29D04AA4" w:rsidR="00687807" w:rsidRPr="009475AF" w:rsidRDefault="00687807" w:rsidP="00687807">
      <w:pPr>
        <w:pStyle w:val="3-BodyText"/>
      </w:pPr>
      <w:r w:rsidRPr="009475AF">
        <w:rPr>
          <w:iCs/>
        </w:rPr>
        <w:t>The ESC noted that for the grandfathering restriction, no criteria for severity of asthma or adequacy of maintenance treatment were included and measurement</w:t>
      </w:r>
      <w:r w:rsidR="00B54C17" w:rsidRPr="009475AF">
        <w:rPr>
          <w:iCs/>
        </w:rPr>
        <w:t>s</w:t>
      </w:r>
      <w:r w:rsidRPr="009475AF">
        <w:rPr>
          <w:iCs/>
        </w:rPr>
        <w:t xml:space="preserve"> of IgE or eosinophils or FeNO were not required, so these patients would become PBS-eligible without needing to meet PBS criteria. The ESC agreed with the Secretariat comments on the restriction in relation to grandfathering provisions, considering that only patients </w:t>
      </w:r>
      <w:r w:rsidR="00B54C17" w:rsidRPr="009475AF">
        <w:rPr>
          <w:iCs/>
        </w:rPr>
        <w:t xml:space="preserve">meeting the eligibility </w:t>
      </w:r>
      <w:r w:rsidR="00981964" w:rsidRPr="009475AF">
        <w:rPr>
          <w:iCs/>
        </w:rPr>
        <w:t>criteria</w:t>
      </w:r>
      <w:r w:rsidRPr="009475AF">
        <w:rPr>
          <w:iCs/>
        </w:rPr>
        <w:t xml:space="preserve"> for dupilumab prior to commencing the PFP should be eligible for dupilumab under the grandfathering restriction.</w:t>
      </w:r>
      <w:r w:rsidRPr="009475AF">
        <w:t xml:space="preserve"> </w:t>
      </w:r>
    </w:p>
    <w:p w14:paraId="02CA8221" w14:textId="49389D61" w:rsidR="00687807" w:rsidRPr="009475AF" w:rsidRDefault="00687807" w:rsidP="007C50F6">
      <w:pPr>
        <w:pStyle w:val="3-BodyText"/>
        <w:keepNext/>
      </w:pPr>
      <w:r w:rsidRPr="009475AF">
        <w:t>The restriction for dupilumab most consistent with the submitted evidence</w:t>
      </w:r>
      <w:r w:rsidR="00981964" w:rsidRPr="009475AF">
        <w:t xml:space="preserve"> (VOYAGE trial)</w:t>
      </w:r>
      <w:r w:rsidRPr="009475AF">
        <w:t xml:space="preserve"> is severe uncontrolled asthma, defined as in the current restrictions, with:</w:t>
      </w:r>
    </w:p>
    <w:p w14:paraId="2DEED101" w14:textId="77777777" w:rsidR="00687807" w:rsidRPr="009475AF" w:rsidRDefault="00687807" w:rsidP="007C50F6">
      <w:pPr>
        <w:pStyle w:val="3-BodyText"/>
        <w:numPr>
          <w:ilvl w:val="0"/>
          <w:numId w:val="15"/>
        </w:numPr>
        <w:ind w:left="1134"/>
      </w:pPr>
      <w:r w:rsidRPr="009475AF">
        <w:t xml:space="preserve">total serum IgE </w:t>
      </w:r>
      <w:r w:rsidRPr="009475AF">
        <w:sym w:font="Symbol" w:char="F0B3"/>
      </w:r>
      <w:r w:rsidRPr="009475AF">
        <w:t xml:space="preserve"> 30 IU/mL, </w:t>
      </w:r>
      <w:r w:rsidRPr="002405B2">
        <w:rPr>
          <w:b/>
          <w:bCs/>
        </w:rPr>
        <w:t>and</w:t>
      </w:r>
      <w:r w:rsidRPr="009475AF">
        <w:rPr>
          <w:b/>
          <w:bCs/>
        </w:rPr>
        <w:t xml:space="preserve"> </w:t>
      </w:r>
      <w:r w:rsidRPr="009475AF">
        <w:t>(</w:t>
      </w:r>
      <w:r w:rsidRPr="002405B2">
        <w:t>not</w:t>
      </w:r>
      <w:r w:rsidRPr="009475AF">
        <w:t xml:space="preserve"> “and/or”) </w:t>
      </w:r>
    </w:p>
    <w:p w14:paraId="3DD4E2DD" w14:textId="77777777" w:rsidR="00687807" w:rsidRPr="009475AF" w:rsidRDefault="00687807" w:rsidP="007C50F6">
      <w:pPr>
        <w:pStyle w:val="3-BodyText"/>
        <w:numPr>
          <w:ilvl w:val="0"/>
          <w:numId w:val="15"/>
        </w:numPr>
        <w:ind w:left="1134"/>
      </w:pPr>
      <w:r w:rsidRPr="009475AF">
        <w:t xml:space="preserve">eosinophils </w:t>
      </w:r>
      <w:r w:rsidRPr="009475AF">
        <w:sym w:font="Symbol" w:char="F0B3"/>
      </w:r>
      <w:r w:rsidRPr="009475AF">
        <w:t xml:space="preserve"> 0.15 x 10</w:t>
      </w:r>
      <w:r w:rsidRPr="009475AF">
        <w:rPr>
          <w:vertAlign w:val="superscript"/>
        </w:rPr>
        <w:t>9</w:t>
      </w:r>
      <w:r w:rsidRPr="009475AF">
        <w:t xml:space="preserve">/L </w:t>
      </w:r>
      <w:r w:rsidRPr="002405B2">
        <w:rPr>
          <w:b/>
          <w:bCs/>
        </w:rPr>
        <w:t>or</w:t>
      </w:r>
      <w:r w:rsidRPr="009475AF">
        <w:t xml:space="preserve"> FeNO </w:t>
      </w:r>
      <w:r w:rsidRPr="009475AF">
        <w:sym w:font="Symbol" w:char="F0B3"/>
      </w:r>
      <w:r w:rsidRPr="009475AF">
        <w:t xml:space="preserve"> 20 ppb. </w:t>
      </w:r>
    </w:p>
    <w:p w14:paraId="246B9217" w14:textId="53695793" w:rsidR="00687807" w:rsidRPr="009475AF" w:rsidRDefault="00687807" w:rsidP="00687807">
      <w:pPr>
        <w:pStyle w:val="3-BodyText"/>
      </w:pPr>
      <w:r w:rsidRPr="009475AF">
        <w:t xml:space="preserve">This is also consistent with the trial evidence on which the restriction for adults and adolescents was based. </w:t>
      </w:r>
      <w:r w:rsidR="009F26D7" w:rsidRPr="009475AF">
        <w:t>The submission stated that i</w:t>
      </w:r>
      <w:r w:rsidRPr="009475AF">
        <w:t xml:space="preserve">n the QUEST trial of dupilumab for asthma in adults and adolescents, there were sufficient patients who did not have raised IgE to establish that patients who had raised eosinophils or raised FeNO responded to dupilumab whether they had raised IgE or not. The submission’s argument was, essentially, that the PBAC should extrapolate those results in adolescents and adults to children, noting that the VOYAGE trial had only 7 children who did not have raised IgE. </w:t>
      </w:r>
    </w:p>
    <w:p w14:paraId="48E9F77B" w14:textId="11AF6706" w:rsidR="00687807" w:rsidRPr="009475AF" w:rsidRDefault="00687807" w:rsidP="00687807">
      <w:pPr>
        <w:pStyle w:val="3-BodyText"/>
        <w:rPr>
          <w:iCs/>
        </w:rPr>
      </w:pPr>
      <w:r w:rsidRPr="009475AF">
        <w:rPr>
          <w:iCs/>
        </w:rPr>
        <w:t xml:space="preserve">The Pre-Sub-Committee Response (PSCR) stated that the proposed restriction should not be limited to patients who have total serum IgE </w:t>
      </w:r>
      <w:r w:rsidRPr="009475AF">
        <w:rPr>
          <w:iCs/>
        </w:rPr>
        <w:sym w:font="Symbol" w:char="F0B3"/>
      </w:r>
      <w:r w:rsidRPr="009475AF">
        <w:rPr>
          <w:iCs/>
        </w:rPr>
        <w:t xml:space="preserve"> 30 IU/mL given that the VOYAGE trial “study population did include a small number of patients with increased [eosinophils] EOS and/or FeNO with baseline IgE levels &lt;30 IU/mL”. The PSCR added that “restricting the reimbursement of dupilumab only to patients with increased EOS or FeNO in combination with increased IgE would deny treatment to a small but important group of patients for whom no alternative therapies are currently available”.</w:t>
      </w:r>
    </w:p>
    <w:p w14:paraId="4C43D557" w14:textId="77777777" w:rsidR="00843FA1" w:rsidRPr="009475AF" w:rsidRDefault="00843FA1" w:rsidP="00843FA1">
      <w:pPr>
        <w:pStyle w:val="3-BodyText"/>
        <w:rPr>
          <w:iCs/>
        </w:rPr>
      </w:pPr>
      <w:r w:rsidRPr="009475AF">
        <w:rPr>
          <w:iCs/>
        </w:rPr>
        <w:t xml:space="preserve">The ESC noted that measurement of FeNO is an MBS item (11507), but availability in remote and some regional areas would be limited. </w:t>
      </w:r>
    </w:p>
    <w:p w14:paraId="52C7F356" w14:textId="77777777" w:rsidR="00687807" w:rsidRPr="009475AF" w:rsidRDefault="00687807" w:rsidP="00687807">
      <w:pPr>
        <w:pStyle w:val="3-BodyText"/>
        <w:rPr>
          <w:iCs/>
        </w:rPr>
      </w:pPr>
      <w:r w:rsidRPr="009475AF">
        <w:rPr>
          <w:iCs/>
        </w:rPr>
        <w:lastRenderedPageBreak/>
        <w:t>The ESC noted the proposed restriction would require patients to be under the care of the same physician for 6 months prior to treatment. The ESC considered this may unduly limit use to patients in private clinics. The ESC considered it would be appropriate to add the following statement to the clinical criteria, noting that this criterion was included in the PBS restriction for omalizumab: “Patient must have been diagnosed by a multidisciplinary severe asthma clinic team (respiratory physician plus at least one of a pharmacist, nurse or asthma educator)”.</w:t>
      </w:r>
    </w:p>
    <w:p w14:paraId="5BCF1949" w14:textId="6BA630C0" w:rsidR="00687807" w:rsidRPr="009475AF" w:rsidRDefault="00687807" w:rsidP="00687807">
      <w:pPr>
        <w:pStyle w:val="3-BodyText"/>
      </w:pPr>
      <w:r w:rsidRPr="009475AF">
        <w:t xml:space="preserve">The submission proposed a Special Pricing Arrangement (SPA) </w:t>
      </w:r>
      <w:r w:rsidR="00DB0B29">
        <w:t xml:space="preserve">for dupilumab </w:t>
      </w:r>
      <w:r w:rsidRPr="009475AF">
        <w:t xml:space="preserve">for paediatric asthma. </w:t>
      </w:r>
    </w:p>
    <w:p w14:paraId="3309E6B4" w14:textId="42661621" w:rsidR="00687807" w:rsidRPr="009475AF" w:rsidRDefault="00687807" w:rsidP="00687807">
      <w:pPr>
        <w:pStyle w:val="3-BodyText"/>
      </w:pPr>
      <w:r w:rsidRPr="009475AF">
        <w:t>The current effective price for dupilumab in asthma is: $</w:t>
      </w:r>
      <w:r w:rsidR="00CE7646" w:rsidRPr="00327894">
        <w:rPr>
          <w:color w:val="000000"/>
          <w:w w:val="61"/>
          <w:shd w:val="solid" w:color="000000" w:fill="000000"/>
          <w:fitText w:val="475" w:id="-962338304"/>
          <w14:textFill>
            <w14:solidFill>
              <w14:srgbClr w14:val="000000">
                <w14:alpha w14:val="100000"/>
              </w14:srgbClr>
            </w14:solidFill>
          </w14:textFill>
        </w:rPr>
        <w:t>|||  ||</w:t>
      </w:r>
      <w:r w:rsidR="00CE7646" w:rsidRPr="00327894">
        <w:rPr>
          <w:color w:val="000000"/>
          <w:spacing w:val="5"/>
          <w:w w:val="61"/>
          <w:shd w:val="solid" w:color="000000" w:fill="000000"/>
          <w:fitText w:val="475" w:id="-962338304"/>
          <w14:textFill>
            <w14:solidFill>
              <w14:srgbClr w14:val="000000">
                <w14:alpha w14:val="100000"/>
              </w14:srgbClr>
            </w14:solidFill>
          </w14:textFill>
        </w:rPr>
        <w:t>|</w:t>
      </w:r>
      <w:r w:rsidRPr="009475AF">
        <w:t>, 300</w:t>
      </w:r>
      <w:r w:rsidR="00E11329" w:rsidRPr="009475AF">
        <w:t xml:space="preserve"> </w:t>
      </w:r>
      <w:r w:rsidRPr="009475AF">
        <w:t>mg/2</w:t>
      </w:r>
      <w:r w:rsidR="00E11329" w:rsidRPr="009475AF">
        <w:t xml:space="preserve"> </w:t>
      </w:r>
      <w:r w:rsidRPr="009475AF">
        <w:t>mL single dose pre-filled syringe, pack quantity 2; $</w:t>
      </w:r>
      <w:r w:rsidR="00CE7646" w:rsidRPr="00696736">
        <w:rPr>
          <w:color w:val="000000"/>
          <w:w w:val="15"/>
          <w:shd w:val="solid" w:color="000000" w:fill="000000"/>
          <w:fitText w:val="-20" w:id="-962338303"/>
          <w14:textFill>
            <w14:solidFill>
              <w14:srgbClr w14:val="000000">
                <w14:alpha w14:val="100000"/>
              </w14:srgbClr>
            </w14:solidFill>
          </w14:textFill>
        </w:rPr>
        <w:t xml:space="preserve">|  </w:t>
      </w:r>
      <w:r w:rsidR="00CE7646" w:rsidRPr="00696736">
        <w:rPr>
          <w:color w:val="000000"/>
          <w:spacing w:val="-69"/>
          <w:w w:val="15"/>
          <w:shd w:val="solid" w:color="000000" w:fill="000000"/>
          <w:fitText w:val="-20" w:id="-962338303"/>
          <w14:textFill>
            <w14:solidFill>
              <w14:srgbClr w14:val="000000">
                <w14:alpha w14:val="100000"/>
              </w14:srgbClr>
            </w14:solidFill>
          </w14:textFill>
        </w:rPr>
        <w:t>|</w:t>
      </w:r>
      <w:r w:rsidRPr="009475AF">
        <w:t>, 200</w:t>
      </w:r>
      <w:r w:rsidR="00E11329" w:rsidRPr="009475AF">
        <w:t xml:space="preserve"> </w:t>
      </w:r>
      <w:r w:rsidRPr="009475AF">
        <w:t>mg/1.14</w:t>
      </w:r>
      <w:r w:rsidR="00E11329" w:rsidRPr="009475AF">
        <w:t xml:space="preserve"> </w:t>
      </w:r>
      <w:r w:rsidRPr="009475AF">
        <w:t>m</w:t>
      </w:r>
      <w:r w:rsidR="00E11329" w:rsidRPr="009475AF">
        <w:t>L</w:t>
      </w:r>
      <w:r w:rsidRPr="009475AF">
        <w:t>, single dose pre-filled syringe, pack quantity 2</w:t>
      </w:r>
      <w:r w:rsidR="009475AF">
        <w:t xml:space="preserve">. </w:t>
      </w:r>
    </w:p>
    <w:p w14:paraId="068D3001" w14:textId="7CB41582" w:rsidR="002F74D4" w:rsidRPr="009475AF" w:rsidRDefault="002F74D4" w:rsidP="002F74D4">
      <w:pPr>
        <w:pStyle w:val="3-BodyText"/>
        <w:numPr>
          <w:ilvl w:val="0"/>
          <w:numId w:val="0"/>
        </w:numPr>
        <w:ind w:left="720"/>
        <w:rPr>
          <w:i/>
          <w:iCs/>
        </w:rPr>
      </w:pPr>
      <w:r w:rsidRPr="009475AF">
        <w:rPr>
          <w:i/>
          <w:iCs/>
        </w:rPr>
        <w:t>For more detail on PBAC’s view, see section 7 PBAC outcome.</w:t>
      </w:r>
    </w:p>
    <w:p w14:paraId="7075B85C" w14:textId="62A47B7B" w:rsidR="00B50DB8" w:rsidRPr="009475AF" w:rsidDel="00195452" w:rsidRDefault="00203181" w:rsidP="004E18E9">
      <w:pPr>
        <w:pStyle w:val="2-SectionHeading"/>
      </w:pPr>
      <w:bookmarkStart w:id="11" w:name="_Toc156912913"/>
      <w:r w:rsidRPr="009475AF" w:rsidDel="00195452">
        <w:t xml:space="preserve">Population and </w:t>
      </w:r>
      <w:r w:rsidR="008E0D3C" w:rsidRPr="009475AF" w:rsidDel="00195452">
        <w:t>d</w:t>
      </w:r>
      <w:r w:rsidRPr="009475AF" w:rsidDel="00195452">
        <w:t>isease</w:t>
      </w:r>
      <w:bookmarkEnd w:id="11"/>
    </w:p>
    <w:p w14:paraId="21FDD135" w14:textId="15B40E5D" w:rsidR="00894489" w:rsidRPr="009475AF" w:rsidRDefault="00550AB6" w:rsidP="00942FB2">
      <w:pPr>
        <w:pStyle w:val="3-BodyText"/>
        <w:rPr>
          <w:iCs/>
          <w:color w:val="000000" w:themeColor="text1"/>
        </w:rPr>
      </w:pPr>
      <w:r w:rsidRPr="009475AF">
        <w:rPr>
          <w:color w:val="000000" w:themeColor="text1"/>
        </w:rPr>
        <w:t>Asthma</w:t>
      </w:r>
      <w:r w:rsidR="00942FB2" w:rsidRPr="009475AF">
        <w:rPr>
          <w:color w:val="000000" w:themeColor="text1"/>
        </w:rPr>
        <w:t xml:space="preserve">, </w:t>
      </w:r>
      <w:r w:rsidRPr="009475AF">
        <w:rPr>
          <w:color w:val="000000" w:themeColor="text1"/>
        </w:rPr>
        <w:t>characterised by symptoms of “</w:t>
      </w:r>
      <w:r w:rsidR="00ED1122" w:rsidRPr="009475AF">
        <w:t>wheeze, shortness of breath, chest tightness, and cough that vary over time and in intensity, together with variable expiratory airflow limitation”, usually associated with chronic airway inflammation</w:t>
      </w:r>
      <w:r w:rsidR="00ED1122" w:rsidRPr="009475AF">
        <w:rPr>
          <w:rStyle w:val="FootnoteReference"/>
        </w:rPr>
        <w:footnoteReference w:id="3"/>
      </w:r>
      <w:r w:rsidR="00ED1122" w:rsidRPr="009475AF">
        <w:t xml:space="preserve"> </w:t>
      </w:r>
      <w:r w:rsidR="00942FB2" w:rsidRPr="009475AF">
        <w:t>,</w:t>
      </w:r>
      <w:r w:rsidR="00ED1122" w:rsidRPr="009475AF">
        <w:t xml:space="preserve"> is common</w:t>
      </w:r>
      <w:r w:rsidR="004A1B15" w:rsidRPr="009475AF">
        <w:t xml:space="preserve"> in Australia</w:t>
      </w:r>
      <w:r w:rsidR="005858D0" w:rsidRPr="009475AF">
        <w:t xml:space="preserve">. In the 2020-1 ABS survey, asthma was reported by </w:t>
      </w:r>
      <w:r w:rsidR="00680E18" w:rsidRPr="009475AF">
        <w:t>9.5% of boys and 7.9% of girls aged 0-14 years</w:t>
      </w:r>
      <w:r w:rsidR="00ED1122" w:rsidRPr="009475AF">
        <w:t>.</w:t>
      </w:r>
      <w:r w:rsidR="005858D0" w:rsidRPr="009475AF">
        <w:t xml:space="preserve"> </w:t>
      </w:r>
    </w:p>
    <w:p w14:paraId="4BE91073" w14:textId="329ECDF0" w:rsidR="00B72DDB" w:rsidRPr="009475AF" w:rsidRDefault="00B72DDB" w:rsidP="004E18E9">
      <w:pPr>
        <w:pStyle w:val="3-BodyText"/>
        <w:rPr>
          <w:color w:val="000000" w:themeColor="text1"/>
        </w:rPr>
      </w:pPr>
      <w:r w:rsidRPr="009475AF">
        <w:rPr>
          <w:color w:val="000000" w:themeColor="text1"/>
        </w:rPr>
        <w:t>“Uncontrolled asthma” is asthma with frequent symptoms, or two or more exacerbations requiring oral corticosteroids (OCS) in the past year, or any exacerbation(s) in the past year requiring hospitalisation</w:t>
      </w:r>
      <w:r w:rsidR="009475AF">
        <w:rPr>
          <w:color w:val="000000" w:themeColor="text1"/>
        </w:rPr>
        <w:t xml:space="preserve">. </w:t>
      </w:r>
    </w:p>
    <w:p w14:paraId="1AACE8DE" w14:textId="5F75AB85" w:rsidR="00E40593" w:rsidRPr="009475AF" w:rsidRDefault="00E70993" w:rsidP="00B72DDB">
      <w:pPr>
        <w:pStyle w:val="3-BodyText"/>
        <w:rPr>
          <w:color w:val="000000" w:themeColor="text1"/>
        </w:rPr>
      </w:pPr>
      <w:r w:rsidRPr="009475AF">
        <w:rPr>
          <w:color w:val="000000" w:themeColor="text1"/>
        </w:rPr>
        <w:t>S</w:t>
      </w:r>
      <w:r w:rsidR="00E40593" w:rsidRPr="009475AF">
        <w:rPr>
          <w:color w:val="000000" w:themeColor="text1"/>
        </w:rPr>
        <w:t xml:space="preserve">evere asthma </w:t>
      </w:r>
      <w:r w:rsidRPr="009475AF">
        <w:rPr>
          <w:color w:val="000000" w:themeColor="text1"/>
        </w:rPr>
        <w:t>i</w:t>
      </w:r>
      <w:r w:rsidR="00E40593" w:rsidRPr="009475AF">
        <w:rPr>
          <w:color w:val="000000" w:themeColor="text1"/>
        </w:rPr>
        <w:t xml:space="preserve">s asthma that </w:t>
      </w:r>
      <w:r w:rsidR="00874AC8" w:rsidRPr="009475AF">
        <w:rPr>
          <w:color w:val="000000" w:themeColor="text1"/>
        </w:rPr>
        <w:t xml:space="preserve">can only be controlled with </w:t>
      </w:r>
      <w:r w:rsidR="00E40593" w:rsidRPr="009475AF">
        <w:rPr>
          <w:color w:val="000000" w:themeColor="text1"/>
        </w:rPr>
        <w:t>high dose inhaled corticosteroid (ICS) and long-acting beta-agonist (LABA)</w:t>
      </w:r>
      <w:r w:rsidR="00874AC8" w:rsidRPr="009475AF">
        <w:rPr>
          <w:color w:val="000000" w:themeColor="text1"/>
        </w:rPr>
        <w:t xml:space="preserve">, or </w:t>
      </w:r>
      <w:r w:rsidR="001A3A72" w:rsidRPr="009475AF">
        <w:rPr>
          <w:color w:val="000000" w:themeColor="text1"/>
        </w:rPr>
        <w:t>oral corticosteroid (</w:t>
      </w:r>
      <w:r w:rsidR="00874AC8" w:rsidRPr="009475AF">
        <w:rPr>
          <w:color w:val="000000" w:themeColor="text1"/>
        </w:rPr>
        <w:t>OCS</w:t>
      </w:r>
      <w:r w:rsidR="001A3A72" w:rsidRPr="009475AF">
        <w:rPr>
          <w:color w:val="000000" w:themeColor="text1"/>
        </w:rPr>
        <w:t>)</w:t>
      </w:r>
      <w:r w:rsidR="00874AC8" w:rsidRPr="009475AF">
        <w:rPr>
          <w:color w:val="000000" w:themeColor="text1"/>
        </w:rPr>
        <w:t xml:space="preserve">, or </w:t>
      </w:r>
      <w:r w:rsidR="00680E18" w:rsidRPr="009475AF">
        <w:rPr>
          <w:color w:val="000000" w:themeColor="text1"/>
        </w:rPr>
        <w:t>is uncontrolled despite this treatment,</w:t>
      </w:r>
      <w:r w:rsidRPr="009475AF">
        <w:rPr>
          <w:color w:val="000000" w:themeColor="text1"/>
        </w:rPr>
        <w:t xml:space="preserve"> in the absence of factors such as poor inhaler technique and non-adherence</w:t>
      </w:r>
      <w:r w:rsidR="001021B6" w:rsidRPr="009475AF">
        <w:rPr>
          <w:color w:val="000000" w:themeColor="text1"/>
        </w:rPr>
        <w:t>.</w:t>
      </w:r>
      <w:r w:rsidRPr="009475AF">
        <w:rPr>
          <w:color w:val="000000" w:themeColor="text1"/>
        </w:rPr>
        <w:t xml:space="preserve"> By this definition </w:t>
      </w:r>
      <w:r w:rsidR="00874AC8" w:rsidRPr="009475AF">
        <w:rPr>
          <w:color w:val="000000" w:themeColor="text1"/>
        </w:rPr>
        <w:t xml:space="preserve">a </w:t>
      </w:r>
      <w:r w:rsidR="009F26D7" w:rsidRPr="009475AF">
        <w:rPr>
          <w:iCs/>
          <w:color w:val="000000" w:themeColor="text1"/>
        </w:rPr>
        <w:t>small percentage</w:t>
      </w:r>
      <w:r w:rsidR="00874AC8" w:rsidRPr="009475AF">
        <w:rPr>
          <w:color w:val="000000" w:themeColor="text1"/>
        </w:rPr>
        <w:t xml:space="preserve"> of asthmatics have severe asthma. Patients with uncontrolled asthma despite prescription of high dose ICS and</w:t>
      </w:r>
      <w:r w:rsidR="001A3A72" w:rsidRPr="009475AF">
        <w:rPr>
          <w:color w:val="000000" w:themeColor="text1"/>
        </w:rPr>
        <w:t xml:space="preserve"> </w:t>
      </w:r>
      <w:r w:rsidR="00874AC8" w:rsidRPr="009475AF">
        <w:rPr>
          <w:color w:val="000000" w:themeColor="text1"/>
        </w:rPr>
        <w:t>LABA in whom poor inhaler technique and non-adherence have not been excluded are several times more common.</w:t>
      </w:r>
      <w:r w:rsidR="001021B6" w:rsidRPr="009475AF">
        <w:rPr>
          <w:rStyle w:val="FootnoteReference"/>
          <w:color w:val="000000" w:themeColor="text1"/>
        </w:rPr>
        <w:footnoteReference w:id="4"/>
      </w:r>
      <w:r w:rsidR="001021B6" w:rsidRPr="009475AF">
        <w:rPr>
          <w:color w:val="000000" w:themeColor="text1"/>
        </w:rPr>
        <w:t xml:space="preserve"> </w:t>
      </w:r>
      <w:r w:rsidR="00E40593" w:rsidRPr="009475AF">
        <w:rPr>
          <w:color w:val="000000" w:themeColor="text1"/>
        </w:rPr>
        <w:t xml:space="preserve"> </w:t>
      </w:r>
    </w:p>
    <w:p w14:paraId="7665897B" w14:textId="114F4C0E" w:rsidR="00446CD3" w:rsidRPr="009475AF" w:rsidRDefault="00D732F1" w:rsidP="00446CD3">
      <w:pPr>
        <w:pStyle w:val="3-BodyText"/>
        <w:rPr>
          <w:color w:val="000000" w:themeColor="text1"/>
        </w:rPr>
      </w:pPr>
      <w:r w:rsidRPr="009475AF">
        <w:rPr>
          <w:color w:val="000000" w:themeColor="text1"/>
        </w:rPr>
        <w:t>M</w:t>
      </w:r>
      <w:r w:rsidR="000A5816" w:rsidRPr="009475AF">
        <w:rPr>
          <w:color w:val="000000" w:themeColor="text1"/>
        </w:rPr>
        <w:t xml:space="preserve">ost children with severe asthma have </w:t>
      </w:r>
      <w:r w:rsidR="00662EE6" w:rsidRPr="009475AF">
        <w:rPr>
          <w:color w:val="000000" w:themeColor="text1"/>
        </w:rPr>
        <w:t xml:space="preserve">allergic asthma, with </w:t>
      </w:r>
      <w:r w:rsidR="00C768AB" w:rsidRPr="009475AF">
        <w:rPr>
          <w:color w:val="000000" w:themeColor="text1"/>
        </w:rPr>
        <w:t>high circulating IgE and positive skin tests to common allergens</w:t>
      </w:r>
      <w:r w:rsidR="00421EE0" w:rsidRPr="009475AF">
        <w:rPr>
          <w:color w:val="000000" w:themeColor="text1"/>
        </w:rPr>
        <w:t xml:space="preserve">. </w:t>
      </w:r>
      <w:r w:rsidR="00446CD3" w:rsidRPr="009475AF">
        <w:rPr>
          <w:color w:val="000000" w:themeColor="text1"/>
        </w:rPr>
        <w:t>Allergy is less common in adults with severe asthma</w:t>
      </w:r>
      <w:r w:rsidR="009475AF">
        <w:rPr>
          <w:color w:val="000000" w:themeColor="text1"/>
        </w:rPr>
        <w:t xml:space="preserve">. </w:t>
      </w:r>
    </w:p>
    <w:p w14:paraId="41B821F1" w14:textId="0C96D86B" w:rsidR="00942FB2" w:rsidRPr="009475AF" w:rsidRDefault="000A5816" w:rsidP="004A26D4">
      <w:pPr>
        <w:pStyle w:val="3-BodyText"/>
        <w:rPr>
          <w:color w:val="000000" w:themeColor="text1"/>
        </w:rPr>
      </w:pPr>
      <w:r w:rsidRPr="009475AF">
        <w:rPr>
          <w:color w:val="000000" w:themeColor="text1"/>
        </w:rPr>
        <w:lastRenderedPageBreak/>
        <w:t>Allergy is associated with atopy, an inherited proclivity to produce IgE antibodies after exposure to antigens. Many atopic children have atopic dermatitis and allergic rhinitis as well as asthma. These conditions often occur in sequence: atopic dermatitis in infancy and allergic rhinitis and asthma in later childhood – a phenomenon referred to as the “allergic march”.</w:t>
      </w:r>
      <w:r w:rsidR="00942FB2" w:rsidRPr="009475AF">
        <w:rPr>
          <w:color w:val="000000" w:themeColor="text1"/>
        </w:rPr>
        <w:t xml:space="preserve"> </w:t>
      </w:r>
      <w:r w:rsidR="004A26D4" w:rsidRPr="009475AF">
        <w:rPr>
          <w:color w:val="000000" w:themeColor="text1"/>
        </w:rPr>
        <w:t xml:space="preserve">This means that a significant degree of overlap between the populations of children eligible for PBS-subsidised use of biological treatments for atopic dermatitis and for asthma may be expected. </w:t>
      </w:r>
    </w:p>
    <w:p w14:paraId="4FFAFA9C" w14:textId="4DF7AFCF" w:rsidR="00942FB2" w:rsidRPr="009475AF" w:rsidRDefault="00942FB2" w:rsidP="00942FB2">
      <w:pPr>
        <w:pStyle w:val="3-BodyText"/>
        <w:rPr>
          <w:color w:val="000000" w:themeColor="text1"/>
        </w:rPr>
      </w:pPr>
      <w:r w:rsidRPr="009475AF">
        <w:rPr>
          <w:color w:val="000000" w:themeColor="text1"/>
        </w:rPr>
        <w:t xml:space="preserve">Eosinophilia in sputum or peripheral blood and elevated fractional exhaled nitric oxide (FeNO) characterise Type 2 inflammation. Type 2 inflammation is common but not universal in children with allergic asthma, </w:t>
      </w:r>
      <w:r w:rsidR="00446CD3" w:rsidRPr="009475AF">
        <w:rPr>
          <w:color w:val="000000" w:themeColor="text1"/>
        </w:rPr>
        <w:t xml:space="preserve">in </w:t>
      </w:r>
      <w:r w:rsidRPr="009475AF">
        <w:rPr>
          <w:color w:val="000000" w:themeColor="text1"/>
        </w:rPr>
        <w:t xml:space="preserve">adults with allergic asthma, and </w:t>
      </w:r>
      <w:r w:rsidR="00446CD3" w:rsidRPr="009475AF">
        <w:rPr>
          <w:color w:val="000000" w:themeColor="text1"/>
        </w:rPr>
        <w:t xml:space="preserve">in </w:t>
      </w:r>
      <w:r w:rsidRPr="009475AF">
        <w:rPr>
          <w:color w:val="000000" w:themeColor="text1"/>
        </w:rPr>
        <w:t xml:space="preserve">adults with non-allergic asthma. </w:t>
      </w:r>
      <w:r w:rsidR="004A26D4" w:rsidRPr="009475AF">
        <w:rPr>
          <w:color w:val="000000" w:themeColor="text1"/>
        </w:rPr>
        <w:t>Cytokines IL-4 and IL-13, produced by Th2 cells, are key drivers of Type 2 inflammation. IL-4 and IL-13 act on cells which express the Il-4</w:t>
      </w:r>
      <w:r w:rsidR="002A4C44">
        <w:rPr>
          <w:color w:val="000000" w:themeColor="text1"/>
        </w:rPr>
        <w:t xml:space="preserve"> </w:t>
      </w:r>
      <w:r w:rsidR="004A26D4" w:rsidRPr="009475AF">
        <w:rPr>
          <w:color w:val="000000" w:themeColor="text1"/>
        </w:rPr>
        <w:t>receptor.</w:t>
      </w:r>
    </w:p>
    <w:p w14:paraId="104C5B1D" w14:textId="3519E88E" w:rsidR="00260857" w:rsidRPr="009475AF" w:rsidRDefault="00662EE6" w:rsidP="00260857">
      <w:pPr>
        <w:pStyle w:val="3-BodyText"/>
        <w:rPr>
          <w:color w:val="000000" w:themeColor="text1"/>
        </w:rPr>
      </w:pPr>
      <w:r w:rsidRPr="009475AF">
        <w:rPr>
          <w:color w:val="000000" w:themeColor="text1"/>
        </w:rPr>
        <w:t xml:space="preserve">The current asthma treatment guidelines for the management of severe asthma in children in Australia suggest that </w:t>
      </w:r>
      <w:r w:rsidR="004A26D4" w:rsidRPr="009475AF">
        <w:rPr>
          <w:color w:val="000000" w:themeColor="text1"/>
        </w:rPr>
        <w:t xml:space="preserve">there </w:t>
      </w:r>
      <w:r w:rsidRPr="009475AF">
        <w:rPr>
          <w:color w:val="000000" w:themeColor="text1"/>
        </w:rPr>
        <w:t xml:space="preserve">should </w:t>
      </w:r>
      <w:r w:rsidR="004A26D4" w:rsidRPr="009475AF">
        <w:rPr>
          <w:color w:val="000000" w:themeColor="text1"/>
        </w:rPr>
        <w:t xml:space="preserve">be </w:t>
      </w:r>
      <w:r w:rsidRPr="009475AF">
        <w:rPr>
          <w:color w:val="000000" w:themeColor="text1"/>
        </w:rPr>
        <w:t xml:space="preserve">referral to a specialist for ‘optimised asthma </w:t>
      </w:r>
      <w:r w:rsidR="004A26D4" w:rsidRPr="009475AF">
        <w:rPr>
          <w:color w:val="000000" w:themeColor="text1"/>
        </w:rPr>
        <w:t>treatment</w:t>
      </w:r>
      <w:r w:rsidRPr="009475AF">
        <w:rPr>
          <w:color w:val="000000" w:themeColor="text1"/>
        </w:rPr>
        <w:t>’</w:t>
      </w:r>
      <w:r w:rsidR="004A26D4" w:rsidRPr="009475AF">
        <w:rPr>
          <w:color w:val="000000" w:themeColor="text1"/>
        </w:rPr>
        <w:t xml:space="preserve"> (OAT)</w:t>
      </w:r>
      <w:r w:rsidRPr="009475AF">
        <w:rPr>
          <w:color w:val="000000" w:themeColor="text1"/>
        </w:rPr>
        <w:t xml:space="preserve"> </w:t>
      </w:r>
      <w:r w:rsidR="00BE2BF5" w:rsidRPr="009475AF">
        <w:rPr>
          <w:color w:val="000000" w:themeColor="text1"/>
        </w:rPr>
        <w:t>i.e.</w:t>
      </w:r>
      <w:r w:rsidR="001F1377" w:rsidRPr="009475AF">
        <w:rPr>
          <w:color w:val="000000" w:themeColor="text1"/>
        </w:rPr>
        <w:t>,</w:t>
      </w:r>
      <w:r w:rsidRPr="009475AF">
        <w:rPr>
          <w:color w:val="000000" w:themeColor="text1"/>
        </w:rPr>
        <w:t xml:space="preserve"> monitored adher</w:t>
      </w:r>
      <w:r w:rsidR="004A26D4" w:rsidRPr="009475AF">
        <w:rPr>
          <w:color w:val="000000" w:themeColor="text1"/>
        </w:rPr>
        <w:t xml:space="preserve">ence </w:t>
      </w:r>
      <w:r w:rsidRPr="009475AF">
        <w:rPr>
          <w:color w:val="000000" w:themeColor="text1"/>
        </w:rPr>
        <w:t xml:space="preserve">for 6 months, </w:t>
      </w:r>
      <w:r w:rsidR="004A26D4" w:rsidRPr="009475AF">
        <w:rPr>
          <w:color w:val="000000" w:themeColor="text1"/>
        </w:rPr>
        <w:t>use of montelukast, cromoglycate or nedocromil, or IV or oral corticosteroids. Biological treatments are recommended for use in patients who fail OAT.</w:t>
      </w:r>
      <w:r w:rsidR="00260857" w:rsidRPr="009475AF">
        <w:rPr>
          <w:color w:val="000000" w:themeColor="text1"/>
        </w:rPr>
        <w:t xml:space="preserve"> Tiotropium is also PBS listed for use </w:t>
      </w:r>
      <w:r w:rsidR="001F1377" w:rsidRPr="009475AF">
        <w:rPr>
          <w:color w:val="000000" w:themeColor="text1"/>
        </w:rPr>
        <w:t>i</w:t>
      </w:r>
      <w:r w:rsidR="00260857" w:rsidRPr="009475AF">
        <w:rPr>
          <w:color w:val="000000" w:themeColor="text1"/>
        </w:rPr>
        <w:t xml:space="preserve">n this group of patients. </w:t>
      </w:r>
    </w:p>
    <w:p w14:paraId="31AC1767" w14:textId="4DBCF61B" w:rsidR="00942FB2" w:rsidRPr="009475AF" w:rsidRDefault="00260857" w:rsidP="00260857">
      <w:pPr>
        <w:pStyle w:val="3-BodyText"/>
        <w:rPr>
          <w:color w:val="000000" w:themeColor="text1"/>
        </w:rPr>
      </w:pPr>
      <w:r w:rsidRPr="009475AF">
        <w:rPr>
          <w:color w:val="000000" w:themeColor="text1"/>
        </w:rPr>
        <w:t>The only biological treatment currently PBS listed for use in paediatric patients who fail OAT is omalizumab (although dupilumab, benr</w:t>
      </w:r>
      <w:r w:rsidR="0040383E" w:rsidRPr="009475AF">
        <w:rPr>
          <w:color w:val="000000" w:themeColor="text1"/>
        </w:rPr>
        <w:t>a</w:t>
      </w:r>
      <w:r w:rsidRPr="009475AF">
        <w:rPr>
          <w:color w:val="000000" w:themeColor="text1"/>
        </w:rPr>
        <w:t xml:space="preserve">lizumab and mepolizumab are listed for use in patients 12 years and older.)  For PBS use of omalizumab, in addition to failed treatment with OAT, the patients must have </w:t>
      </w:r>
      <w:r w:rsidR="003B2776" w:rsidRPr="009475AF">
        <w:rPr>
          <w:color w:val="000000" w:themeColor="text1"/>
        </w:rPr>
        <w:t>T</w:t>
      </w:r>
      <w:r w:rsidRPr="009475AF">
        <w:rPr>
          <w:color w:val="000000" w:themeColor="text1"/>
        </w:rPr>
        <w:t xml:space="preserve">otal </w:t>
      </w:r>
      <w:r w:rsidR="003B2776" w:rsidRPr="009475AF">
        <w:rPr>
          <w:color w:val="000000" w:themeColor="text1"/>
        </w:rPr>
        <w:t>s</w:t>
      </w:r>
      <w:r w:rsidRPr="009475AF">
        <w:rPr>
          <w:color w:val="000000" w:themeColor="text1"/>
        </w:rPr>
        <w:t>erum Ig E</w:t>
      </w:r>
      <w:r w:rsidR="00446CD3" w:rsidRPr="009475AF">
        <w:rPr>
          <w:color w:val="000000" w:themeColor="text1"/>
        </w:rPr>
        <w:t xml:space="preserve"> </w:t>
      </w:r>
      <w:r w:rsidRPr="009475AF">
        <w:sym w:font="Symbol" w:char="F0B3"/>
      </w:r>
      <w:r w:rsidRPr="009475AF">
        <w:t xml:space="preserve"> 30 IU/mL and atopy, documented by skin prick test or an in vitro measure of specific IgE</w:t>
      </w:r>
      <w:r w:rsidR="009475AF">
        <w:t xml:space="preserve">. </w:t>
      </w:r>
      <w:r w:rsidR="00F31ED2" w:rsidRPr="009475AF">
        <w:t>Notably</w:t>
      </w:r>
      <w:r w:rsidR="00446CD3" w:rsidRPr="009475AF">
        <w:t>,</w:t>
      </w:r>
      <w:r w:rsidR="00F31ED2" w:rsidRPr="009475AF">
        <w:t xml:space="preserve"> the current restriction for omalizumab does not</w:t>
      </w:r>
      <w:r w:rsidR="00F31ED2" w:rsidRPr="009475AF">
        <w:rPr>
          <w:b/>
          <w:bCs/>
        </w:rPr>
        <w:t xml:space="preserve"> </w:t>
      </w:r>
      <w:r w:rsidR="00F31ED2" w:rsidRPr="009475AF">
        <w:t>include any requirement to document eosinophilia or elevated FeNO.</w:t>
      </w:r>
      <w:r w:rsidR="00F31ED2" w:rsidRPr="009475AF">
        <w:rPr>
          <w:iCs/>
        </w:rPr>
        <w:t xml:space="preserve"> </w:t>
      </w:r>
    </w:p>
    <w:p w14:paraId="11BAC4F3" w14:textId="530B880D" w:rsidR="00446CD3" w:rsidRPr="009475AF" w:rsidRDefault="004A26D4" w:rsidP="00260857">
      <w:pPr>
        <w:pStyle w:val="3-BodyText"/>
        <w:rPr>
          <w:color w:val="000000" w:themeColor="text1"/>
        </w:rPr>
      </w:pPr>
      <w:r w:rsidRPr="009475AF">
        <w:rPr>
          <w:color w:val="000000" w:themeColor="text1"/>
        </w:rPr>
        <w:t>Omalizumab is a monoclonal antibody to IgE that blocks binding to the mast cell receptor. Omalizumab does not prevent allergic reactions caused by IgE already bound to mast cells. Only a small number of IgE molecules have to interact with their specific antigen to cause release of mediators from mast cells, so free IgE has to be reduced to low levels to block allergic asthma</w:t>
      </w:r>
      <w:r w:rsidR="009475AF">
        <w:rPr>
          <w:color w:val="000000" w:themeColor="text1"/>
        </w:rPr>
        <w:t xml:space="preserve">. </w:t>
      </w:r>
      <w:r w:rsidRPr="009475AF">
        <w:rPr>
          <w:color w:val="000000" w:themeColor="text1"/>
        </w:rPr>
        <w:t>For this reason, and because of the lack of effect on IgE already bound to mast cells, the onset of the omalizumab treatment effect may be relatively slow</w:t>
      </w:r>
      <w:r w:rsidR="009475AF">
        <w:rPr>
          <w:color w:val="000000" w:themeColor="text1"/>
        </w:rPr>
        <w:t xml:space="preserve">. </w:t>
      </w:r>
      <w:r w:rsidRPr="009475AF">
        <w:rPr>
          <w:color w:val="000000" w:themeColor="text1"/>
        </w:rPr>
        <w:t xml:space="preserve"> </w:t>
      </w:r>
    </w:p>
    <w:p w14:paraId="1D3728D0" w14:textId="4090E555" w:rsidR="00260857" w:rsidRPr="009475AF" w:rsidRDefault="004A26D4" w:rsidP="00260857">
      <w:pPr>
        <w:pStyle w:val="3-BodyText"/>
        <w:rPr>
          <w:color w:val="000000" w:themeColor="text1"/>
        </w:rPr>
      </w:pPr>
      <w:r w:rsidRPr="009475AF">
        <w:rPr>
          <w:color w:val="000000" w:themeColor="text1"/>
        </w:rPr>
        <w:t xml:space="preserve">Dupilumab is a monoclonal antibody to the alpha subunit of the IL-4 receptor, so that it inhibits the action of both IL-4 and IL-13. </w:t>
      </w:r>
    </w:p>
    <w:p w14:paraId="2AB738EB" w14:textId="2A5368DA" w:rsidR="00A913AE" w:rsidRPr="009475AF" w:rsidRDefault="00A913AE" w:rsidP="004E18E9">
      <w:pPr>
        <w:pStyle w:val="3-BodyText"/>
        <w:rPr>
          <w:color w:val="000000" w:themeColor="text1"/>
        </w:rPr>
      </w:pPr>
      <w:r w:rsidRPr="009475AF">
        <w:rPr>
          <w:color w:val="000000" w:themeColor="text1"/>
        </w:rPr>
        <w:lastRenderedPageBreak/>
        <w:t xml:space="preserve">Prolonged treatment with omalizumab </w:t>
      </w:r>
      <w:r w:rsidR="00445B91" w:rsidRPr="009475AF">
        <w:rPr>
          <w:color w:val="000000" w:themeColor="text1"/>
        </w:rPr>
        <w:t>may</w:t>
      </w:r>
      <w:r w:rsidRPr="009475AF">
        <w:rPr>
          <w:color w:val="000000" w:themeColor="text1"/>
        </w:rPr>
        <w:t xml:space="preserve"> </w:t>
      </w:r>
      <w:r w:rsidR="00445B91" w:rsidRPr="009475AF">
        <w:rPr>
          <w:color w:val="000000" w:themeColor="text1"/>
        </w:rPr>
        <w:t>result in</w:t>
      </w:r>
      <w:r w:rsidRPr="009475AF">
        <w:rPr>
          <w:color w:val="000000" w:themeColor="text1"/>
        </w:rPr>
        <w:t xml:space="preserve"> persistent </w:t>
      </w:r>
      <w:r w:rsidR="00445B91" w:rsidRPr="009475AF">
        <w:rPr>
          <w:color w:val="000000" w:themeColor="text1"/>
        </w:rPr>
        <w:t>benefit</w:t>
      </w:r>
      <w:r w:rsidRPr="009475AF">
        <w:rPr>
          <w:color w:val="000000" w:themeColor="text1"/>
        </w:rPr>
        <w:t xml:space="preserve"> after discontinuation of treatment.</w:t>
      </w:r>
      <w:r w:rsidRPr="009475AF">
        <w:rPr>
          <w:rStyle w:val="FootnoteReference"/>
          <w:color w:val="000000" w:themeColor="text1"/>
        </w:rPr>
        <w:footnoteReference w:id="5"/>
      </w:r>
      <w:r w:rsidRPr="009475AF">
        <w:rPr>
          <w:color w:val="000000" w:themeColor="text1"/>
        </w:rPr>
        <w:t xml:space="preserve"> </w:t>
      </w:r>
      <w:r w:rsidR="00445B91" w:rsidRPr="009475AF">
        <w:rPr>
          <w:color w:val="000000" w:themeColor="text1"/>
        </w:rPr>
        <w:t xml:space="preserve">Similar effects have not been established for dupilumab. </w:t>
      </w:r>
    </w:p>
    <w:p w14:paraId="3F183881" w14:textId="1110034F" w:rsidR="002B293D" w:rsidRPr="009475AF" w:rsidRDefault="00092F84" w:rsidP="00F058A9">
      <w:pPr>
        <w:pStyle w:val="3-BodyText"/>
        <w:rPr>
          <w:color w:val="000000" w:themeColor="text1"/>
        </w:rPr>
      </w:pPr>
      <w:r w:rsidRPr="009475AF">
        <w:rPr>
          <w:color w:val="000000" w:themeColor="text1"/>
        </w:rPr>
        <w:t>The o</w:t>
      </w:r>
      <w:r w:rsidR="001C3E5E" w:rsidRPr="009475AF">
        <w:rPr>
          <w:color w:val="000000" w:themeColor="text1"/>
        </w:rPr>
        <w:t xml:space="preserve">malizumab dose is determined </w:t>
      </w:r>
      <w:r w:rsidR="003707F2" w:rsidRPr="009475AF">
        <w:rPr>
          <w:color w:val="000000" w:themeColor="text1"/>
        </w:rPr>
        <w:t xml:space="preserve">mainly </w:t>
      </w:r>
      <w:r w:rsidR="001C3E5E" w:rsidRPr="009475AF">
        <w:rPr>
          <w:color w:val="000000" w:themeColor="text1"/>
        </w:rPr>
        <w:t xml:space="preserve">by baseline total serum IgE </w:t>
      </w:r>
      <w:r w:rsidR="003707F2" w:rsidRPr="009475AF">
        <w:rPr>
          <w:color w:val="000000" w:themeColor="text1"/>
        </w:rPr>
        <w:t>but also by body weight</w:t>
      </w:r>
      <w:r w:rsidR="001C36C9" w:rsidRPr="009475AF">
        <w:rPr>
          <w:color w:val="000000" w:themeColor="text1"/>
        </w:rPr>
        <w:t>, and the bands of IgE level and of weight are narrow.</w:t>
      </w:r>
      <w:r w:rsidR="003707F2" w:rsidRPr="009475AF">
        <w:rPr>
          <w:color w:val="000000" w:themeColor="text1"/>
        </w:rPr>
        <w:t xml:space="preserve"> Patients with higher baseline IgE require 2</w:t>
      </w:r>
      <w:r w:rsidR="003707F2" w:rsidRPr="009475AF">
        <w:rPr>
          <w:color w:val="000000" w:themeColor="text1"/>
          <w:vertAlign w:val="superscript"/>
        </w:rPr>
        <w:t>nd</w:t>
      </w:r>
      <w:r w:rsidR="003707F2" w:rsidRPr="009475AF">
        <w:rPr>
          <w:color w:val="000000" w:themeColor="text1"/>
        </w:rPr>
        <w:t xml:space="preserve"> weekly administration because the higher dose cannot be given in a single 4</w:t>
      </w:r>
      <w:r w:rsidR="001A3A72" w:rsidRPr="009475AF">
        <w:rPr>
          <w:color w:val="000000" w:themeColor="text1"/>
          <w:vertAlign w:val="superscript"/>
        </w:rPr>
        <w:t>th</w:t>
      </w:r>
      <w:r w:rsidR="001A3A72" w:rsidRPr="009475AF">
        <w:rPr>
          <w:color w:val="000000" w:themeColor="text1"/>
        </w:rPr>
        <w:t xml:space="preserve"> </w:t>
      </w:r>
      <w:r w:rsidR="003707F2" w:rsidRPr="009475AF">
        <w:rPr>
          <w:color w:val="000000" w:themeColor="text1"/>
        </w:rPr>
        <w:t>weekly injection.</w:t>
      </w:r>
      <w:r w:rsidR="003707F2" w:rsidRPr="009475AF">
        <w:rPr>
          <w:rStyle w:val="FootnoteReference"/>
          <w:color w:val="000000" w:themeColor="text1"/>
        </w:rPr>
        <w:footnoteReference w:id="6"/>
      </w:r>
      <w:r w:rsidR="003707F2" w:rsidRPr="009475AF">
        <w:rPr>
          <w:color w:val="000000" w:themeColor="text1"/>
        </w:rPr>
        <w:t xml:space="preserve"> </w:t>
      </w:r>
      <w:r w:rsidR="00D44B9E" w:rsidRPr="009475AF">
        <w:rPr>
          <w:color w:val="000000" w:themeColor="text1"/>
        </w:rPr>
        <w:t>The d</w:t>
      </w:r>
      <w:r w:rsidR="003707F2" w:rsidRPr="009475AF">
        <w:rPr>
          <w:color w:val="000000" w:themeColor="text1"/>
        </w:rPr>
        <w:t>upilumab dose is determined b</w:t>
      </w:r>
      <w:r w:rsidR="00D44B9E" w:rsidRPr="009475AF">
        <w:rPr>
          <w:color w:val="000000" w:themeColor="text1"/>
        </w:rPr>
        <w:t>ased on</w:t>
      </w:r>
      <w:r w:rsidR="003707F2" w:rsidRPr="009475AF">
        <w:rPr>
          <w:color w:val="000000" w:themeColor="text1"/>
        </w:rPr>
        <w:t xml:space="preserve"> body weight only </w:t>
      </w:r>
      <w:r w:rsidR="00D44B9E" w:rsidRPr="009475AF">
        <w:rPr>
          <w:color w:val="000000" w:themeColor="text1"/>
        </w:rPr>
        <w:t>with</w:t>
      </w:r>
      <w:r w:rsidR="003707F2" w:rsidRPr="009475AF">
        <w:rPr>
          <w:color w:val="000000" w:themeColor="text1"/>
        </w:rPr>
        <w:t xml:space="preserve"> three weight bands (15-30 kg, 30-60 kg, and &gt; 60 kg)</w:t>
      </w:r>
      <w:r w:rsidR="00F4206D" w:rsidRPr="009475AF">
        <w:rPr>
          <w:color w:val="000000" w:themeColor="text1"/>
        </w:rPr>
        <w:t xml:space="preserve">. </w:t>
      </w:r>
    </w:p>
    <w:p w14:paraId="15E0F6AD" w14:textId="04E778F6" w:rsidR="003707F2" w:rsidRPr="009475AF" w:rsidRDefault="003707F2" w:rsidP="00F058A9">
      <w:pPr>
        <w:pStyle w:val="3-BodyText"/>
        <w:rPr>
          <w:color w:val="000000" w:themeColor="text1"/>
        </w:rPr>
      </w:pPr>
      <w:r w:rsidRPr="009475AF">
        <w:rPr>
          <w:color w:val="000000" w:themeColor="text1"/>
        </w:rPr>
        <w:t>The first three doses of omalizum</w:t>
      </w:r>
      <w:r w:rsidR="00D40BAE" w:rsidRPr="009475AF">
        <w:rPr>
          <w:color w:val="000000" w:themeColor="text1"/>
        </w:rPr>
        <w:t>a</w:t>
      </w:r>
      <w:r w:rsidRPr="009475AF">
        <w:rPr>
          <w:color w:val="000000" w:themeColor="text1"/>
        </w:rPr>
        <w:t>b must be given under medical supervision</w:t>
      </w:r>
      <w:r w:rsidR="001A3A72" w:rsidRPr="009475AF">
        <w:rPr>
          <w:color w:val="000000" w:themeColor="text1"/>
        </w:rPr>
        <w:t>, including a period of observation after the dose is given,</w:t>
      </w:r>
      <w:r w:rsidRPr="009475AF">
        <w:rPr>
          <w:color w:val="000000" w:themeColor="text1"/>
        </w:rPr>
        <w:t xml:space="preserve"> because of the risk of anaphylaxis</w:t>
      </w:r>
      <w:r w:rsidR="001C36C9" w:rsidRPr="009475AF">
        <w:rPr>
          <w:color w:val="000000" w:themeColor="text1"/>
        </w:rPr>
        <w:t>.</w:t>
      </w:r>
      <w:r w:rsidR="001C36C9" w:rsidRPr="009475AF">
        <w:rPr>
          <w:rStyle w:val="FootnoteReference"/>
          <w:color w:val="000000" w:themeColor="text1"/>
        </w:rPr>
        <w:footnoteReference w:id="7"/>
      </w:r>
      <w:r w:rsidR="001C36C9" w:rsidRPr="009475AF">
        <w:rPr>
          <w:color w:val="000000" w:themeColor="text1"/>
        </w:rPr>
        <w:t xml:space="preserve"> This is not required for dupilumab. </w:t>
      </w:r>
    </w:p>
    <w:p w14:paraId="4DFDB1B5" w14:textId="664B9F05" w:rsidR="002F74D4" w:rsidRPr="009475AF" w:rsidRDefault="002F74D4" w:rsidP="002F74D4">
      <w:pPr>
        <w:pStyle w:val="3-BodyText"/>
        <w:numPr>
          <w:ilvl w:val="0"/>
          <w:numId w:val="0"/>
        </w:numPr>
        <w:ind w:left="720"/>
        <w:rPr>
          <w:i/>
          <w:iCs/>
          <w:color w:val="000000" w:themeColor="text1"/>
        </w:rPr>
      </w:pPr>
      <w:r w:rsidRPr="009475AF">
        <w:rPr>
          <w:i/>
          <w:iCs/>
          <w:color w:val="000000" w:themeColor="text1"/>
        </w:rPr>
        <w:t>For more detail on PBAC’s view, see section 7 PBAC outcome.</w:t>
      </w:r>
    </w:p>
    <w:p w14:paraId="51E5AE96" w14:textId="0484A67C" w:rsidR="00B50DB8" w:rsidRPr="009475AF" w:rsidRDefault="00B50DB8" w:rsidP="004E18E9">
      <w:pPr>
        <w:pStyle w:val="2-SectionHeading"/>
      </w:pPr>
      <w:bookmarkStart w:id="12" w:name="_Toc156912914"/>
      <w:r w:rsidRPr="009475AF">
        <w:t>Comparator</w:t>
      </w:r>
      <w:bookmarkEnd w:id="12"/>
    </w:p>
    <w:p w14:paraId="642DE064" w14:textId="0F3CCAC0" w:rsidR="00B74B56" w:rsidRPr="009475AF" w:rsidRDefault="00ED5BD4" w:rsidP="002E4F02">
      <w:pPr>
        <w:pStyle w:val="3-BodyText"/>
      </w:pPr>
      <w:r w:rsidRPr="009475AF">
        <w:t xml:space="preserve">The submission nominated </w:t>
      </w:r>
      <w:r w:rsidR="003D1267" w:rsidRPr="009475AF">
        <w:t>omalizumab</w:t>
      </w:r>
      <w:r w:rsidRPr="009475AF">
        <w:t xml:space="preserve"> as the comparator</w:t>
      </w:r>
      <w:r w:rsidR="00805A56" w:rsidRPr="009475AF">
        <w:t xml:space="preserve"> for </w:t>
      </w:r>
      <w:r w:rsidR="00445B91" w:rsidRPr="009475AF">
        <w:t xml:space="preserve">Subgroup A </w:t>
      </w:r>
      <w:r w:rsidR="00805A56" w:rsidRPr="009475AF">
        <w:t xml:space="preserve">patients, and placebo as the comparator for </w:t>
      </w:r>
      <w:r w:rsidR="00445B91" w:rsidRPr="009475AF">
        <w:t>Subgroup B patients</w:t>
      </w:r>
      <w:r w:rsidR="009475AF">
        <w:t>.</w:t>
      </w:r>
      <w:r w:rsidR="002B14BB" w:rsidRPr="009475AF">
        <w:t xml:space="preserve"> </w:t>
      </w:r>
    </w:p>
    <w:p w14:paraId="47D9B48A" w14:textId="2A3AEF3C" w:rsidR="002C2775" w:rsidRPr="009475AF" w:rsidRDefault="00B74B56" w:rsidP="002E4F02">
      <w:pPr>
        <w:pStyle w:val="3-BodyText"/>
      </w:pPr>
      <w:r w:rsidRPr="009475AF">
        <w:t>The G</w:t>
      </w:r>
      <w:r w:rsidR="001A3A72" w:rsidRPr="009475AF">
        <w:t>lobal Initiative for Asthma (GINA)</w:t>
      </w:r>
      <w:r w:rsidRPr="009475AF">
        <w:t xml:space="preserve"> guidelines</w:t>
      </w:r>
      <w:r w:rsidR="00F81435" w:rsidRPr="009475AF">
        <w:t xml:space="preserve"> (though not the overview of the GINA guidelines presented in the submission)</w:t>
      </w:r>
      <w:r w:rsidRPr="009475AF">
        <w:t xml:space="preserve"> suggest that</w:t>
      </w:r>
      <w:r w:rsidR="00984066" w:rsidRPr="009475AF">
        <w:t>,</w:t>
      </w:r>
      <w:r w:rsidRPr="009475AF">
        <w:t xml:space="preserve"> in children aged 6 years or over</w:t>
      </w:r>
      <w:r w:rsidR="00984066" w:rsidRPr="009475AF">
        <w:t>,</w:t>
      </w:r>
      <w:r w:rsidRPr="009475AF">
        <w:t xml:space="preserve"> tiotropium, a long-acting muscarinic antagonist (LAMA) is an alternative to biological treatments at Step 5</w:t>
      </w:r>
      <w:r w:rsidR="00CD75EA" w:rsidRPr="009475AF">
        <w:t>.</w:t>
      </w:r>
      <w:r w:rsidRPr="009475AF">
        <w:rPr>
          <w:rStyle w:val="FootnoteReference"/>
        </w:rPr>
        <w:footnoteReference w:id="8"/>
      </w:r>
      <w:r w:rsidR="004A1B15" w:rsidRPr="009475AF">
        <w:t xml:space="preserve"> </w:t>
      </w:r>
      <w:r w:rsidR="00CD75EA" w:rsidRPr="009475AF">
        <w:t xml:space="preserve">Tiotropium </w:t>
      </w:r>
      <w:r w:rsidR="004A1B15" w:rsidRPr="009475AF">
        <w:t xml:space="preserve">is PBS-listed for treatment of poorly-controlled </w:t>
      </w:r>
      <w:r w:rsidR="00BA3CBA" w:rsidRPr="009475AF">
        <w:t xml:space="preserve">severe </w:t>
      </w:r>
      <w:r w:rsidR="004A1B15" w:rsidRPr="009475AF">
        <w:t>asthma despite use of ICS-LABA in patients aged 6 years</w:t>
      </w:r>
      <w:r w:rsidR="00BA3CBA" w:rsidRPr="009475AF">
        <w:t xml:space="preserve"> and over</w:t>
      </w:r>
      <w:r w:rsidR="00CD75EA" w:rsidRPr="009475AF">
        <w:t xml:space="preserve">, and therefore </w:t>
      </w:r>
      <w:r w:rsidR="00D8696C" w:rsidRPr="009475AF">
        <w:t xml:space="preserve">may </w:t>
      </w:r>
      <w:r w:rsidR="00CD75EA" w:rsidRPr="009475AF">
        <w:t>be an appropriate comparator</w:t>
      </w:r>
      <w:r w:rsidR="004A1B15" w:rsidRPr="009475AF">
        <w:t xml:space="preserve">. </w:t>
      </w:r>
    </w:p>
    <w:p w14:paraId="0F645809" w14:textId="31F88F37" w:rsidR="005923AB" w:rsidRPr="009475AF" w:rsidRDefault="005923AB" w:rsidP="002E4F02">
      <w:pPr>
        <w:pStyle w:val="3-BodyText"/>
      </w:pPr>
      <w:r w:rsidRPr="009475AF">
        <w:rPr>
          <w:iCs/>
        </w:rPr>
        <w:t>The PSCR stated that tiotropium is not an appropriate comparator given that it can be used at Step 4 of the GINA guidelines in patients who have only received medium-dose ICS and not high-dose ICS, and given that omalizumab was not considered an appropriate comparator when tiotropium was considered for paediatric patients with severe uncontrolled asthma in March 2018.</w:t>
      </w:r>
      <w:r w:rsidR="00987FCD" w:rsidRPr="009475AF">
        <w:rPr>
          <w:iCs/>
        </w:rPr>
        <w:t xml:space="preserve"> The ESC considered tiotropium could be considered an appropriate additional comparator, noting potential use of tiotropium at Step 4 of the GINA guidelines does not preclude its use at Step 5.</w:t>
      </w:r>
    </w:p>
    <w:p w14:paraId="1B9B0296" w14:textId="1E309F3E" w:rsidR="001C2A37" w:rsidRPr="009475AF" w:rsidRDefault="001C2A37" w:rsidP="001C2A37">
      <w:pPr>
        <w:pStyle w:val="3-BodyText"/>
        <w:rPr>
          <w:iCs/>
        </w:rPr>
      </w:pPr>
      <w:r w:rsidRPr="009475AF">
        <w:rPr>
          <w:iCs/>
        </w:rPr>
        <w:t xml:space="preserve">In the context of the cost-minimisation approach taken by the submission, a further consideration for PBAC is that, under Section 101(3B) of the </w:t>
      </w:r>
      <w:r w:rsidRPr="009475AF">
        <w:rPr>
          <w:i/>
        </w:rPr>
        <w:t>National Health Act 1953</w:t>
      </w:r>
      <w:r w:rsidRPr="009475AF">
        <w:rPr>
          <w:iCs/>
        </w:rPr>
        <w:t xml:space="preserve">, when the proposed medicine is substantially more costly than an alternative therapy, </w:t>
      </w:r>
      <w:r w:rsidRPr="009475AF">
        <w:rPr>
          <w:iCs/>
        </w:rPr>
        <w:lastRenderedPageBreak/>
        <w:t>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r w:rsidR="008C4919" w:rsidRPr="009475AF">
        <w:t xml:space="preserve"> </w:t>
      </w:r>
      <w:r w:rsidR="008C4919" w:rsidRPr="009475AF">
        <w:rPr>
          <w:iCs/>
          <w:snapToGrid/>
        </w:rPr>
        <w:t>For the requested population, the following PBS-listed medicines may be considered alternative therapies because they could be replaced in practice: omalizumab and tiotropium.</w:t>
      </w:r>
    </w:p>
    <w:p w14:paraId="3FCAEE70" w14:textId="0360B57C" w:rsidR="002F74D4" w:rsidRPr="009475AF" w:rsidRDefault="002F74D4" w:rsidP="002F74D4">
      <w:pPr>
        <w:pStyle w:val="3-BodyText"/>
        <w:numPr>
          <w:ilvl w:val="0"/>
          <w:numId w:val="0"/>
        </w:numPr>
        <w:ind w:left="720"/>
        <w:rPr>
          <w:i/>
        </w:rPr>
      </w:pPr>
      <w:r w:rsidRPr="009475AF">
        <w:rPr>
          <w:i/>
        </w:rPr>
        <w:t>For more detail on PBAC’s view, see section 7 PBAC outcome.</w:t>
      </w:r>
    </w:p>
    <w:p w14:paraId="7F9C27C8" w14:textId="77777777" w:rsidR="00223D5A" w:rsidRPr="009475AF" w:rsidRDefault="00223D5A" w:rsidP="00223D5A">
      <w:pPr>
        <w:pStyle w:val="2-SectionHeading"/>
      </w:pPr>
      <w:bookmarkStart w:id="13" w:name="_Toc156912915"/>
      <w:bookmarkStart w:id="14" w:name="_Toc22897640"/>
      <w:r w:rsidRPr="009475AF">
        <w:t>Consideration of the evidence</w:t>
      </w:r>
      <w:bookmarkEnd w:id="13"/>
    </w:p>
    <w:p w14:paraId="154EF9C5" w14:textId="77777777" w:rsidR="00BC0976" w:rsidRPr="009475AF" w:rsidRDefault="00BC0976" w:rsidP="00FE66A1">
      <w:pPr>
        <w:pStyle w:val="4-SubsectionHeading"/>
      </w:pPr>
      <w:bookmarkStart w:id="15" w:name="_Hlk76375935"/>
      <w:bookmarkStart w:id="16" w:name="_Toc156912916"/>
      <w:r w:rsidRPr="009475AF">
        <w:t>Sponsor hearing</w:t>
      </w:r>
    </w:p>
    <w:p w14:paraId="11D0AAD3" w14:textId="23A92779" w:rsidR="00BC0976" w:rsidRPr="009475AF" w:rsidRDefault="00BC0976" w:rsidP="00BC0976">
      <w:pPr>
        <w:widowControl w:val="0"/>
        <w:numPr>
          <w:ilvl w:val="1"/>
          <w:numId w:val="1"/>
        </w:numPr>
        <w:spacing w:after="120"/>
        <w:rPr>
          <w:rFonts w:asciiTheme="minorHAnsi" w:hAnsiTheme="minorHAnsi"/>
          <w:bCs/>
          <w:snapToGrid w:val="0"/>
        </w:rPr>
      </w:pPr>
      <w:bookmarkStart w:id="17" w:name="_Hlk76382586"/>
      <w:r w:rsidRPr="009475AF">
        <w:rPr>
          <w:rFonts w:asciiTheme="minorHAnsi" w:hAnsiTheme="minorHAnsi"/>
          <w:bCs/>
          <w:snapToGrid w:val="0"/>
        </w:rPr>
        <w:t>The sponsor requested a hearing for this item</w:t>
      </w:r>
      <w:r w:rsidR="009475AF">
        <w:rPr>
          <w:rFonts w:asciiTheme="minorHAnsi" w:hAnsiTheme="minorHAnsi"/>
          <w:bCs/>
          <w:snapToGrid w:val="0"/>
        </w:rPr>
        <w:t xml:space="preserve">. </w:t>
      </w:r>
      <w:r w:rsidRPr="009475AF">
        <w:rPr>
          <w:rFonts w:asciiTheme="minorHAnsi" w:hAnsiTheme="minorHAnsi"/>
          <w:bCs/>
          <w:snapToGrid w:val="0"/>
        </w:rPr>
        <w:t xml:space="preserve">The clinician </w:t>
      </w:r>
      <w:r w:rsidR="00FB1A8E" w:rsidRPr="009475AF">
        <w:rPr>
          <w:rFonts w:asciiTheme="minorHAnsi" w:hAnsiTheme="minorHAnsi"/>
          <w:bCs/>
          <w:snapToGrid w:val="0"/>
        </w:rPr>
        <w:t>d</w:t>
      </w:r>
      <w:r w:rsidRPr="009475AF">
        <w:rPr>
          <w:rFonts w:asciiTheme="minorHAnsi" w:hAnsiTheme="minorHAnsi"/>
          <w:bCs/>
          <w:snapToGrid w:val="0"/>
        </w:rPr>
        <w:t xml:space="preserve">iscussed </w:t>
      </w:r>
      <w:r w:rsidR="00FB1A8E" w:rsidRPr="009475AF">
        <w:rPr>
          <w:rFonts w:asciiTheme="minorHAnsi" w:hAnsiTheme="minorHAnsi"/>
          <w:bCs/>
          <w:snapToGrid w:val="0"/>
        </w:rPr>
        <w:t>the overlapping endotypes and phenotypes of Type 2 asthma that are identified by clinical differences and combinations of biomarkers</w:t>
      </w:r>
      <w:r w:rsidR="00AF51D1" w:rsidRPr="009475AF">
        <w:rPr>
          <w:rFonts w:asciiTheme="minorHAnsi" w:hAnsiTheme="minorHAnsi"/>
          <w:bCs/>
          <w:snapToGrid w:val="0"/>
        </w:rPr>
        <w:t>, noting that</w:t>
      </w:r>
      <w:r w:rsidR="00AF51D1" w:rsidRPr="009475AF">
        <w:t xml:space="preserve"> </w:t>
      </w:r>
      <w:r w:rsidR="00AF51D1" w:rsidRPr="009475AF">
        <w:rPr>
          <w:rFonts w:asciiTheme="minorHAnsi" w:hAnsiTheme="minorHAnsi"/>
          <w:bCs/>
          <w:snapToGrid w:val="0"/>
        </w:rPr>
        <w:t xml:space="preserve">whilst IgE is a marker of allergic asthma, it may be low in other forms of Type 2 asthma characterised by the presence of other biomarkers such as eosinophils and FeNO. </w:t>
      </w:r>
      <w:r w:rsidR="00344793" w:rsidRPr="009475AF">
        <w:rPr>
          <w:rFonts w:asciiTheme="minorHAnsi" w:hAnsiTheme="minorHAnsi"/>
          <w:bCs/>
          <w:snapToGrid w:val="0"/>
        </w:rPr>
        <w:t>The clinician stated that there exists a small number of patients with uncontrolled asthma with low IgE in the presence of other elevated biomarkers for Type 2 asthma who would benefit from IL-4/I</w:t>
      </w:r>
      <w:r w:rsidR="00BF5BC4" w:rsidRPr="009475AF">
        <w:rPr>
          <w:rFonts w:asciiTheme="minorHAnsi" w:hAnsiTheme="minorHAnsi"/>
          <w:bCs/>
          <w:snapToGrid w:val="0"/>
        </w:rPr>
        <w:t>L</w:t>
      </w:r>
      <w:r w:rsidR="00344793" w:rsidRPr="009475AF">
        <w:rPr>
          <w:rFonts w:asciiTheme="minorHAnsi" w:hAnsiTheme="minorHAnsi"/>
          <w:bCs/>
          <w:snapToGrid w:val="0"/>
        </w:rPr>
        <w:t xml:space="preserve">-13 blockade with dupilumab. </w:t>
      </w:r>
      <w:r w:rsidRPr="009475AF">
        <w:rPr>
          <w:rFonts w:asciiTheme="minorHAnsi" w:hAnsiTheme="minorHAnsi"/>
          <w:bCs/>
          <w:snapToGrid w:val="0"/>
        </w:rPr>
        <w:t>The PBAC considered that the hearing was informative as it provided a clinical perspective on treating this disease.</w:t>
      </w:r>
    </w:p>
    <w:bookmarkEnd w:id="17"/>
    <w:p w14:paraId="2078C119" w14:textId="77777777" w:rsidR="00BC0976" w:rsidRPr="009475AF" w:rsidRDefault="00BC0976" w:rsidP="00FE66A1">
      <w:pPr>
        <w:pStyle w:val="4-SubsectionHeading"/>
      </w:pPr>
      <w:r w:rsidRPr="009475AF">
        <w:t>Consumer comments</w:t>
      </w:r>
    </w:p>
    <w:p w14:paraId="5394A5E3" w14:textId="610A5EE0" w:rsidR="00BC0976" w:rsidRPr="009475AF" w:rsidRDefault="00BC0976" w:rsidP="00BC0976">
      <w:pPr>
        <w:widowControl w:val="0"/>
        <w:numPr>
          <w:ilvl w:val="1"/>
          <w:numId w:val="1"/>
        </w:numPr>
        <w:spacing w:after="120"/>
        <w:rPr>
          <w:rFonts w:asciiTheme="minorHAnsi" w:hAnsiTheme="minorHAnsi"/>
          <w:bCs/>
          <w:snapToGrid w:val="0"/>
        </w:rPr>
      </w:pPr>
      <w:bookmarkStart w:id="18" w:name="_Hlk76382618"/>
      <w:r w:rsidRPr="009475AF">
        <w:rPr>
          <w:rFonts w:asciiTheme="minorHAnsi" w:hAnsiTheme="minorHAnsi"/>
          <w:bCs/>
          <w:snapToGrid w:val="0"/>
        </w:rPr>
        <w:t>The PBAC noted and welcomed the input from health care professionals (</w:t>
      </w:r>
      <w:r w:rsidR="00376721" w:rsidRPr="009475AF">
        <w:rPr>
          <w:rFonts w:asciiTheme="minorHAnsi" w:hAnsiTheme="minorHAnsi"/>
          <w:bCs/>
          <w:snapToGrid w:val="0"/>
        </w:rPr>
        <w:t>2</w:t>
      </w:r>
      <w:r w:rsidRPr="009475AF">
        <w:rPr>
          <w:rFonts w:asciiTheme="minorHAnsi" w:hAnsiTheme="minorHAnsi"/>
          <w:bCs/>
          <w:snapToGrid w:val="0"/>
        </w:rPr>
        <w:t>) and organisations (</w:t>
      </w:r>
      <w:r w:rsidR="00376721" w:rsidRPr="009475AF">
        <w:rPr>
          <w:rFonts w:asciiTheme="minorHAnsi" w:hAnsiTheme="minorHAnsi"/>
          <w:bCs/>
          <w:snapToGrid w:val="0"/>
        </w:rPr>
        <w:t>3</w:t>
      </w:r>
      <w:r w:rsidRPr="009475AF">
        <w:rPr>
          <w:rFonts w:asciiTheme="minorHAnsi" w:hAnsiTheme="minorHAnsi"/>
          <w:bCs/>
          <w:snapToGrid w:val="0"/>
        </w:rPr>
        <w:t>) via the Consumer Comments facility on the PBS website</w:t>
      </w:r>
      <w:r w:rsidR="009475AF">
        <w:rPr>
          <w:rFonts w:asciiTheme="minorHAnsi" w:hAnsiTheme="minorHAnsi"/>
          <w:bCs/>
          <w:snapToGrid w:val="0"/>
        </w:rPr>
        <w:t xml:space="preserve">. </w:t>
      </w:r>
      <w:r w:rsidRPr="009475AF">
        <w:rPr>
          <w:rFonts w:asciiTheme="minorHAnsi" w:hAnsiTheme="minorHAnsi"/>
          <w:bCs/>
          <w:snapToGrid w:val="0"/>
        </w:rPr>
        <w:t xml:space="preserve">The comments described a range of benefits of treatment with </w:t>
      </w:r>
      <w:r w:rsidR="00376721" w:rsidRPr="009475AF">
        <w:rPr>
          <w:rFonts w:asciiTheme="minorHAnsi" w:hAnsiTheme="minorHAnsi"/>
          <w:bCs/>
          <w:snapToGrid w:val="0"/>
        </w:rPr>
        <w:t>dupilumab</w:t>
      </w:r>
      <w:r w:rsidRPr="009475AF">
        <w:rPr>
          <w:rFonts w:asciiTheme="minorHAnsi" w:hAnsiTheme="minorHAnsi"/>
          <w:bCs/>
          <w:snapToGrid w:val="0"/>
        </w:rPr>
        <w:t xml:space="preserve"> including </w:t>
      </w:r>
      <w:r w:rsidR="00584088" w:rsidRPr="009475AF">
        <w:rPr>
          <w:rFonts w:asciiTheme="minorHAnsi" w:hAnsiTheme="minorHAnsi"/>
          <w:bCs/>
          <w:snapToGrid w:val="0"/>
        </w:rPr>
        <w:t>the potential for</w:t>
      </w:r>
      <w:r w:rsidR="00147F9A" w:rsidRPr="009475AF">
        <w:rPr>
          <w:rFonts w:asciiTheme="minorHAnsi" w:hAnsiTheme="minorHAnsi"/>
          <w:bCs/>
          <w:snapToGrid w:val="0"/>
        </w:rPr>
        <w:t>:</w:t>
      </w:r>
      <w:r w:rsidR="00584088" w:rsidRPr="009475AF">
        <w:rPr>
          <w:rFonts w:asciiTheme="minorHAnsi" w:hAnsiTheme="minorHAnsi"/>
          <w:bCs/>
          <w:snapToGrid w:val="0"/>
        </w:rPr>
        <w:t xml:space="preserve"> efficacy in patients with either IgE-mediated asthma or </w:t>
      </w:r>
      <w:r w:rsidR="00C55149" w:rsidRPr="009475AF">
        <w:rPr>
          <w:rFonts w:asciiTheme="minorHAnsi" w:hAnsiTheme="minorHAnsi"/>
          <w:bCs/>
          <w:snapToGrid w:val="0"/>
        </w:rPr>
        <w:t>eosinophilic</w:t>
      </w:r>
      <w:r w:rsidR="00584088" w:rsidRPr="009475AF">
        <w:rPr>
          <w:rFonts w:asciiTheme="minorHAnsi" w:hAnsiTheme="minorHAnsi"/>
          <w:bCs/>
          <w:snapToGrid w:val="0"/>
        </w:rPr>
        <w:t xml:space="preserve"> asthma, a lower risk of anaphylaxis, additional benefit for patients who also have </w:t>
      </w:r>
      <w:r w:rsidR="006D020E" w:rsidRPr="009475AF">
        <w:rPr>
          <w:rFonts w:asciiTheme="minorHAnsi" w:hAnsiTheme="minorHAnsi"/>
          <w:bCs/>
          <w:snapToGrid w:val="0"/>
        </w:rPr>
        <w:t>atopic dermatitis</w:t>
      </w:r>
      <w:r w:rsidR="00584088" w:rsidRPr="009475AF">
        <w:rPr>
          <w:rFonts w:asciiTheme="minorHAnsi" w:hAnsiTheme="minorHAnsi"/>
          <w:bCs/>
          <w:snapToGrid w:val="0"/>
        </w:rPr>
        <w:t xml:space="preserve">, </w:t>
      </w:r>
      <w:r w:rsidR="00981D4D" w:rsidRPr="009475AF">
        <w:rPr>
          <w:rFonts w:asciiTheme="minorHAnsi" w:hAnsiTheme="minorHAnsi"/>
          <w:bCs/>
          <w:snapToGrid w:val="0"/>
        </w:rPr>
        <w:t xml:space="preserve">a decreased risk of anaphylaxis and allergy allowing for home initiation instead of hospital for the first three treatments, </w:t>
      </w:r>
      <w:r w:rsidR="00B33AB9" w:rsidRPr="009475AF">
        <w:rPr>
          <w:rFonts w:asciiTheme="minorHAnsi" w:hAnsiTheme="minorHAnsi"/>
          <w:bCs/>
          <w:snapToGrid w:val="0"/>
        </w:rPr>
        <w:t>a lower injection frequency</w:t>
      </w:r>
      <w:r w:rsidR="0027576F" w:rsidRPr="009475AF">
        <w:rPr>
          <w:rFonts w:asciiTheme="minorHAnsi" w:hAnsiTheme="minorHAnsi"/>
          <w:bCs/>
          <w:snapToGrid w:val="0"/>
        </w:rPr>
        <w:t xml:space="preserve">, </w:t>
      </w:r>
      <w:r w:rsidR="00FE65D7">
        <w:rPr>
          <w:rFonts w:asciiTheme="minorHAnsi" w:hAnsiTheme="minorHAnsi"/>
          <w:bCs/>
          <w:snapToGrid w:val="0"/>
        </w:rPr>
        <w:t xml:space="preserve">the potential for a reduction in oral corticosteroid use, </w:t>
      </w:r>
      <w:r w:rsidR="00584088" w:rsidRPr="009475AF">
        <w:rPr>
          <w:rFonts w:asciiTheme="minorHAnsi" w:hAnsiTheme="minorHAnsi"/>
          <w:bCs/>
          <w:snapToGrid w:val="0"/>
        </w:rPr>
        <w:t xml:space="preserve">and improved quality of life. </w:t>
      </w:r>
    </w:p>
    <w:p w14:paraId="08ACCC16" w14:textId="66910BFC" w:rsidR="00BC0976" w:rsidRPr="009475AF" w:rsidRDefault="00BC0976" w:rsidP="00BC0976">
      <w:pPr>
        <w:widowControl w:val="0"/>
        <w:numPr>
          <w:ilvl w:val="1"/>
          <w:numId w:val="1"/>
        </w:numPr>
        <w:spacing w:after="120"/>
        <w:rPr>
          <w:rFonts w:asciiTheme="minorHAnsi" w:hAnsiTheme="minorHAnsi"/>
          <w:bCs/>
          <w:snapToGrid w:val="0"/>
        </w:rPr>
      </w:pPr>
      <w:r w:rsidRPr="009475AF">
        <w:rPr>
          <w:rFonts w:asciiTheme="minorHAnsi" w:hAnsiTheme="minorHAnsi"/>
          <w:bCs/>
          <w:snapToGrid w:val="0"/>
        </w:rPr>
        <w:t xml:space="preserve">The PBAC noted the advice received from </w:t>
      </w:r>
      <w:r w:rsidR="00FB1A8E" w:rsidRPr="009475AF">
        <w:rPr>
          <w:rFonts w:asciiTheme="minorHAnsi" w:hAnsiTheme="minorHAnsi"/>
          <w:bCs/>
          <w:snapToGrid w:val="0"/>
        </w:rPr>
        <w:t>Asthma Australia</w:t>
      </w:r>
      <w:r w:rsidR="00B33AB9" w:rsidRPr="009475AF">
        <w:rPr>
          <w:rFonts w:asciiTheme="minorHAnsi" w:hAnsiTheme="minorHAnsi"/>
          <w:bCs/>
          <w:snapToGrid w:val="0"/>
        </w:rPr>
        <w:t>,</w:t>
      </w:r>
      <w:r w:rsidR="00FB1A8E" w:rsidRPr="009475AF">
        <w:rPr>
          <w:rFonts w:asciiTheme="minorHAnsi" w:hAnsiTheme="minorHAnsi"/>
          <w:bCs/>
          <w:snapToGrid w:val="0"/>
        </w:rPr>
        <w:t xml:space="preserve"> </w:t>
      </w:r>
      <w:r w:rsidR="00B33AB9" w:rsidRPr="009475AF">
        <w:rPr>
          <w:rFonts w:asciiTheme="minorHAnsi" w:hAnsiTheme="minorHAnsi"/>
          <w:bCs/>
          <w:snapToGrid w:val="0"/>
        </w:rPr>
        <w:t>t</w:t>
      </w:r>
      <w:r w:rsidR="00FB1A8E" w:rsidRPr="009475AF">
        <w:rPr>
          <w:rFonts w:asciiTheme="minorHAnsi" w:hAnsiTheme="minorHAnsi"/>
          <w:bCs/>
          <w:snapToGrid w:val="0"/>
        </w:rPr>
        <w:t>he Australasian Society of Clinical Immunology and Allergy,</w:t>
      </w:r>
      <w:r w:rsidRPr="009475AF">
        <w:rPr>
          <w:rFonts w:asciiTheme="minorHAnsi" w:hAnsiTheme="minorHAnsi"/>
          <w:bCs/>
          <w:snapToGrid w:val="0"/>
        </w:rPr>
        <w:t xml:space="preserve"> </w:t>
      </w:r>
      <w:r w:rsidR="00B33AB9" w:rsidRPr="009475AF">
        <w:rPr>
          <w:rFonts w:asciiTheme="minorHAnsi" w:hAnsiTheme="minorHAnsi"/>
          <w:bCs/>
          <w:snapToGrid w:val="0"/>
        </w:rPr>
        <w:t xml:space="preserve">and the joint submission from The National Allergy Council and Allergy &amp; Anaphylaxis Australia </w:t>
      </w:r>
      <w:r w:rsidRPr="009475AF">
        <w:rPr>
          <w:rFonts w:asciiTheme="minorHAnsi" w:hAnsiTheme="minorHAnsi"/>
          <w:bCs/>
          <w:snapToGrid w:val="0"/>
        </w:rPr>
        <w:t xml:space="preserve">clarifying the likely use of </w:t>
      </w:r>
      <w:r w:rsidR="00FB1A8E" w:rsidRPr="009475AF">
        <w:rPr>
          <w:rFonts w:asciiTheme="minorHAnsi" w:hAnsiTheme="minorHAnsi"/>
          <w:bCs/>
          <w:snapToGrid w:val="0"/>
        </w:rPr>
        <w:t>dupilumab</w:t>
      </w:r>
      <w:r w:rsidRPr="009475AF">
        <w:rPr>
          <w:rFonts w:asciiTheme="minorHAnsi" w:hAnsiTheme="minorHAnsi"/>
          <w:bCs/>
          <w:snapToGrid w:val="0"/>
        </w:rPr>
        <w:t xml:space="preserve"> in clinical practice</w:t>
      </w:r>
      <w:r w:rsidR="00CE5500" w:rsidRPr="009475AF">
        <w:rPr>
          <w:rFonts w:asciiTheme="minorHAnsi" w:hAnsiTheme="minorHAnsi"/>
          <w:bCs/>
          <w:snapToGrid w:val="0"/>
        </w:rPr>
        <w:t xml:space="preserve"> and supporting the requested listing</w:t>
      </w:r>
      <w:r w:rsidR="009475AF">
        <w:rPr>
          <w:rFonts w:asciiTheme="minorHAnsi" w:hAnsiTheme="minorHAnsi"/>
          <w:bCs/>
          <w:snapToGrid w:val="0"/>
        </w:rPr>
        <w:t xml:space="preserve">. </w:t>
      </w:r>
    </w:p>
    <w:bookmarkEnd w:id="15"/>
    <w:bookmarkEnd w:id="18"/>
    <w:p w14:paraId="609C0765" w14:textId="4C43C727" w:rsidR="00B60939" w:rsidRPr="009475AF" w:rsidRDefault="00B60939" w:rsidP="002E4F02">
      <w:pPr>
        <w:pStyle w:val="4-SubsectionHeading"/>
      </w:pPr>
      <w:r w:rsidRPr="009475AF">
        <w:t xml:space="preserve">Clinical </w:t>
      </w:r>
      <w:r w:rsidR="005A6B39" w:rsidRPr="009475AF">
        <w:t>trials</w:t>
      </w:r>
      <w:bookmarkEnd w:id="14"/>
      <w:bookmarkEnd w:id="16"/>
    </w:p>
    <w:p w14:paraId="6B47AD77" w14:textId="7A64A99A" w:rsidR="00957D67" w:rsidRPr="009475AF" w:rsidRDefault="00A73134" w:rsidP="00CC3432">
      <w:pPr>
        <w:pStyle w:val="3-BodyText"/>
        <w:rPr>
          <w:color w:val="0066FF"/>
        </w:rPr>
      </w:pPr>
      <w:r w:rsidRPr="009475AF">
        <w:rPr>
          <w:snapToGrid/>
        </w:rPr>
        <w:t xml:space="preserve">The submission </w:t>
      </w:r>
      <w:r w:rsidR="00D5243B" w:rsidRPr="009475AF">
        <w:rPr>
          <w:snapToGrid/>
        </w:rPr>
        <w:t>wa</w:t>
      </w:r>
      <w:r w:rsidRPr="009475AF">
        <w:rPr>
          <w:snapToGrid/>
        </w:rPr>
        <w:t xml:space="preserve">s based on </w:t>
      </w:r>
      <w:r w:rsidR="005A6B39" w:rsidRPr="009475AF">
        <w:rPr>
          <w:snapToGrid/>
        </w:rPr>
        <w:t>one randomi</w:t>
      </w:r>
      <w:r w:rsidR="00045161" w:rsidRPr="009475AF">
        <w:rPr>
          <w:snapToGrid/>
        </w:rPr>
        <w:t>s</w:t>
      </w:r>
      <w:r w:rsidR="005A6B39" w:rsidRPr="009475AF">
        <w:rPr>
          <w:snapToGrid/>
        </w:rPr>
        <w:t>ed controlled trial comparing dupilumab to placebo (VOYAGE)</w:t>
      </w:r>
      <w:r w:rsidR="009475AF">
        <w:rPr>
          <w:snapToGrid/>
        </w:rPr>
        <w:t xml:space="preserve">. </w:t>
      </w:r>
    </w:p>
    <w:p w14:paraId="4C039A4A" w14:textId="3246A80E" w:rsidR="005A6B39" w:rsidRPr="009475AF" w:rsidRDefault="005A6B39" w:rsidP="002E4F02">
      <w:pPr>
        <w:pStyle w:val="3-BodyText"/>
        <w:rPr>
          <w:color w:val="0066FF"/>
        </w:rPr>
      </w:pPr>
      <w:r w:rsidRPr="009475AF">
        <w:rPr>
          <w:snapToGrid/>
        </w:rPr>
        <w:t>To support the claim of non-inferiority to omalizumab</w:t>
      </w:r>
      <w:r w:rsidR="0027670F" w:rsidRPr="009475AF">
        <w:rPr>
          <w:snapToGrid/>
        </w:rPr>
        <w:t xml:space="preserve"> in Subgroup A</w:t>
      </w:r>
      <w:r w:rsidR="00984066" w:rsidRPr="009475AF">
        <w:rPr>
          <w:snapToGrid/>
        </w:rPr>
        <w:t xml:space="preserve"> patients</w:t>
      </w:r>
      <w:r w:rsidRPr="009475AF">
        <w:rPr>
          <w:snapToGrid/>
        </w:rPr>
        <w:t>, a</w:t>
      </w:r>
      <w:r w:rsidR="007B16AD" w:rsidRPr="009475AF">
        <w:rPr>
          <w:snapToGrid/>
        </w:rPr>
        <w:t xml:space="preserve">n indirect treatment comparison </w:t>
      </w:r>
      <w:r w:rsidR="00B92111" w:rsidRPr="009475AF">
        <w:rPr>
          <w:snapToGrid/>
        </w:rPr>
        <w:t>comparing</w:t>
      </w:r>
      <w:r w:rsidRPr="009475AF">
        <w:rPr>
          <w:snapToGrid/>
        </w:rPr>
        <w:t xml:space="preserve"> data </w:t>
      </w:r>
      <w:r w:rsidR="00B92111" w:rsidRPr="009475AF">
        <w:rPr>
          <w:snapToGrid/>
        </w:rPr>
        <w:t xml:space="preserve">from a sub-group of VOYAGE patients </w:t>
      </w:r>
      <w:r w:rsidRPr="009475AF">
        <w:rPr>
          <w:snapToGrid/>
        </w:rPr>
        <w:t>with data from a single randomi</w:t>
      </w:r>
      <w:r w:rsidR="0041541A" w:rsidRPr="009475AF">
        <w:rPr>
          <w:snapToGrid/>
        </w:rPr>
        <w:t>s</w:t>
      </w:r>
      <w:r w:rsidRPr="009475AF">
        <w:rPr>
          <w:snapToGrid/>
        </w:rPr>
        <w:t xml:space="preserve">ed controlled trial comparing omalizumab to placebo </w:t>
      </w:r>
      <w:r w:rsidRPr="009475AF">
        <w:rPr>
          <w:snapToGrid/>
        </w:rPr>
        <w:lastRenderedPageBreak/>
        <w:t>(IA</w:t>
      </w:r>
      <w:r w:rsidR="00F95512" w:rsidRPr="009475AF">
        <w:rPr>
          <w:snapToGrid/>
        </w:rPr>
        <w:t>-</w:t>
      </w:r>
      <w:r w:rsidRPr="009475AF">
        <w:rPr>
          <w:snapToGrid/>
        </w:rPr>
        <w:t>05) was presented,</w:t>
      </w:r>
      <w:r w:rsidR="007B16AD" w:rsidRPr="009475AF">
        <w:rPr>
          <w:snapToGrid/>
        </w:rPr>
        <w:t xml:space="preserve"> with placebo as the common </w:t>
      </w:r>
      <w:r w:rsidR="008C4919" w:rsidRPr="009475AF">
        <w:rPr>
          <w:snapToGrid/>
        </w:rPr>
        <w:t>arm</w:t>
      </w:r>
      <w:r w:rsidR="007B16AD" w:rsidRPr="009475AF">
        <w:rPr>
          <w:snapToGrid/>
        </w:rPr>
        <w:t xml:space="preserve">. </w:t>
      </w:r>
      <w:r w:rsidR="00C91330" w:rsidRPr="009475AF">
        <w:rPr>
          <w:snapToGrid/>
        </w:rPr>
        <w:t>IA-05 was</w:t>
      </w:r>
      <w:r w:rsidR="00E505A9" w:rsidRPr="009475AF">
        <w:rPr>
          <w:snapToGrid/>
        </w:rPr>
        <w:t xml:space="preserve"> the evidence</w:t>
      </w:r>
      <w:r w:rsidR="00C91330" w:rsidRPr="009475AF">
        <w:rPr>
          <w:snapToGrid/>
        </w:rPr>
        <w:t xml:space="preserve"> considered by PBAC when omalizumab was recommended for listing in July 2016. </w:t>
      </w:r>
    </w:p>
    <w:p w14:paraId="68D8A651" w14:textId="279AF039" w:rsidR="00647779" w:rsidRPr="009475AF" w:rsidRDefault="007E2FFB" w:rsidP="005A3C9B">
      <w:pPr>
        <w:pStyle w:val="3-BodyText"/>
        <w:rPr>
          <w:iCs/>
          <w:color w:val="0066FF"/>
        </w:rPr>
      </w:pPr>
      <w:r w:rsidRPr="009475AF">
        <w:rPr>
          <w:snapToGrid/>
        </w:rPr>
        <w:t xml:space="preserve">Three trials of omalizumab, </w:t>
      </w:r>
      <w:r w:rsidR="00BC46F9" w:rsidRPr="009475AF">
        <w:rPr>
          <w:snapToGrid/>
        </w:rPr>
        <w:t xml:space="preserve">all </w:t>
      </w:r>
      <w:r w:rsidRPr="009475AF">
        <w:rPr>
          <w:snapToGrid/>
        </w:rPr>
        <w:t>described as “Key Paper, Phase III trial”</w:t>
      </w:r>
      <w:r w:rsidR="00BC46F9" w:rsidRPr="009475AF">
        <w:rPr>
          <w:snapToGrid/>
        </w:rPr>
        <w:t xml:space="preserve"> in Attachment 5</w:t>
      </w:r>
      <w:r w:rsidR="00F45417" w:rsidRPr="009475AF">
        <w:rPr>
          <w:snapToGrid/>
        </w:rPr>
        <w:t xml:space="preserve"> of the submission</w:t>
      </w:r>
      <w:r w:rsidRPr="009475AF">
        <w:rPr>
          <w:snapToGrid/>
        </w:rPr>
        <w:t xml:space="preserve">, were excluded (Busse, 2011; Milgrom, 2001, and Odajima, 2015). </w:t>
      </w:r>
      <w:r w:rsidR="00BC46F9" w:rsidRPr="009475AF">
        <w:rPr>
          <w:snapToGrid/>
        </w:rPr>
        <w:t xml:space="preserve">Odajima </w:t>
      </w:r>
      <w:r w:rsidR="003728AD" w:rsidRPr="009475AF">
        <w:rPr>
          <w:snapToGrid/>
        </w:rPr>
        <w:t xml:space="preserve">2015 </w:t>
      </w:r>
      <w:r w:rsidR="00BC46F9" w:rsidRPr="009475AF">
        <w:rPr>
          <w:snapToGrid/>
        </w:rPr>
        <w:t xml:space="preserve">was an uncontrolled study and appropriately excluded. Busse, 2011 </w:t>
      </w:r>
      <w:r w:rsidR="00B40CD6" w:rsidRPr="009475AF">
        <w:rPr>
          <w:snapToGrid/>
        </w:rPr>
        <w:t xml:space="preserve">was excluded because it had “Incomparable study design population”. Patients </w:t>
      </w:r>
      <w:r w:rsidR="00BC46F9" w:rsidRPr="009475AF">
        <w:rPr>
          <w:snapToGrid/>
        </w:rPr>
        <w:t xml:space="preserve">were aged 6-20 </w:t>
      </w:r>
      <w:r w:rsidR="0022083F" w:rsidRPr="009475AF">
        <w:rPr>
          <w:snapToGrid/>
        </w:rPr>
        <w:t xml:space="preserve">years </w:t>
      </w:r>
      <w:r w:rsidR="00BC46F9" w:rsidRPr="009475AF">
        <w:rPr>
          <w:snapToGrid/>
        </w:rPr>
        <w:t>(but data for age groups were reported separately) and had poorly controlled asthma</w:t>
      </w:r>
      <w:r w:rsidR="00B40CD6" w:rsidRPr="009475AF">
        <w:rPr>
          <w:snapToGrid/>
        </w:rPr>
        <w:t>; optimised treatment was required only for the 4 weeks before randomi</w:t>
      </w:r>
      <w:r w:rsidR="008C4919" w:rsidRPr="009475AF">
        <w:rPr>
          <w:snapToGrid/>
        </w:rPr>
        <w:t>s</w:t>
      </w:r>
      <w:r w:rsidR="00B40CD6" w:rsidRPr="009475AF">
        <w:rPr>
          <w:snapToGrid/>
        </w:rPr>
        <w:t>ation</w:t>
      </w:r>
      <w:r w:rsidR="002A4E8E" w:rsidRPr="009475AF">
        <w:rPr>
          <w:snapToGrid/>
        </w:rPr>
        <w:t xml:space="preserve"> and</w:t>
      </w:r>
      <w:r w:rsidR="00B40CD6" w:rsidRPr="009475AF">
        <w:rPr>
          <w:snapToGrid/>
        </w:rPr>
        <w:t xml:space="preserve"> reductions of ICS dose were allowed during the trial. Exacerbations, defined similarly to VOYAGE, were </w:t>
      </w:r>
      <w:r w:rsidR="002A4E8E" w:rsidRPr="009475AF">
        <w:rPr>
          <w:snapToGrid/>
        </w:rPr>
        <w:t xml:space="preserve">not the primary outcome but were </w:t>
      </w:r>
      <w:r w:rsidR="00B40CD6" w:rsidRPr="009475AF">
        <w:rPr>
          <w:snapToGrid/>
        </w:rPr>
        <w:t>reported.</w:t>
      </w:r>
      <w:r w:rsidR="002A4E8E" w:rsidRPr="009475AF">
        <w:rPr>
          <w:snapToGrid/>
        </w:rPr>
        <w:t xml:space="preserve"> </w:t>
      </w:r>
      <w:r w:rsidR="00B40CD6" w:rsidRPr="009475AF">
        <w:rPr>
          <w:snapToGrid/>
        </w:rPr>
        <w:t>Th</w:t>
      </w:r>
      <w:r w:rsidR="008C4919" w:rsidRPr="009475AF">
        <w:rPr>
          <w:snapToGrid/>
        </w:rPr>
        <w:t>e evaluation considered</w:t>
      </w:r>
      <w:r w:rsidR="00B40CD6" w:rsidRPr="009475AF">
        <w:rPr>
          <w:snapToGrid/>
        </w:rPr>
        <w:t xml:space="preserve"> </w:t>
      </w:r>
      <w:r w:rsidR="00CC46D2" w:rsidRPr="009475AF">
        <w:rPr>
          <w:snapToGrid/>
        </w:rPr>
        <w:t xml:space="preserve">that the </w:t>
      </w:r>
      <w:r w:rsidR="00B40CD6" w:rsidRPr="009475AF">
        <w:rPr>
          <w:snapToGrid/>
        </w:rPr>
        <w:t>trial should have been included.</w:t>
      </w:r>
      <w:r w:rsidR="00B40CD6" w:rsidRPr="009475AF">
        <w:rPr>
          <w:iCs/>
          <w:snapToGrid/>
        </w:rPr>
        <w:t xml:space="preserve"> </w:t>
      </w:r>
      <w:r w:rsidR="009F6F3F" w:rsidRPr="009475AF">
        <w:rPr>
          <w:iCs/>
          <w:snapToGrid/>
        </w:rPr>
        <w:t xml:space="preserve">The PSCR argued that the </w:t>
      </w:r>
      <w:r w:rsidR="00647779" w:rsidRPr="009475AF">
        <w:rPr>
          <w:iCs/>
          <w:snapToGrid/>
        </w:rPr>
        <w:t>Busse, 2011 (</w:t>
      </w:r>
      <w:r w:rsidR="009F6F3F" w:rsidRPr="009475AF">
        <w:rPr>
          <w:iCs/>
          <w:snapToGrid/>
        </w:rPr>
        <w:t>ICATA</w:t>
      </w:r>
      <w:r w:rsidR="00647779" w:rsidRPr="009475AF">
        <w:rPr>
          <w:iCs/>
          <w:snapToGrid/>
        </w:rPr>
        <w:t>)</w:t>
      </w:r>
      <w:r w:rsidR="009F6F3F" w:rsidRPr="009475AF">
        <w:rPr>
          <w:iCs/>
          <w:snapToGrid/>
        </w:rPr>
        <w:t xml:space="preserve"> trial was unsuitable for providing a meaningful comparison between dupilumab and omalizumab</w:t>
      </w:r>
      <w:r w:rsidR="00647779" w:rsidRPr="009475AF">
        <w:rPr>
          <w:iCs/>
          <w:snapToGrid/>
        </w:rPr>
        <w:t xml:space="preserve"> for the following reasons: </w:t>
      </w:r>
    </w:p>
    <w:p w14:paraId="7C6C0417" w14:textId="4E33FA69" w:rsidR="00647779" w:rsidRPr="009475AF" w:rsidRDefault="00647779" w:rsidP="002405B2">
      <w:pPr>
        <w:pStyle w:val="3-BodyText"/>
        <w:numPr>
          <w:ilvl w:val="0"/>
          <w:numId w:val="46"/>
        </w:numPr>
        <w:ind w:left="1077" w:hanging="357"/>
        <w:rPr>
          <w:iCs/>
          <w:color w:val="0066FF"/>
        </w:rPr>
      </w:pPr>
      <w:r w:rsidRPr="009475AF">
        <w:rPr>
          <w:iCs/>
          <w:snapToGrid/>
        </w:rPr>
        <w:t>the trial “failed to report baseline characteristics for most key effect modifiers, thereby constraining comparability with VOYAGE”, and</w:t>
      </w:r>
    </w:p>
    <w:p w14:paraId="0678D84B" w14:textId="11438DF9" w:rsidR="007E2FFB" w:rsidRPr="009475AF" w:rsidRDefault="00647779" w:rsidP="002405B2">
      <w:pPr>
        <w:pStyle w:val="3-BodyText"/>
        <w:numPr>
          <w:ilvl w:val="0"/>
          <w:numId w:val="46"/>
        </w:numPr>
        <w:ind w:left="1077" w:hanging="357"/>
        <w:rPr>
          <w:iCs/>
          <w:color w:val="0066FF"/>
        </w:rPr>
      </w:pPr>
      <w:r w:rsidRPr="009475AF">
        <w:rPr>
          <w:iCs/>
          <w:snapToGrid/>
        </w:rPr>
        <w:t>at “study entry, patients enrolled into the ICATA study underwent a 4-week run in period during which (non-biologic) treatments for asthma were optimised. Over this run-in period, the average daily ICS dose was increased by a mean of 204</w:t>
      </w:r>
      <w:r w:rsidR="00491427">
        <w:rPr>
          <w:iCs/>
          <w:snapToGrid/>
        </w:rPr>
        <w:t> </w:t>
      </w:r>
      <w:r w:rsidRPr="009475AF">
        <w:rPr>
          <w:iCs/>
          <w:snapToGrid/>
        </w:rPr>
        <w:t>µg and the proportion of patients of patients receiving a LABA in combination with ICS increased to 42%. As a result of this treatment optimization, asthma symptoms improved such that, at the time of randomisation to omalizumab or placebo, only 73% of the study participants were considered to have moderate-to-severe asthma. In contrast, the VOYAGE study required all patients to have received a stable dose of medium or high-dose ICS plus a second controller for at least 3</w:t>
      </w:r>
      <w:r w:rsidR="00491427">
        <w:rPr>
          <w:iCs/>
          <w:snapToGrid/>
        </w:rPr>
        <w:t> </w:t>
      </w:r>
      <w:r w:rsidRPr="009475AF">
        <w:rPr>
          <w:iCs/>
          <w:snapToGrid/>
        </w:rPr>
        <w:t>months, with a stable dose for at least 1 month prior to study entry. In addition, during the 60 day treatment period in the ICATA trial, patients were assessed every three months, at which time adjustments to background ICS-LABA treatments could be made depending on asthma symptoms experienced in the previous two weeks, whist in the VOYAGE trial baseline ICS and LABA doses were maintained throughout the entire study period except where two or more severe exacerbations had occurred, at which time a step up in the controlled medication was allowed”.</w:t>
      </w:r>
    </w:p>
    <w:p w14:paraId="75782B7B" w14:textId="0FAAA04E" w:rsidR="00B40CD6" w:rsidRPr="009475AF" w:rsidRDefault="00893534" w:rsidP="002E4F02">
      <w:pPr>
        <w:pStyle w:val="3-BodyText"/>
        <w:rPr>
          <w:iCs/>
          <w:color w:val="0066FF"/>
        </w:rPr>
      </w:pPr>
      <w:r w:rsidRPr="009475AF">
        <w:rPr>
          <w:snapToGrid/>
        </w:rPr>
        <w:t xml:space="preserve">The submission stated that </w:t>
      </w:r>
      <w:r w:rsidR="00B40CD6" w:rsidRPr="009475AF">
        <w:rPr>
          <w:snapToGrid/>
        </w:rPr>
        <w:t xml:space="preserve">Milgrom, 2001, </w:t>
      </w:r>
      <w:r w:rsidR="00541280" w:rsidRPr="009475AF">
        <w:rPr>
          <w:snapToGrid/>
        </w:rPr>
        <w:t xml:space="preserve">was excluded because it had an “ICS dose-reduction phase [and] reported outcomes at 16 weeks” – the end of the stable-dose phase. </w:t>
      </w:r>
      <w:r w:rsidR="005A1548" w:rsidRPr="006370F5">
        <w:rPr>
          <w:snapToGrid/>
        </w:rPr>
        <w:t xml:space="preserve">This was misleading: </w:t>
      </w:r>
      <w:r w:rsidR="00541280" w:rsidRPr="009475AF">
        <w:rPr>
          <w:snapToGrid/>
        </w:rPr>
        <w:t xml:space="preserve">exacerbations (defined as worsening requiring any additional treatment) were reported both for the stable-dose phase ending at </w:t>
      </w:r>
      <w:r w:rsidR="007C50F6" w:rsidRPr="009475AF">
        <w:rPr>
          <w:snapToGrid/>
        </w:rPr>
        <w:t>16</w:t>
      </w:r>
      <w:r w:rsidR="007C50F6">
        <w:rPr>
          <w:snapToGrid/>
        </w:rPr>
        <w:t> </w:t>
      </w:r>
      <w:r w:rsidR="00541280" w:rsidRPr="009475AF">
        <w:rPr>
          <w:snapToGrid/>
        </w:rPr>
        <w:t>weeks and the steroid-reduction phase (17-28 weeks). Th</w:t>
      </w:r>
      <w:r w:rsidR="005C2746" w:rsidRPr="009475AF">
        <w:rPr>
          <w:snapToGrid/>
        </w:rPr>
        <w:t>e evaluation considered th</w:t>
      </w:r>
      <w:r w:rsidR="00541280" w:rsidRPr="009475AF">
        <w:rPr>
          <w:snapToGrid/>
        </w:rPr>
        <w:t xml:space="preserve">is trial should have been included. </w:t>
      </w:r>
      <w:r w:rsidRPr="009475AF">
        <w:rPr>
          <w:iCs/>
          <w:snapToGrid/>
        </w:rPr>
        <w:t xml:space="preserve">The PSCR stated “no changes in background medication (including ICS dose) were allowed during the VOYAGE trial” and that while baseline characteristics were not reported for most key effect modifiers that the </w:t>
      </w:r>
      <w:r w:rsidRPr="009475AF">
        <w:rPr>
          <w:iCs/>
          <w:snapToGrid/>
        </w:rPr>
        <w:lastRenderedPageBreak/>
        <w:t xml:space="preserve">characteristics which were reported indicated that the study included an older cohort of patients who had a lower baseline mean ICS dose (284 µg/day) relative to VOYAGE (496.22 µg/day) and IA-05 (515.1 µg/day). As such, the PSCR stated that due to differences in both study design and included participants, the study was not considered comparable to the VOYAGE study and therefore its exclusion from the </w:t>
      </w:r>
      <w:r w:rsidR="00D70FD5" w:rsidRPr="009475AF">
        <w:rPr>
          <w:iCs/>
          <w:snapToGrid/>
        </w:rPr>
        <w:t xml:space="preserve">[indirect treatment comparisons] </w:t>
      </w:r>
      <w:r w:rsidRPr="009475AF">
        <w:rPr>
          <w:iCs/>
          <w:snapToGrid/>
        </w:rPr>
        <w:t>ITCs presented in the submission was appropriate. The PSCR also stated that the study was not assessed by the PBAC during their consideration of the reimbursement of omalizumab for the treatment of uncontrolled severe paediatric asthma in July 2016.</w:t>
      </w:r>
      <w:r w:rsidR="00B179DC" w:rsidRPr="009475AF">
        <w:rPr>
          <w:iCs/>
          <w:snapToGrid/>
        </w:rPr>
        <w:t xml:space="preserve"> The ESC considered the additional trials identified during the evaluation </w:t>
      </w:r>
      <w:r w:rsidR="00CC46D2" w:rsidRPr="009475AF">
        <w:rPr>
          <w:iCs/>
          <w:snapToGrid/>
        </w:rPr>
        <w:t xml:space="preserve">(Busse 2011, and Milgrom 2001) </w:t>
      </w:r>
      <w:r w:rsidR="00B179DC" w:rsidRPr="009475AF">
        <w:rPr>
          <w:iCs/>
          <w:snapToGrid/>
        </w:rPr>
        <w:t>should have been included.</w:t>
      </w:r>
    </w:p>
    <w:p w14:paraId="17DE34DC" w14:textId="1FD47CC5" w:rsidR="007F1017" w:rsidRPr="009475AF" w:rsidRDefault="005B6B10" w:rsidP="002E4F02">
      <w:pPr>
        <w:pStyle w:val="3-BodyText"/>
        <w:rPr>
          <w:iCs/>
          <w:color w:val="0066FF"/>
        </w:rPr>
      </w:pPr>
      <w:r w:rsidRPr="009475AF">
        <w:rPr>
          <w:iCs/>
          <w:snapToGrid/>
        </w:rPr>
        <w:t>The ESC noted that n</w:t>
      </w:r>
      <w:r w:rsidR="00407C65" w:rsidRPr="009475AF">
        <w:rPr>
          <w:iCs/>
          <w:snapToGrid/>
        </w:rPr>
        <w:t>o data to support t</w:t>
      </w:r>
      <w:r w:rsidR="0027670F" w:rsidRPr="009475AF">
        <w:rPr>
          <w:iCs/>
          <w:snapToGrid/>
        </w:rPr>
        <w:t>he claim of superior</w:t>
      </w:r>
      <w:r w:rsidR="00D44B9E" w:rsidRPr="009475AF">
        <w:rPr>
          <w:iCs/>
          <w:snapToGrid/>
        </w:rPr>
        <w:t xml:space="preserve"> efficac</w:t>
      </w:r>
      <w:r w:rsidR="0027670F" w:rsidRPr="009475AF">
        <w:rPr>
          <w:iCs/>
          <w:snapToGrid/>
        </w:rPr>
        <w:t>y to placebo in</w:t>
      </w:r>
      <w:r w:rsidR="00A0596B" w:rsidRPr="009475AF">
        <w:rPr>
          <w:iCs/>
          <w:snapToGrid/>
        </w:rPr>
        <w:t xml:space="preserve"> </w:t>
      </w:r>
      <w:r w:rsidR="0027670F" w:rsidRPr="009475AF">
        <w:rPr>
          <w:iCs/>
          <w:snapToGrid/>
        </w:rPr>
        <w:t xml:space="preserve">Subgroup B </w:t>
      </w:r>
      <w:r w:rsidR="00984066" w:rsidRPr="009475AF">
        <w:rPr>
          <w:iCs/>
          <w:snapToGrid/>
        </w:rPr>
        <w:t xml:space="preserve">patients </w:t>
      </w:r>
      <w:r w:rsidR="0027670F" w:rsidRPr="009475AF">
        <w:rPr>
          <w:iCs/>
          <w:snapToGrid/>
        </w:rPr>
        <w:t xml:space="preserve">was </w:t>
      </w:r>
      <w:r w:rsidR="00407C65" w:rsidRPr="009475AF">
        <w:rPr>
          <w:iCs/>
          <w:snapToGrid/>
        </w:rPr>
        <w:t xml:space="preserve">presented. </w:t>
      </w:r>
      <w:r w:rsidRPr="009475AF">
        <w:rPr>
          <w:iCs/>
          <w:snapToGrid/>
        </w:rPr>
        <w:t>As o</w:t>
      </w:r>
      <w:r w:rsidR="00407C65" w:rsidRPr="009475AF">
        <w:rPr>
          <w:iCs/>
          <w:snapToGrid/>
        </w:rPr>
        <w:t xml:space="preserve">nly seven patients enrolled in </w:t>
      </w:r>
      <w:r w:rsidR="005A6B39" w:rsidRPr="009475AF">
        <w:rPr>
          <w:iCs/>
          <w:snapToGrid/>
        </w:rPr>
        <w:t>VOYAGE</w:t>
      </w:r>
      <w:r w:rsidR="00D40C38" w:rsidRPr="009475AF">
        <w:rPr>
          <w:iCs/>
          <w:snapToGrid/>
        </w:rPr>
        <w:t xml:space="preserve"> had IgE &lt; 30 IU/mL</w:t>
      </w:r>
      <w:r w:rsidR="00972575" w:rsidRPr="009475AF">
        <w:rPr>
          <w:iCs/>
          <w:snapToGrid/>
        </w:rPr>
        <w:t xml:space="preserve"> </w:t>
      </w:r>
      <w:r w:rsidRPr="009475AF">
        <w:rPr>
          <w:iCs/>
          <w:snapToGrid/>
        </w:rPr>
        <w:t>the ESC considered that</w:t>
      </w:r>
      <w:r w:rsidR="00972575" w:rsidRPr="009475AF">
        <w:rPr>
          <w:iCs/>
          <w:snapToGrid/>
        </w:rPr>
        <w:t xml:space="preserve"> </w:t>
      </w:r>
      <w:r w:rsidR="00B21812" w:rsidRPr="009475AF">
        <w:rPr>
          <w:iCs/>
          <w:snapToGrid/>
        </w:rPr>
        <w:t>no conclusions about efficacy in this group c</w:t>
      </w:r>
      <w:r w:rsidRPr="009475AF">
        <w:rPr>
          <w:iCs/>
          <w:snapToGrid/>
        </w:rPr>
        <w:t>ould</w:t>
      </w:r>
      <w:r w:rsidR="00B21812" w:rsidRPr="009475AF">
        <w:rPr>
          <w:iCs/>
          <w:snapToGrid/>
        </w:rPr>
        <w:t xml:space="preserve"> be </w:t>
      </w:r>
      <w:r w:rsidR="003B2776" w:rsidRPr="009475AF">
        <w:rPr>
          <w:iCs/>
          <w:snapToGrid/>
        </w:rPr>
        <w:t>made</w:t>
      </w:r>
      <w:r w:rsidR="00B21812" w:rsidRPr="009475AF">
        <w:rPr>
          <w:iCs/>
          <w:snapToGrid/>
        </w:rPr>
        <w:t xml:space="preserve">. </w:t>
      </w:r>
    </w:p>
    <w:p w14:paraId="337556D4" w14:textId="66EA7CD9" w:rsidR="009963EC" w:rsidRPr="009475AF" w:rsidRDefault="009963EC" w:rsidP="002E4F02">
      <w:pPr>
        <w:pStyle w:val="3-BodyText"/>
        <w:rPr>
          <w:color w:val="0066FF"/>
        </w:rPr>
      </w:pPr>
      <w:r w:rsidRPr="009475AF">
        <w:rPr>
          <w:snapToGrid/>
        </w:rPr>
        <w:t xml:space="preserve">Evaluation of the data submitted was hampered by the data for IA-05 being confined to that provided in published papers, and by the method of presentation of data from the VOYAGE trial. </w:t>
      </w:r>
    </w:p>
    <w:p w14:paraId="0EDD0E8A" w14:textId="77777777" w:rsidR="009963EC" w:rsidRPr="009475AF" w:rsidRDefault="009963EC" w:rsidP="009963EC">
      <w:pPr>
        <w:pStyle w:val="3-BodyText"/>
      </w:pPr>
      <w:r w:rsidRPr="009475AF">
        <w:rPr>
          <w:rFonts w:cstheme="minorHAnsi"/>
        </w:rPr>
        <w:t>VOYAGE defined</w:t>
      </w:r>
      <w:r w:rsidRPr="009475AF">
        <w:t xml:space="preserve"> three pre-specified populations for analysis: </w:t>
      </w:r>
    </w:p>
    <w:p w14:paraId="51838133" w14:textId="77777777" w:rsidR="009963EC" w:rsidRPr="009475AF" w:rsidRDefault="009963EC" w:rsidP="00480926">
      <w:pPr>
        <w:pStyle w:val="3-BodyText"/>
        <w:numPr>
          <w:ilvl w:val="0"/>
          <w:numId w:val="9"/>
        </w:numPr>
      </w:pPr>
      <w:r w:rsidRPr="009475AF">
        <w:t xml:space="preserve">the ITT population; </w:t>
      </w:r>
    </w:p>
    <w:p w14:paraId="3D005CCA" w14:textId="77777777" w:rsidR="009963EC" w:rsidRPr="009475AF" w:rsidRDefault="009963EC" w:rsidP="00480926">
      <w:pPr>
        <w:pStyle w:val="3-BodyText"/>
        <w:numPr>
          <w:ilvl w:val="0"/>
          <w:numId w:val="9"/>
        </w:numPr>
      </w:pPr>
      <w:r w:rsidRPr="009475AF">
        <w:t xml:space="preserve">patients with a “Type 2 inflammatory phenotype”, defined as baseline eosinophil count </w:t>
      </w:r>
      <w:r w:rsidRPr="009475AF">
        <w:sym w:font="Symbol" w:char="F0B3"/>
      </w:r>
      <w:r w:rsidRPr="009475AF">
        <w:t xml:space="preserve"> 0.15 x 109/L </w:t>
      </w:r>
      <w:r w:rsidRPr="009475AF">
        <w:rPr>
          <w:iCs/>
        </w:rPr>
        <w:t>or</w:t>
      </w:r>
      <w:r w:rsidRPr="009475AF">
        <w:t xml:space="preserve"> FeNO </w:t>
      </w:r>
      <w:r w:rsidRPr="009475AF">
        <w:sym w:font="Symbol" w:char="F0B3"/>
      </w:r>
      <w:r w:rsidRPr="009475AF">
        <w:t xml:space="preserve"> 20 ppb; </w:t>
      </w:r>
    </w:p>
    <w:p w14:paraId="51F4945D" w14:textId="77777777" w:rsidR="009963EC" w:rsidRPr="009475AF" w:rsidRDefault="009963EC" w:rsidP="00480926">
      <w:pPr>
        <w:pStyle w:val="3-BodyText"/>
        <w:numPr>
          <w:ilvl w:val="0"/>
          <w:numId w:val="9"/>
        </w:numPr>
      </w:pPr>
      <w:r w:rsidRPr="009475AF">
        <w:t xml:space="preserve">patients with baseline eosinophils </w:t>
      </w:r>
      <w:r w:rsidRPr="009475AF">
        <w:sym w:font="Symbol" w:char="F0B3"/>
      </w:r>
      <w:r w:rsidRPr="009475AF">
        <w:t xml:space="preserve"> 0.3 x 10</w:t>
      </w:r>
      <w:r w:rsidRPr="009475AF">
        <w:rPr>
          <w:vertAlign w:val="superscript"/>
        </w:rPr>
        <w:t>9</w:t>
      </w:r>
      <w:r w:rsidRPr="009475AF">
        <w:t xml:space="preserve">/L. </w:t>
      </w:r>
    </w:p>
    <w:p w14:paraId="28062598" w14:textId="3A1F4DF7" w:rsidR="009963EC" w:rsidRPr="009475AF" w:rsidRDefault="009963EC" w:rsidP="009963EC">
      <w:pPr>
        <w:pStyle w:val="3-BodyText"/>
        <w:rPr>
          <w:color w:val="0066FF"/>
        </w:rPr>
      </w:pPr>
      <w:r w:rsidRPr="009475AF">
        <w:t>The submission</w:t>
      </w:r>
      <w:r w:rsidR="00B92111" w:rsidRPr="009475AF">
        <w:t xml:space="preserve"> and the VOYAGE </w:t>
      </w:r>
      <w:r w:rsidR="00D44B9E" w:rsidRPr="009475AF">
        <w:t>Clinical Study Report (</w:t>
      </w:r>
      <w:r w:rsidR="00B92111" w:rsidRPr="009475AF">
        <w:t>CSR</w:t>
      </w:r>
      <w:r w:rsidR="00D44B9E" w:rsidRPr="009475AF">
        <w:t>)</w:t>
      </w:r>
      <w:r w:rsidRPr="009475AF">
        <w:t xml:space="preserve"> presented only limited data for the </w:t>
      </w:r>
      <w:r w:rsidR="00D44B9E" w:rsidRPr="009475AF">
        <w:t>intention to treat (</w:t>
      </w:r>
      <w:r w:rsidRPr="009475AF">
        <w:t>ITT</w:t>
      </w:r>
      <w:r w:rsidR="00D44B9E" w:rsidRPr="009475AF">
        <w:t>)</w:t>
      </w:r>
      <w:r w:rsidRPr="009475AF">
        <w:t xml:space="preserve"> population of VOYAGE; most data presented was for the Type 2 inflammatory phenotype population (eosinophils </w:t>
      </w:r>
      <w:r w:rsidRPr="009475AF">
        <w:sym w:font="Symbol" w:char="F0B3"/>
      </w:r>
      <w:r w:rsidRPr="009475AF">
        <w:t xml:space="preserve"> 0.15 x 10</w:t>
      </w:r>
      <w:r w:rsidRPr="009475AF">
        <w:rPr>
          <w:vertAlign w:val="superscript"/>
        </w:rPr>
        <w:t>9</w:t>
      </w:r>
      <w:r w:rsidRPr="009475AF">
        <w:t xml:space="preserve">/L or FeNO </w:t>
      </w:r>
      <w:r w:rsidRPr="009475AF">
        <w:sym w:font="Symbol" w:char="F0B3"/>
      </w:r>
      <w:r w:rsidRPr="009475AF">
        <w:t xml:space="preserve"> 20 p</w:t>
      </w:r>
      <w:r w:rsidR="00AA1CB6" w:rsidRPr="009475AF">
        <w:t>p</w:t>
      </w:r>
      <w:r w:rsidRPr="009475AF">
        <w:t xml:space="preserve">b) and the population with eosinophils </w:t>
      </w:r>
      <w:r w:rsidRPr="009475AF">
        <w:sym w:font="Symbol" w:char="F0B3"/>
      </w:r>
      <w:r w:rsidRPr="009475AF">
        <w:t xml:space="preserve"> 0.3 x 10</w:t>
      </w:r>
      <w:r w:rsidRPr="009475AF">
        <w:rPr>
          <w:vertAlign w:val="superscript"/>
        </w:rPr>
        <w:t>9</w:t>
      </w:r>
      <w:r w:rsidRPr="009475AF">
        <w:t xml:space="preserve">/L. Because these populations overlap, but exclude some randomised patients, the data from these populations </w:t>
      </w:r>
      <w:r w:rsidR="00F95512" w:rsidRPr="009475AF">
        <w:t>were</w:t>
      </w:r>
      <w:r w:rsidRPr="009475AF">
        <w:t xml:space="preserve"> difficult to interpret. The justification for presenting </w:t>
      </w:r>
      <w:r w:rsidR="004914AD" w:rsidRPr="009475AF">
        <w:t xml:space="preserve">only </w:t>
      </w:r>
      <w:r w:rsidRPr="009475AF">
        <w:t xml:space="preserve">data for these populations </w:t>
      </w:r>
      <w:r w:rsidR="00F95512" w:rsidRPr="009475AF">
        <w:t>was</w:t>
      </w:r>
      <w:r w:rsidRPr="009475AF">
        <w:t xml:space="preserve"> </w:t>
      </w:r>
      <w:r w:rsidR="003C45C9" w:rsidRPr="009475AF">
        <w:t>weak because</w:t>
      </w:r>
      <w:r w:rsidRPr="009475AF">
        <w:t xml:space="preserve"> they </w:t>
      </w:r>
      <w:r w:rsidR="004914AD" w:rsidRPr="009475AF">
        <w:t>we</w:t>
      </w:r>
      <w:r w:rsidRPr="009475AF">
        <w:t xml:space="preserve">re not the Subgroups A and B defined </w:t>
      </w:r>
      <w:r w:rsidR="004914AD" w:rsidRPr="009475AF">
        <w:t xml:space="preserve">in </w:t>
      </w:r>
      <w:r w:rsidRPr="009475AF">
        <w:t xml:space="preserve">the submission. For these reasons, the evaluation </w:t>
      </w:r>
      <w:r w:rsidR="004914AD" w:rsidRPr="009475AF">
        <w:t>present</w:t>
      </w:r>
      <w:r w:rsidR="003B2776" w:rsidRPr="009475AF">
        <w:t>ed</w:t>
      </w:r>
      <w:r w:rsidRPr="009475AF">
        <w:t xml:space="preserve"> data for the ITT</w:t>
      </w:r>
      <w:r w:rsidR="002A4C44">
        <w:t> </w:t>
      </w:r>
      <w:r w:rsidRPr="009475AF">
        <w:t xml:space="preserve">population, but this was incomplete for some parameters. </w:t>
      </w:r>
    </w:p>
    <w:p w14:paraId="2B59ABAC" w14:textId="522C3B29" w:rsidR="00862502" w:rsidRPr="009475AF" w:rsidRDefault="00A73134" w:rsidP="002E4F02">
      <w:pPr>
        <w:pStyle w:val="3-BodyText"/>
      </w:pPr>
      <w:r w:rsidRPr="009475AF">
        <w:rPr>
          <w:snapToGrid/>
        </w:rPr>
        <w:t>Details of the trials presented in the submission are provided in</w:t>
      </w:r>
      <w:r w:rsidR="00217053" w:rsidRPr="009475AF">
        <w:rPr>
          <w:snapToGrid/>
        </w:rPr>
        <w:t xml:space="preserve"> </w:t>
      </w:r>
      <w:r w:rsidR="00217053" w:rsidRPr="009475AF">
        <w:rPr>
          <w:snapToGrid/>
        </w:rPr>
        <w:fldChar w:fldCharType="begin" w:fldLock="1"/>
      </w:r>
      <w:r w:rsidR="00217053" w:rsidRPr="009475AF">
        <w:rPr>
          <w:snapToGrid/>
        </w:rPr>
        <w:instrText xml:space="preserve"> REF _Ref152755070 \h </w:instrText>
      </w:r>
      <w:r w:rsidR="00EA6042" w:rsidRPr="009475AF">
        <w:rPr>
          <w:snapToGrid/>
        </w:rPr>
        <w:instrText xml:space="preserve"> \* MERGEFORMAT </w:instrText>
      </w:r>
      <w:r w:rsidR="00217053" w:rsidRPr="009475AF">
        <w:rPr>
          <w:snapToGrid/>
        </w:rPr>
      </w:r>
      <w:r w:rsidR="00217053" w:rsidRPr="009475AF">
        <w:rPr>
          <w:snapToGrid/>
        </w:rPr>
        <w:fldChar w:fldCharType="separate"/>
      </w:r>
      <w:r w:rsidR="00217053" w:rsidRPr="009475AF">
        <w:t>Table 2</w:t>
      </w:r>
      <w:r w:rsidR="00217053" w:rsidRPr="009475AF">
        <w:rPr>
          <w:snapToGrid/>
        </w:rPr>
        <w:fldChar w:fldCharType="end"/>
      </w:r>
      <w:r w:rsidR="00BE4E62" w:rsidRPr="009475AF">
        <w:rPr>
          <w:snapToGrid/>
        </w:rPr>
        <w:t>, and key features of the trials are shown in</w:t>
      </w:r>
      <w:r w:rsidR="00217053" w:rsidRPr="009475AF">
        <w:rPr>
          <w:snapToGrid/>
        </w:rPr>
        <w:t xml:space="preserve"> </w:t>
      </w:r>
      <w:r w:rsidR="00217053" w:rsidRPr="009475AF">
        <w:rPr>
          <w:snapToGrid/>
        </w:rPr>
        <w:fldChar w:fldCharType="begin" w:fldLock="1"/>
      </w:r>
      <w:r w:rsidR="00217053" w:rsidRPr="009475AF">
        <w:rPr>
          <w:snapToGrid/>
        </w:rPr>
        <w:instrText xml:space="preserve"> REF _Ref152755094 \h </w:instrText>
      </w:r>
      <w:r w:rsidR="00EA6042" w:rsidRPr="009475AF">
        <w:rPr>
          <w:snapToGrid/>
        </w:rPr>
        <w:instrText xml:space="preserve"> \* MERGEFORMAT </w:instrText>
      </w:r>
      <w:r w:rsidR="00217053" w:rsidRPr="009475AF">
        <w:rPr>
          <w:snapToGrid/>
        </w:rPr>
      </w:r>
      <w:r w:rsidR="00217053" w:rsidRPr="009475AF">
        <w:rPr>
          <w:snapToGrid/>
        </w:rPr>
        <w:fldChar w:fldCharType="separate"/>
      </w:r>
      <w:r w:rsidR="00217053" w:rsidRPr="009475AF">
        <w:t>Table 3</w:t>
      </w:r>
      <w:r w:rsidR="00217053" w:rsidRPr="009475AF">
        <w:rPr>
          <w:snapToGrid/>
        </w:rPr>
        <w:fldChar w:fldCharType="end"/>
      </w:r>
      <w:r w:rsidR="008534A8" w:rsidRPr="009475AF">
        <w:rPr>
          <w:snapToGrid/>
        </w:rPr>
        <w:t>.</w:t>
      </w:r>
    </w:p>
    <w:p w14:paraId="7DE3A286" w14:textId="52DC1CF5" w:rsidR="008E0D3C" w:rsidRPr="009475AF" w:rsidRDefault="00217053" w:rsidP="00217053">
      <w:pPr>
        <w:pStyle w:val="Caption"/>
        <w:rPr>
          <w:rStyle w:val="CommentReference"/>
          <w:b/>
          <w:szCs w:val="24"/>
        </w:rPr>
      </w:pPr>
      <w:bookmarkStart w:id="19" w:name="_Ref152755070"/>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2</w:t>
      </w:r>
      <w:r w:rsidR="00696736">
        <w:fldChar w:fldCharType="end"/>
      </w:r>
      <w:bookmarkEnd w:id="19"/>
      <w:r w:rsidR="00696EF9" w:rsidRPr="009475AF">
        <w:t>:</w:t>
      </w:r>
      <w:r w:rsidR="00BC591F" w:rsidRPr="009475AF">
        <w:rPr>
          <w:rStyle w:val="CommentReference"/>
          <w:b/>
          <w:szCs w:val="24"/>
        </w:rPr>
        <w:t xml:space="preserve"> </w:t>
      </w:r>
      <w:r w:rsidR="008E0D3C" w:rsidRPr="009475AF">
        <w:rPr>
          <w:rStyle w:val="CommentReference"/>
          <w:b/>
          <w:szCs w:val="24"/>
        </w:rPr>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6"/>
        <w:gridCol w:w="3237"/>
        <w:gridCol w:w="4344"/>
      </w:tblGrid>
      <w:tr w:rsidR="008E0D3C" w:rsidRPr="009475AF" w14:paraId="6ACD35C4" w14:textId="77777777" w:rsidTr="007C50F6">
        <w:trPr>
          <w:cantSplit/>
          <w:tblHeader/>
        </w:trPr>
        <w:tc>
          <w:tcPr>
            <w:tcW w:w="796" w:type="pct"/>
            <w:vAlign w:val="center"/>
          </w:tcPr>
          <w:p w14:paraId="20DEEB23" w14:textId="77777777" w:rsidR="008E0D3C" w:rsidRPr="009475AF" w:rsidRDefault="008E0D3C" w:rsidP="00EC5836">
            <w:pPr>
              <w:pStyle w:val="In-tableHeading"/>
              <w:jc w:val="center"/>
              <w:rPr>
                <w:lang w:val="en-AU"/>
              </w:rPr>
            </w:pPr>
            <w:r w:rsidRPr="009475AF">
              <w:rPr>
                <w:lang w:val="en-AU"/>
              </w:rPr>
              <w:t>Trial ID</w:t>
            </w:r>
          </w:p>
        </w:tc>
        <w:tc>
          <w:tcPr>
            <w:tcW w:w="1795" w:type="pct"/>
            <w:vAlign w:val="center"/>
          </w:tcPr>
          <w:p w14:paraId="22EF6C51" w14:textId="77777777" w:rsidR="008E0D3C" w:rsidRPr="009475AF" w:rsidRDefault="008E0D3C" w:rsidP="002E4F02">
            <w:pPr>
              <w:pStyle w:val="In-tableHeading"/>
              <w:rPr>
                <w:lang w:val="en-AU"/>
              </w:rPr>
            </w:pPr>
            <w:r w:rsidRPr="009475AF">
              <w:rPr>
                <w:lang w:val="en-AU"/>
              </w:rPr>
              <w:t>Protocol title/ Publication title</w:t>
            </w:r>
          </w:p>
        </w:tc>
        <w:tc>
          <w:tcPr>
            <w:tcW w:w="2409" w:type="pct"/>
            <w:vAlign w:val="center"/>
          </w:tcPr>
          <w:p w14:paraId="561B27A8" w14:textId="77777777" w:rsidR="008E0D3C" w:rsidRPr="009475AF" w:rsidRDefault="008E0D3C" w:rsidP="002E4F02">
            <w:pPr>
              <w:pStyle w:val="In-tableHeading"/>
              <w:rPr>
                <w:lang w:val="en-AU"/>
              </w:rPr>
            </w:pPr>
            <w:r w:rsidRPr="009475AF">
              <w:rPr>
                <w:lang w:val="en-AU"/>
              </w:rPr>
              <w:t>Publication citation</w:t>
            </w:r>
          </w:p>
        </w:tc>
      </w:tr>
      <w:tr w:rsidR="00A0596B" w:rsidRPr="009475AF" w14:paraId="298351BA" w14:textId="77777777" w:rsidTr="007C50F6">
        <w:trPr>
          <w:cantSplit/>
        </w:trPr>
        <w:tc>
          <w:tcPr>
            <w:tcW w:w="796" w:type="pct"/>
            <w:vMerge w:val="restart"/>
            <w:vAlign w:val="center"/>
          </w:tcPr>
          <w:p w14:paraId="7490C6A8" w14:textId="77777777" w:rsidR="00B0317B" w:rsidRPr="009475AF" w:rsidRDefault="00B0317B" w:rsidP="00A0596B">
            <w:pPr>
              <w:pStyle w:val="TableText0"/>
            </w:pPr>
            <w:r w:rsidRPr="009475AF">
              <w:t>VOYAGE</w:t>
            </w:r>
          </w:p>
          <w:p w14:paraId="28FFF399" w14:textId="77777777" w:rsidR="00B0317B" w:rsidRPr="009475AF" w:rsidRDefault="00B0317B" w:rsidP="00A0596B">
            <w:pPr>
              <w:pStyle w:val="TableText0"/>
            </w:pPr>
          </w:p>
          <w:p w14:paraId="12B4CF19" w14:textId="61202388" w:rsidR="00A0596B" w:rsidRPr="009475AF" w:rsidRDefault="00A0596B" w:rsidP="00A0596B">
            <w:pPr>
              <w:pStyle w:val="TableText0"/>
            </w:pPr>
            <w:r w:rsidRPr="009475AF">
              <w:t>NCT02948959</w:t>
            </w:r>
          </w:p>
          <w:p w14:paraId="3D79AB8D" w14:textId="77777777" w:rsidR="00A0596B" w:rsidRPr="009475AF" w:rsidRDefault="00A0596B" w:rsidP="00A0596B">
            <w:pPr>
              <w:pStyle w:val="TableText0"/>
            </w:pPr>
          </w:p>
          <w:p w14:paraId="5D9482F5" w14:textId="281DC802" w:rsidR="00A0596B" w:rsidRPr="009475AF" w:rsidRDefault="00A0596B" w:rsidP="00A0596B">
            <w:pPr>
              <w:pStyle w:val="TableText0"/>
              <w:rPr>
                <w:szCs w:val="20"/>
              </w:rPr>
            </w:pPr>
          </w:p>
        </w:tc>
        <w:tc>
          <w:tcPr>
            <w:tcW w:w="1795" w:type="pct"/>
            <w:tcBorders>
              <w:bottom w:val="nil"/>
            </w:tcBorders>
          </w:tcPr>
          <w:p w14:paraId="2570DA6E" w14:textId="58544D97" w:rsidR="00A0596B" w:rsidRPr="009475AF" w:rsidRDefault="00A0596B" w:rsidP="00A0596B">
            <w:pPr>
              <w:pStyle w:val="TableText0"/>
            </w:pPr>
            <w:r w:rsidRPr="009475AF">
              <w:t>Evaluation of Dupilumab in Children With Uncontrolled Asthma</w:t>
            </w:r>
          </w:p>
        </w:tc>
        <w:tc>
          <w:tcPr>
            <w:tcW w:w="2409" w:type="pct"/>
            <w:tcBorders>
              <w:bottom w:val="nil"/>
            </w:tcBorders>
          </w:tcPr>
          <w:p w14:paraId="7578773D" w14:textId="79BD668D" w:rsidR="00A0596B" w:rsidRPr="009475AF" w:rsidRDefault="00D063AF" w:rsidP="004029D0">
            <w:pPr>
              <w:pStyle w:val="TableText0"/>
            </w:pPr>
            <w:r w:rsidRPr="009475AF">
              <w:t>7 December 2020</w:t>
            </w:r>
          </w:p>
        </w:tc>
      </w:tr>
      <w:tr w:rsidR="00D063AF" w:rsidRPr="009475AF" w14:paraId="7F06C7BE" w14:textId="77777777" w:rsidTr="007C50F6">
        <w:trPr>
          <w:cantSplit/>
        </w:trPr>
        <w:tc>
          <w:tcPr>
            <w:tcW w:w="796" w:type="pct"/>
            <w:vMerge/>
            <w:vAlign w:val="center"/>
          </w:tcPr>
          <w:p w14:paraId="2DE31C12" w14:textId="7BFA1DAD" w:rsidR="00D063AF" w:rsidRPr="009475AF" w:rsidRDefault="00D063AF" w:rsidP="00D063AF">
            <w:pPr>
              <w:pStyle w:val="TableText0"/>
              <w:jc w:val="center"/>
            </w:pPr>
          </w:p>
        </w:tc>
        <w:tc>
          <w:tcPr>
            <w:tcW w:w="1795" w:type="pct"/>
            <w:tcBorders>
              <w:top w:val="nil"/>
              <w:bottom w:val="nil"/>
            </w:tcBorders>
          </w:tcPr>
          <w:p w14:paraId="7CB8ADA9" w14:textId="6D34185E" w:rsidR="00D063AF" w:rsidRPr="009475AF" w:rsidRDefault="00D063AF" w:rsidP="00D063AF">
            <w:pPr>
              <w:pStyle w:val="TableText0"/>
            </w:pPr>
            <w:r w:rsidRPr="009475AF">
              <w:t xml:space="preserve">Bacharier L.B., Maspero J.F., Katelaris C.H., et </w:t>
            </w:r>
            <w:r w:rsidR="00BE2BF5" w:rsidRPr="009475AF">
              <w:t>al, Dupilumab</w:t>
            </w:r>
            <w:r w:rsidRPr="009475AF">
              <w:t xml:space="preserve"> in children with uncontrolled moderate-to-severe asthma</w:t>
            </w:r>
          </w:p>
        </w:tc>
        <w:tc>
          <w:tcPr>
            <w:tcW w:w="2409" w:type="pct"/>
            <w:tcBorders>
              <w:top w:val="nil"/>
              <w:bottom w:val="nil"/>
            </w:tcBorders>
          </w:tcPr>
          <w:p w14:paraId="61CF8345" w14:textId="77777777" w:rsidR="00D063AF" w:rsidRPr="009475AF" w:rsidRDefault="00D063AF" w:rsidP="00D063AF">
            <w:pPr>
              <w:pStyle w:val="TableText0"/>
            </w:pPr>
          </w:p>
          <w:p w14:paraId="70EBDC49" w14:textId="77777777" w:rsidR="00D063AF" w:rsidRPr="009475AF" w:rsidRDefault="00D063AF" w:rsidP="00D063AF">
            <w:pPr>
              <w:pStyle w:val="TableText0"/>
            </w:pPr>
          </w:p>
          <w:p w14:paraId="53EB2567" w14:textId="471104EE" w:rsidR="00D063AF" w:rsidRPr="009475AF" w:rsidRDefault="00D063AF" w:rsidP="00D063AF">
            <w:pPr>
              <w:pStyle w:val="TableText0"/>
            </w:pPr>
            <w:r w:rsidRPr="009475AF">
              <w:t xml:space="preserve">NEJM 2021; 385:2230-2240. </w:t>
            </w:r>
          </w:p>
        </w:tc>
      </w:tr>
      <w:tr w:rsidR="00D063AF" w:rsidRPr="009475AF" w14:paraId="28A72EC8" w14:textId="77777777" w:rsidTr="007C50F6">
        <w:trPr>
          <w:cantSplit/>
        </w:trPr>
        <w:tc>
          <w:tcPr>
            <w:tcW w:w="796" w:type="pct"/>
            <w:vMerge/>
            <w:tcBorders>
              <w:bottom w:val="single" w:sz="4" w:space="0" w:color="auto"/>
            </w:tcBorders>
            <w:vAlign w:val="center"/>
          </w:tcPr>
          <w:p w14:paraId="4229B05F" w14:textId="77777777" w:rsidR="00D063AF" w:rsidRPr="009475AF" w:rsidRDefault="00D063AF" w:rsidP="00D063AF">
            <w:pPr>
              <w:pStyle w:val="TableText0"/>
              <w:jc w:val="center"/>
            </w:pPr>
          </w:p>
        </w:tc>
        <w:tc>
          <w:tcPr>
            <w:tcW w:w="1795" w:type="pct"/>
            <w:tcBorders>
              <w:top w:val="nil"/>
              <w:bottom w:val="single" w:sz="4" w:space="0" w:color="auto"/>
            </w:tcBorders>
          </w:tcPr>
          <w:p w14:paraId="545FF92A" w14:textId="6427DC14" w:rsidR="00D063AF" w:rsidRPr="009475AF" w:rsidRDefault="00D063AF" w:rsidP="00D063AF">
            <w:pPr>
              <w:pStyle w:val="TableText0"/>
            </w:pPr>
            <w:r w:rsidRPr="009475AF">
              <w:t>Jackson, J.D., Bacharier, L.B., Phipatanakul W., et al, Dupilumab pharmacokinetics and effect on type 2 biomarkers in children with moderate-to-severe asthma</w:t>
            </w:r>
          </w:p>
        </w:tc>
        <w:tc>
          <w:tcPr>
            <w:tcW w:w="2409" w:type="pct"/>
            <w:tcBorders>
              <w:top w:val="nil"/>
              <w:bottom w:val="single" w:sz="4" w:space="0" w:color="auto"/>
            </w:tcBorders>
          </w:tcPr>
          <w:p w14:paraId="00E69322" w14:textId="25C63473" w:rsidR="00D063AF" w:rsidRPr="009475AF" w:rsidRDefault="00D063AF" w:rsidP="00D063AF">
            <w:pPr>
              <w:pStyle w:val="TableText0"/>
            </w:pPr>
            <w:r w:rsidRPr="009475AF">
              <w:t>Ann Allergy Asthma and Immunology 2023; 131:44-51.e4.</w:t>
            </w:r>
          </w:p>
        </w:tc>
      </w:tr>
      <w:tr w:rsidR="00D063AF" w:rsidRPr="009475AF" w14:paraId="74132A1A" w14:textId="77777777" w:rsidTr="007C50F6">
        <w:trPr>
          <w:cantSplit/>
        </w:trPr>
        <w:tc>
          <w:tcPr>
            <w:tcW w:w="796" w:type="pct"/>
            <w:vMerge w:val="restart"/>
            <w:vAlign w:val="center"/>
          </w:tcPr>
          <w:p w14:paraId="15C6F985" w14:textId="51008B56" w:rsidR="00B0317B" w:rsidRPr="009475AF" w:rsidRDefault="00B0317B" w:rsidP="00B0317B">
            <w:pPr>
              <w:pStyle w:val="TableText0"/>
            </w:pPr>
            <w:r w:rsidRPr="009475AF">
              <w:t>IA05</w:t>
            </w:r>
          </w:p>
          <w:p w14:paraId="1CEE3F4E" w14:textId="77777777" w:rsidR="00B0317B" w:rsidRPr="009475AF" w:rsidRDefault="00B0317B" w:rsidP="00B0317B">
            <w:pPr>
              <w:pStyle w:val="TableText0"/>
            </w:pPr>
          </w:p>
          <w:p w14:paraId="58F5E713" w14:textId="77777777" w:rsidR="00D063AF" w:rsidRPr="009475AF" w:rsidRDefault="00D063AF" w:rsidP="00D063AF">
            <w:pPr>
              <w:pStyle w:val="TableText0"/>
            </w:pPr>
            <w:r w:rsidRPr="009475AF">
              <w:t>NCT00079937</w:t>
            </w:r>
          </w:p>
          <w:p w14:paraId="30BA87AC" w14:textId="36EA6372" w:rsidR="00D063AF" w:rsidRPr="009475AF" w:rsidRDefault="00D063AF" w:rsidP="00D063AF">
            <w:pPr>
              <w:pStyle w:val="TableText0"/>
              <w:jc w:val="center"/>
              <w:rPr>
                <w:rFonts w:ascii="Times" w:hAnsi="Times"/>
              </w:rPr>
            </w:pPr>
          </w:p>
        </w:tc>
        <w:tc>
          <w:tcPr>
            <w:tcW w:w="1795" w:type="pct"/>
            <w:tcBorders>
              <w:bottom w:val="nil"/>
            </w:tcBorders>
          </w:tcPr>
          <w:p w14:paraId="7EF3AEBB" w14:textId="7FF8978A" w:rsidR="00D063AF" w:rsidRPr="009475AF" w:rsidRDefault="00D063AF" w:rsidP="00D063AF">
            <w:pPr>
              <w:pStyle w:val="TableText0"/>
              <w:rPr>
                <w:rFonts w:ascii="Times" w:hAnsi="Times"/>
              </w:rPr>
            </w:pPr>
            <w:r w:rsidRPr="009475AF">
              <w:t>Efficacy and Safety of Omalizumab in Children (6 - &lt; 12 Years) With Moderate-severe, Inadequately Controlled Allergic Asthma</w:t>
            </w:r>
          </w:p>
        </w:tc>
        <w:tc>
          <w:tcPr>
            <w:tcW w:w="2409" w:type="pct"/>
            <w:tcBorders>
              <w:bottom w:val="nil"/>
            </w:tcBorders>
          </w:tcPr>
          <w:p w14:paraId="65832AF0" w14:textId="12E76742" w:rsidR="00D063AF" w:rsidRPr="009475AF" w:rsidRDefault="00D063AF" w:rsidP="00D063AF">
            <w:pPr>
              <w:pStyle w:val="TableText0"/>
            </w:pPr>
            <w:r w:rsidRPr="009475AF">
              <w:t>Not provided</w:t>
            </w:r>
          </w:p>
        </w:tc>
      </w:tr>
      <w:tr w:rsidR="00D063AF" w:rsidRPr="009475AF" w14:paraId="773CEEFA" w14:textId="77777777" w:rsidTr="007C50F6">
        <w:trPr>
          <w:cantSplit/>
        </w:trPr>
        <w:tc>
          <w:tcPr>
            <w:tcW w:w="796" w:type="pct"/>
            <w:vMerge/>
            <w:vAlign w:val="center"/>
          </w:tcPr>
          <w:p w14:paraId="4729CCC6" w14:textId="77777777" w:rsidR="00D063AF" w:rsidRPr="009475AF" w:rsidRDefault="00D063AF" w:rsidP="00D063AF">
            <w:pPr>
              <w:pStyle w:val="TableText0"/>
            </w:pPr>
          </w:p>
        </w:tc>
        <w:tc>
          <w:tcPr>
            <w:tcW w:w="1795" w:type="pct"/>
            <w:tcBorders>
              <w:top w:val="nil"/>
              <w:bottom w:val="nil"/>
            </w:tcBorders>
          </w:tcPr>
          <w:p w14:paraId="29A19316" w14:textId="2B5F73F7" w:rsidR="00D063AF" w:rsidRPr="009475AF" w:rsidRDefault="00D063AF" w:rsidP="00D063AF">
            <w:pPr>
              <w:pStyle w:val="TableText0"/>
            </w:pPr>
            <w:r w:rsidRPr="009475AF">
              <w:t>Kulus M., Hébert J., Garcia E., et al, Omalizumab in children with inadequately controlled severe allergic (IgE-mediated) asthma,</w:t>
            </w:r>
          </w:p>
        </w:tc>
        <w:tc>
          <w:tcPr>
            <w:tcW w:w="2409" w:type="pct"/>
            <w:tcBorders>
              <w:top w:val="nil"/>
              <w:bottom w:val="nil"/>
            </w:tcBorders>
          </w:tcPr>
          <w:p w14:paraId="36946D96" w14:textId="22158E7A" w:rsidR="00D063AF" w:rsidRPr="009475AF" w:rsidRDefault="00D063AF" w:rsidP="00D063AF">
            <w:pPr>
              <w:pStyle w:val="TableText0"/>
            </w:pPr>
            <w:r w:rsidRPr="009475AF">
              <w:t>Current Medical Research and Opinion 2010 26:1285-1293.</w:t>
            </w:r>
          </w:p>
        </w:tc>
      </w:tr>
      <w:tr w:rsidR="00D063AF" w:rsidRPr="009475AF" w14:paraId="72FE99D8" w14:textId="77777777" w:rsidTr="007C50F6">
        <w:trPr>
          <w:cantSplit/>
        </w:trPr>
        <w:tc>
          <w:tcPr>
            <w:tcW w:w="796" w:type="pct"/>
            <w:vMerge/>
            <w:tcBorders>
              <w:bottom w:val="single" w:sz="4" w:space="0" w:color="auto"/>
            </w:tcBorders>
            <w:vAlign w:val="center"/>
          </w:tcPr>
          <w:p w14:paraId="1E431D63" w14:textId="177A5F18" w:rsidR="00D063AF" w:rsidRPr="009475AF" w:rsidRDefault="00D063AF" w:rsidP="00D063AF">
            <w:pPr>
              <w:pStyle w:val="TableText0"/>
              <w:jc w:val="center"/>
            </w:pPr>
          </w:p>
        </w:tc>
        <w:tc>
          <w:tcPr>
            <w:tcW w:w="1795" w:type="pct"/>
            <w:tcBorders>
              <w:top w:val="nil"/>
              <w:bottom w:val="single" w:sz="4" w:space="0" w:color="auto"/>
            </w:tcBorders>
          </w:tcPr>
          <w:p w14:paraId="0FCB0ED9" w14:textId="7B0F7A64" w:rsidR="00D063AF" w:rsidRPr="009475AF" w:rsidRDefault="00D063AF" w:rsidP="00D063AF">
            <w:pPr>
              <w:pStyle w:val="TableText0"/>
            </w:pPr>
            <w:r w:rsidRPr="009475AF">
              <w:t>Lanier B., Bridges T., Kulus M., Taylor A.F., et al, Omalizumab for the treatment of exacerbations in children with inadequately controlled allergic (IgE-mediated) asthma.</w:t>
            </w:r>
          </w:p>
        </w:tc>
        <w:tc>
          <w:tcPr>
            <w:tcW w:w="2409" w:type="pct"/>
            <w:tcBorders>
              <w:top w:val="nil"/>
              <w:bottom w:val="single" w:sz="4" w:space="0" w:color="auto"/>
            </w:tcBorders>
          </w:tcPr>
          <w:p w14:paraId="7C0550ED" w14:textId="3142EEE5" w:rsidR="00D063AF" w:rsidRPr="009475AF" w:rsidRDefault="00D063AF" w:rsidP="00D063AF">
            <w:pPr>
              <w:pStyle w:val="TableText0"/>
            </w:pPr>
            <w:r w:rsidRPr="009475AF">
              <w:t>Journal of Allergy and Clinical Immunology 2009; 124: 1210-1216.</w:t>
            </w:r>
          </w:p>
        </w:tc>
      </w:tr>
    </w:tbl>
    <w:p w14:paraId="51D8173A" w14:textId="531CC964" w:rsidR="008E0D3C" w:rsidRPr="009475AF" w:rsidRDefault="008E0D3C" w:rsidP="00EC5836">
      <w:pPr>
        <w:pStyle w:val="FooterTableFigure"/>
        <w:rPr>
          <w:sz w:val="20"/>
        </w:rPr>
      </w:pPr>
      <w:r w:rsidRPr="009475AF">
        <w:t xml:space="preserve">Source: </w:t>
      </w:r>
      <w:r w:rsidR="005248A4" w:rsidRPr="009475AF">
        <w:t>Table 2.5</w:t>
      </w:r>
      <w:r w:rsidR="00FC22E4">
        <w:t xml:space="preserve"> </w:t>
      </w:r>
      <w:r w:rsidRPr="009475AF">
        <w:t>of the submission.</w:t>
      </w:r>
    </w:p>
    <w:p w14:paraId="28A4E656" w14:textId="177BC831" w:rsidR="00BE4E62" w:rsidRPr="009475AF" w:rsidRDefault="00217053" w:rsidP="00217053">
      <w:pPr>
        <w:pStyle w:val="Caption"/>
        <w:rPr>
          <w:rStyle w:val="CommentReference"/>
          <w:rFonts w:eastAsiaTheme="majorEastAsia" w:cstheme="majorBidi"/>
          <w:b/>
          <w:szCs w:val="24"/>
        </w:rPr>
      </w:pPr>
      <w:bookmarkStart w:id="20" w:name="_Ref152755094"/>
      <w:r w:rsidRPr="009475AF">
        <w:t xml:space="preserve">Table </w:t>
      </w:r>
      <w:r w:rsidR="00696736">
        <w:fldChar w:fldCharType="begin" w:fldLock="1"/>
      </w:r>
      <w:r w:rsidR="00696736">
        <w:instrText xml:space="preserve"> SEQ Table \*</w:instrText>
      </w:r>
      <w:r w:rsidR="00696736">
        <w:instrText xml:space="preserve"> ARABIC </w:instrText>
      </w:r>
      <w:r w:rsidR="00696736">
        <w:fldChar w:fldCharType="separate"/>
      </w:r>
      <w:r w:rsidR="00F866CD" w:rsidRPr="009475AF">
        <w:t>3</w:t>
      </w:r>
      <w:r w:rsidR="00696736">
        <w:fldChar w:fldCharType="end"/>
      </w:r>
      <w:bookmarkEnd w:id="20"/>
      <w:r w:rsidR="00BE4E62" w:rsidRPr="009475AF">
        <w:rPr>
          <w:rStyle w:val="CommentReference"/>
          <w:rFonts w:eastAsiaTheme="majorEastAsia" w:cstheme="majorBidi"/>
          <w:b/>
          <w:szCs w:val="24"/>
        </w:rPr>
        <w:t>: Key features of the included evidence for the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for the indirect comparison"/>
      </w:tblPr>
      <w:tblGrid>
        <w:gridCol w:w="984"/>
        <w:gridCol w:w="851"/>
        <w:gridCol w:w="1277"/>
        <w:gridCol w:w="992"/>
        <w:gridCol w:w="1701"/>
        <w:gridCol w:w="2126"/>
        <w:gridCol w:w="1086"/>
      </w:tblGrid>
      <w:tr w:rsidR="00BE4E62" w:rsidRPr="009475AF" w14:paraId="39B4CEA9" w14:textId="77777777" w:rsidTr="00A15C41">
        <w:trPr>
          <w:cantSplit/>
          <w:tblHeader/>
        </w:trPr>
        <w:tc>
          <w:tcPr>
            <w:tcW w:w="546" w:type="pct"/>
            <w:shd w:val="clear" w:color="auto" w:fill="auto"/>
            <w:vAlign w:val="center"/>
          </w:tcPr>
          <w:p w14:paraId="592539FF" w14:textId="77777777" w:rsidR="00BE4E62" w:rsidRPr="009475AF" w:rsidRDefault="00BE4E62" w:rsidP="00A15C41">
            <w:pPr>
              <w:pStyle w:val="In-tableHeading"/>
              <w:rPr>
                <w:lang w:val="en-AU"/>
              </w:rPr>
            </w:pPr>
            <w:r w:rsidRPr="009475AF">
              <w:rPr>
                <w:lang w:val="en-AU"/>
              </w:rPr>
              <w:t>Trial</w:t>
            </w:r>
          </w:p>
        </w:tc>
        <w:tc>
          <w:tcPr>
            <w:tcW w:w="472" w:type="pct"/>
            <w:shd w:val="clear" w:color="auto" w:fill="auto"/>
            <w:vAlign w:val="center"/>
          </w:tcPr>
          <w:p w14:paraId="042ED3CB" w14:textId="77777777" w:rsidR="00BE4E62" w:rsidRPr="009475AF" w:rsidRDefault="00BE4E62" w:rsidP="00A15C41">
            <w:pPr>
              <w:pStyle w:val="In-tableHeading"/>
              <w:jc w:val="center"/>
              <w:rPr>
                <w:lang w:val="en-AU"/>
              </w:rPr>
            </w:pPr>
            <w:r w:rsidRPr="009475AF">
              <w:rPr>
                <w:lang w:val="en-AU"/>
              </w:rPr>
              <w:t>N</w:t>
            </w:r>
          </w:p>
        </w:tc>
        <w:tc>
          <w:tcPr>
            <w:tcW w:w="708" w:type="pct"/>
            <w:shd w:val="clear" w:color="auto" w:fill="auto"/>
            <w:vAlign w:val="center"/>
          </w:tcPr>
          <w:p w14:paraId="137FB24B" w14:textId="77777777" w:rsidR="00BE4E62" w:rsidRPr="009475AF" w:rsidRDefault="00BE4E62" w:rsidP="00A15C41">
            <w:pPr>
              <w:pStyle w:val="In-tableHeading"/>
              <w:jc w:val="center"/>
              <w:rPr>
                <w:lang w:val="en-AU"/>
              </w:rPr>
            </w:pPr>
            <w:r w:rsidRPr="009475AF">
              <w:rPr>
                <w:lang w:val="en-AU"/>
              </w:rPr>
              <w:t>Design/ duration</w:t>
            </w:r>
          </w:p>
        </w:tc>
        <w:tc>
          <w:tcPr>
            <w:tcW w:w="550" w:type="pct"/>
            <w:shd w:val="clear" w:color="auto" w:fill="auto"/>
            <w:vAlign w:val="center"/>
          </w:tcPr>
          <w:p w14:paraId="24E7ACC8" w14:textId="77777777" w:rsidR="00BE4E62" w:rsidRPr="009475AF" w:rsidRDefault="00BE4E62" w:rsidP="00A15C41">
            <w:pPr>
              <w:pStyle w:val="In-tableHeading"/>
              <w:jc w:val="center"/>
              <w:rPr>
                <w:lang w:val="en-AU"/>
              </w:rPr>
            </w:pPr>
            <w:r w:rsidRPr="009475AF">
              <w:rPr>
                <w:lang w:val="en-AU"/>
              </w:rPr>
              <w:t>Risk of bias</w:t>
            </w:r>
          </w:p>
        </w:tc>
        <w:tc>
          <w:tcPr>
            <w:tcW w:w="943" w:type="pct"/>
            <w:shd w:val="clear" w:color="auto" w:fill="auto"/>
            <w:vAlign w:val="center"/>
          </w:tcPr>
          <w:p w14:paraId="66DC3DB6" w14:textId="77777777" w:rsidR="00BE4E62" w:rsidRPr="009475AF" w:rsidRDefault="00BE4E62" w:rsidP="00A15C41">
            <w:pPr>
              <w:pStyle w:val="In-tableHeading"/>
              <w:jc w:val="center"/>
              <w:rPr>
                <w:lang w:val="en-AU"/>
              </w:rPr>
            </w:pPr>
            <w:r w:rsidRPr="009475AF">
              <w:rPr>
                <w:lang w:val="en-AU"/>
              </w:rPr>
              <w:t>Patient population</w:t>
            </w:r>
          </w:p>
        </w:tc>
        <w:tc>
          <w:tcPr>
            <w:tcW w:w="1179" w:type="pct"/>
            <w:shd w:val="clear" w:color="auto" w:fill="auto"/>
            <w:vAlign w:val="center"/>
          </w:tcPr>
          <w:p w14:paraId="2A384CC7" w14:textId="77777777" w:rsidR="00BE4E62" w:rsidRPr="009475AF" w:rsidRDefault="00BE4E62" w:rsidP="00A15C41">
            <w:pPr>
              <w:pStyle w:val="In-tableHeading"/>
              <w:jc w:val="center"/>
              <w:rPr>
                <w:lang w:val="en-AU"/>
              </w:rPr>
            </w:pPr>
            <w:r w:rsidRPr="009475AF">
              <w:rPr>
                <w:lang w:val="en-AU"/>
              </w:rPr>
              <w:t>Primary Outcome</w:t>
            </w:r>
          </w:p>
        </w:tc>
        <w:tc>
          <w:tcPr>
            <w:tcW w:w="602" w:type="pct"/>
            <w:shd w:val="clear" w:color="auto" w:fill="auto"/>
            <w:vAlign w:val="center"/>
          </w:tcPr>
          <w:p w14:paraId="4CE64A14" w14:textId="53DBA4F5" w:rsidR="00BE4E62" w:rsidRPr="009475AF" w:rsidRDefault="00BE4E62" w:rsidP="00A15C41">
            <w:pPr>
              <w:pStyle w:val="In-tableHeading"/>
              <w:jc w:val="center"/>
              <w:rPr>
                <w:lang w:val="en-AU"/>
              </w:rPr>
            </w:pPr>
            <w:r w:rsidRPr="009475AF">
              <w:rPr>
                <w:lang w:val="en-AU"/>
              </w:rPr>
              <w:t xml:space="preserve">Use in </w:t>
            </w:r>
            <w:r w:rsidR="00F95512" w:rsidRPr="009475AF">
              <w:rPr>
                <w:lang w:val="en-AU"/>
              </w:rPr>
              <w:t xml:space="preserve">economic </w:t>
            </w:r>
            <w:r w:rsidRPr="009475AF">
              <w:rPr>
                <w:lang w:val="en-AU"/>
              </w:rPr>
              <w:t>evaluation</w:t>
            </w:r>
          </w:p>
        </w:tc>
      </w:tr>
      <w:tr w:rsidR="00BE4E62" w:rsidRPr="009475AF" w14:paraId="20CD598A" w14:textId="77777777" w:rsidTr="00A15C41">
        <w:trPr>
          <w:cantSplit/>
        </w:trPr>
        <w:tc>
          <w:tcPr>
            <w:tcW w:w="5000" w:type="pct"/>
            <w:gridSpan w:val="7"/>
            <w:shd w:val="clear" w:color="auto" w:fill="auto"/>
            <w:vAlign w:val="center"/>
          </w:tcPr>
          <w:p w14:paraId="68690AB9" w14:textId="77777777" w:rsidR="00BE4E62" w:rsidRPr="009475AF" w:rsidRDefault="00BE4E62" w:rsidP="00A15C41">
            <w:pPr>
              <w:pStyle w:val="In-tableHeading"/>
              <w:rPr>
                <w:lang w:val="en-AU"/>
              </w:rPr>
            </w:pPr>
            <w:r w:rsidRPr="009475AF">
              <w:rPr>
                <w:lang w:val="en-AU"/>
              </w:rPr>
              <w:t>Dupilumab vs placebo</w:t>
            </w:r>
          </w:p>
        </w:tc>
      </w:tr>
      <w:tr w:rsidR="00BE4E62" w:rsidRPr="009475AF" w14:paraId="6A1AC0C0" w14:textId="77777777" w:rsidTr="00A15C41">
        <w:trPr>
          <w:cantSplit/>
        </w:trPr>
        <w:tc>
          <w:tcPr>
            <w:tcW w:w="546" w:type="pct"/>
            <w:shd w:val="clear" w:color="auto" w:fill="auto"/>
            <w:vAlign w:val="center"/>
          </w:tcPr>
          <w:p w14:paraId="00F0C00E" w14:textId="77777777" w:rsidR="00BE4E62" w:rsidRPr="009475AF" w:rsidRDefault="00BE4E62" w:rsidP="00A15C41">
            <w:pPr>
              <w:pStyle w:val="TableText0"/>
            </w:pPr>
            <w:r w:rsidRPr="009475AF">
              <w:t>VOYAGE</w:t>
            </w:r>
          </w:p>
        </w:tc>
        <w:tc>
          <w:tcPr>
            <w:tcW w:w="472" w:type="pct"/>
            <w:shd w:val="clear" w:color="auto" w:fill="auto"/>
            <w:vAlign w:val="center"/>
          </w:tcPr>
          <w:p w14:paraId="2F04800D" w14:textId="77777777" w:rsidR="00BE4E62" w:rsidRPr="009475AF" w:rsidRDefault="00BE4E62" w:rsidP="00FE6558">
            <w:pPr>
              <w:pStyle w:val="TableText0"/>
              <w:jc w:val="center"/>
            </w:pPr>
            <w:r w:rsidRPr="009475AF">
              <w:t>408</w:t>
            </w:r>
          </w:p>
        </w:tc>
        <w:tc>
          <w:tcPr>
            <w:tcW w:w="708" w:type="pct"/>
            <w:shd w:val="clear" w:color="auto" w:fill="auto"/>
            <w:vAlign w:val="center"/>
          </w:tcPr>
          <w:p w14:paraId="5AB13795" w14:textId="77777777" w:rsidR="00BE4E62" w:rsidRPr="009475AF" w:rsidRDefault="00BE4E62" w:rsidP="00FE6558">
            <w:pPr>
              <w:pStyle w:val="TableText0"/>
              <w:jc w:val="center"/>
            </w:pPr>
            <w:r w:rsidRPr="009475AF">
              <w:t>R, DB, MC, 52 weeks</w:t>
            </w:r>
          </w:p>
          <w:p w14:paraId="5BAE31B2" w14:textId="77777777" w:rsidR="00BE4E62" w:rsidRPr="009475AF" w:rsidRDefault="00BE4E62" w:rsidP="00A15C41">
            <w:pPr>
              <w:pStyle w:val="TableText0"/>
            </w:pPr>
          </w:p>
        </w:tc>
        <w:tc>
          <w:tcPr>
            <w:tcW w:w="550" w:type="pct"/>
            <w:shd w:val="clear" w:color="auto" w:fill="auto"/>
            <w:vAlign w:val="center"/>
          </w:tcPr>
          <w:p w14:paraId="44B564BD" w14:textId="77777777" w:rsidR="00BE4E62" w:rsidRPr="009475AF" w:rsidRDefault="00BE4E62" w:rsidP="00FE6558">
            <w:pPr>
              <w:pStyle w:val="TableText0"/>
              <w:jc w:val="center"/>
            </w:pPr>
            <w:r w:rsidRPr="009475AF">
              <w:t>Low</w:t>
            </w:r>
          </w:p>
        </w:tc>
        <w:tc>
          <w:tcPr>
            <w:tcW w:w="943" w:type="pct"/>
            <w:shd w:val="clear" w:color="auto" w:fill="auto"/>
            <w:vAlign w:val="center"/>
          </w:tcPr>
          <w:p w14:paraId="7DE66FC9" w14:textId="77777777" w:rsidR="00BE4E62" w:rsidRPr="009475AF" w:rsidRDefault="00BE4E62" w:rsidP="00FE6558">
            <w:pPr>
              <w:pStyle w:val="TableText0"/>
              <w:jc w:val="center"/>
            </w:pPr>
            <w:r w:rsidRPr="009475AF">
              <w:t>Uncontrolled asthma despite medium or high-dose ICS and recent severe exacerbations</w:t>
            </w:r>
          </w:p>
        </w:tc>
        <w:tc>
          <w:tcPr>
            <w:tcW w:w="1179" w:type="pct"/>
            <w:shd w:val="clear" w:color="auto" w:fill="auto"/>
            <w:vAlign w:val="center"/>
          </w:tcPr>
          <w:p w14:paraId="0C5B7D04" w14:textId="4A358191" w:rsidR="00BE4E62" w:rsidRPr="009475AF" w:rsidRDefault="00BE4E62" w:rsidP="00FE6558">
            <w:pPr>
              <w:pStyle w:val="TableText0"/>
              <w:jc w:val="center"/>
            </w:pPr>
            <w:r w:rsidRPr="009475AF">
              <w:t>Rate of exacerbations over 52 w</w:t>
            </w:r>
            <w:r w:rsidR="00877C54" w:rsidRPr="009475AF">
              <w:t>ee</w:t>
            </w:r>
            <w:r w:rsidRPr="009475AF">
              <w:t>k</w:t>
            </w:r>
            <w:r w:rsidR="00877C54" w:rsidRPr="009475AF">
              <w:t>s</w:t>
            </w:r>
            <w:r w:rsidRPr="009475AF">
              <w:t xml:space="preserve"> requiring systemic steroids ≥3 days, or which resulted in hospitalisation or emergency room visit and use of systemic steroids</w:t>
            </w:r>
          </w:p>
        </w:tc>
        <w:tc>
          <w:tcPr>
            <w:tcW w:w="602" w:type="pct"/>
            <w:shd w:val="clear" w:color="auto" w:fill="auto"/>
            <w:vAlign w:val="center"/>
          </w:tcPr>
          <w:p w14:paraId="2CD7B3D5" w14:textId="77777777" w:rsidR="00BE4E62" w:rsidRPr="009475AF" w:rsidRDefault="00BE4E62" w:rsidP="00A15C41">
            <w:pPr>
              <w:pStyle w:val="TableText0"/>
              <w:jc w:val="center"/>
            </w:pPr>
            <w:r w:rsidRPr="009475AF">
              <w:t>Used</w:t>
            </w:r>
          </w:p>
        </w:tc>
      </w:tr>
      <w:tr w:rsidR="00BE4E62" w:rsidRPr="009475AF" w14:paraId="7B56F391" w14:textId="77777777" w:rsidTr="00A15C41">
        <w:trPr>
          <w:cantSplit/>
        </w:trPr>
        <w:tc>
          <w:tcPr>
            <w:tcW w:w="5000" w:type="pct"/>
            <w:gridSpan w:val="7"/>
            <w:shd w:val="clear" w:color="auto" w:fill="auto"/>
            <w:vAlign w:val="center"/>
          </w:tcPr>
          <w:p w14:paraId="1F6185CE" w14:textId="77777777" w:rsidR="00BE4E62" w:rsidRPr="009475AF" w:rsidRDefault="00BE4E62" w:rsidP="00A15C41">
            <w:pPr>
              <w:pStyle w:val="TableText0"/>
              <w:rPr>
                <w:b/>
                <w:bCs w:val="0"/>
              </w:rPr>
            </w:pPr>
            <w:r w:rsidRPr="009475AF">
              <w:rPr>
                <w:b/>
                <w:bCs w:val="0"/>
              </w:rPr>
              <w:t>Omalizumab vs placebo</w:t>
            </w:r>
          </w:p>
        </w:tc>
      </w:tr>
      <w:tr w:rsidR="00BE4E62" w:rsidRPr="009475AF" w14:paraId="3F52D2D3" w14:textId="77777777" w:rsidTr="00A15C41">
        <w:trPr>
          <w:cantSplit/>
        </w:trPr>
        <w:tc>
          <w:tcPr>
            <w:tcW w:w="546" w:type="pct"/>
            <w:shd w:val="clear" w:color="auto" w:fill="auto"/>
            <w:vAlign w:val="center"/>
          </w:tcPr>
          <w:p w14:paraId="51CB09AB" w14:textId="77777777" w:rsidR="00BE4E62" w:rsidRPr="009475AF" w:rsidRDefault="00BE4E62" w:rsidP="00A15C41">
            <w:pPr>
              <w:pStyle w:val="TableText0"/>
            </w:pPr>
            <w:r w:rsidRPr="009475AF">
              <w:t>IA05</w:t>
            </w:r>
          </w:p>
        </w:tc>
        <w:tc>
          <w:tcPr>
            <w:tcW w:w="472" w:type="pct"/>
            <w:shd w:val="clear" w:color="auto" w:fill="auto"/>
            <w:vAlign w:val="center"/>
          </w:tcPr>
          <w:p w14:paraId="753ED908" w14:textId="77777777" w:rsidR="00BE4E62" w:rsidRPr="009475AF" w:rsidRDefault="00BE4E62" w:rsidP="00FE6558">
            <w:pPr>
              <w:pStyle w:val="TableText0"/>
              <w:jc w:val="center"/>
            </w:pPr>
            <w:r w:rsidRPr="009475AF">
              <w:t>627</w:t>
            </w:r>
          </w:p>
        </w:tc>
        <w:tc>
          <w:tcPr>
            <w:tcW w:w="708" w:type="pct"/>
            <w:shd w:val="clear" w:color="auto" w:fill="auto"/>
            <w:vAlign w:val="center"/>
          </w:tcPr>
          <w:p w14:paraId="0719080A" w14:textId="77777777" w:rsidR="00BE4E62" w:rsidRPr="009475AF" w:rsidRDefault="00BE4E62" w:rsidP="00FE6558">
            <w:pPr>
              <w:pStyle w:val="TableText0"/>
              <w:jc w:val="center"/>
            </w:pPr>
            <w:r w:rsidRPr="009475AF">
              <w:t>R, DB, MC, 52 weeks</w:t>
            </w:r>
          </w:p>
          <w:p w14:paraId="66560BF9" w14:textId="77777777" w:rsidR="00BE4E62" w:rsidRPr="009475AF" w:rsidRDefault="00BE4E62" w:rsidP="00A15C41">
            <w:pPr>
              <w:pStyle w:val="TableText0"/>
            </w:pPr>
          </w:p>
        </w:tc>
        <w:tc>
          <w:tcPr>
            <w:tcW w:w="550" w:type="pct"/>
            <w:shd w:val="clear" w:color="auto" w:fill="auto"/>
            <w:vAlign w:val="center"/>
          </w:tcPr>
          <w:p w14:paraId="0E162CF9" w14:textId="77777777" w:rsidR="00BE4E62" w:rsidRPr="009475AF" w:rsidRDefault="00BE4E62" w:rsidP="00FE6558">
            <w:pPr>
              <w:pStyle w:val="TableText0"/>
              <w:jc w:val="center"/>
            </w:pPr>
            <w:r w:rsidRPr="009475AF">
              <w:t>Low</w:t>
            </w:r>
          </w:p>
        </w:tc>
        <w:tc>
          <w:tcPr>
            <w:tcW w:w="943" w:type="pct"/>
            <w:shd w:val="clear" w:color="auto" w:fill="auto"/>
            <w:vAlign w:val="center"/>
          </w:tcPr>
          <w:p w14:paraId="3FDE0657" w14:textId="77777777" w:rsidR="00FE6558" w:rsidRDefault="00BE4E62" w:rsidP="00FE6558">
            <w:pPr>
              <w:pStyle w:val="TableText0"/>
              <w:jc w:val="center"/>
            </w:pPr>
            <w:r w:rsidRPr="009475AF">
              <w:t xml:space="preserve">Uncontrolled asthma despite medium or high-dose ICS and recent severe exacerbations, and total serum IgE </w:t>
            </w:r>
          </w:p>
          <w:p w14:paraId="44DF0E36" w14:textId="43A60FB9" w:rsidR="00FE6558" w:rsidRDefault="00BE4E62" w:rsidP="00FE6558">
            <w:pPr>
              <w:pStyle w:val="TableText0"/>
              <w:jc w:val="center"/>
            </w:pPr>
            <w:r w:rsidRPr="009475AF">
              <w:sym w:font="Symbol" w:char="F0B3"/>
            </w:r>
            <w:r w:rsidRPr="009475AF">
              <w:t xml:space="preserve"> 30 IU/mL and</w:t>
            </w:r>
          </w:p>
          <w:p w14:paraId="03C7F3F3" w14:textId="0E433F46" w:rsidR="00BE4E62" w:rsidRPr="009475AF" w:rsidRDefault="00BE4E62" w:rsidP="00FE6558">
            <w:pPr>
              <w:pStyle w:val="TableText0"/>
              <w:jc w:val="center"/>
            </w:pPr>
            <w:r w:rsidRPr="009475AF">
              <w:t xml:space="preserve"> &lt; 1300 IU/mL</w:t>
            </w:r>
          </w:p>
        </w:tc>
        <w:tc>
          <w:tcPr>
            <w:tcW w:w="1179" w:type="pct"/>
            <w:shd w:val="clear" w:color="auto" w:fill="auto"/>
            <w:vAlign w:val="center"/>
          </w:tcPr>
          <w:p w14:paraId="28E65A31" w14:textId="01B87950" w:rsidR="00BE4E62" w:rsidRPr="009475AF" w:rsidRDefault="00BE4E62" w:rsidP="00FE6558">
            <w:pPr>
              <w:pStyle w:val="TableText0"/>
              <w:jc w:val="center"/>
            </w:pPr>
            <w:r w:rsidRPr="009475AF">
              <w:t>Rate of exacerbations over 24 w</w:t>
            </w:r>
            <w:r w:rsidR="00877C54" w:rsidRPr="009475AF">
              <w:t>ee</w:t>
            </w:r>
            <w:r w:rsidRPr="009475AF">
              <w:t>k</w:t>
            </w:r>
            <w:r w:rsidR="00877C54" w:rsidRPr="009475AF">
              <w:t>s</w:t>
            </w:r>
            <w:r w:rsidRPr="009475AF">
              <w:t xml:space="preserve"> requiring doubling of ICS dose or systemic steroids ≥ 3 days</w:t>
            </w:r>
          </w:p>
        </w:tc>
        <w:tc>
          <w:tcPr>
            <w:tcW w:w="602" w:type="pct"/>
            <w:shd w:val="clear" w:color="auto" w:fill="auto"/>
            <w:vAlign w:val="center"/>
          </w:tcPr>
          <w:p w14:paraId="281EC406" w14:textId="77777777" w:rsidR="00BE4E62" w:rsidRPr="009475AF" w:rsidRDefault="00BE4E62" w:rsidP="00A15C41">
            <w:pPr>
              <w:pStyle w:val="TableText0"/>
              <w:jc w:val="center"/>
            </w:pPr>
            <w:r w:rsidRPr="009475AF">
              <w:t>Used</w:t>
            </w:r>
          </w:p>
        </w:tc>
      </w:tr>
    </w:tbl>
    <w:p w14:paraId="676ECEC7" w14:textId="07D8138D" w:rsidR="00BE4E62" w:rsidRPr="009475AF" w:rsidRDefault="00BE4E62" w:rsidP="00BE4E62">
      <w:pPr>
        <w:pStyle w:val="FooterTableFigure"/>
      </w:pPr>
      <w:r w:rsidRPr="009475AF">
        <w:t>Source: Constructed during the evaluation from VOYAGE CSR and Lanier et al, 2009, Attachment 12</w:t>
      </w:r>
      <w:r w:rsidR="009475AF">
        <w:t xml:space="preserve">. </w:t>
      </w:r>
    </w:p>
    <w:p w14:paraId="75AF3543" w14:textId="01BC8F19" w:rsidR="008A34C8" w:rsidRPr="009475AF" w:rsidRDefault="00BE4E62" w:rsidP="00217053">
      <w:pPr>
        <w:pStyle w:val="FooterTableFigure"/>
      </w:pPr>
      <w:r w:rsidRPr="009475AF">
        <w:t>DB = double blind; ICS = inhaled corticosteroids; MC = multi-centre; R = randomised.</w:t>
      </w:r>
    </w:p>
    <w:p w14:paraId="1F4CD6B7" w14:textId="1D814B6B" w:rsidR="0018303D" w:rsidRPr="009475AF" w:rsidRDefault="0018303D" w:rsidP="000D344A">
      <w:pPr>
        <w:pStyle w:val="3-BodyText"/>
      </w:pPr>
      <w:r w:rsidRPr="009475AF">
        <w:t xml:space="preserve">Both trials enrolled children aged 6 to </w:t>
      </w:r>
      <w:r w:rsidR="00154055" w:rsidRPr="009475AF">
        <w:t>&lt;</w:t>
      </w:r>
      <w:r w:rsidRPr="009475AF">
        <w:t xml:space="preserve">12 years, with severe asthma as defined by significant symptoms on medium or high dose ICS, and a recent history of exacerbations. </w:t>
      </w:r>
    </w:p>
    <w:p w14:paraId="04A00D27" w14:textId="24F43688" w:rsidR="00792874" w:rsidRPr="009475AF" w:rsidRDefault="00CD75EA" w:rsidP="00EC5836">
      <w:pPr>
        <w:pStyle w:val="3-BodyText"/>
        <w:rPr>
          <w:iCs/>
          <w:color w:val="000000" w:themeColor="text1"/>
        </w:rPr>
      </w:pPr>
      <w:r w:rsidRPr="009475AF">
        <w:rPr>
          <w:iCs/>
          <w:color w:val="000000" w:themeColor="text1"/>
        </w:rPr>
        <w:t>The</w:t>
      </w:r>
      <w:r w:rsidR="005606F8" w:rsidRPr="009475AF">
        <w:rPr>
          <w:iCs/>
          <w:color w:val="000000" w:themeColor="text1"/>
        </w:rPr>
        <w:t xml:space="preserve"> ESC </w:t>
      </w:r>
      <w:r w:rsidR="00A04781" w:rsidRPr="009475AF">
        <w:rPr>
          <w:iCs/>
          <w:color w:val="000000" w:themeColor="text1"/>
        </w:rPr>
        <w:t>noted</w:t>
      </w:r>
      <w:r w:rsidR="000D344A" w:rsidRPr="009475AF">
        <w:rPr>
          <w:iCs/>
          <w:color w:val="000000" w:themeColor="text1"/>
        </w:rPr>
        <w:t xml:space="preserve"> </w:t>
      </w:r>
      <w:r w:rsidRPr="009475AF">
        <w:rPr>
          <w:iCs/>
          <w:color w:val="000000" w:themeColor="text1"/>
        </w:rPr>
        <w:t xml:space="preserve">the </w:t>
      </w:r>
      <w:r w:rsidR="000D344A" w:rsidRPr="009475AF">
        <w:rPr>
          <w:iCs/>
          <w:color w:val="000000" w:themeColor="text1"/>
        </w:rPr>
        <w:t>eligib</w:t>
      </w:r>
      <w:r w:rsidRPr="009475AF">
        <w:rPr>
          <w:iCs/>
          <w:color w:val="000000" w:themeColor="text1"/>
        </w:rPr>
        <w:t>ility criteria</w:t>
      </w:r>
      <w:r w:rsidR="000D344A" w:rsidRPr="009475AF">
        <w:rPr>
          <w:iCs/>
          <w:color w:val="000000" w:themeColor="text1"/>
        </w:rPr>
        <w:t xml:space="preserve"> for VOYAGE</w:t>
      </w:r>
      <w:r w:rsidR="005606F8" w:rsidRPr="009475AF">
        <w:rPr>
          <w:iCs/>
          <w:color w:val="000000" w:themeColor="text1"/>
        </w:rPr>
        <w:t xml:space="preserve"> and</w:t>
      </w:r>
      <w:r w:rsidRPr="009475AF">
        <w:rPr>
          <w:iCs/>
          <w:color w:val="000000" w:themeColor="text1"/>
        </w:rPr>
        <w:t xml:space="preserve"> for IA-05</w:t>
      </w:r>
      <w:r w:rsidR="005606F8" w:rsidRPr="009475AF">
        <w:rPr>
          <w:iCs/>
          <w:color w:val="000000" w:themeColor="text1"/>
        </w:rPr>
        <w:t xml:space="preserve"> w</w:t>
      </w:r>
      <w:r w:rsidR="002B0454" w:rsidRPr="009475AF">
        <w:rPr>
          <w:iCs/>
          <w:color w:val="000000" w:themeColor="text1"/>
        </w:rPr>
        <w:t>ere</w:t>
      </w:r>
      <w:r w:rsidR="005606F8" w:rsidRPr="009475AF">
        <w:rPr>
          <w:iCs/>
          <w:color w:val="000000" w:themeColor="text1"/>
        </w:rPr>
        <w:t xml:space="preserve"> different than that proposed for PBS use of dupilumab and the existing PBS restriction for </w:t>
      </w:r>
      <w:r w:rsidR="000D344A" w:rsidRPr="009475AF">
        <w:rPr>
          <w:iCs/>
          <w:color w:val="000000" w:themeColor="text1"/>
        </w:rPr>
        <w:t>omalizumab</w:t>
      </w:r>
      <w:r w:rsidRPr="009475AF">
        <w:rPr>
          <w:iCs/>
          <w:color w:val="000000" w:themeColor="text1"/>
        </w:rPr>
        <w:t>.</w:t>
      </w:r>
    </w:p>
    <w:p w14:paraId="79A749A9" w14:textId="584AE74B" w:rsidR="00E955BE" w:rsidRPr="009475AF" w:rsidRDefault="00153DE0" w:rsidP="00EC5836">
      <w:pPr>
        <w:pStyle w:val="3-BodyText"/>
        <w:rPr>
          <w:color w:val="000000" w:themeColor="text1"/>
        </w:rPr>
      </w:pPr>
      <w:r w:rsidRPr="009475AF">
        <w:rPr>
          <w:color w:val="000000" w:themeColor="text1"/>
        </w:rPr>
        <w:lastRenderedPageBreak/>
        <w:t xml:space="preserve">Differences in the </w:t>
      </w:r>
      <w:r w:rsidR="000D344A" w:rsidRPr="009475AF">
        <w:rPr>
          <w:color w:val="000000" w:themeColor="text1"/>
        </w:rPr>
        <w:t xml:space="preserve">VOYAGE </w:t>
      </w:r>
      <w:r w:rsidRPr="009475AF">
        <w:rPr>
          <w:color w:val="000000" w:themeColor="text1"/>
        </w:rPr>
        <w:t>and PBS populations included</w:t>
      </w:r>
      <w:r w:rsidR="00E955BE" w:rsidRPr="009475AF">
        <w:rPr>
          <w:color w:val="000000" w:themeColor="text1"/>
        </w:rPr>
        <w:t>:</w:t>
      </w:r>
      <w:r w:rsidR="008A34C8" w:rsidRPr="009475AF">
        <w:rPr>
          <w:color w:val="000000" w:themeColor="text1"/>
        </w:rPr>
        <w:t xml:space="preserve"> </w:t>
      </w:r>
    </w:p>
    <w:p w14:paraId="34112708" w14:textId="1B216AB3" w:rsidR="00E955BE" w:rsidRPr="009475AF" w:rsidRDefault="00153DE0" w:rsidP="007C50F6">
      <w:pPr>
        <w:pStyle w:val="3-BodyText"/>
        <w:numPr>
          <w:ilvl w:val="0"/>
          <w:numId w:val="8"/>
        </w:numPr>
        <w:ind w:left="1134"/>
        <w:rPr>
          <w:color w:val="000000" w:themeColor="text1"/>
        </w:rPr>
      </w:pPr>
      <w:r w:rsidRPr="009475AF">
        <w:rPr>
          <w:color w:val="000000" w:themeColor="text1"/>
        </w:rPr>
        <w:t xml:space="preserve">Patients in VOYAGE </w:t>
      </w:r>
      <w:r w:rsidR="00E955BE" w:rsidRPr="009475AF">
        <w:rPr>
          <w:color w:val="000000" w:themeColor="text1"/>
        </w:rPr>
        <w:t xml:space="preserve">had received </w:t>
      </w:r>
      <w:r w:rsidR="008A34C8" w:rsidRPr="009475AF">
        <w:rPr>
          <w:color w:val="000000" w:themeColor="text1"/>
        </w:rPr>
        <w:t>treatment for at least 3 months</w:t>
      </w:r>
      <w:r w:rsidR="000D344A" w:rsidRPr="009475AF">
        <w:rPr>
          <w:color w:val="000000" w:themeColor="text1"/>
        </w:rPr>
        <w:t xml:space="preserve"> (not 6 months</w:t>
      </w:r>
      <w:r w:rsidR="00792874" w:rsidRPr="009475AF">
        <w:rPr>
          <w:color w:val="000000" w:themeColor="text1"/>
        </w:rPr>
        <w:t xml:space="preserve"> as </w:t>
      </w:r>
      <w:r w:rsidR="007B11E1" w:rsidRPr="009475AF">
        <w:rPr>
          <w:color w:val="000000" w:themeColor="text1"/>
        </w:rPr>
        <w:t xml:space="preserve">required for the </w:t>
      </w:r>
      <w:r w:rsidR="00792874" w:rsidRPr="009475AF">
        <w:rPr>
          <w:color w:val="000000" w:themeColor="text1"/>
        </w:rPr>
        <w:t>PBS criteria</w:t>
      </w:r>
      <w:r w:rsidR="000D344A" w:rsidRPr="009475AF">
        <w:rPr>
          <w:color w:val="000000" w:themeColor="text1"/>
        </w:rPr>
        <w:t>)</w:t>
      </w:r>
      <w:r w:rsidR="008A34C8" w:rsidRPr="009475AF">
        <w:rPr>
          <w:color w:val="000000" w:themeColor="text1"/>
        </w:rPr>
        <w:t xml:space="preserve">, with stable dose for at least one month, with </w:t>
      </w:r>
      <w:r w:rsidR="00E955BE" w:rsidRPr="009475AF">
        <w:rPr>
          <w:color w:val="000000" w:themeColor="text1"/>
        </w:rPr>
        <w:t xml:space="preserve">medium dose ICS + a second controller (LABA, LTRA, LAMA, or methylxanthine) </w:t>
      </w:r>
      <w:r w:rsidR="00E9220F" w:rsidRPr="009475AF">
        <w:rPr>
          <w:color w:val="000000" w:themeColor="text1"/>
        </w:rPr>
        <w:t>or</w:t>
      </w:r>
      <w:r w:rsidR="00E955BE" w:rsidRPr="009475AF">
        <w:rPr>
          <w:color w:val="000000" w:themeColor="text1"/>
        </w:rPr>
        <w:t xml:space="preserve"> high-dose ICS alone or with a second controller</w:t>
      </w:r>
      <w:r w:rsidR="00494DDC" w:rsidRPr="009475AF">
        <w:rPr>
          <w:color w:val="000000" w:themeColor="text1"/>
        </w:rPr>
        <w:t>,</w:t>
      </w:r>
      <w:r w:rsidR="00E9220F" w:rsidRPr="009475AF">
        <w:rPr>
          <w:rStyle w:val="FootnoteReference"/>
          <w:color w:val="000000" w:themeColor="text1"/>
        </w:rPr>
        <w:footnoteReference w:id="9"/>
      </w:r>
      <w:r w:rsidR="00A84BA0" w:rsidRPr="009475AF">
        <w:rPr>
          <w:color w:val="000000" w:themeColor="text1"/>
        </w:rPr>
        <w:t xml:space="preserve"> and were symptomatic during the month before randomisation,</w:t>
      </w:r>
      <w:r w:rsidR="002A0567" w:rsidRPr="009475AF">
        <w:rPr>
          <w:color w:val="000000" w:themeColor="text1"/>
        </w:rPr>
        <w:t xml:space="preserve"> </w:t>
      </w:r>
      <w:r w:rsidR="00494DDC" w:rsidRPr="009475AF">
        <w:rPr>
          <w:iCs/>
          <w:color w:val="000000" w:themeColor="text1"/>
        </w:rPr>
        <w:t xml:space="preserve">but </w:t>
      </w:r>
      <w:r w:rsidR="001B6E09" w:rsidRPr="009475AF">
        <w:rPr>
          <w:iCs/>
          <w:color w:val="000000" w:themeColor="text1"/>
        </w:rPr>
        <w:t xml:space="preserve">the ESC noted </w:t>
      </w:r>
      <w:r w:rsidR="002A0567" w:rsidRPr="009475AF">
        <w:rPr>
          <w:iCs/>
          <w:color w:val="000000" w:themeColor="text1"/>
        </w:rPr>
        <w:t>there was no requirement to check inhaler technique or to correct it if it was inadequate</w:t>
      </w:r>
      <w:r w:rsidR="00792874" w:rsidRPr="009475AF">
        <w:rPr>
          <w:iCs/>
          <w:color w:val="000000" w:themeColor="text1"/>
        </w:rPr>
        <w:t>, as</w:t>
      </w:r>
      <w:r w:rsidR="001A3A72" w:rsidRPr="009475AF">
        <w:rPr>
          <w:iCs/>
          <w:color w:val="000000" w:themeColor="text1"/>
        </w:rPr>
        <w:t xml:space="preserve"> in the</w:t>
      </w:r>
      <w:r w:rsidR="00792874" w:rsidRPr="009475AF">
        <w:rPr>
          <w:iCs/>
          <w:color w:val="000000" w:themeColor="text1"/>
        </w:rPr>
        <w:t xml:space="preserve"> PBS criteria</w:t>
      </w:r>
      <w:r w:rsidR="002A0567" w:rsidRPr="009475AF">
        <w:rPr>
          <w:color w:val="000000" w:themeColor="text1"/>
        </w:rPr>
        <w:t>;</w:t>
      </w:r>
    </w:p>
    <w:p w14:paraId="437AB906" w14:textId="4C97FB1E" w:rsidR="006E5C6B" w:rsidRPr="009475AF" w:rsidRDefault="00173312" w:rsidP="007C50F6">
      <w:pPr>
        <w:pStyle w:val="3-BodyText"/>
        <w:numPr>
          <w:ilvl w:val="0"/>
          <w:numId w:val="8"/>
        </w:numPr>
        <w:ind w:left="1134"/>
        <w:rPr>
          <w:color w:val="000000" w:themeColor="text1"/>
        </w:rPr>
      </w:pPr>
      <w:r w:rsidRPr="009475AF">
        <w:rPr>
          <w:color w:val="000000" w:themeColor="text1"/>
        </w:rPr>
        <w:t xml:space="preserve">Patients in VOYAGE </w:t>
      </w:r>
      <w:r w:rsidR="00E955BE" w:rsidRPr="009475AF">
        <w:rPr>
          <w:color w:val="000000" w:themeColor="text1"/>
        </w:rPr>
        <w:t>had</w:t>
      </w:r>
      <w:r w:rsidR="00984066" w:rsidRPr="009475AF">
        <w:rPr>
          <w:color w:val="000000" w:themeColor="text1"/>
        </w:rPr>
        <w:t xml:space="preserve">, </w:t>
      </w:r>
      <w:r w:rsidR="00E955BE" w:rsidRPr="009475AF">
        <w:rPr>
          <w:color w:val="000000" w:themeColor="text1"/>
        </w:rPr>
        <w:t>within the previous 12 months</w:t>
      </w:r>
      <w:r w:rsidR="00984066" w:rsidRPr="009475AF">
        <w:rPr>
          <w:color w:val="000000" w:themeColor="text1"/>
        </w:rPr>
        <w:t>, taken</w:t>
      </w:r>
      <w:r w:rsidR="00E955BE" w:rsidRPr="009475AF">
        <w:rPr>
          <w:color w:val="000000" w:themeColor="text1"/>
        </w:rPr>
        <w:t xml:space="preserve"> oral or injected corticosteroids prescribed by a health professional for worsening asthma,</w:t>
      </w:r>
      <w:r w:rsidR="00526A80" w:rsidRPr="009475AF">
        <w:rPr>
          <w:color w:val="000000" w:themeColor="text1"/>
        </w:rPr>
        <w:t xml:space="preserve"> </w:t>
      </w:r>
      <w:r w:rsidR="00E955BE" w:rsidRPr="009475AF">
        <w:rPr>
          <w:color w:val="000000" w:themeColor="text1"/>
        </w:rPr>
        <w:t xml:space="preserve">or been hospitalised or </w:t>
      </w:r>
      <w:r w:rsidR="006E5C6B" w:rsidRPr="009475AF">
        <w:rPr>
          <w:color w:val="000000" w:themeColor="text1"/>
        </w:rPr>
        <w:t>made an “emergency medical care visit” for worsening asthma</w:t>
      </w:r>
      <w:r w:rsidR="00494DDC" w:rsidRPr="009475AF">
        <w:rPr>
          <w:color w:val="000000" w:themeColor="text1"/>
        </w:rPr>
        <w:t xml:space="preserve">, </w:t>
      </w:r>
      <w:r w:rsidR="00494DDC" w:rsidRPr="009475AF">
        <w:rPr>
          <w:iCs/>
          <w:color w:val="000000" w:themeColor="text1"/>
        </w:rPr>
        <w:t>but</w:t>
      </w:r>
      <w:r w:rsidR="006E5C6B" w:rsidRPr="009475AF">
        <w:rPr>
          <w:iCs/>
          <w:color w:val="000000" w:themeColor="text1"/>
        </w:rPr>
        <w:t xml:space="preserve"> </w:t>
      </w:r>
      <w:r w:rsidR="001B6E09" w:rsidRPr="009475AF">
        <w:rPr>
          <w:iCs/>
          <w:color w:val="000000" w:themeColor="text1"/>
        </w:rPr>
        <w:t xml:space="preserve">the ESC noted </w:t>
      </w:r>
      <w:r w:rsidR="002A0567" w:rsidRPr="009475AF">
        <w:rPr>
          <w:iCs/>
          <w:color w:val="000000" w:themeColor="text1"/>
        </w:rPr>
        <w:t>there was no requirement that these events</w:t>
      </w:r>
      <w:r w:rsidR="00D8488F" w:rsidRPr="009475AF">
        <w:rPr>
          <w:iCs/>
          <w:color w:val="000000" w:themeColor="text1"/>
        </w:rPr>
        <w:t xml:space="preserve"> must have</w:t>
      </w:r>
      <w:r w:rsidR="002A0567" w:rsidRPr="009475AF">
        <w:rPr>
          <w:iCs/>
          <w:color w:val="000000" w:themeColor="text1"/>
        </w:rPr>
        <w:t xml:space="preserve"> occurred while receiving medium</w:t>
      </w:r>
      <w:r w:rsidR="00A84BA0" w:rsidRPr="009475AF">
        <w:rPr>
          <w:iCs/>
          <w:color w:val="000000" w:themeColor="text1"/>
        </w:rPr>
        <w:t>-</w:t>
      </w:r>
      <w:r w:rsidR="002A0567" w:rsidRPr="009475AF">
        <w:rPr>
          <w:iCs/>
          <w:color w:val="000000" w:themeColor="text1"/>
        </w:rPr>
        <w:t xml:space="preserve"> or high-dose ICS</w:t>
      </w:r>
      <w:r w:rsidR="00792874" w:rsidRPr="009475AF">
        <w:rPr>
          <w:iCs/>
          <w:color w:val="000000" w:themeColor="text1"/>
        </w:rPr>
        <w:t>, as</w:t>
      </w:r>
      <w:r w:rsidR="001A3A72" w:rsidRPr="009475AF">
        <w:rPr>
          <w:iCs/>
          <w:color w:val="000000" w:themeColor="text1"/>
        </w:rPr>
        <w:t xml:space="preserve"> in the</w:t>
      </w:r>
      <w:r w:rsidR="00792874" w:rsidRPr="009475AF">
        <w:rPr>
          <w:iCs/>
          <w:color w:val="000000" w:themeColor="text1"/>
        </w:rPr>
        <w:t xml:space="preserve"> PBS criteria</w:t>
      </w:r>
      <w:r w:rsidR="002A0567" w:rsidRPr="009475AF">
        <w:rPr>
          <w:iCs/>
          <w:color w:val="000000" w:themeColor="text1"/>
        </w:rPr>
        <w:t xml:space="preserve">. </w:t>
      </w:r>
    </w:p>
    <w:p w14:paraId="3907E1DD" w14:textId="7D8983B0" w:rsidR="00A84BA0" w:rsidRPr="009475AF" w:rsidRDefault="00173312" w:rsidP="00792874">
      <w:pPr>
        <w:pStyle w:val="3-BodyText"/>
      </w:pPr>
      <w:r w:rsidRPr="009475AF">
        <w:t xml:space="preserve">Differences in the </w:t>
      </w:r>
      <w:r w:rsidR="00792874" w:rsidRPr="009475AF">
        <w:t xml:space="preserve">IA-05 </w:t>
      </w:r>
      <w:r w:rsidRPr="009475AF">
        <w:t>and PBS populations included:</w:t>
      </w:r>
    </w:p>
    <w:p w14:paraId="608EDB13" w14:textId="14089F45" w:rsidR="00A84BA0" w:rsidRPr="009475AF" w:rsidRDefault="00173312" w:rsidP="007C50F6">
      <w:pPr>
        <w:pStyle w:val="3-BodyText"/>
        <w:numPr>
          <w:ilvl w:val="0"/>
          <w:numId w:val="11"/>
        </w:numPr>
        <w:ind w:left="1134"/>
      </w:pPr>
      <w:r w:rsidRPr="009475AF">
        <w:t xml:space="preserve">Patients in IA-05 </w:t>
      </w:r>
      <w:r w:rsidR="00792874" w:rsidRPr="009475AF">
        <w:t>had</w:t>
      </w:r>
      <w:r w:rsidR="00A84BA0" w:rsidRPr="009475AF">
        <w:t xml:space="preserve"> to be symptomatic while receiving medium- or high-dose ICS, </w:t>
      </w:r>
      <w:r w:rsidR="00A84BA0" w:rsidRPr="009475AF">
        <w:rPr>
          <w:iCs/>
        </w:rPr>
        <w:t xml:space="preserve">but the </w:t>
      </w:r>
      <w:r w:rsidR="00D8488F" w:rsidRPr="009475AF">
        <w:rPr>
          <w:iCs/>
        </w:rPr>
        <w:t xml:space="preserve">ESC noted that the </w:t>
      </w:r>
      <w:r w:rsidR="00A84BA0" w:rsidRPr="009475AF">
        <w:rPr>
          <w:iCs/>
        </w:rPr>
        <w:t>minimum duration of use was not specified, and it was not clear from the published reports whether satisfactory inhaler technique was required</w:t>
      </w:r>
      <w:r w:rsidR="00A84BA0" w:rsidRPr="009475AF">
        <w:t>;</w:t>
      </w:r>
      <w:r w:rsidR="00792874" w:rsidRPr="009475AF">
        <w:t xml:space="preserve"> </w:t>
      </w:r>
    </w:p>
    <w:p w14:paraId="302BDB17" w14:textId="0FBC0BFE" w:rsidR="00792874" w:rsidRPr="009475AF" w:rsidRDefault="008B0FDB" w:rsidP="007C50F6">
      <w:pPr>
        <w:pStyle w:val="3-BodyText"/>
        <w:numPr>
          <w:ilvl w:val="0"/>
          <w:numId w:val="11"/>
        </w:numPr>
        <w:ind w:left="1134"/>
        <w:rPr>
          <w:iCs/>
        </w:rPr>
      </w:pPr>
      <w:r w:rsidRPr="009475AF">
        <w:t xml:space="preserve">Patients in IA-05 </w:t>
      </w:r>
      <w:r w:rsidR="00A84BA0" w:rsidRPr="009475AF">
        <w:t xml:space="preserve">had </w:t>
      </w:r>
      <w:r w:rsidR="00792874" w:rsidRPr="009475AF">
        <w:t xml:space="preserve">to have experienced </w:t>
      </w:r>
      <w:r w:rsidR="00792874" w:rsidRPr="009475AF">
        <w:rPr>
          <w:rFonts w:cstheme="minorHAnsi"/>
        </w:rPr>
        <w:t>≥</w:t>
      </w:r>
      <w:r w:rsidR="00792874" w:rsidRPr="009475AF">
        <w:t xml:space="preserve">2 “exacerbations” (not defined in the published reports) in the previous year, or </w:t>
      </w:r>
      <w:r w:rsidR="00792874" w:rsidRPr="009475AF">
        <w:rPr>
          <w:rFonts w:cstheme="minorHAnsi"/>
        </w:rPr>
        <w:t>≥</w:t>
      </w:r>
      <w:r w:rsidR="00792874" w:rsidRPr="009475AF">
        <w:t>3 exacerbations in the previous 2</w:t>
      </w:r>
      <w:r w:rsidR="007C50F6">
        <w:t> </w:t>
      </w:r>
      <w:r w:rsidR="00792874" w:rsidRPr="009475AF">
        <w:t xml:space="preserve">years, or </w:t>
      </w:r>
      <w:r w:rsidR="00792874" w:rsidRPr="009475AF">
        <w:rPr>
          <w:rFonts w:cstheme="minorHAnsi"/>
        </w:rPr>
        <w:t>≥</w:t>
      </w:r>
      <w:r w:rsidR="00792874" w:rsidRPr="009475AF">
        <w:t>1 exacerbation in the previous year that required hospitalisatio</w:t>
      </w:r>
      <w:r w:rsidR="00A84BA0" w:rsidRPr="009475AF">
        <w:t xml:space="preserve">n, </w:t>
      </w:r>
      <w:r w:rsidR="00A84BA0" w:rsidRPr="009475AF">
        <w:rPr>
          <w:iCs/>
        </w:rPr>
        <w:t xml:space="preserve">but </w:t>
      </w:r>
      <w:r w:rsidR="00D8488F" w:rsidRPr="009475AF">
        <w:rPr>
          <w:iCs/>
        </w:rPr>
        <w:t xml:space="preserve">the ESC noted </w:t>
      </w:r>
      <w:r w:rsidR="00A84BA0" w:rsidRPr="009475AF">
        <w:rPr>
          <w:iCs/>
        </w:rPr>
        <w:t>it was not clear from the published reports</w:t>
      </w:r>
      <w:r w:rsidR="001A3A72" w:rsidRPr="009475AF">
        <w:rPr>
          <w:iCs/>
        </w:rPr>
        <w:t xml:space="preserve"> whether the exacerbations had to have occurred while the patients were </w:t>
      </w:r>
      <w:r w:rsidR="00A84BA0" w:rsidRPr="009475AF">
        <w:rPr>
          <w:iCs/>
        </w:rPr>
        <w:t>receiving medium- or high-dose ICS</w:t>
      </w:r>
      <w:r w:rsidR="001A3A72" w:rsidRPr="009475AF">
        <w:rPr>
          <w:iCs/>
        </w:rPr>
        <w:t xml:space="preserve">. </w:t>
      </w:r>
    </w:p>
    <w:p w14:paraId="61625F9B" w14:textId="411D4467" w:rsidR="00B441A7" w:rsidRPr="009475AF" w:rsidRDefault="00B441A7" w:rsidP="00B441A7">
      <w:pPr>
        <w:pStyle w:val="3-BodyText"/>
      </w:pPr>
      <w:r w:rsidRPr="009475AF">
        <w:rPr>
          <w:rFonts w:cstheme="minorHAnsi"/>
        </w:rPr>
        <w:t>The</w:t>
      </w:r>
      <w:r w:rsidR="0018303D" w:rsidRPr="009475AF">
        <w:rPr>
          <w:rFonts w:cstheme="minorHAnsi"/>
        </w:rPr>
        <w:t xml:space="preserve">re were minor differences in the </w:t>
      </w:r>
      <w:r w:rsidRPr="009475AF">
        <w:rPr>
          <w:rFonts w:cstheme="minorHAnsi"/>
        </w:rPr>
        <w:t>primary outcome</w:t>
      </w:r>
      <w:r w:rsidR="0018303D" w:rsidRPr="009475AF">
        <w:rPr>
          <w:rFonts w:cstheme="minorHAnsi"/>
        </w:rPr>
        <w:t>s. The primary outcome</w:t>
      </w:r>
      <w:r w:rsidRPr="009475AF">
        <w:rPr>
          <w:rFonts w:cstheme="minorHAnsi"/>
        </w:rPr>
        <w:t xml:space="preserve"> in VOYAGE was the</w:t>
      </w:r>
      <w:r w:rsidRPr="009475AF">
        <w:t xml:space="preserve"> rate of severe exacerbations during the 52-week placebo-controlled treatment period. </w:t>
      </w:r>
      <w:r w:rsidRPr="009475AF">
        <w:rPr>
          <w:rFonts w:cstheme="minorHAnsi"/>
        </w:rPr>
        <w:t xml:space="preserve">A severe exacerbation was defined as worsening asthma for which systemic corticosteroids were used for ≥3 days, </w:t>
      </w:r>
      <w:r w:rsidRPr="009475AF">
        <w:rPr>
          <w:rFonts w:cstheme="minorHAnsi"/>
          <w:iCs/>
        </w:rPr>
        <w:t>or</w:t>
      </w:r>
      <w:r w:rsidRPr="009475AF">
        <w:rPr>
          <w:rFonts w:cstheme="minorHAnsi"/>
        </w:rPr>
        <w:t xml:space="preserve"> which resulted in hospitalisation or emergency room visit and use of systemic corticosteroids. </w:t>
      </w:r>
    </w:p>
    <w:p w14:paraId="52A7A636" w14:textId="7E28B5AB" w:rsidR="008A017E" w:rsidRPr="009475AF" w:rsidRDefault="0018303D" w:rsidP="008A017E">
      <w:pPr>
        <w:pStyle w:val="3-BodyText"/>
      </w:pPr>
      <w:r w:rsidRPr="009475AF">
        <w:t>In</w:t>
      </w:r>
      <w:r w:rsidR="008A017E" w:rsidRPr="009475AF">
        <w:t xml:space="preserve"> IA05</w:t>
      </w:r>
      <w:r w:rsidRPr="009475AF">
        <w:t xml:space="preserve"> the primary outcome was the rate of</w:t>
      </w:r>
      <w:r w:rsidR="008A017E" w:rsidRPr="009475AF">
        <w:rPr>
          <w:rFonts w:cstheme="minorHAnsi"/>
        </w:rPr>
        <w:t xml:space="preserve"> clinically significant exacerbation</w:t>
      </w:r>
      <w:r w:rsidRPr="009475AF">
        <w:rPr>
          <w:rFonts w:cstheme="minorHAnsi"/>
        </w:rPr>
        <w:t>s over the first 24 weeks of treatment. A clinically significant exacerbation was defined as</w:t>
      </w:r>
      <w:r w:rsidR="008A017E" w:rsidRPr="009475AF">
        <w:rPr>
          <w:rFonts w:cstheme="minorHAnsi"/>
        </w:rPr>
        <w:t xml:space="preserve"> requir</w:t>
      </w:r>
      <w:r w:rsidRPr="009475AF">
        <w:rPr>
          <w:rFonts w:cstheme="minorHAnsi"/>
        </w:rPr>
        <w:t>ing</w:t>
      </w:r>
      <w:r w:rsidR="008A017E" w:rsidRPr="009475AF">
        <w:rPr>
          <w:rFonts w:cstheme="minorHAnsi"/>
        </w:rPr>
        <w:t xml:space="preserve"> either use of systemic steroids for ≥3 days or doubling of the ICS dose.</w:t>
      </w:r>
      <w:r w:rsidRPr="009475AF">
        <w:rPr>
          <w:rStyle w:val="FootnoteReference"/>
          <w:rFonts w:cstheme="minorHAnsi"/>
        </w:rPr>
        <w:t xml:space="preserve"> </w:t>
      </w:r>
      <w:r w:rsidRPr="009475AF">
        <w:rPr>
          <w:rFonts w:cstheme="minorHAnsi"/>
        </w:rPr>
        <w:t>Increasing the dose of ICS is no longer recommended as treatment of worsening asthma, and only 10% of exacerbations were treated with increased doses of ICS, so in practice the definition of exacerbation w</w:t>
      </w:r>
      <w:r w:rsidR="00BE4E62" w:rsidRPr="009475AF">
        <w:rPr>
          <w:rFonts w:cstheme="minorHAnsi"/>
        </w:rPr>
        <w:t>as</w:t>
      </w:r>
      <w:r w:rsidRPr="009475AF">
        <w:rPr>
          <w:rFonts w:cstheme="minorHAnsi"/>
        </w:rPr>
        <w:t xml:space="preserve"> similar</w:t>
      </w:r>
      <w:r w:rsidR="00BE4E62" w:rsidRPr="009475AF">
        <w:rPr>
          <w:rFonts w:cstheme="minorHAnsi"/>
        </w:rPr>
        <w:t xml:space="preserve"> to that in VOYAGE</w:t>
      </w:r>
      <w:r w:rsidRPr="009475AF">
        <w:rPr>
          <w:rFonts w:cstheme="minorHAnsi"/>
        </w:rPr>
        <w:t>.</w:t>
      </w:r>
      <w:r w:rsidR="008A017E" w:rsidRPr="009475AF">
        <w:rPr>
          <w:rFonts w:cstheme="minorHAnsi"/>
        </w:rPr>
        <w:t xml:space="preserve"> In IA05 the primary outcome was </w:t>
      </w:r>
      <w:r w:rsidRPr="009475AF">
        <w:rPr>
          <w:rFonts w:cstheme="minorHAnsi"/>
        </w:rPr>
        <w:t>taken</w:t>
      </w:r>
      <w:r w:rsidR="008A017E" w:rsidRPr="009475AF">
        <w:rPr>
          <w:rFonts w:cstheme="minorHAnsi"/>
        </w:rPr>
        <w:t xml:space="preserve"> over the first 24 weeks of treatment, because after this </w:t>
      </w:r>
      <w:r w:rsidR="008A017E" w:rsidRPr="009475AF">
        <w:rPr>
          <w:rFonts w:cstheme="minorHAnsi"/>
        </w:rPr>
        <w:lastRenderedPageBreak/>
        <w:t>time well-controlled patients were eligible for reduction of ICS dose.</w:t>
      </w:r>
      <w:r w:rsidR="00EA1ED4" w:rsidRPr="009475AF">
        <w:rPr>
          <w:rStyle w:val="FootnoteReference"/>
          <w:rFonts w:cstheme="minorHAnsi"/>
        </w:rPr>
        <w:footnoteReference w:id="10"/>
      </w:r>
      <w:r w:rsidR="008A017E" w:rsidRPr="009475AF">
        <w:rPr>
          <w:rFonts w:cstheme="minorHAnsi"/>
        </w:rPr>
        <w:t xml:space="preserve"> </w:t>
      </w:r>
      <w:r w:rsidR="00C8591E" w:rsidRPr="009475AF">
        <w:rPr>
          <w:rFonts w:cstheme="minorHAnsi"/>
        </w:rPr>
        <w:t>However, r</w:t>
      </w:r>
      <w:r w:rsidR="00BE4E62" w:rsidRPr="009475AF">
        <w:rPr>
          <w:rFonts w:cstheme="minorHAnsi"/>
        </w:rPr>
        <w:t xml:space="preserve">eductions in ICS dose were either small or affected few patients: </w:t>
      </w:r>
      <w:r w:rsidR="00BE4E62" w:rsidRPr="009475AF">
        <w:t xml:space="preserve">ICS dose was reduced by 4% in omalizumab-treated patients and increased by 2% in placebo-treated patients (P = 0.053). </w:t>
      </w:r>
      <w:r w:rsidR="008A017E" w:rsidRPr="009475AF">
        <w:t xml:space="preserve">IA05 also reported </w:t>
      </w:r>
      <w:r w:rsidR="00B81AF2" w:rsidRPr="009475AF">
        <w:t>t</w:t>
      </w:r>
      <w:r w:rsidR="008A017E" w:rsidRPr="009475AF">
        <w:t>he rate of exacerbations over 52</w:t>
      </w:r>
      <w:r w:rsidR="007C50F6">
        <w:t> </w:t>
      </w:r>
      <w:r w:rsidR="008A017E" w:rsidRPr="009475AF">
        <w:t>weeks</w:t>
      </w:r>
      <w:r w:rsidR="00BE4E62" w:rsidRPr="009475AF">
        <w:t xml:space="preserve">, </w:t>
      </w:r>
      <w:r w:rsidR="008A017E" w:rsidRPr="009475AF">
        <w:t xml:space="preserve">and the rate of severe exacerbations, defined as exacerbations that required treatment with systemic corticosteroids </w:t>
      </w:r>
      <w:r w:rsidR="008A017E" w:rsidRPr="009475AF">
        <w:rPr>
          <w:iCs/>
        </w:rPr>
        <w:t>and</w:t>
      </w:r>
      <w:r w:rsidR="008A017E" w:rsidRPr="009475AF">
        <w:t xml:space="preserve"> where peak expiratory flow or FEV</w:t>
      </w:r>
      <w:r w:rsidR="008A017E" w:rsidRPr="009475AF">
        <w:rPr>
          <w:vertAlign w:val="subscript"/>
        </w:rPr>
        <w:t>1</w:t>
      </w:r>
      <w:r w:rsidR="008A017E" w:rsidRPr="009475AF">
        <w:t xml:space="preserve"> was &lt;60% of personal best, over 24 and 52 weeks</w:t>
      </w:r>
      <w:r w:rsidR="009475AF">
        <w:t xml:space="preserve">. </w:t>
      </w:r>
    </w:p>
    <w:p w14:paraId="4BF24337" w14:textId="7111998E" w:rsidR="00494DDC" w:rsidRPr="009475AF" w:rsidRDefault="00AC3969" w:rsidP="009963EC">
      <w:pPr>
        <w:pStyle w:val="3-BodyText"/>
      </w:pPr>
      <w:r w:rsidRPr="009475AF">
        <w:t>In relation to b</w:t>
      </w:r>
      <w:r w:rsidR="0018303D" w:rsidRPr="009475AF">
        <w:t>aseline characteristics of patients enrolled in the trials</w:t>
      </w:r>
      <w:r w:rsidRPr="009475AF">
        <w:t>,</w:t>
      </w:r>
      <w:r w:rsidR="0018303D" w:rsidRPr="009475AF">
        <w:t xml:space="preserve"> </w:t>
      </w:r>
      <w:r w:rsidRPr="009475AF">
        <w:t>o</w:t>
      </w:r>
      <w:r w:rsidR="0018303D" w:rsidRPr="009475AF">
        <w:t xml:space="preserve">ne notable difference </w:t>
      </w:r>
      <w:r w:rsidR="00F95512" w:rsidRPr="009475AF">
        <w:t>was</w:t>
      </w:r>
      <w:r w:rsidR="0018303D" w:rsidRPr="009475AF">
        <w:t xml:space="preserve"> in baseline IgE levels. Although raised serum IgE was not a requirement for enrolment in VOYAGE, mean IgE levels were higher than in IA-05, 401/408 (98.3%) had total serum IgE </w:t>
      </w:r>
      <w:r w:rsidR="0018303D" w:rsidRPr="009475AF">
        <w:sym w:font="Symbol" w:char="F0B3"/>
      </w:r>
      <w:r w:rsidR="0018303D" w:rsidRPr="009475AF">
        <w:t xml:space="preserve"> 30 IU/mL, and 309/408 (75.7%) had total IgE </w:t>
      </w:r>
      <w:r w:rsidR="0018303D" w:rsidRPr="009475AF">
        <w:sym w:font="Symbol" w:char="F0B3"/>
      </w:r>
      <w:r w:rsidR="0018303D" w:rsidRPr="009475AF">
        <w:t xml:space="preserve"> 100 IU/mL (VOYAGE CSR, Figure 12, p141).</w:t>
      </w:r>
      <w:r w:rsidR="00775F97" w:rsidRPr="009475AF">
        <w:t xml:space="preserve"> </w:t>
      </w:r>
      <w:r w:rsidR="005E6623" w:rsidRPr="009475AF">
        <w:t>Higher mean levels may be contributed to by IA-05 but</w:t>
      </w:r>
      <w:r w:rsidR="005E6623" w:rsidRPr="009475AF">
        <w:rPr>
          <w:iCs/>
        </w:rPr>
        <w:t xml:space="preserve"> </w:t>
      </w:r>
      <w:r w:rsidR="005E6623" w:rsidRPr="009475AF">
        <w:t>not VOYAGE having an upper l</w:t>
      </w:r>
      <w:r w:rsidR="00D40C38" w:rsidRPr="009475AF">
        <w:t>imit</w:t>
      </w:r>
      <w:r w:rsidR="005E6623" w:rsidRPr="009475AF">
        <w:t xml:space="preserve"> of total serum IgE of 1300 IU/mL, </w:t>
      </w:r>
      <w:r w:rsidR="00657AD2" w:rsidRPr="009475AF">
        <w:t>and</w:t>
      </w:r>
      <w:r w:rsidR="005E6623" w:rsidRPr="009475AF">
        <w:t xml:space="preserve"> some patients in VOYAGE ha</w:t>
      </w:r>
      <w:r w:rsidR="00657AD2" w:rsidRPr="009475AF">
        <w:t>ving</w:t>
      </w:r>
      <w:r w:rsidR="005E6623" w:rsidRPr="009475AF">
        <w:t xml:space="preserve"> very high levels, but the available data are not sufficient to confirm this. </w:t>
      </w:r>
    </w:p>
    <w:p w14:paraId="0FFBB261" w14:textId="21EFC4A1" w:rsidR="00D94C60" w:rsidRPr="009475AF" w:rsidRDefault="00AC3969" w:rsidP="005E6623">
      <w:pPr>
        <w:pStyle w:val="3-BodyText"/>
      </w:pPr>
      <w:r w:rsidRPr="009475AF">
        <w:t>In relation to f</w:t>
      </w:r>
      <w:r w:rsidR="009963EC" w:rsidRPr="009475AF">
        <w:t>low of patient</w:t>
      </w:r>
      <w:r w:rsidR="00657AD2" w:rsidRPr="009475AF">
        <w:t>s</w:t>
      </w:r>
      <w:r w:rsidR="009963EC" w:rsidRPr="009475AF">
        <w:t xml:space="preserve"> through the trials</w:t>
      </w:r>
      <w:r w:rsidRPr="009475AF">
        <w:t>,</w:t>
      </w:r>
      <w:r w:rsidR="009963EC" w:rsidRPr="009475AF">
        <w:t xml:space="preserve"> </w:t>
      </w:r>
      <w:r w:rsidRPr="009475AF">
        <w:t>m</w:t>
      </w:r>
      <w:r w:rsidR="009963EC" w:rsidRPr="009475AF">
        <w:t xml:space="preserve">ore patients withdrew from the trial or discontinued treatment in IA-05 than in VOYAGE. In VOYAGE more patients randomised to dupilumab </w:t>
      </w:r>
      <w:r w:rsidR="00C8591E" w:rsidRPr="009475AF">
        <w:t xml:space="preserve">than to placebo </w:t>
      </w:r>
      <w:r w:rsidR="009963EC" w:rsidRPr="009475AF">
        <w:t xml:space="preserve">withdrew from the trial or discontinued treatment. In neither case was this accounted for by a difference in withdrawals due to adverse events. </w:t>
      </w:r>
    </w:p>
    <w:p w14:paraId="4A4FE085" w14:textId="1C5613CC" w:rsidR="00B60939" w:rsidRPr="009475AF" w:rsidRDefault="00B60939" w:rsidP="00EC5836">
      <w:pPr>
        <w:pStyle w:val="4-SubsectionHeading"/>
      </w:pPr>
      <w:bookmarkStart w:id="21" w:name="_Toc22897641"/>
      <w:bookmarkStart w:id="22" w:name="_Toc156912917"/>
      <w:r w:rsidRPr="009475AF">
        <w:t>Comparative effectiveness</w:t>
      </w:r>
      <w:bookmarkEnd w:id="21"/>
      <w:bookmarkEnd w:id="22"/>
    </w:p>
    <w:p w14:paraId="53D14C8E" w14:textId="130EE4DA" w:rsidR="004029D0" w:rsidRPr="009475AF" w:rsidRDefault="004029D0" w:rsidP="004029D0">
      <w:pPr>
        <w:pStyle w:val="3-BodyText"/>
      </w:pPr>
      <w:r w:rsidRPr="009475AF">
        <w:t xml:space="preserve">The results of the trials are shown in </w:t>
      </w:r>
      <w:r w:rsidR="00217053" w:rsidRPr="009475AF">
        <w:fldChar w:fldCharType="begin" w:fldLock="1"/>
      </w:r>
      <w:r w:rsidR="00217053" w:rsidRPr="009475AF">
        <w:instrText xml:space="preserve"> REF _Ref152755199 \h </w:instrText>
      </w:r>
      <w:r w:rsidR="00217053" w:rsidRPr="009475AF">
        <w:fldChar w:fldCharType="separate"/>
      </w:r>
      <w:r w:rsidR="00217053" w:rsidRPr="009475AF">
        <w:t>Table 4</w:t>
      </w:r>
      <w:r w:rsidR="00217053" w:rsidRPr="009475AF">
        <w:fldChar w:fldCharType="end"/>
      </w:r>
      <w:r w:rsidRPr="009475AF">
        <w:t>.</w:t>
      </w:r>
    </w:p>
    <w:p w14:paraId="7B16737F" w14:textId="4EE139EA" w:rsidR="003E2A8F" w:rsidRPr="009475AF" w:rsidRDefault="003E2A8F" w:rsidP="003E2A8F">
      <w:pPr>
        <w:pStyle w:val="3-BodyText"/>
      </w:pPr>
      <w:r w:rsidRPr="009475AF">
        <w:t xml:space="preserve">IA-05-EU was a pre-specified sub-group of the IA05 population including patients treated with </w:t>
      </w:r>
      <w:r w:rsidRPr="009475AF">
        <w:sym w:font="Symbol" w:char="F0B3"/>
      </w:r>
      <w:r w:rsidRPr="009475AF">
        <w:t xml:space="preserve"> 500 </w:t>
      </w:r>
      <w:r w:rsidRPr="009475AF">
        <w:sym w:font="Symbol" w:char="F06D"/>
      </w:r>
      <w:r w:rsidRPr="009475AF">
        <w:t xml:space="preserve">g/day of fluticasone or equivalent + LABA. This was called IA05-EU, because it corresponded to the EU indication in adults and adolescents. When PBAC considered omalizumab for use in children, it noted that this sub-group matched the proposed omalizumab restriction well. </w:t>
      </w:r>
    </w:p>
    <w:p w14:paraId="6018A0F2" w14:textId="5AC9EEA3" w:rsidR="006945F9" w:rsidRPr="009475AF" w:rsidRDefault="00217053" w:rsidP="00E2389F">
      <w:pPr>
        <w:pStyle w:val="Caption"/>
      </w:pPr>
      <w:bookmarkStart w:id="23" w:name="_Ref152755199"/>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4</w:t>
      </w:r>
      <w:r w:rsidR="00696736">
        <w:fldChar w:fldCharType="end"/>
      </w:r>
      <w:bookmarkEnd w:id="23"/>
      <w:r w:rsidR="00EA1ED4" w:rsidRPr="009475AF">
        <w:t>: Results of primary efficacy outcomes in VOYAGE</w:t>
      </w:r>
      <w:r w:rsidR="006945F9" w:rsidRPr="009475AF">
        <w:t>, IA-05</w:t>
      </w:r>
      <w:r w:rsidR="00EA1ED4" w:rsidRPr="009475AF">
        <w:t xml:space="preserve"> and IA</w:t>
      </w:r>
      <w:r w:rsidR="006945F9" w:rsidRPr="009475AF">
        <w:t>-</w:t>
      </w:r>
      <w:r w:rsidR="00EA1ED4" w:rsidRPr="009475AF">
        <w:t>05</w:t>
      </w:r>
      <w:r w:rsidR="006945F9" w:rsidRPr="009475AF">
        <w:t>-EU</w:t>
      </w:r>
      <w:r w:rsidR="0007115F" w:rsidRPr="009475AF">
        <w:t>, ITT population</w:t>
      </w:r>
    </w:p>
    <w:tbl>
      <w:tblPr>
        <w:tblStyle w:val="TableGrid"/>
        <w:tblW w:w="0" w:type="auto"/>
        <w:tblLayout w:type="fixed"/>
        <w:tblLook w:val="04A0" w:firstRow="1" w:lastRow="0" w:firstColumn="1" w:lastColumn="0" w:noHBand="0" w:noVBand="1"/>
        <w:tblCaption w:val="Table 4: Results of primary efficacy outcomes in VOYAGE, IA-05 and IA-05-EU, ITT population"/>
      </w:tblPr>
      <w:tblGrid>
        <w:gridCol w:w="2547"/>
        <w:gridCol w:w="1134"/>
        <w:gridCol w:w="850"/>
        <w:gridCol w:w="1276"/>
        <w:gridCol w:w="992"/>
        <w:gridCol w:w="1276"/>
        <w:gridCol w:w="942"/>
      </w:tblGrid>
      <w:tr w:rsidR="006945F9" w:rsidRPr="009475AF" w14:paraId="22C80803" w14:textId="77777777" w:rsidTr="00B51AC8">
        <w:tc>
          <w:tcPr>
            <w:tcW w:w="2547" w:type="dxa"/>
          </w:tcPr>
          <w:p w14:paraId="2BE353A2" w14:textId="77777777" w:rsidR="006945F9" w:rsidRPr="009475AF" w:rsidRDefault="006945F9" w:rsidP="00E2389F">
            <w:pPr>
              <w:keepNext/>
              <w:rPr>
                <w:rFonts w:ascii="Arial Narrow" w:hAnsi="Arial Narrow"/>
                <w:sz w:val="20"/>
                <w:szCs w:val="20"/>
              </w:rPr>
            </w:pPr>
          </w:p>
        </w:tc>
        <w:tc>
          <w:tcPr>
            <w:tcW w:w="1984" w:type="dxa"/>
            <w:gridSpan w:val="2"/>
          </w:tcPr>
          <w:p w14:paraId="4B0C4106" w14:textId="77777777" w:rsidR="006945F9" w:rsidRPr="009475AF" w:rsidRDefault="006945F9" w:rsidP="00E2389F">
            <w:pPr>
              <w:keepNext/>
              <w:jc w:val="center"/>
              <w:rPr>
                <w:rFonts w:ascii="Arial Narrow" w:hAnsi="Arial Narrow"/>
                <w:b/>
                <w:bCs/>
                <w:sz w:val="20"/>
                <w:szCs w:val="20"/>
              </w:rPr>
            </w:pPr>
            <w:r w:rsidRPr="009475AF">
              <w:rPr>
                <w:rFonts w:ascii="Arial Narrow" w:hAnsi="Arial Narrow"/>
                <w:b/>
                <w:bCs/>
                <w:sz w:val="20"/>
                <w:szCs w:val="20"/>
              </w:rPr>
              <w:t>VOYAGE</w:t>
            </w:r>
            <w:r w:rsidRPr="009475AF">
              <w:rPr>
                <w:rFonts w:ascii="Arial Narrow" w:hAnsi="Arial Narrow"/>
                <w:b/>
                <w:bCs/>
                <w:sz w:val="20"/>
                <w:szCs w:val="20"/>
                <w:vertAlign w:val="superscript"/>
              </w:rPr>
              <w:t>1</w:t>
            </w:r>
          </w:p>
        </w:tc>
        <w:tc>
          <w:tcPr>
            <w:tcW w:w="2268" w:type="dxa"/>
            <w:gridSpan w:val="2"/>
          </w:tcPr>
          <w:p w14:paraId="30274E7C" w14:textId="77777777" w:rsidR="006945F9" w:rsidRPr="009475AF" w:rsidRDefault="006945F9" w:rsidP="00E2389F">
            <w:pPr>
              <w:keepNext/>
              <w:jc w:val="center"/>
              <w:rPr>
                <w:rFonts w:ascii="Arial Narrow" w:hAnsi="Arial Narrow"/>
                <w:b/>
                <w:bCs/>
                <w:sz w:val="20"/>
                <w:szCs w:val="20"/>
              </w:rPr>
            </w:pPr>
            <w:r w:rsidRPr="009475AF">
              <w:rPr>
                <w:rFonts w:ascii="Arial Narrow" w:hAnsi="Arial Narrow"/>
                <w:b/>
                <w:bCs/>
                <w:sz w:val="20"/>
                <w:szCs w:val="20"/>
              </w:rPr>
              <w:t>IA-05</w:t>
            </w:r>
            <w:r w:rsidRPr="009475AF">
              <w:rPr>
                <w:rFonts w:ascii="Arial Narrow" w:hAnsi="Arial Narrow"/>
                <w:b/>
                <w:bCs/>
                <w:sz w:val="20"/>
                <w:szCs w:val="20"/>
                <w:vertAlign w:val="superscript"/>
              </w:rPr>
              <w:t>2</w:t>
            </w:r>
          </w:p>
        </w:tc>
        <w:tc>
          <w:tcPr>
            <w:tcW w:w="2218" w:type="dxa"/>
            <w:gridSpan w:val="2"/>
          </w:tcPr>
          <w:p w14:paraId="6EFAB393" w14:textId="77777777" w:rsidR="006945F9" w:rsidRPr="009475AF" w:rsidRDefault="006945F9" w:rsidP="00E2389F">
            <w:pPr>
              <w:keepNext/>
              <w:jc w:val="center"/>
              <w:rPr>
                <w:rFonts w:ascii="Arial Narrow" w:hAnsi="Arial Narrow"/>
                <w:b/>
                <w:bCs/>
                <w:sz w:val="20"/>
                <w:szCs w:val="20"/>
              </w:rPr>
            </w:pPr>
            <w:r w:rsidRPr="009475AF">
              <w:rPr>
                <w:rFonts w:ascii="Arial Narrow" w:hAnsi="Arial Narrow"/>
                <w:b/>
                <w:bCs/>
                <w:sz w:val="20"/>
                <w:szCs w:val="20"/>
              </w:rPr>
              <w:t>IA-05-EU</w:t>
            </w:r>
            <w:r w:rsidRPr="009475AF">
              <w:rPr>
                <w:rFonts w:ascii="Arial Narrow" w:hAnsi="Arial Narrow"/>
                <w:b/>
                <w:bCs/>
                <w:sz w:val="20"/>
                <w:szCs w:val="20"/>
                <w:vertAlign w:val="superscript"/>
              </w:rPr>
              <w:t>2</w:t>
            </w:r>
          </w:p>
        </w:tc>
      </w:tr>
      <w:tr w:rsidR="006945F9" w:rsidRPr="009475AF" w14:paraId="7013E525" w14:textId="77777777" w:rsidTr="00B51AC8">
        <w:tc>
          <w:tcPr>
            <w:tcW w:w="2547" w:type="dxa"/>
          </w:tcPr>
          <w:p w14:paraId="6EE82D6F" w14:textId="77777777" w:rsidR="006945F9" w:rsidRPr="009475AF" w:rsidRDefault="006945F9" w:rsidP="00E2389F">
            <w:pPr>
              <w:keepNext/>
              <w:rPr>
                <w:rFonts w:ascii="Arial Narrow" w:hAnsi="Arial Narrow"/>
                <w:sz w:val="20"/>
                <w:szCs w:val="20"/>
              </w:rPr>
            </w:pPr>
          </w:p>
        </w:tc>
        <w:tc>
          <w:tcPr>
            <w:tcW w:w="1134" w:type="dxa"/>
          </w:tcPr>
          <w:p w14:paraId="5C23ED10"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Dupilumab</w:t>
            </w:r>
          </w:p>
          <w:p w14:paraId="694A74AC"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273</w:t>
            </w:r>
          </w:p>
        </w:tc>
        <w:tc>
          <w:tcPr>
            <w:tcW w:w="850" w:type="dxa"/>
          </w:tcPr>
          <w:p w14:paraId="686ADFF8"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Placebo</w:t>
            </w:r>
          </w:p>
          <w:p w14:paraId="671F261A"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135</w:t>
            </w:r>
          </w:p>
        </w:tc>
        <w:tc>
          <w:tcPr>
            <w:tcW w:w="1276" w:type="dxa"/>
          </w:tcPr>
          <w:p w14:paraId="31059AB3"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Omalizumab</w:t>
            </w:r>
          </w:p>
          <w:p w14:paraId="3F0C840B"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421</w:t>
            </w:r>
          </w:p>
        </w:tc>
        <w:tc>
          <w:tcPr>
            <w:tcW w:w="992" w:type="dxa"/>
          </w:tcPr>
          <w:p w14:paraId="5E326A9E"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Placebo</w:t>
            </w:r>
          </w:p>
          <w:p w14:paraId="4F311A52"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206</w:t>
            </w:r>
          </w:p>
        </w:tc>
        <w:tc>
          <w:tcPr>
            <w:tcW w:w="1276" w:type="dxa"/>
          </w:tcPr>
          <w:p w14:paraId="29CB9D59"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Omalizumab</w:t>
            </w:r>
          </w:p>
          <w:p w14:paraId="036025D8"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159</w:t>
            </w:r>
          </w:p>
        </w:tc>
        <w:tc>
          <w:tcPr>
            <w:tcW w:w="942" w:type="dxa"/>
          </w:tcPr>
          <w:p w14:paraId="1A988006"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Placebo</w:t>
            </w:r>
          </w:p>
          <w:p w14:paraId="677434A1"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 = 76</w:t>
            </w:r>
          </w:p>
        </w:tc>
      </w:tr>
      <w:tr w:rsidR="006945F9" w:rsidRPr="009475AF" w14:paraId="496EE702" w14:textId="77777777" w:rsidTr="00B51AC8">
        <w:tc>
          <w:tcPr>
            <w:tcW w:w="2547" w:type="dxa"/>
          </w:tcPr>
          <w:p w14:paraId="464AA26B" w14:textId="77777777" w:rsidR="006945F9" w:rsidRPr="009475AF" w:rsidRDefault="006945F9" w:rsidP="00E2389F">
            <w:pPr>
              <w:keepNext/>
              <w:jc w:val="left"/>
              <w:rPr>
                <w:rFonts w:ascii="Arial Narrow" w:hAnsi="Arial Narrow"/>
                <w:b/>
                <w:bCs/>
                <w:sz w:val="20"/>
                <w:szCs w:val="20"/>
              </w:rPr>
            </w:pPr>
            <w:r w:rsidRPr="009475AF">
              <w:rPr>
                <w:rFonts w:ascii="Arial Narrow" w:hAnsi="Arial Narrow"/>
                <w:b/>
                <w:bCs/>
                <w:sz w:val="20"/>
                <w:szCs w:val="20"/>
              </w:rPr>
              <w:t>Exacerbation rate at 24 wk by trial definition</w:t>
            </w:r>
            <w:r w:rsidRPr="009475AF">
              <w:rPr>
                <w:rFonts w:ascii="Arial Narrow" w:hAnsi="Arial Narrow"/>
                <w:b/>
                <w:bCs/>
                <w:sz w:val="20"/>
                <w:szCs w:val="20"/>
                <w:vertAlign w:val="superscript"/>
              </w:rPr>
              <w:t>3</w:t>
            </w:r>
          </w:p>
        </w:tc>
        <w:tc>
          <w:tcPr>
            <w:tcW w:w="1134" w:type="dxa"/>
          </w:tcPr>
          <w:p w14:paraId="3845C4F4"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850" w:type="dxa"/>
          </w:tcPr>
          <w:p w14:paraId="67A19590"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1276" w:type="dxa"/>
          </w:tcPr>
          <w:p w14:paraId="3CF395BF"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0.45</w:t>
            </w:r>
          </w:p>
        </w:tc>
        <w:tc>
          <w:tcPr>
            <w:tcW w:w="992" w:type="dxa"/>
          </w:tcPr>
          <w:p w14:paraId="67C49175"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0.64</w:t>
            </w:r>
          </w:p>
        </w:tc>
        <w:tc>
          <w:tcPr>
            <w:tcW w:w="1276" w:type="dxa"/>
          </w:tcPr>
          <w:p w14:paraId="7B0D23DF"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0.42</w:t>
            </w:r>
          </w:p>
        </w:tc>
        <w:tc>
          <w:tcPr>
            <w:tcW w:w="942" w:type="dxa"/>
          </w:tcPr>
          <w:p w14:paraId="42261135"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0.63</w:t>
            </w:r>
          </w:p>
        </w:tc>
      </w:tr>
      <w:tr w:rsidR="00F45417" w:rsidRPr="009475AF" w14:paraId="0FE19C01" w14:textId="77777777" w:rsidTr="00B51AC8">
        <w:tc>
          <w:tcPr>
            <w:tcW w:w="2547" w:type="dxa"/>
          </w:tcPr>
          <w:p w14:paraId="3EA11FE1" w14:textId="77777777" w:rsidR="00F45417" w:rsidRPr="009475AF" w:rsidRDefault="00F45417" w:rsidP="00E2389F">
            <w:pPr>
              <w:keepNext/>
              <w:jc w:val="right"/>
              <w:rPr>
                <w:rFonts w:ascii="Arial Narrow" w:hAnsi="Arial Narrow"/>
                <w:sz w:val="20"/>
                <w:szCs w:val="20"/>
              </w:rPr>
            </w:pPr>
            <w:r w:rsidRPr="009475AF">
              <w:rPr>
                <w:rFonts w:ascii="Arial Narrow" w:hAnsi="Arial Narrow"/>
                <w:sz w:val="20"/>
                <w:szCs w:val="20"/>
              </w:rPr>
              <w:t>RR (95% CI) vs placebo</w:t>
            </w:r>
          </w:p>
        </w:tc>
        <w:tc>
          <w:tcPr>
            <w:tcW w:w="1984" w:type="dxa"/>
            <w:gridSpan w:val="2"/>
          </w:tcPr>
          <w:p w14:paraId="22FB65D7" w14:textId="4529E014" w:rsidR="00F45417" w:rsidRPr="009475AF" w:rsidRDefault="00F45417" w:rsidP="00F45417">
            <w:pPr>
              <w:keepNext/>
              <w:jc w:val="center"/>
              <w:rPr>
                <w:rFonts w:ascii="Arial Narrow" w:hAnsi="Arial Narrow"/>
                <w:sz w:val="20"/>
                <w:szCs w:val="20"/>
              </w:rPr>
            </w:pPr>
            <w:r w:rsidRPr="009475AF">
              <w:rPr>
                <w:rFonts w:ascii="Arial Narrow" w:hAnsi="Arial Narrow"/>
                <w:sz w:val="20"/>
                <w:szCs w:val="20"/>
              </w:rPr>
              <w:t>NR</w:t>
            </w:r>
          </w:p>
        </w:tc>
        <w:tc>
          <w:tcPr>
            <w:tcW w:w="2268" w:type="dxa"/>
            <w:gridSpan w:val="2"/>
          </w:tcPr>
          <w:p w14:paraId="4A8F8B3C" w14:textId="77777777" w:rsidR="00F45417" w:rsidRPr="009475AF" w:rsidRDefault="00F45417" w:rsidP="00F45417">
            <w:pPr>
              <w:pStyle w:val="TableText0"/>
              <w:jc w:val="center"/>
              <w:rPr>
                <w:b/>
                <w:bCs w:val="0"/>
                <w:szCs w:val="20"/>
              </w:rPr>
            </w:pPr>
            <w:r w:rsidRPr="009475AF">
              <w:rPr>
                <w:b/>
                <w:bCs w:val="0"/>
                <w:szCs w:val="20"/>
              </w:rPr>
              <w:t>0.69</w:t>
            </w:r>
          </w:p>
          <w:p w14:paraId="67399F5F" w14:textId="63B7B4D4" w:rsidR="00F45417" w:rsidRPr="009475AF" w:rsidRDefault="00F45417" w:rsidP="00F45417">
            <w:pPr>
              <w:keepNext/>
              <w:jc w:val="center"/>
              <w:rPr>
                <w:rFonts w:ascii="Arial Narrow" w:hAnsi="Arial Narrow"/>
                <w:sz w:val="20"/>
                <w:szCs w:val="20"/>
              </w:rPr>
            </w:pPr>
            <w:r w:rsidRPr="009475AF">
              <w:rPr>
                <w:rFonts w:ascii="Arial Narrow" w:hAnsi="Arial Narrow"/>
                <w:b/>
                <w:sz w:val="20"/>
                <w:szCs w:val="20"/>
              </w:rPr>
              <w:t>(0.53, 0.90)</w:t>
            </w:r>
          </w:p>
        </w:tc>
        <w:tc>
          <w:tcPr>
            <w:tcW w:w="2218" w:type="dxa"/>
            <w:gridSpan w:val="2"/>
          </w:tcPr>
          <w:p w14:paraId="54DDC500" w14:textId="5289CB20" w:rsidR="00F45417" w:rsidRPr="009475AF" w:rsidRDefault="00F45417" w:rsidP="00F45417">
            <w:pPr>
              <w:keepNext/>
              <w:jc w:val="center"/>
              <w:rPr>
                <w:rFonts w:ascii="Arial Narrow" w:hAnsi="Arial Narrow"/>
                <w:b/>
                <w:bCs/>
                <w:sz w:val="20"/>
                <w:szCs w:val="20"/>
              </w:rPr>
            </w:pPr>
            <w:r w:rsidRPr="009475AF">
              <w:rPr>
                <w:rFonts w:ascii="Arial Narrow" w:hAnsi="Arial Narrow"/>
                <w:b/>
                <w:bCs/>
                <w:sz w:val="20"/>
                <w:szCs w:val="20"/>
              </w:rPr>
              <w:t>0.66</w:t>
            </w:r>
          </w:p>
          <w:p w14:paraId="33C4619D" w14:textId="19A10D59" w:rsidR="00F45417" w:rsidRPr="009475AF" w:rsidRDefault="00F45417" w:rsidP="00F45417">
            <w:pPr>
              <w:keepNext/>
              <w:jc w:val="center"/>
              <w:rPr>
                <w:rFonts w:ascii="Arial Narrow" w:hAnsi="Arial Narrow"/>
                <w:sz w:val="20"/>
                <w:szCs w:val="20"/>
              </w:rPr>
            </w:pPr>
            <w:r w:rsidRPr="009475AF">
              <w:rPr>
                <w:rFonts w:ascii="Arial Narrow" w:hAnsi="Arial Narrow"/>
                <w:b/>
                <w:bCs/>
                <w:sz w:val="20"/>
                <w:szCs w:val="20"/>
              </w:rPr>
              <w:t>(0.44, 0.995)</w:t>
            </w:r>
          </w:p>
        </w:tc>
      </w:tr>
      <w:tr w:rsidR="006945F9" w:rsidRPr="009475AF" w14:paraId="69F19D5A" w14:textId="77777777" w:rsidTr="00B51AC8">
        <w:tc>
          <w:tcPr>
            <w:tcW w:w="2547" w:type="dxa"/>
          </w:tcPr>
          <w:p w14:paraId="5D2A8F47" w14:textId="77777777" w:rsidR="006945F9" w:rsidRPr="009475AF" w:rsidRDefault="006945F9" w:rsidP="00E2389F">
            <w:pPr>
              <w:keepNext/>
              <w:jc w:val="left"/>
              <w:rPr>
                <w:rFonts w:ascii="Arial Narrow" w:hAnsi="Arial Narrow"/>
                <w:b/>
                <w:bCs/>
                <w:sz w:val="20"/>
                <w:szCs w:val="20"/>
              </w:rPr>
            </w:pPr>
            <w:r w:rsidRPr="009475AF">
              <w:rPr>
                <w:rFonts w:ascii="Arial Narrow" w:hAnsi="Arial Narrow"/>
                <w:b/>
                <w:bCs/>
                <w:sz w:val="20"/>
                <w:szCs w:val="20"/>
              </w:rPr>
              <w:t>Exacerbation rate at 52 wk by trial definition</w:t>
            </w:r>
            <w:r w:rsidRPr="009475AF">
              <w:rPr>
                <w:rFonts w:ascii="Arial Narrow" w:hAnsi="Arial Narrow"/>
                <w:b/>
                <w:bCs/>
                <w:sz w:val="20"/>
                <w:szCs w:val="20"/>
                <w:vertAlign w:val="superscript"/>
              </w:rPr>
              <w:t>3</w:t>
            </w:r>
          </w:p>
        </w:tc>
        <w:tc>
          <w:tcPr>
            <w:tcW w:w="1134" w:type="dxa"/>
          </w:tcPr>
          <w:p w14:paraId="44C78A7B"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0.28</w:t>
            </w:r>
          </w:p>
        </w:tc>
        <w:tc>
          <w:tcPr>
            <w:tcW w:w="850" w:type="dxa"/>
          </w:tcPr>
          <w:p w14:paraId="36187BE8"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0.61</w:t>
            </w:r>
          </w:p>
        </w:tc>
        <w:tc>
          <w:tcPr>
            <w:tcW w:w="1276" w:type="dxa"/>
          </w:tcPr>
          <w:p w14:paraId="64564A59"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0.78</w:t>
            </w:r>
          </w:p>
        </w:tc>
        <w:tc>
          <w:tcPr>
            <w:tcW w:w="992" w:type="dxa"/>
          </w:tcPr>
          <w:p w14:paraId="5D6F14B8"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1.36</w:t>
            </w:r>
          </w:p>
        </w:tc>
        <w:tc>
          <w:tcPr>
            <w:tcW w:w="1276" w:type="dxa"/>
          </w:tcPr>
          <w:p w14:paraId="097AAF43"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0.73</w:t>
            </w:r>
          </w:p>
        </w:tc>
        <w:tc>
          <w:tcPr>
            <w:tcW w:w="942" w:type="dxa"/>
          </w:tcPr>
          <w:p w14:paraId="42A25DB4"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1.44</w:t>
            </w:r>
          </w:p>
        </w:tc>
      </w:tr>
      <w:tr w:rsidR="00F45417" w:rsidRPr="009475AF" w14:paraId="64129720" w14:textId="77777777" w:rsidTr="00B51AC8">
        <w:tc>
          <w:tcPr>
            <w:tcW w:w="2547" w:type="dxa"/>
          </w:tcPr>
          <w:p w14:paraId="752E732A" w14:textId="77777777" w:rsidR="00F45417" w:rsidRPr="009475AF" w:rsidRDefault="00F45417" w:rsidP="00E2389F">
            <w:pPr>
              <w:keepNext/>
              <w:jc w:val="right"/>
              <w:rPr>
                <w:rFonts w:ascii="Arial Narrow" w:hAnsi="Arial Narrow"/>
                <w:sz w:val="20"/>
                <w:szCs w:val="20"/>
              </w:rPr>
            </w:pPr>
            <w:r w:rsidRPr="009475AF">
              <w:rPr>
                <w:rFonts w:ascii="Arial Narrow" w:hAnsi="Arial Narrow"/>
                <w:sz w:val="20"/>
                <w:szCs w:val="20"/>
              </w:rPr>
              <w:t>RR (95% CI) vs placebo</w:t>
            </w:r>
          </w:p>
        </w:tc>
        <w:tc>
          <w:tcPr>
            <w:tcW w:w="1984" w:type="dxa"/>
            <w:gridSpan w:val="2"/>
          </w:tcPr>
          <w:p w14:paraId="2BDE5441" w14:textId="77777777" w:rsidR="00F45417" w:rsidRPr="009475AF" w:rsidRDefault="00F45417" w:rsidP="00E2389F">
            <w:pPr>
              <w:pStyle w:val="TableText0"/>
              <w:jc w:val="center"/>
              <w:rPr>
                <w:b/>
                <w:bCs w:val="0"/>
                <w:szCs w:val="20"/>
              </w:rPr>
            </w:pPr>
            <w:r w:rsidRPr="009475AF">
              <w:rPr>
                <w:b/>
                <w:bCs w:val="0"/>
                <w:szCs w:val="20"/>
              </w:rPr>
              <w:t>0.46</w:t>
            </w:r>
          </w:p>
          <w:p w14:paraId="64BD3666" w14:textId="4E8E1226" w:rsidR="00F45417" w:rsidRPr="009475AF" w:rsidRDefault="00F45417" w:rsidP="00F45417">
            <w:pPr>
              <w:keepNext/>
              <w:jc w:val="center"/>
              <w:rPr>
                <w:rFonts w:ascii="Arial Narrow" w:hAnsi="Arial Narrow"/>
                <w:sz w:val="20"/>
                <w:szCs w:val="20"/>
              </w:rPr>
            </w:pPr>
            <w:r w:rsidRPr="009475AF">
              <w:rPr>
                <w:rFonts w:ascii="Arial Narrow" w:hAnsi="Arial Narrow"/>
                <w:b/>
                <w:sz w:val="20"/>
                <w:szCs w:val="20"/>
              </w:rPr>
              <w:t>(0.31, 0.67)</w:t>
            </w:r>
          </w:p>
        </w:tc>
        <w:tc>
          <w:tcPr>
            <w:tcW w:w="2268" w:type="dxa"/>
            <w:gridSpan w:val="2"/>
          </w:tcPr>
          <w:p w14:paraId="23BF57C5" w14:textId="77777777" w:rsidR="00F45417" w:rsidRPr="009475AF" w:rsidRDefault="00F45417" w:rsidP="00E2389F">
            <w:pPr>
              <w:pStyle w:val="TableText0"/>
              <w:jc w:val="center"/>
              <w:rPr>
                <w:b/>
                <w:bCs w:val="0"/>
                <w:szCs w:val="20"/>
              </w:rPr>
            </w:pPr>
            <w:r w:rsidRPr="009475AF">
              <w:rPr>
                <w:b/>
                <w:bCs w:val="0"/>
                <w:szCs w:val="20"/>
              </w:rPr>
              <w:t>0.57</w:t>
            </w:r>
          </w:p>
          <w:p w14:paraId="10635518" w14:textId="36CEC452" w:rsidR="00F45417" w:rsidRPr="009475AF" w:rsidRDefault="00F45417" w:rsidP="00F45417">
            <w:pPr>
              <w:keepNext/>
              <w:jc w:val="center"/>
              <w:rPr>
                <w:rFonts w:ascii="Arial Narrow" w:hAnsi="Arial Narrow"/>
                <w:sz w:val="20"/>
                <w:szCs w:val="20"/>
              </w:rPr>
            </w:pPr>
            <w:r w:rsidRPr="009475AF">
              <w:rPr>
                <w:rFonts w:ascii="Arial Narrow" w:hAnsi="Arial Narrow"/>
                <w:b/>
                <w:sz w:val="20"/>
                <w:szCs w:val="20"/>
              </w:rPr>
              <w:t>(0.45, 0.73)</w:t>
            </w:r>
          </w:p>
        </w:tc>
        <w:tc>
          <w:tcPr>
            <w:tcW w:w="2218" w:type="dxa"/>
            <w:gridSpan w:val="2"/>
          </w:tcPr>
          <w:p w14:paraId="7CF32520" w14:textId="77777777" w:rsidR="00F45417" w:rsidRPr="009475AF" w:rsidRDefault="00F45417" w:rsidP="00E2389F">
            <w:pPr>
              <w:keepNext/>
              <w:jc w:val="center"/>
              <w:rPr>
                <w:rFonts w:ascii="Arial Narrow" w:hAnsi="Arial Narrow"/>
                <w:b/>
                <w:bCs/>
                <w:sz w:val="20"/>
                <w:szCs w:val="20"/>
              </w:rPr>
            </w:pPr>
            <w:r w:rsidRPr="009475AF">
              <w:rPr>
                <w:rFonts w:ascii="Arial Narrow" w:hAnsi="Arial Narrow"/>
                <w:b/>
                <w:bCs/>
                <w:sz w:val="20"/>
                <w:szCs w:val="20"/>
              </w:rPr>
              <w:t xml:space="preserve">0.50 </w:t>
            </w:r>
          </w:p>
          <w:p w14:paraId="7D84A09D" w14:textId="6F39012C" w:rsidR="00F45417" w:rsidRPr="009475AF" w:rsidRDefault="00F45417" w:rsidP="00F45417">
            <w:pPr>
              <w:keepNext/>
              <w:jc w:val="center"/>
              <w:rPr>
                <w:rFonts w:ascii="Arial Narrow" w:hAnsi="Arial Narrow"/>
                <w:sz w:val="20"/>
                <w:szCs w:val="20"/>
              </w:rPr>
            </w:pPr>
            <w:r w:rsidRPr="009475AF">
              <w:rPr>
                <w:rFonts w:ascii="Arial Narrow" w:hAnsi="Arial Narrow"/>
                <w:b/>
                <w:bCs/>
                <w:sz w:val="20"/>
                <w:szCs w:val="20"/>
              </w:rPr>
              <w:t>(0.35, 0.72)</w:t>
            </w:r>
          </w:p>
        </w:tc>
      </w:tr>
      <w:tr w:rsidR="006945F9" w:rsidRPr="009475AF" w14:paraId="2F83E38D" w14:textId="77777777" w:rsidTr="00B51AC8">
        <w:tc>
          <w:tcPr>
            <w:tcW w:w="2547" w:type="dxa"/>
          </w:tcPr>
          <w:p w14:paraId="383C9CA3" w14:textId="19892D85" w:rsidR="006945F9" w:rsidRPr="009475AF" w:rsidRDefault="006945F9" w:rsidP="00E2389F">
            <w:pPr>
              <w:keepNext/>
              <w:jc w:val="left"/>
              <w:rPr>
                <w:rFonts w:ascii="Arial Narrow" w:hAnsi="Arial Narrow"/>
                <w:b/>
                <w:bCs/>
                <w:sz w:val="20"/>
                <w:szCs w:val="20"/>
              </w:rPr>
            </w:pPr>
            <w:r w:rsidRPr="009475AF">
              <w:rPr>
                <w:rFonts w:ascii="Arial Narrow" w:hAnsi="Arial Narrow"/>
                <w:b/>
                <w:bCs/>
                <w:sz w:val="20"/>
                <w:szCs w:val="20"/>
              </w:rPr>
              <w:t>Severe exacerbation rate at 24 wk by IA05 definition</w:t>
            </w:r>
            <w:r w:rsidRPr="009475AF">
              <w:rPr>
                <w:rFonts w:ascii="Arial Narrow" w:hAnsi="Arial Narrow"/>
                <w:b/>
                <w:bCs/>
                <w:sz w:val="20"/>
                <w:szCs w:val="20"/>
                <w:vertAlign w:val="superscript"/>
              </w:rPr>
              <w:t>3</w:t>
            </w:r>
            <w:r w:rsidR="00756C81" w:rsidRPr="009475AF">
              <w:rPr>
                <w:rFonts w:ascii="Arial Narrow" w:hAnsi="Arial Narrow"/>
                <w:b/>
                <w:bCs/>
                <w:sz w:val="20"/>
                <w:szCs w:val="20"/>
                <w:vertAlign w:val="superscript"/>
              </w:rPr>
              <w:t>,4</w:t>
            </w:r>
          </w:p>
        </w:tc>
        <w:tc>
          <w:tcPr>
            <w:tcW w:w="1134" w:type="dxa"/>
          </w:tcPr>
          <w:p w14:paraId="0851F648"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850" w:type="dxa"/>
          </w:tcPr>
          <w:p w14:paraId="4B61CC32"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1276" w:type="dxa"/>
          </w:tcPr>
          <w:p w14:paraId="01E3822B"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0.10</w:t>
            </w:r>
          </w:p>
        </w:tc>
        <w:tc>
          <w:tcPr>
            <w:tcW w:w="992" w:type="dxa"/>
          </w:tcPr>
          <w:p w14:paraId="10056399"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0.18</w:t>
            </w:r>
          </w:p>
        </w:tc>
        <w:tc>
          <w:tcPr>
            <w:tcW w:w="1276" w:type="dxa"/>
          </w:tcPr>
          <w:p w14:paraId="39CA8BFF" w14:textId="1CBFDCE7" w:rsidR="006945F9" w:rsidRPr="009475AF" w:rsidRDefault="007216BF" w:rsidP="00E2389F">
            <w:pPr>
              <w:keepNext/>
              <w:jc w:val="center"/>
              <w:rPr>
                <w:rFonts w:ascii="Arial Narrow" w:hAnsi="Arial Narrow"/>
                <w:sz w:val="20"/>
                <w:szCs w:val="20"/>
              </w:rPr>
            </w:pPr>
            <w:r w:rsidRPr="009475AF">
              <w:rPr>
                <w:rFonts w:ascii="Arial Narrow" w:hAnsi="Arial Narrow"/>
                <w:sz w:val="20"/>
                <w:szCs w:val="20"/>
              </w:rPr>
              <w:t>NR</w:t>
            </w:r>
          </w:p>
        </w:tc>
        <w:tc>
          <w:tcPr>
            <w:tcW w:w="942" w:type="dxa"/>
          </w:tcPr>
          <w:p w14:paraId="2A6994F2" w14:textId="5F36A848" w:rsidR="006945F9" w:rsidRPr="009475AF" w:rsidRDefault="007216BF" w:rsidP="00E2389F">
            <w:pPr>
              <w:keepNext/>
              <w:jc w:val="center"/>
              <w:rPr>
                <w:rFonts w:ascii="Arial Narrow" w:hAnsi="Arial Narrow"/>
                <w:sz w:val="20"/>
                <w:szCs w:val="20"/>
              </w:rPr>
            </w:pPr>
            <w:r w:rsidRPr="009475AF">
              <w:rPr>
                <w:rFonts w:ascii="Arial Narrow" w:hAnsi="Arial Narrow"/>
                <w:sz w:val="20"/>
                <w:szCs w:val="20"/>
              </w:rPr>
              <w:t>NR</w:t>
            </w:r>
          </w:p>
        </w:tc>
      </w:tr>
      <w:tr w:rsidR="00F45417" w:rsidRPr="009475AF" w14:paraId="0449137B" w14:textId="77777777" w:rsidTr="00B51AC8">
        <w:tc>
          <w:tcPr>
            <w:tcW w:w="2547" w:type="dxa"/>
          </w:tcPr>
          <w:p w14:paraId="71BD77AE" w14:textId="77777777" w:rsidR="00F45417" w:rsidRPr="009475AF" w:rsidRDefault="00F45417" w:rsidP="00E2389F">
            <w:pPr>
              <w:keepNext/>
              <w:jc w:val="right"/>
              <w:rPr>
                <w:rFonts w:ascii="Arial Narrow" w:hAnsi="Arial Narrow"/>
                <w:sz w:val="20"/>
                <w:szCs w:val="20"/>
              </w:rPr>
            </w:pPr>
            <w:r w:rsidRPr="009475AF">
              <w:rPr>
                <w:rFonts w:ascii="Arial Narrow" w:hAnsi="Arial Narrow"/>
                <w:sz w:val="20"/>
                <w:szCs w:val="20"/>
              </w:rPr>
              <w:t>RR (95% CI) vs placebo</w:t>
            </w:r>
          </w:p>
        </w:tc>
        <w:tc>
          <w:tcPr>
            <w:tcW w:w="1984" w:type="dxa"/>
            <w:gridSpan w:val="2"/>
          </w:tcPr>
          <w:p w14:paraId="3959F150" w14:textId="00A03704" w:rsidR="00F45417" w:rsidRPr="009475AF" w:rsidRDefault="00F45417" w:rsidP="00F45417">
            <w:pPr>
              <w:keepNext/>
              <w:jc w:val="center"/>
              <w:rPr>
                <w:rFonts w:ascii="Arial Narrow" w:hAnsi="Arial Narrow"/>
                <w:sz w:val="20"/>
                <w:szCs w:val="20"/>
              </w:rPr>
            </w:pPr>
            <w:r w:rsidRPr="009475AF">
              <w:rPr>
                <w:rFonts w:ascii="Arial Narrow" w:hAnsi="Arial Narrow"/>
                <w:sz w:val="20"/>
                <w:szCs w:val="20"/>
              </w:rPr>
              <w:t>NR</w:t>
            </w:r>
          </w:p>
        </w:tc>
        <w:tc>
          <w:tcPr>
            <w:tcW w:w="2268" w:type="dxa"/>
            <w:gridSpan w:val="2"/>
          </w:tcPr>
          <w:p w14:paraId="41568F11" w14:textId="77777777" w:rsidR="00F45417" w:rsidRPr="009475AF" w:rsidRDefault="00F45417" w:rsidP="00E2389F">
            <w:pPr>
              <w:pStyle w:val="TableText0"/>
              <w:jc w:val="center"/>
              <w:rPr>
                <w:b/>
                <w:bCs w:val="0"/>
                <w:szCs w:val="20"/>
              </w:rPr>
            </w:pPr>
            <w:r w:rsidRPr="009475AF">
              <w:rPr>
                <w:b/>
                <w:bCs w:val="0"/>
                <w:szCs w:val="20"/>
              </w:rPr>
              <w:t>0.55</w:t>
            </w:r>
          </w:p>
          <w:p w14:paraId="19A43801" w14:textId="374BCBCA" w:rsidR="00F45417" w:rsidRPr="009475AF" w:rsidRDefault="00F45417" w:rsidP="00F45417">
            <w:pPr>
              <w:keepNext/>
              <w:jc w:val="center"/>
              <w:rPr>
                <w:rFonts w:ascii="Arial Narrow" w:hAnsi="Arial Narrow"/>
                <w:sz w:val="20"/>
                <w:szCs w:val="20"/>
              </w:rPr>
            </w:pPr>
            <w:r w:rsidRPr="009475AF">
              <w:rPr>
                <w:rFonts w:ascii="Arial Narrow" w:hAnsi="Arial Narrow"/>
                <w:b/>
                <w:sz w:val="20"/>
                <w:szCs w:val="20"/>
              </w:rPr>
              <w:t>(0.32, 0.95)</w:t>
            </w:r>
          </w:p>
        </w:tc>
        <w:tc>
          <w:tcPr>
            <w:tcW w:w="2218" w:type="dxa"/>
            <w:gridSpan w:val="2"/>
          </w:tcPr>
          <w:p w14:paraId="02AB64DD" w14:textId="359F8823" w:rsidR="00F45417" w:rsidRPr="009475AF" w:rsidRDefault="00F45417" w:rsidP="00F45417">
            <w:pPr>
              <w:keepNext/>
              <w:jc w:val="center"/>
              <w:rPr>
                <w:rFonts w:ascii="Arial Narrow" w:hAnsi="Arial Narrow"/>
                <w:sz w:val="20"/>
                <w:szCs w:val="20"/>
              </w:rPr>
            </w:pPr>
            <w:r w:rsidRPr="009475AF">
              <w:rPr>
                <w:rFonts w:ascii="Arial Narrow" w:hAnsi="Arial Narrow"/>
                <w:sz w:val="20"/>
                <w:szCs w:val="20"/>
              </w:rPr>
              <w:t>NR</w:t>
            </w:r>
          </w:p>
        </w:tc>
      </w:tr>
      <w:tr w:rsidR="006945F9" w:rsidRPr="009475AF" w14:paraId="08F38FB3" w14:textId="77777777" w:rsidTr="00B51AC8">
        <w:tc>
          <w:tcPr>
            <w:tcW w:w="2547" w:type="dxa"/>
          </w:tcPr>
          <w:p w14:paraId="027D1B13" w14:textId="34630936" w:rsidR="006945F9" w:rsidRPr="009475AF" w:rsidRDefault="006945F9" w:rsidP="00E2389F">
            <w:pPr>
              <w:keepNext/>
              <w:jc w:val="left"/>
              <w:rPr>
                <w:rFonts w:ascii="Arial Narrow" w:hAnsi="Arial Narrow"/>
                <w:b/>
                <w:bCs/>
                <w:sz w:val="20"/>
                <w:szCs w:val="20"/>
              </w:rPr>
            </w:pPr>
            <w:r w:rsidRPr="009475AF">
              <w:rPr>
                <w:rFonts w:ascii="Arial Narrow" w:hAnsi="Arial Narrow"/>
                <w:b/>
                <w:bCs/>
                <w:sz w:val="20"/>
                <w:szCs w:val="20"/>
              </w:rPr>
              <w:t>Severe exacerbation rate at 52 wk by IA05 definition</w:t>
            </w:r>
            <w:r w:rsidRPr="009475AF">
              <w:rPr>
                <w:rFonts w:ascii="Arial Narrow" w:hAnsi="Arial Narrow"/>
                <w:b/>
                <w:bCs/>
                <w:sz w:val="20"/>
                <w:szCs w:val="20"/>
                <w:vertAlign w:val="superscript"/>
              </w:rPr>
              <w:t>3</w:t>
            </w:r>
            <w:r w:rsidR="00756C81" w:rsidRPr="009475AF">
              <w:rPr>
                <w:rFonts w:ascii="Arial Narrow" w:hAnsi="Arial Narrow"/>
                <w:b/>
                <w:bCs/>
                <w:sz w:val="20"/>
                <w:szCs w:val="20"/>
                <w:vertAlign w:val="superscript"/>
              </w:rPr>
              <w:t>,4</w:t>
            </w:r>
          </w:p>
        </w:tc>
        <w:tc>
          <w:tcPr>
            <w:tcW w:w="1134" w:type="dxa"/>
          </w:tcPr>
          <w:p w14:paraId="148453A9"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850" w:type="dxa"/>
          </w:tcPr>
          <w:p w14:paraId="338A293E"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NR</w:t>
            </w:r>
          </w:p>
        </w:tc>
        <w:tc>
          <w:tcPr>
            <w:tcW w:w="1276" w:type="dxa"/>
          </w:tcPr>
          <w:p w14:paraId="565CFEAA" w14:textId="0A42AF36"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0.12</w:t>
            </w:r>
          </w:p>
        </w:tc>
        <w:tc>
          <w:tcPr>
            <w:tcW w:w="992" w:type="dxa"/>
          </w:tcPr>
          <w:p w14:paraId="48A2B0F0" w14:textId="77777777" w:rsidR="006945F9" w:rsidRPr="009475AF" w:rsidRDefault="006945F9" w:rsidP="00E2389F">
            <w:pPr>
              <w:keepNext/>
              <w:jc w:val="center"/>
              <w:rPr>
                <w:rFonts w:ascii="Arial Narrow" w:hAnsi="Arial Narrow"/>
                <w:sz w:val="20"/>
                <w:szCs w:val="20"/>
              </w:rPr>
            </w:pPr>
            <w:r w:rsidRPr="009475AF">
              <w:rPr>
                <w:rFonts w:ascii="Arial Narrow" w:hAnsi="Arial Narrow"/>
                <w:sz w:val="20"/>
                <w:szCs w:val="20"/>
              </w:rPr>
              <w:t>0.24</w:t>
            </w:r>
          </w:p>
        </w:tc>
        <w:tc>
          <w:tcPr>
            <w:tcW w:w="1276" w:type="dxa"/>
          </w:tcPr>
          <w:p w14:paraId="246ABC02" w14:textId="766D324C" w:rsidR="006945F9" w:rsidRPr="009475AF" w:rsidRDefault="007216BF" w:rsidP="00E2389F">
            <w:pPr>
              <w:keepNext/>
              <w:jc w:val="center"/>
              <w:rPr>
                <w:rFonts w:ascii="Arial Narrow" w:hAnsi="Arial Narrow"/>
                <w:sz w:val="20"/>
                <w:szCs w:val="20"/>
              </w:rPr>
            </w:pPr>
            <w:r w:rsidRPr="009475AF">
              <w:rPr>
                <w:rFonts w:ascii="Arial Narrow" w:hAnsi="Arial Narrow"/>
                <w:sz w:val="20"/>
                <w:szCs w:val="20"/>
              </w:rPr>
              <w:t>NR</w:t>
            </w:r>
          </w:p>
        </w:tc>
        <w:tc>
          <w:tcPr>
            <w:tcW w:w="942" w:type="dxa"/>
          </w:tcPr>
          <w:p w14:paraId="2DBB63E2" w14:textId="562F9142" w:rsidR="006945F9" w:rsidRPr="009475AF" w:rsidRDefault="007216BF" w:rsidP="00E2389F">
            <w:pPr>
              <w:keepNext/>
              <w:jc w:val="center"/>
              <w:rPr>
                <w:rFonts w:ascii="Arial Narrow" w:hAnsi="Arial Narrow"/>
                <w:sz w:val="20"/>
                <w:szCs w:val="20"/>
              </w:rPr>
            </w:pPr>
            <w:r w:rsidRPr="009475AF">
              <w:rPr>
                <w:rFonts w:ascii="Arial Narrow" w:hAnsi="Arial Narrow"/>
                <w:sz w:val="20"/>
                <w:szCs w:val="20"/>
              </w:rPr>
              <w:t>NR</w:t>
            </w:r>
          </w:p>
        </w:tc>
      </w:tr>
      <w:tr w:rsidR="00F45417" w:rsidRPr="009475AF" w14:paraId="78128DC8" w14:textId="77777777" w:rsidTr="00B51AC8">
        <w:tc>
          <w:tcPr>
            <w:tcW w:w="2547" w:type="dxa"/>
          </w:tcPr>
          <w:p w14:paraId="02DC7B28" w14:textId="683E7E1E" w:rsidR="00F45417" w:rsidRPr="009475AF" w:rsidRDefault="00F4206D" w:rsidP="00F4206D">
            <w:pPr>
              <w:keepNext/>
              <w:tabs>
                <w:tab w:val="left" w:pos="216"/>
              </w:tabs>
              <w:rPr>
                <w:rFonts w:ascii="Arial Narrow" w:hAnsi="Arial Narrow"/>
                <w:sz w:val="20"/>
                <w:szCs w:val="20"/>
              </w:rPr>
            </w:pPr>
            <w:r w:rsidRPr="009475AF">
              <w:rPr>
                <w:rFonts w:ascii="Arial Narrow" w:hAnsi="Arial Narrow"/>
                <w:sz w:val="20"/>
                <w:szCs w:val="20"/>
              </w:rPr>
              <w:tab/>
            </w:r>
            <w:r w:rsidR="00F45417" w:rsidRPr="009475AF">
              <w:rPr>
                <w:rFonts w:ascii="Arial Narrow" w:hAnsi="Arial Narrow"/>
                <w:sz w:val="20"/>
                <w:szCs w:val="20"/>
              </w:rPr>
              <w:t>RR (95% CI)</w:t>
            </w:r>
          </w:p>
          <w:p w14:paraId="5F6D58B0" w14:textId="77777777" w:rsidR="00F45417" w:rsidRPr="009475AF" w:rsidRDefault="00F45417" w:rsidP="00E2389F">
            <w:pPr>
              <w:keepNext/>
              <w:jc w:val="right"/>
              <w:rPr>
                <w:rFonts w:ascii="Arial Narrow" w:hAnsi="Arial Narrow"/>
                <w:sz w:val="20"/>
                <w:szCs w:val="20"/>
              </w:rPr>
            </w:pPr>
            <w:r w:rsidRPr="009475AF">
              <w:rPr>
                <w:rFonts w:ascii="Arial Narrow" w:hAnsi="Arial Narrow"/>
                <w:sz w:val="20"/>
                <w:szCs w:val="20"/>
              </w:rPr>
              <w:t>vs placebo</w:t>
            </w:r>
          </w:p>
        </w:tc>
        <w:tc>
          <w:tcPr>
            <w:tcW w:w="1984" w:type="dxa"/>
            <w:gridSpan w:val="2"/>
          </w:tcPr>
          <w:p w14:paraId="1D4A5E96" w14:textId="774837C7" w:rsidR="00F45417" w:rsidRPr="009475AF" w:rsidRDefault="00F45417" w:rsidP="00F45417">
            <w:pPr>
              <w:keepNext/>
              <w:jc w:val="center"/>
              <w:rPr>
                <w:rFonts w:ascii="Arial Narrow" w:hAnsi="Arial Narrow"/>
                <w:sz w:val="20"/>
                <w:szCs w:val="20"/>
              </w:rPr>
            </w:pPr>
            <w:r w:rsidRPr="009475AF">
              <w:rPr>
                <w:rFonts w:ascii="Arial Narrow" w:hAnsi="Arial Narrow"/>
                <w:sz w:val="20"/>
                <w:szCs w:val="20"/>
              </w:rPr>
              <w:t>NR</w:t>
            </w:r>
          </w:p>
        </w:tc>
        <w:tc>
          <w:tcPr>
            <w:tcW w:w="2268" w:type="dxa"/>
            <w:gridSpan w:val="2"/>
          </w:tcPr>
          <w:p w14:paraId="2313CA7A" w14:textId="77777777" w:rsidR="00F45417" w:rsidRPr="009475AF" w:rsidRDefault="00F45417" w:rsidP="00E2389F">
            <w:pPr>
              <w:pStyle w:val="TableText0"/>
              <w:jc w:val="center"/>
              <w:rPr>
                <w:b/>
                <w:bCs w:val="0"/>
                <w:szCs w:val="20"/>
              </w:rPr>
            </w:pPr>
            <w:r w:rsidRPr="009475AF">
              <w:rPr>
                <w:b/>
                <w:bCs w:val="0"/>
                <w:szCs w:val="20"/>
              </w:rPr>
              <w:t>0.49</w:t>
            </w:r>
          </w:p>
          <w:p w14:paraId="0C1EA3AE" w14:textId="3BCF6F70" w:rsidR="00F45417" w:rsidRPr="009475AF" w:rsidRDefault="00F45417" w:rsidP="00F45417">
            <w:pPr>
              <w:keepNext/>
              <w:jc w:val="center"/>
              <w:rPr>
                <w:rFonts w:ascii="Arial Narrow" w:hAnsi="Arial Narrow"/>
                <w:sz w:val="20"/>
                <w:szCs w:val="20"/>
              </w:rPr>
            </w:pPr>
            <w:r w:rsidRPr="009475AF">
              <w:rPr>
                <w:rFonts w:ascii="Arial Narrow" w:hAnsi="Arial Narrow"/>
                <w:b/>
                <w:sz w:val="20"/>
                <w:szCs w:val="20"/>
              </w:rPr>
              <w:t>(0.30, 0.80)</w:t>
            </w:r>
          </w:p>
        </w:tc>
        <w:tc>
          <w:tcPr>
            <w:tcW w:w="2218" w:type="dxa"/>
            <w:gridSpan w:val="2"/>
          </w:tcPr>
          <w:p w14:paraId="7A144E73" w14:textId="71B400CB" w:rsidR="00F45417" w:rsidRPr="009475AF" w:rsidRDefault="00F45417" w:rsidP="00F45417">
            <w:pPr>
              <w:keepNext/>
              <w:jc w:val="center"/>
              <w:rPr>
                <w:rFonts w:ascii="Arial Narrow" w:hAnsi="Arial Narrow"/>
                <w:sz w:val="20"/>
                <w:szCs w:val="20"/>
              </w:rPr>
            </w:pPr>
            <w:r w:rsidRPr="009475AF">
              <w:rPr>
                <w:rFonts w:ascii="Arial Narrow" w:hAnsi="Arial Narrow"/>
                <w:sz w:val="20"/>
                <w:szCs w:val="20"/>
              </w:rPr>
              <w:t>NR</w:t>
            </w:r>
          </w:p>
        </w:tc>
      </w:tr>
    </w:tbl>
    <w:p w14:paraId="7AD6232B" w14:textId="2B562138" w:rsidR="006945F9" w:rsidRPr="002F013D" w:rsidRDefault="006945F9" w:rsidP="00E2389F">
      <w:pPr>
        <w:pStyle w:val="FooterTableFigure"/>
        <w:keepNext/>
        <w:rPr>
          <w:szCs w:val="18"/>
        </w:rPr>
      </w:pPr>
      <w:r w:rsidRPr="002F013D">
        <w:rPr>
          <w:szCs w:val="18"/>
        </w:rPr>
        <w:t>Source: Table 2.27</w:t>
      </w:r>
      <w:r w:rsidR="002E05BE" w:rsidRPr="002F013D">
        <w:rPr>
          <w:szCs w:val="18"/>
        </w:rPr>
        <w:t xml:space="preserve"> </w:t>
      </w:r>
      <w:r w:rsidRPr="002F013D">
        <w:rPr>
          <w:szCs w:val="18"/>
        </w:rPr>
        <w:t>of the submission; Lanier, et al, 2009, A</w:t>
      </w:r>
      <w:r w:rsidR="00321B7B" w:rsidRPr="002F013D">
        <w:rPr>
          <w:szCs w:val="18"/>
        </w:rPr>
        <w:t>ttachment</w:t>
      </w:r>
      <w:r w:rsidRPr="002F013D">
        <w:rPr>
          <w:szCs w:val="18"/>
        </w:rPr>
        <w:t xml:space="preserve"> 12, Kulus, et al, 2010, </w:t>
      </w:r>
      <w:r w:rsidR="00321B7B" w:rsidRPr="002F013D">
        <w:rPr>
          <w:szCs w:val="18"/>
        </w:rPr>
        <w:t>Attachment</w:t>
      </w:r>
      <w:r w:rsidRPr="002F013D">
        <w:rPr>
          <w:szCs w:val="18"/>
        </w:rPr>
        <w:t xml:space="preserve"> 12. </w:t>
      </w:r>
    </w:p>
    <w:p w14:paraId="04103005" w14:textId="6FFAB6E9" w:rsidR="006945F9" w:rsidRPr="002F013D" w:rsidRDefault="006945F9" w:rsidP="00E2389F">
      <w:pPr>
        <w:pStyle w:val="FooterTableFigure"/>
        <w:keepNext/>
        <w:rPr>
          <w:szCs w:val="18"/>
        </w:rPr>
      </w:pPr>
      <w:r w:rsidRPr="002F013D">
        <w:rPr>
          <w:szCs w:val="18"/>
        </w:rPr>
        <w:t>NR = not reported; RD = risk difference; RR = relative risk</w:t>
      </w:r>
      <w:r w:rsidR="00877C54" w:rsidRPr="002F013D">
        <w:rPr>
          <w:szCs w:val="18"/>
        </w:rPr>
        <w:t>; wk = week</w:t>
      </w:r>
      <w:r w:rsidR="0055440E" w:rsidRPr="002F013D">
        <w:rPr>
          <w:szCs w:val="18"/>
        </w:rPr>
        <w:t xml:space="preserve">. Statistically significant results are in </w:t>
      </w:r>
      <w:r w:rsidR="0055440E" w:rsidRPr="002F013D">
        <w:rPr>
          <w:b/>
          <w:bCs/>
          <w:szCs w:val="18"/>
        </w:rPr>
        <w:t>bold</w:t>
      </w:r>
      <w:r w:rsidR="0055440E" w:rsidRPr="002F013D">
        <w:rPr>
          <w:szCs w:val="18"/>
        </w:rPr>
        <w:t xml:space="preserve">. </w:t>
      </w:r>
    </w:p>
    <w:p w14:paraId="7C0EEBFB" w14:textId="22E55505" w:rsidR="006945F9" w:rsidRPr="002F013D" w:rsidRDefault="006945F9" w:rsidP="00E2389F">
      <w:pPr>
        <w:pStyle w:val="FooterTableFigure"/>
        <w:keepNext/>
        <w:rPr>
          <w:rFonts w:cstheme="minorHAnsi"/>
          <w:szCs w:val="18"/>
        </w:rPr>
      </w:pPr>
      <w:r w:rsidRPr="002F013D">
        <w:rPr>
          <w:rFonts w:cstheme="minorHAnsi"/>
          <w:szCs w:val="18"/>
          <w:vertAlign w:val="superscript"/>
        </w:rPr>
        <w:t>1</w:t>
      </w:r>
      <w:r w:rsidRPr="002F013D">
        <w:rPr>
          <w:rFonts w:cstheme="minorHAnsi"/>
          <w:szCs w:val="18"/>
        </w:rPr>
        <w:t xml:space="preserve"> Rates adjusted for treatment group, age, baseline weight group, region, baseline eosinophil level, baseline FeNO level, baseline ICS dose level and number of severe exacerbation events within 1 year prior to the study</w:t>
      </w:r>
      <w:r w:rsidR="009475AF" w:rsidRPr="002F013D">
        <w:rPr>
          <w:rFonts w:cstheme="minorHAnsi"/>
          <w:szCs w:val="18"/>
        </w:rPr>
        <w:t xml:space="preserve">. </w:t>
      </w:r>
    </w:p>
    <w:p w14:paraId="637FF6EA" w14:textId="45D0D5DC" w:rsidR="006945F9" w:rsidRPr="002F013D" w:rsidRDefault="006945F9" w:rsidP="00E2389F">
      <w:pPr>
        <w:pStyle w:val="FooterTableFigure"/>
        <w:keepNext/>
        <w:rPr>
          <w:rFonts w:cstheme="minorHAnsi"/>
          <w:szCs w:val="18"/>
        </w:rPr>
      </w:pPr>
      <w:r w:rsidRPr="002F013D">
        <w:rPr>
          <w:rFonts w:cstheme="minorHAnsi"/>
          <w:szCs w:val="18"/>
          <w:vertAlign w:val="superscript"/>
        </w:rPr>
        <w:t>2</w:t>
      </w:r>
      <w:r w:rsidRPr="002F013D">
        <w:rPr>
          <w:rFonts w:cstheme="minorHAnsi"/>
          <w:szCs w:val="18"/>
        </w:rPr>
        <w:t xml:space="preserve"> Rates adjusted for treatment, dosing schedule, country, and exacerbation history</w:t>
      </w:r>
      <w:r w:rsidR="009475AF" w:rsidRPr="002F013D">
        <w:rPr>
          <w:rFonts w:cstheme="minorHAnsi"/>
          <w:szCs w:val="18"/>
        </w:rPr>
        <w:t xml:space="preserve">. </w:t>
      </w:r>
    </w:p>
    <w:p w14:paraId="3F305D14" w14:textId="56DC1C01" w:rsidR="006945F9" w:rsidRPr="002F013D" w:rsidRDefault="006945F9" w:rsidP="00E2389F">
      <w:pPr>
        <w:pStyle w:val="FooterTableFigure"/>
        <w:keepNext/>
        <w:rPr>
          <w:rFonts w:cstheme="minorHAnsi"/>
          <w:szCs w:val="18"/>
        </w:rPr>
      </w:pPr>
      <w:r w:rsidRPr="002F013D">
        <w:rPr>
          <w:rFonts w:cstheme="minorHAnsi"/>
          <w:szCs w:val="18"/>
          <w:vertAlign w:val="superscript"/>
        </w:rPr>
        <w:t>3</w:t>
      </w:r>
      <w:r w:rsidRPr="002F013D">
        <w:rPr>
          <w:rFonts w:cstheme="minorHAnsi"/>
          <w:szCs w:val="18"/>
        </w:rPr>
        <w:t xml:space="preserve"> See </w:t>
      </w:r>
      <w:r w:rsidR="00CB775A" w:rsidRPr="002F013D">
        <w:rPr>
          <w:rFonts w:cstheme="minorHAnsi"/>
          <w:szCs w:val="18"/>
        </w:rPr>
        <w:t>paragraphs</w:t>
      </w:r>
      <w:r w:rsidRPr="002F013D">
        <w:rPr>
          <w:rFonts w:cstheme="minorHAnsi"/>
          <w:szCs w:val="18"/>
        </w:rPr>
        <w:t xml:space="preserve"> 6.</w:t>
      </w:r>
      <w:r w:rsidR="00A20345" w:rsidRPr="002F013D">
        <w:rPr>
          <w:rFonts w:cstheme="minorHAnsi"/>
          <w:szCs w:val="18"/>
        </w:rPr>
        <w:t>1</w:t>
      </w:r>
      <w:r w:rsidR="00657AD2" w:rsidRPr="002F013D">
        <w:rPr>
          <w:rFonts w:cstheme="minorHAnsi"/>
          <w:szCs w:val="18"/>
        </w:rPr>
        <w:t>6</w:t>
      </w:r>
      <w:r w:rsidRPr="002F013D">
        <w:rPr>
          <w:rFonts w:cstheme="minorHAnsi"/>
          <w:szCs w:val="18"/>
        </w:rPr>
        <w:t xml:space="preserve"> and 6.</w:t>
      </w:r>
      <w:r w:rsidR="00F42D9F" w:rsidRPr="002F013D">
        <w:rPr>
          <w:rFonts w:cstheme="minorHAnsi"/>
          <w:szCs w:val="18"/>
        </w:rPr>
        <w:t>1</w:t>
      </w:r>
      <w:r w:rsidR="00657AD2" w:rsidRPr="002F013D">
        <w:rPr>
          <w:rFonts w:cstheme="minorHAnsi"/>
          <w:szCs w:val="18"/>
        </w:rPr>
        <w:t>7</w:t>
      </w:r>
      <w:r w:rsidRPr="002F013D">
        <w:rPr>
          <w:rFonts w:cstheme="minorHAnsi"/>
          <w:szCs w:val="18"/>
        </w:rPr>
        <w:t>.</w:t>
      </w:r>
    </w:p>
    <w:p w14:paraId="0A026A6B" w14:textId="0D78FEC3" w:rsidR="00172039" w:rsidRPr="009475AF" w:rsidRDefault="00756C81" w:rsidP="00A26963">
      <w:pPr>
        <w:pStyle w:val="FooterTableFigure"/>
      </w:pPr>
      <w:r w:rsidRPr="002F013D">
        <w:rPr>
          <w:szCs w:val="18"/>
          <w:vertAlign w:val="superscript"/>
        </w:rPr>
        <w:t xml:space="preserve">4 </w:t>
      </w:r>
      <w:r w:rsidRPr="002F013D">
        <w:rPr>
          <w:szCs w:val="18"/>
        </w:rPr>
        <w:t>Results for severe exacerbations by the IA05 definition are not reported in Kulus</w:t>
      </w:r>
      <w:r w:rsidR="00806986" w:rsidRPr="002F013D">
        <w:rPr>
          <w:szCs w:val="18"/>
        </w:rPr>
        <w:t xml:space="preserve"> et al</w:t>
      </w:r>
      <w:r w:rsidRPr="002F013D">
        <w:rPr>
          <w:szCs w:val="18"/>
        </w:rPr>
        <w:t xml:space="preserve">, 2010, but when the PBAC reviewed the </w:t>
      </w:r>
      <w:r w:rsidR="00BE2BF5" w:rsidRPr="002F013D">
        <w:rPr>
          <w:szCs w:val="18"/>
        </w:rPr>
        <w:t>data,</w:t>
      </w:r>
      <w:r w:rsidRPr="002F013D">
        <w:rPr>
          <w:szCs w:val="18"/>
        </w:rPr>
        <w:t xml:space="preserve"> it noted that there were “no differences between omalizumab and placebo for the severe exacerbation rate” in the IA-05-EU sub-group (</w:t>
      </w:r>
      <w:bookmarkStart w:id="24" w:name="_Hlk161928939"/>
      <w:r w:rsidR="001A0B71" w:rsidRPr="002F013D">
        <w:rPr>
          <w:szCs w:val="18"/>
        </w:rPr>
        <w:t>p</w:t>
      </w:r>
      <w:r w:rsidRPr="002F013D">
        <w:rPr>
          <w:szCs w:val="18"/>
        </w:rPr>
        <w:t xml:space="preserve">ara 6.16, </w:t>
      </w:r>
      <w:r w:rsidR="001A0B71" w:rsidRPr="002F013D">
        <w:rPr>
          <w:szCs w:val="18"/>
        </w:rPr>
        <w:t>o</w:t>
      </w:r>
      <w:r w:rsidRPr="002F013D">
        <w:rPr>
          <w:szCs w:val="18"/>
        </w:rPr>
        <w:t xml:space="preserve">malizumab </w:t>
      </w:r>
      <w:r w:rsidR="000B6426" w:rsidRPr="002F013D">
        <w:rPr>
          <w:szCs w:val="18"/>
        </w:rPr>
        <w:t>public summary document (</w:t>
      </w:r>
      <w:r w:rsidRPr="002F013D">
        <w:rPr>
          <w:szCs w:val="18"/>
        </w:rPr>
        <w:t>PSD</w:t>
      </w:r>
      <w:r w:rsidR="000B6426" w:rsidRPr="002F013D">
        <w:rPr>
          <w:szCs w:val="18"/>
        </w:rPr>
        <w:t>)</w:t>
      </w:r>
      <w:r w:rsidRPr="002F013D">
        <w:rPr>
          <w:szCs w:val="18"/>
        </w:rPr>
        <w:t xml:space="preserve">, </w:t>
      </w:r>
      <w:r w:rsidR="00D149A9" w:rsidRPr="002F013D">
        <w:rPr>
          <w:szCs w:val="18"/>
        </w:rPr>
        <w:t>July</w:t>
      </w:r>
      <w:r w:rsidRPr="002F013D">
        <w:rPr>
          <w:szCs w:val="18"/>
        </w:rPr>
        <w:t xml:space="preserve"> 2016</w:t>
      </w:r>
      <w:r w:rsidR="001A0B71" w:rsidRPr="002F013D">
        <w:rPr>
          <w:szCs w:val="18"/>
        </w:rPr>
        <w:t xml:space="preserve"> PBAC Meeting</w:t>
      </w:r>
      <w:bookmarkEnd w:id="24"/>
      <w:r w:rsidRPr="002F013D">
        <w:rPr>
          <w:szCs w:val="18"/>
        </w:rPr>
        <w:t>)</w:t>
      </w:r>
      <w:r w:rsidR="009475AF" w:rsidRPr="002F013D">
        <w:rPr>
          <w:szCs w:val="18"/>
        </w:rPr>
        <w:t>.</w:t>
      </w:r>
      <w:r w:rsidR="009475AF">
        <w:t xml:space="preserve"> </w:t>
      </w:r>
    </w:p>
    <w:p w14:paraId="1E82C084" w14:textId="0D53EAF1" w:rsidR="003E2A8F" w:rsidRPr="009475AF" w:rsidRDefault="003E2A8F" w:rsidP="00C8591E">
      <w:pPr>
        <w:pStyle w:val="3-BodyText"/>
      </w:pPr>
      <w:r w:rsidRPr="009475AF">
        <w:t>Both omalizumab and dupilumab were effective in reducing exacerbations, and in the ITT populations the differences in the point estimates were small relative to the confidence intervals</w:t>
      </w:r>
      <w:r w:rsidR="009475AF">
        <w:t xml:space="preserve">. </w:t>
      </w:r>
      <w:r w:rsidRPr="009475AF">
        <w:t xml:space="preserve"> </w:t>
      </w:r>
    </w:p>
    <w:p w14:paraId="2C64F0D1" w14:textId="34DCA116" w:rsidR="00C8591E" w:rsidRPr="009475AF" w:rsidRDefault="006945F9" w:rsidP="00C8591E">
      <w:pPr>
        <w:pStyle w:val="3-BodyText"/>
      </w:pPr>
      <w:r w:rsidRPr="009475AF">
        <w:t>It appear</w:t>
      </w:r>
      <w:r w:rsidR="007B11E1" w:rsidRPr="009475AF">
        <w:t>ed</w:t>
      </w:r>
      <w:r w:rsidRPr="009475AF">
        <w:t xml:space="preserve"> from the IA-05 results that efficacy </w:t>
      </w:r>
      <w:r w:rsidR="00C8591E" w:rsidRPr="009475AF">
        <w:t xml:space="preserve">of omalizumab </w:t>
      </w:r>
      <w:r w:rsidRPr="009475AF">
        <w:t xml:space="preserve">at 52 weeks may be better than at 24 weeks. This </w:t>
      </w:r>
      <w:r w:rsidR="0055440E" w:rsidRPr="009475AF">
        <w:t xml:space="preserve">is consistent with the mechanism of action of omalizumab, and </w:t>
      </w:r>
      <w:r w:rsidRPr="009475AF">
        <w:t xml:space="preserve">was supported by the finding in the IA-05-EU sub-group that the relative risk </w:t>
      </w:r>
      <w:r w:rsidR="007216BF" w:rsidRPr="009475AF">
        <w:t xml:space="preserve">(95% CI) </w:t>
      </w:r>
      <w:r w:rsidRPr="009475AF">
        <w:t xml:space="preserve">for exacerbations in the first 24 weeks was </w:t>
      </w:r>
      <w:r w:rsidR="007216BF" w:rsidRPr="009475AF">
        <w:t xml:space="preserve">0.66 (0.44, 0.995) but from weeks 25 to 52 the relative risk (95% CI) was 0.37 (0.24, 0.57). </w:t>
      </w:r>
      <w:r w:rsidR="00756C81" w:rsidRPr="009475AF">
        <w:rPr>
          <w:iCs/>
        </w:rPr>
        <w:t>The ITC reported in the submission used the 24</w:t>
      </w:r>
      <w:r w:rsidR="00F44DED" w:rsidRPr="009475AF">
        <w:rPr>
          <w:iCs/>
        </w:rPr>
        <w:t>-</w:t>
      </w:r>
      <w:r w:rsidR="00756C81" w:rsidRPr="009475AF">
        <w:rPr>
          <w:iCs/>
        </w:rPr>
        <w:t xml:space="preserve">week data from IA-05, and </w:t>
      </w:r>
      <w:r w:rsidR="00C8591E" w:rsidRPr="009475AF">
        <w:rPr>
          <w:iCs/>
        </w:rPr>
        <w:t>although rapid onset of action is a beneficial effect in patients with poorly controlled asthma, in the context of a clinical claim of non-inferiority</w:t>
      </w:r>
      <w:r w:rsidR="00D20692" w:rsidRPr="009475AF">
        <w:rPr>
          <w:iCs/>
        </w:rPr>
        <w:t xml:space="preserve"> </w:t>
      </w:r>
      <w:r w:rsidR="003C31A2" w:rsidRPr="009475AF">
        <w:rPr>
          <w:iCs/>
        </w:rPr>
        <w:t xml:space="preserve">the </w:t>
      </w:r>
      <w:r w:rsidR="00A04781" w:rsidRPr="009475AF">
        <w:rPr>
          <w:iCs/>
        </w:rPr>
        <w:t>ESC considered it may be more appropriate to consider</w:t>
      </w:r>
      <w:r w:rsidR="00D20692" w:rsidRPr="009475AF">
        <w:rPr>
          <w:iCs/>
        </w:rPr>
        <w:t xml:space="preserve"> the efficacy of dupilumab compared to omalizumab at the same timepoint of 52 weeks, rather than omalizumab at 24 weeks </w:t>
      </w:r>
      <w:r w:rsidR="00D30BD9" w:rsidRPr="009475AF">
        <w:rPr>
          <w:iCs/>
        </w:rPr>
        <w:t>compared to</w:t>
      </w:r>
      <w:r w:rsidR="00D20692" w:rsidRPr="009475AF">
        <w:rPr>
          <w:iCs/>
        </w:rPr>
        <w:t xml:space="preserve"> dupilumab at 52</w:t>
      </w:r>
      <w:r w:rsidR="00A26963">
        <w:rPr>
          <w:iCs/>
        </w:rPr>
        <w:t> </w:t>
      </w:r>
      <w:r w:rsidR="00D20692" w:rsidRPr="009475AF">
        <w:rPr>
          <w:iCs/>
        </w:rPr>
        <w:t>weeks</w:t>
      </w:r>
      <w:r w:rsidR="00C8591E" w:rsidRPr="009475AF">
        <w:rPr>
          <w:iCs/>
        </w:rPr>
        <w:t>.</w:t>
      </w:r>
      <w:r w:rsidR="00C8591E" w:rsidRPr="009475AF">
        <w:t xml:space="preserve"> </w:t>
      </w:r>
    </w:p>
    <w:p w14:paraId="133715D4" w14:textId="6C041AE7" w:rsidR="00637087" w:rsidRPr="009475AF" w:rsidRDefault="0007491C" w:rsidP="0007491C">
      <w:pPr>
        <w:pStyle w:val="3-BodyText"/>
      </w:pPr>
      <w:r w:rsidRPr="009475AF">
        <w:t xml:space="preserve">Because additional markers of airway inflammation were measured in VOYAGE, it </w:t>
      </w:r>
      <w:r w:rsidR="002D2DFE" w:rsidRPr="009475AF">
        <w:t>was</w:t>
      </w:r>
      <w:r w:rsidRPr="009475AF">
        <w:t xml:space="preserve"> possible to assess the efficacy of dupilumab in subgroups defined by these markers</w:t>
      </w:r>
      <w:r w:rsidR="00637087" w:rsidRPr="009475AF">
        <w:t xml:space="preserve">. </w:t>
      </w:r>
      <w:r w:rsidR="00217053" w:rsidRPr="009475AF">
        <w:fldChar w:fldCharType="begin" w:fldLock="1"/>
      </w:r>
      <w:r w:rsidR="00217053" w:rsidRPr="009475AF">
        <w:instrText xml:space="preserve"> REF _Ref152755239 \h </w:instrText>
      </w:r>
      <w:r w:rsidR="00E54297" w:rsidRPr="009475AF">
        <w:instrText xml:space="preserve"> \* MERGEFORMAT </w:instrText>
      </w:r>
      <w:r w:rsidR="00217053" w:rsidRPr="009475AF">
        <w:fldChar w:fldCharType="separate"/>
      </w:r>
      <w:r w:rsidR="00217053" w:rsidRPr="009475AF">
        <w:t>Table 5</w:t>
      </w:r>
      <w:r w:rsidR="00217053" w:rsidRPr="009475AF">
        <w:fldChar w:fldCharType="end"/>
      </w:r>
      <w:r w:rsidR="00217053" w:rsidRPr="009475AF">
        <w:t xml:space="preserve"> </w:t>
      </w:r>
      <w:r w:rsidR="00637087" w:rsidRPr="009475AF">
        <w:t>shows exacerbations according to baseline categories of eosinophil count and</w:t>
      </w:r>
      <w:r w:rsidR="00BC700D" w:rsidRPr="009475AF">
        <w:t xml:space="preserve"> </w:t>
      </w:r>
      <w:r w:rsidR="00637087" w:rsidRPr="009475AF">
        <w:t>FeN</w:t>
      </w:r>
      <w:r w:rsidR="00A36D59" w:rsidRPr="009475AF">
        <w:t>O</w:t>
      </w:r>
      <w:r w:rsidR="00637087" w:rsidRPr="009475AF">
        <w:t>. R</w:t>
      </w:r>
      <w:r w:rsidRPr="009475AF">
        <w:t xml:space="preserve">esults </w:t>
      </w:r>
      <w:r w:rsidR="00637087" w:rsidRPr="009475AF">
        <w:t xml:space="preserve">for the four combinations of eosinophil and FeNO threshold results proposed in the definition of Subgroup B </w:t>
      </w:r>
      <w:r w:rsidRPr="009475AF">
        <w:t xml:space="preserve">are shown in Figure </w:t>
      </w:r>
      <w:r w:rsidR="00BC700D" w:rsidRPr="009475AF">
        <w:t>1</w:t>
      </w:r>
      <w:r w:rsidR="009475AF">
        <w:t xml:space="preserve">. </w:t>
      </w:r>
    </w:p>
    <w:p w14:paraId="651928DF" w14:textId="563B5299" w:rsidR="00A34500" w:rsidRPr="009475AF" w:rsidRDefault="002013DB" w:rsidP="00A34500">
      <w:pPr>
        <w:pStyle w:val="3-BodyText"/>
      </w:pPr>
      <w:r w:rsidRPr="009475AF">
        <w:lastRenderedPageBreak/>
        <w:t>The submission contend</w:t>
      </w:r>
      <w:r w:rsidR="002D2DFE" w:rsidRPr="009475AF">
        <w:t>ed</w:t>
      </w:r>
      <w:r w:rsidRPr="009475AF">
        <w:t xml:space="preserve"> that the data in </w:t>
      </w:r>
      <w:r w:rsidR="00217053" w:rsidRPr="009475AF">
        <w:fldChar w:fldCharType="begin" w:fldLock="1"/>
      </w:r>
      <w:r w:rsidR="00217053" w:rsidRPr="009475AF">
        <w:instrText xml:space="preserve"> REF _Ref152755284 \h </w:instrText>
      </w:r>
      <w:r w:rsidR="00E54297" w:rsidRPr="009475AF">
        <w:instrText xml:space="preserve"> \* MERGEFORMAT </w:instrText>
      </w:r>
      <w:r w:rsidR="00217053" w:rsidRPr="009475AF">
        <w:fldChar w:fldCharType="separate"/>
      </w:r>
      <w:r w:rsidR="00217053" w:rsidRPr="009475AF">
        <w:t>Figure 1</w:t>
      </w:r>
      <w:r w:rsidR="00217053" w:rsidRPr="009475AF">
        <w:fldChar w:fldCharType="end"/>
      </w:r>
      <w:r w:rsidR="00217053" w:rsidRPr="009475AF">
        <w:t xml:space="preserve"> </w:t>
      </w:r>
      <w:r w:rsidRPr="009475AF">
        <w:t xml:space="preserve">“support the independent role of either baseline blood eosinophils or FeNO to select patients with type 2 inflammation that respond to dupilumab with respect to exacerbation reduction”. However, </w:t>
      </w:r>
      <w:r w:rsidR="00A34500" w:rsidRPr="009475AF">
        <w:t>no confidence intervals or significance testing w</w:t>
      </w:r>
      <w:r w:rsidR="00761024" w:rsidRPr="009475AF">
        <w:t>ere</w:t>
      </w:r>
      <w:r w:rsidR="00A34500" w:rsidRPr="009475AF">
        <w:t xml:space="preserve"> provided for these data, and the result for patients with eosinophils &lt; 0.15 x 10</w:t>
      </w:r>
      <w:r w:rsidR="00A34500" w:rsidRPr="009475AF">
        <w:rPr>
          <w:vertAlign w:val="superscript"/>
        </w:rPr>
        <w:t>9</w:t>
      </w:r>
      <w:r w:rsidR="00A34500" w:rsidRPr="009475AF">
        <w:t xml:space="preserve">/L and FeNO </w:t>
      </w:r>
      <w:r w:rsidR="00A34500" w:rsidRPr="009475AF">
        <w:sym w:font="Symbol" w:char="F0B3"/>
      </w:r>
      <w:r w:rsidR="00A34500" w:rsidRPr="009475AF">
        <w:t xml:space="preserve"> 20 ppb was based on 20</w:t>
      </w:r>
      <w:r w:rsidR="00A26963">
        <w:t> </w:t>
      </w:r>
      <w:r w:rsidR="00A34500" w:rsidRPr="009475AF">
        <w:t xml:space="preserve">patients (= 0.048 x 408), so it must </w:t>
      </w:r>
      <w:r w:rsidR="002D2DFE" w:rsidRPr="009475AF">
        <w:t>have been</w:t>
      </w:r>
      <w:r w:rsidR="00A34500" w:rsidRPr="009475AF">
        <w:t xml:space="preserve"> based on very small numbers of events and </w:t>
      </w:r>
      <w:r w:rsidR="002A797D" w:rsidRPr="009475AF">
        <w:t xml:space="preserve">therefore </w:t>
      </w:r>
      <w:r w:rsidR="00761024" w:rsidRPr="009475AF">
        <w:t xml:space="preserve">be </w:t>
      </w:r>
      <w:r w:rsidR="002A797D" w:rsidRPr="009475AF">
        <w:t>highly uncertain</w:t>
      </w:r>
      <w:r w:rsidR="00A34500" w:rsidRPr="009475AF">
        <w:t xml:space="preserve">. </w:t>
      </w:r>
    </w:p>
    <w:p w14:paraId="5F19E1C7" w14:textId="478C1CDB" w:rsidR="00F44843" w:rsidRPr="009475AF" w:rsidRDefault="00767D22" w:rsidP="0007491C">
      <w:pPr>
        <w:pStyle w:val="3-BodyText"/>
      </w:pPr>
      <w:r w:rsidRPr="009475AF">
        <w:t>Greater responses to omalizumab in patients with higher eosinophil counts</w:t>
      </w:r>
      <w:r w:rsidR="00F44843" w:rsidRPr="009475AF">
        <w:t xml:space="preserve"> have been </w:t>
      </w:r>
      <w:r w:rsidRPr="009475AF">
        <w:t>reported</w:t>
      </w:r>
      <w:r w:rsidR="00F44843" w:rsidRPr="009475AF">
        <w:t xml:space="preserve"> </w:t>
      </w:r>
      <w:r w:rsidRPr="009475AF">
        <w:t>in some trials</w:t>
      </w:r>
      <w:r w:rsidR="00F44843" w:rsidRPr="009475AF">
        <w:t>.</w:t>
      </w:r>
      <w:r w:rsidR="00F44843" w:rsidRPr="009475AF">
        <w:rPr>
          <w:rStyle w:val="FootnoteReference"/>
        </w:rPr>
        <w:footnoteReference w:id="11"/>
      </w:r>
      <w:r w:rsidR="00F42D9F" w:rsidRPr="009475AF">
        <w:t xml:space="preserve"> However, although it is likely that IA-05 included patients with higher and lower eosinophils and higher and lower FeNO, </w:t>
      </w:r>
      <w:r w:rsidR="00657AD2" w:rsidRPr="009475AF">
        <w:t xml:space="preserve">it </w:t>
      </w:r>
      <w:r w:rsidR="00F42D9F" w:rsidRPr="009475AF">
        <w:t>cannot be confirmed</w:t>
      </w:r>
      <w:r w:rsidR="00657AD2" w:rsidRPr="009475AF">
        <w:t xml:space="preserve"> whether omalizumab was effective in patients with allergic asthma but neither elevated eosinophils or elevated FeNO.</w:t>
      </w:r>
      <w:r w:rsidR="00F42D9F" w:rsidRPr="009475AF">
        <w:t xml:space="preserve"> </w:t>
      </w:r>
    </w:p>
    <w:p w14:paraId="5E72BFD8" w14:textId="73281C00" w:rsidR="008262CA" w:rsidRPr="009475AF" w:rsidRDefault="006E0DFA" w:rsidP="0007491C">
      <w:pPr>
        <w:pStyle w:val="3-BodyText"/>
      </w:pPr>
      <w:r w:rsidRPr="009475AF">
        <w:t>Th</w:t>
      </w:r>
      <w:r w:rsidR="00761024" w:rsidRPr="009475AF">
        <w:t>e evidence d</w:t>
      </w:r>
      <w:r w:rsidR="002D2DFE" w:rsidRPr="009475AF">
        <w:t>id</w:t>
      </w:r>
      <w:r w:rsidR="00761024" w:rsidRPr="009475AF">
        <w:t xml:space="preserve"> not support</w:t>
      </w:r>
      <w:r w:rsidRPr="009475AF">
        <w:t xml:space="preserve"> the conclusion that raised eosinophil counts or raised FeNO identify patients with total serum IgE &lt; 30 IU/mL (</w:t>
      </w:r>
      <w:r w:rsidR="00BE2BF5" w:rsidRPr="009475AF">
        <w:t>i.e.</w:t>
      </w:r>
      <w:r w:rsidR="00761024" w:rsidRPr="009475AF">
        <w:t xml:space="preserve">, </w:t>
      </w:r>
      <w:r w:rsidRPr="009475AF">
        <w:t xml:space="preserve">Subgroup B) who will benefit from dupilumab, because there were only seven patients in VOYAGE with IgE &lt; 30 IU/mL. </w:t>
      </w:r>
    </w:p>
    <w:p w14:paraId="276D6FDE" w14:textId="4E182CDC" w:rsidR="00657AD2" w:rsidRPr="009475AF" w:rsidRDefault="00657AD2" w:rsidP="0007491C">
      <w:pPr>
        <w:pStyle w:val="3-BodyText"/>
      </w:pPr>
      <w:r w:rsidRPr="009475AF">
        <w:t>Data from these patients w</w:t>
      </w:r>
      <w:r w:rsidR="00F70DE8" w:rsidRPr="009475AF">
        <w:t>ere</w:t>
      </w:r>
      <w:r w:rsidRPr="009475AF">
        <w:t xml:space="preserve"> presented in Appendix B of the submission. </w:t>
      </w:r>
      <w:r w:rsidR="00322F31" w:rsidRPr="009475AF">
        <w:t>Of seven patients with IgE &lt; 30 IU/mL,</w:t>
      </w:r>
      <w:r w:rsidR="00F70DE8" w:rsidRPr="009475AF">
        <w:t xml:space="preserve"> </w:t>
      </w:r>
      <w:r w:rsidR="00AC1B2E" w:rsidRPr="009475AF">
        <w:t xml:space="preserve">complete </w:t>
      </w:r>
      <w:r w:rsidR="00F70DE8" w:rsidRPr="009475AF">
        <w:t>data were presented for</w:t>
      </w:r>
      <w:r w:rsidR="00322F31" w:rsidRPr="009475AF">
        <w:t xml:space="preserve"> </w:t>
      </w:r>
      <w:r w:rsidR="00F70DE8" w:rsidRPr="009475AF">
        <w:t xml:space="preserve">the </w:t>
      </w:r>
      <w:r w:rsidR="00322F31" w:rsidRPr="009475AF">
        <w:t>five</w:t>
      </w:r>
      <w:r w:rsidR="00F70DE8" w:rsidRPr="009475AF">
        <w:t xml:space="preserve"> who</w:t>
      </w:r>
      <w:r w:rsidR="00322F31" w:rsidRPr="009475AF">
        <w:t xml:space="preserve"> were</w:t>
      </w:r>
      <w:r w:rsidRPr="009475AF">
        <w:t xml:space="preserve"> </w:t>
      </w:r>
      <w:r w:rsidR="00AC1B2E" w:rsidRPr="009475AF">
        <w:t xml:space="preserve">also </w:t>
      </w:r>
      <w:r w:rsidRPr="009475AF">
        <w:t>taking high-dose IC</w:t>
      </w:r>
      <w:r w:rsidR="00322F31" w:rsidRPr="009475AF">
        <w:t xml:space="preserve">S. </w:t>
      </w:r>
      <w:r w:rsidR="00AC1B2E" w:rsidRPr="009475AF">
        <w:t>Their baseline</w:t>
      </w:r>
      <w:r w:rsidR="008259A9" w:rsidRPr="009475AF">
        <w:t xml:space="preserve"> clinical</w:t>
      </w:r>
      <w:r w:rsidR="00AC1B2E" w:rsidRPr="009475AF">
        <w:t xml:space="preserve"> </w:t>
      </w:r>
      <w:r w:rsidR="008259A9" w:rsidRPr="009475AF">
        <w:t>features were broadly similar to those of the</w:t>
      </w:r>
      <w:r w:rsidR="00AC1B2E" w:rsidRPr="009475AF">
        <w:t xml:space="preserve"> ITT population</w:t>
      </w:r>
      <w:r w:rsidR="008259A9" w:rsidRPr="009475AF">
        <w:t>, except that only 3/5 had an ongoing atopic condition other than asthma, compared to over 80% of the ITT population</w:t>
      </w:r>
      <w:r w:rsidR="00FC22E4">
        <w:t xml:space="preserve">. </w:t>
      </w:r>
      <w:r w:rsidR="00322F31" w:rsidRPr="009475AF">
        <w:t xml:space="preserve">Four of the five had a baseline eosinophil count </w:t>
      </w:r>
      <w:r w:rsidR="00322F31" w:rsidRPr="009475AF">
        <w:sym w:font="Symbol" w:char="F0B3"/>
      </w:r>
      <w:r w:rsidR="00322F31" w:rsidRPr="009475AF">
        <w:t xml:space="preserve"> 0.15 x 10</w:t>
      </w:r>
      <w:r w:rsidR="00322F31" w:rsidRPr="009475AF">
        <w:rPr>
          <w:vertAlign w:val="superscript"/>
        </w:rPr>
        <w:t>9</w:t>
      </w:r>
      <w:r w:rsidR="00322F31" w:rsidRPr="009475AF">
        <w:t xml:space="preserve">/L and one had baseline FeNO </w:t>
      </w:r>
      <w:r w:rsidR="00322F31" w:rsidRPr="009475AF">
        <w:sym w:font="Symbol" w:char="F0B3"/>
      </w:r>
      <w:r w:rsidR="00322F31" w:rsidRPr="009475AF">
        <w:t xml:space="preserve"> 20 ppb</w:t>
      </w:r>
      <w:r w:rsidR="00F70DE8" w:rsidRPr="009475AF">
        <w:t>, but whether this patient also had an elevated eosinophil count is not clear, so the number of Subgroup B patients may have been four or five</w:t>
      </w:r>
      <w:r w:rsidR="00322F31" w:rsidRPr="009475AF">
        <w:t xml:space="preserve">. </w:t>
      </w:r>
      <w:r w:rsidR="00F70DE8" w:rsidRPr="009475AF">
        <w:t>No protocol-defined severe exacerbation event</w:t>
      </w:r>
      <w:r w:rsidR="00AC1B2E" w:rsidRPr="009475AF">
        <w:t>s were recorded</w:t>
      </w:r>
      <w:r w:rsidR="00F70DE8" w:rsidRPr="009475AF">
        <w:t xml:space="preserve"> over 52 weeks</w:t>
      </w:r>
      <w:r w:rsidR="00AC1B2E" w:rsidRPr="009475AF">
        <w:t>, so efficacy could not be defined</w:t>
      </w:r>
      <w:r w:rsidR="00F70DE8" w:rsidRPr="009475AF">
        <w:t xml:space="preserve">. </w:t>
      </w:r>
    </w:p>
    <w:p w14:paraId="52879322" w14:textId="3F718A68" w:rsidR="00637087" w:rsidRPr="009475AF" w:rsidRDefault="00217053" w:rsidP="00217053">
      <w:pPr>
        <w:pStyle w:val="Caption"/>
      </w:pPr>
      <w:bookmarkStart w:id="25" w:name="_Ref152755239"/>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5</w:t>
      </w:r>
      <w:r w:rsidR="00696736">
        <w:fldChar w:fldCharType="end"/>
      </w:r>
      <w:bookmarkEnd w:id="25"/>
      <w:r w:rsidR="00637087" w:rsidRPr="009475AF">
        <w:t>: Exacerbations according to inflammatory markers in VOYAGE</w:t>
      </w:r>
    </w:p>
    <w:tbl>
      <w:tblPr>
        <w:tblStyle w:val="TableGrid"/>
        <w:tblW w:w="0" w:type="auto"/>
        <w:tblLook w:val="04A0" w:firstRow="1" w:lastRow="0" w:firstColumn="1" w:lastColumn="0" w:noHBand="0" w:noVBand="1"/>
        <w:tblCaption w:val="Table 5: Exacerbations according to inflammatory markers in VOYAGE"/>
      </w:tblPr>
      <w:tblGrid>
        <w:gridCol w:w="3114"/>
        <w:gridCol w:w="1843"/>
        <w:gridCol w:w="1843"/>
        <w:gridCol w:w="2217"/>
      </w:tblGrid>
      <w:tr w:rsidR="00637087" w:rsidRPr="009475AF" w14:paraId="5BBF4CF3" w14:textId="77777777" w:rsidTr="007D3A6C">
        <w:trPr>
          <w:trHeight w:val="283"/>
        </w:trPr>
        <w:tc>
          <w:tcPr>
            <w:tcW w:w="3114" w:type="dxa"/>
          </w:tcPr>
          <w:p w14:paraId="3624693A" w14:textId="77777777" w:rsidR="00637087" w:rsidRPr="009475AF" w:rsidRDefault="00637087" w:rsidP="00637087">
            <w:pPr>
              <w:pStyle w:val="TableText0"/>
              <w:rPr>
                <w:b/>
                <w:bCs w:val="0"/>
              </w:rPr>
            </w:pPr>
          </w:p>
        </w:tc>
        <w:tc>
          <w:tcPr>
            <w:tcW w:w="1842" w:type="dxa"/>
          </w:tcPr>
          <w:p w14:paraId="43A71A77" w14:textId="5B852388" w:rsidR="00637087" w:rsidRPr="009475AF" w:rsidRDefault="00637087" w:rsidP="00FE6558">
            <w:pPr>
              <w:pStyle w:val="TableText0"/>
              <w:jc w:val="center"/>
              <w:rPr>
                <w:b/>
                <w:bCs w:val="0"/>
              </w:rPr>
            </w:pPr>
            <w:r w:rsidRPr="009475AF">
              <w:rPr>
                <w:b/>
                <w:bCs w:val="0"/>
              </w:rPr>
              <w:t>Dupilumab</w:t>
            </w:r>
          </w:p>
        </w:tc>
        <w:tc>
          <w:tcPr>
            <w:tcW w:w="1843" w:type="dxa"/>
          </w:tcPr>
          <w:p w14:paraId="2DE5A2CC" w14:textId="1BFBA6CF" w:rsidR="00637087" w:rsidRPr="009475AF" w:rsidRDefault="00637087" w:rsidP="00FE6558">
            <w:pPr>
              <w:pStyle w:val="TableText0"/>
              <w:jc w:val="center"/>
              <w:rPr>
                <w:b/>
                <w:bCs w:val="0"/>
              </w:rPr>
            </w:pPr>
            <w:r w:rsidRPr="009475AF">
              <w:rPr>
                <w:b/>
                <w:bCs w:val="0"/>
              </w:rPr>
              <w:t>Placebo</w:t>
            </w:r>
          </w:p>
        </w:tc>
        <w:tc>
          <w:tcPr>
            <w:tcW w:w="2217" w:type="dxa"/>
          </w:tcPr>
          <w:p w14:paraId="5DA345F2" w14:textId="77777777" w:rsidR="00637087" w:rsidRPr="009475AF" w:rsidRDefault="00637087" w:rsidP="00FE6558">
            <w:pPr>
              <w:pStyle w:val="TableText0"/>
              <w:jc w:val="center"/>
              <w:rPr>
                <w:b/>
                <w:bCs w:val="0"/>
              </w:rPr>
            </w:pPr>
            <w:r w:rsidRPr="009475AF">
              <w:rPr>
                <w:b/>
                <w:bCs w:val="0"/>
              </w:rPr>
              <w:t>RR (95% CI) vs placebo</w:t>
            </w:r>
          </w:p>
        </w:tc>
      </w:tr>
      <w:tr w:rsidR="00637087" w:rsidRPr="009475AF" w14:paraId="17DB753F" w14:textId="77777777" w:rsidTr="00A15C41">
        <w:tc>
          <w:tcPr>
            <w:tcW w:w="3114" w:type="dxa"/>
          </w:tcPr>
          <w:p w14:paraId="4F6AE757" w14:textId="77777777" w:rsidR="00637087" w:rsidRPr="009475AF" w:rsidRDefault="00637087" w:rsidP="00637087">
            <w:pPr>
              <w:pStyle w:val="TableText0"/>
              <w:rPr>
                <w:b/>
              </w:rPr>
            </w:pPr>
            <w:r w:rsidRPr="009475AF">
              <w:rPr>
                <w:b/>
              </w:rPr>
              <w:t>Eosinophils &lt; 0.15 x 10</w:t>
            </w:r>
            <w:r w:rsidRPr="009475AF">
              <w:rPr>
                <w:b/>
                <w:vertAlign w:val="superscript"/>
              </w:rPr>
              <w:t>9</w:t>
            </w:r>
            <w:r w:rsidRPr="009475AF">
              <w:rPr>
                <w:b/>
              </w:rPr>
              <w:t>/L</w:t>
            </w:r>
          </w:p>
          <w:p w14:paraId="5339CA3F" w14:textId="77777777" w:rsidR="00637087" w:rsidRPr="009475AF" w:rsidRDefault="00637087" w:rsidP="00B723E8">
            <w:pPr>
              <w:pStyle w:val="TableText0"/>
              <w:jc w:val="right"/>
            </w:pPr>
            <w:r w:rsidRPr="009475AF">
              <w:t xml:space="preserve">N </w:t>
            </w:r>
          </w:p>
          <w:p w14:paraId="6B10C453" w14:textId="77777777" w:rsidR="00637087" w:rsidRPr="009475AF" w:rsidRDefault="00637087" w:rsidP="00B723E8">
            <w:pPr>
              <w:pStyle w:val="TableText0"/>
              <w:jc w:val="right"/>
            </w:pPr>
            <w:r w:rsidRPr="009475AF">
              <w:t>Number of exacerbations</w:t>
            </w:r>
          </w:p>
          <w:p w14:paraId="7D48A480" w14:textId="77777777" w:rsidR="00637087" w:rsidRPr="009475AF" w:rsidRDefault="00637087" w:rsidP="00B723E8">
            <w:pPr>
              <w:pStyle w:val="TableText0"/>
              <w:jc w:val="right"/>
            </w:pPr>
            <w:r w:rsidRPr="009475AF">
              <w:t>Rate</w:t>
            </w:r>
            <w:r w:rsidRPr="009475AF">
              <w:rPr>
                <w:vertAlign w:val="superscript"/>
              </w:rPr>
              <w:t>1</w:t>
            </w:r>
          </w:p>
        </w:tc>
        <w:tc>
          <w:tcPr>
            <w:tcW w:w="1843" w:type="dxa"/>
          </w:tcPr>
          <w:p w14:paraId="66DBC88B" w14:textId="77777777" w:rsidR="00637087" w:rsidRPr="009475AF" w:rsidRDefault="00637087" w:rsidP="00FE6558">
            <w:pPr>
              <w:pStyle w:val="TableText0"/>
              <w:jc w:val="center"/>
            </w:pPr>
          </w:p>
          <w:p w14:paraId="18A97B0D" w14:textId="77777777" w:rsidR="00637087" w:rsidRPr="009475AF" w:rsidRDefault="00637087" w:rsidP="00FE6558">
            <w:pPr>
              <w:pStyle w:val="TableText0"/>
              <w:jc w:val="center"/>
            </w:pPr>
            <w:r w:rsidRPr="009475AF">
              <w:t>50</w:t>
            </w:r>
          </w:p>
          <w:p w14:paraId="38E2738C" w14:textId="6EBFABFA" w:rsidR="00637087" w:rsidRPr="009475AF" w:rsidRDefault="00637087" w:rsidP="00FE6558">
            <w:pPr>
              <w:pStyle w:val="TableText0"/>
              <w:jc w:val="center"/>
            </w:pPr>
            <w:r w:rsidRPr="009475AF">
              <w:t>16</w:t>
            </w:r>
          </w:p>
          <w:p w14:paraId="627782D2" w14:textId="77777777" w:rsidR="00637087" w:rsidRPr="009475AF" w:rsidRDefault="00637087" w:rsidP="00FE6558">
            <w:pPr>
              <w:pStyle w:val="TableText0"/>
              <w:jc w:val="center"/>
            </w:pPr>
            <w:r w:rsidRPr="009475AF">
              <w:t>0.18 (0.07, 0.44)</w:t>
            </w:r>
          </w:p>
        </w:tc>
        <w:tc>
          <w:tcPr>
            <w:tcW w:w="1842" w:type="dxa"/>
          </w:tcPr>
          <w:p w14:paraId="1DE29EA3" w14:textId="77777777" w:rsidR="00637087" w:rsidRPr="009475AF" w:rsidRDefault="00637087" w:rsidP="00FE6558">
            <w:pPr>
              <w:pStyle w:val="TableText0"/>
              <w:jc w:val="center"/>
            </w:pPr>
          </w:p>
          <w:p w14:paraId="19EC9FB8" w14:textId="77777777" w:rsidR="00637087" w:rsidRPr="009475AF" w:rsidRDefault="00637087" w:rsidP="00FE6558">
            <w:pPr>
              <w:pStyle w:val="TableText0"/>
              <w:jc w:val="center"/>
            </w:pPr>
            <w:r w:rsidRPr="009475AF">
              <w:t>27</w:t>
            </w:r>
          </w:p>
          <w:p w14:paraId="25B81AC8" w14:textId="77777777" w:rsidR="00637087" w:rsidRPr="009475AF" w:rsidRDefault="00637087" w:rsidP="00FE6558">
            <w:pPr>
              <w:pStyle w:val="TableText0"/>
              <w:jc w:val="center"/>
            </w:pPr>
            <w:r w:rsidRPr="009475AF">
              <w:t>7</w:t>
            </w:r>
          </w:p>
          <w:p w14:paraId="22E82254" w14:textId="77777777" w:rsidR="00637087" w:rsidRPr="009475AF" w:rsidRDefault="00637087" w:rsidP="00FE6558">
            <w:pPr>
              <w:pStyle w:val="TableText0"/>
              <w:jc w:val="center"/>
            </w:pPr>
            <w:r w:rsidRPr="009475AF">
              <w:t>0.11 (0.03, 0.38)</w:t>
            </w:r>
          </w:p>
        </w:tc>
        <w:tc>
          <w:tcPr>
            <w:tcW w:w="2217" w:type="dxa"/>
          </w:tcPr>
          <w:p w14:paraId="3E79C8C8" w14:textId="77777777" w:rsidR="00637087" w:rsidRPr="009475AF" w:rsidRDefault="00637087" w:rsidP="00FE6558">
            <w:pPr>
              <w:pStyle w:val="TableText0"/>
              <w:jc w:val="center"/>
            </w:pPr>
          </w:p>
          <w:p w14:paraId="61187972" w14:textId="77777777" w:rsidR="00637087" w:rsidRPr="009475AF" w:rsidRDefault="00637087" w:rsidP="00FE6558">
            <w:pPr>
              <w:pStyle w:val="TableText0"/>
              <w:jc w:val="center"/>
            </w:pPr>
          </w:p>
          <w:p w14:paraId="02F7EDA0" w14:textId="77777777" w:rsidR="00637087" w:rsidRPr="009475AF" w:rsidRDefault="00637087" w:rsidP="00FE6558">
            <w:pPr>
              <w:pStyle w:val="TableText0"/>
              <w:jc w:val="center"/>
            </w:pPr>
          </w:p>
          <w:p w14:paraId="7C63B31E" w14:textId="77777777" w:rsidR="00637087" w:rsidRPr="009475AF" w:rsidRDefault="00637087" w:rsidP="00FE6558">
            <w:pPr>
              <w:pStyle w:val="TableText0"/>
              <w:jc w:val="center"/>
            </w:pPr>
            <w:r w:rsidRPr="009475AF">
              <w:t>1.57 (0.51, 4.9)</w:t>
            </w:r>
          </w:p>
        </w:tc>
      </w:tr>
      <w:tr w:rsidR="00637087" w:rsidRPr="009475AF" w14:paraId="28F18BC1" w14:textId="77777777" w:rsidTr="00A15C41">
        <w:tc>
          <w:tcPr>
            <w:tcW w:w="3114" w:type="dxa"/>
          </w:tcPr>
          <w:p w14:paraId="1ED96739" w14:textId="1559C6C8" w:rsidR="00B723E8" w:rsidRPr="009475AF" w:rsidRDefault="00637087" w:rsidP="00637087">
            <w:pPr>
              <w:pStyle w:val="TableText0"/>
              <w:rPr>
                <w:b/>
              </w:rPr>
            </w:pPr>
            <w:r w:rsidRPr="009475AF">
              <w:rPr>
                <w:b/>
              </w:rPr>
              <w:t xml:space="preserve">Eosinophils </w:t>
            </w:r>
            <w:r w:rsidRPr="009475AF">
              <w:rPr>
                <w:b/>
              </w:rPr>
              <w:sym w:font="Symbol" w:char="F0B3"/>
            </w:r>
            <w:r w:rsidRPr="009475AF">
              <w:rPr>
                <w:b/>
              </w:rPr>
              <w:t xml:space="preserve"> 0.15 but &lt; 0.3 x 10</w:t>
            </w:r>
            <w:r w:rsidRPr="009475AF">
              <w:rPr>
                <w:b/>
                <w:vertAlign w:val="superscript"/>
              </w:rPr>
              <w:t>9</w:t>
            </w:r>
            <w:r w:rsidRPr="009475AF">
              <w:rPr>
                <w:b/>
              </w:rPr>
              <w:t>/L</w:t>
            </w:r>
          </w:p>
          <w:p w14:paraId="4A249051" w14:textId="28A36153" w:rsidR="00637087" w:rsidRPr="009475AF" w:rsidRDefault="00637087" w:rsidP="00B723E8">
            <w:pPr>
              <w:pStyle w:val="TableText0"/>
              <w:jc w:val="right"/>
            </w:pPr>
            <w:r w:rsidRPr="009475AF">
              <w:t xml:space="preserve">N </w:t>
            </w:r>
          </w:p>
          <w:p w14:paraId="77C13F06" w14:textId="77777777" w:rsidR="00637087" w:rsidRPr="009475AF" w:rsidRDefault="00637087" w:rsidP="00B723E8">
            <w:pPr>
              <w:pStyle w:val="TableText0"/>
              <w:jc w:val="right"/>
            </w:pPr>
            <w:r w:rsidRPr="009475AF">
              <w:t>Number of exacerbations</w:t>
            </w:r>
          </w:p>
          <w:p w14:paraId="4B9BD3F2" w14:textId="77777777" w:rsidR="00637087" w:rsidRPr="009475AF" w:rsidRDefault="00637087" w:rsidP="00B723E8">
            <w:pPr>
              <w:pStyle w:val="TableText0"/>
              <w:jc w:val="right"/>
            </w:pPr>
            <w:r w:rsidRPr="009475AF">
              <w:t>Rate</w:t>
            </w:r>
            <w:r w:rsidRPr="009475AF">
              <w:rPr>
                <w:vertAlign w:val="superscript"/>
              </w:rPr>
              <w:t>1</w:t>
            </w:r>
          </w:p>
        </w:tc>
        <w:tc>
          <w:tcPr>
            <w:tcW w:w="1843" w:type="dxa"/>
          </w:tcPr>
          <w:p w14:paraId="341ED40A" w14:textId="77777777" w:rsidR="00637087" w:rsidRPr="009475AF" w:rsidRDefault="00637087" w:rsidP="00FE6558">
            <w:pPr>
              <w:pStyle w:val="TableText0"/>
              <w:jc w:val="center"/>
            </w:pPr>
          </w:p>
          <w:p w14:paraId="6A5AE71A" w14:textId="77777777" w:rsidR="00637087" w:rsidRPr="009475AF" w:rsidRDefault="00637087" w:rsidP="00FE6558">
            <w:pPr>
              <w:pStyle w:val="TableText0"/>
              <w:jc w:val="center"/>
            </w:pPr>
            <w:r w:rsidRPr="009475AF">
              <w:t>48</w:t>
            </w:r>
          </w:p>
          <w:p w14:paraId="3C60C4BC" w14:textId="77777777" w:rsidR="00637087" w:rsidRPr="009475AF" w:rsidRDefault="00637087" w:rsidP="00FE6558">
            <w:pPr>
              <w:pStyle w:val="TableText0"/>
              <w:jc w:val="center"/>
            </w:pPr>
            <w:r w:rsidRPr="009475AF">
              <w:t>23</w:t>
            </w:r>
          </w:p>
          <w:p w14:paraId="6768368A" w14:textId="77777777" w:rsidR="00637087" w:rsidRPr="009475AF" w:rsidRDefault="00637087" w:rsidP="00FE6558">
            <w:pPr>
              <w:pStyle w:val="TableText0"/>
              <w:jc w:val="center"/>
            </w:pPr>
            <w:r w:rsidRPr="009475AF">
              <w:t>0.30 (0.16, 0.57)</w:t>
            </w:r>
          </w:p>
        </w:tc>
        <w:tc>
          <w:tcPr>
            <w:tcW w:w="1842" w:type="dxa"/>
          </w:tcPr>
          <w:p w14:paraId="24012899" w14:textId="77777777" w:rsidR="00637087" w:rsidRPr="009475AF" w:rsidRDefault="00637087" w:rsidP="00FE6558">
            <w:pPr>
              <w:pStyle w:val="TableText0"/>
              <w:jc w:val="center"/>
            </w:pPr>
          </w:p>
          <w:p w14:paraId="392BAC8D" w14:textId="77777777" w:rsidR="00637087" w:rsidRPr="009475AF" w:rsidRDefault="00637087" w:rsidP="00FE6558">
            <w:pPr>
              <w:pStyle w:val="TableText0"/>
              <w:jc w:val="center"/>
            </w:pPr>
            <w:r w:rsidRPr="009475AF">
              <w:t>24</w:t>
            </w:r>
          </w:p>
          <w:p w14:paraId="5B87788F" w14:textId="77777777" w:rsidR="00637087" w:rsidRPr="009475AF" w:rsidRDefault="00637087" w:rsidP="00FE6558">
            <w:pPr>
              <w:pStyle w:val="TableText0"/>
              <w:jc w:val="center"/>
            </w:pPr>
            <w:r w:rsidRPr="009475AF">
              <w:t>18</w:t>
            </w:r>
          </w:p>
          <w:p w14:paraId="7728EFE5" w14:textId="77777777" w:rsidR="00637087" w:rsidRPr="009475AF" w:rsidRDefault="00637087" w:rsidP="00FE6558">
            <w:pPr>
              <w:pStyle w:val="TableText0"/>
              <w:jc w:val="center"/>
            </w:pPr>
            <w:r w:rsidRPr="009475AF">
              <w:t>0.70 (0.36, 1.38)</w:t>
            </w:r>
          </w:p>
        </w:tc>
        <w:tc>
          <w:tcPr>
            <w:tcW w:w="2217" w:type="dxa"/>
          </w:tcPr>
          <w:p w14:paraId="78881E3F" w14:textId="77777777" w:rsidR="00637087" w:rsidRPr="009475AF" w:rsidRDefault="00637087" w:rsidP="00FE6558">
            <w:pPr>
              <w:pStyle w:val="TableText0"/>
              <w:jc w:val="center"/>
              <w:rPr>
                <w:b/>
              </w:rPr>
            </w:pPr>
          </w:p>
          <w:p w14:paraId="18FD530C" w14:textId="77777777" w:rsidR="00637087" w:rsidRPr="009475AF" w:rsidRDefault="00637087" w:rsidP="00FE6558">
            <w:pPr>
              <w:pStyle w:val="TableText0"/>
              <w:jc w:val="center"/>
              <w:rPr>
                <w:b/>
              </w:rPr>
            </w:pPr>
          </w:p>
          <w:p w14:paraId="4967A616" w14:textId="77777777" w:rsidR="00637087" w:rsidRPr="009475AF" w:rsidRDefault="00637087" w:rsidP="00FE6558">
            <w:pPr>
              <w:pStyle w:val="TableText0"/>
              <w:jc w:val="center"/>
              <w:rPr>
                <w:b/>
              </w:rPr>
            </w:pPr>
          </w:p>
          <w:p w14:paraId="574C65FD" w14:textId="77777777" w:rsidR="00637087" w:rsidRPr="009475AF" w:rsidRDefault="00637087" w:rsidP="00FE6558">
            <w:pPr>
              <w:pStyle w:val="TableText0"/>
              <w:jc w:val="center"/>
              <w:rPr>
                <w:b/>
              </w:rPr>
            </w:pPr>
            <w:r w:rsidRPr="009475AF">
              <w:rPr>
                <w:b/>
              </w:rPr>
              <w:t>0.42 (0.20, 0.87)</w:t>
            </w:r>
          </w:p>
        </w:tc>
      </w:tr>
      <w:tr w:rsidR="00637087" w:rsidRPr="009475AF" w14:paraId="6A1F711D" w14:textId="77777777" w:rsidTr="00A15C41">
        <w:tc>
          <w:tcPr>
            <w:tcW w:w="3114" w:type="dxa"/>
          </w:tcPr>
          <w:p w14:paraId="558B33B8" w14:textId="77777777" w:rsidR="00637087" w:rsidRPr="009475AF" w:rsidRDefault="00637087" w:rsidP="00637087">
            <w:pPr>
              <w:pStyle w:val="TableText0"/>
              <w:rPr>
                <w:b/>
              </w:rPr>
            </w:pPr>
            <w:r w:rsidRPr="009475AF">
              <w:rPr>
                <w:b/>
              </w:rPr>
              <w:t xml:space="preserve">Eosinophils </w:t>
            </w:r>
            <w:r w:rsidRPr="009475AF">
              <w:rPr>
                <w:b/>
              </w:rPr>
              <w:sym w:font="Symbol" w:char="F0B3"/>
            </w:r>
            <w:r w:rsidRPr="009475AF">
              <w:rPr>
                <w:b/>
              </w:rPr>
              <w:t xml:space="preserve"> 0.3 x 10</w:t>
            </w:r>
            <w:r w:rsidRPr="009475AF">
              <w:rPr>
                <w:b/>
                <w:vertAlign w:val="superscript"/>
              </w:rPr>
              <w:t>9</w:t>
            </w:r>
            <w:r w:rsidRPr="009475AF">
              <w:rPr>
                <w:b/>
              </w:rPr>
              <w:t>/L</w:t>
            </w:r>
          </w:p>
          <w:p w14:paraId="584BF40E" w14:textId="77777777" w:rsidR="00637087" w:rsidRPr="009475AF" w:rsidRDefault="00637087" w:rsidP="00B723E8">
            <w:pPr>
              <w:pStyle w:val="TableText0"/>
              <w:jc w:val="right"/>
            </w:pPr>
            <w:r w:rsidRPr="009475AF">
              <w:t xml:space="preserve">N </w:t>
            </w:r>
          </w:p>
          <w:p w14:paraId="74DEB199" w14:textId="77777777" w:rsidR="00637087" w:rsidRPr="009475AF" w:rsidRDefault="00637087" w:rsidP="00B723E8">
            <w:pPr>
              <w:pStyle w:val="TableText0"/>
              <w:jc w:val="right"/>
            </w:pPr>
            <w:r w:rsidRPr="009475AF">
              <w:t>Number of exacerbations</w:t>
            </w:r>
          </w:p>
          <w:p w14:paraId="1E5025BB" w14:textId="77777777" w:rsidR="00637087" w:rsidRPr="009475AF" w:rsidRDefault="00637087" w:rsidP="00B723E8">
            <w:pPr>
              <w:pStyle w:val="TableText0"/>
              <w:jc w:val="right"/>
            </w:pPr>
            <w:r w:rsidRPr="009475AF">
              <w:t>Rate</w:t>
            </w:r>
            <w:r w:rsidRPr="009475AF">
              <w:rPr>
                <w:vertAlign w:val="superscript"/>
              </w:rPr>
              <w:t>1</w:t>
            </w:r>
          </w:p>
        </w:tc>
        <w:tc>
          <w:tcPr>
            <w:tcW w:w="1843" w:type="dxa"/>
          </w:tcPr>
          <w:p w14:paraId="03C44709" w14:textId="77777777" w:rsidR="00637087" w:rsidRPr="009475AF" w:rsidRDefault="00637087" w:rsidP="00FE6558">
            <w:pPr>
              <w:pStyle w:val="TableText0"/>
              <w:jc w:val="center"/>
            </w:pPr>
          </w:p>
          <w:p w14:paraId="1BE5DE6B" w14:textId="77777777" w:rsidR="00637087" w:rsidRPr="009475AF" w:rsidRDefault="00637087" w:rsidP="00FE6558">
            <w:pPr>
              <w:pStyle w:val="TableText0"/>
              <w:jc w:val="center"/>
            </w:pPr>
            <w:r w:rsidRPr="009475AF">
              <w:t>175</w:t>
            </w:r>
          </w:p>
          <w:p w14:paraId="5C92608C" w14:textId="77777777" w:rsidR="00637087" w:rsidRPr="009475AF" w:rsidRDefault="00637087" w:rsidP="00FE6558">
            <w:pPr>
              <w:pStyle w:val="TableText0"/>
              <w:jc w:val="center"/>
            </w:pPr>
            <w:r w:rsidRPr="009475AF">
              <w:t>53</w:t>
            </w:r>
          </w:p>
          <w:p w14:paraId="768EC51B" w14:textId="77777777" w:rsidR="00637087" w:rsidRPr="009475AF" w:rsidRDefault="00637087" w:rsidP="00FE6558">
            <w:pPr>
              <w:pStyle w:val="TableText0"/>
              <w:jc w:val="center"/>
            </w:pPr>
            <w:r w:rsidRPr="009475AF">
              <w:t>0.24 (0.16, 0.34)</w:t>
            </w:r>
          </w:p>
        </w:tc>
        <w:tc>
          <w:tcPr>
            <w:tcW w:w="1842" w:type="dxa"/>
          </w:tcPr>
          <w:p w14:paraId="5E2C8C60" w14:textId="77777777" w:rsidR="00637087" w:rsidRPr="009475AF" w:rsidRDefault="00637087" w:rsidP="00FE6558">
            <w:pPr>
              <w:pStyle w:val="TableText0"/>
              <w:jc w:val="center"/>
            </w:pPr>
          </w:p>
          <w:p w14:paraId="6E122A8B" w14:textId="77777777" w:rsidR="00637087" w:rsidRPr="009475AF" w:rsidRDefault="00637087" w:rsidP="00FE6558">
            <w:pPr>
              <w:pStyle w:val="TableText0"/>
              <w:jc w:val="center"/>
            </w:pPr>
            <w:r w:rsidRPr="009475AF">
              <w:t>84</w:t>
            </w:r>
          </w:p>
          <w:p w14:paraId="49F7175F" w14:textId="77777777" w:rsidR="00637087" w:rsidRPr="009475AF" w:rsidRDefault="00637087" w:rsidP="00FE6558">
            <w:pPr>
              <w:pStyle w:val="TableText0"/>
              <w:jc w:val="center"/>
            </w:pPr>
            <w:r w:rsidRPr="009475AF">
              <w:t>61</w:t>
            </w:r>
          </w:p>
          <w:p w14:paraId="27488189" w14:textId="77777777" w:rsidR="00637087" w:rsidRPr="009475AF" w:rsidRDefault="00637087" w:rsidP="00FE6558">
            <w:pPr>
              <w:pStyle w:val="TableText0"/>
              <w:jc w:val="center"/>
            </w:pPr>
            <w:r w:rsidRPr="009475AF">
              <w:t>0.66 (0.47, 0.95)</w:t>
            </w:r>
          </w:p>
        </w:tc>
        <w:tc>
          <w:tcPr>
            <w:tcW w:w="2217" w:type="dxa"/>
          </w:tcPr>
          <w:p w14:paraId="239E3F6F" w14:textId="77777777" w:rsidR="00637087" w:rsidRPr="009475AF" w:rsidRDefault="00637087" w:rsidP="00FE6558">
            <w:pPr>
              <w:pStyle w:val="TableText0"/>
              <w:jc w:val="center"/>
              <w:rPr>
                <w:b/>
              </w:rPr>
            </w:pPr>
          </w:p>
          <w:p w14:paraId="08F456ED" w14:textId="77777777" w:rsidR="00637087" w:rsidRPr="009475AF" w:rsidRDefault="00637087" w:rsidP="00FE6558">
            <w:pPr>
              <w:pStyle w:val="TableText0"/>
              <w:jc w:val="center"/>
              <w:rPr>
                <w:b/>
              </w:rPr>
            </w:pPr>
          </w:p>
          <w:p w14:paraId="20B76E28" w14:textId="77777777" w:rsidR="00637087" w:rsidRPr="009475AF" w:rsidRDefault="00637087" w:rsidP="00FE6558">
            <w:pPr>
              <w:pStyle w:val="TableText0"/>
              <w:jc w:val="center"/>
              <w:rPr>
                <w:b/>
              </w:rPr>
            </w:pPr>
          </w:p>
          <w:p w14:paraId="3809C6E1" w14:textId="77777777" w:rsidR="00637087" w:rsidRPr="009475AF" w:rsidRDefault="00637087" w:rsidP="00FE6558">
            <w:pPr>
              <w:pStyle w:val="TableText0"/>
              <w:jc w:val="center"/>
              <w:rPr>
                <w:b/>
              </w:rPr>
            </w:pPr>
            <w:r w:rsidRPr="009475AF">
              <w:rPr>
                <w:b/>
              </w:rPr>
              <w:t>0.35 (0.22, 0.56)</w:t>
            </w:r>
          </w:p>
        </w:tc>
      </w:tr>
      <w:tr w:rsidR="00637087" w:rsidRPr="009475AF" w14:paraId="204CE31A" w14:textId="77777777" w:rsidTr="00A15C41">
        <w:tc>
          <w:tcPr>
            <w:tcW w:w="3114" w:type="dxa"/>
          </w:tcPr>
          <w:p w14:paraId="53435B66" w14:textId="77777777" w:rsidR="00637087" w:rsidRPr="009475AF" w:rsidRDefault="00637087" w:rsidP="00637087">
            <w:pPr>
              <w:pStyle w:val="TableText0"/>
              <w:rPr>
                <w:b/>
              </w:rPr>
            </w:pPr>
            <w:r w:rsidRPr="009475AF">
              <w:rPr>
                <w:b/>
              </w:rPr>
              <w:t>FeNO &lt; 20 ppb</w:t>
            </w:r>
          </w:p>
          <w:p w14:paraId="5A16272D" w14:textId="77777777" w:rsidR="00637087" w:rsidRPr="009475AF" w:rsidRDefault="00637087" w:rsidP="00B723E8">
            <w:pPr>
              <w:pStyle w:val="TableText0"/>
              <w:jc w:val="right"/>
            </w:pPr>
            <w:r w:rsidRPr="009475AF">
              <w:t xml:space="preserve">N </w:t>
            </w:r>
          </w:p>
          <w:p w14:paraId="1EE9E25C" w14:textId="77777777" w:rsidR="00637087" w:rsidRPr="009475AF" w:rsidRDefault="00637087" w:rsidP="00B723E8">
            <w:pPr>
              <w:pStyle w:val="TableText0"/>
              <w:jc w:val="right"/>
            </w:pPr>
            <w:r w:rsidRPr="009475AF">
              <w:t>Number of exacerbations</w:t>
            </w:r>
          </w:p>
          <w:p w14:paraId="0D9DA450" w14:textId="77777777" w:rsidR="00637087" w:rsidRPr="009475AF" w:rsidRDefault="00637087" w:rsidP="00B723E8">
            <w:pPr>
              <w:pStyle w:val="TableText0"/>
              <w:jc w:val="right"/>
            </w:pPr>
            <w:r w:rsidRPr="009475AF">
              <w:t>Rate</w:t>
            </w:r>
            <w:r w:rsidRPr="009475AF">
              <w:rPr>
                <w:vertAlign w:val="superscript"/>
              </w:rPr>
              <w:t>1</w:t>
            </w:r>
          </w:p>
        </w:tc>
        <w:tc>
          <w:tcPr>
            <w:tcW w:w="1843" w:type="dxa"/>
          </w:tcPr>
          <w:p w14:paraId="73B55013" w14:textId="77777777" w:rsidR="00637087" w:rsidRPr="009475AF" w:rsidRDefault="00637087" w:rsidP="00FE6558">
            <w:pPr>
              <w:pStyle w:val="TableText0"/>
              <w:jc w:val="center"/>
            </w:pPr>
          </w:p>
          <w:p w14:paraId="0DCDDFE4" w14:textId="77777777" w:rsidR="00637087" w:rsidRPr="009475AF" w:rsidRDefault="00637087" w:rsidP="00FE6558">
            <w:pPr>
              <w:pStyle w:val="TableText0"/>
              <w:jc w:val="center"/>
            </w:pPr>
            <w:r w:rsidRPr="009475AF">
              <w:t>124</w:t>
            </w:r>
          </w:p>
          <w:p w14:paraId="2E12F264" w14:textId="77777777" w:rsidR="00637087" w:rsidRPr="009475AF" w:rsidRDefault="00637087" w:rsidP="00FE6558">
            <w:pPr>
              <w:pStyle w:val="TableText0"/>
              <w:jc w:val="center"/>
            </w:pPr>
            <w:r w:rsidRPr="009475AF">
              <w:t>37</w:t>
            </w:r>
          </w:p>
          <w:p w14:paraId="27E9A186" w14:textId="77777777" w:rsidR="00637087" w:rsidRPr="009475AF" w:rsidRDefault="00637087" w:rsidP="00FE6558">
            <w:pPr>
              <w:pStyle w:val="TableText0"/>
              <w:jc w:val="center"/>
            </w:pPr>
            <w:r w:rsidRPr="009475AF">
              <w:t>0.27 (0.18, 0.42)</w:t>
            </w:r>
          </w:p>
        </w:tc>
        <w:tc>
          <w:tcPr>
            <w:tcW w:w="1842" w:type="dxa"/>
          </w:tcPr>
          <w:p w14:paraId="48E65830" w14:textId="77777777" w:rsidR="00637087" w:rsidRPr="009475AF" w:rsidRDefault="00637087" w:rsidP="00FE6558">
            <w:pPr>
              <w:pStyle w:val="TableText0"/>
              <w:jc w:val="center"/>
            </w:pPr>
          </w:p>
          <w:p w14:paraId="47D2005B" w14:textId="77777777" w:rsidR="00637087" w:rsidRPr="009475AF" w:rsidRDefault="00637087" w:rsidP="00FE6558">
            <w:pPr>
              <w:pStyle w:val="TableText0"/>
              <w:jc w:val="center"/>
            </w:pPr>
            <w:r w:rsidRPr="009475AF">
              <w:t>69</w:t>
            </w:r>
          </w:p>
          <w:p w14:paraId="5E647182" w14:textId="77777777" w:rsidR="00637087" w:rsidRPr="009475AF" w:rsidRDefault="00637087" w:rsidP="00FE6558">
            <w:pPr>
              <w:pStyle w:val="TableText0"/>
              <w:jc w:val="center"/>
            </w:pPr>
            <w:r w:rsidRPr="009475AF">
              <w:t>35</w:t>
            </w:r>
          </w:p>
          <w:p w14:paraId="4E6368E2" w14:textId="77777777" w:rsidR="00637087" w:rsidRPr="009475AF" w:rsidRDefault="00637087" w:rsidP="00FE6558">
            <w:pPr>
              <w:pStyle w:val="TableText0"/>
              <w:jc w:val="center"/>
            </w:pPr>
            <w:r w:rsidRPr="009475AF">
              <w:t>0.46 (0.30, 0.72)</w:t>
            </w:r>
          </w:p>
        </w:tc>
        <w:tc>
          <w:tcPr>
            <w:tcW w:w="2217" w:type="dxa"/>
          </w:tcPr>
          <w:p w14:paraId="56BB8C14" w14:textId="77777777" w:rsidR="00637087" w:rsidRPr="009475AF" w:rsidRDefault="00637087" w:rsidP="00FE6558">
            <w:pPr>
              <w:pStyle w:val="TableText0"/>
              <w:jc w:val="center"/>
            </w:pPr>
          </w:p>
          <w:p w14:paraId="73F9BD45" w14:textId="77777777" w:rsidR="00637087" w:rsidRPr="009475AF" w:rsidRDefault="00637087" w:rsidP="00FE6558">
            <w:pPr>
              <w:pStyle w:val="TableText0"/>
              <w:jc w:val="center"/>
            </w:pPr>
          </w:p>
          <w:p w14:paraId="4EDEF062" w14:textId="77777777" w:rsidR="00637087" w:rsidRPr="009475AF" w:rsidRDefault="00637087" w:rsidP="00FE6558">
            <w:pPr>
              <w:pStyle w:val="TableText0"/>
              <w:jc w:val="center"/>
            </w:pPr>
          </w:p>
          <w:p w14:paraId="59B8C43B" w14:textId="77777777" w:rsidR="00637087" w:rsidRPr="009475AF" w:rsidRDefault="00637087" w:rsidP="00FE6558">
            <w:pPr>
              <w:pStyle w:val="TableText0"/>
              <w:jc w:val="center"/>
            </w:pPr>
            <w:r w:rsidRPr="009475AF">
              <w:t>0.59 (0.34, 1.03)</w:t>
            </w:r>
          </w:p>
        </w:tc>
      </w:tr>
      <w:tr w:rsidR="00637087" w:rsidRPr="009475AF" w14:paraId="3326B8D2" w14:textId="77777777" w:rsidTr="00A15C41">
        <w:tc>
          <w:tcPr>
            <w:tcW w:w="3114" w:type="dxa"/>
          </w:tcPr>
          <w:p w14:paraId="40B123DA" w14:textId="77777777" w:rsidR="00637087" w:rsidRPr="009475AF" w:rsidRDefault="00637087" w:rsidP="00637087">
            <w:pPr>
              <w:pStyle w:val="TableText0"/>
              <w:rPr>
                <w:b/>
              </w:rPr>
            </w:pPr>
            <w:r w:rsidRPr="009475AF">
              <w:rPr>
                <w:b/>
              </w:rPr>
              <w:t xml:space="preserve">FeNO </w:t>
            </w:r>
            <w:r w:rsidRPr="009475AF">
              <w:rPr>
                <w:b/>
              </w:rPr>
              <w:sym w:font="Symbol" w:char="F0B3"/>
            </w:r>
            <w:r w:rsidRPr="009475AF">
              <w:rPr>
                <w:b/>
              </w:rPr>
              <w:t xml:space="preserve"> 20 ppb</w:t>
            </w:r>
          </w:p>
          <w:p w14:paraId="66B94001" w14:textId="77777777" w:rsidR="00637087" w:rsidRPr="009475AF" w:rsidRDefault="00637087" w:rsidP="00B723E8">
            <w:pPr>
              <w:pStyle w:val="TableText0"/>
              <w:jc w:val="right"/>
            </w:pPr>
            <w:r w:rsidRPr="009475AF">
              <w:t xml:space="preserve">N </w:t>
            </w:r>
          </w:p>
          <w:p w14:paraId="6BD95016" w14:textId="77777777" w:rsidR="00637087" w:rsidRPr="009475AF" w:rsidRDefault="00637087" w:rsidP="00B723E8">
            <w:pPr>
              <w:pStyle w:val="TableText0"/>
              <w:jc w:val="right"/>
            </w:pPr>
            <w:r w:rsidRPr="009475AF">
              <w:t>Number of exacerbations</w:t>
            </w:r>
          </w:p>
          <w:p w14:paraId="0AE24126" w14:textId="77777777" w:rsidR="00637087" w:rsidRPr="009475AF" w:rsidRDefault="00637087" w:rsidP="00B723E8">
            <w:pPr>
              <w:pStyle w:val="TableText0"/>
              <w:jc w:val="right"/>
            </w:pPr>
            <w:r w:rsidRPr="009475AF">
              <w:t>Rate</w:t>
            </w:r>
            <w:r w:rsidRPr="009475AF">
              <w:rPr>
                <w:vertAlign w:val="superscript"/>
              </w:rPr>
              <w:t>1</w:t>
            </w:r>
          </w:p>
        </w:tc>
        <w:tc>
          <w:tcPr>
            <w:tcW w:w="1843" w:type="dxa"/>
          </w:tcPr>
          <w:p w14:paraId="24EA0A86" w14:textId="77777777" w:rsidR="00637087" w:rsidRPr="009475AF" w:rsidRDefault="00637087" w:rsidP="00FE6558">
            <w:pPr>
              <w:pStyle w:val="TableText0"/>
              <w:jc w:val="center"/>
            </w:pPr>
          </w:p>
          <w:p w14:paraId="41A2879A" w14:textId="77777777" w:rsidR="00637087" w:rsidRPr="009475AF" w:rsidRDefault="00637087" w:rsidP="00FE6558">
            <w:pPr>
              <w:pStyle w:val="TableText0"/>
              <w:jc w:val="center"/>
            </w:pPr>
            <w:r w:rsidRPr="009475AF">
              <w:t>141</w:t>
            </w:r>
          </w:p>
          <w:p w14:paraId="1338FF62" w14:textId="77777777" w:rsidR="00637087" w:rsidRPr="009475AF" w:rsidRDefault="00637087" w:rsidP="00FE6558">
            <w:pPr>
              <w:pStyle w:val="TableText0"/>
              <w:jc w:val="center"/>
            </w:pPr>
            <w:r w:rsidRPr="009475AF">
              <w:t>51</w:t>
            </w:r>
          </w:p>
          <w:p w14:paraId="0CA9FD50" w14:textId="77777777" w:rsidR="00637087" w:rsidRPr="009475AF" w:rsidRDefault="00637087" w:rsidP="00FE6558">
            <w:pPr>
              <w:pStyle w:val="TableText0"/>
              <w:jc w:val="center"/>
            </w:pPr>
            <w:r w:rsidRPr="009475AF">
              <w:t>0.27 (0.17, 0.43)</w:t>
            </w:r>
          </w:p>
        </w:tc>
        <w:tc>
          <w:tcPr>
            <w:tcW w:w="1842" w:type="dxa"/>
          </w:tcPr>
          <w:p w14:paraId="7067AE11" w14:textId="77777777" w:rsidR="00637087" w:rsidRPr="009475AF" w:rsidRDefault="00637087" w:rsidP="00FE6558">
            <w:pPr>
              <w:pStyle w:val="TableText0"/>
              <w:jc w:val="center"/>
            </w:pPr>
          </w:p>
          <w:p w14:paraId="548DB15E" w14:textId="77777777" w:rsidR="00637087" w:rsidRPr="009475AF" w:rsidRDefault="00637087" w:rsidP="00FE6558">
            <w:pPr>
              <w:pStyle w:val="TableText0"/>
              <w:jc w:val="center"/>
            </w:pPr>
            <w:r w:rsidRPr="009475AF">
              <w:t>62</w:t>
            </w:r>
          </w:p>
          <w:p w14:paraId="5ADA5244" w14:textId="77777777" w:rsidR="00637087" w:rsidRPr="009475AF" w:rsidRDefault="00637087" w:rsidP="00FE6558">
            <w:pPr>
              <w:pStyle w:val="TableText0"/>
              <w:jc w:val="center"/>
            </w:pPr>
            <w:r w:rsidRPr="009475AF">
              <w:t>49</w:t>
            </w:r>
          </w:p>
          <w:p w14:paraId="0492E2DB" w14:textId="77777777" w:rsidR="00637087" w:rsidRPr="009475AF" w:rsidRDefault="00637087" w:rsidP="00FE6558">
            <w:pPr>
              <w:pStyle w:val="TableText0"/>
              <w:jc w:val="center"/>
            </w:pPr>
            <w:r w:rsidRPr="009475AF">
              <w:t>0.70 (0.42, 1.18)</w:t>
            </w:r>
          </w:p>
        </w:tc>
        <w:tc>
          <w:tcPr>
            <w:tcW w:w="2217" w:type="dxa"/>
          </w:tcPr>
          <w:p w14:paraId="1215B178" w14:textId="77777777" w:rsidR="00637087" w:rsidRPr="009475AF" w:rsidRDefault="00637087" w:rsidP="00FE6558">
            <w:pPr>
              <w:pStyle w:val="TableText0"/>
              <w:jc w:val="center"/>
              <w:rPr>
                <w:b/>
              </w:rPr>
            </w:pPr>
          </w:p>
          <w:p w14:paraId="65460E20" w14:textId="77777777" w:rsidR="00637087" w:rsidRPr="009475AF" w:rsidRDefault="00637087" w:rsidP="00FE6558">
            <w:pPr>
              <w:pStyle w:val="TableText0"/>
              <w:jc w:val="center"/>
              <w:rPr>
                <w:b/>
              </w:rPr>
            </w:pPr>
          </w:p>
          <w:p w14:paraId="4B98D10B" w14:textId="77777777" w:rsidR="00637087" w:rsidRPr="009475AF" w:rsidRDefault="00637087" w:rsidP="00FE6558">
            <w:pPr>
              <w:pStyle w:val="TableText0"/>
              <w:jc w:val="center"/>
              <w:rPr>
                <w:b/>
              </w:rPr>
            </w:pPr>
          </w:p>
          <w:p w14:paraId="409870A8" w14:textId="77777777" w:rsidR="00637087" w:rsidRPr="009475AF" w:rsidRDefault="00637087" w:rsidP="00FE6558">
            <w:pPr>
              <w:pStyle w:val="TableText0"/>
              <w:jc w:val="center"/>
              <w:rPr>
                <w:b/>
              </w:rPr>
            </w:pPr>
            <w:r w:rsidRPr="009475AF">
              <w:rPr>
                <w:b/>
              </w:rPr>
              <w:t>0.38 (0.23, 0.65)</w:t>
            </w:r>
          </w:p>
        </w:tc>
      </w:tr>
    </w:tbl>
    <w:p w14:paraId="6F8D1752" w14:textId="08A7E880" w:rsidR="00637087" w:rsidRPr="002F013D" w:rsidRDefault="00637087" w:rsidP="00B723E8">
      <w:pPr>
        <w:pStyle w:val="TableFooter"/>
        <w:rPr>
          <w:szCs w:val="18"/>
        </w:rPr>
      </w:pPr>
      <w:r w:rsidRPr="002F013D">
        <w:rPr>
          <w:szCs w:val="18"/>
        </w:rPr>
        <w:t>Source: Table 1, 15.2</w:t>
      </w:r>
      <w:r w:rsidR="00A34500" w:rsidRPr="002F013D">
        <w:rPr>
          <w:szCs w:val="18"/>
        </w:rPr>
        <w:t xml:space="preserve"> </w:t>
      </w:r>
      <w:r w:rsidRPr="002F013D">
        <w:rPr>
          <w:szCs w:val="18"/>
        </w:rPr>
        <w:t>Efficacy Data, VOYAGE CSR.</w:t>
      </w:r>
    </w:p>
    <w:p w14:paraId="12C48620" w14:textId="2181D26C" w:rsidR="00637087" w:rsidRPr="002F013D" w:rsidRDefault="00637087" w:rsidP="00B723E8">
      <w:pPr>
        <w:pStyle w:val="TableFooter"/>
        <w:rPr>
          <w:szCs w:val="18"/>
        </w:rPr>
      </w:pPr>
      <w:r w:rsidRPr="002F013D">
        <w:rPr>
          <w:szCs w:val="18"/>
        </w:rPr>
        <w:t xml:space="preserve">FeNO = fractional </w:t>
      </w:r>
      <w:r w:rsidR="00C7299B" w:rsidRPr="002F013D">
        <w:rPr>
          <w:szCs w:val="18"/>
        </w:rPr>
        <w:t xml:space="preserve">exhaled </w:t>
      </w:r>
      <w:r w:rsidRPr="002F013D">
        <w:rPr>
          <w:szCs w:val="18"/>
        </w:rPr>
        <w:t>nitr</w:t>
      </w:r>
      <w:r w:rsidR="0083250F" w:rsidRPr="002F013D">
        <w:rPr>
          <w:szCs w:val="18"/>
        </w:rPr>
        <w:t>ic</w:t>
      </w:r>
      <w:r w:rsidRPr="002F013D">
        <w:rPr>
          <w:szCs w:val="18"/>
        </w:rPr>
        <w:t xml:space="preserve"> oxide; RR = risk</w:t>
      </w:r>
      <w:r w:rsidR="008259A9" w:rsidRPr="002F013D">
        <w:rPr>
          <w:szCs w:val="18"/>
        </w:rPr>
        <w:t xml:space="preserve"> ratio</w:t>
      </w:r>
      <w:r w:rsidRPr="002F013D">
        <w:rPr>
          <w:szCs w:val="18"/>
        </w:rPr>
        <w:t xml:space="preserve">. </w:t>
      </w:r>
    </w:p>
    <w:p w14:paraId="70103EC5" w14:textId="5F30604F" w:rsidR="007E2531" w:rsidRPr="009475AF" w:rsidRDefault="00637087" w:rsidP="00A26963">
      <w:pPr>
        <w:pStyle w:val="TableFooter"/>
        <w:spacing w:after="120"/>
      </w:pPr>
      <w:r w:rsidRPr="002F013D">
        <w:rPr>
          <w:szCs w:val="18"/>
          <w:vertAlign w:val="superscript"/>
        </w:rPr>
        <w:t>1</w:t>
      </w:r>
      <w:r w:rsidRPr="002F013D">
        <w:rPr>
          <w:szCs w:val="18"/>
        </w:rPr>
        <w:t xml:space="preserve"> Adjusted for treatment group, age, baseline weight group, region, baseline eosinophil level, baseline FeNO level, baseline ICS dose level and number of severe exacerbation events within 1 year prior to the study</w:t>
      </w:r>
      <w:r w:rsidR="009475AF" w:rsidRPr="002F013D">
        <w:rPr>
          <w:szCs w:val="18"/>
        </w:rPr>
        <w:t>.</w:t>
      </w:r>
      <w:r w:rsidR="009475AF">
        <w:t xml:space="preserve"> </w:t>
      </w:r>
    </w:p>
    <w:p w14:paraId="10535F64" w14:textId="7E6CFDFB" w:rsidR="00637087" w:rsidRPr="009475AF" w:rsidRDefault="007E2531" w:rsidP="00A26963">
      <w:pPr>
        <w:pStyle w:val="3-BodyText"/>
        <w:keepNext/>
        <w:numPr>
          <w:ilvl w:val="0"/>
          <w:numId w:val="0"/>
        </w:numPr>
        <w:spacing w:after="0"/>
        <w:rPr>
          <w:rFonts w:ascii="Arial Narrow" w:hAnsi="Arial Narrow"/>
          <w:b/>
          <w:bCs/>
          <w:sz w:val="20"/>
          <w:szCs w:val="20"/>
        </w:rPr>
      </w:pPr>
      <w:bookmarkStart w:id="26" w:name="_Ref152755284"/>
      <w:r w:rsidRPr="009475AF">
        <w:rPr>
          <w:rFonts w:ascii="Arial Narrow" w:hAnsi="Arial Narrow"/>
          <w:b/>
          <w:bCs/>
          <w:sz w:val="20"/>
          <w:szCs w:val="20"/>
        </w:rPr>
        <w:lastRenderedPageBreak/>
        <w:t xml:space="preserve">Figure </w:t>
      </w:r>
      <w:r w:rsidRPr="009475AF">
        <w:rPr>
          <w:rFonts w:ascii="Arial Narrow" w:hAnsi="Arial Narrow"/>
          <w:b/>
          <w:bCs/>
          <w:sz w:val="20"/>
          <w:szCs w:val="20"/>
        </w:rPr>
        <w:fldChar w:fldCharType="begin" w:fldLock="1"/>
      </w:r>
      <w:r w:rsidRPr="009475AF">
        <w:rPr>
          <w:rFonts w:ascii="Arial Narrow" w:hAnsi="Arial Narrow"/>
          <w:b/>
          <w:bCs/>
          <w:sz w:val="20"/>
          <w:szCs w:val="20"/>
        </w:rPr>
        <w:instrText xml:space="preserve"> SEQ Figure \* ARABIC </w:instrText>
      </w:r>
      <w:r w:rsidRPr="009475AF">
        <w:rPr>
          <w:rFonts w:ascii="Arial Narrow" w:hAnsi="Arial Narrow"/>
          <w:b/>
          <w:bCs/>
          <w:sz w:val="20"/>
          <w:szCs w:val="20"/>
        </w:rPr>
        <w:fldChar w:fldCharType="separate"/>
      </w:r>
      <w:r w:rsidRPr="009475AF">
        <w:rPr>
          <w:rFonts w:ascii="Arial Narrow" w:hAnsi="Arial Narrow"/>
          <w:b/>
          <w:bCs/>
          <w:sz w:val="20"/>
          <w:szCs w:val="20"/>
        </w:rPr>
        <w:t>1</w:t>
      </w:r>
      <w:r w:rsidRPr="009475AF">
        <w:rPr>
          <w:rFonts w:ascii="Arial Narrow" w:hAnsi="Arial Narrow"/>
          <w:b/>
          <w:bCs/>
          <w:sz w:val="20"/>
          <w:szCs w:val="20"/>
        </w:rPr>
        <w:fldChar w:fldCharType="end"/>
      </w:r>
      <w:bookmarkEnd w:id="26"/>
      <w:r w:rsidRPr="009475AF">
        <w:rPr>
          <w:rFonts w:ascii="Arial Narrow" w:hAnsi="Arial Narrow"/>
          <w:b/>
          <w:bCs/>
          <w:sz w:val="20"/>
          <w:szCs w:val="20"/>
        </w:rPr>
        <w:t>: Bar</w:t>
      </w:r>
      <w:r w:rsidRPr="009475AF">
        <w:rPr>
          <w:rFonts w:ascii="Arial Narrow" w:hAnsi="Arial Narrow"/>
          <w:b/>
          <w:bCs/>
          <w:spacing w:val="-5"/>
          <w:sz w:val="20"/>
          <w:szCs w:val="20"/>
        </w:rPr>
        <w:t xml:space="preserve"> </w:t>
      </w:r>
      <w:r w:rsidRPr="009475AF">
        <w:rPr>
          <w:rFonts w:ascii="Arial Narrow" w:hAnsi="Arial Narrow"/>
          <w:b/>
          <w:bCs/>
          <w:sz w:val="20"/>
          <w:szCs w:val="20"/>
        </w:rPr>
        <w:t>plot</w:t>
      </w:r>
      <w:r w:rsidRPr="009475AF">
        <w:rPr>
          <w:rFonts w:ascii="Arial Narrow" w:hAnsi="Arial Narrow"/>
          <w:b/>
          <w:bCs/>
          <w:spacing w:val="-4"/>
          <w:sz w:val="20"/>
          <w:szCs w:val="20"/>
        </w:rPr>
        <w:t xml:space="preserve"> </w:t>
      </w:r>
      <w:r w:rsidRPr="009475AF">
        <w:rPr>
          <w:rFonts w:ascii="Arial Narrow" w:hAnsi="Arial Narrow"/>
          <w:b/>
          <w:bCs/>
          <w:sz w:val="20"/>
          <w:szCs w:val="20"/>
        </w:rPr>
        <w:t>of</w:t>
      </w:r>
      <w:r w:rsidRPr="009475AF">
        <w:rPr>
          <w:rFonts w:ascii="Arial Narrow" w:hAnsi="Arial Narrow"/>
          <w:b/>
          <w:bCs/>
          <w:spacing w:val="-2"/>
          <w:sz w:val="20"/>
          <w:szCs w:val="20"/>
        </w:rPr>
        <w:t xml:space="preserve"> </w:t>
      </w:r>
      <w:r w:rsidRPr="009475AF">
        <w:rPr>
          <w:rFonts w:ascii="Arial Narrow" w:hAnsi="Arial Narrow"/>
          <w:b/>
          <w:bCs/>
          <w:sz w:val="20"/>
          <w:szCs w:val="20"/>
        </w:rPr>
        <w:t>annualized</w:t>
      </w:r>
      <w:r w:rsidRPr="009475AF">
        <w:rPr>
          <w:rFonts w:ascii="Arial Narrow" w:hAnsi="Arial Narrow"/>
          <w:b/>
          <w:bCs/>
          <w:spacing w:val="-4"/>
          <w:sz w:val="20"/>
          <w:szCs w:val="20"/>
        </w:rPr>
        <w:t xml:space="preserve"> </w:t>
      </w:r>
      <w:r w:rsidRPr="009475AF">
        <w:rPr>
          <w:rFonts w:ascii="Arial Narrow" w:hAnsi="Arial Narrow"/>
          <w:b/>
          <w:bCs/>
          <w:sz w:val="20"/>
          <w:szCs w:val="20"/>
        </w:rPr>
        <w:t>event</w:t>
      </w:r>
      <w:r w:rsidRPr="009475AF">
        <w:rPr>
          <w:rFonts w:ascii="Arial Narrow" w:hAnsi="Arial Narrow"/>
          <w:b/>
          <w:bCs/>
          <w:spacing w:val="-3"/>
          <w:sz w:val="20"/>
          <w:szCs w:val="20"/>
        </w:rPr>
        <w:t xml:space="preserve"> </w:t>
      </w:r>
      <w:r w:rsidRPr="009475AF">
        <w:rPr>
          <w:rFonts w:ascii="Arial Narrow" w:hAnsi="Arial Narrow"/>
          <w:b/>
          <w:bCs/>
          <w:sz w:val="20"/>
          <w:szCs w:val="20"/>
        </w:rPr>
        <w:t>rate</w:t>
      </w:r>
      <w:r w:rsidRPr="009475AF">
        <w:rPr>
          <w:rFonts w:ascii="Arial Narrow" w:hAnsi="Arial Narrow"/>
          <w:b/>
          <w:bCs/>
          <w:spacing w:val="-2"/>
          <w:sz w:val="20"/>
          <w:szCs w:val="20"/>
        </w:rPr>
        <w:t xml:space="preserve"> </w:t>
      </w:r>
      <w:r w:rsidRPr="009475AF">
        <w:rPr>
          <w:rFonts w:ascii="Arial Narrow" w:hAnsi="Arial Narrow"/>
          <w:b/>
          <w:bCs/>
          <w:sz w:val="20"/>
          <w:szCs w:val="20"/>
        </w:rPr>
        <w:t>of</w:t>
      </w:r>
      <w:r w:rsidRPr="009475AF">
        <w:rPr>
          <w:rFonts w:ascii="Arial Narrow" w:hAnsi="Arial Narrow"/>
          <w:b/>
          <w:bCs/>
          <w:spacing w:val="-2"/>
          <w:sz w:val="20"/>
          <w:szCs w:val="20"/>
        </w:rPr>
        <w:t xml:space="preserve"> </w:t>
      </w:r>
      <w:r w:rsidRPr="009475AF">
        <w:rPr>
          <w:rFonts w:ascii="Arial Narrow" w:hAnsi="Arial Narrow"/>
          <w:b/>
          <w:bCs/>
          <w:sz w:val="20"/>
          <w:szCs w:val="20"/>
        </w:rPr>
        <w:t>severe</w:t>
      </w:r>
      <w:r w:rsidRPr="009475AF">
        <w:rPr>
          <w:rFonts w:ascii="Arial Narrow" w:hAnsi="Arial Narrow"/>
          <w:b/>
          <w:bCs/>
          <w:spacing w:val="-4"/>
          <w:sz w:val="20"/>
          <w:szCs w:val="20"/>
        </w:rPr>
        <w:t xml:space="preserve"> </w:t>
      </w:r>
      <w:r w:rsidRPr="009475AF">
        <w:rPr>
          <w:rFonts w:ascii="Arial Narrow" w:hAnsi="Arial Narrow"/>
          <w:b/>
          <w:bCs/>
          <w:sz w:val="20"/>
          <w:szCs w:val="20"/>
        </w:rPr>
        <w:t>exacerbation</w:t>
      </w:r>
      <w:r w:rsidRPr="009475AF">
        <w:rPr>
          <w:rFonts w:ascii="Arial Narrow" w:hAnsi="Arial Narrow"/>
          <w:b/>
          <w:bCs/>
          <w:spacing w:val="-4"/>
          <w:sz w:val="20"/>
          <w:szCs w:val="20"/>
        </w:rPr>
        <w:t xml:space="preserve"> </w:t>
      </w:r>
      <w:r w:rsidRPr="009475AF">
        <w:rPr>
          <w:rFonts w:ascii="Arial Narrow" w:hAnsi="Arial Narrow"/>
          <w:b/>
          <w:bCs/>
          <w:sz w:val="20"/>
          <w:szCs w:val="20"/>
        </w:rPr>
        <w:t>by</w:t>
      </w:r>
      <w:r w:rsidRPr="009475AF">
        <w:rPr>
          <w:rFonts w:ascii="Arial Narrow" w:hAnsi="Arial Narrow"/>
          <w:b/>
          <w:bCs/>
          <w:spacing w:val="-4"/>
          <w:sz w:val="20"/>
          <w:szCs w:val="20"/>
        </w:rPr>
        <w:t xml:space="preserve"> </w:t>
      </w:r>
      <w:r w:rsidRPr="009475AF">
        <w:rPr>
          <w:rFonts w:ascii="Arial Narrow" w:hAnsi="Arial Narrow"/>
          <w:b/>
          <w:bCs/>
          <w:sz w:val="20"/>
          <w:szCs w:val="20"/>
        </w:rPr>
        <w:t>quadrant</w:t>
      </w:r>
      <w:r w:rsidRPr="009475AF">
        <w:rPr>
          <w:rFonts w:ascii="Arial Narrow" w:hAnsi="Arial Narrow"/>
          <w:b/>
          <w:bCs/>
          <w:spacing w:val="-3"/>
          <w:sz w:val="20"/>
          <w:szCs w:val="20"/>
        </w:rPr>
        <w:t xml:space="preserve"> </w:t>
      </w:r>
      <w:r w:rsidRPr="009475AF">
        <w:rPr>
          <w:rFonts w:ascii="Arial Narrow" w:hAnsi="Arial Narrow"/>
          <w:b/>
          <w:bCs/>
          <w:sz w:val="20"/>
          <w:szCs w:val="20"/>
        </w:rPr>
        <w:t>subgroups</w:t>
      </w:r>
      <w:r w:rsidRPr="009475AF">
        <w:rPr>
          <w:rFonts w:ascii="Arial Narrow" w:hAnsi="Arial Narrow"/>
          <w:b/>
          <w:bCs/>
          <w:spacing w:val="-4"/>
          <w:sz w:val="20"/>
          <w:szCs w:val="20"/>
        </w:rPr>
        <w:t xml:space="preserve"> </w:t>
      </w:r>
      <w:r w:rsidR="00BE2BF5" w:rsidRPr="009475AF">
        <w:rPr>
          <w:rFonts w:ascii="Arial Narrow" w:hAnsi="Arial Narrow"/>
          <w:b/>
          <w:bCs/>
          <w:sz w:val="20"/>
          <w:szCs w:val="20"/>
        </w:rPr>
        <w:t xml:space="preserve">defined </w:t>
      </w:r>
      <w:r w:rsidR="00252C38" w:rsidRPr="009475AF">
        <w:rPr>
          <w:rFonts w:ascii="Arial Narrow" w:hAnsi="Arial Narrow"/>
          <w:b/>
          <w:bCs/>
          <w:spacing w:val="-53"/>
          <w:sz w:val="20"/>
          <w:szCs w:val="20"/>
        </w:rPr>
        <w:t>by</w:t>
      </w:r>
      <w:r w:rsidR="002A4C44">
        <w:rPr>
          <w:rFonts w:ascii="Arial Narrow" w:hAnsi="Arial Narrow"/>
          <w:b/>
          <w:bCs/>
          <w:spacing w:val="-53"/>
          <w:sz w:val="20"/>
          <w:szCs w:val="20"/>
        </w:rPr>
        <w:t xml:space="preserve"> </w:t>
      </w:r>
      <w:r w:rsidR="00252C38" w:rsidRPr="009475AF">
        <w:rPr>
          <w:rFonts w:ascii="Arial Narrow" w:hAnsi="Arial Narrow"/>
          <w:b/>
          <w:bCs/>
          <w:spacing w:val="-5"/>
          <w:sz w:val="20"/>
          <w:szCs w:val="20"/>
        </w:rPr>
        <w:t>baseline</w:t>
      </w:r>
      <w:r w:rsidRPr="009475AF">
        <w:rPr>
          <w:rFonts w:ascii="Arial Narrow" w:hAnsi="Arial Narrow"/>
          <w:b/>
          <w:bCs/>
          <w:spacing w:val="-2"/>
          <w:sz w:val="20"/>
          <w:szCs w:val="20"/>
        </w:rPr>
        <w:t xml:space="preserve"> </w:t>
      </w:r>
      <w:r w:rsidRPr="009475AF">
        <w:rPr>
          <w:rFonts w:ascii="Arial Narrow" w:hAnsi="Arial Narrow"/>
          <w:b/>
          <w:bCs/>
          <w:sz w:val="20"/>
          <w:szCs w:val="20"/>
        </w:rPr>
        <w:t>blood</w:t>
      </w:r>
      <w:r w:rsidRPr="009475AF">
        <w:rPr>
          <w:rFonts w:ascii="Arial Narrow" w:hAnsi="Arial Narrow"/>
          <w:b/>
          <w:bCs/>
          <w:spacing w:val="-1"/>
          <w:sz w:val="20"/>
          <w:szCs w:val="20"/>
        </w:rPr>
        <w:t xml:space="preserve"> </w:t>
      </w:r>
      <w:r w:rsidRPr="009475AF">
        <w:rPr>
          <w:rFonts w:ascii="Arial Narrow" w:hAnsi="Arial Narrow"/>
          <w:b/>
          <w:bCs/>
          <w:sz w:val="20"/>
          <w:szCs w:val="20"/>
        </w:rPr>
        <w:t>eosinophil</w:t>
      </w:r>
      <w:r w:rsidRPr="009475AF">
        <w:rPr>
          <w:rFonts w:ascii="Arial Narrow" w:hAnsi="Arial Narrow"/>
          <w:b/>
          <w:bCs/>
          <w:spacing w:val="-3"/>
          <w:sz w:val="20"/>
          <w:szCs w:val="20"/>
        </w:rPr>
        <w:t>s</w:t>
      </w:r>
      <w:r w:rsidRPr="009475AF">
        <w:rPr>
          <w:rFonts w:ascii="Arial Narrow" w:hAnsi="Arial Narrow"/>
          <w:b/>
          <w:bCs/>
          <w:spacing w:val="-1"/>
          <w:sz w:val="20"/>
          <w:szCs w:val="20"/>
        </w:rPr>
        <w:t xml:space="preserve"> </w:t>
      </w:r>
      <w:r w:rsidRPr="009475AF">
        <w:rPr>
          <w:rFonts w:ascii="Arial Narrow" w:hAnsi="Arial Narrow"/>
          <w:b/>
          <w:bCs/>
          <w:sz w:val="20"/>
          <w:szCs w:val="20"/>
        </w:rPr>
        <w:t>and FeNO</w:t>
      </w:r>
    </w:p>
    <w:p w14:paraId="54338EB6" w14:textId="76EA0EEF" w:rsidR="00F80279" w:rsidRPr="009475AF" w:rsidRDefault="0007491C" w:rsidP="00A26963">
      <w:pPr>
        <w:pStyle w:val="Caption"/>
      </w:pPr>
      <w:r w:rsidRPr="009475AF">
        <w:rPr>
          <w:noProof/>
        </w:rPr>
        <w:drawing>
          <wp:inline distT="0" distB="0" distL="0" distR="0" wp14:anchorId="227E3312" wp14:editId="69D4BCFA">
            <wp:extent cx="5754283" cy="4402836"/>
            <wp:effectExtent l="0" t="0" r="0" b="0"/>
            <wp:docPr id="17" name="image17.jpeg" descr="Figure 1: Bar plot of annualized event rate of severe exacerbation by quadrant subgroups defined by baseline blood eosinophils and F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jpeg" descr="Figure 1: Bar plot of annualized event rate of severe exacerbation by quadrant subgroups defined by baseline blood eosinophils and FeNO"/>
                    <pic:cNvPicPr/>
                  </pic:nvPicPr>
                  <pic:blipFill>
                    <a:blip r:embed="rId14" cstate="print"/>
                    <a:stretch>
                      <a:fillRect/>
                    </a:stretch>
                  </pic:blipFill>
                  <pic:spPr>
                    <a:xfrm>
                      <a:off x="0" y="0"/>
                      <a:ext cx="5754283" cy="4402836"/>
                    </a:xfrm>
                    <a:prstGeom prst="rect">
                      <a:avLst/>
                    </a:prstGeom>
                  </pic:spPr>
                </pic:pic>
              </a:graphicData>
            </a:graphic>
          </wp:inline>
        </w:drawing>
      </w:r>
    </w:p>
    <w:p w14:paraId="56C7A84F" w14:textId="0FB92556" w:rsidR="0007491C" w:rsidRPr="009475AF" w:rsidRDefault="0007491C" w:rsidP="00A26963">
      <w:pPr>
        <w:pStyle w:val="TableFooter"/>
        <w:spacing w:after="120"/>
      </w:pPr>
      <w:r w:rsidRPr="009475AF">
        <w:t xml:space="preserve">Source: VOYAGE CSR, Figure 9, p136. </w:t>
      </w:r>
      <w:r w:rsidRPr="009475AF">
        <w:rPr>
          <w:spacing w:val="-1"/>
        </w:rPr>
        <w:t>The</w:t>
      </w:r>
      <w:r w:rsidRPr="009475AF">
        <w:rPr>
          <w:spacing w:val="-10"/>
        </w:rPr>
        <w:t xml:space="preserve"> </w:t>
      </w:r>
      <w:r w:rsidRPr="009475AF">
        <w:rPr>
          <w:spacing w:val="-1"/>
        </w:rPr>
        <w:t>percentage</w:t>
      </w:r>
      <w:r w:rsidRPr="009475AF">
        <w:rPr>
          <w:spacing w:val="-11"/>
        </w:rPr>
        <w:t xml:space="preserve"> </w:t>
      </w:r>
      <w:r w:rsidRPr="009475AF">
        <w:rPr>
          <w:spacing w:val="-1"/>
        </w:rPr>
        <w:t>shown</w:t>
      </w:r>
      <w:r w:rsidRPr="009475AF">
        <w:rPr>
          <w:spacing w:val="-10"/>
        </w:rPr>
        <w:t xml:space="preserve"> </w:t>
      </w:r>
      <w:r w:rsidRPr="009475AF">
        <w:rPr>
          <w:spacing w:val="-1"/>
        </w:rPr>
        <w:t>in</w:t>
      </w:r>
      <w:r w:rsidRPr="009475AF">
        <w:rPr>
          <w:spacing w:val="-10"/>
        </w:rPr>
        <w:t xml:space="preserve"> </w:t>
      </w:r>
      <w:r w:rsidRPr="009475AF">
        <w:rPr>
          <w:spacing w:val="-1"/>
        </w:rPr>
        <w:t>parentheses</w:t>
      </w:r>
      <w:r w:rsidRPr="009475AF">
        <w:rPr>
          <w:spacing w:val="-12"/>
        </w:rPr>
        <w:t xml:space="preserve"> </w:t>
      </w:r>
      <w:r w:rsidRPr="009475AF">
        <w:t>is</w:t>
      </w:r>
      <w:r w:rsidRPr="009475AF">
        <w:rPr>
          <w:spacing w:val="-12"/>
        </w:rPr>
        <w:t xml:space="preserve"> </w:t>
      </w:r>
      <w:r w:rsidRPr="009475AF">
        <w:t>the</w:t>
      </w:r>
      <w:r w:rsidRPr="009475AF">
        <w:rPr>
          <w:spacing w:val="-10"/>
        </w:rPr>
        <w:t xml:space="preserve"> </w:t>
      </w:r>
      <w:r w:rsidRPr="009475AF">
        <w:t>proportion</w:t>
      </w:r>
      <w:r w:rsidRPr="009475AF">
        <w:rPr>
          <w:spacing w:val="-12"/>
        </w:rPr>
        <w:t xml:space="preserve"> </w:t>
      </w:r>
      <w:r w:rsidRPr="009475AF">
        <w:t>of</w:t>
      </w:r>
      <w:r w:rsidRPr="009475AF">
        <w:rPr>
          <w:spacing w:val="-13"/>
        </w:rPr>
        <w:t xml:space="preserve"> </w:t>
      </w:r>
      <w:r w:rsidRPr="009475AF">
        <w:t>patients</w:t>
      </w:r>
      <w:r w:rsidRPr="009475AF">
        <w:rPr>
          <w:spacing w:val="-12"/>
        </w:rPr>
        <w:t xml:space="preserve"> </w:t>
      </w:r>
      <w:r w:rsidRPr="009475AF">
        <w:t>in</w:t>
      </w:r>
      <w:r w:rsidRPr="009475AF">
        <w:rPr>
          <w:spacing w:val="-12"/>
        </w:rPr>
        <w:t xml:space="preserve"> </w:t>
      </w:r>
      <w:r w:rsidRPr="009475AF">
        <w:t>each</w:t>
      </w:r>
      <w:r w:rsidRPr="009475AF">
        <w:rPr>
          <w:spacing w:val="-12"/>
        </w:rPr>
        <w:t xml:space="preserve"> </w:t>
      </w:r>
      <w:r w:rsidRPr="009475AF">
        <w:t>of</w:t>
      </w:r>
      <w:r w:rsidRPr="009475AF">
        <w:rPr>
          <w:spacing w:val="-11"/>
        </w:rPr>
        <w:t xml:space="preserve"> </w:t>
      </w:r>
      <w:r w:rsidRPr="009475AF">
        <w:t>the</w:t>
      </w:r>
      <w:r w:rsidRPr="009475AF">
        <w:rPr>
          <w:spacing w:val="-10"/>
        </w:rPr>
        <w:t xml:space="preserve"> </w:t>
      </w:r>
      <w:r w:rsidRPr="009475AF">
        <w:t>4</w:t>
      </w:r>
      <w:r w:rsidRPr="009475AF">
        <w:rPr>
          <w:spacing w:val="-8"/>
        </w:rPr>
        <w:t xml:space="preserve"> </w:t>
      </w:r>
      <w:r w:rsidRPr="009475AF">
        <w:t>subgroups</w:t>
      </w:r>
      <w:r w:rsidRPr="009475AF">
        <w:rPr>
          <w:spacing w:val="-12"/>
        </w:rPr>
        <w:t xml:space="preserve"> </w:t>
      </w:r>
      <w:r w:rsidRPr="009475AF">
        <w:t>out</w:t>
      </w:r>
      <w:r w:rsidRPr="009475AF">
        <w:rPr>
          <w:spacing w:val="-12"/>
        </w:rPr>
        <w:t xml:space="preserve"> </w:t>
      </w:r>
      <w:r w:rsidRPr="009475AF">
        <w:t>of</w:t>
      </w:r>
      <w:r w:rsidRPr="009475AF">
        <w:rPr>
          <w:spacing w:val="-12"/>
        </w:rPr>
        <w:t xml:space="preserve"> </w:t>
      </w:r>
      <w:r w:rsidRPr="009475AF">
        <w:t>all</w:t>
      </w:r>
      <w:r w:rsidRPr="009475AF">
        <w:rPr>
          <w:spacing w:val="-9"/>
        </w:rPr>
        <w:t xml:space="preserve"> </w:t>
      </w:r>
      <w:r w:rsidR="00BE2BF5" w:rsidRPr="009475AF">
        <w:t xml:space="preserve">patients </w:t>
      </w:r>
      <w:r w:rsidR="00BE2BF5" w:rsidRPr="009475AF">
        <w:rPr>
          <w:spacing w:val="-47"/>
        </w:rPr>
        <w:t>in</w:t>
      </w:r>
      <w:r w:rsidRPr="009475AF">
        <w:rPr>
          <w:spacing w:val="-9"/>
        </w:rPr>
        <w:t xml:space="preserve"> </w:t>
      </w:r>
      <w:r w:rsidR="00252C38" w:rsidRPr="009475AF">
        <w:rPr>
          <w:spacing w:val="-9"/>
        </w:rPr>
        <w:t xml:space="preserve">  </w:t>
      </w:r>
      <w:r w:rsidRPr="009475AF">
        <w:t>the</w:t>
      </w:r>
      <w:r w:rsidRPr="009475AF">
        <w:rPr>
          <w:spacing w:val="-6"/>
        </w:rPr>
        <w:t xml:space="preserve"> </w:t>
      </w:r>
      <w:r w:rsidRPr="009475AF">
        <w:t>ITT</w:t>
      </w:r>
      <w:r w:rsidRPr="009475AF">
        <w:rPr>
          <w:spacing w:val="-4"/>
        </w:rPr>
        <w:t xml:space="preserve"> </w:t>
      </w:r>
      <w:r w:rsidRPr="009475AF">
        <w:t>population</w:t>
      </w:r>
      <w:r w:rsidRPr="009475AF">
        <w:rPr>
          <w:spacing w:val="-6"/>
        </w:rPr>
        <w:t xml:space="preserve"> </w:t>
      </w:r>
      <w:r w:rsidRPr="009475AF">
        <w:t>who</w:t>
      </w:r>
      <w:r w:rsidRPr="009475AF">
        <w:rPr>
          <w:spacing w:val="-3"/>
        </w:rPr>
        <w:t xml:space="preserve"> </w:t>
      </w:r>
      <w:r w:rsidRPr="009475AF">
        <w:t>had</w:t>
      </w:r>
      <w:r w:rsidRPr="009475AF">
        <w:rPr>
          <w:spacing w:val="-4"/>
        </w:rPr>
        <w:t xml:space="preserve"> </w:t>
      </w:r>
      <w:r w:rsidRPr="009475AF">
        <w:t>both</w:t>
      </w:r>
      <w:r w:rsidRPr="009475AF">
        <w:rPr>
          <w:spacing w:val="-8"/>
        </w:rPr>
        <w:t xml:space="preserve"> </w:t>
      </w:r>
      <w:r w:rsidRPr="009475AF">
        <w:t>a</w:t>
      </w:r>
      <w:r w:rsidRPr="009475AF">
        <w:rPr>
          <w:spacing w:val="-6"/>
        </w:rPr>
        <w:t xml:space="preserve"> </w:t>
      </w:r>
      <w:r w:rsidRPr="009475AF">
        <w:t>blood</w:t>
      </w:r>
      <w:r w:rsidRPr="009475AF">
        <w:rPr>
          <w:spacing w:val="-6"/>
        </w:rPr>
        <w:t xml:space="preserve"> </w:t>
      </w:r>
      <w:r w:rsidRPr="009475AF">
        <w:t>eosinophil</w:t>
      </w:r>
      <w:r w:rsidRPr="009475AF">
        <w:rPr>
          <w:spacing w:val="-7"/>
        </w:rPr>
        <w:t xml:space="preserve"> </w:t>
      </w:r>
      <w:r w:rsidRPr="009475AF">
        <w:t>count</w:t>
      </w:r>
      <w:r w:rsidRPr="009475AF">
        <w:rPr>
          <w:spacing w:val="-7"/>
        </w:rPr>
        <w:t xml:space="preserve"> </w:t>
      </w:r>
      <w:r w:rsidRPr="009475AF">
        <w:t>and</w:t>
      </w:r>
      <w:r w:rsidRPr="009475AF">
        <w:rPr>
          <w:spacing w:val="-6"/>
        </w:rPr>
        <w:t xml:space="preserve"> </w:t>
      </w:r>
      <w:r w:rsidRPr="009475AF">
        <w:t>FeNO</w:t>
      </w:r>
      <w:r w:rsidRPr="009475AF">
        <w:rPr>
          <w:spacing w:val="-6"/>
        </w:rPr>
        <w:t xml:space="preserve"> </w:t>
      </w:r>
      <w:r w:rsidRPr="009475AF">
        <w:t>value</w:t>
      </w:r>
      <w:r w:rsidRPr="009475AF">
        <w:rPr>
          <w:spacing w:val="-4"/>
        </w:rPr>
        <w:t xml:space="preserve"> </w:t>
      </w:r>
      <w:r w:rsidRPr="009475AF">
        <w:t>at</w:t>
      </w:r>
      <w:r w:rsidRPr="009475AF">
        <w:rPr>
          <w:spacing w:val="-7"/>
        </w:rPr>
        <w:t xml:space="preserve"> </w:t>
      </w:r>
      <w:r w:rsidRPr="009475AF">
        <w:t>baseline.</w:t>
      </w:r>
    </w:p>
    <w:p w14:paraId="5C1E28CF" w14:textId="5C2D2134" w:rsidR="00A20345" w:rsidRPr="009475AF" w:rsidRDefault="007C4C22" w:rsidP="00A20345">
      <w:pPr>
        <w:pStyle w:val="3-BodyText"/>
      </w:pPr>
      <w:r w:rsidRPr="009475AF">
        <w:t>T</w:t>
      </w:r>
      <w:r w:rsidR="008D2297" w:rsidRPr="009475AF">
        <w:t>wo ITC</w:t>
      </w:r>
      <w:r w:rsidR="00D70FD5" w:rsidRPr="009475AF">
        <w:t>s</w:t>
      </w:r>
      <w:r w:rsidRPr="009475AF">
        <w:t xml:space="preserve"> </w:t>
      </w:r>
      <w:r w:rsidR="00A84BA0" w:rsidRPr="009475AF">
        <w:t xml:space="preserve">were </w:t>
      </w:r>
      <w:r w:rsidR="0092126A" w:rsidRPr="009475AF">
        <w:t>presented in the submission</w:t>
      </w:r>
      <w:r w:rsidR="00994E8A" w:rsidRPr="009475AF">
        <w:t xml:space="preserve">, one for IA-05 vs VOYAGE patients with elevated eosinophils or FeNO, and one for the IA-05-EU (high-dose ICS+LABA) population vs VOYAGE patients with elevated eosinophils or FeNO </w:t>
      </w:r>
      <w:r w:rsidR="00994E8A" w:rsidRPr="009475AF">
        <w:rPr>
          <w:iCs/>
        </w:rPr>
        <w:t>and</w:t>
      </w:r>
      <w:r w:rsidR="00994E8A" w:rsidRPr="009475AF">
        <w:t xml:space="preserve"> high-dose ICS+LABA</w:t>
      </w:r>
      <w:r w:rsidR="00A20345" w:rsidRPr="009475AF">
        <w:t xml:space="preserve">. The results </w:t>
      </w:r>
      <w:r w:rsidR="00994E8A" w:rsidRPr="009475AF">
        <w:t xml:space="preserve">for exacerbations (as defined in each trial) </w:t>
      </w:r>
      <w:r w:rsidR="00A20345" w:rsidRPr="009475AF">
        <w:t>are shown in</w:t>
      </w:r>
      <w:r w:rsidR="002B344E" w:rsidRPr="009475AF">
        <w:t xml:space="preserve"> </w:t>
      </w:r>
      <w:r w:rsidR="00217053" w:rsidRPr="009475AF">
        <w:fldChar w:fldCharType="begin" w:fldLock="1"/>
      </w:r>
      <w:r w:rsidR="00217053" w:rsidRPr="009475AF">
        <w:instrText xml:space="preserve"> REF _Ref152755332 \h </w:instrText>
      </w:r>
      <w:r w:rsidR="00217053" w:rsidRPr="009475AF">
        <w:fldChar w:fldCharType="separate"/>
      </w:r>
      <w:r w:rsidR="00217053" w:rsidRPr="009475AF">
        <w:t>Table 6</w:t>
      </w:r>
      <w:r w:rsidR="00217053" w:rsidRPr="009475AF">
        <w:fldChar w:fldCharType="end"/>
      </w:r>
      <w:r w:rsidR="00A20345" w:rsidRPr="009475AF">
        <w:t xml:space="preserve">. </w:t>
      </w:r>
    </w:p>
    <w:p w14:paraId="04B1B452" w14:textId="19BFF88E" w:rsidR="00A20345" w:rsidRPr="009475AF" w:rsidRDefault="00217053" w:rsidP="00A26963">
      <w:pPr>
        <w:pStyle w:val="Caption"/>
      </w:pPr>
      <w:bookmarkStart w:id="27" w:name="_Ref152755332"/>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6</w:t>
      </w:r>
      <w:r w:rsidR="00696736">
        <w:fldChar w:fldCharType="end"/>
      </w:r>
      <w:bookmarkEnd w:id="27"/>
      <w:r w:rsidR="00A20345" w:rsidRPr="009475AF">
        <w:t xml:space="preserve">: Indirect treatment comparisons of </w:t>
      </w:r>
      <w:r w:rsidR="008E5203" w:rsidRPr="009475AF">
        <w:t xml:space="preserve">annualised </w:t>
      </w:r>
      <w:r w:rsidR="00A20345" w:rsidRPr="009475AF">
        <w:t>rates of severe exacerbations</w:t>
      </w:r>
      <w:r w:rsidR="00A20345" w:rsidRPr="009475AF">
        <w:rPr>
          <w:vertAlign w:val="superscript"/>
        </w:rPr>
        <w:t>1</w:t>
      </w:r>
      <w:r w:rsidR="00A20345" w:rsidRPr="009475AF">
        <w:t xml:space="preserve"> in trials of dupilumab (VOYAGE) vs omalizumab (trial IA-05 and IA-05-EU) </w:t>
      </w:r>
    </w:p>
    <w:tbl>
      <w:tblPr>
        <w:tblStyle w:val="TableGrid"/>
        <w:tblW w:w="0" w:type="auto"/>
        <w:tblLook w:val="04A0" w:firstRow="1" w:lastRow="0" w:firstColumn="1" w:lastColumn="0" w:noHBand="0" w:noVBand="1"/>
        <w:tblCaption w:val="Table 6: Indirect treatment comparisons of annualised rates of severe exacerbations1 in trials of dupilumab (VOYAGE) vs omalizumab (trial IA-05 and IA-05-EU) "/>
      </w:tblPr>
      <w:tblGrid>
        <w:gridCol w:w="4508"/>
        <w:gridCol w:w="4509"/>
      </w:tblGrid>
      <w:tr w:rsidR="00A20345" w:rsidRPr="009475AF" w14:paraId="4D269495" w14:textId="77777777" w:rsidTr="00A20345">
        <w:tc>
          <w:tcPr>
            <w:tcW w:w="4508" w:type="dxa"/>
          </w:tcPr>
          <w:p w14:paraId="453391EF" w14:textId="77777777" w:rsidR="00A20345" w:rsidRPr="009475AF" w:rsidRDefault="00A20345" w:rsidP="00A26963">
            <w:pPr>
              <w:pStyle w:val="In-tableHeading"/>
              <w:keepLines/>
              <w:rPr>
                <w:lang w:val="en-AU"/>
              </w:rPr>
            </w:pPr>
          </w:p>
        </w:tc>
        <w:tc>
          <w:tcPr>
            <w:tcW w:w="4509" w:type="dxa"/>
          </w:tcPr>
          <w:p w14:paraId="66726200" w14:textId="5700C542" w:rsidR="00A20345" w:rsidRPr="009475AF" w:rsidRDefault="00A20345" w:rsidP="00A26963">
            <w:pPr>
              <w:pStyle w:val="In-tableHeading"/>
              <w:keepLines/>
              <w:jc w:val="center"/>
              <w:rPr>
                <w:lang w:val="en-AU"/>
              </w:rPr>
            </w:pPr>
            <w:r w:rsidRPr="009475AF">
              <w:rPr>
                <w:lang w:val="en-AU"/>
              </w:rPr>
              <w:t>Rate Ratio (95% CI)</w:t>
            </w:r>
          </w:p>
        </w:tc>
      </w:tr>
      <w:tr w:rsidR="00A20345" w:rsidRPr="009475AF" w14:paraId="11E75F69" w14:textId="77777777" w:rsidTr="00A20345">
        <w:tc>
          <w:tcPr>
            <w:tcW w:w="4508" w:type="dxa"/>
          </w:tcPr>
          <w:p w14:paraId="5C1EF843" w14:textId="2AFCD03D" w:rsidR="00A20345" w:rsidRPr="009475AF" w:rsidRDefault="00A20345" w:rsidP="00A26963">
            <w:pPr>
              <w:pStyle w:val="In-tableHeading"/>
              <w:keepLines/>
              <w:rPr>
                <w:lang w:val="en-AU"/>
              </w:rPr>
            </w:pPr>
            <w:r w:rsidRPr="009475AF">
              <w:rPr>
                <w:lang w:val="en-AU"/>
              </w:rPr>
              <w:t xml:space="preserve">VOYAGE </w:t>
            </w:r>
            <w:r w:rsidR="00994E8A" w:rsidRPr="009475AF">
              <w:rPr>
                <w:lang w:val="en-AU"/>
              </w:rPr>
              <w:t>subgroup</w:t>
            </w:r>
            <w:r w:rsidR="00994E8A" w:rsidRPr="009475AF">
              <w:rPr>
                <w:vertAlign w:val="superscript"/>
                <w:lang w:val="en-AU"/>
              </w:rPr>
              <w:t>2</w:t>
            </w:r>
            <w:r w:rsidR="00994E8A" w:rsidRPr="009475AF">
              <w:rPr>
                <w:lang w:val="en-AU"/>
              </w:rPr>
              <w:t xml:space="preserve"> </w:t>
            </w:r>
            <w:r w:rsidRPr="009475AF">
              <w:rPr>
                <w:lang w:val="en-AU"/>
              </w:rPr>
              <w:t>vs IA-05</w:t>
            </w:r>
          </w:p>
        </w:tc>
        <w:tc>
          <w:tcPr>
            <w:tcW w:w="4509" w:type="dxa"/>
          </w:tcPr>
          <w:p w14:paraId="2B26FDE7" w14:textId="77777777" w:rsidR="00A20345" w:rsidRPr="009475AF" w:rsidRDefault="00A20345" w:rsidP="00A26963">
            <w:pPr>
              <w:pStyle w:val="In-tableHeading"/>
              <w:keepLines/>
              <w:jc w:val="center"/>
              <w:rPr>
                <w:lang w:val="en-AU"/>
              </w:rPr>
            </w:pPr>
          </w:p>
        </w:tc>
      </w:tr>
      <w:tr w:rsidR="00A20345" w:rsidRPr="009475AF" w14:paraId="0FD20BD1" w14:textId="77777777" w:rsidTr="00A20345">
        <w:tc>
          <w:tcPr>
            <w:tcW w:w="4508" w:type="dxa"/>
          </w:tcPr>
          <w:p w14:paraId="74440679" w14:textId="098C87CB" w:rsidR="00A20345" w:rsidRPr="009475AF" w:rsidRDefault="008E5203" w:rsidP="00A26963">
            <w:pPr>
              <w:pStyle w:val="In-tableHeading"/>
              <w:keepLines/>
              <w:jc w:val="right"/>
              <w:rPr>
                <w:b w:val="0"/>
                <w:bCs/>
                <w:lang w:val="en-AU"/>
              </w:rPr>
            </w:pPr>
            <w:r w:rsidRPr="009475AF">
              <w:rPr>
                <w:b w:val="0"/>
                <w:bCs/>
                <w:lang w:val="en-AU"/>
              </w:rPr>
              <w:t>Omalizumab vs placebo</w:t>
            </w:r>
          </w:p>
        </w:tc>
        <w:tc>
          <w:tcPr>
            <w:tcW w:w="4509" w:type="dxa"/>
          </w:tcPr>
          <w:p w14:paraId="70B94D29" w14:textId="2CF946F3" w:rsidR="00A20345" w:rsidRPr="009475AF" w:rsidRDefault="008E5203" w:rsidP="00A26963">
            <w:pPr>
              <w:pStyle w:val="In-tableHeading"/>
              <w:keepLines/>
              <w:jc w:val="center"/>
              <w:rPr>
                <w:lang w:val="en-AU"/>
              </w:rPr>
            </w:pPr>
            <w:r w:rsidRPr="009475AF">
              <w:rPr>
                <w:lang w:val="en-AU"/>
              </w:rPr>
              <w:t>0.69 (0</w:t>
            </w:r>
            <w:r w:rsidR="00F45417" w:rsidRPr="009475AF">
              <w:rPr>
                <w:lang w:val="en-AU"/>
              </w:rPr>
              <w:t>.</w:t>
            </w:r>
            <w:r w:rsidRPr="009475AF">
              <w:rPr>
                <w:lang w:val="en-AU"/>
              </w:rPr>
              <w:t>53, 0.90)</w:t>
            </w:r>
          </w:p>
        </w:tc>
      </w:tr>
      <w:tr w:rsidR="00A20345" w:rsidRPr="009475AF" w14:paraId="10F05282" w14:textId="77777777" w:rsidTr="00A20345">
        <w:tc>
          <w:tcPr>
            <w:tcW w:w="4508" w:type="dxa"/>
          </w:tcPr>
          <w:p w14:paraId="081C1663" w14:textId="3B24A982" w:rsidR="00A20345" w:rsidRPr="009475AF" w:rsidRDefault="008E5203" w:rsidP="00A26963">
            <w:pPr>
              <w:pStyle w:val="In-tableHeading"/>
              <w:keepLines/>
              <w:jc w:val="right"/>
              <w:rPr>
                <w:b w:val="0"/>
                <w:bCs/>
                <w:lang w:val="en-AU"/>
              </w:rPr>
            </w:pPr>
            <w:r w:rsidRPr="009475AF">
              <w:rPr>
                <w:b w:val="0"/>
                <w:bCs/>
                <w:lang w:val="en-AU"/>
              </w:rPr>
              <w:t>Dupilumab vs placebo</w:t>
            </w:r>
          </w:p>
        </w:tc>
        <w:tc>
          <w:tcPr>
            <w:tcW w:w="4509" w:type="dxa"/>
          </w:tcPr>
          <w:p w14:paraId="3893960D" w14:textId="6DC999A7" w:rsidR="00A20345" w:rsidRPr="009475AF" w:rsidRDefault="008E5203" w:rsidP="00A26963">
            <w:pPr>
              <w:pStyle w:val="In-tableHeading"/>
              <w:keepLines/>
              <w:jc w:val="center"/>
              <w:rPr>
                <w:lang w:val="en-AU"/>
              </w:rPr>
            </w:pPr>
            <w:r w:rsidRPr="009475AF">
              <w:rPr>
                <w:lang w:val="en-AU"/>
              </w:rPr>
              <w:t>0.41 (0.22, 0.75)</w:t>
            </w:r>
          </w:p>
        </w:tc>
      </w:tr>
      <w:tr w:rsidR="00A20345" w:rsidRPr="009475AF" w14:paraId="776865FA" w14:textId="77777777" w:rsidTr="00A20345">
        <w:tc>
          <w:tcPr>
            <w:tcW w:w="4508" w:type="dxa"/>
          </w:tcPr>
          <w:p w14:paraId="6E99FA46" w14:textId="3317A2EE" w:rsidR="00A20345" w:rsidRPr="009475AF" w:rsidRDefault="008E5203" w:rsidP="00A26963">
            <w:pPr>
              <w:pStyle w:val="In-tableHeading"/>
              <w:keepLines/>
              <w:jc w:val="right"/>
              <w:rPr>
                <w:b w:val="0"/>
                <w:bCs/>
                <w:lang w:val="en-AU"/>
              </w:rPr>
            </w:pPr>
            <w:r w:rsidRPr="009475AF">
              <w:rPr>
                <w:b w:val="0"/>
                <w:bCs/>
                <w:lang w:val="en-AU"/>
              </w:rPr>
              <w:t>Dupilumab vs omalizumab</w:t>
            </w:r>
          </w:p>
        </w:tc>
        <w:tc>
          <w:tcPr>
            <w:tcW w:w="4509" w:type="dxa"/>
          </w:tcPr>
          <w:p w14:paraId="24234059" w14:textId="39D16A60" w:rsidR="00A20345" w:rsidRPr="009475AF" w:rsidRDefault="008E5203" w:rsidP="00A26963">
            <w:pPr>
              <w:pStyle w:val="In-tableHeading"/>
              <w:keepLines/>
              <w:jc w:val="center"/>
              <w:rPr>
                <w:b w:val="0"/>
                <w:bCs/>
                <w:lang w:val="en-AU"/>
              </w:rPr>
            </w:pPr>
            <w:r w:rsidRPr="009475AF">
              <w:rPr>
                <w:b w:val="0"/>
                <w:bCs/>
                <w:lang w:val="en-AU"/>
              </w:rPr>
              <w:t>0.59 (0.31, 1.15)</w:t>
            </w:r>
          </w:p>
        </w:tc>
      </w:tr>
      <w:tr w:rsidR="00A20345" w:rsidRPr="009475AF" w14:paraId="069330F6" w14:textId="77777777" w:rsidTr="00A20345">
        <w:tc>
          <w:tcPr>
            <w:tcW w:w="4508" w:type="dxa"/>
          </w:tcPr>
          <w:p w14:paraId="7B1D2B3E" w14:textId="3FCD7306" w:rsidR="00A20345" w:rsidRPr="009475AF" w:rsidRDefault="008E5203" w:rsidP="00A26963">
            <w:pPr>
              <w:pStyle w:val="In-tableHeading"/>
              <w:keepLines/>
              <w:rPr>
                <w:lang w:val="en-AU"/>
              </w:rPr>
            </w:pPr>
            <w:r w:rsidRPr="009475AF">
              <w:rPr>
                <w:lang w:val="en-AU"/>
              </w:rPr>
              <w:t xml:space="preserve">VOYAGE </w:t>
            </w:r>
            <w:r w:rsidR="00994E8A" w:rsidRPr="009475AF">
              <w:rPr>
                <w:lang w:val="en-AU"/>
              </w:rPr>
              <w:t xml:space="preserve">subgroup </w:t>
            </w:r>
            <w:r w:rsidRPr="009475AF">
              <w:rPr>
                <w:lang w:val="en-AU"/>
              </w:rPr>
              <w:t>vs IA-05-EU</w:t>
            </w:r>
            <w:r w:rsidR="00994E8A" w:rsidRPr="009475AF">
              <w:rPr>
                <w:vertAlign w:val="superscript"/>
                <w:lang w:val="en-AU"/>
              </w:rPr>
              <w:t>3</w:t>
            </w:r>
          </w:p>
        </w:tc>
        <w:tc>
          <w:tcPr>
            <w:tcW w:w="4509" w:type="dxa"/>
          </w:tcPr>
          <w:p w14:paraId="2910DA4B" w14:textId="77777777" w:rsidR="00A20345" w:rsidRPr="009475AF" w:rsidRDefault="00A20345" w:rsidP="00A26963">
            <w:pPr>
              <w:pStyle w:val="In-tableHeading"/>
              <w:keepLines/>
              <w:jc w:val="center"/>
              <w:rPr>
                <w:lang w:val="en-AU"/>
              </w:rPr>
            </w:pPr>
          </w:p>
        </w:tc>
      </w:tr>
      <w:tr w:rsidR="008E5203" w:rsidRPr="009475AF" w14:paraId="274BF7BE" w14:textId="77777777" w:rsidTr="00A20345">
        <w:tc>
          <w:tcPr>
            <w:tcW w:w="4508" w:type="dxa"/>
          </w:tcPr>
          <w:p w14:paraId="57CA0C4E" w14:textId="6E168EDD" w:rsidR="008E5203" w:rsidRPr="009475AF" w:rsidRDefault="008E5203" w:rsidP="00A26963">
            <w:pPr>
              <w:pStyle w:val="In-tableHeading"/>
              <w:keepLines/>
              <w:jc w:val="right"/>
              <w:rPr>
                <w:lang w:val="en-AU"/>
              </w:rPr>
            </w:pPr>
            <w:r w:rsidRPr="009475AF">
              <w:rPr>
                <w:b w:val="0"/>
                <w:bCs/>
                <w:lang w:val="en-AU"/>
              </w:rPr>
              <w:t>Omalizumab vs placebo</w:t>
            </w:r>
          </w:p>
        </w:tc>
        <w:tc>
          <w:tcPr>
            <w:tcW w:w="4509" w:type="dxa"/>
          </w:tcPr>
          <w:p w14:paraId="7D46FC5A" w14:textId="35AAC695" w:rsidR="008E5203" w:rsidRPr="009475AF" w:rsidRDefault="008E5203" w:rsidP="00A26963">
            <w:pPr>
              <w:pStyle w:val="In-tableHeading"/>
              <w:keepLines/>
              <w:jc w:val="center"/>
              <w:rPr>
                <w:lang w:val="en-AU"/>
              </w:rPr>
            </w:pPr>
            <w:r w:rsidRPr="009475AF">
              <w:rPr>
                <w:lang w:val="en-AU"/>
              </w:rPr>
              <w:t>0.66 (0.44, 0.0995)</w:t>
            </w:r>
          </w:p>
        </w:tc>
      </w:tr>
      <w:tr w:rsidR="008E5203" w:rsidRPr="009475AF" w14:paraId="22C9DE04" w14:textId="77777777" w:rsidTr="00A20345">
        <w:tc>
          <w:tcPr>
            <w:tcW w:w="4508" w:type="dxa"/>
          </w:tcPr>
          <w:p w14:paraId="0F4C39B2" w14:textId="7273B3F6" w:rsidR="008E5203" w:rsidRPr="009475AF" w:rsidRDefault="008E5203" w:rsidP="00A26963">
            <w:pPr>
              <w:pStyle w:val="In-tableHeading"/>
              <w:keepLines/>
              <w:jc w:val="right"/>
              <w:rPr>
                <w:lang w:val="en-AU"/>
              </w:rPr>
            </w:pPr>
            <w:r w:rsidRPr="009475AF">
              <w:rPr>
                <w:b w:val="0"/>
                <w:bCs/>
                <w:lang w:val="en-AU"/>
              </w:rPr>
              <w:t>Dupilumab vs placebo</w:t>
            </w:r>
          </w:p>
        </w:tc>
        <w:tc>
          <w:tcPr>
            <w:tcW w:w="4509" w:type="dxa"/>
          </w:tcPr>
          <w:p w14:paraId="7A4E240C" w14:textId="37409964" w:rsidR="008E5203" w:rsidRPr="009475AF" w:rsidRDefault="008E5203" w:rsidP="00A26963">
            <w:pPr>
              <w:pStyle w:val="In-tableHeading"/>
              <w:keepLines/>
              <w:jc w:val="center"/>
              <w:rPr>
                <w:lang w:val="en-AU"/>
              </w:rPr>
            </w:pPr>
            <w:r w:rsidRPr="009475AF">
              <w:rPr>
                <w:lang w:val="en-AU"/>
              </w:rPr>
              <w:t>0.37 (0.15, 0.81)</w:t>
            </w:r>
          </w:p>
        </w:tc>
      </w:tr>
      <w:tr w:rsidR="008E5203" w:rsidRPr="009475AF" w14:paraId="2BEB59A9" w14:textId="77777777" w:rsidTr="00A20345">
        <w:tc>
          <w:tcPr>
            <w:tcW w:w="4508" w:type="dxa"/>
          </w:tcPr>
          <w:p w14:paraId="286BEED8" w14:textId="5BCBD1FC" w:rsidR="008E5203" w:rsidRPr="009475AF" w:rsidRDefault="008E5203" w:rsidP="00A26963">
            <w:pPr>
              <w:pStyle w:val="In-tableHeading"/>
              <w:keepLines/>
              <w:jc w:val="right"/>
              <w:rPr>
                <w:lang w:val="en-AU"/>
              </w:rPr>
            </w:pPr>
            <w:r w:rsidRPr="009475AF">
              <w:rPr>
                <w:b w:val="0"/>
                <w:bCs/>
                <w:lang w:val="en-AU"/>
              </w:rPr>
              <w:t>Dupilumab vs omalizumab</w:t>
            </w:r>
          </w:p>
        </w:tc>
        <w:tc>
          <w:tcPr>
            <w:tcW w:w="4509" w:type="dxa"/>
          </w:tcPr>
          <w:p w14:paraId="4FB69E7F" w14:textId="11710F7A" w:rsidR="008E5203" w:rsidRPr="009475AF" w:rsidRDefault="008E5203" w:rsidP="00A26963">
            <w:pPr>
              <w:pStyle w:val="In-tableHeading"/>
              <w:keepLines/>
              <w:jc w:val="center"/>
              <w:rPr>
                <w:b w:val="0"/>
                <w:bCs/>
                <w:lang w:val="en-AU"/>
              </w:rPr>
            </w:pPr>
            <w:r w:rsidRPr="009475AF">
              <w:rPr>
                <w:b w:val="0"/>
                <w:bCs/>
                <w:lang w:val="en-AU"/>
              </w:rPr>
              <w:t>0.52 (0.20, 1.35)</w:t>
            </w:r>
          </w:p>
        </w:tc>
      </w:tr>
    </w:tbl>
    <w:p w14:paraId="25BC2EAB" w14:textId="4CD9FD27" w:rsidR="008E5203" w:rsidRPr="002F013D" w:rsidRDefault="008E5203" w:rsidP="00A26963">
      <w:pPr>
        <w:pStyle w:val="TableFooter"/>
        <w:keepNext/>
        <w:keepLines/>
        <w:rPr>
          <w:szCs w:val="18"/>
        </w:rPr>
      </w:pPr>
      <w:r w:rsidRPr="002F013D">
        <w:rPr>
          <w:szCs w:val="18"/>
        </w:rPr>
        <w:t>Source: Tables 2.51</w:t>
      </w:r>
      <w:r w:rsidR="002E05BE" w:rsidRPr="002F013D">
        <w:rPr>
          <w:szCs w:val="18"/>
        </w:rPr>
        <w:t xml:space="preserve"> </w:t>
      </w:r>
      <w:r w:rsidRPr="002F013D">
        <w:rPr>
          <w:szCs w:val="18"/>
        </w:rPr>
        <w:t xml:space="preserve"> of the submission.</w:t>
      </w:r>
    </w:p>
    <w:p w14:paraId="36134760" w14:textId="1AA92C78" w:rsidR="00A20345" w:rsidRPr="002F013D" w:rsidRDefault="00A20345" w:rsidP="00A26963">
      <w:pPr>
        <w:pStyle w:val="TableFooter"/>
        <w:keepNext/>
        <w:keepLines/>
        <w:rPr>
          <w:szCs w:val="18"/>
        </w:rPr>
      </w:pPr>
      <w:r w:rsidRPr="002F013D">
        <w:rPr>
          <w:szCs w:val="18"/>
          <w:vertAlign w:val="superscript"/>
        </w:rPr>
        <w:t>1</w:t>
      </w:r>
      <w:r w:rsidRPr="002F013D">
        <w:rPr>
          <w:szCs w:val="18"/>
        </w:rPr>
        <w:t xml:space="preserve"> See </w:t>
      </w:r>
      <w:r w:rsidR="004029D0" w:rsidRPr="002F013D">
        <w:rPr>
          <w:szCs w:val="18"/>
        </w:rPr>
        <w:t>paras</w:t>
      </w:r>
      <w:r w:rsidRPr="002F013D">
        <w:rPr>
          <w:szCs w:val="18"/>
        </w:rPr>
        <w:t xml:space="preserve"> 6.1</w:t>
      </w:r>
      <w:r w:rsidR="00CB775A" w:rsidRPr="002F013D">
        <w:rPr>
          <w:szCs w:val="18"/>
        </w:rPr>
        <w:t>6</w:t>
      </w:r>
      <w:r w:rsidRPr="002F013D">
        <w:rPr>
          <w:szCs w:val="18"/>
        </w:rPr>
        <w:t xml:space="preserve"> and 6.</w:t>
      </w:r>
      <w:r w:rsidR="00BC700D" w:rsidRPr="002F013D">
        <w:rPr>
          <w:szCs w:val="18"/>
        </w:rPr>
        <w:t>1</w:t>
      </w:r>
      <w:r w:rsidR="00CB775A" w:rsidRPr="002F013D">
        <w:rPr>
          <w:szCs w:val="18"/>
        </w:rPr>
        <w:t>7</w:t>
      </w:r>
      <w:r w:rsidR="008E5203" w:rsidRPr="002F013D">
        <w:rPr>
          <w:szCs w:val="18"/>
        </w:rPr>
        <w:t xml:space="preserve"> for definitions</w:t>
      </w:r>
      <w:r w:rsidR="00994E8A" w:rsidRPr="002F013D">
        <w:rPr>
          <w:szCs w:val="18"/>
        </w:rPr>
        <w:t xml:space="preserve"> of exacerbations. </w:t>
      </w:r>
    </w:p>
    <w:p w14:paraId="3B034216" w14:textId="4459573B" w:rsidR="00994E8A" w:rsidRPr="002F013D" w:rsidRDefault="00994E8A" w:rsidP="00A26963">
      <w:pPr>
        <w:pStyle w:val="TableFooter"/>
        <w:keepNext/>
        <w:keepLines/>
        <w:rPr>
          <w:szCs w:val="18"/>
        </w:rPr>
      </w:pPr>
      <w:r w:rsidRPr="002F013D">
        <w:rPr>
          <w:szCs w:val="18"/>
          <w:vertAlign w:val="superscript"/>
        </w:rPr>
        <w:t>2</w:t>
      </w:r>
      <w:r w:rsidRPr="002F013D">
        <w:rPr>
          <w:szCs w:val="18"/>
        </w:rPr>
        <w:t xml:space="preserve"> Patients with elevated eosinophils or FeNO. </w:t>
      </w:r>
    </w:p>
    <w:p w14:paraId="17DE0E08" w14:textId="0001BAA4" w:rsidR="00994E8A" w:rsidRPr="009475AF" w:rsidRDefault="00994E8A" w:rsidP="00A26963">
      <w:pPr>
        <w:pStyle w:val="TableFooter"/>
        <w:spacing w:after="120"/>
      </w:pPr>
      <w:r w:rsidRPr="002F013D">
        <w:rPr>
          <w:szCs w:val="18"/>
          <w:vertAlign w:val="superscript"/>
        </w:rPr>
        <w:t>3</w:t>
      </w:r>
      <w:r w:rsidRPr="002F013D">
        <w:rPr>
          <w:szCs w:val="18"/>
        </w:rPr>
        <w:t xml:space="preserve"> IA-05-EU was patients treated with high-dose ICS+LABA</w:t>
      </w:r>
      <w:r w:rsidR="00BC700D" w:rsidRPr="002F013D">
        <w:rPr>
          <w:szCs w:val="18"/>
        </w:rPr>
        <w:t xml:space="preserve"> regardless of eosinophils or FeNO</w:t>
      </w:r>
      <w:r w:rsidRPr="002F013D">
        <w:rPr>
          <w:szCs w:val="18"/>
        </w:rPr>
        <w:t>; the VOYAGE subgroup compared in the ITC was patients with elevated eosinophils or FeNO and treated with high-dose ICS+ LABA.</w:t>
      </w:r>
      <w:r w:rsidRPr="009475AF">
        <w:t xml:space="preserve"> </w:t>
      </w:r>
    </w:p>
    <w:p w14:paraId="0BA2A96D" w14:textId="33D1D4D4" w:rsidR="00D37EA1" w:rsidRPr="009475AF" w:rsidRDefault="0072133A" w:rsidP="003D3BAA">
      <w:pPr>
        <w:pStyle w:val="3-BodyText"/>
        <w:rPr>
          <w:iCs/>
        </w:rPr>
      </w:pPr>
      <w:r w:rsidRPr="009475AF">
        <w:t>The submission stated that “the transitivity assumption would be unlikely to hold due to differences in participant baseline characteristics”.</w:t>
      </w:r>
      <w:r w:rsidR="003D3BAA" w:rsidRPr="009475AF">
        <w:t xml:space="preserve"> The most salient </w:t>
      </w:r>
      <w:r w:rsidR="006B56E6" w:rsidRPr="009475AF">
        <w:t xml:space="preserve">difference in baseline characteristics </w:t>
      </w:r>
      <w:r w:rsidR="003D3BAA" w:rsidRPr="009475AF">
        <w:t xml:space="preserve">may be that the number of prior severe exacerbations seems to have been higher in IA-05. </w:t>
      </w:r>
      <w:r w:rsidR="002F0F9C" w:rsidRPr="009475AF">
        <w:t xml:space="preserve">There were also differences in the definitions of exacerbations, and in the time period for </w:t>
      </w:r>
      <w:r w:rsidR="003D3BAA" w:rsidRPr="009475AF">
        <w:t>outcome evaluation</w:t>
      </w:r>
      <w:r w:rsidR="002F0F9C" w:rsidRPr="009475AF">
        <w:t>.</w:t>
      </w:r>
      <w:r w:rsidR="003D3BAA" w:rsidRPr="009475AF">
        <w:t xml:space="preserve"> </w:t>
      </w:r>
      <w:r w:rsidR="003D3BAA" w:rsidRPr="009475AF">
        <w:rPr>
          <w:iCs/>
        </w:rPr>
        <w:t xml:space="preserve">The </w:t>
      </w:r>
      <w:r w:rsidR="006B56E6" w:rsidRPr="009475AF">
        <w:rPr>
          <w:iCs/>
        </w:rPr>
        <w:t xml:space="preserve">ESC noted that the </w:t>
      </w:r>
      <w:r w:rsidR="003D3BAA" w:rsidRPr="009475AF">
        <w:rPr>
          <w:iCs/>
        </w:rPr>
        <w:t>time period is relevant because of the slower onset of action of omalizumab when IgE</w:t>
      </w:r>
      <w:r w:rsidR="002A4C44">
        <w:rPr>
          <w:iCs/>
        </w:rPr>
        <w:t> </w:t>
      </w:r>
      <w:r w:rsidR="003D3BAA" w:rsidRPr="009475AF">
        <w:rPr>
          <w:iCs/>
        </w:rPr>
        <w:t>levels are high.</w:t>
      </w:r>
      <w:r w:rsidR="002F0F9C" w:rsidRPr="009475AF">
        <w:rPr>
          <w:iCs/>
        </w:rPr>
        <w:t xml:space="preserve"> The</w:t>
      </w:r>
      <w:r w:rsidR="006B56E6" w:rsidRPr="009475AF">
        <w:rPr>
          <w:iCs/>
        </w:rPr>
        <w:t xml:space="preserve"> ESC also noted that the</w:t>
      </w:r>
      <w:r w:rsidR="002F0F9C" w:rsidRPr="009475AF">
        <w:rPr>
          <w:iCs/>
        </w:rPr>
        <w:t>re was only one outcome reported for both trials, exacerbations at 52 weeks, and for this outcome the rate of response in the placebo-treated patients was more than twice as high in IA-05</w:t>
      </w:r>
      <w:r w:rsidR="002F0F9C" w:rsidRPr="009475AF">
        <w:t xml:space="preserve"> </w:t>
      </w:r>
      <w:r w:rsidR="002F0F9C" w:rsidRPr="009475AF">
        <w:rPr>
          <w:iCs/>
        </w:rPr>
        <w:t>(</w:t>
      </w:r>
      <w:r w:rsidR="003267CC" w:rsidRPr="009475AF">
        <w:rPr>
          <w:iCs/>
        </w:rPr>
        <w:fldChar w:fldCharType="begin" w:fldLock="1"/>
      </w:r>
      <w:r w:rsidR="003267CC" w:rsidRPr="009475AF">
        <w:rPr>
          <w:iCs/>
        </w:rPr>
        <w:instrText xml:space="preserve"> REF _Ref152755199 \h  \* MERGEFORMAT </w:instrText>
      </w:r>
      <w:r w:rsidR="003267CC" w:rsidRPr="009475AF">
        <w:rPr>
          <w:iCs/>
        </w:rPr>
      </w:r>
      <w:r w:rsidR="003267CC" w:rsidRPr="009475AF">
        <w:rPr>
          <w:iCs/>
        </w:rPr>
        <w:fldChar w:fldCharType="separate"/>
      </w:r>
      <w:r w:rsidR="003267CC" w:rsidRPr="009475AF">
        <w:rPr>
          <w:iCs/>
        </w:rPr>
        <w:t>Table 4</w:t>
      </w:r>
      <w:r w:rsidR="003267CC" w:rsidRPr="009475AF">
        <w:rPr>
          <w:iCs/>
        </w:rPr>
        <w:fldChar w:fldCharType="end"/>
      </w:r>
      <w:r w:rsidR="003267CC" w:rsidRPr="009475AF">
        <w:rPr>
          <w:iCs/>
        </w:rPr>
        <w:t xml:space="preserve"> </w:t>
      </w:r>
      <w:r w:rsidR="002F0F9C" w:rsidRPr="009475AF">
        <w:rPr>
          <w:iCs/>
        </w:rPr>
        <w:t>above)</w:t>
      </w:r>
      <w:r w:rsidR="003D3BAA" w:rsidRPr="009475AF">
        <w:rPr>
          <w:iCs/>
        </w:rPr>
        <w:t>.</w:t>
      </w:r>
      <w:r w:rsidR="003D3BAA" w:rsidRPr="009475AF">
        <w:t xml:space="preserve"> </w:t>
      </w:r>
    </w:p>
    <w:p w14:paraId="339B05DC" w14:textId="58D35BE1" w:rsidR="00103A8B" w:rsidRPr="009475AF" w:rsidRDefault="00D8686E" w:rsidP="00033D7D">
      <w:pPr>
        <w:pStyle w:val="3-BodyText"/>
      </w:pPr>
      <w:r w:rsidRPr="009475AF">
        <w:t>The nominated non-inferiority margin was an upper bound of the 95% CI for the risk ratio for exacerbations of 1.28. This margin was used in the submission for benralizumab in severe asthma considered by PBAC in March 2018</w:t>
      </w:r>
      <w:r w:rsidR="00103A8B" w:rsidRPr="009475AF">
        <w:t>, in which a claim of non-inferiority to omalizumab was made</w:t>
      </w:r>
      <w:r w:rsidRPr="009475AF">
        <w:t>. The basis for this non-inferiority margin was that the EXTRA trial, in which the efficacy of omalizumab in adolescent and adult patients w</w:t>
      </w:r>
      <w:r w:rsidR="00607B43" w:rsidRPr="009475AF">
        <w:t>a</w:t>
      </w:r>
      <w:r w:rsidRPr="009475AF">
        <w:t>s studied, was powered to detect a 2</w:t>
      </w:r>
      <w:r w:rsidR="00033D7D" w:rsidRPr="009475AF">
        <w:t>8</w:t>
      </w:r>
      <w:r w:rsidRPr="009475AF">
        <w:t>% reduction in exacerbations.</w:t>
      </w:r>
      <w:r w:rsidR="00033D7D" w:rsidRPr="009475AF">
        <w:t xml:space="preserve"> The PBAC noted that “the non-inferiority margin chosen by the submission was poorly justified […]. The PBAC Guidelines (Version 5.0) state that a submission should </w:t>
      </w:r>
      <w:r w:rsidR="003C31A2" w:rsidRPr="009475AF">
        <w:t>‘j</w:t>
      </w:r>
      <w:r w:rsidR="00033D7D" w:rsidRPr="009475AF">
        <w:t>ustify the approach taken to establish the non-inferiority margin, noting that a statistical approach by itself is inadequate</w:t>
      </w:r>
      <w:r w:rsidR="003C31A2" w:rsidRPr="009475AF">
        <w:t>’</w:t>
      </w:r>
      <w:r w:rsidR="00033D7D" w:rsidRPr="009475AF">
        <w:t xml:space="preserve"> (page 39) […] it was unclear whether a 28% difference in clinically significant exacerbations represents the smallest clinically meaningful difference given the seriousness of exacerbations” (</w:t>
      </w:r>
      <w:r w:rsidR="00D44B9E" w:rsidRPr="009475AF">
        <w:t>para 6.14, b</w:t>
      </w:r>
      <w:r w:rsidR="00033D7D" w:rsidRPr="009475AF">
        <w:t xml:space="preserve">enralizumab PSD, March 2018 PBAC Meeting). </w:t>
      </w:r>
    </w:p>
    <w:p w14:paraId="4009783F" w14:textId="3F78A2AD" w:rsidR="00103A8B" w:rsidRPr="009475AF" w:rsidRDefault="00C31DE1" w:rsidP="00103A8B">
      <w:pPr>
        <w:pStyle w:val="3-BodyText"/>
      </w:pPr>
      <w:r w:rsidRPr="009475AF">
        <w:t>However, b</w:t>
      </w:r>
      <w:r w:rsidR="00103A8B" w:rsidRPr="009475AF">
        <w:t>enralizumab did not meet the specified non-inferiority margin</w:t>
      </w:r>
      <w:r w:rsidR="001A6C56" w:rsidRPr="009475AF">
        <w:t xml:space="preserve"> of 1.28</w:t>
      </w:r>
      <w:r w:rsidR="00103A8B" w:rsidRPr="009475AF">
        <w:t xml:space="preserve">, so the PBAC was not required to answer the question of whether a narrower margin would </w:t>
      </w:r>
      <w:r w:rsidRPr="009475AF">
        <w:t xml:space="preserve">have </w:t>
      </w:r>
      <w:r w:rsidR="00103A8B" w:rsidRPr="009475AF">
        <w:t>be</w:t>
      </w:r>
      <w:r w:rsidRPr="009475AF">
        <w:t>en more</w:t>
      </w:r>
      <w:r w:rsidR="00103A8B" w:rsidRPr="009475AF">
        <w:t xml:space="preserve"> appropriate. The claim in the submission that adopting the 1.28 non-inferiority margin was appropriate “to permit consistency of decision making across the asthma biologics” is, therefore, invalid. </w:t>
      </w:r>
    </w:p>
    <w:p w14:paraId="6AD7828E" w14:textId="21902A2C" w:rsidR="00D37EA1" w:rsidRPr="009475AF" w:rsidRDefault="00103A8B" w:rsidP="00C31DE1">
      <w:pPr>
        <w:pStyle w:val="3-BodyText"/>
      </w:pPr>
      <w:r w:rsidRPr="009475AF">
        <w:lastRenderedPageBreak/>
        <w:t>In the VOYAGE</w:t>
      </w:r>
      <w:r w:rsidR="00D02358" w:rsidRPr="009475AF">
        <w:t xml:space="preserve"> trial,</w:t>
      </w:r>
      <w:r w:rsidRPr="009475AF">
        <w:t xml:space="preserve"> </w:t>
      </w:r>
      <w:r w:rsidR="00D02358" w:rsidRPr="009475AF">
        <w:t xml:space="preserve">about 30% of </w:t>
      </w:r>
      <w:r w:rsidRPr="009475AF">
        <w:t xml:space="preserve">patients treated with </w:t>
      </w:r>
      <w:r w:rsidR="00D02358" w:rsidRPr="009475AF">
        <w:t>dupilumab had a severe exacerbation over one year</w:t>
      </w:r>
      <w:r w:rsidR="009475AF">
        <w:t xml:space="preserve">. </w:t>
      </w:r>
      <w:r w:rsidRPr="009475AF">
        <w:t xml:space="preserve"> </w:t>
      </w:r>
      <w:r w:rsidR="00D02358" w:rsidRPr="009475AF">
        <w:t xml:space="preserve">A 28% difference in efficacy would correspond to about </w:t>
      </w:r>
      <w:r w:rsidR="001A6C56" w:rsidRPr="009475AF">
        <w:t>8</w:t>
      </w:r>
      <w:r w:rsidR="00D02358" w:rsidRPr="009475AF">
        <w:t xml:space="preserve"> extra exacerbations per 100 patients treated for one year. The view expressed by the PBAC in its consideration of benralizumab, that a difference of this order may reasonably be considered clinically significant, could equally well apply to dupilumab</w:t>
      </w:r>
      <w:r w:rsidR="009475AF">
        <w:t xml:space="preserve">. </w:t>
      </w:r>
    </w:p>
    <w:p w14:paraId="15E4C6D2" w14:textId="65F695B6" w:rsidR="00D14AE0" w:rsidRPr="009475AF" w:rsidRDefault="00A84BA0" w:rsidP="007C4C22">
      <w:pPr>
        <w:pStyle w:val="3-BodyText"/>
      </w:pPr>
      <w:r w:rsidRPr="009475AF">
        <w:t xml:space="preserve">The ITCs </w:t>
      </w:r>
      <w:r w:rsidR="004914AD" w:rsidRPr="009475AF">
        <w:t>were not directly relevant to the clinical claims made in the submission</w:t>
      </w:r>
      <w:r w:rsidR="008D2297" w:rsidRPr="009475AF">
        <w:t>. ITC1 considered</w:t>
      </w:r>
      <w:r w:rsidR="0092126A" w:rsidRPr="009475AF">
        <w:t xml:space="preserve"> </w:t>
      </w:r>
      <w:r w:rsidR="008D2297" w:rsidRPr="009475AF">
        <w:t>IA-05 patients</w:t>
      </w:r>
      <w:r w:rsidR="0092126A" w:rsidRPr="009475AF">
        <w:t xml:space="preserve"> versus the “omalizumab-</w:t>
      </w:r>
      <w:r w:rsidR="008D2297" w:rsidRPr="009475AF">
        <w:t>like with</w:t>
      </w:r>
      <w:r w:rsidR="0092126A" w:rsidRPr="009475AF">
        <w:t xml:space="preserve"> Type 2 inflammation population”</w:t>
      </w:r>
      <w:r w:rsidR="002B344E" w:rsidRPr="009475AF">
        <w:t xml:space="preserve"> from VOYAGE</w:t>
      </w:r>
      <w:r w:rsidR="0092126A" w:rsidRPr="009475AF">
        <w:t xml:space="preserve"> (</w:t>
      </w:r>
      <w:r w:rsidR="00BE2BF5" w:rsidRPr="009475AF">
        <w:t>i.e.</w:t>
      </w:r>
      <w:r w:rsidR="0092126A" w:rsidRPr="009475AF">
        <w:t xml:space="preserve">, eosinophils </w:t>
      </w:r>
      <w:r w:rsidR="0092126A" w:rsidRPr="009475AF">
        <w:sym w:font="Symbol" w:char="F0B3"/>
      </w:r>
      <w:r w:rsidR="0092126A" w:rsidRPr="009475AF">
        <w:t xml:space="preserve"> 0.15 x 10</w:t>
      </w:r>
      <w:r w:rsidR="0092126A" w:rsidRPr="009475AF">
        <w:rPr>
          <w:vertAlign w:val="superscript"/>
        </w:rPr>
        <w:t>9</w:t>
      </w:r>
      <w:r w:rsidR="0092126A" w:rsidRPr="009475AF">
        <w:t xml:space="preserve">/L or FeNO </w:t>
      </w:r>
      <w:r w:rsidR="0092126A" w:rsidRPr="009475AF">
        <w:sym w:font="Symbol" w:char="F0B3"/>
      </w:r>
      <w:r w:rsidR="0092126A" w:rsidRPr="009475AF">
        <w:t xml:space="preserve"> 20 ppb</w:t>
      </w:r>
      <w:r w:rsidR="004914AD" w:rsidRPr="009475AF">
        <w:t>; patients with total serum IgE &lt; 30 IU/mL do not seem to have been excluded, although they would be ineligible for omalizumab</w:t>
      </w:r>
      <w:r w:rsidR="002B344E" w:rsidRPr="009475AF">
        <w:t>, but since there were only seven such patients the effect on the results would probably be minor</w:t>
      </w:r>
      <w:r w:rsidR="0092126A" w:rsidRPr="009475AF">
        <w:t>).</w:t>
      </w:r>
      <w:r w:rsidR="008D2297" w:rsidRPr="009475AF">
        <w:t xml:space="preserve"> ITC2 considered the IA-05-EU population versus “omalizumab-like with Type 2 inflammation population </w:t>
      </w:r>
      <w:r w:rsidR="00D14AE0" w:rsidRPr="009475AF">
        <w:t>taking high-dose ICS</w:t>
      </w:r>
      <w:r w:rsidR="00F52CBD" w:rsidRPr="009475AF">
        <w:t>”</w:t>
      </w:r>
      <w:r w:rsidR="004914AD" w:rsidRPr="009475AF">
        <w:t xml:space="preserve"> (although, again, patients with IgE &lt; 30 IU/mL do not seem to have been excluded)</w:t>
      </w:r>
      <w:r w:rsidR="00D14AE0" w:rsidRPr="009475AF">
        <w:t xml:space="preserve">. This limitation of </w:t>
      </w:r>
      <w:r w:rsidRPr="009475AF">
        <w:t xml:space="preserve">the VOYAGE </w:t>
      </w:r>
      <w:r w:rsidR="00D14AE0" w:rsidRPr="009475AF">
        <w:t xml:space="preserve">population </w:t>
      </w:r>
      <w:r w:rsidR="004914AD" w:rsidRPr="009475AF">
        <w:t xml:space="preserve">markedly </w:t>
      </w:r>
      <w:r w:rsidR="00D14AE0" w:rsidRPr="009475AF">
        <w:t xml:space="preserve">reduced the number of patients included in the ITCs: </w:t>
      </w:r>
      <w:r w:rsidR="00767D22" w:rsidRPr="009475AF">
        <w:t xml:space="preserve">of 408 patients randomised in VOYAGE, </w:t>
      </w:r>
      <w:r w:rsidR="00D14AE0" w:rsidRPr="009475AF">
        <w:t>ITC</w:t>
      </w:r>
      <w:r w:rsidR="00F52CBD" w:rsidRPr="009475AF">
        <w:t>1</w:t>
      </w:r>
      <w:r w:rsidR="00D14AE0" w:rsidRPr="009475AF">
        <w:t xml:space="preserve"> included 182 (44.6%) and ITC2 included 80 patients (19.6%). </w:t>
      </w:r>
    </w:p>
    <w:p w14:paraId="0A2C905D" w14:textId="54A2F10A" w:rsidR="004914AD" w:rsidRPr="009475AF" w:rsidRDefault="00D14AE0" w:rsidP="007C4C22">
      <w:pPr>
        <w:pStyle w:val="3-BodyText"/>
      </w:pPr>
      <w:r w:rsidRPr="009475AF">
        <w:t xml:space="preserve">PBS restrictions </w:t>
      </w:r>
      <w:r w:rsidR="00792874" w:rsidRPr="009475AF">
        <w:t>for omalizumab do not require</w:t>
      </w:r>
      <w:r w:rsidR="008D2297" w:rsidRPr="009475AF">
        <w:t xml:space="preserve"> elevated</w:t>
      </w:r>
      <w:r w:rsidR="00792874" w:rsidRPr="009475AF">
        <w:t xml:space="preserve"> eosinophils or FeNO</w:t>
      </w:r>
      <w:r w:rsidR="00F52CBD" w:rsidRPr="009475AF">
        <w:t xml:space="preserve">, and it </w:t>
      </w:r>
      <w:r w:rsidR="00182164" w:rsidRPr="009475AF">
        <w:t>was</w:t>
      </w:r>
      <w:r w:rsidR="00F52CBD" w:rsidRPr="009475AF">
        <w:t xml:space="preserve"> not proposed </w:t>
      </w:r>
      <w:r w:rsidR="002A307B" w:rsidRPr="009475AF">
        <w:t xml:space="preserve">by the sponsor </w:t>
      </w:r>
      <w:r w:rsidR="00F52CBD" w:rsidRPr="009475AF">
        <w:t xml:space="preserve">that elevated eosinophils or elevated FeNO should be additional </w:t>
      </w:r>
      <w:r w:rsidR="004914AD" w:rsidRPr="009475AF">
        <w:t xml:space="preserve">PBS-eligibility </w:t>
      </w:r>
      <w:r w:rsidR="00F52CBD" w:rsidRPr="009475AF">
        <w:t>requirements</w:t>
      </w:r>
      <w:r w:rsidR="004F5D2C" w:rsidRPr="009475AF">
        <w:t xml:space="preserve"> in patients with total serum IgE </w:t>
      </w:r>
      <w:r w:rsidR="00A26963" w:rsidRPr="009475AF">
        <w:sym w:font="Symbol" w:char="F0B3"/>
      </w:r>
      <w:r w:rsidR="00A26963">
        <w:t> </w:t>
      </w:r>
      <w:r w:rsidR="004F5D2C" w:rsidRPr="009475AF">
        <w:t>30</w:t>
      </w:r>
      <w:r w:rsidR="00A26963">
        <w:t> </w:t>
      </w:r>
      <w:r w:rsidR="004F5D2C" w:rsidRPr="009475AF">
        <w:t>IU/mL</w:t>
      </w:r>
      <w:r w:rsidR="00F52CBD" w:rsidRPr="009475AF">
        <w:t>.</w:t>
      </w:r>
      <w:r w:rsidRPr="009475AF">
        <w:t xml:space="preserve"> </w:t>
      </w:r>
      <w:r w:rsidR="004914AD" w:rsidRPr="009475AF">
        <w:t xml:space="preserve">For this reason, excluding patients who did not have elevated eosinophils or elevated FeNO </w:t>
      </w:r>
      <w:r w:rsidR="00590164" w:rsidRPr="009475AF">
        <w:t xml:space="preserve">from the ITC </w:t>
      </w:r>
      <w:r w:rsidR="00765A19" w:rsidRPr="009475AF">
        <w:t>wa</w:t>
      </w:r>
      <w:r w:rsidR="004914AD" w:rsidRPr="009475AF">
        <w:t>s unjustified</w:t>
      </w:r>
      <w:r w:rsidR="009475AF">
        <w:t xml:space="preserve">. </w:t>
      </w:r>
    </w:p>
    <w:p w14:paraId="6C6FF77E" w14:textId="0F0272FA" w:rsidR="0091174C" w:rsidRPr="009475AF" w:rsidRDefault="00F52CBD" w:rsidP="007C4C22">
      <w:pPr>
        <w:pStyle w:val="3-BodyText"/>
      </w:pPr>
      <w:r w:rsidRPr="009475AF">
        <w:t xml:space="preserve">The results shown in Table </w:t>
      </w:r>
      <w:r w:rsidR="00BC700D" w:rsidRPr="009475AF">
        <w:t>5</w:t>
      </w:r>
      <w:r w:rsidRPr="009475AF">
        <w:t xml:space="preserve"> above suggest that</w:t>
      </w:r>
      <w:r w:rsidR="002B344E" w:rsidRPr="009475AF">
        <w:t xml:space="preserve"> the benefit of dupilumab was less in</w:t>
      </w:r>
      <w:r w:rsidRPr="009475AF">
        <w:t xml:space="preserve"> patients who did not have elevated eosinophils</w:t>
      </w:r>
      <w:r w:rsidR="002B344E" w:rsidRPr="009475AF">
        <w:t>, and that dupilumab was ineffective in patients wit</w:t>
      </w:r>
      <w:r w:rsidR="0091174C" w:rsidRPr="009475AF">
        <w:t xml:space="preserve">h neither </w:t>
      </w:r>
      <w:r w:rsidR="002B344E" w:rsidRPr="009475AF">
        <w:t>elevated eosinophils</w:t>
      </w:r>
      <w:r w:rsidRPr="009475AF">
        <w:t xml:space="preserve"> </w:t>
      </w:r>
      <w:r w:rsidR="0091174C" w:rsidRPr="009475AF">
        <w:t>n</w:t>
      </w:r>
      <w:r w:rsidRPr="009475AF">
        <w:t>or elevated FeNO</w:t>
      </w:r>
      <w:r w:rsidR="002B344E" w:rsidRPr="009475AF">
        <w:t>.</w:t>
      </w:r>
      <w:r w:rsidR="0091174C" w:rsidRPr="009475AF">
        <w:t xml:space="preserve"> Excluding these patients </w:t>
      </w:r>
      <w:r w:rsidR="00590164" w:rsidRPr="009475AF">
        <w:t xml:space="preserve">from the ITC </w:t>
      </w:r>
      <w:r w:rsidR="0091174C" w:rsidRPr="009475AF">
        <w:t>increase</w:t>
      </w:r>
      <w:r w:rsidR="00BC700D" w:rsidRPr="009475AF">
        <w:t>d</w:t>
      </w:r>
      <w:r w:rsidR="0091174C" w:rsidRPr="009475AF">
        <w:t xml:space="preserve"> the estimated effect size for dupilumab.</w:t>
      </w:r>
      <w:r w:rsidR="002B344E" w:rsidRPr="009475AF">
        <w:t xml:space="preserve"> </w:t>
      </w:r>
    </w:p>
    <w:p w14:paraId="4A94E113" w14:textId="76A9755C" w:rsidR="0024520A" w:rsidRPr="009475AF" w:rsidRDefault="0091174C" w:rsidP="007C4C22">
      <w:pPr>
        <w:pStyle w:val="3-BodyText"/>
      </w:pPr>
      <w:r w:rsidRPr="009475AF">
        <w:t>It is unknown whether</w:t>
      </w:r>
      <w:r w:rsidR="002B344E" w:rsidRPr="009475AF">
        <w:t xml:space="preserve"> there were patients with neither elevated eosinophils nor elevated FeNO in IA-05,</w:t>
      </w:r>
      <w:r w:rsidRPr="009475AF">
        <w:t xml:space="preserve"> although it is likely that there were, and the efficacy of omalizumab in these patients is unknown. C</w:t>
      </w:r>
      <w:r w:rsidR="002B344E" w:rsidRPr="009475AF">
        <w:t>omparing the ITT population from IA-05 with the Type 2 inflammatory population from</w:t>
      </w:r>
      <w:r w:rsidRPr="009475AF">
        <w:t xml:space="preserve"> VOYAGE</w:t>
      </w:r>
      <w:r w:rsidR="002B344E" w:rsidRPr="009475AF">
        <w:t xml:space="preserve"> </w:t>
      </w:r>
      <w:r w:rsidRPr="009475AF">
        <w:t>was not appropriate</w:t>
      </w:r>
      <w:r w:rsidR="009475AF">
        <w:t xml:space="preserve">. </w:t>
      </w:r>
    </w:p>
    <w:p w14:paraId="74335922" w14:textId="1D9899E0" w:rsidR="004914AD" w:rsidRPr="009475AF" w:rsidRDefault="0091174C" w:rsidP="007C4C22">
      <w:pPr>
        <w:pStyle w:val="3-BodyText"/>
      </w:pPr>
      <w:r w:rsidRPr="009475AF">
        <w:t>The ITCs presented would not be relevant to</w:t>
      </w:r>
      <w:r w:rsidR="004914AD" w:rsidRPr="009475AF">
        <w:t xml:space="preserve"> a restriction based on the VOYAGE results (</w:t>
      </w:r>
      <w:r w:rsidR="00A20345" w:rsidRPr="009475AF">
        <w:t xml:space="preserve">total serum IgE </w:t>
      </w:r>
      <w:r w:rsidR="00A20345" w:rsidRPr="009475AF">
        <w:sym w:font="Symbol" w:char="F0B3"/>
      </w:r>
      <w:r w:rsidR="00A20345" w:rsidRPr="009475AF">
        <w:t xml:space="preserve"> 30 IU/mL </w:t>
      </w:r>
      <w:r w:rsidR="00A20345" w:rsidRPr="00FE6558">
        <w:rPr>
          <w:u w:val="single"/>
        </w:rPr>
        <w:t>and either</w:t>
      </w:r>
      <w:r w:rsidR="00A20345" w:rsidRPr="009475AF">
        <w:t xml:space="preserve"> eosinophils </w:t>
      </w:r>
      <w:r w:rsidR="00A20345" w:rsidRPr="009475AF">
        <w:sym w:font="Symbol" w:char="F0B3"/>
      </w:r>
      <w:r w:rsidR="00A20345" w:rsidRPr="009475AF">
        <w:t xml:space="preserve"> 0.15 x 10</w:t>
      </w:r>
      <w:r w:rsidR="00A20345" w:rsidRPr="009475AF">
        <w:rPr>
          <w:vertAlign w:val="superscript"/>
        </w:rPr>
        <w:t>9</w:t>
      </w:r>
      <w:r w:rsidR="00A20345" w:rsidRPr="009475AF">
        <w:t xml:space="preserve">/L </w:t>
      </w:r>
      <w:r w:rsidR="00A20345" w:rsidRPr="009475AF">
        <w:rPr>
          <w:u w:val="single"/>
        </w:rPr>
        <w:t>or</w:t>
      </w:r>
      <w:r w:rsidR="00A20345" w:rsidRPr="009475AF">
        <w:t xml:space="preserve"> FeNO </w:t>
      </w:r>
      <w:r w:rsidR="00A20345" w:rsidRPr="009475AF">
        <w:sym w:font="Symbol" w:char="F0B3"/>
      </w:r>
      <w:r w:rsidR="00A26963">
        <w:t> </w:t>
      </w:r>
      <w:r w:rsidR="00A20345" w:rsidRPr="009475AF">
        <w:t>20</w:t>
      </w:r>
      <w:r w:rsidR="00A26963">
        <w:t> </w:t>
      </w:r>
      <w:r w:rsidR="00A20345" w:rsidRPr="009475AF">
        <w:t xml:space="preserve">ppb) </w:t>
      </w:r>
      <w:r w:rsidR="002B344E" w:rsidRPr="009475AF">
        <w:t>because patients meeting that criteria were not identified in in IA-05</w:t>
      </w:r>
      <w:r w:rsidR="009475AF">
        <w:t xml:space="preserve">. </w:t>
      </w:r>
    </w:p>
    <w:p w14:paraId="2DAF16D1" w14:textId="5D2EE3FA" w:rsidR="00B60939" w:rsidRPr="009475AF" w:rsidRDefault="00B60939" w:rsidP="002A307B">
      <w:pPr>
        <w:pStyle w:val="4-SubsectionHeading"/>
      </w:pPr>
      <w:bookmarkStart w:id="28" w:name="_Toc22897642"/>
      <w:bookmarkStart w:id="29" w:name="_Toc156912918"/>
      <w:r w:rsidRPr="009475AF">
        <w:t>Comparative harms</w:t>
      </w:r>
      <w:bookmarkEnd w:id="28"/>
      <w:bookmarkEnd w:id="29"/>
    </w:p>
    <w:p w14:paraId="291E63A2" w14:textId="51EFAB76" w:rsidR="004029D0" w:rsidRPr="009475AF" w:rsidRDefault="004029D0" w:rsidP="003E2A8F">
      <w:pPr>
        <w:pStyle w:val="3-BodyText"/>
      </w:pPr>
      <w:r w:rsidRPr="009475AF">
        <w:t>Adverse events were common in both trials, but serious adverse events and adverse events requiring discontinuation of study treatment were infrequent. A summary of adverse events is shown in</w:t>
      </w:r>
      <w:r w:rsidR="00217053" w:rsidRPr="009475AF">
        <w:t xml:space="preserve"> </w:t>
      </w:r>
      <w:r w:rsidR="00217053" w:rsidRPr="009475AF">
        <w:fldChar w:fldCharType="begin" w:fldLock="1"/>
      </w:r>
      <w:r w:rsidR="00217053" w:rsidRPr="009475AF">
        <w:instrText xml:space="preserve"> REF _Ref152755354 \h </w:instrText>
      </w:r>
      <w:r w:rsidR="00217053" w:rsidRPr="009475AF">
        <w:fldChar w:fldCharType="separate"/>
      </w:r>
      <w:r w:rsidR="00217053" w:rsidRPr="009475AF">
        <w:t>Table 7</w:t>
      </w:r>
      <w:r w:rsidR="00217053" w:rsidRPr="009475AF">
        <w:fldChar w:fldCharType="end"/>
      </w:r>
      <w:r w:rsidRPr="009475AF">
        <w:t xml:space="preserve">. </w:t>
      </w:r>
    </w:p>
    <w:p w14:paraId="310B2246" w14:textId="6D0B53B9" w:rsidR="00B60939" w:rsidRPr="009475AF" w:rsidRDefault="00D6076E" w:rsidP="00D6076E">
      <w:pPr>
        <w:pStyle w:val="TableFigureHeading"/>
        <w:rPr>
          <w:rStyle w:val="CommentReference"/>
          <w:b/>
          <w:szCs w:val="24"/>
        </w:rPr>
      </w:pPr>
      <w:bookmarkStart w:id="30" w:name="_Ref152755354"/>
      <w:r w:rsidRPr="009475AF">
        <w:lastRenderedPageBreak/>
        <w:t xml:space="preserve">Table </w:t>
      </w:r>
      <w:r w:rsidR="00696736">
        <w:fldChar w:fldCharType="begin" w:fldLock="1"/>
      </w:r>
      <w:r w:rsidR="00696736">
        <w:instrText xml:space="preserve"> SEQ Table \* ARABIC </w:instrText>
      </w:r>
      <w:r w:rsidR="00696736">
        <w:fldChar w:fldCharType="separate"/>
      </w:r>
      <w:r w:rsidR="00F866CD" w:rsidRPr="009475AF">
        <w:t>7</w:t>
      </w:r>
      <w:r w:rsidR="00696736">
        <w:fldChar w:fldCharType="end"/>
      </w:r>
      <w:bookmarkEnd w:id="30"/>
      <w:r w:rsidRPr="009475AF">
        <w:t xml:space="preserve">: </w:t>
      </w:r>
      <w:r w:rsidR="005D26B4" w:rsidRPr="009475AF">
        <w:rPr>
          <w:rStyle w:val="CommentReference"/>
          <w:b/>
          <w:szCs w:val="24"/>
        </w:rPr>
        <w:t>Summary of adverse events in the trials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adverse events in the trials"/>
      </w:tblPr>
      <w:tblGrid>
        <w:gridCol w:w="3113"/>
        <w:gridCol w:w="1560"/>
        <w:gridCol w:w="1418"/>
        <w:gridCol w:w="1418"/>
        <w:gridCol w:w="1418"/>
      </w:tblGrid>
      <w:tr w:rsidR="004D41C8" w:rsidRPr="009475AF" w14:paraId="52879F1E" w14:textId="77777777" w:rsidTr="004D41C8">
        <w:trPr>
          <w:cantSplit/>
          <w:tblHeader/>
        </w:trPr>
        <w:tc>
          <w:tcPr>
            <w:tcW w:w="1744" w:type="pct"/>
            <w:vAlign w:val="center"/>
          </w:tcPr>
          <w:p w14:paraId="64ACEEA3" w14:textId="77777777" w:rsidR="004D41C8" w:rsidRPr="009475AF" w:rsidRDefault="004D41C8" w:rsidP="00D86231">
            <w:pPr>
              <w:pStyle w:val="In-tableHeading"/>
              <w:rPr>
                <w:lang w:val="en-AU"/>
              </w:rPr>
            </w:pPr>
          </w:p>
        </w:tc>
        <w:tc>
          <w:tcPr>
            <w:tcW w:w="1668" w:type="pct"/>
            <w:gridSpan w:val="2"/>
            <w:vAlign w:val="center"/>
          </w:tcPr>
          <w:p w14:paraId="4B837E08" w14:textId="7462E4E5" w:rsidR="004D41C8" w:rsidRPr="009475AF" w:rsidRDefault="004D41C8" w:rsidP="00D86231">
            <w:pPr>
              <w:pStyle w:val="In-tableHeading"/>
              <w:jc w:val="center"/>
              <w:rPr>
                <w:lang w:val="en-AU"/>
              </w:rPr>
            </w:pPr>
            <w:r w:rsidRPr="009475AF">
              <w:rPr>
                <w:lang w:val="en-AU"/>
              </w:rPr>
              <w:t>VOYAGE</w:t>
            </w:r>
          </w:p>
        </w:tc>
        <w:tc>
          <w:tcPr>
            <w:tcW w:w="1588" w:type="pct"/>
            <w:gridSpan w:val="2"/>
          </w:tcPr>
          <w:p w14:paraId="64F97EF0" w14:textId="714909AC" w:rsidR="004D41C8" w:rsidRPr="009475AF" w:rsidRDefault="004D41C8" w:rsidP="00D86231">
            <w:pPr>
              <w:pStyle w:val="In-tableHeading"/>
              <w:jc w:val="center"/>
              <w:rPr>
                <w:lang w:val="en-AU"/>
              </w:rPr>
            </w:pPr>
            <w:r w:rsidRPr="009475AF">
              <w:rPr>
                <w:lang w:val="en-AU"/>
              </w:rPr>
              <w:t>IA-05</w:t>
            </w:r>
          </w:p>
        </w:tc>
      </w:tr>
      <w:tr w:rsidR="004D41C8" w:rsidRPr="009475AF" w14:paraId="3ADA51C0" w14:textId="37E9F653" w:rsidTr="004D41C8">
        <w:trPr>
          <w:cantSplit/>
          <w:tblHeader/>
        </w:trPr>
        <w:tc>
          <w:tcPr>
            <w:tcW w:w="1744" w:type="pct"/>
            <w:vAlign w:val="center"/>
          </w:tcPr>
          <w:p w14:paraId="21B479AB" w14:textId="0CCC532C" w:rsidR="004D41C8" w:rsidRPr="009475AF" w:rsidRDefault="004D41C8" w:rsidP="00D86231">
            <w:pPr>
              <w:pStyle w:val="In-tableHeading"/>
              <w:rPr>
                <w:lang w:val="en-AU"/>
              </w:rPr>
            </w:pPr>
          </w:p>
        </w:tc>
        <w:tc>
          <w:tcPr>
            <w:tcW w:w="874" w:type="pct"/>
            <w:vAlign w:val="center"/>
          </w:tcPr>
          <w:p w14:paraId="23AC57BC" w14:textId="519D4C5C" w:rsidR="004D41C8" w:rsidRPr="009475AF" w:rsidRDefault="004D41C8" w:rsidP="00D86231">
            <w:pPr>
              <w:pStyle w:val="In-tableHeading"/>
              <w:jc w:val="center"/>
              <w:rPr>
                <w:lang w:val="en-AU"/>
              </w:rPr>
            </w:pPr>
            <w:r w:rsidRPr="009475AF">
              <w:rPr>
                <w:lang w:val="en-AU"/>
              </w:rPr>
              <w:t>Dupilumab</w:t>
            </w:r>
          </w:p>
          <w:p w14:paraId="25AE8D22" w14:textId="0044AD9D" w:rsidR="004D41C8" w:rsidRPr="009475AF" w:rsidRDefault="004D41C8" w:rsidP="00D86231">
            <w:pPr>
              <w:pStyle w:val="In-tableHeading"/>
              <w:jc w:val="center"/>
              <w:rPr>
                <w:lang w:val="en-AU"/>
              </w:rPr>
            </w:pPr>
            <w:r w:rsidRPr="009475AF">
              <w:rPr>
                <w:lang w:val="en-AU"/>
              </w:rPr>
              <w:t>N = 271</w:t>
            </w:r>
          </w:p>
        </w:tc>
        <w:tc>
          <w:tcPr>
            <w:tcW w:w="794" w:type="pct"/>
            <w:vAlign w:val="center"/>
          </w:tcPr>
          <w:p w14:paraId="3E3BD07C" w14:textId="77777777" w:rsidR="004D41C8" w:rsidRPr="009475AF" w:rsidRDefault="004D41C8" w:rsidP="00D86231">
            <w:pPr>
              <w:pStyle w:val="In-tableHeading"/>
              <w:jc w:val="center"/>
              <w:rPr>
                <w:lang w:val="en-AU"/>
              </w:rPr>
            </w:pPr>
            <w:r w:rsidRPr="009475AF">
              <w:rPr>
                <w:lang w:val="en-AU"/>
              </w:rPr>
              <w:t>Placebo</w:t>
            </w:r>
          </w:p>
          <w:p w14:paraId="3D94778C" w14:textId="27796AA0" w:rsidR="004D41C8" w:rsidRPr="009475AF" w:rsidRDefault="004D41C8" w:rsidP="00D86231">
            <w:pPr>
              <w:pStyle w:val="In-tableHeading"/>
              <w:jc w:val="center"/>
              <w:rPr>
                <w:lang w:val="en-AU"/>
              </w:rPr>
            </w:pPr>
            <w:r w:rsidRPr="009475AF">
              <w:rPr>
                <w:lang w:val="en-AU"/>
              </w:rPr>
              <w:t>N = 135</w:t>
            </w:r>
          </w:p>
        </w:tc>
        <w:tc>
          <w:tcPr>
            <w:tcW w:w="794" w:type="pct"/>
          </w:tcPr>
          <w:p w14:paraId="470A605F" w14:textId="77777777" w:rsidR="004D41C8" w:rsidRPr="009475AF" w:rsidRDefault="004D41C8" w:rsidP="00D86231">
            <w:pPr>
              <w:pStyle w:val="In-tableHeading"/>
              <w:jc w:val="center"/>
              <w:rPr>
                <w:lang w:val="en-AU"/>
              </w:rPr>
            </w:pPr>
            <w:r w:rsidRPr="009475AF">
              <w:rPr>
                <w:lang w:val="en-AU"/>
              </w:rPr>
              <w:t>Omalizumab</w:t>
            </w:r>
          </w:p>
          <w:p w14:paraId="2491F97C" w14:textId="438AE1E0" w:rsidR="004D41C8" w:rsidRPr="009475AF" w:rsidRDefault="004D41C8" w:rsidP="00D86231">
            <w:pPr>
              <w:pStyle w:val="In-tableHeading"/>
              <w:jc w:val="center"/>
              <w:rPr>
                <w:lang w:val="en-AU"/>
              </w:rPr>
            </w:pPr>
            <w:r w:rsidRPr="009475AF">
              <w:rPr>
                <w:lang w:val="en-AU"/>
              </w:rPr>
              <w:t>N = 421</w:t>
            </w:r>
          </w:p>
        </w:tc>
        <w:tc>
          <w:tcPr>
            <w:tcW w:w="794" w:type="pct"/>
          </w:tcPr>
          <w:p w14:paraId="06EC00AE" w14:textId="77777777" w:rsidR="004D41C8" w:rsidRPr="009475AF" w:rsidRDefault="004D41C8" w:rsidP="00D86231">
            <w:pPr>
              <w:pStyle w:val="In-tableHeading"/>
              <w:jc w:val="center"/>
              <w:rPr>
                <w:lang w:val="en-AU"/>
              </w:rPr>
            </w:pPr>
            <w:r w:rsidRPr="009475AF">
              <w:rPr>
                <w:lang w:val="en-AU"/>
              </w:rPr>
              <w:t>Placebo</w:t>
            </w:r>
          </w:p>
          <w:p w14:paraId="259B8F58" w14:textId="3E7346BD" w:rsidR="004D41C8" w:rsidRPr="009475AF" w:rsidRDefault="004D41C8" w:rsidP="00D86231">
            <w:pPr>
              <w:pStyle w:val="In-tableHeading"/>
              <w:jc w:val="center"/>
              <w:rPr>
                <w:lang w:val="en-AU"/>
              </w:rPr>
            </w:pPr>
            <w:r w:rsidRPr="009475AF">
              <w:rPr>
                <w:lang w:val="en-AU"/>
              </w:rPr>
              <w:t>N = 207</w:t>
            </w:r>
          </w:p>
        </w:tc>
      </w:tr>
      <w:tr w:rsidR="004D41C8" w:rsidRPr="009475AF" w14:paraId="222746FA" w14:textId="5BD6D77E" w:rsidTr="004D41C8">
        <w:trPr>
          <w:cantSplit/>
        </w:trPr>
        <w:tc>
          <w:tcPr>
            <w:tcW w:w="1744" w:type="pct"/>
            <w:vAlign w:val="center"/>
          </w:tcPr>
          <w:p w14:paraId="3823D7CF" w14:textId="7273D62E" w:rsidR="004D41C8" w:rsidRPr="009475AF" w:rsidRDefault="004D41C8" w:rsidP="00D86231">
            <w:pPr>
              <w:pStyle w:val="TableText0"/>
              <w:rPr>
                <w:b/>
                <w:bCs w:val="0"/>
              </w:rPr>
            </w:pPr>
            <w:r w:rsidRPr="009475AF">
              <w:rPr>
                <w:b/>
                <w:bCs w:val="0"/>
              </w:rPr>
              <w:t>AE, n (%)</w:t>
            </w:r>
          </w:p>
        </w:tc>
        <w:tc>
          <w:tcPr>
            <w:tcW w:w="874" w:type="pct"/>
            <w:vAlign w:val="center"/>
          </w:tcPr>
          <w:p w14:paraId="521AF77D" w14:textId="0EEC0FB4" w:rsidR="004D41C8" w:rsidRPr="009475AF" w:rsidRDefault="004D41C8" w:rsidP="00D86231">
            <w:pPr>
              <w:pStyle w:val="TableText0"/>
              <w:jc w:val="center"/>
            </w:pPr>
            <w:r w:rsidRPr="009475AF">
              <w:t>225 (83.0%)</w:t>
            </w:r>
          </w:p>
        </w:tc>
        <w:tc>
          <w:tcPr>
            <w:tcW w:w="794" w:type="pct"/>
            <w:vAlign w:val="center"/>
          </w:tcPr>
          <w:p w14:paraId="6F9567B3" w14:textId="4CEC56B9" w:rsidR="004D41C8" w:rsidRPr="009475AF" w:rsidRDefault="004D41C8" w:rsidP="00D86231">
            <w:pPr>
              <w:pStyle w:val="TableText0"/>
              <w:jc w:val="center"/>
            </w:pPr>
            <w:r w:rsidRPr="009475AF">
              <w:t>107 (79.9%)</w:t>
            </w:r>
          </w:p>
        </w:tc>
        <w:tc>
          <w:tcPr>
            <w:tcW w:w="794" w:type="pct"/>
          </w:tcPr>
          <w:p w14:paraId="5FBBCB87" w14:textId="475D83B2" w:rsidR="004D41C8" w:rsidRPr="009475AF" w:rsidRDefault="004D41C8" w:rsidP="00D86231">
            <w:pPr>
              <w:pStyle w:val="TableText0"/>
              <w:jc w:val="center"/>
            </w:pPr>
            <w:r w:rsidRPr="009475AF">
              <w:t>380 (90.3%)</w:t>
            </w:r>
          </w:p>
        </w:tc>
        <w:tc>
          <w:tcPr>
            <w:tcW w:w="794" w:type="pct"/>
          </w:tcPr>
          <w:p w14:paraId="5C15E346" w14:textId="136C9B5E" w:rsidR="004D41C8" w:rsidRPr="009475AF" w:rsidRDefault="004D41C8" w:rsidP="00D86231">
            <w:pPr>
              <w:pStyle w:val="TableText0"/>
              <w:jc w:val="center"/>
            </w:pPr>
            <w:r w:rsidRPr="009475AF">
              <w:t>194 (93.7%)</w:t>
            </w:r>
          </w:p>
        </w:tc>
      </w:tr>
      <w:tr w:rsidR="004D41C8" w:rsidRPr="009475AF" w14:paraId="0384327F" w14:textId="4EBCE0DA" w:rsidTr="004D41C8">
        <w:trPr>
          <w:cantSplit/>
        </w:trPr>
        <w:tc>
          <w:tcPr>
            <w:tcW w:w="1744" w:type="pct"/>
            <w:vAlign w:val="center"/>
          </w:tcPr>
          <w:p w14:paraId="57DABC30" w14:textId="72563141" w:rsidR="004D41C8" w:rsidRPr="009475AF" w:rsidRDefault="004D41C8" w:rsidP="00713FCD">
            <w:pPr>
              <w:pStyle w:val="TableText0"/>
              <w:jc w:val="right"/>
            </w:pPr>
            <w:r w:rsidRPr="009475AF">
              <w:t>Nasopharyngitis or pharyngitis, n (%)</w:t>
            </w:r>
          </w:p>
        </w:tc>
        <w:tc>
          <w:tcPr>
            <w:tcW w:w="874" w:type="pct"/>
            <w:vAlign w:val="center"/>
          </w:tcPr>
          <w:p w14:paraId="7D724F55" w14:textId="48A47DA6" w:rsidR="004D41C8" w:rsidRPr="009475AF" w:rsidRDefault="004D41C8" w:rsidP="00D86231">
            <w:pPr>
              <w:pStyle w:val="TableText0"/>
              <w:jc w:val="center"/>
            </w:pPr>
            <w:r w:rsidRPr="009475AF">
              <w:t>74 (27.3%)</w:t>
            </w:r>
          </w:p>
        </w:tc>
        <w:tc>
          <w:tcPr>
            <w:tcW w:w="794" w:type="pct"/>
            <w:vAlign w:val="center"/>
          </w:tcPr>
          <w:p w14:paraId="255A5E2D" w14:textId="56346D72" w:rsidR="004D41C8" w:rsidRPr="009475AF" w:rsidRDefault="004D41C8" w:rsidP="00D86231">
            <w:pPr>
              <w:pStyle w:val="TableText0"/>
              <w:jc w:val="center"/>
            </w:pPr>
            <w:r w:rsidRPr="009475AF">
              <w:t>44 (32.6%)</w:t>
            </w:r>
          </w:p>
        </w:tc>
        <w:tc>
          <w:tcPr>
            <w:tcW w:w="794" w:type="pct"/>
          </w:tcPr>
          <w:p w14:paraId="24D26763" w14:textId="727216EC" w:rsidR="004D41C8" w:rsidRPr="009475AF" w:rsidRDefault="004D41C8" w:rsidP="00D86231">
            <w:pPr>
              <w:pStyle w:val="TableText0"/>
              <w:jc w:val="center"/>
            </w:pPr>
            <w:r w:rsidRPr="009475AF">
              <w:t>117 (27.8%)</w:t>
            </w:r>
          </w:p>
        </w:tc>
        <w:tc>
          <w:tcPr>
            <w:tcW w:w="794" w:type="pct"/>
          </w:tcPr>
          <w:p w14:paraId="3F0ADEAA" w14:textId="4939C4E5" w:rsidR="004D41C8" w:rsidRPr="009475AF" w:rsidRDefault="004D41C8" w:rsidP="00D86231">
            <w:pPr>
              <w:pStyle w:val="TableText0"/>
              <w:jc w:val="center"/>
            </w:pPr>
            <w:r w:rsidRPr="009475AF">
              <w:t>56 (27.1%)</w:t>
            </w:r>
          </w:p>
        </w:tc>
      </w:tr>
      <w:tr w:rsidR="004D41C8" w:rsidRPr="009475AF" w14:paraId="288735B9" w14:textId="1F0D06F0" w:rsidTr="004D41C8">
        <w:trPr>
          <w:cantSplit/>
        </w:trPr>
        <w:tc>
          <w:tcPr>
            <w:tcW w:w="1744" w:type="pct"/>
            <w:vAlign w:val="center"/>
          </w:tcPr>
          <w:p w14:paraId="0191F38E" w14:textId="458C2B08" w:rsidR="004D41C8" w:rsidRPr="009475AF" w:rsidRDefault="004D41C8" w:rsidP="00713FCD">
            <w:pPr>
              <w:pStyle w:val="TableText0"/>
              <w:jc w:val="right"/>
            </w:pPr>
            <w:r w:rsidRPr="009475AF">
              <w:t xml:space="preserve">URTI </w:t>
            </w:r>
            <w:r w:rsidRPr="009475AF">
              <w:rPr>
                <w:i/>
                <w:iCs/>
              </w:rPr>
              <w:t>or</w:t>
            </w:r>
            <w:r w:rsidRPr="009475AF">
              <w:t xml:space="preserve"> Viral URTI, n (%)</w:t>
            </w:r>
          </w:p>
        </w:tc>
        <w:tc>
          <w:tcPr>
            <w:tcW w:w="874" w:type="pct"/>
            <w:vAlign w:val="center"/>
          </w:tcPr>
          <w:p w14:paraId="573931A7" w14:textId="7B8DCF48" w:rsidR="004D41C8" w:rsidRPr="009475AF" w:rsidRDefault="004D41C8" w:rsidP="00D86231">
            <w:pPr>
              <w:pStyle w:val="TableText0"/>
              <w:jc w:val="center"/>
            </w:pPr>
            <w:r w:rsidRPr="009475AF">
              <w:t>68 (25.1%)</w:t>
            </w:r>
          </w:p>
        </w:tc>
        <w:tc>
          <w:tcPr>
            <w:tcW w:w="794" w:type="pct"/>
            <w:vAlign w:val="center"/>
          </w:tcPr>
          <w:p w14:paraId="4832ADCF" w14:textId="7AA18D29" w:rsidR="004D41C8" w:rsidRPr="009475AF" w:rsidRDefault="004D41C8" w:rsidP="00D86231">
            <w:pPr>
              <w:pStyle w:val="TableText0"/>
              <w:jc w:val="center"/>
            </w:pPr>
            <w:r w:rsidRPr="009475AF">
              <w:t>31 (23.0%)</w:t>
            </w:r>
          </w:p>
        </w:tc>
        <w:tc>
          <w:tcPr>
            <w:tcW w:w="794" w:type="pct"/>
          </w:tcPr>
          <w:p w14:paraId="23E03725" w14:textId="35206E99" w:rsidR="004D41C8" w:rsidRPr="009475AF" w:rsidRDefault="004D41C8" w:rsidP="00D86231">
            <w:pPr>
              <w:pStyle w:val="TableText0"/>
              <w:jc w:val="center"/>
            </w:pPr>
            <w:r w:rsidRPr="009475AF">
              <w:t>69 (16.4%)</w:t>
            </w:r>
          </w:p>
        </w:tc>
        <w:tc>
          <w:tcPr>
            <w:tcW w:w="794" w:type="pct"/>
          </w:tcPr>
          <w:p w14:paraId="51CFDD3C" w14:textId="03FE3DA2" w:rsidR="004D41C8" w:rsidRPr="009475AF" w:rsidRDefault="004D41C8" w:rsidP="00D86231">
            <w:pPr>
              <w:pStyle w:val="TableText0"/>
              <w:jc w:val="center"/>
            </w:pPr>
            <w:r w:rsidRPr="009475AF">
              <w:t>46 (22.0%)</w:t>
            </w:r>
          </w:p>
        </w:tc>
      </w:tr>
      <w:tr w:rsidR="004D41C8" w:rsidRPr="009475AF" w14:paraId="23236564" w14:textId="2E671B8B" w:rsidTr="004D41C8">
        <w:trPr>
          <w:cantSplit/>
        </w:trPr>
        <w:tc>
          <w:tcPr>
            <w:tcW w:w="1744" w:type="pct"/>
            <w:vAlign w:val="center"/>
          </w:tcPr>
          <w:p w14:paraId="4B1B0C01" w14:textId="1C3E5B69" w:rsidR="004D41C8" w:rsidRPr="009475AF" w:rsidRDefault="004D41C8" w:rsidP="00713FCD">
            <w:pPr>
              <w:pStyle w:val="TableText0"/>
              <w:jc w:val="right"/>
            </w:pPr>
            <w:r w:rsidRPr="009475AF">
              <w:t>Eosinophilia &gt; 3.0 x 10</w:t>
            </w:r>
            <w:r w:rsidRPr="009475AF">
              <w:rPr>
                <w:vertAlign w:val="superscript"/>
              </w:rPr>
              <w:t>9</w:t>
            </w:r>
            <w:r w:rsidRPr="009475AF">
              <w:t>/L, n (%)</w:t>
            </w:r>
          </w:p>
        </w:tc>
        <w:tc>
          <w:tcPr>
            <w:tcW w:w="874" w:type="pct"/>
            <w:vAlign w:val="center"/>
          </w:tcPr>
          <w:p w14:paraId="67A860EC" w14:textId="6A20E340" w:rsidR="004D41C8" w:rsidRPr="009475AF" w:rsidRDefault="004D41C8" w:rsidP="00D86231">
            <w:pPr>
              <w:pStyle w:val="TableText0"/>
              <w:jc w:val="center"/>
            </w:pPr>
            <w:r w:rsidRPr="009475AF">
              <w:t>16 (5.9%)</w:t>
            </w:r>
          </w:p>
        </w:tc>
        <w:tc>
          <w:tcPr>
            <w:tcW w:w="794" w:type="pct"/>
            <w:vAlign w:val="center"/>
          </w:tcPr>
          <w:p w14:paraId="419B206A" w14:textId="7FB0F6F0" w:rsidR="004D41C8" w:rsidRPr="009475AF" w:rsidRDefault="004D41C8" w:rsidP="00D86231">
            <w:pPr>
              <w:pStyle w:val="TableText0"/>
              <w:jc w:val="center"/>
            </w:pPr>
            <w:r w:rsidRPr="009475AF">
              <w:t>1 (0.7%)</w:t>
            </w:r>
          </w:p>
        </w:tc>
        <w:tc>
          <w:tcPr>
            <w:tcW w:w="794" w:type="pct"/>
          </w:tcPr>
          <w:p w14:paraId="66BE2F18" w14:textId="4D5933E9" w:rsidR="004D41C8" w:rsidRPr="009475AF" w:rsidRDefault="004D41C8" w:rsidP="00D86231">
            <w:pPr>
              <w:pStyle w:val="TableText0"/>
              <w:jc w:val="center"/>
            </w:pPr>
            <w:r w:rsidRPr="009475AF">
              <w:t>NR</w:t>
            </w:r>
          </w:p>
        </w:tc>
        <w:tc>
          <w:tcPr>
            <w:tcW w:w="794" w:type="pct"/>
          </w:tcPr>
          <w:p w14:paraId="449867AE" w14:textId="368F16B8" w:rsidR="004D41C8" w:rsidRPr="009475AF" w:rsidRDefault="004D41C8" w:rsidP="00D86231">
            <w:pPr>
              <w:pStyle w:val="TableText0"/>
              <w:jc w:val="center"/>
            </w:pPr>
            <w:r w:rsidRPr="009475AF">
              <w:t>NR</w:t>
            </w:r>
          </w:p>
        </w:tc>
      </w:tr>
      <w:tr w:rsidR="004D41C8" w:rsidRPr="009475AF" w14:paraId="75BE1760" w14:textId="6BCE53AE" w:rsidTr="004D41C8">
        <w:trPr>
          <w:cantSplit/>
        </w:trPr>
        <w:tc>
          <w:tcPr>
            <w:tcW w:w="1744" w:type="pct"/>
            <w:vAlign w:val="center"/>
          </w:tcPr>
          <w:p w14:paraId="27F9F63A" w14:textId="5DBF7E21" w:rsidR="004D41C8" w:rsidRPr="009475AF" w:rsidRDefault="004D41C8" w:rsidP="00713FCD">
            <w:pPr>
              <w:pStyle w:val="TableText0"/>
              <w:jc w:val="right"/>
            </w:pPr>
            <w:r w:rsidRPr="009475AF">
              <w:t>Injection site reactions, n (%)</w:t>
            </w:r>
          </w:p>
        </w:tc>
        <w:tc>
          <w:tcPr>
            <w:tcW w:w="874" w:type="pct"/>
            <w:vAlign w:val="center"/>
          </w:tcPr>
          <w:p w14:paraId="3B67D3EE" w14:textId="441E5C93" w:rsidR="004D41C8" w:rsidRPr="009475AF" w:rsidRDefault="004D41C8" w:rsidP="00D86231">
            <w:pPr>
              <w:pStyle w:val="TableText0"/>
              <w:jc w:val="center"/>
            </w:pPr>
            <w:r w:rsidRPr="009475AF">
              <w:t>80 (29.5%)</w:t>
            </w:r>
          </w:p>
        </w:tc>
        <w:tc>
          <w:tcPr>
            <w:tcW w:w="794" w:type="pct"/>
            <w:vAlign w:val="center"/>
          </w:tcPr>
          <w:p w14:paraId="193A2888" w14:textId="4A200FCE" w:rsidR="004D41C8" w:rsidRPr="009475AF" w:rsidRDefault="004D41C8" w:rsidP="00D86231">
            <w:pPr>
              <w:pStyle w:val="TableText0"/>
              <w:jc w:val="center"/>
            </w:pPr>
            <w:r w:rsidRPr="009475AF">
              <w:t>23 (17.0%)</w:t>
            </w:r>
          </w:p>
        </w:tc>
        <w:tc>
          <w:tcPr>
            <w:tcW w:w="794" w:type="pct"/>
          </w:tcPr>
          <w:p w14:paraId="2F1156CE" w14:textId="12B8FDBC" w:rsidR="004D41C8" w:rsidRPr="009475AF" w:rsidRDefault="004D41C8" w:rsidP="00D86231">
            <w:pPr>
              <w:pStyle w:val="TableText0"/>
              <w:jc w:val="center"/>
            </w:pPr>
            <w:r w:rsidRPr="009475AF">
              <w:t>NR</w:t>
            </w:r>
          </w:p>
        </w:tc>
        <w:tc>
          <w:tcPr>
            <w:tcW w:w="794" w:type="pct"/>
          </w:tcPr>
          <w:p w14:paraId="656D1A58" w14:textId="164CE144" w:rsidR="004D41C8" w:rsidRPr="009475AF" w:rsidRDefault="004D41C8" w:rsidP="00D86231">
            <w:pPr>
              <w:pStyle w:val="TableText0"/>
              <w:jc w:val="center"/>
            </w:pPr>
            <w:r w:rsidRPr="009475AF">
              <w:t>NR</w:t>
            </w:r>
          </w:p>
        </w:tc>
      </w:tr>
      <w:tr w:rsidR="004D41C8" w:rsidRPr="009475AF" w14:paraId="097999E8" w14:textId="25987D9C" w:rsidTr="004D41C8">
        <w:trPr>
          <w:cantSplit/>
        </w:trPr>
        <w:tc>
          <w:tcPr>
            <w:tcW w:w="1744" w:type="pct"/>
            <w:vAlign w:val="center"/>
          </w:tcPr>
          <w:p w14:paraId="73C7D16F" w14:textId="0386EB7D" w:rsidR="004D41C8" w:rsidRPr="009475AF" w:rsidRDefault="004D41C8" w:rsidP="00D86231">
            <w:pPr>
              <w:pStyle w:val="TableText0"/>
              <w:rPr>
                <w:b/>
                <w:bCs w:val="0"/>
              </w:rPr>
            </w:pPr>
            <w:r w:rsidRPr="009475AF">
              <w:rPr>
                <w:b/>
                <w:bCs w:val="0"/>
              </w:rPr>
              <w:t>SAE, n (%)</w:t>
            </w:r>
          </w:p>
        </w:tc>
        <w:tc>
          <w:tcPr>
            <w:tcW w:w="874" w:type="pct"/>
            <w:vAlign w:val="center"/>
          </w:tcPr>
          <w:p w14:paraId="53BA973E" w14:textId="6A95BC4D" w:rsidR="004D41C8" w:rsidRPr="009475AF" w:rsidRDefault="004D41C8" w:rsidP="00D86231">
            <w:pPr>
              <w:pStyle w:val="TableText0"/>
              <w:jc w:val="center"/>
            </w:pPr>
            <w:r w:rsidRPr="009475AF">
              <w:t>13 (4.8%)</w:t>
            </w:r>
          </w:p>
        </w:tc>
        <w:tc>
          <w:tcPr>
            <w:tcW w:w="794" w:type="pct"/>
            <w:vAlign w:val="center"/>
          </w:tcPr>
          <w:p w14:paraId="3849128B" w14:textId="04456E15" w:rsidR="004D41C8" w:rsidRPr="009475AF" w:rsidRDefault="004D41C8" w:rsidP="00D86231">
            <w:pPr>
              <w:pStyle w:val="TableText0"/>
              <w:jc w:val="center"/>
            </w:pPr>
            <w:r w:rsidRPr="009475AF">
              <w:t>6 (4.5%)</w:t>
            </w:r>
          </w:p>
        </w:tc>
        <w:tc>
          <w:tcPr>
            <w:tcW w:w="794" w:type="pct"/>
          </w:tcPr>
          <w:p w14:paraId="6164FFAD" w14:textId="5D62A477" w:rsidR="004D41C8" w:rsidRPr="009475AF" w:rsidRDefault="004D41C8" w:rsidP="00D86231">
            <w:pPr>
              <w:pStyle w:val="TableText0"/>
              <w:jc w:val="center"/>
            </w:pPr>
            <w:r w:rsidRPr="009475AF">
              <w:t>17 (4.0%)</w:t>
            </w:r>
          </w:p>
        </w:tc>
        <w:tc>
          <w:tcPr>
            <w:tcW w:w="794" w:type="pct"/>
          </w:tcPr>
          <w:p w14:paraId="661782C4" w14:textId="3A57077F" w:rsidR="004D41C8" w:rsidRPr="009475AF" w:rsidRDefault="004D41C8" w:rsidP="00D86231">
            <w:pPr>
              <w:pStyle w:val="TableText0"/>
              <w:jc w:val="center"/>
            </w:pPr>
            <w:r w:rsidRPr="009475AF">
              <w:t>17 (8.2%)</w:t>
            </w:r>
          </w:p>
        </w:tc>
      </w:tr>
      <w:tr w:rsidR="004D41C8" w:rsidRPr="009475AF" w14:paraId="21E7BF5A" w14:textId="2F0082C7" w:rsidTr="004D41C8">
        <w:trPr>
          <w:cantSplit/>
        </w:trPr>
        <w:tc>
          <w:tcPr>
            <w:tcW w:w="1744" w:type="pct"/>
            <w:vAlign w:val="center"/>
          </w:tcPr>
          <w:p w14:paraId="19121454" w14:textId="542A9CD8" w:rsidR="004D41C8" w:rsidRPr="009475AF" w:rsidRDefault="004D41C8" w:rsidP="00D86231">
            <w:pPr>
              <w:pStyle w:val="TableText0"/>
              <w:rPr>
                <w:b/>
                <w:bCs w:val="0"/>
              </w:rPr>
            </w:pPr>
            <w:r w:rsidRPr="009475AF">
              <w:rPr>
                <w:b/>
                <w:bCs w:val="0"/>
              </w:rPr>
              <w:t>AE leading to treatment discontinuation, n (%)</w:t>
            </w:r>
          </w:p>
        </w:tc>
        <w:tc>
          <w:tcPr>
            <w:tcW w:w="874" w:type="pct"/>
            <w:vAlign w:val="center"/>
          </w:tcPr>
          <w:p w14:paraId="65A29316" w14:textId="60981687" w:rsidR="004D41C8" w:rsidRPr="009475AF" w:rsidRDefault="004D41C8" w:rsidP="00D86231">
            <w:pPr>
              <w:pStyle w:val="TableText0"/>
              <w:jc w:val="center"/>
            </w:pPr>
            <w:r w:rsidRPr="009475AF">
              <w:t>5 (1.8%)</w:t>
            </w:r>
          </w:p>
        </w:tc>
        <w:tc>
          <w:tcPr>
            <w:tcW w:w="794" w:type="pct"/>
            <w:vAlign w:val="center"/>
          </w:tcPr>
          <w:p w14:paraId="28F19227" w14:textId="5A33CBA1" w:rsidR="004D41C8" w:rsidRPr="009475AF" w:rsidRDefault="004D41C8" w:rsidP="00D86231">
            <w:pPr>
              <w:pStyle w:val="TableText0"/>
              <w:jc w:val="center"/>
            </w:pPr>
            <w:r w:rsidRPr="009475AF">
              <w:t>2 (1.5%)</w:t>
            </w:r>
          </w:p>
        </w:tc>
        <w:tc>
          <w:tcPr>
            <w:tcW w:w="794" w:type="pct"/>
          </w:tcPr>
          <w:p w14:paraId="0812BE5B" w14:textId="34964068" w:rsidR="004D41C8" w:rsidRPr="009475AF" w:rsidRDefault="004D41C8" w:rsidP="00D86231">
            <w:pPr>
              <w:pStyle w:val="TableText0"/>
              <w:jc w:val="center"/>
            </w:pPr>
            <w:r w:rsidRPr="009475AF">
              <w:t>2 (0.5%)</w:t>
            </w:r>
          </w:p>
        </w:tc>
        <w:tc>
          <w:tcPr>
            <w:tcW w:w="794" w:type="pct"/>
          </w:tcPr>
          <w:p w14:paraId="41A5E382" w14:textId="0CF0186C" w:rsidR="004D41C8" w:rsidRPr="009475AF" w:rsidRDefault="004D41C8" w:rsidP="00D86231">
            <w:pPr>
              <w:pStyle w:val="TableText0"/>
              <w:jc w:val="center"/>
            </w:pPr>
            <w:r w:rsidRPr="009475AF">
              <w:t>1 (0.5%)</w:t>
            </w:r>
          </w:p>
        </w:tc>
      </w:tr>
      <w:tr w:rsidR="004D41C8" w:rsidRPr="009475AF" w14:paraId="7393A3C3" w14:textId="1415DC8E" w:rsidTr="004D41C8">
        <w:trPr>
          <w:cantSplit/>
        </w:trPr>
        <w:tc>
          <w:tcPr>
            <w:tcW w:w="1744" w:type="pct"/>
            <w:vAlign w:val="center"/>
          </w:tcPr>
          <w:p w14:paraId="11222D49" w14:textId="7737F338" w:rsidR="004D41C8" w:rsidRPr="009475AF" w:rsidRDefault="004D41C8" w:rsidP="00D86231">
            <w:pPr>
              <w:pStyle w:val="TableText0"/>
              <w:rPr>
                <w:b/>
                <w:bCs w:val="0"/>
              </w:rPr>
            </w:pPr>
            <w:r w:rsidRPr="009475AF">
              <w:rPr>
                <w:b/>
                <w:bCs w:val="0"/>
              </w:rPr>
              <w:t>Anaphylactic reaction, n (%)</w:t>
            </w:r>
          </w:p>
        </w:tc>
        <w:tc>
          <w:tcPr>
            <w:tcW w:w="874" w:type="pct"/>
            <w:vAlign w:val="center"/>
          </w:tcPr>
          <w:p w14:paraId="673006CF" w14:textId="4003A810" w:rsidR="004D41C8" w:rsidRPr="009475AF" w:rsidRDefault="004D41C8" w:rsidP="00D86231">
            <w:pPr>
              <w:pStyle w:val="TableText0"/>
              <w:jc w:val="center"/>
            </w:pPr>
            <w:r w:rsidRPr="009475AF">
              <w:t>0</w:t>
            </w:r>
          </w:p>
        </w:tc>
        <w:tc>
          <w:tcPr>
            <w:tcW w:w="794" w:type="pct"/>
            <w:vAlign w:val="center"/>
          </w:tcPr>
          <w:p w14:paraId="3882235E" w14:textId="7F36C92D" w:rsidR="004D41C8" w:rsidRPr="009475AF" w:rsidRDefault="004D41C8" w:rsidP="00D86231">
            <w:pPr>
              <w:pStyle w:val="TableText0"/>
              <w:jc w:val="center"/>
            </w:pPr>
            <w:r w:rsidRPr="009475AF">
              <w:t>2 (1.5%)</w:t>
            </w:r>
          </w:p>
        </w:tc>
        <w:tc>
          <w:tcPr>
            <w:tcW w:w="794" w:type="pct"/>
          </w:tcPr>
          <w:p w14:paraId="4CF4F41C" w14:textId="3AE14118" w:rsidR="004D41C8" w:rsidRPr="009475AF" w:rsidRDefault="004D41C8" w:rsidP="00D86231">
            <w:pPr>
              <w:pStyle w:val="TableText0"/>
              <w:jc w:val="center"/>
            </w:pPr>
            <w:r w:rsidRPr="009475AF">
              <w:t>1 (0.2%)</w:t>
            </w:r>
          </w:p>
        </w:tc>
        <w:tc>
          <w:tcPr>
            <w:tcW w:w="794" w:type="pct"/>
          </w:tcPr>
          <w:p w14:paraId="25BADD66" w14:textId="0EFBFF6C" w:rsidR="004D41C8" w:rsidRPr="009475AF" w:rsidRDefault="004D41C8" w:rsidP="00D86231">
            <w:pPr>
              <w:pStyle w:val="TableText0"/>
              <w:jc w:val="center"/>
            </w:pPr>
            <w:r w:rsidRPr="009475AF">
              <w:t>1 (0.5%)</w:t>
            </w:r>
          </w:p>
        </w:tc>
      </w:tr>
      <w:tr w:rsidR="007C4C22" w:rsidRPr="009475AF" w14:paraId="2E098152" w14:textId="77777777" w:rsidTr="004D41C8">
        <w:trPr>
          <w:cantSplit/>
        </w:trPr>
        <w:tc>
          <w:tcPr>
            <w:tcW w:w="1744" w:type="pct"/>
            <w:vAlign w:val="center"/>
          </w:tcPr>
          <w:p w14:paraId="635D4C32" w14:textId="232857D3" w:rsidR="007C4C22" w:rsidRPr="009475AF" w:rsidRDefault="007C4C22" w:rsidP="00D86231">
            <w:pPr>
              <w:pStyle w:val="TableText0"/>
              <w:rPr>
                <w:b/>
                <w:bCs w:val="0"/>
              </w:rPr>
            </w:pPr>
            <w:r w:rsidRPr="009475AF">
              <w:rPr>
                <w:b/>
                <w:bCs w:val="0"/>
              </w:rPr>
              <w:t>Anti-drug antibodies, n (%)</w:t>
            </w:r>
          </w:p>
        </w:tc>
        <w:tc>
          <w:tcPr>
            <w:tcW w:w="874" w:type="pct"/>
            <w:vAlign w:val="center"/>
          </w:tcPr>
          <w:p w14:paraId="0D40FCB3" w14:textId="0AB6C86F" w:rsidR="007C4C22" w:rsidRPr="009475AF" w:rsidRDefault="007C4C22" w:rsidP="00D86231">
            <w:pPr>
              <w:pStyle w:val="TableText0"/>
              <w:jc w:val="center"/>
            </w:pPr>
            <w:r w:rsidRPr="009475AF">
              <w:t>17 (6.3%)</w:t>
            </w:r>
          </w:p>
        </w:tc>
        <w:tc>
          <w:tcPr>
            <w:tcW w:w="794" w:type="pct"/>
            <w:vAlign w:val="center"/>
          </w:tcPr>
          <w:p w14:paraId="112B0D09" w14:textId="30E1E99C" w:rsidR="007C4C22" w:rsidRPr="009475AF" w:rsidRDefault="007C4C22" w:rsidP="00D86231">
            <w:pPr>
              <w:pStyle w:val="TableText0"/>
              <w:jc w:val="center"/>
            </w:pPr>
            <w:r w:rsidRPr="009475AF">
              <w:t>4 (3.0%)</w:t>
            </w:r>
          </w:p>
        </w:tc>
        <w:tc>
          <w:tcPr>
            <w:tcW w:w="794" w:type="pct"/>
          </w:tcPr>
          <w:p w14:paraId="3B9FD9FA" w14:textId="59EB6F05" w:rsidR="007C4C22" w:rsidRPr="009475AF" w:rsidRDefault="007C4C22" w:rsidP="00D86231">
            <w:pPr>
              <w:pStyle w:val="TableText0"/>
              <w:jc w:val="center"/>
            </w:pPr>
            <w:r w:rsidRPr="009475AF">
              <w:t>NR</w:t>
            </w:r>
          </w:p>
        </w:tc>
        <w:tc>
          <w:tcPr>
            <w:tcW w:w="794" w:type="pct"/>
          </w:tcPr>
          <w:p w14:paraId="7E7A1F23" w14:textId="2F717C84" w:rsidR="007C4C22" w:rsidRPr="009475AF" w:rsidRDefault="007C4C22" w:rsidP="00D86231">
            <w:pPr>
              <w:pStyle w:val="TableText0"/>
              <w:jc w:val="center"/>
            </w:pPr>
            <w:r w:rsidRPr="009475AF">
              <w:t>NR</w:t>
            </w:r>
          </w:p>
        </w:tc>
      </w:tr>
    </w:tbl>
    <w:p w14:paraId="77412402" w14:textId="05B19711" w:rsidR="005D26B4" w:rsidRPr="009475AF" w:rsidRDefault="005D26B4" w:rsidP="00D86231">
      <w:pPr>
        <w:pStyle w:val="FooterTableFigure"/>
        <w:rPr>
          <w:sz w:val="20"/>
        </w:rPr>
      </w:pPr>
      <w:r w:rsidRPr="009475AF">
        <w:t xml:space="preserve">Source: </w:t>
      </w:r>
      <w:r w:rsidR="004D41C8" w:rsidRPr="009475AF">
        <w:t>Submission</w:t>
      </w:r>
      <w:r w:rsidR="00857F5B" w:rsidRPr="009475AF">
        <w:t xml:space="preserve">. </w:t>
      </w:r>
    </w:p>
    <w:p w14:paraId="674DA613" w14:textId="06B8634E" w:rsidR="00857F5B" w:rsidRPr="009475AF" w:rsidRDefault="00857F5B" w:rsidP="00D86231">
      <w:pPr>
        <w:pStyle w:val="FooterTableFigure"/>
        <w:rPr>
          <w:rFonts w:eastAsia="Calibri"/>
        </w:rPr>
      </w:pPr>
      <w:r w:rsidRPr="009475AF">
        <w:rPr>
          <w:rFonts w:eastAsia="Calibri"/>
        </w:rPr>
        <w:t>AE = adverse event;</w:t>
      </w:r>
      <w:r w:rsidR="005D26B4" w:rsidRPr="009475AF">
        <w:rPr>
          <w:rFonts w:eastAsia="Calibri"/>
        </w:rPr>
        <w:t xml:space="preserve"> n = number of participants reporting data; N = total participants in group; </w:t>
      </w:r>
      <w:r w:rsidRPr="009475AF">
        <w:rPr>
          <w:rFonts w:eastAsia="Calibri"/>
        </w:rPr>
        <w:t>SAE = serious adverse event; URTI = upper respiratory tract infection</w:t>
      </w:r>
    </w:p>
    <w:p w14:paraId="4F84EFA0" w14:textId="3B73E003" w:rsidR="00313247" w:rsidRPr="009475AF" w:rsidRDefault="00857F5B" w:rsidP="00166F2B">
      <w:pPr>
        <w:pStyle w:val="3-BodyText"/>
      </w:pPr>
      <w:r w:rsidRPr="009475AF">
        <w:t>Eosinophilia &gt; 3.0 x 10</w:t>
      </w:r>
      <w:r w:rsidRPr="009475AF">
        <w:rPr>
          <w:vertAlign w:val="superscript"/>
        </w:rPr>
        <w:t>9</w:t>
      </w:r>
      <w:r w:rsidRPr="009475AF">
        <w:t>/L</w:t>
      </w:r>
      <w:r w:rsidR="002A307B" w:rsidRPr="009475AF">
        <w:t xml:space="preserve">, a pre-specified adverse event of special interest (AESI), </w:t>
      </w:r>
      <w:r w:rsidRPr="009475AF">
        <w:t xml:space="preserve">was </w:t>
      </w:r>
      <w:r w:rsidR="006122BC" w:rsidRPr="009475AF">
        <w:t>seen in 5.9% of</w:t>
      </w:r>
      <w:r w:rsidRPr="009475AF">
        <w:t xml:space="preserve"> patients treated with dupilumab</w:t>
      </w:r>
      <w:r w:rsidR="00313247" w:rsidRPr="009475AF">
        <w:t>.</w:t>
      </w:r>
      <w:r w:rsidRPr="009475AF">
        <w:t xml:space="preserve"> </w:t>
      </w:r>
      <w:r w:rsidR="00313247" w:rsidRPr="009475AF">
        <w:t>A similar increase in marked eosinophilia associated with dupilumab has been reported in older patients.</w:t>
      </w:r>
      <w:r w:rsidR="00313247" w:rsidRPr="009475AF">
        <w:rPr>
          <w:rStyle w:val="FootnoteReference"/>
        </w:rPr>
        <w:footnoteReference w:id="12"/>
      </w:r>
      <w:r w:rsidR="00313247" w:rsidRPr="009475AF">
        <w:t xml:space="preserve"> </w:t>
      </w:r>
    </w:p>
    <w:p w14:paraId="0A44E404" w14:textId="54E782A2" w:rsidR="002A307B" w:rsidRPr="009475AF" w:rsidRDefault="0091174C" w:rsidP="00166F2B">
      <w:pPr>
        <w:pStyle w:val="3-BodyText"/>
      </w:pPr>
      <w:r w:rsidRPr="009475AF">
        <w:t xml:space="preserve">The significance of marked eosinophilia as an adverse event of dupilumab is unclear. </w:t>
      </w:r>
      <w:r w:rsidR="00313247" w:rsidRPr="009475AF">
        <w:t>Most patients with marked eosinophilia</w:t>
      </w:r>
      <w:r w:rsidRPr="009475AF">
        <w:t xml:space="preserve"> in VOYAGE</w:t>
      </w:r>
      <w:r w:rsidR="00313247" w:rsidRPr="009475AF">
        <w:t xml:space="preserve"> were asymptomatic, but o</w:t>
      </w:r>
      <w:r w:rsidR="00857F5B" w:rsidRPr="009475AF">
        <w:t>ne patient was withdrawn from the study because of eosinophilia</w:t>
      </w:r>
      <w:r w:rsidR="00313247" w:rsidRPr="009475AF">
        <w:t xml:space="preserve"> associated with headache and blurred vision</w:t>
      </w:r>
      <w:r w:rsidR="00857F5B" w:rsidRPr="009475AF">
        <w:t>.</w:t>
      </w:r>
      <w:r w:rsidR="002A307B" w:rsidRPr="009475AF">
        <w:t xml:space="preserve"> Cases of </w:t>
      </w:r>
      <w:r w:rsidR="00166F2B" w:rsidRPr="009475AF">
        <w:t>eosinophilic pneumonia and of vasculitis consistent with eosinophilic granulomatosis with polyangiitis (EGPA) have been reported in adults receiving dupilumab, but causation has not been established.</w:t>
      </w:r>
      <w:r w:rsidR="00166F2B" w:rsidRPr="009475AF">
        <w:rPr>
          <w:rStyle w:val="FootnoteReference"/>
        </w:rPr>
        <w:footnoteReference w:id="13"/>
      </w:r>
    </w:p>
    <w:p w14:paraId="74054156" w14:textId="77777777" w:rsidR="002A307B" w:rsidRPr="009475AF" w:rsidRDefault="00857F5B" w:rsidP="002A307B">
      <w:pPr>
        <w:pStyle w:val="3-BodyText"/>
      </w:pPr>
      <w:r w:rsidRPr="009475AF">
        <w:t xml:space="preserve">Injection site reactions were </w:t>
      </w:r>
      <w:r w:rsidR="00E8600D" w:rsidRPr="009475AF">
        <w:t>more frequent</w:t>
      </w:r>
      <w:r w:rsidRPr="009475AF">
        <w:t xml:space="preserve"> in dupilumab-treated patients than in placebo-treated patients in VOYAGE, but injection site reactions were not </w:t>
      </w:r>
      <w:r w:rsidR="00E8600D" w:rsidRPr="009475AF">
        <w:t>included</w:t>
      </w:r>
      <w:r w:rsidRPr="009475AF">
        <w:t xml:space="preserve"> </w:t>
      </w:r>
      <w:r w:rsidR="00E8600D" w:rsidRPr="009475AF">
        <w:t xml:space="preserve">in the published data for IA-05. </w:t>
      </w:r>
    </w:p>
    <w:p w14:paraId="12C7B168" w14:textId="7B16AC70" w:rsidR="00857F5B" w:rsidRPr="009475AF" w:rsidRDefault="007C4C22" w:rsidP="002A307B">
      <w:pPr>
        <w:pStyle w:val="3-BodyText"/>
      </w:pPr>
      <w:r w:rsidRPr="009475AF">
        <w:t>Anti</w:t>
      </w:r>
      <w:r w:rsidR="002A307B" w:rsidRPr="009475AF">
        <w:t>-</w:t>
      </w:r>
      <w:r w:rsidRPr="009475AF">
        <w:t>drug antibodies were commoner in dupilumab-treated patients, but the significance of this finding is not clear</w:t>
      </w:r>
      <w:r w:rsidR="009475AF">
        <w:t xml:space="preserve">. </w:t>
      </w:r>
    </w:p>
    <w:p w14:paraId="7A1772B6" w14:textId="23BB3145" w:rsidR="00B60939" w:rsidRPr="009475AF" w:rsidRDefault="00B60939" w:rsidP="00E9094A">
      <w:pPr>
        <w:pStyle w:val="4-SubsectionHeading"/>
      </w:pPr>
      <w:bookmarkStart w:id="31" w:name="_Toc22897644"/>
      <w:bookmarkStart w:id="32" w:name="_Toc156912919"/>
      <w:r w:rsidRPr="009475AF">
        <w:t>Clinical claim</w:t>
      </w:r>
      <w:bookmarkEnd w:id="31"/>
      <w:bookmarkEnd w:id="32"/>
    </w:p>
    <w:p w14:paraId="3F799F7E" w14:textId="7EEADCC1" w:rsidR="00765A19" w:rsidRPr="009475AF" w:rsidRDefault="005F7588" w:rsidP="00765A19">
      <w:pPr>
        <w:pStyle w:val="3-BodyText"/>
        <w:rPr>
          <w:rFonts w:eastAsia="Calibri"/>
        </w:rPr>
      </w:pPr>
      <w:r w:rsidRPr="009475AF">
        <w:rPr>
          <w:rFonts w:eastAsia="Calibri"/>
        </w:rPr>
        <w:t xml:space="preserve">The submission described </w:t>
      </w:r>
      <w:r w:rsidR="00D4660B" w:rsidRPr="009475AF">
        <w:rPr>
          <w:rFonts w:eastAsia="Calibri"/>
        </w:rPr>
        <w:t xml:space="preserve">dupilumab as </w:t>
      </w:r>
      <w:r w:rsidRPr="009475AF">
        <w:rPr>
          <w:rFonts w:eastAsia="Calibri"/>
        </w:rPr>
        <w:t xml:space="preserve">non-inferior in </w:t>
      </w:r>
      <w:r w:rsidR="00D4660B" w:rsidRPr="009475AF">
        <w:rPr>
          <w:rFonts w:eastAsia="Calibri"/>
        </w:rPr>
        <w:t>efficacy and safety</w:t>
      </w:r>
      <w:r w:rsidRPr="009475AF">
        <w:rPr>
          <w:rFonts w:eastAsia="Calibri"/>
        </w:rPr>
        <w:t xml:space="preserve"> to </w:t>
      </w:r>
      <w:r w:rsidR="00D4660B" w:rsidRPr="009475AF">
        <w:rPr>
          <w:rFonts w:eastAsia="Calibri"/>
        </w:rPr>
        <w:t xml:space="preserve">omalizumab in patients meeting </w:t>
      </w:r>
      <w:r w:rsidR="00E74F1D" w:rsidRPr="009475AF">
        <w:rPr>
          <w:rFonts w:eastAsia="Calibri"/>
        </w:rPr>
        <w:t xml:space="preserve">the </w:t>
      </w:r>
      <w:r w:rsidR="00D4660B" w:rsidRPr="009475AF">
        <w:rPr>
          <w:rFonts w:eastAsia="Calibri"/>
        </w:rPr>
        <w:t>current criteria for omalizumab</w:t>
      </w:r>
      <w:r w:rsidR="00F45417" w:rsidRPr="009475AF">
        <w:rPr>
          <w:rFonts w:eastAsia="Calibri"/>
        </w:rPr>
        <w:t xml:space="preserve"> (i.e., those with </w:t>
      </w:r>
      <w:r w:rsidR="00D4660B" w:rsidRPr="009475AF">
        <w:rPr>
          <w:rFonts w:eastAsia="Calibri"/>
        </w:rPr>
        <w:t xml:space="preserve">total serum IgE </w:t>
      </w:r>
      <w:r w:rsidR="00D4660B" w:rsidRPr="009475AF">
        <w:rPr>
          <w:rFonts w:eastAsia="Calibri"/>
        </w:rPr>
        <w:sym w:font="Symbol" w:char="F0B3"/>
      </w:r>
      <w:r w:rsidR="00D4660B" w:rsidRPr="009475AF">
        <w:rPr>
          <w:rFonts w:eastAsia="Calibri"/>
        </w:rPr>
        <w:t xml:space="preserve"> 30 IU/mL</w:t>
      </w:r>
      <w:r w:rsidR="00F45417" w:rsidRPr="009475AF">
        <w:rPr>
          <w:rFonts w:eastAsia="Calibri"/>
        </w:rPr>
        <w:t>)</w:t>
      </w:r>
      <w:r w:rsidR="00DB327C" w:rsidRPr="009475AF">
        <w:rPr>
          <w:rFonts w:eastAsia="Calibri"/>
        </w:rPr>
        <w:t xml:space="preserve"> (Subgroup A)</w:t>
      </w:r>
      <w:r w:rsidRPr="009475AF">
        <w:rPr>
          <w:rFonts w:eastAsia="Calibri"/>
        </w:rPr>
        <w:t xml:space="preserve">. </w:t>
      </w:r>
      <w:r w:rsidRPr="009475AF">
        <w:rPr>
          <w:rFonts w:eastAsia="Calibri"/>
          <w:iCs/>
        </w:rPr>
        <w:t>Th</w:t>
      </w:r>
      <w:r w:rsidR="00765A19" w:rsidRPr="009475AF">
        <w:rPr>
          <w:rFonts w:eastAsia="Calibri"/>
          <w:iCs/>
        </w:rPr>
        <w:t>e ESC considered that th</w:t>
      </w:r>
      <w:r w:rsidRPr="009475AF">
        <w:rPr>
          <w:rFonts w:eastAsia="Calibri"/>
          <w:iCs/>
        </w:rPr>
        <w:t xml:space="preserve">is claim </w:t>
      </w:r>
      <w:r w:rsidR="00783B27" w:rsidRPr="009475AF">
        <w:rPr>
          <w:rFonts w:eastAsia="Calibri"/>
          <w:iCs/>
        </w:rPr>
        <w:t>was not</w:t>
      </w:r>
      <w:r w:rsidR="008534A8" w:rsidRPr="009475AF">
        <w:rPr>
          <w:rFonts w:eastAsia="Calibri"/>
          <w:iCs/>
        </w:rPr>
        <w:t xml:space="preserve"> adequately </w:t>
      </w:r>
      <w:r w:rsidRPr="009475AF">
        <w:rPr>
          <w:rFonts w:eastAsia="Calibri"/>
          <w:iCs/>
        </w:rPr>
        <w:t>supported</w:t>
      </w:r>
      <w:r w:rsidR="00E74F1D" w:rsidRPr="009475AF">
        <w:rPr>
          <w:rFonts w:eastAsia="Calibri"/>
          <w:iCs/>
        </w:rPr>
        <w:t>.</w:t>
      </w:r>
    </w:p>
    <w:p w14:paraId="7F613CD1" w14:textId="104DB94C" w:rsidR="005F7588" w:rsidRPr="009475AF" w:rsidRDefault="005F7588" w:rsidP="00E9094A">
      <w:pPr>
        <w:pStyle w:val="3-BodyText"/>
        <w:rPr>
          <w:rFonts w:eastAsia="Calibri"/>
        </w:rPr>
      </w:pPr>
      <w:r w:rsidRPr="009475AF">
        <w:rPr>
          <w:rFonts w:eastAsia="Calibri"/>
        </w:rPr>
        <w:t xml:space="preserve">The submission described </w:t>
      </w:r>
      <w:r w:rsidR="00736CFF" w:rsidRPr="009475AF">
        <w:rPr>
          <w:rFonts w:eastAsia="Calibri"/>
        </w:rPr>
        <w:t>dupilumab</w:t>
      </w:r>
      <w:r w:rsidRPr="009475AF">
        <w:rPr>
          <w:rFonts w:eastAsia="Calibri"/>
        </w:rPr>
        <w:t xml:space="preserve"> as superio</w:t>
      </w:r>
      <w:r w:rsidR="00736CFF" w:rsidRPr="009475AF">
        <w:rPr>
          <w:rFonts w:eastAsia="Calibri"/>
        </w:rPr>
        <w:t>r</w:t>
      </w:r>
      <w:r w:rsidRPr="009475AF">
        <w:rPr>
          <w:rFonts w:eastAsia="Calibri"/>
        </w:rPr>
        <w:t xml:space="preserve"> in term</w:t>
      </w:r>
      <w:r w:rsidR="00156F8F" w:rsidRPr="009475AF">
        <w:rPr>
          <w:rFonts w:eastAsia="Calibri"/>
        </w:rPr>
        <w:t>s</w:t>
      </w:r>
      <w:r w:rsidRPr="009475AF">
        <w:rPr>
          <w:rFonts w:eastAsia="Calibri"/>
        </w:rPr>
        <w:t xml:space="preserve"> of </w:t>
      </w:r>
      <w:r w:rsidR="00736CFF" w:rsidRPr="009475AF">
        <w:rPr>
          <w:rFonts w:eastAsia="Calibri"/>
        </w:rPr>
        <w:t xml:space="preserve">efficacy and non-inferior in terms of </w:t>
      </w:r>
      <w:r w:rsidRPr="009475AF">
        <w:rPr>
          <w:rFonts w:eastAsia="Calibri"/>
        </w:rPr>
        <w:t xml:space="preserve">safety compared to </w:t>
      </w:r>
      <w:r w:rsidR="00736CFF" w:rsidRPr="009475AF">
        <w:rPr>
          <w:rFonts w:eastAsia="Calibri"/>
        </w:rPr>
        <w:t xml:space="preserve">placebo in patients with total serum IgE </w:t>
      </w:r>
      <w:r w:rsidR="00A26963" w:rsidRPr="009475AF">
        <w:rPr>
          <w:rFonts w:eastAsia="Calibri"/>
        </w:rPr>
        <w:t>&lt;</w:t>
      </w:r>
      <w:r w:rsidR="00A26963">
        <w:rPr>
          <w:rFonts w:eastAsia="Calibri"/>
        </w:rPr>
        <w:t> </w:t>
      </w:r>
      <w:r w:rsidR="00736CFF" w:rsidRPr="009475AF">
        <w:rPr>
          <w:rFonts w:eastAsia="Calibri"/>
        </w:rPr>
        <w:t>30</w:t>
      </w:r>
      <w:r w:rsidR="00A26963">
        <w:rPr>
          <w:rFonts w:eastAsia="Calibri"/>
        </w:rPr>
        <w:t> </w:t>
      </w:r>
      <w:r w:rsidR="00736CFF" w:rsidRPr="009475AF">
        <w:rPr>
          <w:rFonts w:eastAsia="Calibri"/>
        </w:rPr>
        <w:t>IU/mL but with evidence of airway inflammation</w:t>
      </w:r>
      <w:r w:rsidR="00DB327C" w:rsidRPr="009475AF">
        <w:rPr>
          <w:rFonts w:eastAsia="Calibri"/>
        </w:rPr>
        <w:t xml:space="preserve"> (Subgroup B)</w:t>
      </w:r>
      <w:r w:rsidR="00736CFF" w:rsidRPr="009475AF">
        <w:rPr>
          <w:rFonts w:eastAsia="Calibri"/>
        </w:rPr>
        <w:t xml:space="preserve">. </w:t>
      </w:r>
      <w:r w:rsidRPr="009475AF">
        <w:rPr>
          <w:rFonts w:eastAsia="Calibri"/>
          <w:iCs/>
        </w:rPr>
        <w:t>Th</w:t>
      </w:r>
      <w:r w:rsidR="003D4E7F" w:rsidRPr="009475AF">
        <w:rPr>
          <w:rFonts w:eastAsia="Calibri"/>
          <w:iCs/>
        </w:rPr>
        <w:t>e ESC considered th</w:t>
      </w:r>
      <w:r w:rsidRPr="009475AF">
        <w:rPr>
          <w:rFonts w:eastAsia="Calibri"/>
          <w:iCs/>
        </w:rPr>
        <w:t xml:space="preserve">is claim </w:t>
      </w:r>
      <w:r w:rsidRPr="009475AF">
        <w:rPr>
          <w:rFonts w:eastAsia="Calibri"/>
          <w:iCs/>
        </w:rPr>
        <w:lastRenderedPageBreak/>
        <w:t xml:space="preserve">was </w:t>
      </w:r>
      <w:r w:rsidR="007C70FF" w:rsidRPr="009475AF">
        <w:rPr>
          <w:rFonts w:eastAsia="Calibri"/>
          <w:iCs/>
        </w:rPr>
        <w:t xml:space="preserve">not </w:t>
      </w:r>
      <w:r w:rsidRPr="009475AF">
        <w:rPr>
          <w:rFonts w:eastAsia="Calibri"/>
          <w:iCs/>
        </w:rPr>
        <w:t>adequately supported</w:t>
      </w:r>
      <w:r w:rsidR="007C70FF" w:rsidRPr="009475AF">
        <w:rPr>
          <w:rFonts w:eastAsia="Calibri"/>
          <w:iCs/>
        </w:rPr>
        <w:t>.</w:t>
      </w:r>
      <w:r w:rsidR="00736CFF" w:rsidRPr="009475AF">
        <w:rPr>
          <w:rFonts w:eastAsia="Calibri"/>
          <w:iCs/>
        </w:rPr>
        <w:t xml:space="preserve"> </w:t>
      </w:r>
      <w:r w:rsidR="00765A19" w:rsidRPr="009475AF">
        <w:rPr>
          <w:rFonts w:eastAsia="Calibri"/>
          <w:iCs/>
        </w:rPr>
        <w:t xml:space="preserve">The ESC noted that </w:t>
      </w:r>
      <w:r w:rsidR="00DB327C" w:rsidRPr="009475AF">
        <w:rPr>
          <w:rFonts w:eastAsia="Calibri"/>
          <w:iCs/>
        </w:rPr>
        <w:t>limited</w:t>
      </w:r>
      <w:r w:rsidR="00736CFF" w:rsidRPr="009475AF">
        <w:rPr>
          <w:rFonts w:eastAsia="Calibri"/>
          <w:iCs/>
        </w:rPr>
        <w:t xml:space="preserve"> data w</w:t>
      </w:r>
      <w:r w:rsidR="00DB327C" w:rsidRPr="009475AF">
        <w:rPr>
          <w:rFonts w:eastAsia="Calibri"/>
          <w:iCs/>
        </w:rPr>
        <w:t>as</w:t>
      </w:r>
      <w:r w:rsidR="00736CFF" w:rsidRPr="009475AF">
        <w:rPr>
          <w:rFonts w:eastAsia="Calibri"/>
          <w:iCs/>
        </w:rPr>
        <w:t xml:space="preserve"> presented for this patient population</w:t>
      </w:r>
      <w:r w:rsidR="007C70FF" w:rsidRPr="009475AF">
        <w:rPr>
          <w:rFonts w:eastAsia="Calibri"/>
          <w:iCs/>
        </w:rPr>
        <w:t>.</w:t>
      </w:r>
    </w:p>
    <w:p w14:paraId="71C15623" w14:textId="49BF21DA" w:rsidR="00BC0976" w:rsidRPr="009475AF" w:rsidRDefault="00375CA7" w:rsidP="000F6EA2">
      <w:pPr>
        <w:pStyle w:val="3-BodyText"/>
        <w:rPr>
          <w:rFonts w:eastAsia="Calibri"/>
        </w:rPr>
      </w:pPr>
      <w:r w:rsidRPr="009475AF">
        <w:rPr>
          <w:rFonts w:eastAsia="Calibri"/>
        </w:rPr>
        <w:t xml:space="preserve">For patients meeting the current criteria for omalizumab (i.e., those with serum IgE of </w:t>
      </w:r>
      <w:r w:rsidRPr="009475AF">
        <w:rPr>
          <w:rFonts w:eastAsia="Calibri" w:cstheme="minorHAnsi"/>
        </w:rPr>
        <w:t>≥</w:t>
      </w:r>
      <w:r w:rsidRPr="009475AF">
        <w:rPr>
          <w:rFonts w:eastAsia="Calibri"/>
        </w:rPr>
        <w:t xml:space="preserve"> 30 IU/mL), t</w:t>
      </w:r>
      <w:r w:rsidR="00BC0976" w:rsidRPr="009475AF">
        <w:rPr>
          <w:rFonts w:eastAsia="Calibri"/>
        </w:rPr>
        <w:t xml:space="preserve">he PBAC </w:t>
      </w:r>
      <w:r w:rsidR="00B27E14" w:rsidRPr="009475AF">
        <w:rPr>
          <w:rFonts w:eastAsia="Calibri"/>
        </w:rPr>
        <w:t xml:space="preserve">noted that there were transitivity issues associated with the trials but </w:t>
      </w:r>
      <w:r w:rsidR="00BC0976" w:rsidRPr="009475AF">
        <w:rPr>
          <w:rFonts w:eastAsia="Calibri"/>
        </w:rPr>
        <w:t xml:space="preserve">considered that </w:t>
      </w:r>
      <w:r w:rsidR="00B27E14" w:rsidRPr="009475AF">
        <w:rPr>
          <w:rFonts w:eastAsia="Calibri"/>
        </w:rPr>
        <w:t>on balance the</w:t>
      </w:r>
      <w:r w:rsidR="00BC0976" w:rsidRPr="009475AF">
        <w:rPr>
          <w:rFonts w:eastAsia="Calibri"/>
        </w:rPr>
        <w:t xml:space="preserve"> claim of non-inferior comparative effectiveness </w:t>
      </w:r>
      <w:r w:rsidRPr="009475AF">
        <w:rPr>
          <w:rFonts w:eastAsia="Calibri"/>
        </w:rPr>
        <w:t xml:space="preserve">and safety for dupilumab compared to omalizumab was </w:t>
      </w:r>
      <w:r w:rsidR="00B27E14" w:rsidRPr="009475AF">
        <w:rPr>
          <w:rFonts w:eastAsia="Calibri"/>
        </w:rPr>
        <w:t>likely to be reasonable</w:t>
      </w:r>
      <w:r w:rsidR="00BC0976" w:rsidRPr="009475AF">
        <w:rPr>
          <w:rFonts w:eastAsia="Calibri"/>
        </w:rPr>
        <w:t>.</w:t>
      </w:r>
    </w:p>
    <w:p w14:paraId="211282B0" w14:textId="1AAD243A" w:rsidR="00BC0976" w:rsidRPr="009475AF" w:rsidRDefault="00375CA7" w:rsidP="00BC0976">
      <w:pPr>
        <w:pStyle w:val="3-BodyText"/>
        <w:rPr>
          <w:rFonts w:eastAsia="Calibri"/>
        </w:rPr>
      </w:pPr>
      <w:r w:rsidRPr="009475AF">
        <w:rPr>
          <w:rFonts w:eastAsia="Calibri"/>
        </w:rPr>
        <w:t>For patients with total serum IgE of &lt; 30 IU/mL t</w:t>
      </w:r>
      <w:r w:rsidR="00BC0976" w:rsidRPr="009475AF">
        <w:rPr>
          <w:rFonts w:eastAsia="Calibri"/>
        </w:rPr>
        <w:t xml:space="preserve">he PBAC considered that </w:t>
      </w:r>
      <w:r w:rsidR="00B27E14" w:rsidRPr="009475AF">
        <w:rPr>
          <w:rFonts w:eastAsia="Calibri"/>
        </w:rPr>
        <w:t xml:space="preserve">there was </w:t>
      </w:r>
      <w:r w:rsidRPr="009475AF">
        <w:rPr>
          <w:rFonts w:eastAsia="Calibri"/>
        </w:rPr>
        <w:t xml:space="preserve">insufficient evidence presented to determine whether </w:t>
      </w:r>
      <w:r w:rsidR="00BC0976" w:rsidRPr="009475AF">
        <w:rPr>
          <w:rFonts w:eastAsia="Calibri"/>
        </w:rPr>
        <w:t xml:space="preserve">the claim of superior comparative </w:t>
      </w:r>
      <w:r w:rsidRPr="009475AF">
        <w:rPr>
          <w:rFonts w:eastAsia="Calibri"/>
        </w:rPr>
        <w:t xml:space="preserve">effectiveness and non-inferior </w:t>
      </w:r>
      <w:r w:rsidR="00BC0976" w:rsidRPr="009475AF">
        <w:rPr>
          <w:rFonts w:eastAsia="Calibri"/>
        </w:rPr>
        <w:t xml:space="preserve">safety </w:t>
      </w:r>
      <w:r w:rsidRPr="009475AF">
        <w:rPr>
          <w:rFonts w:eastAsia="Calibri"/>
        </w:rPr>
        <w:t xml:space="preserve">for dupilumab compared to standard of care </w:t>
      </w:r>
      <w:r w:rsidR="00BC0976" w:rsidRPr="009475AF">
        <w:rPr>
          <w:rFonts w:eastAsia="Calibri"/>
        </w:rPr>
        <w:t>was reasonabl</w:t>
      </w:r>
      <w:r w:rsidRPr="009475AF">
        <w:rPr>
          <w:rFonts w:eastAsia="Calibri"/>
        </w:rPr>
        <w:t>e</w:t>
      </w:r>
      <w:r w:rsidR="00BC0976" w:rsidRPr="009475AF">
        <w:rPr>
          <w:rFonts w:eastAsia="Calibri"/>
        </w:rPr>
        <w:t>.</w:t>
      </w:r>
    </w:p>
    <w:p w14:paraId="2828593D" w14:textId="77777777" w:rsidR="00DD1C62" w:rsidRPr="009475AF" w:rsidRDefault="00DD1C62" w:rsidP="00DD1C62">
      <w:pPr>
        <w:pStyle w:val="4-SubsectionHeading"/>
      </w:pPr>
      <w:bookmarkStart w:id="33" w:name="_Toc22897643"/>
      <w:bookmarkStart w:id="34" w:name="_Toc107927629"/>
      <w:bookmarkStart w:id="35" w:name="_Toc156912920"/>
      <w:r w:rsidRPr="009475AF">
        <w:t>Benefits/harms</w:t>
      </w:r>
      <w:bookmarkEnd w:id="33"/>
      <w:bookmarkEnd w:id="34"/>
      <w:bookmarkEnd w:id="35"/>
    </w:p>
    <w:p w14:paraId="50535673" w14:textId="0F286CB7" w:rsidR="00DD1C62" w:rsidRPr="009475AF" w:rsidRDefault="00DD1C62" w:rsidP="00DD1C62">
      <w:pPr>
        <w:pStyle w:val="3-BodyText"/>
      </w:pPr>
      <w:r w:rsidRPr="009475AF">
        <w:rPr>
          <w:snapToGrid/>
        </w:rPr>
        <w:t xml:space="preserve">A benefits and harms table </w:t>
      </w:r>
      <w:r w:rsidR="00DB327C" w:rsidRPr="009475AF">
        <w:rPr>
          <w:snapToGrid/>
        </w:rPr>
        <w:t>wa</w:t>
      </w:r>
      <w:r w:rsidRPr="009475AF">
        <w:rPr>
          <w:snapToGrid/>
        </w:rPr>
        <w:t>s not presented as the submission made a claim of non-inferiority</w:t>
      </w:r>
      <w:r w:rsidR="00DB327C" w:rsidRPr="009475AF">
        <w:rPr>
          <w:snapToGrid/>
        </w:rPr>
        <w:t xml:space="preserve"> for patients in Subgroup A, and limited data was presented for patients in Subgroup B</w:t>
      </w:r>
      <w:r w:rsidRPr="009475AF">
        <w:rPr>
          <w:snapToGrid/>
        </w:rPr>
        <w:t xml:space="preserve">. </w:t>
      </w:r>
    </w:p>
    <w:p w14:paraId="74A1172E" w14:textId="128C170E" w:rsidR="00B60939" w:rsidRPr="009475AF" w:rsidRDefault="00B60939" w:rsidP="00E9094A">
      <w:pPr>
        <w:pStyle w:val="4-SubsectionHeading"/>
      </w:pPr>
      <w:bookmarkStart w:id="36" w:name="_Toc22897645"/>
      <w:bookmarkStart w:id="37" w:name="_Toc156912921"/>
      <w:r w:rsidRPr="009475AF">
        <w:t>Economic analysis</w:t>
      </w:r>
      <w:bookmarkEnd w:id="36"/>
      <w:bookmarkEnd w:id="37"/>
      <w:r w:rsidR="00491B3A" w:rsidRPr="009475AF">
        <w:t xml:space="preserve"> </w:t>
      </w:r>
    </w:p>
    <w:p w14:paraId="4EECA44B" w14:textId="3C110A69" w:rsidR="00182164" w:rsidRPr="009475AF" w:rsidRDefault="00182164" w:rsidP="00DB3FAD">
      <w:pPr>
        <w:pStyle w:val="3-BodyText"/>
      </w:pPr>
      <w:r w:rsidRPr="009475AF">
        <w:t>The submission presented a cost</w:t>
      </w:r>
      <w:r w:rsidR="00765A19" w:rsidRPr="009475AF">
        <w:t>-</w:t>
      </w:r>
      <w:r w:rsidRPr="009475AF">
        <w:t>minimisation approach. The key components of the approach are presented in</w:t>
      </w:r>
      <w:r w:rsidR="00217053" w:rsidRPr="009475AF">
        <w:t xml:space="preserve"> </w:t>
      </w:r>
      <w:r w:rsidR="00217053" w:rsidRPr="009475AF">
        <w:fldChar w:fldCharType="begin" w:fldLock="1"/>
      </w:r>
      <w:r w:rsidR="00217053" w:rsidRPr="009475AF">
        <w:instrText xml:space="preserve"> REF _Ref152755375 \h </w:instrText>
      </w:r>
      <w:r w:rsidR="00217053" w:rsidRPr="009475AF">
        <w:fldChar w:fldCharType="separate"/>
      </w:r>
      <w:r w:rsidR="00217053" w:rsidRPr="009475AF">
        <w:t>Table 8</w:t>
      </w:r>
      <w:r w:rsidR="00217053" w:rsidRPr="009475AF">
        <w:fldChar w:fldCharType="end"/>
      </w:r>
      <w:r w:rsidRPr="009475AF">
        <w:t>.</w:t>
      </w:r>
    </w:p>
    <w:p w14:paraId="6767A923" w14:textId="5747EDB4" w:rsidR="00182164" w:rsidRPr="009475AF" w:rsidRDefault="00217053" w:rsidP="00217053">
      <w:pPr>
        <w:pStyle w:val="Caption"/>
        <w:rPr>
          <w:rStyle w:val="CommentReference"/>
          <w:b/>
          <w:szCs w:val="24"/>
        </w:rPr>
      </w:pPr>
      <w:bookmarkStart w:id="38" w:name="_Ref152755375"/>
      <w:r w:rsidRPr="009475AF">
        <w:t xml:space="preserve">Table </w:t>
      </w:r>
      <w:r w:rsidR="00696736">
        <w:fldChar w:fldCharType="begin" w:fldLock="1"/>
      </w:r>
      <w:r w:rsidR="00696736">
        <w:instrText xml:space="preserve"> SEQ Table \* ARABIC </w:instrText>
      </w:r>
      <w:r w:rsidR="00696736">
        <w:fldChar w:fldCharType="separate"/>
      </w:r>
      <w:r w:rsidR="00F866CD" w:rsidRPr="009475AF">
        <w:t>8</w:t>
      </w:r>
      <w:r w:rsidR="00696736">
        <w:fldChar w:fldCharType="end"/>
      </w:r>
      <w:bookmarkEnd w:id="38"/>
      <w:r w:rsidR="00182164" w:rsidRPr="009475AF">
        <w:rPr>
          <w:rStyle w:val="CommentReference"/>
          <w:b/>
          <w:szCs w:val="24"/>
        </w:rPr>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pproach"/>
      </w:tblPr>
      <w:tblGrid>
        <w:gridCol w:w="2660"/>
        <w:gridCol w:w="6520"/>
      </w:tblGrid>
      <w:tr w:rsidR="00182164" w:rsidRPr="009475AF" w14:paraId="0E3E9DC3" w14:textId="77777777" w:rsidTr="001F4861">
        <w:tc>
          <w:tcPr>
            <w:tcW w:w="2660" w:type="dxa"/>
            <w:vAlign w:val="center"/>
          </w:tcPr>
          <w:p w14:paraId="0ED08008" w14:textId="77777777" w:rsidR="00182164" w:rsidRPr="009475AF" w:rsidRDefault="00182164" w:rsidP="001F4861">
            <w:pPr>
              <w:pStyle w:val="In-tableHeading"/>
              <w:rPr>
                <w:lang w:val="en-AU"/>
              </w:rPr>
            </w:pPr>
            <w:r w:rsidRPr="009475AF">
              <w:rPr>
                <w:lang w:val="en-AU"/>
              </w:rPr>
              <w:t>Component</w:t>
            </w:r>
          </w:p>
        </w:tc>
        <w:tc>
          <w:tcPr>
            <w:tcW w:w="6520" w:type="dxa"/>
            <w:vAlign w:val="center"/>
          </w:tcPr>
          <w:p w14:paraId="6FCC5DFD" w14:textId="77777777" w:rsidR="00182164" w:rsidRPr="009475AF" w:rsidRDefault="00182164" w:rsidP="001F4861">
            <w:pPr>
              <w:pStyle w:val="In-tableHeading"/>
              <w:rPr>
                <w:lang w:val="en-AU"/>
              </w:rPr>
            </w:pPr>
            <w:r w:rsidRPr="009475AF">
              <w:rPr>
                <w:lang w:val="en-AU"/>
              </w:rPr>
              <w:t>Claim or assumption</w:t>
            </w:r>
          </w:p>
        </w:tc>
      </w:tr>
      <w:tr w:rsidR="00182164" w:rsidRPr="009475AF" w14:paraId="6A471960" w14:textId="77777777" w:rsidTr="001F4861">
        <w:tc>
          <w:tcPr>
            <w:tcW w:w="2660" w:type="dxa"/>
            <w:vAlign w:val="center"/>
          </w:tcPr>
          <w:p w14:paraId="1336F611" w14:textId="77777777" w:rsidR="00182164" w:rsidRPr="009475AF" w:rsidRDefault="00182164" w:rsidP="001F4861">
            <w:pPr>
              <w:pStyle w:val="TableText0"/>
            </w:pPr>
            <w:r w:rsidRPr="009475AF">
              <w:t>Therapeutic claim: effectiveness</w:t>
            </w:r>
          </w:p>
        </w:tc>
        <w:tc>
          <w:tcPr>
            <w:tcW w:w="6520" w:type="dxa"/>
            <w:vAlign w:val="center"/>
          </w:tcPr>
          <w:p w14:paraId="2F591DA4" w14:textId="7A0DD773" w:rsidR="00792BA0" w:rsidRPr="009475AF" w:rsidRDefault="00792BA0" w:rsidP="00792BA0">
            <w:pPr>
              <w:pStyle w:val="TableText0"/>
            </w:pPr>
            <w:r w:rsidRPr="009475AF">
              <w:t xml:space="preserve">Subgroup A) dupilumab has non-inferior efficacy compared to omalizumab for the treatment of paediatric patients with uncontrolled severe asthma; </w:t>
            </w:r>
          </w:p>
          <w:p w14:paraId="3E8AB4CE" w14:textId="43279186" w:rsidR="00182164" w:rsidRPr="009475AF" w:rsidRDefault="00792BA0" w:rsidP="001F4861">
            <w:pPr>
              <w:pStyle w:val="TableText0"/>
            </w:pPr>
            <w:r w:rsidRPr="009475AF">
              <w:t xml:space="preserve">Subgroup B) dupilumab has superior efficacy compared to </w:t>
            </w:r>
            <w:r w:rsidR="00FD5123" w:rsidRPr="009475AF">
              <w:t>standard of care</w:t>
            </w:r>
            <w:r w:rsidRPr="009475AF">
              <w:t xml:space="preserve"> for the treatment of paediatric patients with uncontrolled severe asthma</w:t>
            </w:r>
          </w:p>
        </w:tc>
      </w:tr>
      <w:tr w:rsidR="00182164" w:rsidRPr="009475AF" w14:paraId="25712A0F" w14:textId="77777777" w:rsidTr="001F4861">
        <w:tc>
          <w:tcPr>
            <w:tcW w:w="2660" w:type="dxa"/>
            <w:vAlign w:val="center"/>
          </w:tcPr>
          <w:p w14:paraId="44A57036" w14:textId="77777777" w:rsidR="00182164" w:rsidRPr="009475AF" w:rsidRDefault="00182164" w:rsidP="001F4861">
            <w:pPr>
              <w:pStyle w:val="TableText0"/>
            </w:pPr>
            <w:r w:rsidRPr="009475AF">
              <w:t>Therapeutic claim: safety</w:t>
            </w:r>
          </w:p>
        </w:tc>
        <w:tc>
          <w:tcPr>
            <w:tcW w:w="6520" w:type="dxa"/>
            <w:vAlign w:val="center"/>
          </w:tcPr>
          <w:p w14:paraId="0B352DEC" w14:textId="75DEA932" w:rsidR="00792BA0" w:rsidRPr="009475AF" w:rsidRDefault="00792BA0" w:rsidP="00792BA0">
            <w:pPr>
              <w:pStyle w:val="TableText0"/>
            </w:pPr>
            <w:r w:rsidRPr="009475AF">
              <w:t xml:space="preserve">Subgroup A) dupilumab has non-inferior safety compared to omalizumab for the treatment of paediatric patients with uncontrolled severe asthma; </w:t>
            </w:r>
          </w:p>
          <w:p w14:paraId="19CE9685" w14:textId="6006A6FB" w:rsidR="00182164" w:rsidRPr="009475AF" w:rsidRDefault="00792BA0" w:rsidP="001F4861">
            <w:pPr>
              <w:pStyle w:val="TableText0"/>
            </w:pPr>
            <w:r w:rsidRPr="009475AF">
              <w:t xml:space="preserve">Subgroup B) dupilumab has non-inferior safety compared to </w:t>
            </w:r>
            <w:r w:rsidR="00FD5123" w:rsidRPr="009475AF">
              <w:t>standard of care</w:t>
            </w:r>
            <w:r w:rsidRPr="009475AF">
              <w:t xml:space="preserve"> for the treatment of paediatric patients with uncontrolled severe asthma</w:t>
            </w:r>
          </w:p>
        </w:tc>
      </w:tr>
      <w:tr w:rsidR="00182164" w:rsidRPr="009475AF" w14:paraId="6E615E58" w14:textId="77777777" w:rsidTr="001F4861">
        <w:tc>
          <w:tcPr>
            <w:tcW w:w="2660" w:type="dxa"/>
            <w:vAlign w:val="center"/>
          </w:tcPr>
          <w:p w14:paraId="01674EB4" w14:textId="77777777" w:rsidR="00182164" w:rsidRPr="009475AF" w:rsidRDefault="00182164" w:rsidP="001F4861">
            <w:pPr>
              <w:pStyle w:val="TableText0"/>
            </w:pPr>
            <w:r w:rsidRPr="009475AF">
              <w:t>Evidence base</w:t>
            </w:r>
          </w:p>
        </w:tc>
        <w:tc>
          <w:tcPr>
            <w:tcW w:w="6520" w:type="dxa"/>
            <w:vAlign w:val="center"/>
          </w:tcPr>
          <w:p w14:paraId="73430D47" w14:textId="3CF169AF" w:rsidR="00182164" w:rsidRPr="009475AF" w:rsidRDefault="003F6E30" w:rsidP="001F4861">
            <w:pPr>
              <w:pStyle w:val="TableText0"/>
            </w:pPr>
            <w:r w:rsidRPr="009475AF">
              <w:t xml:space="preserve"> I</w:t>
            </w:r>
            <w:r w:rsidR="00182164" w:rsidRPr="009475AF">
              <w:t xml:space="preserve">ndirect comparison of </w:t>
            </w:r>
            <w:r w:rsidRPr="009475AF">
              <w:t xml:space="preserve">dupilumab </w:t>
            </w:r>
            <w:r w:rsidR="00182164" w:rsidRPr="009475AF">
              <w:t xml:space="preserve">and </w:t>
            </w:r>
            <w:r w:rsidRPr="009475AF">
              <w:t>omalizumab</w:t>
            </w:r>
          </w:p>
        </w:tc>
      </w:tr>
      <w:tr w:rsidR="00182164" w:rsidRPr="009475AF" w14:paraId="4C5E115F" w14:textId="77777777" w:rsidTr="001F4861">
        <w:tc>
          <w:tcPr>
            <w:tcW w:w="2660" w:type="dxa"/>
            <w:vAlign w:val="center"/>
          </w:tcPr>
          <w:p w14:paraId="286D3D72" w14:textId="77777777" w:rsidR="00182164" w:rsidRPr="009475AF" w:rsidRDefault="00182164" w:rsidP="001F4861">
            <w:pPr>
              <w:pStyle w:val="TableText0"/>
            </w:pPr>
            <w:r w:rsidRPr="009475AF">
              <w:t>Equi-effective doses</w:t>
            </w:r>
          </w:p>
        </w:tc>
        <w:tc>
          <w:tcPr>
            <w:tcW w:w="6520" w:type="dxa"/>
            <w:vAlign w:val="center"/>
          </w:tcPr>
          <w:p w14:paraId="125E0491" w14:textId="77777777" w:rsidR="0007115F" w:rsidRPr="009475AF" w:rsidRDefault="0007115F" w:rsidP="0007115F">
            <w:pPr>
              <w:pStyle w:val="TableText0"/>
            </w:pPr>
            <w:bookmarkStart w:id="39" w:name="_Hlk149379682"/>
            <w:r w:rsidRPr="009475AF">
              <w:t xml:space="preserve">Dupilumab 300 mg every four weeks as a subcutaneous injection for patients weighing 15 - &lt;30 kg, 200 mg every 2 weeks as a subcutaneous injection or 300 mg every four weeks as a subcutaneous injection for patients weighing 30 - &lt;60 kg, and 200 mg every two weeks as a subcutaneous injection for patients weighing ≥ 60 kg, is therapeutically equivalent to; </w:t>
            </w:r>
          </w:p>
          <w:p w14:paraId="01DB126A" w14:textId="75FE82ED" w:rsidR="00182164" w:rsidRPr="009475AF" w:rsidRDefault="0007115F" w:rsidP="0007115F">
            <w:pPr>
              <w:pStyle w:val="TableText0"/>
            </w:pPr>
            <w:r w:rsidRPr="009475AF">
              <w:t>Omalizumab 375 mg every four weeks subcutaneous injection, either as one dose (i.e., once every 4 weeks) or split into two equal doses (i.e., once every 2 weeks) depending on patient weight and IgE level.</w:t>
            </w:r>
            <w:bookmarkEnd w:id="39"/>
          </w:p>
        </w:tc>
      </w:tr>
      <w:tr w:rsidR="00182164" w:rsidRPr="009475AF" w14:paraId="0A061C48" w14:textId="77777777" w:rsidTr="001F4861">
        <w:tc>
          <w:tcPr>
            <w:tcW w:w="2660" w:type="dxa"/>
            <w:vAlign w:val="center"/>
          </w:tcPr>
          <w:p w14:paraId="4FCD5170" w14:textId="77777777" w:rsidR="00182164" w:rsidRPr="009475AF" w:rsidRDefault="00182164" w:rsidP="001F4861">
            <w:pPr>
              <w:pStyle w:val="TableText0"/>
            </w:pPr>
            <w:r w:rsidRPr="009475AF">
              <w:t>Direct medicine costs</w:t>
            </w:r>
          </w:p>
        </w:tc>
        <w:tc>
          <w:tcPr>
            <w:tcW w:w="6520" w:type="dxa"/>
            <w:vAlign w:val="center"/>
          </w:tcPr>
          <w:p w14:paraId="12BA240F" w14:textId="4F92407A" w:rsidR="003F6E30" w:rsidRPr="009475AF" w:rsidRDefault="00F85D26" w:rsidP="003F6E30">
            <w:pPr>
              <w:pStyle w:val="TableText0"/>
            </w:pPr>
            <w:r w:rsidRPr="009475AF">
              <w:rPr>
                <w:iCs/>
              </w:rPr>
              <w:t>Drug costs were considered.</w:t>
            </w:r>
          </w:p>
        </w:tc>
      </w:tr>
      <w:tr w:rsidR="00182164" w:rsidRPr="009475AF" w14:paraId="3B00D005" w14:textId="77777777" w:rsidTr="001F4861">
        <w:tc>
          <w:tcPr>
            <w:tcW w:w="2660" w:type="dxa"/>
            <w:vAlign w:val="center"/>
          </w:tcPr>
          <w:p w14:paraId="2777BEEA" w14:textId="77777777" w:rsidR="00182164" w:rsidRPr="009475AF" w:rsidRDefault="00182164" w:rsidP="001F4861">
            <w:pPr>
              <w:pStyle w:val="TableText0"/>
            </w:pPr>
            <w:r w:rsidRPr="009475AF">
              <w:t>Other costs or cost offsets</w:t>
            </w:r>
          </w:p>
        </w:tc>
        <w:tc>
          <w:tcPr>
            <w:tcW w:w="6520" w:type="dxa"/>
            <w:vAlign w:val="center"/>
          </w:tcPr>
          <w:p w14:paraId="37E3D8CC" w14:textId="1E9D0D86" w:rsidR="00182164" w:rsidRPr="009475AF" w:rsidRDefault="003F6E30" w:rsidP="001F4861">
            <w:pPr>
              <w:pStyle w:val="TableText0"/>
            </w:pPr>
            <w:r w:rsidRPr="009475AF">
              <w:t>None.</w:t>
            </w:r>
          </w:p>
        </w:tc>
      </w:tr>
    </w:tbl>
    <w:p w14:paraId="2939155A" w14:textId="6DB2EA34" w:rsidR="00182164" w:rsidRPr="009475AF" w:rsidRDefault="00182164" w:rsidP="00182164">
      <w:pPr>
        <w:pStyle w:val="FooterTableFigure"/>
      </w:pPr>
      <w:r w:rsidRPr="009475AF">
        <w:t>Source: Table</w:t>
      </w:r>
      <w:r w:rsidR="003F6E30" w:rsidRPr="009475AF">
        <w:t xml:space="preserve"> 3.1,</w:t>
      </w:r>
      <w:r w:rsidRPr="009475AF">
        <w:t xml:space="preserve"> p</w:t>
      </w:r>
      <w:r w:rsidR="003F6E30" w:rsidRPr="009475AF">
        <w:t xml:space="preserve"> 196 </w:t>
      </w:r>
      <w:r w:rsidRPr="009475AF">
        <w:t>of the submission.</w:t>
      </w:r>
    </w:p>
    <w:p w14:paraId="49248FC9" w14:textId="38C06B9A" w:rsidR="00FF6427" w:rsidRPr="009475AF" w:rsidRDefault="00FF6427" w:rsidP="00FF6427">
      <w:pPr>
        <w:pStyle w:val="3-BodyText"/>
        <w:rPr>
          <w:iCs/>
        </w:rPr>
      </w:pPr>
      <w:bookmarkStart w:id="40" w:name="_Ref156908080"/>
      <w:r w:rsidRPr="009475AF">
        <w:rPr>
          <w:iCs/>
        </w:rPr>
        <w:t>The ESC noted an economic analysis was not presented for Subgroup B and the submission proposed that the cost-effective price would be the same as for Subgroup A. The ESC considered this assumption uncertain.</w:t>
      </w:r>
    </w:p>
    <w:p w14:paraId="2B5F3719" w14:textId="78BFB501" w:rsidR="002524D5" w:rsidRPr="009475AF" w:rsidRDefault="003F6E30" w:rsidP="003F6E30">
      <w:pPr>
        <w:pStyle w:val="3-BodyText"/>
      </w:pPr>
      <w:r w:rsidRPr="009475AF">
        <w:lastRenderedPageBreak/>
        <w:t>Calculation of the equi-effective doses was complex</w:t>
      </w:r>
      <w:r w:rsidR="006E0FD3" w:rsidRPr="009475AF">
        <w:t xml:space="preserve"> and not derived directly from the clinical trials. </w:t>
      </w:r>
      <w:r w:rsidRPr="009475AF">
        <w:t>The submission proposed:</w:t>
      </w:r>
      <w:bookmarkEnd w:id="40"/>
      <w:r w:rsidRPr="009475AF">
        <w:t xml:space="preserve"> </w:t>
      </w:r>
    </w:p>
    <w:p w14:paraId="3266CE26" w14:textId="102BADF6" w:rsidR="003F6E30" w:rsidRPr="009475AF" w:rsidRDefault="003F6E30" w:rsidP="002405B2">
      <w:pPr>
        <w:pStyle w:val="3-BodyText"/>
        <w:numPr>
          <w:ilvl w:val="0"/>
          <w:numId w:val="16"/>
        </w:numPr>
        <w:ind w:left="1077" w:hanging="357"/>
        <w:rPr>
          <w:rFonts w:eastAsiaTheme="minorHAnsi"/>
          <w:lang w:eastAsia="en-US"/>
        </w:rPr>
      </w:pPr>
      <w:bookmarkStart w:id="41" w:name="_Hlk161389713"/>
      <w:r w:rsidRPr="009475AF">
        <w:rPr>
          <w:rFonts w:eastAsiaTheme="minorHAnsi"/>
          <w:lang w:eastAsia="en-US"/>
        </w:rPr>
        <w:t xml:space="preserve">Dupilumab 300 mg every four weeks as a subcutaneous injection for patients weighing </w:t>
      </w:r>
      <w:r w:rsidRPr="009475AF">
        <w:t xml:space="preserve">15 - &lt;30 kg, 200 mg every 2 weeks </w:t>
      </w:r>
      <w:r w:rsidR="001C563A" w:rsidRPr="009475AF">
        <w:t>by</w:t>
      </w:r>
      <w:r w:rsidRPr="009475AF">
        <w:t xml:space="preserve"> subcutaneous injection or </w:t>
      </w:r>
      <w:r w:rsidR="00DB0B29" w:rsidRPr="009475AF">
        <w:t>300</w:t>
      </w:r>
      <w:r w:rsidR="00DB0B29">
        <w:t> </w:t>
      </w:r>
      <w:r w:rsidRPr="009475AF">
        <w:t xml:space="preserve">mg every four weeks </w:t>
      </w:r>
      <w:r w:rsidR="001C563A" w:rsidRPr="009475AF">
        <w:t>by</w:t>
      </w:r>
      <w:r w:rsidRPr="009475AF">
        <w:t xml:space="preserve"> subcutaneous injection for patients weighing 30 - &lt;60 kg, and 200 mg every two weeks </w:t>
      </w:r>
      <w:r w:rsidR="001C563A" w:rsidRPr="009475AF">
        <w:t>by</w:t>
      </w:r>
      <w:r w:rsidRPr="009475AF">
        <w:t xml:space="preserve"> subcutaneous injection for patients weighing </w:t>
      </w:r>
      <w:r w:rsidRPr="009475AF">
        <w:rPr>
          <w:rFonts w:eastAsiaTheme="minorHAnsi"/>
          <w:lang w:eastAsia="en-US"/>
        </w:rPr>
        <w:t xml:space="preserve">≥ 60 kg, is therapeutically equivalent to </w:t>
      </w:r>
    </w:p>
    <w:p w14:paraId="2368C5CC" w14:textId="74C91F2E" w:rsidR="003F6E30" w:rsidRPr="009475AF" w:rsidRDefault="003F6E30" w:rsidP="002405B2">
      <w:pPr>
        <w:pStyle w:val="ListParagraph"/>
        <w:numPr>
          <w:ilvl w:val="0"/>
          <w:numId w:val="16"/>
        </w:numPr>
        <w:ind w:left="1077" w:hanging="357"/>
        <w:rPr>
          <w:rFonts w:eastAsiaTheme="minorHAnsi"/>
          <w:lang w:eastAsia="en-US"/>
        </w:rPr>
      </w:pPr>
      <w:r w:rsidRPr="009475AF">
        <w:rPr>
          <w:rFonts w:eastAsiaTheme="minorHAnsi"/>
          <w:lang w:eastAsia="en-US"/>
        </w:rPr>
        <w:t xml:space="preserve">Omalizumab 375 mg every four weeks </w:t>
      </w:r>
      <w:r w:rsidR="001C563A" w:rsidRPr="009475AF">
        <w:rPr>
          <w:rFonts w:eastAsiaTheme="minorHAnsi"/>
          <w:lang w:eastAsia="en-US"/>
        </w:rPr>
        <w:t xml:space="preserve">by </w:t>
      </w:r>
      <w:r w:rsidRPr="009475AF">
        <w:rPr>
          <w:rFonts w:eastAsiaTheme="minorHAnsi"/>
          <w:lang w:eastAsia="en-US"/>
        </w:rPr>
        <w:t xml:space="preserve">subcutaneous injection, either as one dose (i.e., once every 4 weeks) or split into two equal doses (i.e., once every </w:t>
      </w:r>
      <w:r w:rsidR="00A26963" w:rsidRPr="009475AF">
        <w:rPr>
          <w:rFonts w:eastAsiaTheme="minorHAnsi"/>
          <w:lang w:eastAsia="en-US"/>
        </w:rPr>
        <w:t>2</w:t>
      </w:r>
      <w:r w:rsidR="00A26963">
        <w:rPr>
          <w:rFonts w:eastAsiaTheme="minorHAnsi"/>
          <w:lang w:eastAsia="en-US"/>
        </w:rPr>
        <w:t> </w:t>
      </w:r>
      <w:r w:rsidRPr="009475AF">
        <w:rPr>
          <w:rFonts w:eastAsiaTheme="minorHAnsi"/>
          <w:lang w:eastAsia="en-US"/>
        </w:rPr>
        <w:t xml:space="preserve">weeks). </w:t>
      </w:r>
    </w:p>
    <w:bookmarkEnd w:id="41"/>
    <w:p w14:paraId="55A2D3DC" w14:textId="1F4CAEBC" w:rsidR="00A36D19" w:rsidRPr="009475AF" w:rsidRDefault="003F6E30" w:rsidP="008C45B1">
      <w:pPr>
        <w:pStyle w:val="3-BodyText"/>
      </w:pPr>
      <w:r w:rsidRPr="009475AF">
        <w:t xml:space="preserve">Given that the dose of and frequency of dupilumab </w:t>
      </w:r>
      <w:r w:rsidR="00446E7E" w:rsidRPr="009475AF">
        <w:t xml:space="preserve">injections </w:t>
      </w:r>
      <w:r w:rsidRPr="009475AF">
        <w:t>is based on weight</w:t>
      </w:r>
      <w:r w:rsidR="00446E7E" w:rsidRPr="009475AF">
        <w:t>, t</w:t>
      </w:r>
      <w:r w:rsidRPr="009475AF">
        <w:t xml:space="preserve">he submission used the US Centres for Disease Control (CDC) age-weight charts to calculate a weighted mean dose of dupilumab. </w:t>
      </w:r>
      <w:r w:rsidR="00D906AD" w:rsidRPr="009475AF">
        <w:t xml:space="preserve">It was assumed for the economic analysis that 90% of patients weighing 30 to &lt; 60 kg would be treated using the </w:t>
      </w:r>
      <w:r w:rsidR="00BE2BF5" w:rsidRPr="009475AF">
        <w:t>4</w:t>
      </w:r>
      <w:r w:rsidR="00A26963">
        <w:noBreakHyphen/>
      </w:r>
      <w:r w:rsidR="00BE2BF5" w:rsidRPr="009475AF">
        <w:t>weekly</w:t>
      </w:r>
      <w:r w:rsidR="00D906AD" w:rsidRPr="009475AF">
        <w:t xml:space="preserve"> regimen, and 10% will be treated using the </w:t>
      </w:r>
      <w:r w:rsidR="009375CD" w:rsidRPr="009475AF">
        <w:t>2</w:t>
      </w:r>
      <w:r w:rsidR="00FD5123" w:rsidRPr="009475AF">
        <w:t>-</w:t>
      </w:r>
      <w:r w:rsidR="00D906AD" w:rsidRPr="009475AF">
        <w:t xml:space="preserve">weekly regimen. The </w:t>
      </w:r>
      <w:r w:rsidR="003217A0" w:rsidRPr="009475AF">
        <w:t xml:space="preserve">submission has proposed effective prices such that the </w:t>
      </w:r>
      <w:r w:rsidR="00D906AD" w:rsidRPr="009475AF">
        <w:t xml:space="preserve">monthly treatment cost for a patient receiving Q2W or Q4W dosing </w:t>
      </w:r>
      <w:r w:rsidR="003217A0" w:rsidRPr="009475AF">
        <w:t xml:space="preserve">would be </w:t>
      </w:r>
      <w:r w:rsidR="00D906AD" w:rsidRPr="009475AF">
        <w:t xml:space="preserve">the same, </w:t>
      </w:r>
      <w:r w:rsidR="0028721A" w:rsidRPr="009475AF">
        <w:rPr>
          <w:iCs/>
        </w:rPr>
        <w:t>and stated</w:t>
      </w:r>
      <w:r w:rsidR="0028721A" w:rsidRPr="009475AF">
        <w:t xml:space="preserve"> </w:t>
      </w:r>
      <w:r w:rsidR="00D906AD" w:rsidRPr="009475AF">
        <w:t>this assumption has no impact on the overall estimated cost of dupilumab to the PBS</w:t>
      </w:r>
      <w:r w:rsidR="005E4B0F" w:rsidRPr="009475AF">
        <w:t xml:space="preserve">. </w:t>
      </w:r>
      <w:r w:rsidR="00A36D19" w:rsidRPr="009475AF">
        <w:rPr>
          <w:iCs/>
        </w:rPr>
        <w:t xml:space="preserve">The ESC noted </w:t>
      </w:r>
      <w:r w:rsidR="0028721A" w:rsidRPr="009475AF">
        <w:rPr>
          <w:iCs/>
        </w:rPr>
        <w:t>the same monthly cos</w:t>
      </w:r>
      <w:r w:rsidR="004F2176" w:rsidRPr="009475AF">
        <w:rPr>
          <w:iCs/>
        </w:rPr>
        <w:t>t</w:t>
      </w:r>
      <w:r w:rsidR="00A36D19" w:rsidRPr="009475AF">
        <w:rPr>
          <w:iCs/>
        </w:rPr>
        <w:t xml:space="preserve"> requires the cost per syringe for the 2 weekly regimen to be half that for the 4 weekly regimen. </w:t>
      </w:r>
      <w:r w:rsidR="00D37A76" w:rsidRPr="009475AF">
        <w:rPr>
          <w:iCs/>
        </w:rPr>
        <w:t xml:space="preserve">The submission stated the impact of the different per pack prices for Q2W and Q4W regimens will be reconciled via the derivation of a weighted AEMP at the published price level. </w:t>
      </w:r>
    </w:p>
    <w:p w14:paraId="3FCE6DA6" w14:textId="0ED3B6A5" w:rsidR="00506333" w:rsidRPr="00A26963" w:rsidRDefault="00250C88" w:rsidP="00A26963">
      <w:pPr>
        <w:pStyle w:val="3-BodyText"/>
        <w:rPr>
          <w:rFonts w:ascii="Arial Narrow" w:hAnsi="Arial Narrow"/>
          <w:b/>
          <w:bCs/>
          <w:sz w:val="20"/>
          <w:szCs w:val="18"/>
        </w:rPr>
      </w:pPr>
      <w:r w:rsidRPr="009475AF">
        <w:t xml:space="preserve">The proportion of patients in each weight band is shown in </w:t>
      </w:r>
      <w:r w:rsidR="00B16EB9" w:rsidRPr="009475AF">
        <w:fldChar w:fldCharType="begin" w:fldLock="1"/>
      </w:r>
      <w:r w:rsidR="00B16EB9" w:rsidRPr="009475AF">
        <w:instrText xml:space="preserve"> REF _Ref153978339 \h </w:instrText>
      </w:r>
      <w:r w:rsidR="00E54297" w:rsidRPr="009475AF">
        <w:instrText xml:space="preserve"> \* MERGEFORMAT </w:instrText>
      </w:r>
      <w:r w:rsidR="00B16EB9" w:rsidRPr="009475AF">
        <w:fldChar w:fldCharType="separate"/>
      </w:r>
      <w:r w:rsidR="00B16EB9" w:rsidRPr="009475AF">
        <w:t>Table 9</w:t>
      </w:r>
      <w:r w:rsidR="00B16EB9" w:rsidRPr="009475AF">
        <w:fldChar w:fldCharType="end"/>
      </w:r>
      <w:r w:rsidR="00D37EA1" w:rsidRPr="009475AF">
        <w:t xml:space="preserve">. </w:t>
      </w:r>
      <w:r w:rsidR="00D37A76" w:rsidRPr="009475AF">
        <w:rPr>
          <w:iCs/>
        </w:rPr>
        <w:t xml:space="preserve">Based on this it was estimated </w:t>
      </w:r>
      <w:bookmarkStart w:id="42" w:name="_Hlk149379918"/>
      <w:r w:rsidR="00D37A76" w:rsidRPr="009475AF">
        <w:rPr>
          <w:iCs/>
        </w:rPr>
        <w:t>94.1.% (i.e., 47.0% + [90%*52.3%]) of patients are expected to be treated with dupilumab every four weeks and 5.9% (i.e., 0.7% + [10%*52.3%]) of patients are expected to be treated with dupilumab every two weeks</w:t>
      </w:r>
      <w:bookmarkEnd w:id="42"/>
      <w:r w:rsidR="00D37A76" w:rsidRPr="009475AF">
        <w:rPr>
          <w:iCs/>
        </w:rPr>
        <w:t>.</w:t>
      </w:r>
      <w:r w:rsidR="00D37A76" w:rsidRPr="009475AF">
        <w:t xml:space="preserve"> </w:t>
      </w:r>
    </w:p>
    <w:p w14:paraId="31C3970A" w14:textId="6518CB09" w:rsidR="00250C88" w:rsidRPr="009475AF" w:rsidRDefault="00B16EB9" w:rsidP="00A26963">
      <w:pPr>
        <w:pStyle w:val="Caption"/>
        <w:rPr>
          <w:rStyle w:val="CommentReference"/>
        </w:rPr>
      </w:pPr>
      <w:bookmarkStart w:id="43" w:name="_Ref153978339"/>
      <w:r w:rsidRPr="009475AF">
        <w:t xml:space="preserve">Table </w:t>
      </w:r>
      <w:r w:rsidR="00696736">
        <w:fldChar w:fldCharType="begin" w:fldLock="1"/>
      </w:r>
      <w:r w:rsidR="00696736">
        <w:instrText xml:space="preserve"> SEQ Table \* ARABIC </w:instrText>
      </w:r>
      <w:r w:rsidR="00696736">
        <w:fldChar w:fldCharType="separate"/>
      </w:r>
      <w:r w:rsidR="00F866CD" w:rsidRPr="009475AF">
        <w:t>9</w:t>
      </w:r>
      <w:r w:rsidR="00696736">
        <w:fldChar w:fldCharType="end"/>
      </w:r>
      <w:bookmarkEnd w:id="43"/>
      <w:r w:rsidRPr="009475AF">
        <w:rPr>
          <w:rStyle w:val="TableFigureHeadingChar"/>
          <w:b/>
          <w:bCs/>
        </w:rPr>
        <w:t xml:space="preserve">: </w:t>
      </w:r>
      <w:r w:rsidR="00250C88" w:rsidRPr="009475AF">
        <w:rPr>
          <w:rStyle w:val="TableFigureHeadingChar"/>
          <w:b/>
          <w:bCs/>
        </w:rPr>
        <w:t>Proportion of patients in each dupilumab weight band</w:t>
      </w:r>
    </w:p>
    <w:tbl>
      <w:tblPr>
        <w:tblStyle w:val="TableGrid"/>
        <w:tblW w:w="0" w:type="auto"/>
        <w:tblLook w:val="04A0" w:firstRow="1" w:lastRow="0" w:firstColumn="1" w:lastColumn="0" w:noHBand="0" w:noVBand="1"/>
        <w:tblCaption w:val="Table 9: Proportion of patients in each dupilumab weight band"/>
      </w:tblPr>
      <w:tblGrid>
        <w:gridCol w:w="2261"/>
        <w:gridCol w:w="2252"/>
        <w:gridCol w:w="2252"/>
        <w:gridCol w:w="2252"/>
      </w:tblGrid>
      <w:tr w:rsidR="00250C88" w:rsidRPr="009475AF" w14:paraId="46788378" w14:textId="77777777" w:rsidTr="00001C7E">
        <w:tc>
          <w:tcPr>
            <w:tcW w:w="2394" w:type="dxa"/>
          </w:tcPr>
          <w:p w14:paraId="37863958" w14:textId="4C719A26" w:rsidR="00250C88" w:rsidRPr="009475AF" w:rsidRDefault="00250C88" w:rsidP="00A26963">
            <w:pPr>
              <w:pStyle w:val="PBACTableText"/>
              <w:keepNext/>
              <w:spacing w:before="0" w:after="0"/>
              <w:rPr>
                <w:b/>
                <w:bCs/>
              </w:rPr>
            </w:pPr>
            <w:r w:rsidRPr="009475AF">
              <w:rPr>
                <w:b/>
                <w:bCs/>
              </w:rPr>
              <w:t>Age</w:t>
            </w:r>
            <w:r w:rsidR="00175A9F" w:rsidRPr="009475AF">
              <w:rPr>
                <w:b/>
                <w:bCs/>
              </w:rPr>
              <w:t xml:space="preserve"> (years)</w:t>
            </w:r>
          </w:p>
        </w:tc>
        <w:tc>
          <w:tcPr>
            <w:tcW w:w="2394" w:type="dxa"/>
          </w:tcPr>
          <w:p w14:paraId="7A14D7A5" w14:textId="77777777" w:rsidR="00250C88" w:rsidRPr="009475AF" w:rsidRDefault="00FD5123" w:rsidP="00A26963">
            <w:pPr>
              <w:pStyle w:val="PBACTableText"/>
              <w:keepNext/>
              <w:spacing w:before="0" w:after="0"/>
              <w:jc w:val="center"/>
              <w:rPr>
                <w:b/>
                <w:bCs/>
              </w:rPr>
            </w:pPr>
            <w:r w:rsidRPr="009475AF">
              <w:rPr>
                <w:b/>
                <w:bCs/>
              </w:rPr>
              <w:t xml:space="preserve">Weight: </w:t>
            </w:r>
            <w:r w:rsidR="00250C88" w:rsidRPr="009475AF">
              <w:rPr>
                <w:b/>
                <w:bCs/>
              </w:rPr>
              <w:t>15 - &lt;30 kg</w:t>
            </w:r>
          </w:p>
          <w:p w14:paraId="3352AF39" w14:textId="5E5E53DA" w:rsidR="00D37A76" w:rsidRPr="009475AF" w:rsidRDefault="00D37A76" w:rsidP="00A26963">
            <w:pPr>
              <w:pStyle w:val="PBACTableText"/>
              <w:keepNext/>
              <w:spacing w:before="0" w:after="0"/>
              <w:jc w:val="center"/>
              <w:rPr>
                <w:b/>
                <w:bCs/>
              </w:rPr>
            </w:pPr>
            <w:r w:rsidRPr="009475AF">
              <w:rPr>
                <w:b/>
                <w:bCs/>
              </w:rPr>
              <w:t>Dose: 300 mg Q4W</w:t>
            </w:r>
          </w:p>
        </w:tc>
        <w:tc>
          <w:tcPr>
            <w:tcW w:w="2394" w:type="dxa"/>
          </w:tcPr>
          <w:p w14:paraId="68799CC0" w14:textId="77777777" w:rsidR="00250C88" w:rsidRPr="009475AF" w:rsidRDefault="00FD5123" w:rsidP="00A26963">
            <w:pPr>
              <w:pStyle w:val="PBACTableText"/>
              <w:keepNext/>
              <w:spacing w:before="0" w:after="0"/>
              <w:jc w:val="center"/>
              <w:rPr>
                <w:b/>
                <w:bCs/>
              </w:rPr>
            </w:pPr>
            <w:r w:rsidRPr="009475AF">
              <w:rPr>
                <w:b/>
                <w:bCs/>
              </w:rPr>
              <w:t xml:space="preserve">Weight: </w:t>
            </w:r>
            <w:r w:rsidR="00250C88" w:rsidRPr="009475AF">
              <w:rPr>
                <w:b/>
                <w:bCs/>
              </w:rPr>
              <w:t>30 - &lt;60 kg</w:t>
            </w:r>
          </w:p>
          <w:p w14:paraId="033C6124" w14:textId="77777777" w:rsidR="00D37A76" w:rsidRPr="009475AF" w:rsidRDefault="00D37A76" w:rsidP="00A26963">
            <w:pPr>
              <w:pStyle w:val="PBACTableText"/>
              <w:keepNext/>
              <w:spacing w:before="0" w:after="0"/>
              <w:jc w:val="center"/>
              <w:rPr>
                <w:b/>
                <w:bCs/>
              </w:rPr>
            </w:pPr>
            <w:r w:rsidRPr="009475AF">
              <w:rPr>
                <w:b/>
                <w:bCs/>
              </w:rPr>
              <w:t>Dose: 200 mg Q2W (10%)</w:t>
            </w:r>
          </w:p>
          <w:p w14:paraId="0618F7C6" w14:textId="5EC9600B" w:rsidR="00D37A76" w:rsidRPr="009475AF" w:rsidRDefault="00D37A76" w:rsidP="00A26963">
            <w:pPr>
              <w:pStyle w:val="PBACTableText"/>
              <w:keepNext/>
              <w:spacing w:before="0" w:after="0"/>
              <w:jc w:val="center"/>
              <w:rPr>
                <w:b/>
                <w:bCs/>
              </w:rPr>
            </w:pPr>
            <w:r w:rsidRPr="009475AF">
              <w:rPr>
                <w:b/>
                <w:bCs/>
              </w:rPr>
              <w:t>300 mg Q4W (90%)</w:t>
            </w:r>
          </w:p>
        </w:tc>
        <w:tc>
          <w:tcPr>
            <w:tcW w:w="2394" w:type="dxa"/>
          </w:tcPr>
          <w:p w14:paraId="6C0C7EDC" w14:textId="77777777" w:rsidR="00250C88" w:rsidRPr="009475AF" w:rsidRDefault="00FD5123" w:rsidP="00A26963">
            <w:pPr>
              <w:pStyle w:val="PBACTableText"/>
              <w:keepNext/>
              <w:spacing w:before="0" w:after="0"/>
              <w:jc w:val="center"/>
              <w:rPr>
                <w:b/>
                <w:bCs/>
              </w:rPr>
            </w:pPr>
            <w:r w:rsidRPr="009475AF">
              <w:rPr>
                <w:b/>
                <w:bCs/>
              </w:rPr>
              <w:t xml:space="preserve">Weight: </w:t>
            </w:r>
            <w:r w:rsidR="00250C88" w:rsidRPr="009475AF">
              <w:rPr>
                <w:b/>
                <w:bCs/>
              </w:rPr>
              <w:t>≥ 60 kg</w:t>
            </w:r>
          </w:p>
          <w:p w14:paraId="06E62726" w14:textId="02E75AEE" w:rsidR="00D37A76" w:rsidRPr="009475AF" w:rsidRDefault="00D37A76" w:rsidP="00A26963">
            <w:pPr>
              <w:pStyle w:val="PBACTableText"/>
              <w:keepNext/>
              <w:spacing w:before="0" w:after="0"/>
              <w:jc w:val="center"/>
              <w:rPr>
                <w:b/>
                <w:bCs/>
              </w:rPr>
            </w:pPr>
            <w:r w:rsidRPr="009475AF">
              <w:rPr>
                <w:b/>
                <w:bCs/>
              </w:rPr>
              <w:t>Dose: 200 mg Q2W</w:t>
            </w:r>
          </w:p>
        </w:tc>
      </w:tr>
      <w:tr w:rsidR="00250C88" w:rsidRPr="009475AF" w14:paraId="218FB6A9" w14:textId="77777777" w:rsidTr="00001C7E">
        <w:tc>
          <w:tcPr>
            <w:tcW w:w="2394" w:type="dxa"/>
          </w:tcPr>
          <w:p w14:paraId="185861F2" w14:textId="77777777" w:rsidR="00250C88" w:rsidRPr="009475AF" w:rsidRDefault="00250C88" w:rsidP="00A26963">
            <w:pPr>
              <w:pStyle w:val="PBACTableText"/>
              <w:keepNext/>
              <w:spacing w:before="0" w:after="0"/>
            </w:pPr>
            <w:r w:rsidRPr="009475AF">
              <w:t>6</w:t>
            </w:r>
          </w:p>
        </w:tc>
        <w:tc>
          <w:tcPr>
            <w:tcW w:w="2394" w:type="dxa"/>
          </w:tcPr>
          <w:p w14:paraId="11B2421B" w14:textId="6DC2EC37" w:rsidR="00250C88" w:rsidRPr="009475AF" w:rsidRDefault="00250C88" w:rsidP="00A26963">
            <w:pPr>
              <w:pStyle w:val="PBACTableText"/>
              <w:keepNext/>
              <w:spacing w:before="0" w:after="0"/>
              <w:jc w:val="center"/>
            </w:pPr>
            <w:r w:rsidRPr="009475AF">
              <w:t>98%</w:t>
            </w:r>
          </w:p>
        </w:tc>
        <w:tc>
          <w:tcPr>
            <w:tcW w:w="2394" w:type="dxa"/>
          </w:tcPr>
          <w:p w14:paraId="7E9EBA54" w14:textId="77777777" w:rsidR="00250C88" w:rsidRPr="009475AF" w:rsidRDefault="00250C88" w:rsidP="00A26963">
            <w:pPr>
              <w:pStyle w:val="PBACTableText"/>
              <w:keepNext/>
              <w:spacing w:before="0" w:after="0"/>
              <w:jc w:val="center"/>
            </w:pPr>
            <w:r w:rsidRPr="009475AF">
              <w:t>2%</w:t>
            </w:r>
          </w:p>
        </w:tc>
        <w:tc>
          <w:tcPr>
            <w:tcW w:w="2394" w:type="dxa"/>
          </w:tcPr>
          <w:p w14:paraId="2A5F3562" w14:textId="77777777" w:rsidR="00250C88" w:rsidRPr="009475AF" w:rsidRDefault="00250C88" w:rsidP="00A26963">
            <w:pPr>
              <w:pStyle w:val="PBACTableText"/>
              <w:keepNext/>
              <w:spacing w:before="0" w:after="0"/>
              <w:jc w:val="center"/>
            </w:pPr>
            <w:r w:rsidRPr="009475AF">
              <w:t>0%</w:t>
            </w:r>
          </w:p>
        </w:tc>
      </w:tr>
      <w:tr w:rsidR="00250C88" w:rsidRPr="009475AF" w14:paraId="287E5C52" w14:textId="77777777" w:rsidTr="00001C7E">
        <w:tc>
          <w:tcPr>
            <w:tcW w:w="2394" w:type="dxa"/>
          </w:tcPr>
          <w:p w14:paraId="215F44DE" w14:textId="77777777" w:rsidR="00250C88" w:rsidRPr="009475AF" w:rsidRDefault="00250C88" w:rsidP="00A26963">
            <w:pPr>
              <w:pStyle w:val="PBACTableText"/>
              <w:keepNext/>
              <w:spacing w:before="0" w:after="0"/>
            </w:pPr>
            <w:r w:rsidRPr="009475AF">
              <w:t>7</w:t>
            </w:r>
          </w:p>
        </w:tc>
        <w:tc>
          <w:tcPr>
            <w:tcW w:w="2394" w:type="dxa"/>
          </w:tcPr>
          <w:p w14:paraId="5EE1B976" w14:textId="69ECEA39" w:rsidR="00250C88" w:rsidRPr="009475AF" w:rsidRDefault="00250C88" w:rsidP="00A26963">
            <w:pPr>
              <w:pStyle w:val="PBACTableText"/>
              <w:keepNext/>
              <w:spacing w:before="0" w:after="0"/>
              <w:jc w:val="center"/>
            </w:pPr>
            <w:r w:rsidRPr="009475AF">
              <w:t>8</w:t>
            </w:r>
            <w:r w:rsidR="00B51AC8" w:rsidRPr="009475AF">
              <w:t>3</w:t>
            </w:r>
            <w:r w:rsidRPr="009475AF">
              <w:t>%</w:t>
            </w:r>
          </w:p>
        </w:tc>
        <w:tc>
          <w:tcPr>
            <w:tcW w:w="2394" w:type="dxa"/>
          </w:tcPr>
          <w:p w14:paraId="1494C248" w14:textId="77777777" w:rsidR="00250C88" w:rsidRPr="009475AF" w:rsidRDefault="00250C88" w:rsidP="00A26963">
            <w:pPr>
              <w:pStyle w:val="PBACTableText"/>
              <w:keepNext/>
              <w:spacing w:before="0" w:after="0"/>
              <w:jc w:val="center"/>
            </w:pPr>
            <w:r w:rsidRPr="009475AF">
              <w:t>17%</w:t>
            </w:r>
          </w:p>
        </w:tc>
        <w:tc>
          <w:tcPr>
            <w:tcW w:w="2394" w:type="dxa"/>
          </w:tcPr>
          <w:p w14:paraId="29EDF28A" w14:textId="77777777" w:rsidR="00250C88" w:rsidRPr="009475AF" w:rsidRDefault="00250C88" w:rsidP="00A26963">
            <w:pPr>
              <w:pStyle w:val="PBACTableText"/>
              <w:keepNext/>
              <w:spacing w:before="0" w:after="0"/>
              <w:jc w:val="center"/>
            </w:pPr>
            <w:r w:rsidRPr="009475AF">
              <w:t>0%</w:t>
            </w:r>
          </w:p>
        </w:tc>
      </w:tr>
      <w:tr w:rsidR="00250C88" w:rsidRPr="009475AF" w14:paraId="2AEACC90" w14:textId="77777777" w:rsidTr="00001C7E">
        <w:tc>
          <w:tcPr>
            <w:tcW w:w="2394" w:type="dxa"/>
          </w:tcPr>
          <w:p w14:paraId="12A87482" w14:textId="77777777" w:rsidR="00250C88" w:rsidRPr="009475AF" w:rsidRDefault="00250C88" w:rsidP="00A26963">
            <w:pPr>
              <w:pStyle w:val="PBACTableText"/>
              <w:keepNext/>
              <w:spacing w:before="0" w:after="0"/>
            </w:pPr>
            <w:r w:rsidRPr="009475AF">
              <w:t>8</w:t>
            </w:r>
          </w:p>
        </w:tc>
        <w:tc>
          <w:tcPr>
            <w:tcW w:w="2394" w:type="dxa"/>
          </w:tcPr>
          <w:p w14:paraId="638A53F9" w14:textId="40E26A71" w:rsidR="00250C88" w:rsidRPr="009475AF" w:rsidRDefault="00250C88" w:rsidP="00A26963">
            <w:pPr>
              <w:pStyle w:val="PBACTableText"/>
              <w:keepNext/>
              <w:spacing w:before="0" w:after="0"/>
              <w:jc w:val="center"/>
            </w:pPr>
            <w:r w:rsidRPr="009475AF">
              <w:t>55%</w:t>
            </w:r>
          </w:p>
        </w:tc>
        <w:tc>
          <w:tcPr>
            <w:tcW w:w="2394" w:type="dxa"/>
          </w:tcPr>
          <w:p w14:paraId="4CC472DD" w14:textId="77777777" w:rsidR="00250C88" w:rsidRPr="009475AF" w:rsidRDefault="00250C88" w:rsidP="00A26963">
            <w:pPr>
              <w:pStyle w:val="PBACTableText"/>
              <w:keepNext/>
              <w:spacing w:before="0" w:after="0"/>
              <w:jc w:val="center"/>
            </w:pPr>
            <w:r w:rsidRPr="009475AF">
              <w:t>45%</w:t>
            </w:r>
          </w:p>
        </w:tc>
        <w:tc>
          <w:tcPr>
            <w:tcW w:w="2394" w:type="dxa"/>
          </w:tcPr>
          <w:p w14:paraId="27776858" w14:textId="77777777" w:rsidR="00250C88" w:rsidRPr="009475AF" w:rsidRDefault="00250C88" w:rsidP="00A26963">
            <w:pPr>
              <w:pStyle w:val="PBACTableText"/>
              <w:keepNext/>
              <w:spacing w:before="0" w:after="0"/>
              <w:jc w:val="center"/>
            </w:pPr>
            <w:r w:rsidRPr="009475AF">
              <w:t>0%</w:t>
            </w:r>
          </w:p>
        </w:tc>
      </w:tr>
      <w:tr w:rsidR="00250C88" w:rsidRPr="009475AF" w14:paraId="688FEA30" w14:textId="77777777" w:rsidTr="00001C7E">
        <w:tc>
          <w:tcPr>
            <w:tcW w:w="2394" w:type="dxa"/>
          </w:tcPr>
          <w:p w14:paraId="0CB68CED" w14:textId="77777777" w:rsidR="00250C88" w:rsidRPr="009475AF" w:rsidRDefault="00250C88" w:rsidP="00A26963">
            <w:pPr>
              <w:pStyle w:val="PBACTableText"/>
              <w:keepNext/>
              <w:spacing w:before="0" w:after="0"/>
            </w:pPr>
            <w:r w:rsidRPr="009475AF">
              <w:t>9</w:t>
            </w:r>
          </w:p>
        </w:tc>
        <w:tc>
          <w:tcPr>
            <w:tcW w:w="2394" w:type="dxa"/>
          </w:tcPr>
          <w:p w14:paraId="5249270E" w14:textId="491A53CE" w:rsidR="00250C88" w:rsidRPr="009475AF" w:rsidRDefault="00250C88" w:rsidP="00A26963">
            <w:pPr>
              <w:pStyle w:val="PBACTableText"/>
              <w:keepNext/>
              <w:spacing w:before="0" w:after="0"/>
              <w:jc w:val="center"/>
            </w:pPr>
            <w:r w:rsidRPr="009475AF">
              <w:t>2</w:t>
            </w:r>
            <w:r w:rsidR="00B51AC8" w:rsidRPr="009475AF">
              <w:t>8</w:t>
            </w:r>
            <w:r w:rsidRPr="009475AF">
              <w:t>%</w:t>
            </w:r>
          </w:p>
        </w:tc>
        <w:tc>
          <w:tcPr>
            <w:tcW w:w="2394" w:type="dxa"/>
          </w:tcPr>
          <w:p w14:paraId="5B6C1E73" w14:textId="77777777" w:rsidR="00250C88" w:rsidRPr="009475AF" w:rsidRDefault="00250C88" w:rsidP="00A26963">
            <w:pPr>
              <w:pStyle w:val="PBACTableText"/>
              <w:keepNext/>
              <w:spacing w:before="0" w:after="0"/>
              <w:jc w:val="center"/>
            </w:pPr>
            <w:r w:rsidRPr="009475AF">
              <w:t>72%</w:t>
            </w:r>
          </w:p>
        </w:tc>
        <w:tc>
          <w:tcPr>
            <w:tcW w:w="2394" w:type="dxa"/>
          </w:tcPr>
          <w:p w14:paraId="5DD8FDDD" w14:textId="77777777" w:rsidR="00250C88" w:rsidRPr="009475AF" w:rsidRDefault="00250C88" w:rsidP="00A26963">
            <w:pPr>
              <w:pStyle w:val="PBACTableText"/>
              <w:keepNext/>
              <w:spacing w:before="0" w:after="0"/>
              <w:jc w:val="center"/>
            </w:pPr>
            <w:r w:rsidRPr="009475AF">
              <w:t>0%</w:t>
            </w:r>
          </w:p>
        </w:tc>
      </w:tr>
      <w:tr w:rsidR="00250C88" w:rsidRPr="009475AF" w14:paraId="2FF87F4F" w14:textId="77777777" w:rsidTr="00001C7E">
        <w:tc>
          <w:tcPr>
            <w:tcW w:w="2394" w:type="dxa"/>
          </w:tcPr>
          <w:p w14:paraId="74182AA5" w14:textId="77777777" w:rsidR="00250C88" w:rsidRPr="009475AF" w:rsidRDefault="00250C88" w:rsidP="00A26963">
            <w:pPr>
              <w:pStyle w:val="PBACTableText"/>
              <w:keepNext/>
              <w:spacing w:before="0" w:after="0"/>
            </w:pPr>
            <w:r w:rsidRPr="009475AF">
              <w:t>10</w:t>
            </w:r>
          </w:p>
        </w:tc>
        <w:tc>
          <w:tcPr>
            <w:tcW w:w="2394" w:type="dxa"/>
          </w:tcPr>
          <w:p w14:paraId="5E28FBC4" w14:textId="120DEF1D" w:rsidR="00250C88" w:rsidRPr="009475AF" w:rsidRDefault="00250C88" w:rsidP="00A26963">
            <w:pPr>
              <w:pStyle w:val="PBACTableText"/>
              <w:keepNext/>
              <w:spacing w:before="0" w:after="0"/>
              <w:jc w:val="center"/>
            </w:pPr>
            <w:r w:rsidRPr="009475AF">
              <w:t>1</w:t>
            </w:r>
            <w:r w:rsidR="00B51AC8" w:rsidRPr="009475AF">
              <w:t>1</w:t>
            </w:r>
            <w:r w:rsidRPr="009475AF">
              <w:t>%</w:t>
            </w:r>
          </w:p>
        </w:tc>
        <w:tc>
          <w:tcPr>
            <w:tcW w:w="2394" w:type="dxa"/>
          </w:tcPr>
          <w:p w14:paraId="654F89C2" w14:textId="77777777" w:rsidR="00250C88" w:rsidRPr="009475AF" w:rsidRDefault="00250C88" w:rsidP="00A26963">
            <w:pPr>
              <w:pStyle w:val="PBACTableText"/>
              <w:keepNext/>
              <w:spacing w:before="0" w:after="0"/>
              <w:jc w:val="center"/>
            </w:pPr>
            <w:r w:rsidRPr="009475AF">
              <w:t>89%</w:t>
            </w:r>
          </w:p>
        </w:tc>
        <w:tc>
          <w:tcPr>
            <w:tcW w:w="2394" w:type="dxa"/>
          </w:tcPr>
          <w:p w14:paraId="3764C579" w14:textId="77777777" w:rsidR="00250C88" w:rsidRPr="009475AF" w:rsidRDefault="00250C88" w:rsidP="00A26963">
            <w:pPr>
              <w:pStyle w:val="PBACTableText"/>
              <w:keepNext/>
              <w:spacing w:before="0" w:after="0"/>
              <w:jc w:val="center"/>
            </w:pPr>
            <w:r w:rsidRPr="009475AF">
              <w:t>0%</w:t>
            </w:r>
          </w:p>
        </w:tc>
      </w:tr>
      <w:tr w:rsidR="00250C88" w:rsidRPr="009475AF" w14:paraId="52E65C77" w14:textId="77777777" w:rsidTr="00001C7E">
        <w:tc>
          <w:tcPr>
            <w:tcW w:w="2394" w:type="dxa"/>
          </w:tcPr>
          <w:p w14:paraId="6B38D70F" w14:textId="77777777" w:rsidR="00250C88" w:rsidRPr="009475AF" w:rsidRDefault="00250C88" w:rsidP="00A26963">
            <w:pPr>
              <w:pStyle w:val="PBACTableText"/>
              <w:keepNext/>
              <w:spacing w:before="0" w:after="0"/>
            </w:pPr>
            <w:r w:rsidRPr="009475AF">
              <w:t>11</w:t>
            </w:r>
          </w:p>
        </w:tc>
        <w:tc>
          <w:tcPr>
            <w:tcW w:w="2394" w:type="dxa"/>
          </w:tcPr>
          <w:p w14:paraId="7E9F40B9" w14:textId="3B9AE6E1" w:rsidR="00250C88" w:rsidRPr="009475AF" w:rsidRDefault="00250C88" w:rsidP="00A26963">
            <w:pPr>
              <w:pStyle w:val="PBACTableText"/>
              <w:keepNext/>
              <w:spacing w:before="0" w:after="0"/>
              <w:jc w:val="center"/>
            </w:pPr>
            <w:r w:rsidRPr="009475AF">
              <w:t>5%</w:t>
            </w:r>
          </w:p>
        </w:tc>
        <w:tc>
          <w:tcPr>
            <w:tcW w:w="2394" w:type="dxa"/>
          </w:tcPr>
          <w:p w14:paraId="3E82F729" w14:textId="40981A2F" w:rsidR="00250C88" w:rsidRPr="009475AF" w:rsidRDefault="00250C88" w:rsidP="00A26963">
            <w:pPr>
              <w:pStyle w:val="PBACTableText"/>
              <w:keepNext/>
              <w:spacing w:before="0" w:after="0"/>
              <w:jc w:val="center"/>
            </w:pPr>
            <w:r w:rsidRPr="009475AF">
              <w:t>9</w:t>
            </w:r>
            <w:r w:rsidR="00B51AC8" w:rsidRPr="009475AF">
              <w:t>1</w:t>
            </w:r>
            <w:r w:rsidRPr="009475AF">
              <w:t>%</w:t>
            </w:r>
          </w:p>
        </w:tc>
        <w:tc>
          <w:tcPr>
            <w:tcW w:w="2394" w:type="dxa"/>
          </w:tcPr>
          <w:p w14:paraId="4150C6C5" w14:textId="77777777" w:rsidR="00250C88" w:rsidRPr="009475AF" w:rsidRDefault="00250C88" w:rsidP="00A26963">
            <w:pPr>
              <w:pStyle w:val="PBACTableText"/>
              <w:keepNext/>
              <w:spacing w:before="0" w:after="0"/>
              <w:jc w:val="center"/>
            </w:pPr>
            <w:r w:rsidRPr="009475AF">
              <w:t>4%</w:t>
            </w:r>
          </w:p>
        </w:tc>
      </w:tr>
      <w:tr w:rsidR="00250C88" w:rsidRPr="009475AF" w14:paraId="1A64867C" w14:textId="77777777" w:rsidTr="00001C7E">
        <w:tc>
          <w:tcPr>
            <w:tcW w:w="2394" w:type="dxa"/>
          </w:tcPr>
          <w:p w14:paraId="6A762675" w14:textId="5185D0DC" w:rsidR="00250C88" w:rsidRPr="009475AF" w:rsidRDefault="00250C88" w:rsidP="00A26963">
            <w:pPr>
              <w:pStyle w:val="PBACTableText"/>
              <w:keepNext/>
              <w:spacing w:before="0" w:after="0"/>
            </w:pPr>
            <w:r w:rsidRPr="009475AF">
              <w:t>Weighted 6-11</w:t>
            </w:r>
          </w:p>
        </w:tc>
        <w:tc>
          <w:tcPr>
            <w:tcW w:w="2394" w:type="dxa"/>
          </w:tcPr>
          <w:p w14:paraId="51AE3F8D" w14:textId="26314BC0" w:rsidR="00250C88" w:rsidRPr="009475AF" w:rsidRDefault="00250C88" w:rsidP="00A26963">
            <w:pPr>
              <w:pStyle w:val="PBACTableText"/>
              <w:keepNext/>
              <w:spacing w:before="0" w:after="0"/>
              <w:jc w:val="center"/>
            </w:pPr>
            <w:r w:rsidRPr="009475AF">
              <w:t>47%</w:t>
            </w:r>
          </w:p>
        </w:tc>
        <w:tc>
          <w:tcPr>
            <w:tcW w:w="2394" w:type="dxa"/>
          </w:tcPr>
          <w:p w14:paraId="24C8F764" w14:textId="4C33D3F3" w:rsidR="00250C88" w:rsidRPr="009475AF" w:rsidRDefault="00250C88" w:rsidP="00A26963">
            <w:pPr>
              <w:pStyle w:val="PBACTableText"/>
              <w:keepNext/>
              <w:spacing w:before="0" w:after="0"/>
              <w:jc w:val="center"/>
            </w:pPr>
            <w:r w:rsidRPr="009475AF">
              <w:t>52%</w:t>
            </w:r>
          </w:p>
        </w:tc>
        <w:tc>
          <w:tcPr>
            <w:tcW w:w="2394" w:type="dxa"/>
          </w:tcPr>
          <w:p w14:paraId="4CC771C6" w14:textId="7B56EAE3" w:rsidR="00250C88" w:rsidRPr="009475AF" w:rsidRDefault="00506333" w:rsidP="00A26963">
            <w:pPr>
              <w:pStyle w:val="PBACTableText"/>
              <w:keepNext/>
              <w:spacing w:before="0" w:after="0"/>
              <w:jc w:val="center"/>
            </w:pPr>
            <w:r w:rsidRPr="009475AF">
              <w:t>0.7</w:t>
            </w:r>
            <w:r w:rsidR="00250C88" w:rsidRPr="009475AF">
              <w:t>%</w:t>
            </w:r>
          </w:p>
        </w:tc>
      </w:tr>
    </w:tbl>
    <w:p w14:paraId="619D2863" w14:textId="57B94C49" w:rsidR="00250C88" w:rsidRPr="009475AF" w:rsidRDefault="00250C88" w:rsidP="00A26963">
      <w:pPr>
        <w:pStyle w:val="TableFooter"/>
        <w:spacing w:after="120"/>
        <w:rPr>
          <w:rFonts w:eastAsiaTheme="minorHAnsi"/>
        </w:rPr>
      </w:pPr>
      <w:r w:rsidRPr="009475AF">
        <w:t xml:space="preserve">Source: Table 3.2, p 197-198 of the submission. </w:t>
      </w:r>
    </w:p>
    <w:p w14:paraId="34931E99" w14:textId="4F0DE115" w:rsidR="00772AF4" w:rsidRPr="009475AF" w:rsidRDefault="003F6E30" w:rsidP="00772AF4">
      <w:pPr>
        <w:pStyle w:val="3-BodyText"/>
        <w:rPr>
          <w:rFonts w:eastAsiaTheme="minorHAnsi"/>
        </w:rPr>
      </w:pPr>
      <w:r w:rsidRPr="009475AF">
        <w:rPr>
          <w:rFonts w:eastAsiaTheme="minorHAnsi"/>
        </w:rPr>
        <w:t xml:space="preserve">The mean dose of dupilumab in VOYAGE was not provided in the submission or in the VOYAGE </w:t>
      </w:r>
      <w:r w:rsidR="00FD5123" w:rsidRPr="009475AF">
        <w:rPr>
          <w:rFonts w:eastAsiaTheme="minorHAnsi"/>
        </w:rPr>
        <w:t>Clinical Study Report</w:t>
      </w:r>
      <w:r w:rsidRPr="009475AF">
        <w:rPr>
          <w:rFonts w:eastAsiaTheme="minorHAnsi"/>
        </w:rPr>
        <w:t xml:space="preserve">. </w:t>
      </w:r>
      <w:r w:rsidR="00FD5123" w:rsidRPr="009475AF">
        <w:rPr>
          <w:rFonts w:eastAsiaTheme="minorHAnsi"/>
        </w:rPr>
        <w:t>The evaluation considered that i</w:t>
      </w:r>
      <w:r w:rsidRPr="009475AF">
        <w:rPr>
          <w:rFonts w:eastAsiaTheme="minorHAnsi"/>
        </w:rPr>
        <w:t>t would be valuable to compare the mean dose</w:t>
      </w:r>
      <w:r w:rsidR="00B16EB9" w:rsidRPr="009475AF">
        <w:rPr>
          <w:rFonts w:eastAsiaTheme="minorHAnsi"/>
        </w:rPr>
        <w:t xml:space="preserve">s </w:t>
      </w:r>
      <w:r w:rsidRPr="009475AF">
        <w:rPr>
          <w:rFonts w:eastAsiaTheme="minorHAnsi"/>
        </w:rPr>
        <w:t>in the trial</w:t>
      </w:r>
      <w:r w:rsidR="00B16EB9" w:rsidRPr="009475AF">
        <w:rPr>
          <w:rFonts w:eastAsiaTheme="minorHAnsi"/>
        </w:rPr>
        <w:t xml:space="preserve">, stratified by age and weight bands as shown in </w:t>
      </w:r>
      <w:r w:rsidR="00B16EB9" w:rsidRPr="009475AF">
        <w:rPr>
          <w:rFonts w:eastAsiaTheme="minorHAnsi"/>
        </w:rPr>
        <w:fldChar w:fldCharType="begin" w:fldLock="1"/>
      </w:r>
      <w:r w:rsidR="00B16EB9" w:rsidRPr="009475AF">
        <w:rPr>
          <w:rFonts w:eastAsiaTheme="minorHAnsi"/>
        </w:rPr>
        <w:instrText xml:space="preserve"> REF _Ref153978339 \h </w:instrText>
      </w:r>
      <w:r w:rsidR="00E54297" w:rsidRPr="009475AF">
        <w:rPr>
          <w:rFonts w:eastAsiaTheme="minorHAnsi"/>
        </w:rPr>
        <w:instrText xml:space="preserve"> \* MERGEFORMAT </w:instrText>
      </w:r>
      <w:r w:rsidR="00B16EB9" w:rsidRPr="009475AF">
        <w:rPr>
          <w:rFonts w:eastAsiaTheme="minorHAnsi"/>
        </w:rPr>
      </w:r>
      <w:r w:rsidR="00B16EB9" w:rsidRPr="009475AF">
        <w:rPr>
          <w:rFonts w:eastAsiaTheme="minorHAnsi"/>
        </w:rPr>
        <w:fldChar w:fldCharType="separate"/>
      </w:r>
      <w:r w:rsidR="00B16EB9" w:rsidRPr="009475AF">
        <w:t>Table 9</w:t>
      </w:r>
      <w:r w:rsidR="00B16EB9" w:rsidRPr="009475AF">
        <w:rPr>
          <w:rFonts w:eastAsiaTheme="minorHAnsi"/>
        </w:rPr>
        <w:fldChar w:fldCharType="end"/>
      </w:r>
      <w:r w:rsidR="00B16EB9" w:rsidRPr="009475AF">
        <w:rPr>
          <w:rFonts w:eastAsiaTheme="minorHAnsi"/>
        </w:rPr>
        <w:t xml:space="preserve"> </w:t>
      </w:r>
      <w:r w:rsidRPr="009475AF">
        <w:rPr>
          <w:rFonts w:eastAsiaTheme="minorHAnsi"/>
        </w:rPr>
        <w:t xml:space="preserve">with the equi-effective dose calculated </w:t>
      </w:r>
      <w:r w:rsidRPr="009475AF">
        <w:rPr>
          <w:rFonts w:eastAsiaTheme="minorHAnsi"/>
        </w:rPr>
        <w:lastRenderedPageBreak/>
        <w:t>in the submission</w:t>
      </w:r>
      <w:r w:rsidR="00F22D56" w:rsidRPr="009475AF">
        <w:rPr>
          <w:rFonts w:eastAsiaTheme="minorHAnsi"/>
        </w:rPr>
        <w:t xml:space="preserve">. </w:t>
      </w:r>
      <w:r w:rsidR="00F22D56" w:rsidRPr="009475AF">
        <w:rPr>
          <w:rFonts w:eastAsiaTheme="minorHAnsi"/>
          <w:iCs/>
        </w:rPr>
        <w:t>The PSCR stated “as the proposed PBS dosing is different to that used in the VOYAGE trial and the average doses used in the VOYAGE trial would be reflective of the dosing used in the trial (</w:t>
      </w:r>
      <w:r w:rsidR="00A26963" w:rsidRPr="009475AF">
        <w:rPr>
          <w:rFonts w:eastAsiaTheme="minorHAnsi"/>
          <w:iCs/>
        </w:rPr>
        <w:t>100</w:t>
      </w:r>
      <w:r w:rsidR="00A26963">
        <w:rPr>
          <w:rFonts w:eastAsiaTheme="minorHAnsi"/>
          <w:iCs/>
        </w:rPr>
        <w:t> </w:t>
      </w:r>
      <w:r w:rsidR="00F22D56" w:rsidRPr="009475AF">
        <w:rPr>
          <w:rFonts w:eastAsiaTheme="minorHAnsi"/>
          <w:iCs/>
        </w:rPr>
        <w:t>mg Q2W for patients weighing ≤30</w:t>
      </w:r>
      <w:r w:rsidR="00D44B9E" w:rsidRPr="009475AF">
        <w:rPr>
          <w:rFonts w:eastAsiaTheme="minorHAnsi"/>
          <w:iCs/>
        </w:rPr>
        <w:t xml:space="preserve"> </w:t>
      </w:r>
      <w:r w:rsidR="00F22D56" w:rsidRPr="009475AF">
        <w:rPr>
          <w:rFonts w:eastAsiaTheme="minorHAnsi"/>
          <w:iCs/>
        </w:rPr>
        <w:t>kg and 200</w:t>
      </w:r>
      <w:r w:rsidR="00D44B9E" w:rsidRPr="009475AF">
        <w:rPr>
          <w:rFonts w:eastAsiaTheme="minorHAnsi"/>
          <w:iCs/>
        </w:rPr>
        <w:t xml:space="preserve"> </w:t>
      </w:r>
      <w:r w:rsidR="00F22D56" w:rsidRPr="009475AF">
        <w:rPr>
          <w:rFonts w:eastAsiaTheme="minorHAnsi"/>
          <w:iCs/>
        </w:rPr>
        <w:t>mg Q2W for patients weighing &gt;</w:t>
      </w:r>
      <w:r w:rsidR="00A26963">
        <w:rPr>
          <w:rFonts w:eastAsiaTheme="minorHAnsi"/>
          <w:iCs/>
        </w:rPr>
        <w:t> </w:t>
      </w:r>
      <w:r w:rsidR="00F22D56" w:rsidRPr="009475AF">
        <w:rPr>
          <w:rFonts w:eastAsiaTheme="minorHAnsi"/>
          <w:iCs/>
        </w:rPr>
        <w:t>30</w:t>
      </w:r>
      <w:r w:rsidR="00A26963">
        <w:rPr>
          <w:rFonts w:eastAsiaTheme="minorHAnsi"/>
          <w:iCs/>
        </w:rPr>
        <w:t> </w:t>
      </w:r>
      <w:r w:rsidR="00F22D56" w:rsidRPr="009475AF">
        <w:rPr>
          <w:rFonts w:eastAsiaTheme="minorHAnsi"/>
          <w:iCs/>
        </w:rPr>
        <w:t>kg), any analysis of the average doses from the trial would not be reflective of the expected dosing in the proposed PBS population and would not add any useful additional information”</w:t>
      </w:r>
      <w:r w:rsidR="00B05BAE" w:rsidRPr="009475AF">
        <w:rPr>
          <w:rFonts w:eastAsiaTheme="minorHAnsi"/>
          <w:iCs/>
        </w:rPr>
        <w:t>.</w:t>
      </w:r>
      <w:r w:rsidRPr="009475AF">
        <w:rPr>
          <w:rFonts w:eastAsiaTheme="minorHAnsi"/>
        </w:rPr>
        <w:t xml:space="preserve"> </w:t>
      </w:r>
    </w:p>
    <w:p w14:paraId="2B4AF938" w14:textId="6FD5BE4D" w:rsidR="008C5739" w:rsidRPr="009475AF" w:rsidRDefault="0065774A" w:rsidP="003F6E30">
      <w:pPr>
        <w:pStyle w:val="3-BodyText"/>
      </w:pPr>
      <w:r w:rsidRPr="009475AF">
        <w:t>The mean dose of omalizumab given to patients in the IA-05 trial was not reported in the published papers</w:t>
      </w:r>
      <w:r w:rsidR="009475AF">
        <w:t xml:space="preserve">. </w:t>
      </w:r>
      <w:r w:rsidR="00474328" w:rsidRPr="009475AF">
        <w:t>During</w:t>
      </w:r>
      <w:r w:rsidRPr="009475AF">
        <w:t xml:space="preserve"> the PBAC’s consideration of omalizumab in July 2016 </w:t>
      </w:r>
      <w:r w:rsidR="00474328" w:rsidRPr="009475AF">
        <w:t xml:space="preserve">it was reported </w:t>
      </w:r>
      <w:r w:rsidR="00F246C0" w:rsidRPr="009475AF">
        <w:t>that</w:t>
      </w:r>
      <w:r w:rsidR="001423EE" w:rsidRPr="009475AF">
        <w:t>, based on the IA05-EU dosing schedule,</w:t>
      </w:r>
      <w:r w:rsidR="00F246C0" w:rsidRPr="009475AF">
        <w:t xml:space="preserve"> </w:t>
      </w:r>
      <w:r w:rsidR="00F246C0" w:rsidRPr="009475AF">
        <w:rPr>
          <w:rFonts w:eastAsiaTheme="minorHAnsi"/>
        </w:rPr>
        <w:t>“</w:t>
      </w:r>
      <w:r w:rsidR="00D859CC" w:rsidRPr="009475AF">
        <w:rPr>
          <w:rFonts w:eastAsiaTheme="minorHAnsi"/>
        </w:rPr>
        <w:t xml:space="preserve">on average </w:t>
      </w:r>
      <w:r w:rsidR="00F246C0" w:rsidRPr="009475AF">
        <w:rPr>
          <w:rFonts w:eastAsiaTheme="minorHAnsi"/>
        </w:rPr>
        <w:t>0.6 x 75</w:t>
      </w:r>
      <w:r w:rsidR="00A26963">
        <w:rPr>
          <w:rFonts w:eastAsiaTheme="minorHAnsi"/>
        </w:rPr>
        <w:t> </w:t>
      </w:r>
      <w:r w:rsidR="00F246C0" w:rsidRPr="009475AF">
        <w:rPr>
          <w:rFonts w:eastAsiaTheme="minorHAnsi"/>
        </w:rPr>
        <w:t>mg syringes and 2.2 x 150 mg syringes were used every four weeks</w:t>
      </w:r>
      <w:r w:rsidR="00474328" w:rsidRPr="009475AF">
        <w:rPr>
          <w:rFonts w:eastAsiaTheme="minorHAnsi"/>
        </w:rPr>
        <w:t>”</w:t>
      </w:r>
      <w:r w:rsidR="00D859CC" w:rsidRPr="009475AF">
        <w:rPr>
          <w:rFonts w:eastAsiaTheme="minorHAnsi"/>
        </w:rPr>
        <w:t xml:space="preserve">. Although (0.6 x 75) + (2.2 x 150) = 375, </w:t>
      </w:r>
      <w:r w:rsidR="00C8354B" w:rsidRPr="009475AF">
        <w:rPr>
          <w:rFonts w:eastAsiaTheme="minorHAnsi"/>
        </w:rPr>
        <w:t xml:space="preserve">the </w:t>
      </w:r>
      <w:r w:rsidR="00D859CC" w:rsidRPr="009475AF">
        <w:rPr>
          <w:rFonts w:eastAsiaTheme="minorHAnsi"/>
        </w:rPr>
        <w:t>PBAC did not convert the average syringe use to an average dose of</w:t>
      </w:r>
      <w:r w:rsidR="00474328" w:rsidRPr="009475AF">
        <w:rPr>
          <w:rFonts w:eastAsiaTheme="minorHAnsi"/>
        </w:rPr>
        <w:t xml:space="preserve"> 375 mg</w:t>
      </w:r>
      <w:r w:rsidR="00D859CC" w:rsidRPr="009475AF">
        <w:rPr>
          <w:rFonts w:eastAsiaTheme="minorHAnsi"/>
        </w:rPr>
        <w:t>. Rather, it multiplied the cost of a 75 mg syringe by 0.6 and the cost of a 150 mg syringe by 2.2, added the results and multiplied the sum by 13 to obtain the yearly cost per patient</w:t>
      </w:r>
      <w:r w:rsidR="009475AF">
        <w:rPr>
          <w:rFonts w:eastAsiaTheme="minorHAnsi"/>
        </w:rPr>
        <w:t xml:space="preserve">. </w:t>
      </w:r>
    </w:p>
    <w:p w14:paraId="26CEE896" w14:textId="6F2DDAD3" w:rsidR="001F554A" w:rsidRPr="009475AF" w:rsidRDefault="00985A84" w:rsidP="003F6E30">
      <w:pPr>
        <w:pStyle w:val="3-BodyText"/>
      </w:pPr>
      <w:r w:rsidRPr="009475AF">
        <w:rPr>
          <w:rFonts w:eastAsiaTheme="minorHAnsi"/>
        </w:rPr>
        <w:t xml:space="preserve">The submission did not do this. </w:t>
      </w:r>
      <w:r w:rsidR="00F246C0" w:rsidRPr="009475AF">
        <w:rPr>
          <w:rFonts w:eastAsiaTheme="minorHAnsi"/>
        </w:rPr>
        <w:t>On the ground</w:t>
      </w:r>
      <w:r w:rsidR="003F6E30" w:rsidRPr="009475AF">
        <w:rPr>
          <w:rFonts w:eastAsiaTheme="minorHAnsi"/>
        </w:rPr>
        <w:t xml:space="preserve">s </w:t>
      </w:r>
      <w:r w:rsidR="00F246C0" w:rsidRPr="009475AF">
        <w:rPr>
          <w:rFonts w:eastAsiaTheme="minorHAnsi"/>
        </w:rPr>
        <w:t>that partial syringes cannot be dispensed, the submission</w:t>
      </w:r>
      <w:r w:rsidR="001423EE" w:rsidRPr="009475AF">
        <w:rPr>
          <w:rFonts w:eastAsiaTheme="minorHAnsi"/>
        </w:rPr>
        <w:t xml:space="preserve"> rounded up</w:t>
      </w:r>
      <w:r w:rsidR="00F246C0" w:rsidRPr="009475AF">
        <w:rPr>
          <w:rFonts w:eastAsiaTheme="minorHAnsi"/>
        </w:rPr>
        <w:t xml:space="preserve"> th</w:t>
      </w:r>
      <w:r w:rsidR="00EB49E8" w:rsidRPr="009475AF">
        <w:rPr>
          <w:rFonts w:eastAsiaTheme="minorHAnsi"/>
        </w:rPr>
        <w:t>e dispensed</w:t>
      </w:r>
      <w:r w:rsidR="00F246C0" w:rsidRPr="009475AF">
        <w:rPr>
          <w:rFonts w:eastAsiaTheme="minorHAnsi"/>
        </w:rPr>
        <w:t xml:space="preserve"> dose to </w:t>
      </w:r>
      <w:r w:rsidR="00EB49E8" w:rsidRPr="009475AF">
        <w:rPr>
          <w:rFonts w:eastAsiaTheme="minorHAnsi"/>
        </w:rPr>
        <w:t>1 x 75 mg and 3 x 150</w:t>
      </w:r>
      <w:r w:rsidR="00A26963">
        <w:rPr>
          <w:rFonts w:eastAsiaTheme="minorHAnsi"/>
        </w:rPr>
        <w:t> </w:t>
      </w:r>
      <w:r w:rsidR="00EB49E8" w:rsidRPr="009475AF">
        <w:rPr>
          <w:rFonts w:eastAsiaTheme="minorHAnsi"/>
        </w:rPr>
        <w:t>mg syringes every 4 weeks</w:t>
      </w:r>
      <w:r w:rsidR="00474328" w:rsidRPr="009475AF">
        <w:rPr>
          <w:rFonts w:eastAsiaTheme="minorHAnsi"/>
        </w:rPr>
        <w:t>.</w:t>
      </w:r>
      <w:r w:rsidR="00EB49E8" w:rsidRPr="009475AF">
        <w:rPr>
          <w:rFonts w:eastAsiaTheme="minorHAnsi"/>
        </w:rPr>
        <w:t xml:space="preserve"> </w:t>
      </w:r>
      <w:r w:rsidR="001F554A" w:rsidRPr="009475AF">
        <w:rPr>
          <w:rFonts w:eastAsiaTheme="minorHAnsi"/>
        </w:rPr>
        <w:t>This is in</w:t>
      </w:r>
      <w:r w:rsidRPr="009475AF">
        <w:rPr>
          <w:rFonts w:eastAsiaTheme="minorHAnsi"/>
        </w:rPr>
        <w:t>correct</w:t>
      </w:r>
      <w:r w:rsidR="001F554A" w:rsidRPr="009475AF">
        <w:rPr>
          <w:rFonts w:eastAsiaTheme="minorHAnsi"/>
        </w:rPr>
        <w:t>, because</w:t>
      </w:r>
      <w:r w:rsidR="00474328" w:rsidRPr="009475AF">
        <w:rPr>
          <w:rFonts w:eastAsiaTheme="minorHAnsi"/>
        </w:rPr>
        <w:t xml:space="preserve"> anyone requiring 375 mg would have been dispensed 1 x 75 mg </w:t>
      </w:r>
      <w:r w:rsidR="001423EE" w:rsidRPr="009475AF">
        <w:rPr>
          <w:rFonts w:eastAsiaTheme="minorHAnsi"/>
        </w:rPr>
        <w:t xml:space="preserve">and 2 x 150 mg </w:t>
      </w:r>
      <w:r w:rsidR="00474328" w:rsidRPr="009475AF">
        <w:rPr>
          <w:rFonts w:eastAsiaTheme="minorHAnsi"/>
        </w:rPr>
        <w:t xml:space="preserve">syringe. </w:t>
      </w:r>
      <w:r w:rsidR="0028721A" w:rsidRPr="009475AF">
        <w:rPr>
          <w:rFonts w:eastAsiaTheme="minorHAnsi"/>
          <w:iCs/>
        </w:rPr>
        <w:t xml:space="preserve">The ESC noted that the recommended doses for omalizumab </w:t>
      </w:r>
      <w:r w:rsidR="002600D3" w:rsidRPr="009475AF">
        <w:rPr>
          <w:rFonts w:eastAsiaTheme="minorHAnsi"/>
          <w:iCs/>
        </w:rPr>
        <w:t>can</w:t>
      </w:r>
      <w:r w:rsidR="0028721A" w:rsidRPr="009475AF">
        <w:rPr>
          <w:rFonts w:eastAsiaTheme="minorHAnsi"/>
          <w:iCs/>
        </w:rPr>
        <w:t xml:space="preserve"> be administered with the 75 mg and 150</w:t>
      </w:r>
      <w:r w:rsidR="00A26963">
        <w:rPr>
          <w:rFonts w:eastAsiaTheme="minorHAnsi"/>
          <w:iCs/>
        </w:rPr>
        <w:t> </w:t>
      </w:r>
      <w:r w:rsidR="0028721A" w:rsidRPr="009475AF">
        <w:rPr>
          <w:rFonts w:eastAsiaTheme="minorHAnsi"/>
          <w:iCs/>
        </w:rPr>
        <w:t>mg syringes and as such there would be no wastage.</w:t>
      </w:r>
    </w:p>
    <w:p w14:paraId="7181B358" w14:textId="19400D14" w:rsidR="001F554A" w:rsidRPr="00D07D29" w:rsidRDefault="001F554A" w:rsidP="003F6E30">
      <w:pPr>
        <w:pStyle w:val="3-BodyText"/>
      </w:pPr>
      <w:r w:rsidRPr="009475AF">
        <w:rPr>
          <w:rFonts w:eastAsiaTheme="minorHAnsi"/>
        </w:rPr>
        <w:t>If the cost of omalizumab</w:t>
      </w:r>
      <w:r w:rsidR="00985A84" w:rsidRPr="009475AF">
        <w:rPr>
          <w:rFonts w:eastAsiaTheme="minorHAnsi"/>
        </w:rPr>
        <w:t xml:space="preserve"> is calculated using</w:t>
      </w:r>
      <w:r w:rsidR="001423EE" w:rsidRPr="009475AF">
        <w:rPr>
          <w:rFonts w:eastAsiaTheme="minorHAnsi"/>
        </w:rPr>
        <w:t xml:space="preserve"> 1 x 75 mg and 2 x 150 mg syringes</w:t>
      </w:r>
      <w:r w:rsidR="00985A84" w:rsidRPr="009475AF">
        <w:rPr>
          <w:rFonts w:eastAsiaTheme="minorHAnsi"/>
        </w:rPr>
        <w:t xml:space="preserve">, at published </w:t>
      </w:r>
      <w:r w:rsidR="00F44843" w:rsidRPr="009475AF">
        <w:rPr>
          <w:rFonts w:eastAsiaTheme="minorHAnsi"/>
        </w:rPr>
        <w:t>prices</w:t>
      </w:r>
      <w:r w:rsidR="00985A84" w:rsidRPr="009475AF">
        <w:rPr>
          <w:rFonts w:eastAsiaTheme="minorHAnsi"/>
        </w:rPr>
        <w:t xml:space="preserve"> </w:t>
      </w:r>
      <w:r w:rsidR="00F44843" w:rsidRPr="00D07D29">
        <w:rPr>
          <w:rFonts w:eastAsiaTheme="minorHAnsi"/>
        </w:rPr>
        <w:t>(</w:t>
      </w:r>
      <w:r w:rsidRPr="00D07D29">
        <w:rPr>
          <w:rFonts w:eastAsiaTheme="minorHAnsi"/>
        </w:rPr>
        <w:t>$205 per 75 mg syringe and $410 per 150 mg</w:t>
      </w:r>
      <w:r w:rsidR="001C563A" w:rsidRPr="00D07D29">
        <w:rPr>
          <w:rFonts w:eastAsiaTheme="minorHAnsi"/>
        </w:rPr>
        <w:t xml:space="preserve"> syringe</w:t>
      </w:r>
      <w:r w:rsidR="00F44843" w:rsidRPr="00D07D29">
        <w:rPr>
          <w:rFonts w:eastAsiaTheme="minorHAnsi"/>
        </w:rPr>
        <w:t>)</w:t>
      </w:r>
      <w:r w:rsidRPr="00D07D29">
        <w:rPr>
          <w:rFonts w:eastAsiaTheme="minorHAnsi"/>
        </w:rPr>
        <w:t xml:space="preserve"> </w:t>
      </w:r>
      <w:r w:rsidR="00985A84" w:rsidRPr="00D07D29">
        <w:rPr>
          <w:rFonts w:eastAsiaTheme="minorHAnsi"/>
        </w:rPr>
        <w:t>the cost of</w:t>
      </w:r>
      <w:r w:rsidRPr="00D07D29">
        <w:rPr>
          <w:rFonts w:eastAsiaTheme="minorHAnsi"/>
        </w:rPr>
        <w:t xml:space="preserve"> an average dose of 375 mg</w:t>
      </w:r>
      <w:r w:rsidR="005103AE" w:rsidRPr="00D07D29">
        <w:rPr>
          <w:rFonts w:eastAsiaTheme="minorHAnsi"/>
        </w:rPr>
        <w:t xml:space="preserve"> 4 weekly is $1</w:t>
      </w:r>
      <w:r w:rsidR="00F45417" w:rsidRPr="00D07D29">
        <w:rPr>
          <w:rFonts w:eastAsiaTheme="minorHAnsi"/>
        </w:rPr>
        <w:t>,</w:t>
      </w:r>
      <w:r w:rsidR="005103AE" w:rsidRPr="00D07D29">
        <w:rPr>
          <w:rFonts w:eastAsiaTheme="minorHAnsi"/>
        </w:rPr>
        <w:t>025, not $1</w:t>
      </w:r>
      <w:r w:rsidR="00F45417" w:rsidRPr="00D07D29">
        <w:rPr>
          <w:rFonts w:eastAsiaTheme="minorHAnsi"/>
        </w:rPr>
        <w:t>,</w:t>
      </w:r>
      <w:r w:rsidR="005103AE" w:rsidRPr="00D07D29">
        <w:rPr>
          <w:rFonts w:eastAsiaTheme="minorHAnsi"/>
        </w:rPr>
        <w:t xml:space="preserve">435 and the annual cost is </w:t>
      </w:r>
      <w:r w:rsidR="005103AE" w:rsidRPr="00D07D29">
        <w:rPr>
          <w:rFonts w:eastAsiaTheme="minorHAnsi"/>
          <w:iCs/>
        </w:rPr>
        <w:t>$13</w:t>
      </w:r>
      <w:r w:rsidR="00C3061F" w:rsidRPr="00D07D29">
        <w:rPr>
          <w:rFonts w:eastAsiaTheme="minorHAnsi"/>
          <w:iCs/>
        </w:rPr>
        <w:t>,</w:t>
      </w:r>
      <w:r w:rsidR="005103AE" w:rsidRPr="00D07D29">
        <w:rPr>
          <w:rFonts w:eastAsiaTheme="minorHAnsi"/>
          <w:iCs/>
        </w:rPr>
        <w:t>3</w:t>
      </w:r>
      <w:r w:rsidR="00506333" w:rsidRPr="00D07D29">
        <w:rPr>
          <w:rFonts w:eastAsiaTheme="minorHAnsi"/>
          <w:iCs/>
        </w:rPr>
        <w:t>70.76</w:t>
      </w:r>
      <w:r w:rsidR="005103AE" w:rsidRPr="00D07D29">
        <w:rPr>
          <w:rFonts w:eastAsiaTheme="minorHAnsi"/>
        </w:rPr>
        <w:t>, not $18</w:t>
      </w:r>
      <w:r w:rsidR="00C3061F" w:rsidRPr="00D07D29">
        <w:rPr>
          <w:rFonts w:eastAsiaTheme="minorHAnsi"/>
        </w:rPr>
        <w:t>,</w:t>
      </w:r>
      <w:r w:rsidR="005103AE" w:rsidRPr="00D07D29">
        <w:rPr>
          <w:rFonts w:eastAsiaTheme="minorHAnsi"/>
        </w:rPr>
        <w:t>796</w:t>
      </w:r>
      <w:r w:rsidR="009475AF" w:rsidRPr="00D07D29">
        <w:rPr>
          <w:rFonts w:eastAsiaTheme="minorHAnsi"/>
        </w:rPr>
        <w:t xml:space="preserve">. </w:t>
      </w:r>
      <w:r w:rsidR="00250C88" w:rsidRPr="00D07D29">
        <w:rPr>
          <w:rFonts w:eastAsiaTheme="minorHAnsi"/>
        </w:rPr>
        <w:t>The results of the corrected cost minimisation approach are shown in</w:t>
      </w:r>
      <w:r w:rsidR="00093C1D" w:rsidRPr="00D07D29">
        <w:rPr>
          <w:rFonts w:eastAsiaTheme="minorHAnsi"/>
        </w:rPr>
        <w:t xml:space="preserve"> </w:t>
      </w:r>
      <w:r w:rsidR="00093C1D" w:rsidRPr="00D07D29">
        <w:rPr>
          <w:rFonts w:eastAsiaTheme="minorHAnsi"/>
        </w:rPr>
        <w:fldChar w:fldCharType="begin" w:fldLock="1"/>
      </w:r>
      <w:r w:rsidR="00093C1D" w:rsidRPr="00D07D29">
        <w:rPr>
          <w:rFonts w:eastAsiaTheme="minorHAnsi"/>
        </w:rPr>
        <w:instrText xml:space="preserve"> REF _Ref154044706 \h </w:instrText>
      </w:r>
      <w:r w:rsidR="00E54297" w:rsidRPr="00D07D29">
        <w:rPr>
          <w:rFonts w:eastAsiaTheme="minorHAnsi"/>
        </w:rPr>
        <w:instrText xml:space="preserve"> \* MERGEFORMAT </w:instrText>
      </w:r>
      <w:r w:rsidR="00093C1D" w:rsidRPr="00D07D29">
        <w:rPr>
          <w:rFonts w:eastAsiaTheme="minorHAnsi"/>
        </w:rPr>
      </w:r>
      <w:r w:rsidR="00093C1D" w:rsidRPr="00D07D29">
        <w:rPr>
          <w:rFonts w:eastAsiaTheme="minorHAnsi"/>
        </w:rPr>
        <w:fldChar w:fldCharType="separate"/>
      </w:r>
      <w:r w:rsidR="00093C1D" w:rsidRPr="00D07D29">
        <w:t>Table 10</w:t>
      </w:r>
      <w:r w:rsidR="00093C1D" w:rsidRPr="00D07D29">
        <w:rPr>
          <w:rFonts w:eastAsiaTheme="minorHAnsi"/>
        </w:rPr>
        <w:fldChar w:fldCharType="end"/>
      </w:r>
      <w:r w:rsidR="00093C1D" w:rsidRPr="00D07D29">
        <w:rPr>
          <w:rFonts w:eastAsiaTheme="minorHAnsi"/>
        </w:rPr>
        <w:fldChar w:fldCharType="begin" w:fldLock="1"/>
      </w:r>
      <w:r w:rsidR="00093C1D" w:rsidRPr="00D07D29">
        <w:rPr>
          <w:rFonts w:eastAsiaTheme="minorHAnsi"/>
        </w:rPr>
        <w:instrText xml:space="preserve"> REF _Ref154044706 \h </w:instrText>
      </w:r>
      <w:r w:rsidR="00E54297" w:rsidRPr="00D07D29">
        <w:rPr>
          <w:rFonts w:eastAsiaTheme="minorHAnsi"/>
        </w:rPr>
        <w:instrText xml:space="preserve"> \* MERGEFORMAT </w:instrText>
      </w:r>
      <w:r w:rsidR="00093C1D" w:rsidRPr="00D07D29">
        <w:rPr>
          <w:rFonts w:eastAsiaTheme="minorHAnsi"/>
        </w:rPr>
      </w:r>
      <w:r w:rsidR="00696736">
        <w:rPr>
          <w:rFonts w:eastAsiaTheme="minorHAnsi"/>
        </w:rPr>
        <w:fldChar w:fldCharType="separate"/>
      </w:r>
      <w:r w:rsidR="00093C1D" w:rsidRPr="00D07D29">
        <w:rPr>
          <w:rFonts w:eastAsiaTheme="minorHAnsi"/>
        </w:rPr>
        <w:fldChar w:fldCharType="end"/>
      </w:r>
      <w:r w:rsidR="009475AF" w:rsidRPr="00D07D29">
        <w:rPr>
          <w:rFonts w:eastAsiaTheme="minorHAnsi"/>
        </w:rPr>
        <w:t xml:space="preserve">. </w:t>
      </w:r>
    </w:p>
    <w:p w14:paraId="14A2C892" w14:textId="49428837" w:rsidR="00772AF4" w:rsidRPr="00D07D29" w:rsidRDefault="007E0205" w:rsidP="007E0205">
      <w:pPr>
        <w:pStyle w:val="3-BodyText"/>
        <w:rPr>
          <w:iCs/>
        </w:rPr>
      </w:pPr>
      <w:r w:rsidRPr="00D07D29">
        <w:rPr>
          <w:iCs/>
        </w:rPr>
        <w:t>The PSCR stated that “partial syringes cannot be dispensed, therefore, in cases where partial vials are used, the cost to the PBS is dependent on the total number of vials dispensed rather than the actual dose administered. To achieve an average dose of 0.6 x 75mg plus 2.2 x 150mg, a total of 1 x 75mg plus 3 x 150mg vials are required”. The PSCR claimed that the cost per dose per patient per month should be “the sum of the cost of these vials ($1,435 published), resulting in an average cost per patient per year to the PBS of $18,719.06 (published). Dividing this by the number of syringes required per year, the published cost per syringe for dupilumab is $1,435 for patients receiving Q4W dosing ($2,870 per pack of two syringes), or $717.50 per syringe for patients receiving Q2W dosing ($1,435 per pack).”</w:t>
      </w:r>
      <w:r w:rsidR="00E67BD0" w:rsidRPr="00D07D29">
        <w:rPr>
          <w:iCs/>
        </w:rPr>
        <w:t xml:space="preserve"> </w:t>
      </w:r>
      <w:r w:rsidR="00506405" w:rsidRPr="00D07D29">
        <w:rPr>
          <w:iCs/>
        </w:rPr>
        <w:t>The ESC disagreed with the PSCR</w:t>
      </w:r>
      <w:r w:rsidR="0028721A" w:rsidRPr="00D07D29">
        <w:rPr>
          <w:iCs/>
        </w:rPr>
        <w:t>. The ESC considered the cost should be calculated in the same way as was calculated for omalizumab</w:t>
      </w:r>
      <w:r w:rsidR="007A4313" w:rsidRPr="00D07D29">
        <w:rPr>
          <w:iCs/>
        </w:rPr>
        <w:t xml:space="preserve"> in July 2016</w:t>
      </w:r>
      <w:r w:rsidR="0028721A" w:rsidRPr="00D07D29">
        <w:rPr>
          <w:iCs/>
        </w:rPr>
        <w:t xml:space="preserve"> i</w:t>
      </w:r>
      <w:r w:rsidR="00506333" w:rsidRPr="00D07D29">
        <w:rPr>
          <w:iCs/>
        </w:rPr>
        <w:t>.</w:t>
      </w:r>
      <w:r w:rsidR="0028721A" w:rsidRPr="00D07D29">
        <w:rPr>
          <w:iCs/>
        </w:rPr>
        <w:t>e</w:t>
      </w:r>
      <w:r w:rsidR="00506333" w:rsidRPr="00D07D29">
        <w:rPr>
          <w:iCs/>
        </w:rPr>
        <w:t>.,</w:t>
      </w:r>
      <w:r w:rsidR="0028721A" w:rsidRPr="00D07D29">
        <w:rPr>
          <w:iCs/>
        </w:rPr>
        <w:t xml:space="preserve"> 0.6 x $205 + 2.2 x $410</w:t>
      </w:r>
      <w:r w:rsidR="007A4313" w:rsidRPr="00D07D29">
        <w:rPr>
          <w:iCs/>
        </w:rPr>
        <w:t xml:space="preserve"> which is $1,025. This the same as calculated in the evaluation as cost per mg for omalizumab is the same for both strengths</w:t>
      </w:r>
      <w:r w:rsidR="00506405" w:rsidRPr="00D07D29">
        <w:rPr>
          <w:iCs/>
        </w:rPr>
        <w:t>.</w:t>
      </w:r>
    </w:p>
    <w:p w14:paraId="3B07FC67" w14:textId="5AA16F7D" w:rsidR="007E0205" w:rsidRPr="009475AF" w:rsidRDefault="00772AF4" w:rsidP="007E0205">
      <w:pPr>
        <w:pStyle w:val="3-BodyText"/>
        <w:rPr>
          <w:iCs/>
        </w:rPr>
      </w:pPr>
      <w:r w:rsidRPr="009475AF">
        <w:rPr>
          <w:iCs/>
        </w:rPr>
        <w:lastRenderedPageBreak/>
        <w:t xml:space="preserve">The ESC noted that the dose </w:t>
      </w:r>
      <w:r w:rsidR="007A4313" w:rsidRPr="009475AF">
        <w:rPr>
          <w:iCs/>
        </w:rPr>
        <w:t>of dupilumab</w:t>
      </w:r>
      <w:r w:rsidRPr="009475AF">
        <w:rPr>
          <w:iCs/>
        </w:rPr>
        <w:t xml:space="preserve"> was not derived from the trials</w:t>
      </w:r>
      <w:r w:rsidR="007A4313" w:rsidRPr="009475AF">
        <w:rPr>
          <w:iCs/>
        </w:rPr>
        <w:t>,</w:t>
      </w:r>
      <w:r w:rsidRPr="009475AF">
        <w:rPr>
          <w:iCs/>
        </w:rPr>
        <w:t xml:space="preserve"> and that as </w:t>
      </w:r>
      <w:r w:rsidR="007A4313" w:rsidRPr="009475AF">
        <w:rPr>
          <w:iCs/>
        </w:rPr>
        <w:t>the dose of omalizumab</w:t>
      </w:r>
      <w:r w:rsidRPr="009475AF">
        <w:rPr>
          <w:iCs/>
        </w:rPr>
        <w:t xml:space="preserve"> was based on the estimated average dose and </w:t>
      </w:r>
      <w:r w:rsidR="007A4313" w:rsidRPr="009475AF">
        <w:rPr>
          <w:iCs/>
        </w:rPr>
        <w:t>inappropriately included wastage</w:t>
      </w:r>
      <w:r w:rsidRPr="009475AF">
        <w:rPr>
          <w:iCs/>
        </w:rPr>
        <w:t xml:space="preserve"> that the submission had overestimated the cost-minimised price for dupilumab. </w:t>
      </w:r>
      <w:r w:rsidR="00B4305E" w:rsidRPr="009475AF">
        <w:rPr>
          <w:iCs/>
        </w:rPr>
        <w:t xml:space="preserve">In their pre-PBAC response the sponsor agreed to calculate the cost-minimised price in the same way that it was calculated for omalizumab in July 2016, noting that this would </w:t>
      </w:r>
      <w:r w:rsidR="00B4305E" w:rsidRPr="00D07D29">
        <w:rPr>
          <w:iCs/>
        </w:rPr>
        <w:t>equate to $1,025 every 4 weeks</w:t>
      </w:r>
      <w:r w:rsidR="00B4305E" w:rsidRPr="009475AF">
        <w:rPr>
          <w:iCs/>
        </w:rPr>
        <w:t>.</w:t>
      </w:r>
    </w:p>
    <w:p w14:paraId="600C4894" w14:textId="4C9883FE" w:rsidR="005E4B0F" w:rsidRPr="009475AF" w:rsidRDefault="005E4B0F" w:rsidP="003F6E30">
      <w:pPr>
        <w:pStyle w:val="3-BodyText"/>
      </w:pPr>
      <w:r w:rsidRPr="009475AF">
        <w:rPr>
          <w:rFonts w:eastAsiaTheme="minorHAnsi"/>
        </w:rPr>
        <w:t>The evaluation did not include the costs of medical supervision for the first 3 doses of omalizumab</w:t>
      </w:r>
      <w:r w:rsidR="00E159AB" w:rsidRPr="009475AF">
        <w:rPr>
          <w:rFonts w:eastAsiaTheme="minorHAnsi"/>
        </w:rPr>
        <w:t xml:space="preserve"> based on the PBAC advice in its assessment of dupilumab in 2020.</w:t>
      </w:r>
    </w:p>
    <w:p w14:paraId="7BC2364A" w14:textId="4BF703EF" w:rsidR="00250C88" w:rsidRPr="009475AF" w:rsidRDefault="00093C1D" w:rsidP="00093C1D">
      <w:pPr>
        <w:pStyle w:val="Caption"/>
        <w:rPr>
          <w:rStyle w:val="CommentReference"/>
          <w:b/>
          <w:szCs w:val="24"/>
        </w:rPr>
      </w:pPr>
      <w:bookmarkStart w:id="44" w:name="_Ref154044706"/>
      <w:r w:rsidRPr="009475AF">
        <w:t xml:space="preserve">Table </w:t>
      </w:r>
      <w:r w:rsidR="00696736">
        <w:fldChar w:fldCharType="begin" w:fldLock="1"/>
      </w:r>
      <w:r w:rsidR="00696736">
        <w:instrText xml:space="preserve"> SEQ Table \* ARABIC </w:instrText>
      </w:r>
      <w:r w:rsidR="00696736">
        <w:fldChar w:fldCharType="separate"/>
      </w:r>
      <w:r w:rsidR="00F866CD" w:rsidRPr="009475AF">
        <w:t>10</w:t>
      </w:r>
      <w:r w:rsidR="00696736">
        <w:fldChar w:fldCharType="end"/>
      </w:r>
      <w:bookmarkEnd w:id="44"/>
      <w:r w:rsidRPr="009475AF">
        <w:t xml:space="preserve">: </w:t>
      </w:r>
      <w:r w:rsidR="00250C88" w:rsidRPr="009475AF">
        <w:rPr>
          <w:rStyle w:val="CommentReference"/>
          <w:b/>
          <w:szCs w:val="24"/>
        </w:rPr>
        <w:t>Results of the cost-minimisation approach</w:t>
      </w:r>
      <w:r w:rsidR="005E4B0F" w:rsidRPr="009475AF">
        <w:rPr>
          <w:rStyle w:val="CommentReference"/>
          <w:b/>
          <w:szCs w:val="24"/>
        </w:rPr>
        <w:t xml:space="preserve"> based on published prices</w:t>
      </w:r>
      <w:r w:rsidR="00E159AB" w:rsidRPr="009475AF">
        <w:rPr>
          <w:rStyle w:val="CommentReference"/>
          <w:b/>
          <w:szCs w:val="24"/>
        </w:rPr>
        <w:t xml:space="preserve"> (AEMP)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minimisation approach based on published prices (AEMP)"/>
      </w:tblPr>
      <w:tblGrid>
        <w:gridCol w:w="2972"/>
        <w:gridCol w:w="1843"/>
        <w:gridCol w:w="1843"/>
        <w:gridCol w:w="2359"/>
      </w:tblGrid>
      <w:tr w:rsidR="00250C88" w:rsidRPr="009475AF" w14:paraId="111AA639" w14:textId="77777777" w:rsidTr="00CF3DF4">
        <w:tc>
          <w:tcPr>
            <w:tcW w:w="2972" w:type="dxa"/>
          </w:tcPr>
          <w:p w14:paraId="64A9B7C8" w14:textId="77777777" w:rsidR="00250C88" w:rsidRPr="009475AF" w:rsidRDefault="00250C88" w:rsidP="00001C7E">
            <w:pPr>
              <w:pStyle w:val="In-tableHeading"/>
              <w:rPr>
                <w:lang w:val="en-AU"/>
              </w:rPr>
            </w:pPr>
            <w:r w:rsidRPr="009475AF">
              <w:rPr>
                <w:lang w:val="en-AU"/>
              </w:rPr>
              <w:t>Component</w:t>
            </w:r>
          </w:p>
        </w:tc>
        <w:tc>
          <w:tcPr>
            <w:tcW w:w="3686" w:type="dxa"/>
            <w:gridSpan w:val="2"/>
          </w:tcPr>
          <w:p w14:paraId="5DFC5A15" w14:textId="25409A60" w:rsidR="00250C88" w:rsidRPr="009475AF" w:rsidRDefault="00250C88" w:rsidP="00001C7E">
            <w:pPr>
              <w:pStyle w:val="In-tableHeading"/>
              <w:jc w:val="center"/>
              <w:rPr>
                <w:lang w:val="en-AU"/>
              </w:rPr>
            </w:pPr>
            <w:r w:rsidRPr="009475AF">
              <w:rPr>
                <w:lang w:val="en-AU"/>
              </w:rPr>
              <w:t>Dup</w:t>
            </w:r>
            <w:r w:rsidR="005E4B0F" w:rsidRPr="009475AF">
              <w:rPr>
                <w:lang w:val="en-AU"/>
              </w:rPr>
              <w:t>ilumab</w:t>
            </w:r>
          </w:p>
        </w:tc>
        <w:tc>
          <w:tcPr>
            <w:tcW w:w="2359" w:type="dxa"/>
          </w:tcPr>
          <w:p w14:paraId="3518BD15" w14:textId="16007CD5" w:rsidR="00250C88" w:rsidRPr="009475AF" w:rsidRDefault="00250C88" w:rsidP="00001C7E">
            <w:pPr>
              <w:pStyle w:val="In-tableHeading"/>
              <w:jc w:val="center"/>
              <w:rPr>
                <w:lang w:val="en-AU"/>
              </w:rPr>
            </w:pPr>
            <w:r w:rsidRPr="009475AF">
              <w:rPr>
                <w:lang w:val="en-AU"/>
              </w:rPr>
              <w:t>Omalizumab</w:t>
            </w:r>
          </w:p>
        </w:tc>
      </w:tr>
      <w:tr w:rsidR="00740DE2" w:rsidRPr="009475AF" w14:paraId="1650403C" w14:textId="77777777" w:rsidTr="00CF3DF4">
        <w:tc>
          <w:tcPr>
            <w:tcW w:w="2972" w:type="dxa"/>
          </w:tcPr>
          <w:p w14:paraId="632F912E" w14:textId="0DBF61B6" w:rsidR="00740DE2" w:rsidRPr="009475AF" w:rsidRDefault="00740DE2" w:rsidP="00001C7E">
            <w:pPr>
              <w:pStyle w:val="In-tableHeading"/>
              <w:rPr>
                <w:b w:val="0"/>
                <w:bCs/>
                <w:lang w:val="en-AU"/>
              </w:rPr>
            </w:pPr>
            <w:r w:rsidRPr="009475AF">
              <w:rPr>
                <w:b w:val="0"/>
                <w:bCs/>
                <w:lang w:val="en-AU"/>
              </w:rPr>
              <w:t>Estimated dose per 4 weeks</w:t>
            </w:r>
          </w:p>
        </w:tc>
        <w:tc>
          <w:tcPr>
            <w:tcW w:w="1843" w:type="dxa"/>
          </w:tcPr>
          <w:p w14:paraId="73E4A3D9" w14:textId="4B7BEFC6" w:rsidR="00740DE2" w:rsidRPr="009475AF" w:rsidRDefault="00740DE2" w:rsidP="00001C7E">
            <w:pPr>
              <w:pStyle w:val="In-tableHeading"/>
              <w:jc w:val="center"/>
              <w:rPr>
                <w:b w:val="0"/>
                <w:bCs/>
                <w:lang w:val="en-AU"/>
              </w:rPr>
            </w:pPr>
            <w:r w:rsidRPr="009475AF">
              <w:rPr>
                <w:b w:val="0"/>
                <w:bCs/>
                <w:lang w:val="en-AU"/>
              </w:rPr>
              <w:t>300 mg Q4W</w:t>
            </w:r>
          </w:p>
        </w:tc>
        <w:tc>
          <w:tcPr>
            <w:tcW w:w="1843" w:type="dxa"/>
          </w:tcPr>
          <w:p w14:paraId="32E18267" w14:textId="284E4707" w:rsidR="00740DE2" w:rsidRPr="009475AF" w:rsidRDefault="00740DE2" w:rsidP="00001C7E">
            <w:pPr>
              <w:pStyle w:val="In-tableHeading"/>
              <w:jc w:val="center"/>
              <w:rPr>
                <w:b w:val="0"/>
                <w:bCs/>
                <w:lang w:val="en-AU"/>
              </w:rPr>
            </w:pPr>
            <w:r w:rsidRPr="009475AF">
              <w:rPr>
                <w:b w:val="0"/>
                <w:bCs/>
                <w:lang w:val="en-AU"/>
              </w:rPr>
              <w:t>200 mg Q2W</w:t>
            </w:r>
          </w:p>
        </w:tc>
        <w:tc>
          <w:tcPr>
            <w:tcW w:w="2359" w:type="dxa"/>
          </w:tcPr>
          <w:p w14:paraId="10548A74" w14:textId="149CC904" w:rsidR="00740DE2" w:rsidRPr="009475AF" w:rsidRDefault="00740DE2" w:rsidP="002A1702">
            <w:pPr>
              <w:pStyle w:val="In-tableHeading"/>
              <w:jc w:val="center"/>
              <w:rPr>
                <w:b w:val="0"/>
                <w:bCs/>
                <w:lang w:val="en-AU"/>
              </w:rPr>
            </w:pPr>
            <w:r w:rsidRPr="009475AF">
              <w:rPr>
                <w:b w:val="0"/>
                <w:bCs/>
                <w:lang w:val="en-AU"/>
              </w:rPr>
              <w:t>375 mg (= 2.2*150 mg +0,6*75 mg)</w:t>
            </w:r>
          </w:p>
        </w:tc>
      </w:tr>
      <w:tr w:rsidR="00740DE2" w:rsidRPr="009475AF" w14:paraId="1506E39A" w14:textId="77777777" w:rsidTr="00CF3DF4">
        <w:trPr>
          <w:trHeight w:val="455"/>
        </w:trPr>
        <w:tc>
          <w:tcPr>
            <w:tcW w:w="2972" w:type="dxa"/>
            <w:tcBorders>
              <w:bottom w:val="single" w:sz="4" w:space="0" w:color="auto"/>
            </w:tcBorders>
          </w:tcPr>
          <w:p w14:paraId="46679925" w14:textId="4A8AAE64" w:rsidR="00740DE2" w:rsidRPr="009475AF" w:rsidRDefault="00740DE2" w:rsidP="00001C7E">
            <w:pPr>
              <w:pStyle w:val="TableText0"/>
            </w:pPr>
            <w:r w:rsidRPr="009475AF">
              <w:t>Cost per dose</w:t>
            </w:r>
          </w:p>
        </w:tc>
        <w:tc>
          <w:tcPr>
            <w:tcW w:w="1843" w:type="dxa"/>
          </w:tcPr>
          <w:p w14:paraId="3B91260F" w14:textId="50B69C89" w:rsidR="00740DE2" w:rsidRPr="009475AF" w:rsidRDefault="00740DE2" w:rsidP="002A1702">
            <w:pPr>
              <w:pStyle w:val="TableText0"/>
              <w:jc w:val="center"/>
            </w:pPr>
            <w:r w:rsidRPr="009475AF">
              <w:t xml:space="preserve">$1,025 per syringe </w:t>
            </w:r>
          </w:p>
        </w:tc>
        <w:tc>
          <w:tcPr>
            <w:tcW w:w="1843" w:type="dxa"/>
          </w:tcPr>
          <w:p w14:paraId="0F6B0260" w14:textId="08A2FD4D" w:rsidR="00740DE2" w:rsidRPr="009475AF" w:rsidRDefault="00740DE2" w:rsidP="002A1702">
            <w:pPr>
              <w:pStyle w:val="TableText0"/>
              <w:jc w:val="center"/>
              <w:rPr>
                <w:rFonts w:cs="Calibri"/>
                <w:color w:val="000000"/>
                <w:sz w:val="22"/>
                <w:szCs w:val="22"/>
              </w:rPr>
            </w:pPr>
            <w:r w:rsidRPr="009475AF">
              <w:t>$512.50 per syringe</w:t>
            </w:r>
          </w:p>
        </w:tc>
        <w:tc>
          <w:tcPr>
            <w:tcW w:w="2359" w:type="dxa"/>
            <w:tcBorders>
              <w:bottom w:val="single" w:sz="4" w:space="0" w:color="auto"/>
            </w:tcBorders>
          </w:tcPr>
          <w:p w14:paraId="0FF1B5DF" w14:textId="77777777" w:rsidR="00CF3DF4" w:rsidRPr="009475AF" w:rsidRDefault="00740DE2" w:rsidP="002A1702">
            <w:pPr>
              <w:pStyle w:val="TableText0"/>
              <w:jc w:val="center"/>
            </w:pPr>
            <w:r w:rsidRPr="009475AF">
              <w:t>=2.2*$410+0.6*$205</w:t>
            </w:r>
          </w:p>
          <w:p w14:paraId="1746DFDD" w14:textId="59EDB97C" w:rsidR="00740DE2" w:rsidRPr="009475AF" w:rsidRDefault="00740DE2" w:rsidP="002A1702">
            <w:pPr>
              <w:pStyle w:val="TableText0"/>
              <w:jc w:val="center"/>
            </w:pPr>
            <w:r w:rsidRPr="009475AF">
              <w:t>= $1,025</w:t>
            </w:r>
          </w:p>
        </w:tc>
      </w:tr>
      <w:tr w:rsidR="00CF3DF4" w:rsidRPr="009475AF" w14:paraId="710FADF3" w14:textId="77777777" w:rsidTr="00CF3DF4">
        <w:tc>
          <w:tcPr>
            <w:tcW w:w="2972" w:type="dxa"/>
            <w:tcBorders>
              <w:top w:val="single" w:sz="4" w:space="0" w:color="auto"/>
            </w:tcBorders>
          </w:tcPr>
          <w:p w14:paraId="5003F688" w14:textId="214AF52D" w:rsidR="00CF3DF4" w:rsidRPr="009475AF" w:rsidRDefault="00CF3DF4" w:rsidP="00001C7E">
            <w:pPr>
              <w:pStyle w:val="TableText0"/>
            </w:pPr>
            <w:r w:rsidRPr="009475AF">
              <w:t>Estimated use</w:t>
            </w:r>
          </w:p>
        </w:tc>
        <w:tc>
          <w:tcPr>
            <w:tcW w:w="1843" w:type="dxa"/>
          </w:tcPr>
          <w:p w14:paraId="04715618" w14:textId="31348AB2" w:rsidR="00CF3DF4" w:rsidRPr="009475AF" w:rsidRDefault="00CF3DF4" w:rsidP="002A1702">
            <w:pPr>
              <w:pStyle w:val="TableText0"/>
              <w:jc w:val="center"/>
            </w:pPr>
            <w:r w:rsidRPr="009475AF">
              <w:t>94.1%</w:t>
            </w:r>
          </w:p>
        </w:tc>
        <w:tc>
          <w:tcPr>
            <w:tcW w:w="1843" w:type="dxa"/>
          </w:tcPr>
          <w:p w14:paraId="4315A05D" w14:textId="6B1D0786" w:rsidR="00CF3DF4" w:rsidRPr="009475AF" w:rsidRDefault="00CF3DF4" w:rsidP="002A1702">
            <w:pPr>
              <w:pStyle w:val="TableText0"/>
              <w:jc w:val="center"/>
            </w:pPr>
            <w:r w:rsidRPr="009475AF">
              <w:t>5.9%</w:t>
            </w:r>
          </w:p>
        </w:tc>
        <w:tc>
          <w:tcPr>
            <w:tcW w:w="2359" w:type="dxa"/>
            <w:tcBorders>
              <w:top w:val="single" w:sz="4" w:space="0" w:color="auto"/>
            </w:tcBorders>
          </w:tcPr>
          <w:p w14:paraId="2FB5EB46" w14:textId="77777777" w:rsidR="00CF3DF4" w:rsidRPr="009475AF" w:rsidRDefault="00CF3DF4" w:rsidP="002A1702">
            <w:pPr>
              <w:pStyle w:val="TableText0"/>
              <w:jc w:val="center"/>
            </w:pPr>
          </w:p>
        </w:tc>
      </w:tr>
      <w:tr w:rsidR="00CF3DF4" w:rsidRPr="009475AF" w14:paraId="17FADD94" w14:textId="77777777" w:rsidTr="00CF3DF4">
        <w:tc>
          <w:tcPr>
            <w:tcW w:w="2972" w:type="dxa"/>
            <w:tcBorders>
              <w:top w:val="single" w:sz="4" w:space="0" w:color="auto"/>
            </w:tcBorders>
          </w:tcPr>
          <w:p w14:paraId="3B6C8DF6" w14:textId="3B6C6CEB" w:rsidR="00CF3DF4" w:rsidRPr="009475AF" w:rsidRDefault="00CF3DF4" w:rsidP="00001C7E">
            <w:pPr>
              <w:pStyle w:val="TableText0"/>
            </w:pPr>
            <w:r w:rsidRPr="009475AF">
              <w:t>Weighted average cost per syringe</w:t>
            </w:r>
          </w:p>
        </w:tc>
        <w:tc>
          <w:tcPr>
            <w:tcW w:w="1843" w:type="dxa"/>
          </w:tcPr>
          <w:p w14:paraId="4E8EF96C" w14:textId="6326A166" w:rsidR="00CF3DF4" w:rsidRPr="009475AF" w:rsidRDefault="00CF3DF4" w:rsidP="002A1702">
            <w:pPr>
              <w:pStyle w:val="TableText0"/>
              <w:jc w:val="center"/>
            </w:pPr>
            <w:r w:rsidRPr="009475AF">
              <w:t>$994.61</w:t>
            </w:r>
          </w:p>
        </w:tc>
        <w:tc>
          <w:tcPr>
            <w:tcW w:w="1843" w:type="dxa"/>
          </w:tcPr>
          <w:p w14:paraId="5E038304" w14:textId="7B71AC9E" w:rsidR="00CF3DF4" w:rsidRPr="009475AF" w:rsidRDefault="00CF3DF4" w:rsidP="002A1702">
            <w:pPr>
              <w:pStyle w:val="TableText0"/>
              <w:jc w:val="center"/>
            </w:pPr>
            <w:r w:rsidRPr="009475AF">
              <w:t>$994.61</w:t>
            </w:r>
          </w:p>
        </w:tc>
        <w:tc>
          <w:tcPr>
            <w:tcW w:w="2359" w:type="dxa"/>
            <w:tcBorders>
              <w:top w:val="single" w:sz="4" w:space="0" w:color="auto"/>
            </w:tcBorders>
          </w:tcPr>
          <w:p w14:paraId="47C6280A" w14:textId="77777777" w:rsidR="00CF3DF4" w:rsidRPr="009475AF" w:rsidRDefault="00CF3DF4" w:rsidP="002A1702">
            <w:pPr>
              <w:pStyle w:val="TableText0"/>
              <w:jc w:val="center"/>
            </w:pPr>
          </w:p>
        </w:tc>
      </w:tr>
      <w:tr w:rsidR="00740DE2" w:rsidRPr="009475AF" w14:paraId="6CC909F5" w14:textId="77777777" w:rsidTr="00CF3DF4">
        <w:tc>
          <w:tcPr>
            <w:tcW w:w="2972" w:type="dxa"/>
          </w:tcPr>
          <w:p w14:paraId="445634E8" w14:textId="77777777" w:rsidR="00740DE2" w:rsidRPr="009475AF" w:rsidRDefault="00740DE2" w:rsidP="00001C7E">
            <w:pPr>
              <w:pStyle w:val="TableText0"/>
            </w:pPr>
            <w:r w:rsidRPr="009475AF">
              <w:t>Dose duration</w:t>
            </w:r>
          </w:p>
        </w:tc>
        <w:tc>
          <w:tcPr>
            <w:tcW w:w="1843" w:type="dxa"/>
          </w:tcPr>
          <w:p w14:paraId="4E68C19C" w14:textId="77777777" w:rsidR="00740DE2" w:rsidRPr="009475AF" w:rsidRDefault="00740DE2" w:rsidP="002A1702">
            <w:pPr>
              <w:pStyle w:val="TableText0"/>
              <w:jc w:val="center"/>
            </w:pPr>
            <w:r w:rsidRPr="009475AF">
              <w:t>1 year</w:t>
            </w:r>
          </w:p>
        </w:tc>
        <w:tc>
          <w:tcPr>
            <w:tcW w:w="1843" w:type="dxa"/>
          </w:tcPr>
          <w:p w14:paraId="3A387755" w14:textId="036BF641" w:rsidR="00740DE2" w:rsidRPr="009475AF" w:rsidRDefault="00740DE2" w:rsidP="002A1702">
            <w:pPr>
              <w:pStyle w:val="TableText0"/>
              <w:jc w:val="center"/>
            </w:pPr>
            <w:r w:rsidRPr="009475AF">
              <w:t>1 year</w:t>
            </w:r>
          </w:p>
        </w:tc>
        <w:tc>
          <w:tcPr>
            <w:tcW w:w="2359" w:type="dxa"/>
          </w:tcPr>
          <w:p w14:paraId="2346C38F" w14:textId="5D6243F5" w:rsidR="00740DE2" w:rsidRPr="009475AF" w:rsidRDefault="00740DE2" w:rsidP="002A1702">
            <w:pPr>
              <w:pStyle w:val="TableText0"/>
              <w:jc w:val="center"/>
            </w:pPr>
            <w:r w:rsidRPr="009475AF">
              <w:t>1 year</w:t>
            </w:r>
          </w:p>
        </w:tc>
      </w:tr>
      <w:tr w:rsidR="00740DE2" w:rsidRPr="009475AF" w14:paraId="5782B6E7" w14:textId="77777777" w:rsidTr="00CF3DF4">
        <w:tc>
          <w:tcPr>
            <w:tcW w:w="2972" w:type="dxa"/>
          </w:tcPr>
          <w:p w14:paraId="778FE101" w14:textId="4209F002" w:rsidR="00740DE2" w:rsidRPr="009475AF" w:rsidRDefault="00740DE2" w:rsidP="00001C7E">
            <w:pPr>
              <w:pStyle w:val="TableText0"/>
            </w:pPr>
            <w:r w:rsidRPr="009475AF">
              <w:t>Administrations per year</w:t>
            </w:r>
          </w:p>
        </w:tc>
        <w:tc>
          <w:tcPr>
            <w:tcW w:w="1843" w:type="dxa"/>
          </w:tcPr>
          <w:p w14:paraId="29B41B8B" w14:textId="6B939D42" w:rsidR="00740DE2" w:rsidRPr="009475AF" w:rsidRDefault="00740DE2" w:rsidP="002A1702">
            <w:pPr>
              <w:pStyle w:val="TableText0"/>
              <w:jc w:val="center"/>
            </w:pPr>
            <w:r w:rsidRPr="009475AF">
              <w:t>13.04</w:t>
            </w:r>
          </w:p>
        </w:tc>
        <w:tc>
          <w:tcPr>
            <w:tcW w:w="1843" w:type="dxa"/>
          </w:tcPr>
          <w:p w14:paraId="65B7DDDE" w14:textId="20027CD0" w:rsidR="00740DE2" w:rsidRPr="009475AF" w:rsidRDefault="00740DE2" w:rsidP="002A1702">
            <w:pPr>
              <w:pStyle w:val="TableText0"/>
              <w:jc w:val="center"/>
            </w:pPr>
            <w:r w:rsidRPr="009475AF">
              <w:t>26.09</w:t>
            </w:r>
          </w:p>
        </w:tc>
        <w:tc>
          <w:tcPr>
            <w:tcW w:w="2359" w:type="dxa"/>
          </w:tcPr>
          <w:p w14:paraId="59C78D40" w14:textId="6866845F" w:rsidR="00740DE2" w:rsidRPr="009475AF" w:rsidRDefault="00740DE2" w:rsidP="002A1702">
            <w:pPr>
              <w:pStyle w:val="TableText0"/>
              <w:jc w:val="center"/>
            </w:pPr>
            <w:r w:rsidRPr="009475AF">
              <w:t>13.04</w:t>
            </w:r>
          </w:p>
        </w:tc>
      </w:tr>
      <w:tr w:rsidR="00740DE2" w:rsidRPr="009475AF" w14:paraId="08404894" w14:textId="77777777" w:rsidTr="00CF3DF4">
        <w:tc>
          <w:tcPr>
            <w:tcW w:w="2972" w:type="dxa"/>
          </w:tcPr>
          <w:p w14:paraId="4CAF8FEA" w14:textId="4EC1B517" w:rsidR="00740DE2" w:rsidRPr="009475AF" w:rsidRDefault="00740DE2" w:rsidP="00001C7E">
            <w:pPr>
              <w:pStyle w:val="TableText0"/>
            </w:pPr>
            <w:r w:rsidRPr="009475AF">
              <w:t xml:space="preserve">Total medicine cost per year </w:t>
            </w:r>
          </w:p>
        </w:tc>
        <w:tc>
          <w:tcPr>
            <w:tcW w:w="1843" w:type="dxa"/>
          </w:tcPr>
          <w:p w14:paraId="1F8035F1" w14:textId="73A99C38" w:rsidR="00740DE2" w:rsidRPr="009475AF" w:rsidRDefault="00740DE2" w:rsidP="002A1702">
            <w:pPr>
              <w:pStyle w:val="TableText0"/>
              <w:jc w:val="center"/>
              <w:rPr>
                <w:szCs w:val="20"/>
              </w:rPr>
            </w:pPr>
            <w:r w:rsidRPr="009475AF">
              <w:rPr>
                <w:rFonts w:cs="Calibri"/>
                <w:color w:val="000000"/>
                <w:szCs w:val="20"/>
              </w:rPr>
              <w:t>$13,370.76</w:t>
            </w:r>
          </w:p>
        </w:tc>
        <w:tc>
          <w:tcPr>
            <w:tcW w:w="1843" w:type="dxa"/>
          </w:tcPr>
          <w:p w14:paraId="0630CF3D" w14:textId="75B717EB" w:rsidR="00740DE2" w:rsidRPr="009475AF" w:rsidRDefault="00740DE2" w:rsidP="002A1702">
            <w:pPr>
              <w:pStyle w:val="TableText0"/>
              <w:jc w:val="center"/>
              <w:rPr>
                <w:szCs w:val="20"/>
              </w:rPr>
            </w:pPr>
            <w:r w:rsidRPr="009475AF">
              <w:rPr>
                <w:szCs w:val="20"/>
              </w:rPr>
              <w:t>$13,370.76</w:t>
            </w:r>
          </w:p>
        </w:tc>
        <w:tc>
          <w:tcPr>
            <w:tcW w:w="2359" w:type="dxa"/>
          </w:tcPr>
          <w:p w14:paraId="198B18BA" w14:textId="5482A19F" w:rsidR="00740DE2" w:rsidRPr="009475AF" w:rsidRDefault="00740DE2" w:rsidP="002A1702">
            <w:pPr>
              <w:jc w:val="center"/>
              <w:rPr>
                <w:rFonts w:ascii="Arial Narrow" w:hAnsi="Arial Narrow" w:cs="Calibri"/>
                <w:color w:val="000000"/>
                <w:sz w:val="20"/>
                <w:szCs w:val="20"/>
              </w:rPr>
            </w:pPr>
            <w:r w:rsidRPr="009475AF">
              <w:rPr>
                <w:rFonts w:ascii="Arial Narrow" w:hAnsi="Arial Narrow" w:cs="Calibri"/>
                <w:color w:val="000000"/>
                <w:sz w:val="20"/>
                <w:szCs w:val="20"/>
              </w:rPr>
              <w:t>$13,370.76</w:t>
            </w:r>
          </w:p>
        </w:tc>
      </w:tr>
      <w:tr w:rsidR="00740DE2" w:rsidRPr="009475AF" w14:paraId="67C7A451" w14:textId="77777777" w:rsidTr="00CF3DF4">
        <w:tc>
          <w:tcPr>
            <w:tcW w:w="2972" w:type="dxa"/>
          </w:tcPr>
          <w:p w14:paraId="252D014D" w14:textId="77777777" w:rsidR="00740DE2" w:rsidRPr="009475AF" w:rsidRDefault="00740DE2" w:rsidP="00001C7E">
            <w:pPr>
              <w:pStyle w:val="TableText0"/>
            </w:pPr>
            <w:r w:rsidRPr="009475AF">
              <w:t>Difference in cost per week</w:t>
            </w:r>
          </w:p>
        </w:tc>
        <w:tc>
          <w:tcPr>
            <w:tcW w:w="1843" w:type="dxa"/>
          </w:tcPr>
          <w:p w14:paraId="4800766A" w14:textId="77777777" w:rsidR="00740DE2" w:rsidRPr="009475AF" w:rsidRDefault="00740DE2" w:rsidP="002A1702">
            <w:pPr>
              <w:pStyle w:val="TableText0"/>
              <w:jc w:val="center"/>
            </w:pPr>
            <w:r w:rsidRPr="009475AF">
              <w:t>$0</w:t>
            </w:r>
          </w:p>
        </w:tc>
        <w:tc>
          <w:tcPr>
            <w:tcW w:w="1843" w:type="dxa"/>
          </w:tcPr>
          <w:p w14:paraId="4A97AEE7" w14:textId="3D8372F7" w:rsidR="00740DE2" w:rsidRPr="009475AF" w:rsidRDefault="00740DE2" w:rsidP="002A1702">
            <w:pPr>
              <w:pStyle w:val="TableText0"/>
              <w:jc w:val="center"/>
            </w:pPr>
            <w:r w:rsidRPr="009475AF">
              <w:t>$0</w:t>
            </w:r>
          </w:p>
        </w:tc>
        <w:tc>
          <w:tcPr>
            <w:tcW w:w="2359" w:type="dxa"/>
          </w:tcPr>
          <w:p w14:paraId="381DBC25" w14:textId="5E8DE0B6" w:rsidR="00740DE2" w:rsidRPr="009475AF" w:rsidRDefault="00740DE2" w:rsidP="002A1702">
            <w:pPr>
              <w:pStyle w:val="TableText0"/>
              <w:jc w:val="center"/>
            </w:pPr>
            <w:r w:rsidRPr="009475AF">
              <w:t>$0</w:t>
            </w:r>
          </w:p>
        </w:tc>
      </w:tr>
    </w:tbl>
    <w:p w14:paraId="38007954" w14:textId="1870788E" w:rsidR="00250C88" w:rsidRPr="009475AF" w:rsidRDefault="00250C88" w:rsidP="005E4B0F">
      <w:pPr>
        <w:pStyle w:val="FooterTableFigure"/>
      </w:pPr>
      <w:r w:rsidRPr="009475AF">
        <w:t xml:space="preserve">Source: </w:t>
      </w:r>
      <w:r w:rsidR="00AA39AE" w:rsidRPr="009475AF">
        <w:t xml:space="preserve"> constructed during the evaluation</w:t>
      </w:r>
      <w:r w:rsidR="00F22D56" w:rsidRPr="009475AF">
        <w:t xml:space="preserve"> and corrected based on values</w:t>
      </w:r>
      <w:r w:rsidR="00AA39AE" w:rsidRPr="009475AF">
        <w:t xml:space="preserve"> from Tables 3.3 and 3.4</w:t>
      </w:r>
      <w:r w:rsidR="00F22D56" w:rsidRPr="009475AF">
        <w:t xml:space="preserve"> of the submission</w:t>
      </w:r>
      <w:r w:rsidR="00CE3790" w:rsidRPr="009475AF">
        <w:t xml:space="preserve">. </w:t>
      </w:r>
    </w:p>
    <w:p w14:paraId="65A3CDB9" w14:textId="6753B37A" w:rsidR="00F226C1" w:rsidRPr="009475AF" w:rsidRDefault="00F226C1" w:rsidP="00F226C1">
      <w:pPr>
        <w:pStyle w:val="3-BodyText"/>
      </w:pPr>
      <w:r w:rsidRPr="009475AF">
        <w:t>The ESC noted if the use of the Q2W regimen increased to 10% the weighted average cost per syringe would reduce to $973.75.</w:t>
      </w:r>
      <w:r w:rsidR="00CE5CD2" w:rsidRPr="009475AF">
        <w:t xml:space="preserve"> </w:t>
      </w:r>
      <w:r w:rsidR="000609EC" w:rsidRPr="009475AF">
        <w:t xml:space="preserve">The pre-PBAC response stated that should dupilumab receive a positive recommended for this indication, the </w:t>
      </w:r>
      <w:r w:rsidR="009D7017" w:rsidRPr="009475AF">
        <w:t>s</w:t>
      </w:r>
      <w:r w:rsidR="000609EC" w:rsidRPr="009475AF">
        <w:t>ponsor is committed to collaborating with the Department to ensure the final utilisation estimates are based on the best available assumptions regarding regimen split.</w:t>
      </w:r>
    </w:p>
    <w:p w14:paraId="3DBFE151" w14:textId="4681686F" w:rsidR="00494207" w:rsidRPr="009475AF" w:rsidRDefault="001E2F24" w:rsidP="007E5F66">
      <w:pPr>
        <w:pStyle w:val="3-BodyText"/>
        <w:rPr>
          <w:iCs/>
        </w:rPr>
      </w:pPr>
      <w:r w:rsidRPr="009475AF">
        <w:rPr>
          <w:iCs/>
        </w:rPr>
        <w:t xml:space="preserve">Should the PBAC accept the clinical claim of overall non-inferior effectiveness and safety, the cost-minimisation approach must establish that the cost per patient for treatment with </w:t>
      </w:r>
      <w:r w:rsidR="00D2007F" w:rsidRPr="009475AF">
        <w:rPr>
          <w:iCs/>
        </w:rPr>
        <w:t>dupilumab</w:t>
      </w:r>
      <w:r w:rsidRPr="009475AF">
        <w:rPr>
          <w:iCs/>
        </w:rPr>
        <w:t xml:space="preserve"> would be no more than the cost per patient of </w:t>
      </w:r>
      <w:r w:rsidR="00D2007F" w:rsidRPr="009475AF">
        <w:rPr>
          <w:iCs/>
        </w:rPr>
        <w:t>omalizumab</w:t>
      </w:r>
      <w:r w:rsidRPr="009475AF">
        <w:rPr>
          <w:iCs/>
        </w:rPr>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9475AF">
        <w:rPr>
          <w:iCs/>
        </w:rPr>
        <w:t xml:space="preserve"> In this case, the PBAC should consider the following parameters: </w:t>
      </w:r>
      <w:r w:rsidR="00D2007F" w:rsidRPr="009475AF">
        <w:rPr>
          <w:iCs/>
          <w:color w:val="000000" w:themeColor="text1"/>
        </w:rPr>
        <w:t xml:space="preserve">weight and </w:t>
      </w:r>
      <w:r w:rsidR="00D22489" w:rsidRPr="009475AF">
        <w:rPr>
          <w:iCs/>
          <w:color w:val="000000" w:themeColor="text1"/>
        </w:rPr>
        <w:t xml:space="preserve">total serum </w:t>
      </w:r>
      <w:r w:rsidR="00D2007F" w:rsidRPr="009475AF">
        <w:rPr>
          <w:iCs/>
          <w:color w:val="000000" w:themeColor="text1"/>
        </w:rPr>
        <w:t>IgE distribution in Australian children receiving omalizumab</w:t>
      </w:r>
      <w:r w:rsidR="001C563A" w:rsidRPr="009475AF">
        <w:rPr>
          <w:iCs/>
          <w:color w:val="000000" w:themeColor="text1"/>
        </w:rPr>
        <w:t>, since the average dose in Australian children may be less than that in IA-05, but the dose of dupilumab would be the same</w:t>
      </w:r>
      <w:r w:rsidR="00D2007F" w:rsidRPr="009475AF">
        <w:rPr>
          <w:iCs/>
          <w:color w:val="000000" w:themeColor="text1"/>
        </w:rPr>
        <w:t xml:space="preserve">. </w:t>
      </w:r>
      <w:bookmarkStart w:id="45" w:name="_Hlk107307804"/>
    </w:p>
    <w:p w14:paraId="2197B70C" w14:textId="48E75FB9" w:rsidR="00CE3790" w:rsidRPr="009475AF" w:rsidRDefault="00CE3790" w:rsidP="002B05A1">
      <w:pPr>
        <w:pStyle w:val="4-SubsectionHeading"/>
      </w:pPr>
      <w:bookmarkStart w:id="46" w:name="_Toc156912922"/>
      <w:bookmarkStart w:id="47" w:name="_Toc22897647"/>
      <w:bookmarkEnd w:id="45"/>
      <w:r w:rsidRPr="009475AF">
        <w:t>Drug cost/patient /year</w:t>
      </w:r>
      <w:bookmarkEnd w:id="46"/>
    </w:p>
    <w:p w14:paraId="39274A8E" w14:textId="6BA0C83D" w:rsidR="00CE3790" w:rsidRPr="009475AF" w:rsidRDefault="00CE3790" w:rsidP="00CE3790">
      <w:pPr>
        <w:pStyle w:val="3-BodyText"/>
      </w:pPr>
      <w:r w:rsidRPr="009475AF">
        <w:t>Based on the published price of omalizumab, using the corrected equivalence calculations, and using the 300</w:t>
      </w:r>
      <w:r w:rsidR="0040383E" w:rsidRPr="009475AF">
        <w:t xml:space="preserve"> </w:t>
      </w:r>
      <w:r w:rsidRPr="009475AF">
        <w:t>mg/</w:t>
      </w:r>
      <w:r w:rsidR="0040383E" w:rsidRPr="009475AF">
        <w:t>4-week</w:t>
      </w:r>
      <w:r w:rsidRPr="009475AF">
        <w:t xml:space="preserve"> dose</w:t>
      </w:r>
      <w:r w:rsidR="00E159AB" w:rsidRPr="009475AF">
        <w:t xml:space="preserve"> of dupilumab as the likely average dose</w:t>
      </w:r>
      <w:r w:rsidRPr="009475AF">
        <w:t xml:space="preserve">, the estimated cost per patient per year is </w:t>
      </w:r>
      <w:r w:rsidRPr="009475AF">
        <w:rPr>
          <w:iCs/>
        </w:rPr>
        <w:t>$13</w:t>
      </w:r>
      <w:r w:rsidR="00CA5B6F" w:rsidRPr="009475AF">
        <w:rPr>
          <w:iCs/>
        </w:rPr>
        <w:t>,</w:t>
      </w:r>
      <w:r w:rsidRPr="009475AF">
        <w:rPr>
          <w:iCs/>
        </w:rPr>
        <w:t>3</w:t>
      </w:r>
      <w:r w:rsidR="004F2176" w:rsidRPr="009475AF">
        <w:rPr>
          <w:iCs/>
        </w:rPr>
        <w:t>70.</w:t>
      </w:r>
      <w:r w:rsidR="002F6463" w:rsidRPr="009475AF">
        <w:rPr>
          <w:iCs/>
        </w:rPr>
        <w:t>7</w:t>
      </w:r>
      <w:r w:rsidR="004F2176" w:rsidRPr="009475AF">
        <w:rPr>
          <w:iCs/>
        </w:rPr>
        <w:t>6</w:t>
      </w:r>
      <w:r w:rsidR="004F2176" w:rsidRPr="009475AF">
        <w:t xml:space="preserve"> </w:t>
      </w:r>
      <w:r w:rsidR="00E159AB" w:rsidRPr="009475AF">
        <w:t xml:space="preserve">(see also </w:t>
      </w:r>
      <w:r w:rsidR="00E159AB" w:rsidRPr="009475AF">
        <w:fldChar w:fldCharType="begin" w:fldLock="1"/>
      </w:r>
      <w:r w:rsidR="00E159AB" w:rsidRPr="009475AF">
        <w:instrText xml:space="preserve"> REF _Ref154044706 \h </w:instrText>
      </w:r>
      <w:r w:rsidR="0093421F" w:rsidRPr="009475AF">
        <w:instrText xml:space="preserve"> \* MERGEFORMAT </w:instrText>
      </w:r>
      <w:r w:rsidR="00E159AB" w:rsidRPr="009475AF">
        <w:fldChar w:fldCharType="separate"/>
      </w:r>
      <w:r w:rsidR="00E159AB" w:rsidRPr="009475AF">
        <w:t>Table 10</w:t>
      </w:r>
      <w:r w:rsidR="00E159AB" w:rsidRPr="009475AF">
        <w:fldChar w:fldCharType="end"/>
      </w:r>
      <w:r w:rsidR="00E159AB" w:rsidRPr="009475AF">
        <w:t>)</w:t>
      </w:r>
      <w:r w:rsidRPr="009475AF">
        <w:t xml:space="preserve">. </w:t>
      </w:r>
    </w:p>
    <w:p w14:paraId="268768EF" w14:textId="60F2F3DA" w:rsidR="00B60939" w:rsidRPr="009475AF" w:rsidRDefault="00B60939" w:rsidP="002B05A1">
      <w:pPr>
        <w:pStyle w:val="4-SubsectionHeading"/>
      </w:pPr>
      <w:bookmarkStart w:id="48" w:name="_Toc156912923"/>
      <w:r w:rsidRPr="009475AF">
        <w:t>Estimated PBS usage &amp; financial implications</w:t>
      </w:r>
      <w:bookmarkEnd w:id="47"/>
      <w:bookmarkEnd w:id="48"/>
    </w:p>
    <w:p w14:paraId="04B31D2D" w14:textId="3435E3EF" w:rsidR="0072416F" w:rsidRPr="009475AF" w:rsidRDefault="00C25D9C" w:rsidP="0051209E">
      <w:pPr>
        <w:pStyle w:val="3-BodyText"/>
        <w:rPr>
          <w:color w:val="0066FF"/>
        </w:rPr>
      </w:pPr>
      <w:bookmarkStart w:id="49" w:name="_Ref156907728"/>
      <w:r w:rsidRPr="009475AF">
        <w:t xml:space="preserve">This submission </w:t>
      </w:r>
      <w:r w:rsidR="00E54297" w:rsidRPr="009475AF">
        <w:t>was not</w:t>
      </w:r>
      <w:r w:rsidR="00D23D11" w:rsidRPr="009475AF">
        <w:t xml:space="preserve"> </w:t>
      </w:r>
      <w:r w:rsidRPr="009475AF">
        <w:t>considered by DUSC</w:t>
      </w:r>
      <w:r w:rsidRPr="009475AF">
        <w:rPr>
          <w:color w:val="0070C0"/>
        </w:rPr>
        <w:t>.</w:t>
      </w:r>
      <w:bookmarkEnd w:id="49"/>
      <w:r w:rsidR="00BC591F" w:rsidRPr="009475AF">
        <w:rPr>
          <w:color w:val="0070C0"/>
        </w:rPr>
        <w:t xml:space="preserve"> </w:t>
      </w:r>
    </w:p>
    <w:p w14:paraId="5F48E1D3" w14:textId="5D1B8AFF" w:rsidR="00B94387" w:rsidRPr="009475AF" w:rsidRDefault="00B94387" w:rsidP="0051209E">
      <w:pPr>
        <w:pStyle w:val="3-BodyText"/>
      </w:pPr>
      <w:r w:rsidRPr="009475AF">
        <w:t>The submission presented a mixed market share and epidemiological approach to estimate the use and financial impact of listing dupilumab for paediatric asthma</w:t>
      </w:r>
      <w:r w:rsidR="00BB60DC" w:rsidRPr="009475AF">
        <w:t xml:space="preserve"> for the period 2024-2029</w:t>
      </w:r>
      <w:r w:rsidRPr="009475AF">
        <w:t>.</w:t>
      </w:r>
      <w:r w:rsidR="00BA0D88" w:rsidRPr="009475AF">
        <w:t xml:space="preserve"> The market share approach applied to the Subgroup A</w:t>
      </w:r>
      <w:r w:rsidR="003774BA" w:rsidRPr="009475AF">
        <w:t xml:space="preserve"> </w:t>
      </w:r>
      <w:r w:rsidR="00BA0D88" w:rsidRPr="009475AF">
        <w:t xml:space="preserve">patients and the epidemiological approach was applied to </w:t>
      </w:r>
      <w:r w:rsidR="001C563A" w:rsidRPr="009475AF">
        <w:t>S</w:t>
      </w:r>
      <w:r w:rsidR="00BA0D88" w:rsidRPr="009475AF">
        <w:t xml:space="preserve">ubgroup </w:t>
      </w:r>
      <w:r w:rsidR="001C563A" w:rsidRPr="009475AF">
        <w:t>B</w:t>
      </w:r>
      <w:r w:rsidR="00FD5123" w:rsidRPr="009475AF">
        <w:t xml:space="preserve"> patients</w:t>
      </w:r>
      <w:r w:rsidR="00BA0D88" w:rsidRPr="009475AF">
        <w:t>.</w:t>
      </w:r>
      <w:r w:rsidR="00BB60DC" w:rsidRPr="009475AF">
        <w:t xml:space="preserve"> </w:t>
      </w:r>
    </w:p>
    <w:p w14:paraId="1D46F5E7" w14:textId="1A86D090" w:rsidR="009F28D4" w:rsidRPr="009475AF" w:rsidRDefault="009F28D4" w:rsidP="0051209E">
      <w:pPr>
        <w:pStyle w:val="3-BodyText"/>
        <w:rPr>
          <w:iCs/>
        </w:rPr>
      </w:pPr>
      <w:r w:rsidRPr="009475AF">
        <w:t xml:space="preserve">The estimates of use and financial impact presented below are for </w:t>
      </w:r>
      <w:r w:rsidR="001C563A" w:rsidRPr="009475AF">
        <w:t>S</w:t>
      </w:r>
      <w:r w:rsidRPr="009475AF">
        <w:t>ubgroup A and are based on the market share assessment</w:t>
      </w:r>
      <w:r w:rsidRPr="009475AF">
        <w:rPr>
          <w:iCs/>
        </w:rPr>
        <w:t xml:space="preserve">. </w:t>
      </w:r>
      <w:r w:rsidR="00506405" w:rsidRPr="009475AF">
        <w:rPr>
          <w:iCs/>
        </w:rPr>
        <w:t xml:space="preserve">Estimates of use for Subgroup B are presented in Table </w:t>
      </w:r>
      <w:r w:rsidR="00F943DF" w:rsidRPr="009475AF">
        <w:rPr>
          <w:iCs/>
        </w:rPr>
        <w:t>16</w:t>
      </w:r>
      <w:r w:rsidR="00506405" w:rsidRPr="009475AF">
        <w:rPr>
          <w:iCs/>
        </w:rPr>
        <w:t>.</w:t>
      </w:r>
    </w:p>
    <w:p w14:paraId="2E266BF0" w14:textId="4A5222A6" w:rsidR="006E0FD3" w:rsidRPr="009475AF" w:rsidRDefault="009F28D4" w:rsidP="00756600">
      <w:pPr>
        <w:pStyle w:val="3-BodyText"/>
      </w:pPr>
      <w:r w:rsidRPr="009475AF">
        <w:t>The key inputs used f</w:t>
      </w:r>
      <w:r w:rsidR="006E0FD3" w:rsidRPr="009475AF">
        <w:t>o</w:t>
      </w:r>
      <w:r w:rsidRPr="009475AF">
        <w:t>r th</w:t>
      </w:r>
      <w:r w:rsidR="006E0FD3" w:rsidRPr="009475AF">
        <w:t>e</w:t>
      </w:r>
      <w:r w:rsidRPr="009475AF">
        <w:t xml:space="preserve"> </w:t>
      </w:r>
      <w:r w:rsidR="006E0FD3" w:rsidRPr="009475AF">
        <w:t xml:space="preserve">financial estimates are shown in </w:t>
      </w:r>
      <w:r w:rsidR="00756600" w:rsidRPr="009475AF">
        <w:fldChar w:fldCharType="begin" w:fldLock="1"/>
      </w:r>
      <w:r w:rsidR="00756600" w:rsidRPr="009475AF">
        <w:instrText xml:space="preserve"> REF _Ref154566144 \h </w:instrText>
      </w:r>
      <w:r w:rsidR="00756600" w:rsidRPr="009475AF">
        <w:fldChar w:fldCharType="separate"/>
      </w:r>
      <w:r w:rsidR="00756600" w:rsidRPr="009475AF">
        <w:t>Table 11</w:t>
      </w:r>
      <w:r w:rsidR="00756600" w:rsidRPr="009475AF">
        <w:fldChar w:fldCharType="end"/>
      </w:r>
      <w:r w:rsidR="00756600" w:rsidRPr="009475AF">
        <w:t>.</w:t>
      </w:r>
      <w:r w:rsidR="006E0FD3" w:rsidRPr="009475AF">
        <w:fldChar w:fldCharType="begin" w:fldLock="1"/>
      </w:r>
      <w:r w:rsidR="006E0FD3" w:rsidRPr="009475AF">
        <w:instrText xml:space="preserve"> REF _Ref104805262 \h </w:instrText>
      </w:r>
      <w:r w:rsidR="00696736">
        <w:fldChar w:fldCharType="separate"/>
      </w:r>
      <w:r w:rsidR="006E0FD3" w:rsidRPr="009475AF">
        <w:fldChar w:fldCharType="end"/>
      </w:r>
      <w:r w:rsidR="006E0FD3" w:rsidRPr="009475AF">
        <w:t xml:space="preserve"> </w:t>
      </w:r>
    </w:p>
    <w:bookmarkStart w:id="50" w:name="_Ref104805262"/>
    <w:bookmarkStart w:id="51" w:name="_Ref154566088"/>
    <w:p w14:paraId="3393BCE7" w14:textId="01D70F14" w:rsidR="00E42F73" w:rsidRPr="009475AF" w:rsidRDefault="00756600" w:rsidP="00E16AD8">
      <w:pPr>
        <w:pStyle w:val="Caption"/>
        <w:rPr>
          <w:rStyle w:val="CommentReference"/>
          <w:b/>
          <w:szCs w:val="24"/>
        </w:rPr>
      </w:pPr>
      <w:r w:rsidRPr="009475AF">
        <w:fldChar w:fldCharType="begin" w:fldLock="1"/>
      </w:r>
      <w:r w:rsidRPr="009475AF">
        <w:instrText xml:space="preserve"> REF _Ref154566088 \h </w:instrText>
      </w:r>
      <w:r w:rsidR="00696736">
        <w:fldChar w:fldCharType="separate"/>
      </w:r>
      <w:r w:rsidRPr="009475AF">
        <w:fldChar w:fldCharType="end"/>
      </w:r>
      <w:bookmarkStart w:id="52" w:name="_Ref154566144"/>
      <w:r w:rsidR="00E16AD8" w:rsidRPr="009475AF">
        <w:t xml:space="preserve">Table </w:t>
      </w:r>
      <w:r w:rsidR="00696736">
        <w:fldChar w:fldCharType="begin" w:fldLock="1"/>
      </w:r>
      <w:r w:rsidR="00696736">
        <w:instrText xml:space="preserve"> SEQ Table \* ARABIC </w:instrText>
      </w:r>
      <w:r w:rsidR="00696736">
        <w:fldChar w:fldCharType="separate"/>
      </w:r>
      <w:r w:rsidR="00F866CD" w:rsidRPr="009475AF">
        <w:t>11</w:t>
      </w:r>
      <w:r w:rsidR="00696736">
        <w:fldChar w:fldCharType="end"/>
      </w:r>
      <w:bookmarkEnd w:id="50"/>
      <w:bookmarkEnd w:id="52"/>
      <w:r w:rsidR="00E16AD8" w:rsidRPr="009475AF">
        <w:t>:</w:t>
      </w:r>
      <w:r w:rsidR="00E42F73" w:rsidRPr="009475AF">
        <w:rPr>
          <w:rStyle w:val="CommentReference"/>
          <w:b/>
          <w:szCs w:val="24"/>
        </w:rPr>
        <w:t xml:space="preserve"> Key inputs for financial estimates</w:t>
      </w:r>
      <w:r w:rsidR="003528E7" w:rsidRPr="009475AF">
        <w:rPr>
          <w:rStyle w:val="CommentReference"/>
          <w:b/>
          <w:szCs w:val="24"/>
        </w:rPr>
        <w:t xml:space="preserve"> – market share</w:t>
      </w:r>
      <w:r w:rsidR="00BB60DC" w:rsidRPr="009475AF">
        <w:rPr>
          <w:rStyle w:val="CommentReference"/>
          <w:b/>
          <w:szCs w:val="24"/>
        </w:rPr>
        <w:t xml:space="preserve"> 2024 (year 1)-2029 (year 6)</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inputs for financial estimates – market share 2024 (year 1)-2029 (year 6)"/>
      </w:tblPr>
      <w:tblGrid>
        <w:gridCol w:w="2230"/>
        <w:gridCol w:w="2294"/>
        <w:gridCol w:w="2237"/>
        <w:gridCol w:w="2256"/>
      </w:tblGrid>
      <w:tr w:rsidR="00BB60DC" w:rsidRPr="009475AF" w14:paraId="17C56C75" w14:textId="3E5B7862" w:rsidTr="001423EE">
        <w:trPr>
          <w:tblHeader/>
        </w:trPr>
        <w:tc>
          <w:tcPr>
            <w:tcW w:w="2230" w:type="dxa"/>
            <w:tcBorders>
              <w:top w:val="single" w:sz="4" w:space="0" w:color="auto"/>
              <w:left w:val="single" w:sz="4" w:space="0" w:color="auto"/>
              <w:bottom w:val="single" w:sz="4" w:space="0" w:color="auto"/>
              <w:right w:val="single" w:sz="4" w:space="0" w:color="auto"/>
            </w:tcBorders>
            <w:hideMark/>
          </w:tcPr>
          <w:p w14:paraId="50317613" w14:textId="36444E39" w:rsidR="00BB60DC" w:rsidRPr="009475AF" w:rsidRDefault="00BB60DC" w:rsidP="001F4861">
            <w:pPr>
              <w:pStyle w:val="TableText0"/>
              <w:rPr>
                <w:b/>
                <w:bCs w:val="0"/>
              </w:rPr>
            </w:pPr>
            <w:r w:rsidRPr="009475AF">
              <w:rPr>
                <w:b/>
              </w:rPr>
              <w:t>Parameter</w:t>
            </w:r>
          </w:p>
        </w:tc>
        <w:tc>
          <w:tcPr>
            <w:tcW w:w="2294" w:type="dxa"/>
            <w:tcBorders>
              <w:top w:val="single" w:sz="4" w:space="0" w:color="auto"/>
              <w:left w:val="single" w:sz="4" w:space="0" w:color="auto"/>
              <w:bottom w:val="single" w:sz="4" w:space="0" w:color="auto"/>
              <w:right w:val="single" w:sz="4" w:space="0" w:color="auto"/>
            </w:tcBorders>
          </w:tcPr>
          <w:p w14:paraId="148B8581" w14:textId="77777777" w:rsidR="00BB60DC" w:rsidRPr="009475AF" w:rsidRDefault="00BB60DC" w:rsidP="001F4861">
            <w:pPr>
              <w:pStyle w:val="TableText0"/>
              <w:rPr>
                <w:b/>
                <w:bCs w:val="0"/>
              </w:rPr>
            </w:pPr>
            <w:r w:rsidRPr="009475AF">
              <w:rPr>
                <w:b/>
              </w:rPr>
              <w:t>Value</w:t>
            </w:r>
          </w:p>
        </w:tc>
        <w:tc>
          <w:tcPr>
            <w:tcW w:w="2237" w:type="dxa"/>
            <w:tcBorders>
              <w:top w:val="single" w:sz="4" w:space="0" w:color="auto"/>
              <w:left w:val="single" w:sz="4" w:space="0" w:color="auto"/>
              <w:bottom w:val="single" w:sz="4" w:space="0" w:color="auto"/>
              <w:right w:val="single" w:sz="4" w:space="0" w:color="auto"/>
            </w:tcBorders>
            <w:hideMark/>
          </w:tcPr>
          <w:p w14:paraId="478D6E18" w14:textId="77777777" w:rsidR="00BB60DC" w:rsidRPr="009475AF" w:rsidRDefault="00BB60DC" w:rsidP="001F4861">
            <w:pPr>
              <w:pStyle w:val="TableText0"/>
              <w:rPr>
                <w:b/>
                <w:bCs w:val="0"/>
              </w:rPr>
            </w:pPr>
            <w:r w:rsidRPr="009475AF">
              <w:rPr>
                <w:b/>
              </w:rPr>
              <w:t>Data source</w:t>
            </w:r>
          </w:p>
        </w:tc>
        <w:tc>
          <w:tcPr>
            <w:tcW w:w="2256" w:type="dxa"/>
            <w:tcBorders>
              <w:top w:val="single" w:sz="4" w:space="0" w:color="auto"/>
              <w:left w:val="single" w:sz="4" w:space="0" w:color="auto"/>
              <w:bottom w:val="single" w:sz="4" w:space="0" w:color="auto"/>
              <w:right w:val="single" w:sz="4" w:space="0" w:color="auto"/>
            </w:tcBorders>
          </w:tcPr>
          <w:p w14:paraId="56260D83" w14:textId="5411C5E5" w:rsidR="00BB60DC" w:rsidRPr="009475AF" w:rsidRDefault="00BB60DC" w:rsidP="001F4861">
            <w:pPr>
              <w:pStyle w:val="TableText0"/>
              <w:rPr>
                <w:b/>
              </w:rPr>
            </w:pPr>
            <w:r w:rsidRPr="009475AF">
              <w:rPr>
                <w:b/>
              </w:rPr>
              <w:t>Comment</w:t>
            </w:r>
          </w:p>
        </w:tc>
      </w:tr>
      <w:tr w:rsidR="00BB60DC" w:rsidRPr="009475AF" w14:paraId="2990763E" w14:textId="0CE12B97" w:rsidTr="001423EE">
        <w:tc>
          <w:tcPr>
            <w:tcW w:w="2230" w:type="dxa"/>
            <w:tcBorders>
              <w:top w:val="single" w:sz="4" w:space="0" w:color="auto"/>
              <w:left w:val="single" w:sz="4" w:space="0" w:color="auto"/>
              <w:bottom w:val="single" w:sz="4" w:space="0" w:color="auto"/>
              <w:right w:val="single" w:sz="4" w:space="0" w:color="auto"/>
            </w:tcBorders>
            <w:hideMark/>
          </w:tcPr>
          <w:p w14:paraId="7203BA77" w14:textId="77777777" w:rsidR="00BB60DC" w:rsidRPr="00D367BA" w:rsidRDefault="00BB60DC" w:rsidP="001F4861">
            <w:pPr>
              <w:pStyle w:val="TableText0"/>
              <w:rPr>
                <w:szCs w:val="20"/>
              </w:rPr>
            </w:pPr>
            <w:r w:rsidRPr="00D367BA">
              <w:rPr>
                <w:szCs w:val="20"/>
              </w:rPr>
              <w:t xml:space="preserve">Predicted market growth of the omalizumab market [scripts (growth %)] </w:t>
            </w:r>
          </w:p>
        </w:tc>
        <w:tc>
          <w:tcPr>
            <w:tcW w:w="2294" w:type="dxa"/>
            <w:tcBorders>
              <w:top w:val="single" w:sz="4" w:space="0" w:color="auto"/>
              <w:left w:val="single" w:sz="4" w:space="0" w:color="auto"/>
              <w:bottom w:val="single" w:sz="4" w:space="0" w:color="auto"/>
              <w:right w:val="single" w:sz="4" w:space="0" w:color="auto"/>
            </w:tcBorders>
          </w:tcPr>
          <w:p w14:paraId="141548F1" w14:textId="1997737C" w:rsidR="00BB60DC" w:rsidRPr="00D367BA" w:rsidRDefault="00BB60DC" w:rsidP="001F4861">
            <w:pPr>
              <w:pStyle w:val="TableText0"/>
              <w:rPr>
                <w:szCs w:val="20"/>
              </w:rPr>
            </w:pPr>
            <w:r w:rsidRPr="00D367BA">
              <w:rPr>
                <w:szCs w:val="20"/>
              </w:rPr>
              <w:t xml:space="preserve">Y1: </w:t>
            </w:r>
            <w:r w:rsidR="00CE7646" w:rsidRPr="00CE7646">
              <w:rPr>
                <w:color w:val="000000"/>
                <w:spacing w:val="53"/>
                <w:szCs w:val="20"/>
                <w:shd w:val="solid" w:color="000000" w:fill="000000"/>
                <w:fitText w:val="330" w:id="-962338302"/>
                <w14:textFill>
                  <w14:solidFill>
                    <w14:srgbClr w14:val="000000">
                      <w14:alpha w14:val="100000"/>
                    </w14:srgbClr>
                  </w14:solidFill>
                </w14:textFill>
              </w:rPr>
              <w:t>|||</w:t>
            </w:r>
            <w:r w:rsidR="00CE7646" w:rsidRPr="00CE7646">
              <w:rPr>
                <w:color w:val="000000"/>
                <w:spacing w:val="1"/>
                <w:szCs w:val="20"/>
                <w:shd w:val="solid" w:color="000000" w:fill="000000"/>
                <w:fitText w:val="330" w:id="-962338302"/>
                <w14:textFill>
                  <w14:solidFill>
                    <w14:srgbClr w14:val="000000">
                      <w14:alpha w14:val="100000"/>
                    </w14:srgbClr>
                  </w14:solidFill>
                </w14:textFill>
              </w:rPr>
              <w:t>|</w:t>
            </w:r>
            <w:r w:rsidR="00BE63BA" w:rsidRPr="00D367BA">
              <w:rPr>
                <w:szCs w:val="20"/>
                <w:vertAlign w:val="superscript"/>
              </w:rPr>
              <w:t>1</w:t>
            </w:r>
            <w:r w:rsidRPr="00D367BA">
              <w:rPr>
                <w:szCs w:val="20"/>
              </w:rPr>
              <w:t xml:space="preserve"> (27%)</w:t>
            </w:r>
          </w:p>
          <w:p w14:paraId="46E2BFFC" w14:textId="65CD3E8E" w:rsidR="00BB60DC" w:rsidRPr="00D367BA" w:rsidRDefault="00BB60DC" w:rsidP="001F4861">
            <w:pPr>
              <w:pStyle w:val="TableText0"/>
              <w:rPr>
                <w:szCs w:val="20"/>
              </w:rPr>
            </w:pPr>
            <w:r w:rsidRPr="00D367BA">
              <w:rPr>
                <w:szCs w:val="20"/>
              </w:rPr>
              <w:t xml:space="preserve">Y2: </w:t>
            </w:r>
            <w:r w:rsidR="00CE7646" w:rsidRPr="00CE7646">
              <w:rPr>
                <w:color w:val="000000"/>
                <w:spacing w:val="53"/>
                <w:szCs w:val="20"/>
                <w:shd w:val="solid" w:color="000000" w:fill="000000"/>
                <w:fitText w:val="330" w:id="-962338301"/>
                <w14:textFill>
                  <w14:solidFill>
                    <w14:srgbClr w14:val="000000">
                      <w14:alpha w14:val="100000"/>
                    </w14:srgbClr>
                  </w14:solidFill>
                </w14:textFill>
              </w:rPr>
              <w:t>|||</w:t>
            </w:r>
            <w:r w:rsidR="00CE7646" w:rsidRPr="00CE7646">
              <w:rPr>
                <w:color w:val="000000"/>
                <w:spacing w:val="1"/>
                <w:szCs w:val="20"/>
                <w:shd w:val="solid" w:color="000000" w:fill="000000"/>
                <w:fitText w:val="330" w:id="-962338301"/>
                <w14:textFill>
                  <w14:solidFill>
                    <w14:srgbClr w14:val="000000">
                      <w14:alpha w14:val="100000"/>
                    </w14:srgbClr>
                  </w14:solidFill>
                </w14:textFill>
              </w:rPr>
              <w:t>|</w:t>
            </w:r>
            <w:r w:rsidR="00BE63BA" w:rsidRPr="00D367BA">
              <w:rPr>
                <w:szCs w:val="20"/>
                <w:vertAlign w:val="superscript"/>
              </w:rPr>
              <w:t>1</w:t>
            </w:r>
            <w:r w:rsidRPr="00D367BA">
              <w:rPr>
                <w:szCs w:val="20"/>
              </w:rPr>
              <w:t xml:space="preserve"> (16%)</w:t>
            </w:r>
          </w:p>
          <w:p w14:paraId="4B139258" w14:textId="3CCC9FE5" w:rsidR="00BB60DC" w:rsidRPr="00D367BA" w:rsidRDefault="00BB60DC" w:rsidP="001F4861">
            <w:pPr>
              <w:pStyle w:val="TableText0"/>
              <w:rPr>
                <w:szCs w:val="20"/>
              </w:rPr>
            </w:pPr>
            <w:r w:rsidRPr="00D367BA">
              <w:rPr>
                <w:szCs w:val="20"/>
              </w:rPr>
              <w:t xml:space="preserve">Y3: </w:t>
            </w:r>
            <w:r w:rsidR="00CE7646" w:rsidRPr="00CE7646">
              <w:rPr>
                <w:color w:val="000000"/>
                <w:spacing w:val="53"/>
                <w:szCs w:val="20"/>
                <w:shd w:val="solid" w:color="000000" w:fill="000000"/>
                <w:fitText w:val="330" w:id="-962338300"/>
                <w14:textFill>
                  <w14:solidFill>
                    <w14:srgbClr w14:val="000000">
                      <w14:alpha w14:val="100000"/>
                    </w14:srgbClr>
                  </w14:solidFill>
                </w14:textFill>
              </w:rPr>
              <w:t>|||</w:t>
            </w:r>
            <w:r w:rsidR="00CE7646" w:rsidRPr="00CE7646">
              <w:rPr>
                <w:color w:val="000000"/>
                <w:spacing w:val="1"/>
                <w:szCs w:val="20"/>
                <w:shd w:val="solid" w:color="000000" w:fill="000000"/>
                <w:fitText w:val="330" w:id="-962338300"/>
                <w14:textFill>
                  <w14:solidFill>
                    <w14:srgbClr w14:val="000000">
                      <w14:alpha w14:val="100000"/>
                    </w14:srgbClr>
                  </w14:solidFill>
                </w14:textFill>
              </w:rPr>
              <w:t>|</w:t>
            </w:r>
            <w:r w:rsidR="00BE63BA" w:rsidRPr="00D367BA">
              <w:rPr>
                <w:szCs w:val="20"/>
                <w:vertAlign w:val="superscript"/>
              </w:rPr>
              <w:t>2</w:t>
            </w:r>
            <w:r w:rsidRPr="00D367BA">
              <w:rPr>
                <w:szCs w:val="20"/>
              </w:rPr>
              <w:t xml:space="preserve"> (14%)</w:t>
            </w:r>
          </w:p>
          <w:p w14:paraId="52C922FE" w14:textId="33A6B820" w:rsidR="00BB60DC" w:rsidRPr="00D367BA" w:rsidRDefault="00BB60DC" w:rsidP="001F4861">
            <w:pPr>
              <w:pStyle w:val="TableText0"/>
              <w:rPr>
                <w:szCs w:val="20"/>
              </w:rPr>
            </w:pPr>
            <w:r w:rsidRPr="00D367BA">
              <w:rPr>
                <w:szCs w:val="20"/>
              </w:rPr>
              <w:t xml:space="preserve">Y4: </w:t>
            </w:r>
            <w:r w:rsidR="00CE7646" w:rsidRPr="00CE7646">
              <w:rPr>
                <w:color w:val="000000"/>
                <w:spacing w:val="53"/>
                <w:szCs w:val="20"/>
                <w:shd w:val="solid" w:color="000000" w:fill="000000"/>
                <w:fitText w:val="330" w:id="-962338299"/>
                <w14:textFill>
                  <w14:solidFill>
                    <w14:srgbClr w14:val="000000">
                      <w14:alpha w14:val="100000"/>
                    </w14:srgbClr>
                  </w14:solidFill>
                </w14:textFill>
              </w:rPr>
              <w:t>|||</w:t>
            </w:r>
            <w:r w:rsidR="00CE7646" w:rsidRPr="00CE7646">
              <w:rPr>
                <w:color w:val="000000"/>
                <w:spacing w:val="1"/>
                <w:szCs w:val="20"/>
                <w:shd w:val="solid" w:color="000000" w:fill="000000"/>
                <w:fitText w:val="330" w:id="-962338299"/>
                <w14:textFill>
                  <w14:solidFill>
                    <w14:srgbClr w14:val="000000">
                      <w14:alpha w14:val="100000"/>
                    </w14:srgbClr>
                  </w14:solidFill>
                </w14:textFill>
              </w:rPr>
              <w:t>|</w:t>
            </w:r>
            <w:r w:rsidR="00BE63BA" w:rsidRPr="00D367BA">
              <w:rPr>
                <w:szCs w:val="20"/>
                <w:vertAlign w:val="superscript"/>
              </w:rPr>
              <w:t>2</w:t>
            </w:r>
            <w:r w:rsidRPr="00D367BA">
              <w:rPr>
                <w:szCs w:val="20"/>
              </w:rPr>
              <w:t xml:space="preserve"> (12%)</w:t>
            </w:r>
          </w:p>
          <w:p w14:paraId="472C87FD" w14:textId="7CD94D9D" w:rsidR="00BB60DC" w:rsidRPr="00D367BA" w:rsidRDefault="00BB60DC" w:rsidP="001F4861">
            <w:pPr>
              <w:pStyle w:val="TableText0"/>
              <w:rPr>
                <w:szCs w:val="20"/>
              </w:rPr>
            </w:pPr>
            <w:r w:rsidRPr="00D367BA">
              <w:rPr>
                <w:szCs w:val="20"/>
              </w:rPr>
              <w:t xml:space="preserve">Y5: </w:t>
            </w:r>
            <w:r w:rsidR="00CE7646" w:rsidRPr="00CE7646">
              <w:rPr>
                <w:color w:val="000000"/>
                <w:spacing w:val="53"/>
                <w:szCs w:val="20"/>
                <w:shd w:val="solid" w:color="000000" w:fill="000000"/>
                <w:fitText w:val="330" w:id="-962338298"/>
                <w14:textFill>
                  <w14:solidFill>
                    <w14:srgbClr w14:val="000000">
                      <w14:alpha w14:val="100000"/>
                    </w14:srgbClr>
                  </w14:solidFill>
                </w14:textFill>
              </w:rPr>
              <w:t>|||</w:t>
            </w:r>
            <w:r w:rsidR="00CE7646" w:rsidRPr="00CE7646">
              <w:rPr>
                <w:color w:val="000000"/>
                <w:spacing w:val="1"/>
                <w:szCs w:val="20"/>
                <w:shd w:val="solid" w:color="000000" w:fill="000000"/>
                <w:fitText w:val="330" w:id="-962338298"/>
                <w14:textFill>
                  <w14:solidFill>
                    <w14:srgbClr w14:val="000000">
                      <w14:alpha w14:val="100000"/>
                    </w14:srgbClr>
                  </w14:solidFill>
                </w14:textFill>
              </w:rPr>
              <w:t>|</w:t>
            </w:r>
            <w:r w:rsidR="00BE63BA" w:rsidRPr="00D367BA">
              <w:rPr>
                <w:szCs w:val="20"/>
                <w:vertAlign w:val="superscript"/>
              </w:rPr>
              <w:t>2</w:t>
            </w:r>
            <w:r w:rsidRPr="00D367BA">
              <w:rPr>
                <w:szCs w:val="20"/>
              </w:rPr>
              <w:t xml:space="preserve"> (11%)</w:t>
            </w:r>
          </w:p>
          <w:p w14:paraId="0F9BF3A3" w14:textId="7489E8C4" w:rsidR="00BB60DC" w:rsidRPr="00D367BA" w:rsidRDefault="00BB60DC" w:rsidP="001F4861">
            <w:pPr>
              <w:pStyle w:val="TableText0"/>
              <w:rPr>
                <w:szCs w:val="20"/>
              </w:rPr>
            </w:pPr>
            <w:r w:rsidRPr="00D367BA">
              <w:rPr>
                <w:szCs w:val="20"/>
              </w:rPr>
              <w:t xml:space="preserve">Y6: </w:t>
            </w:r>
            <w:r w:rsidR="00CE7646" w:rsidRPr="00CE7646">
              <w:rPr>
                <w:color w:val="000000"/>
                <w:spacing w:val="53"/>
                <w:szCs w:val="20"/>
                <w:shd w:val="solid" w:color="000000" w:fill="000000"/>
                <w:fitText w:val="330" w:id="-962338297"/>
                <w14:textFill>
                  <w14:solidFill>
                    <w14:srgbClr w14:val="000000">
                      <w14:alpha w14:val="100000"/>
                    </w14:srgbClr>
                  </w14:solidFill>
                </w14:textFill>
              </w:rPr>
              <w:t>|||</w:t>
            </w:r>
            <w:r w:rsidR="00CE7646" w:rsidRPr="00CE7646">
              <w:rPr>
                <w:color w:val="000000"/>
                <w:spacing w:val="1"/>
                <w:szCs w:val="20"/>
                <w:shd w:val="solid" w:color="000000" w:fill="000000"/>
                <w:fitText w:val="330" w:id="-962338297"/>
                <w14:textFill>
                  <w14:solidFill>
                    <w14:srgbClr w14:val="000000">
                      <w14:alpha w14:val="100000"/>
                    </w14:srgbClr>
                  </w14:solidFill>
                </w14:textFill>
              </w:rPr>
              <w:t>|</w:t>
            </w:r>
            <w:r w:rsidR="00BE63BA" w:rsidRPr="00D367BA">
              <w:rPr>
                <w:szCs w:val="20"/>
                <w:vertAlign w:val="superscript"/>
              </w:rPr>
              <w:t>2</w:t>
            </w:r>
            <w:r w:rsidRPr="00D367BA">
              <w:rPr>
                <w:szCs w:val="20"/>
              </w:rPr>
              <w:t xml:space="preserve"> (10%)</w:t>
            </w:r>
          </w:p>
        </w:tc>
        <w:tc>
          <w:tcPr>
            <w:tcW w:w="2237" w:type="dxa"/>
            <w:tcBorders>
              <w:top w:val="single" w:sz="4" w:space="0" w:color="auto"/>
              <w:left w:val="single" w:sz="4" w:space="0" w:color="auto"/>
              <w:bottom w:val="single" w:sz="4" w:space="0" w:color="auto"/>
              <w:right w:val="single" w:sz="4" w:space="0" w:color="auto"/>
            </w:tcBorders>
            <w:hideMark/>
          </w:tcPr>
          <w:p w14:paraId="6CDE5C86" w14:textId="77777777" w:rsidR="00BB60DC" w:rsidRPr="00D367BA" w:rsidRDefault="00BB60DC" w:rsidP="001F4861">
            <w:pPr>
              <w:pStyle w:val="TableText0"/>
              <w:rPr>
                <w:szCs w:val="20"/>
              </w:rPr>
            </w:pPr>
            <w:r w:rsidRPr="00D367BA">
              <w:rPr>
                <w:szCs w:val="20"/>
              </w:rPr>
              <w:t>Services Australia utilisation database</w:t>
            </w:r>
          </w:p>
        </w:tc>
        <w:tc>
          <w:tcPr>
            <w:tcW w:w="2256" w:type="dxa"/>
            <w:tcBorders>
              <w:top w:val="single" w:sz="4" w:space="0" w:color="auto"/>
              <w:left w:val="single" w:sz="4" w:space="0" w:color="auto"/>
              <w:bottom w:val="single" w:sz="4" w:space="0" w:color="auto"/>
              <w:right w:val="single" w:sz="4" w:space="0" w:color="auto"/>
            </w:tcBorders>
          </w:tcPr>
          <w:p w14:paraId="355200E5" w14:textId="2CCDFF85" w:rsidR="00BB60DC" w:rsidRPr="00D367BA" w:rsidRDefault="00BB60DC" w:rsidP="001F4861">
            <w:pPr>
              <w:pStyle w:val="TableText0"/>
              <w:rPr>
                <w:szCs w:val="20"/>
              </w:rPr>
            </w:pPr>
            <w:r w:rsidRPr="00D367BA">
              <w:rPr>
                <w:szCs w:val="20"/>
              </w:rPr>
              <w:t xml:space="preserve">Based on regression model from omalizumab services; </w:t>
            </w:r>
            <w:r w:rsidR="00041C7B" w:rsidRPr="00D367BA">
              <w:rPr>
                <w:szCs w:val="20"/>
              </w:rPr>
              <w:t>does not truly represent paediatric population so therefore a substantial overestimate.</w:t>
            </w:r>
          </w:p>
        </w:tc>
      </w:tr>
      <w:tr w:rsidR="00BB60DC" w:rsidRPr="009475AF" w14:paraId="33F4EB4A" w14:textId="37FB8DDF" w:rsidTr="001423EE">
        <w:tc>
          <w:tcPr>
            <w:tcW w:w="2230" w:type="dxa"/>
            <w:tcBorders>
              <w:top w:val="single" w:sz="4" w:space="0" w:color="auto"/>
              <w:left w:val="single" w:sz="4" w:space="0" w:color="auto"/>
              <w:bottom w:val="single" w:sz="4" w:space="0" w:color="auto"/>
              <w:right w:val="single" w:sz="4" w:space="0" w:color="auto"/>
            </w:tcBorders>
          </w:tcPr>
          <w:p w14:paraId="0F02BBB8" w14:textId="41E3B315" w:rsidR="00BB60DC" w:rsidRPr="00D367BA" w:rsidRDefault="00BB60DC" w:rsidP="001F4861">
            <w:pPr>
              <w:pStyle w:val="TableText0"/>
              <w:rPr>
                <w:szCs w:val="20"/>
              </w:rPr>
            </w:pPr>
            <w:r w:rsidRPr="00D367BA">
              <w:rPr>
                <w:szCs w:val="20"/>
              </w:rPr>
              <w:t>Segment of 'existing market' that is expected to be captured by</w:t>
            </w:r>
            <w:r w:rsidR="00D71A25" w:rsidRPr="00D367BA">
              <w:rPr>
                <w:szCs w:val="20"/>
              </w:rPr>
              <w:t xml:space="preserve"> dupilumab</w:t>
            </w:r>
            <w:r w:rsidR="00EF0F5E" w:rsidRPr="00D367BA">
              <w:rPr>
                <w:szCs w:val="20"/>
              </w:rPr>
              <w:t xml:space="preserve"> </w:t>
            </w:r>
          </w:p>
        </w:tc>
        <w:tc>
          <w:tcPr>
            <w:tcW w:w="2294" w:type="dxa"/>
            <w:tcBorders>
              <w:top w:val="single" w:sz="4" w:space="0" w:color="auto"/>
              <w:left w:val="single" w:sz="4" w:space="0" w:color="auto"/>
              <w:bottom w:val="single" w:sz="4" w:space="0" w:color="auto"/>
              <w:right w:val="single" w:sz="4" w:space="0" w:color="auto"/>
            </w:tcBorders>
          </w:tcPr>
          <w:p w14:paraId="76E83D1C" w14:textId="55B8746E" w:rsidR="00BB60DC" w:rsidRPr="00D367BA" w:rsidRDefault="00BB60DC" w:rsidP="001F4861">
            <w:pPr>
              <w:pStyle w:val="TableText0"/>
              <w:rPr>
                <w:szCs w:val="20"/>
              </w:rPr>
            </w:pPr>
            <w:r w:rsidRPr="00D367BA">
              <w:rPr>
                <w:szCs w:val="20"/>
              </w:rPr>
              <w:t>Y1: 50%</w:t>
            </w:r>
          </w:p>
          <w:p w14:paraId="467D4F03" w14:textId="56222811" w:rsidR="00BB60DC" w:rsidRPr="00D367BA" w:rsidRDefault="00BB60DC" w:rsidP="001F4861">
            <w:pPr>
              <w:pStyle w:val="TableText0"/>
              <w:rPr>
                <w:szCs w:val="20"/>
              </w:rPr>
            </w:pPr>
            <w:r w:rsidRPr="00D367BA">
              <w:rPr>
                <w:szCs w:val="20"/>
              </w:rPr>
              <w:t>Y6: 50%</w:t>
            </w:r>
          </w:p>
        </w:tc>
        <w:tc>
          <w:tcPr>
            <w:tcW w:w="2237" w:type="dxa"/>
            <w:tcBorders>
              <w:top w:val="single" w:sz="4" w:space="0" w:color="auto"/>
              <w:left w:val="single" w:sz="4" w:space="0" w:color="auto"/>
              <w:bottom w:val="single" w:sz="4" w:space="0" w:color="auto"/>
              <w:right w:val="single" w:sz="4" w:space="0" w:color="auto"/>
            </w:tcBorders>
          </w:tcPr>
          <w:p w14:paraId="504CF8E3" w14:textId="48862DAD" w:rsidR="00BB60DC" w:rsidRPr="00D367BA" w:rsidRDefault="00BB60DC" w:rsidP="001F4861">
            <w:pPr>
              <w:pStyle w:val="TableText0"/>
              <w:rPr>
                <w:szCs w:val="20"/>
              </w:rPr>
            </w:pPr>
            <w:r w:rsidRPr="00D367BA">
              <w:rPr>
                <w:szCs w:val="20"/>
              </w:rPr>
              <w:t>Sponsor assumption</w:t>
            </w:r>
          </w:p>
        </w:tc>
        <w:tc>
          <w:tcPr>
            <w:tcW w:w="2256" w:type="dxa"/>
            <w:tcBorders>
              <w:top w:val="single" w:sz="4" w:space="0" w:color="auto"/>
              <w:left w:val="single" w:sz="4" w:space="0" w:color="auto"/>
              <w:bottom w:val="single" w:sz="4" w:space="0" w:color="auto"/>
              <w:right w:val="single" w:sz="4" w:space="0" w:color="auto"/>
            </w:tcBorders>
          </w:tcPr>
          <w:p w14:paraId="610639D2" w14:textId="718C8C9E" w:rsidR="00BB60DC" w:rsidRPr="00D367BA" w:rsidRDefault="00DD1171" w:rsidP="001F4861">
            <w:pPr>
              <w:pStyle w:val="TableText0"/>
              <w:rPr>
                <w:szCs w:val="20"/>
              </w:rPr>
            </w:pPr>
            <w:r w:rsidRPr="00D367BA">
              <w:rPr>
                <w:szCs w:val="20"/>
              </w:rPr>
              <w:t>May be reasonable or an underestimate</w:t>
            </w:r>
            <w:r w:rsidR="0019191D" w:rsidRPr="00D367BA">
              <w:rPr>
                <w:szCs w:val="20"/>
              </w:rPr>
              <w:t>.</w:t>
            </w:r>
          </w:p>
        </w:tc>
      </w:tr>
      <w:tr w:rsidR="00BB60DC" w:rsidRPr="009475AF" w14:paraId="26C368EC" w14:textId="46E518F6" w:rsidTr="001423EE">
        <w:tc>
          <w:tcPr>
            <w:tcW w:w="2230" w:type="dxa"/>
            <w:tcBorders>
              <w:top w:val="single" w:sz="4" w:space="0" w:color="auto"/>
              <w:left w:val="single" w:sz="4" w:space="0" w:color="auto"/>
              <w:bottom w:val="single" w:sz="4" w:space="0" w:color="auto"/>
              <w:right w:val="single" w:sz="4" w:space="0" w:color="auto"/>
            </w:tcBorders>
          </w:tcPr>
          <w:p w14:paraId="72C4B830" w14:textId="77777777" w:rsidR="00BB60DC" w:rsidRPr="00D367BA" w:rsidRDefault="00BB60DC" w:rsidP="001F4861">
            <w:pPr>
              <w:pStyle w:val="TableText0"/>
              <w:rPr>
                <w:szCs w:val="20"/>
              </w:rPr>
            </w:pPr>
            <w:r w:rsidRPr="00D367BA">
              <w:rPr>
                <w:szCs w:val="20"/>
              </w:rPr>
              <w:t>Predicted expansion of the biologic market post arrival of a dupilumab [scripts (growth %)]</w:t>
            </w:r>
          </w:p>
        </w:tc>
        <w:tc>
          <w:tcPr>
            <w:tcW w:w="2294" w:type="dxa"/>
            <w:tcBorders>
              <w:top w:val="single" w:sz="4" w:space="0" w:color="auto"/>
              <w:left w:val="single" w:sz="4" w:space="0" w:color="auto"/>
              <w:bottom w:val="single" w:sz="4" w:space="0" w:color="auto"/>
              <w:right w:val="single" w:sz="4" w:space="0" w:color="auto"/>
            </w:tcBorders>
          </w:tcPr>
          <w:p w14:paraId="7FDAED50" w14:textId="1ECDDF3B" w:rsidR="00BB60DC" w:rsidRPr="00D367BA" w:rsidRDefault="00BB60DC" w:rsidP="001F4861">
            <w:pPr>
              <w:pStyle w:val="TableText0"/>
              <w:rPr>
                <w:szCs w:val="20"/>
              </w:rPr>
            </w:pPr>
            <w:r w:rsidRPr="00D367BA">
              <w:rPr>
                <w:szCs w:val="20"/>
              </w:rPr>
              <w:t xml:space="preserve">Y1: </w:t>
            </w:r>
            <w:r w:rsidR="00CE7646" w:rsidRPr="00CE7646">
              <w:rPr>
                <w:color w:val="000000"/>
                <w:spacing w:val="53"/>
                <w:szCs w:val="20"/>
                <w:shd w:val="solid" w:color="000000" w:fill="000000"/>
                <w:fitText w:val="330" w:id="-962338296"/>
                <w14:textFill>
                  <w14:solidFill>
                    <w14:srgbClr w14:val="000000">
                      <w14:alpha w14:val="100000"/>
                    </w14:srgbClr>
                  </w14:solidFill>
                </w14:textFill>
              </w:rPr>
              <w:t>|||</w:t>
            </w:r>
            <w:r w:rsidR="00CE7646" w:rsidRPr="00CE7646">
              <w:rPr>
                <w:color w:val="000000"/>
                <w:spacing w:val="1"/>
                <w:szCs w:val="20"/>
                <w:shd w:val="solid" w:color="000000" w:fill="000000"/>
                <w:fitText w:val="330" w:id="-962338296"/>
                <w14:textFill>
                  <w14:solidFill>
                    <w14:srgbClr w14:val="000000">
                      <w14:alpha w14:val="100000"/>
                    </w14:srgbClr>
                  </w14:solidFill>
                </w14:textFill>
              </w:rPr>
              <w:t>|</w:t>
            </w:r>
            <w:r w:rsidR="00BE63BA" w:rsidRPr="00D367BA">
              <w:rPr>
                <w:szCs w:val="20"/>
                <w:vertAlign w:val="superscript"/>
              </w:rPr>
              <w:t>2</w:t>
            </w:r>
            <w:r w:rsidRPr="00D367BA">
              <w:rPr>
                <w:szCs w:val="20"/>
              </w:rPr>
              <w:t xml:space="preserve"> (128%)</w:t>
            </w:r>
          </w:p>
          <w:p w14:paraId="3CA0338E" w14:textId="177A39F8" w:rsidR="00470241" w:rsidRPr="00D367BA" w:rsidRDefault="00470241" w:rsidP="001F4861">
            <w:pPr>
              <w:pStyle w:val="TableText0"/>
              <w:rPr>
                <w:szCs w:val="20"/>
              </w:rPr>
            </w:pPr>
            <w:r w:rsidRPr="00D367BA">
              <w:rPr>
                <w:szCs w:val="20"/>
              </w:rPr>
              <w:t xml:space="preserve">Y2: </w:t>
            </w:r>
            <w:r w:rsidR="00CE7646" w:rsidRPr="00CE7646">
              <w:rPr>
                <w:color w:val="000000"/>
                <w:spacing w:val="53"/>
                <w:szCs w:val="20"/>
                <w:shd w:val="solid" w:color="000000" w:fill="000000"/>
                <w:fitText w:val="330" w:id="-962338295"/>
                <w14:textFill>
                  <w14:solidFill>
                    <w14:srgbClr w14:val="000000">
                      <w14:alpha w14:val="100000"/>
                    </w14:srgbClr>
                  </w14:solidFill>
                </w14:textFill>
              </w:rPr>
              <w:t>|||</w:t>
            </w:r>
            <w:r w:rsidR="00CE7646" w:rsidRPr="00CE7646">
              <w:rPr>
                <w:color w:val="000000"/>
                <w:spacing w:val="1"/>
                <w:szCs w:val="20"/>
                <w:shd w:val="solid" w:color="000000" w:fill="000000"/>
                <w:fitText w:val="330" w:id="-962338295"/>
                <w14:textFill>
                  <w14:solidFill>
                    <w14:srgbClr w14:val="000000">
                      <w14:alpha w14:val="100000"/>
                    </w14:srgbClr>
                  </w14:solidFill>
                </w14:textFill>
              </w:rPr>
              <w:t>|</w:t>
            </w:r>
            <w:r w:rsidR="00BE63BA" w:rsidRPr="00D367BA">
              <w:rPr>
                <w:szCs w:val="20"/>
                <w:vertAlign w:val="superscript"/>
              </w:rPr>
              <w:t>2</w:t>
            </w:r>
            <w:r w:rsidR="00BE63BA" w:rsidRPr="00D367BA">
              <w:rPr>
                <w:szCs w:val="20"/>
              </w:rPr>
              <w:t xml:space="preserve"> </w:t>
            </w:r>
            <w:r w:rsidRPr="00D367BA">
              <w:rPr>
                <w:szCs w:val="20"/>
              </w:rPr>
              <w:t>(16%)</w:t>
            </w:r>
          </w:p>
          <w:p w14:paraId="01D358A0" w14:textId="4B8AEFB9" w:rsidR="00470241" w:rsidRPr="00D367BA" w:rsidRDefault="00470241" w:rsidP="001F4861">
            <w:pPr>
              <w:pStyle w:val="TableText0"/>
              <w:rPr>
                <w:szCs w:val="20"/>
              </w:rPr>
            </w:pPr>
            <w:r w:rsidRPr="00D367BA">
              <w:rPr>
                <w:szCs w:val="20"/>
              </w:rPr>
              <w:t xml:space="preserve">Y3: </w:t>
            </w:r>
            <w:r w:rsidR="00CE7646" w:rsidRPr="00CE7646">
              <w:rPr>
                <w:color w:val="000000"/>
                <w:spacing w:val="53"/>
                <w:szCs w:val="20"/>
                <w:shd w:val="solid" w:color="000000" w:fill="000000"/>
                <w:fitText w:val="330" w:id="-962338294"/>
                <w14:textFill>
                  <w14:solidFill>
                    <w14:srgbClr w14:val="000000">
                      <w14:alpha w14:val="100000"/>
                    </w14:srgbClr>
                  </w14:solidFill>
                </w14:textFill>
              </w:rPr>
              <w:t>|||</w:t>
            </w:r>
            <w:r w:rsidR="00CE7646" w:rsidRPr="00CE7646">
              <w:rPr>
                <w:color w:val="000000"/>
                <w:spacing w:val="1"/>
                <w:szCs w:val="20"/>
                <w:shd w:val="solid" w:color="000000" w:fill="000000"/>
                <w:fitText w:val="330" w:id="-962338294"/>
                <w14:textFill>
                  <w14:solidFill>
                    <w14:srgbClr w14:val="000000">
                      <w14:alpha w14:val="100000"/>
                    </w14:srgbClr>
                  </w14:solidFill>
                </w14:textFill>
              </w:rPr>
              <w:t>|</w:t>
            </w:r>
            <w:r w:rsidR="00BE63BA" w:rsidRPr="00D367BA">
              <w:rPr>
                <w:szCs w:val="20"/>
                <w:vertAlign w:val="superscript"/>
              </w:rPr>
              <w:t>2</w:t>
            </w:r>
            <w:r w:rsidRPr="00D367BA">
              <w:rPr>
                <w:szCs w:val="20"/>
              </w:rPr>
              <w:t xml:space="preserve"> (14%)</w:t>
            </w:r>
          </w:p>
          <w:p w14:paraId="1C226BAB" w14:textId="3CEE2679" w:rsidR="00470241" w:rsidRPr="00D367BA" w:rsidRDefault="00470241" w:rsidP="001F4861">
            <w:pPr>
              <w:pStyle w:val="TableText0"/>
              <w:rPr>
                <w:szCs w:val="20"/>
              </w:rPr>
            </w:pPr>
            <w:r w:rsidRPr="00D367BA">
              <w:rPr>
                <w:szCs w:val="20"/>
              </w:rPr>
              <w:t xml:space="preserve">Y4: </w:t>
            </w:r>
            <w:r w:rsidR="00CE7646" w:rsidRPr="00CE7646">
              <w:rPr>
                <w:color w:val="000000"/>
                <w:spacing w:val="53"/>
                <w:szCs w:val="20"/>
                <w:shd w:val="solid" w:color="000000" w:fill="000000"/>
                <w:fitText w:val="330" w:id="-962338293"/>
                <w14:textFill>
                  <w14:solidFill>
                    <w14:srgbClr w14:val="000000">
                      <w14:alpha w14:val="100000"/>
                    </w14:srgbClr>
                  </w14:solidFill>
                </w14:textFill>
              </w:rPr>
              <w:t>|||</w:t>
            </w:r>
            <w:r w:rsidR="00CE7646" w:rsidRPr="00CE7646">
              <w:rPr>
                <w:color w:val="000000"/>
                <w:spacing w:val="1"/>
                <w:szCs w:val="20"/>
                <w:shd w:val="solid" w:color="000000" w:fill="000000"/>
                <w:fitText w:val="330" w:id="-962338293"/>
                <w14:textFill>
                  <w14:solidFill>
                    <w14:srgbClr w14:val="000000">
                      <w14:alpha w14:val="100000"/>
                    </w14:srgbClr>
                  </w14:solidFill>
                </w14:textFill>
              </w:rPr>
              <w:t>|</w:t>
            </w:r>
            <w:r w:rsidR="00BE63BA" w:rsidRPr="00D367BA">
              <w:rPr>
                <w:szCs w:val="20"/>
                <w:vertAlign w:val="superscript"/>
              </w:rPr>
              <w:t>3</w:t>
            </w:r>
            <w:r w:rsidRPr="00D367BA">
              <w:rPr>
                <w:szCs w:val="20"/>
              </w:rPr>
              <w:t xml:space="preserve"> (12%)</w:t>
            </w:r>
          </w:p>
          <w:p w14:paraId="3AD71131" w14:textId="5A76D48A" w:rsidR="00470241" w:rsidRPr="00D367BA" w:rsidRDefault="00470241" w:rsidP="001F4861">
            <w:pPr>
              <w:pStyle w:val="TableText0"/>
              <w:rPr>
                <w:szCs w:val="20"/>
              </w:rPr>
            </w:pPr>
            <w:r w:rsidRPr="00D367BA">
              <w:rPr>
                <w:szCs w:val="20"/>
              </w:rPr>
              <w:t xml:space="preserve">Y5: </w:t>
            </w:r>
            <w:r w:rsidR="00CE7646" w:rsidRPr="00CE7646">
              <w:rPr>
                <w:color w:val="000000"/>
                <w:spacing w:val="53"/>
                <w:szCs w:val="20"/>
                <w:shd w:val="solid" w:color="000000" w:fill="000000"/>
                <w:fitText w:val="330" w:id="-962338292"/>
                <w14:textFill>
                  <w14:solidFill>
                    <w14:srgbClr w14:val="000000">
                      <w14:alpha w14:val="100000"/>
                    </w14:srgbClr>
                  </w14:solidFill>
                </w14:textFill>
              </w:rPr>
              <w:t>|||</w:t>
            </w:r>
            <w:r w:rsidR="00CE7646" w:rsidRPr="00CE7646">
              <w:rPr>
                <w:color w:val="000000"/>
                <w:spacing w:val="1"/>
                <w:szCs w:val="20"/>
                <w:shd w:val="solid" w:color="000000" w:fill="000000"/>
                <w:fitText w:val="330" w:id="-962338292"/>
                <w14:textFill>
                  <w14:solidFill>
                    <w14:srgbClr w14:val="000000">
                      <w14:alpha w14:val="100000"/>
                    </w14:srgbClr>
                  </w14:solidFill>
                </w14:textFill>
              </w:rPr>
              <w:t>|</w:t>
            </w:r>
            <w:r w:rsidR="00BE63BA" w:rsidRPr="00D367BA">
              <w:rPr>
                <w:szCs w:val="20"/>
                <w:vertAlign w:val="superscript"/>
              </w:rPr>
              <w:t>3</w:t>
            </w:r>
            <w:r w:rsidRPr="00D367BA">
              <w:rPr>
                <w:szCs w:val="20"/>
              </w:rPr>
              <w:t xml:space="preserve"> (10%)</w:t>
            </w:r>
          </w:p>
          <w:p w14:paraId="0CCF1B37" w14:textId="1DA4EEB9" w:rsidR="00BB60DC" w:rsidRPr="00D367BA" w:rsidRDefault="00BB60DC" w:rsidP="001F4861">
            <w:pPr>
              <w:pStyle w:val="TableText0"/>
              <w:rPr>
                <w:szCs w:val="20"/>
              </w:rPr>
            </w:pPr>
            <w:r w:rsidRPr="00D367BA">
              <w:rPr>
                <w:szCs w:val="20"/>
              </w:rPr>
              <w:t xml:space="preserve">Y6: </w:t>
            </w:r>
            <w:r w:rsidR="00CE7646" w:rsidRPr="00CE7646">
              <w:rPr>
                <w:color w:val="000000"/>
                <w:spacing w:val="53"/>
                <w:szCs w:val="20"/>
                <w:shd w:val="solid" w:color="000000" w:fill="000000"/>
                <w:fitText w:val="330" w:id="-962338291"/>
                <w14:textFill>
                  <w14:solidFill>
                    <w14:srgbClr w14:val="000000">
                      <w14:alpha w14:val="100000"/>
                    </w14:srgbClr>
                  </w14:solidFill>
                </w14:textFill>
              </w:rPr>
              <w:t>|||</w:t>
            </w:r>
            <w:r w:rsidR="00CE7646" w:rsidRPr="00CE7646">
              <w:rPr>
                <w:color w:val="000000"/>
                <w:spacing w:val="1"/>
                <w:szCs w:val="20"/>
                <w:shd w:val="solid" w:color="000000" w:fill="000000"/>
                <w:fitText w:val="330" w:id="-962338291"/>
                <w14:textFill>
                  <w14:solidFill>
                    <w14:srgbClr w14:val="000000">
                      <w14:alpha w14:val="100000"/>
                    </w14:srgbClr>
                  </w14:solidFill>
                </w14:textFill>
              </w:rPr>
              <w:t>|</w:t>
            </w:r>
            <w:r w:rsidR="00BE63BA" w:rsidRPr="00D367BA">
              <w:rPr>
                <w:szCs w:val="20"/>
                <w:vertAlign w:val="superscript"/>
              </w:rPr>
              <w:t>3</w:t>
            </w:r>
            <w:r w:rsidRPr="00D367BA">
              <w:rPr>
                <w:szCs w:val="20"/>
              </w:rPr>
              <w:t xml:space="preserve"> (10%)</w:t>
            </w:r>
          </w:p>
        </w:tc>
        <w:tc>
          <w:tcPr>
            <w:tcW w:w="2237" w:type="dxa"/>
            <w:tcBorders>
              <w:top w:val="single" w:sz="4" w:space="0" w:color="auto"/>
              <w:left w:val="single" w:sz="4" w:space="0" w:color="auto"/>
              <w:bottom w:val="single" w:sz="4" w:space="0" w:color="auto"/>
              <w:right w:val="single" w:sz="4" w:space="0" w:color="auto"/>
            </w:tcBorders>
          </w:tcPr>
          <w:p w14:paraId="0053B7EB" w14:textId="6988CFED" w:rsidR="00BB60DC" w:rsidRPr="00D367BA" w:rsidRDefault="00BB60DC" w:rsidP="001F4861">
            <w:pPr>
              <w:pStyle w:val="TableText0"/>
              <w:rPr>
                <w:szCs w:val="20"/>
              </w:rPr>
            </w:pPr>
            <w:r w:rsidRPr="00D367BA">
              <w:rPr>
                <w:szCs w:val="20"/>
              </w:rPr>
              <w:t xml:space="preserve">Commissioned research, </w:t>
            </w:r>
            <w:r w:rsidR="001F150D" w:rsidRPr="00D367BA">
              <w:rPr>
                <w:szCs w:val="20"/>
              </w:rPr>
              <w:t>A</w:t>
            </w:r>
            <w:r w:rsidRPr="00D367BA">
              <w:rPr>
                <w:szCs w:val="20"/>
              </w:rPr>
              <w:t>ttachment 15, assuming the current omalizumab utilisation reflects 56% of total biologic market.</w:t>
            </w:r>
          </w:p>
        </w:tc>
        <w:tc>
          <w:tcPr>
            <w:tcW w:w="2256" w:type="dxa"/>
            <w:tcBorders>
              <w:top w:val="single" w:sz="4" w:space="0" w:color="auto"/>
              <w:left w:val="single" w:sz="4" w:space="0" w:color="auto"/>
              <w:bottom w:val="single" w:sz="4" w:space="0" w:color="auto"/>
              <w:right w:val="single" w:sz="4" w:space="0" w:color="auto"/>
            </w:tcBorders>
          </w:tcPr>
          <w:p w14:paraId="5DFB6FE1" w14:textId="6A580E2B" w:rsidR="00BB60DC" w:rsidRPr="00D367BA" w:rsidRDefault="00DD1171" w:rsidP="001F4861">
            <w:pPr>
              <w:pStyle w:val="TableText0"/>
              <w:rPr>
                <w:szCs w:val="20"/>
              </w:rPr>
            </w:pPr>
            <w:r w:rsidRPr="00D367BA">
              <w:rPr>
                <w:szCs w:val="20"/>
              </w:rPr>
              <w:t xml:space="preserve">Based on survey of 17 physicians. </w:t>
            </w:r>
            <w:r w:rsidR="00470241" w:rsidRPr="00D367BA">
              <w:rPr>
                <w:szCs w:val="20"/>
              </w:rPr>
              <w:t>Likely overestimate y</w:t>
            </w:r>
            <w:r w:rsidR="006526F6" w:rsidRPr="00D367BA">
              <w:rPr>
                <w:szCs w:val="20"/>
              </w:rPr>
              <w:t>ea</w:t>
            </w:r>
            <w:r w:rsidR="00470241" w:rsidRPr="00D367BA">
              <w:rPr>
                <w:szCs w:val="20"/>
              </w:rPr>
              <w:t xml:space="preserve">r 1, uncertain for </w:t>
            </w:r>
            <w:r w:rsidR="0082081F" w:rsidRPr="00D367BA">
              <w:rPr>
                <w:szCs w:val="20"/>
              </w:rPr>
              <w:t>y</w:t>
            </w:r>
            <w:r w:rsidR="006526F6" w:rsidRPr="00D367BA">
              <w:rPr>
                <w:szCs w:val="20"/>
              </w:rPr>
              <w:t>ea</w:t>
            </w:r>
            <w:r w:rsidR="00470241" w:rsidRPr="00D367BA">
              <w:rPr>
                <w:szCs w:val="20"/>
              </w:rPr>
              <w:t>rs 2-6.</w:t>
            </w:r>
          </w:p>
        </w:tc>
      </w:tr>
      <w:tr w:rsidR="00BB60DC" w:rsidRPr="009475AF" w14:paraId="3C59979E" w14:textId="11FFF4C4" w:rsidTr="001423EE">
        <w:tc>
          <w:tcPr>
            <w:tcW w:w="2230" w:type="dxa"/>
            <w:tcBorders>
              <w:top w:val="single" w:sz="4" w:space="0" w:color="auto"/>
              <w:left w:val="single" w:sz="4" w:space="0" w:color="auto"/>
              <w:bottom w:val="single" w:sz="4" w:space="0" w:color="auto"/>
              <w:right w:val="single" w:sz="4" w:space="0" w:color="auto"/>
            </w:tcBorders>
          </w:tcPr>
          <w:p w14:paraId="6A9EBD27" w14:textId="2EADD8B7" w:rsidR="00BB60DC" w:rsidRPr="00D367BA" w:rsidRDefault="00BB60DC" w:rsidP="001F4861">
            <w:pPr>
              <w:pStyle w:val="TableText0"/>
              <w:rPr>
                <w:szCs w:val="20"/>
              </w:rPr>
            </w:pPr>
            <w:r w:rsidRPr="00D367BA">
              <w:rPr>
                <w:szCs w:val="20"/>
              </w:rPr>
              <w:t xml:space="preserve">Segment of expanded services captured by </w:t>
            </w:r>
            <w:r w:rsidR="001423EE" w:rsidRPr="00D367BA">
              <w:rPr>
                <w:szCs w:val="20"/>
              </w:rPr>
              <w:t xml:space="preserve">dupilumab </w:t>
            </w:r>
            <w:r w:rsidRPr="00D367BA">
              <w:rPr>
                <w:szCs w:val="20"/>
              </w:rPr>
              <w:t>[scripts (%)]</w:t>
            </w:r>
          </w:p>
        </w:tc>
        <w:tc>
          <w:tcPr>
            <w:tcW w:w="2294" w:type="dxa"/>
            <w:tcBorders>
              <w:top w:val="single" w:sz="4" w:space="0" w:color="auto"/>
              <w:left w:val="single" w:sz="4" w:space="0" w:color="auto"/>
              <w:bottom w:val="single" w:sz="4" w:space="0" w:color="auto"/>
              <w:right w:val="single" w:sz="4" w:space="0" w:color="auto"/>
            </w:tcBorders>
          </w:tcPr>
          <w:p w14:paraId="66CB8052" w14:textId="43A0121C" w:rsidR="00BB60DC" w:rsidRPr="00D367BA" w:rsidRDefault="00BB60DC" w:rsidP="001F4861">
            <w:pPr>
              <w:pStyle w:val="TableText0"/>
              <w:rPr>
                <w:szCs w:val="20"/>
              </w:rPr>
            </w:pPr>
            <w:r w:rsidRPr="00D367BA">
              <w:rPr>
                <w:szCs w:val="20"/>
              </w:rPr>
              <w:t xml:space="preserve">Y1: </w:t>
            </w:r>
            <w:r w:rsidR="00CE7646" w:rsidRPr="00CE7646">
              <w:rPr>
                <w:color w:val="000000"/>
                <w:spacing w:val="53"/>
                <w:szCs w:val="20"/>
                <w:shd w:val="solid" w:color="000000" w:fill="000000"/>
                <w:fitText w:val="330" w:id="-962338290"/>
                <w14:textFill>
                  <w14:solidFill>
                    <w14:srgbClr w14:val="000000">
                      <w14:alpha w14:val="100000"/>
                    </w14:srgbClr>
                  </w14:solidFill>
                </w14:textFill>
              </w:rPr>
              <w:t>|||</w:t>
            </w:r>
            <w:r w:rsidR="00CE7646" w:rsidRPr="00CE7646">
              <w:rPr>
                <w:color w:val="000000"/>
                <w:spacing w:val="1"/>
                <w:szCs w:val="20"/>
                <w:shd w:val="solid" w:color="000000" w:fill="000000"/>
                <w:fitText w:val="330" w:id="-962338290"/>
                <w14:textFill>
                  <w14:solidFill>
                    <w14:srgbClr w14:val="000000">
                      <w14:alpha w14:val="100000"/>
                    </w14:srgbClr>
                  </w14:solidFill>
                </w14:textFill>
              </w:rPr>
              <w:t>|</w:t>
            </w:r>
            <w:r w:rsidR="00BE63BA" w:rsidRPr="00D367BA">
              <w:rPr>
                <w:szCs w:val="20"/>
                <w:vertAlign w:val="superscript"/>
              </w:rPr>
              <w:t>1</w:t>
            </w:r>
            <w:r w:rsidRPr="00D367BA">
              <w:rPr>
                <w:szCs w:val="20"/>
              </w:rPr>
              <w:t xml:space="preserve"> (76%)</w:t>
            </w:r>
          </w:p>
          <w:p w14:paraId="7748B40C" w14:textId="681E629A" w:rsidR="00470241" w:rsidRPr="00D367BA" w:rsidRDefault="00470241" w:rsidP="001F4861">
            <w:pPr>
              <w:pStyle w:val="TableText0"/>
              <w:rPr>
                <w:szCs w:val="20"/>
              </w:rPr>
            </w:pPr>
            <w:r w:rsidRPr="00D367BA">
              <w:rPr>
                <w:szCs w:val="20"/>
              </w:rPr>
              <w:t>Y2:</w:t>
            </w:r>
            <w:r w:rsidR="00E64ECE" w:rsidRPr="00D367BA">
              <w:rPr>
                <w:szCs w:val="20"/>
              </w:rPr>
              <w:t xml:space="preserve"> </w:t>
            </w:r>
            <w:r w:rsidR="00CE7646" w:rsidRPr="00CE7646">
              <w:rPr>
                <w:color w:val="000000"/>
                <w:spacing w:val="53"/>
                <w:szCs w:val="20"/>
                <w:shd w:val="solid" w:color="000000" w:fill="000000"/>
                <w:fitText w:val="330" w:id="-962338289"/>
                <w14:textFill>
                  <w14:solidFill>
                    <w14:srgbClr w14:val="000000">
                      <w14:alpha w14:val="100000"/>
                    </w14:srgbClr>
                  </w14:solidFill>
                </w14:textFill>
              </w:rPr>
              <w:t>|||</w:t>
            </w:r>
            <w:r w:rsidR="00CE7646" w:rsidRPr="00CE7646">
              <w:rPr>
                <w:color w:val="000000"/>
                <w:spacing w:val="1"/>
                <w:szCs w:val="20"/>
                <w:shd w:val="solid" w:color="000000" w:fill="000000"/>
                <w:fitText w:val="330" w:id="-962338289"/>
                <w14:textFill>
                  <w14:solidFill>
                    <w14:srgbClr w14:val="000000">
                      <w14:alpha w14:val="100000"/>
                    </w14:srgbClr>
                  </w14:solidFill>
                </w14:textFill>
              </w:rPr>
              <w:t>|</w:t>
            </w:r>
            <w:r w:rsidR="00BE63BA" w:rsidRPr="00D367BA">
              <w:rPr>
                <w:szCs w:val="20"/>
                <w:vertAlign w:val="superscript"/>
              </w:rPr>
              <w:t>1</w:t>
            </w:r>
            <w:r w:rsidRPr="00D367BA">
              <w:rPr>
                <w:szCs w:val="20"/>
              </w:rPr>
              <w:t xml:space="preserve"> (76%)</w:t>
            </w:r>
          </w:p>
          <w:p w14:paraId="3E009691" w14:textId="20468537" w:rsidR="00470241" w:rsidRPr="00D367BA" w:rsidRDefault="00470241" w:rsidP="001F4861">
            <w:pPr>
              <w:pStyle w:val="TableText0"/>
              <w:rPr>
                <w:szCs w:val="20"/>
              </w:rPr>
            </w:pPr>
            <w:r w:rsidRPr="00D367BA">
              <w:rPr>
                <w:szCs w:val="20"/>
              </w:rPr>
              <w:t>Y3:</w:t>
            </w:r>
            <w:r w:rsidR="00E64ECE" w:rsidRPr="00D367BA">
              <w:rPr>
                <w:szCs w:val="20"/>
              </w:rPr>
              <w:t xml:space="preserve"> </w:t>
            </w:r>
            <w:r w:rsidR="00CE7646" w:rsidRPr="00CE7646">
              <w:rPr>
                <w:color w:val="000000"/>
                <w:spacing w:val="53"/>
                <w:szCs w:val="20"/>
                <w:shd w:val="solid" w:color="000000" w:fill="000000"/>
                <w:fitText w:val="330" w:id="-962338288"/>
                <w14:textFill>
                  <w14:solidFill>
                    <w14:srgbClr w14:val="000000">
                      <w14:alpha w14:val="100000"/>
                    </w14:srgbClr>
                  </w14:solidFill>
                </w14:textFill>
              </w:rPr>
              <w:t>|||</w:t>
            </w:r>
            <w:r w:rsidR="00CE7646" w:rsidRPr="00CE7646">
              <w:rPr>
                <w:color w:val="000000"/>
                <w:spacing w:val="1"/>
                <w:szCs w:val="20"/>
                <w:shd w:val="solid" w:color="000000" w:fill="000000"/>
                <w:fitText w:val="330" w:id="-962338288"/>
                <w14:textFill>
                  <w14:solidFill>
                    <w14:srgbClr w14:val="000000">
                      <w14:alpha w14:val="100000"/>
                    </w14:srgbClr>
                  </w14:solidFill>
                </w14:textFill>
              </w:rPr>
              <w:t>|</w:t>
            </w:r>
            <w:r w:rsidR="00BE63BA" w:rsidRPr="00D367BA">
              <w:rPr>
                <w:szCs w:val="20"/>
                <w:vertAlign w:val="superscript"/>
              </w:rPr>
              <w:t>1</w:t>
            </w:r>
            <w:r w:rsidRPr="00D367BA">
              <w:rPr>
                <w:szCs w:val="20"/>
              </w:rPr>
              <w:t xml:space="preserve"> (76%)</w:t>
            </w:r>
          </w:p>
          <w:p w14:paraId="12832015" w14:textId="2C42211A" w:rsidR="00470241" w:rsidRPr="00D367BA" w:rsidRDefault="00470241" w:rsidP="001F4861">
            <w:pPr>
              <w:pStyle w:val="TableText0"/>
              <w:rPr>
                <w:szCs w:val="20"/>
              </w:rPr>
            </w:pPr>
            <w:r w:rsidRPr="00D367BA">
              <w:rPr>
                <w:szCs w:val="20"/>
              </w:rPr>
              <w:t>Y4:</w:t>
            </w:r>
            <w:r w:rsidR="00E64ECE" w:rsidRPr="00D367BA">
              <w:rPr>
                <w:szCs w:val="20"/>
              </w:rPr>
              <w:t xml:space="preserve"> </w:t>
            </w:r>
            <w:r w:rsidR="00CE7646" w:rsidRPr="00CE7646">
              <w:rPr>
                <w:color w:val="000000"/>
                <w:spacing w:val="53"/>
                <w:szCs w:val="20"/>
                <w:shd w:val="solid" w:color="000000" w:fill="000000"/>
                <w:fitText w:val="330" w:id="-962338304"/>
                <w14:textFill>
                  <w14:solidFill>
                    <w14:srgbClr w14:val="000000">
                      <w14:alpha w14:val="100000"/>
                    </w14:srgbClr>
                  </w14:solidFill>
                </w14:textFill>
              </w:rPr>
              <w:t>|||</w:t>
            </w:r>
            <w:r w:rsidR="00CE7646" w:rsidRPr="00CE7646">
              <w:rPr>
                <w:color w:val="000000"/>
                <w:spacing w:val="1"/>
                <w:szCs w:val="20"/>
                <w:shd w:val="solid" w:color="000000" w:fill="000000"/>
                <w:fitText w:val="330" w:id="-962338304"/>
                <w14:textFill>
                  <w14:solidFill>
                    <w14:srgbClr w14:val="000000">
                      <w14:alpha w14:val="100000"/>
                    </w14:srgbClr>
                  </w14:solidFill>
                </w14:textFill>
              </w:rPr>
              <w:t>|</w:t>
            </w:r>
            <w:r w:rsidR="00BE63BA" w:rsidRPr="00D367BA">
              <w:rPr>
                <w:szCs w:val="20"/>
                <w:vertAlign w:val="superscript"/>
              </w:rPr>
              <w:t>1</w:t>
            </w:r>
            <w:r w:rsidRPr="00D367BA">
              <w:rPr>
                <w:szCs w:val="20"/>
              </w:rPr>
              <w:t xml:space="preserve"> (76%)</w:t>
            </w:r>
          </w:p>
          <w:p w14:paraId="13D24CB6" w14:textId="5689157C" w:rsidR="00470241" w:rsidRPr="00D367BA" w:rsidRDefault="00470241" w:rsidP="001F4861">
            <w:pPr>
              <w:pStyle w:val="TableText0"/>
              <w:rPr>
                <w:szCs w:val="20"/>
              </w:rPr>
            </w:pPr>
            <w:r w:rsidRPr="00D367BA">
              <w:rPr>
                <w:szCs w:val="20"/>
              </w:rPr>
              <w:t>Y5:</w:t>
            </w:r>
            <w:r w:rsidR="00E64ECE" w:rsidRPr="00D367BA">
              <w:rPr>
                <w:szCs w:val="20"/>
              </w:rPr>
              <w:t xml:space="preserve"> </w:t>
            </w:r>
            <w:r w:rsidR="00CE7646" w:rsidRPr="00CE7646">
              <w:rPr>
                <w:color w:val="000000"/>
                <w:spacing w:val="53"/>
                <w:szCs w:val="20"/>
                <w:shd w:val="solid" w:color="000000" w:fill="000000"/>
                <w:fitText w:val="330" w:id="-962338303"/>
                <w14:textFill>
                  <w14:solidFill>
                    <w14:srgbClr w14:val="000000">
                      <w14:alpha w14:val="100000"/>
                    </w14:srgbClr>
                  </w14:solidFill>
                </w14:textFill>
              </w:rPr>
              <w:t>|||</w:t>
            </w:r>
            <w:r w:rsidR="00CE7646" w:rsidRPr="00CE7646">
              <w:rPr>
                <w:color w:val="000000"/>
                <w:spacing w:val="1"/>
                <w:szCs w:val="20"/>
                <w:shd w:val="solid" w:color="000000" w:fill="000000"/>
                <w:fitText w:val="330" w:id="-962338303"/>
                <w14:textFill>
                  <w14:solidFill>
                    <w14:srgbClr w14:val="000000">
                      <w14:alpha w14:val="100000"/>
                    </w14:srgbClr>
                  </w14:solidFill>
                </w14:textFill>
              </w:rPr>
              <w:t>|</w:t>
            </w:r>
            <w:r w:rsidR="00BE63BA" w:rsidRPr="00D367BA">
              <w:rPr>
                <w:szCs w:val="20"/>
                <w:vertAlign w:val="superscript"/>
              </w:rPr>
              <w:t>1</w:t>
            </w:r>
            <w:r w:rsidRPr="00D367BA">
              <w:rPr>
                <w:szCs w:val="20"/>
              </w:rPr>
              <w:t xml:space="preserve"> (76%)</w:t>
            </w:r>
          </w:p>
          <w:p w14:paraId="2806ACFF" w14:textId="1D6AA4B5" w:rsidR="00BB60DC" w:rsidRPr="00D367BA" w:rsidRDefault="00BB60DC" w:rsidP="001F4861">
            <w:pPr>
              <w:pStyle w:val="TableText0"/>
              <w:rPr>
                <w:szCs w:val="20"/>
              </w:rPr>
            </w:pPr>
            <w:r w:rsidRPr="00D367BA">
              <w:rPr>
                <w:szCs w:val="20"/>
              </w:rPr>
              <w:t xml:space="preserve">Y6: </w:t>
            </w:r>
            <w:r w:rsidR="00CE7646" w:rsidRPr="00CE7646">
              <w:rPr>
                <w:color w:val="000000"/>
                <w:spacing w:val="53"/>
                <w:szCs w:val="20"/>
                <w:shd w:val="solid" w:color="000000" w:fill="000000"/>
                <w:fitText w:val="330" w:id="-962338302"/>
                <w14:textFill>
                  <w14:solidFill>
                    <w14:srgbClr w14:val="000000">
                      <w14:alpha w14:val="100000"/>
                    </w14:srgbClr>
                  </w14:solidFill>
                </w14:textFill>
              </w:rPr>
              <w:t>|||</w:t>
            </w:r>
            <w:r w:rsidR="00CE7646" w:rsidRPr="00CE7646">
              <w:rPr>
                <w:color w:val="000000"/>
                <w:spacing w:val="1"/>
                <w:szCs w:val="20"/>
                <w:shd w:val="solid" w:color="000000" w:fill="000000"/>
                <w:fitText w:val="330" w:id="-962338302"/>
                <w14:textFill>
                  <w14:solidFill>
                    <w14:srgbClr w14:val="000000">
                      <w14:alpha w14:val="100000"/>
                    </w14:srgbClr>
                  </w14:solidFill>
                </w14:textFill>
              </w:rPr>
              <w:t>|</w:t>
            </w:r>
            <w:r w:rsidR="00BE63BA" w:rsidRPr="00D367BA">
              <w:rPr>
                <w:szCs w:val="20"/>
                <w:vertAlign w:val="superscript"/>
              </w:rPr>
              <w:t>1</w:t>
            </w:r>
            <w:r w:rsidR="00BE63BA" w:rsidRPr="00D367BA">
              <w:rPr>
                <w:szCs w:val="20"/>
              </w:rPr>
              <w:t xml:space="preserve"> </w:t>
            </w:r>
            <w:r w:rsidRPr="00D367BA">
              <w:rPr>
                <w:szCs w:val="20"/>
              </w:rPr>
              <w:t>(76%)</w:t>
            </w:r>
          </w:p>
        </w:tc>
        <w:tc>
          <w:tcPr>
            <w:tcW w:w="2237" w:type="dxa"/>
            <w:tcBorders>
              <w:top w:val="single" w:sz="4" w:space="0" w:color="auto"/>
              <w:left w:val="single" w:sz="4" w:space="0" w:color="auto"/>
              <w:bottom w:val="single" w:sz="4" w:space="0" w:color="auto"/>
              <w:right w:val="single" w:sz="4" w:space="0" w:color="auto"/>
            </w:tcBorders>
          </w:tcPr>
          <w:p w14:paraId="232778FF" w14:textId="11A236F4" w:rsidR="00BB60DC" w:rsidRPr="00D367BA" w:rsidRDefault="00BB60DC" w:rsidP="001F4861">
            <w:pPr>
              <w:pStyle w:val="TableText0"/>
              <w:rPr>
                <w:szCs w:val="20"/>
              </w:rPr>
            </w:pPr>
            <w:r w:rsidRPr="00D367BA">
              <w:rPr>
                <w:szCs w:val="20"/>
              </w:rPr>
              <w:t xml:space="preserve">Commissioned research, </w:t>
            </w:r>
            <w:r w:rsidR="001F150D" w:rsidRPr="00D367BA">
              <w:rPr>
                <w:szCs w:val="20"/>
              </w:rPr>
              <w:t>A</w:t>
            </w:r>
            <w:r w:rsidRPr="00D367BA">
              <w:rPr>
                <w:szCs w:val="20"/>
              </w:rPr>
              <w:t>ttachment 15</w:t>
            </w:r>
            <w:r w:rsidR="00732005" w:rsidRPr="00D367BA">
              <w:rPr>
                <w:szCs w:val="20"/>
              </w:rPr>
              <w:t xml:space="preserve"> of the submission</w:t>
            </w:r>
            <w:r w:rsidRPr="00D367BA">
              <w:rPr>
                <w:szCs w:val="20"/>
              </w:rPr>
              <w:t>.</w:t>
            </w:r>
            <w:r w:rsidR="001423EE" w:rsidRPr="00D367BA">
              <w:rPr>
                <w:szCs w:val="20"/>
              </w:rPr>
              <w:t xml:space="preserve"> </w:t>
            </w:r>
          </w:p>
        </w:tc>
        <w:tc>
          <w:tcPr>
            <w:tcW w:w="2256" w:type="dxa"/>
            <w:tcBorders>
              <w:top w:val="single" w:sz="4" w:space="0" w:color="auto"/>
              <w:left w:val="single" w:sz="4" w:space="0" w:color="auto"/>
              <w:bottom w:val="single" w:sz="4" w:space="0" w:color="auto"/>
              <w:right w:val="single" w:sz="4" w:space="0" w:color="auto"/>
            </w:tcBorders>
          </w:tcPr>
          <w:p w14:paraId="235DB781" w14:textId="458D1191" w:rsidR="00BB60DC" w:rsidRPr="00D367BA" w:rsidRDefault="00DD1171" w:rsidP="001F4861">
            <w:pPr>
              <w:pStyle w:val="TableText0"/>
              <w:rPr>
                <w:szCs w:val="20"/>
              </w:rPr>
            </w:pPr>
            <w:r w:rsidRPr="00D367BA">
              <w:rPr>
                <w:szCs w:val="20"/>
              </w:rPr>
              <w:t>As above</w:t>
            </w:r>
            <w:r w:rsidR="009F28D4" w:rsidRPr="00D367BA">
              <w:rPr>
                <w:szCs w:val="20"/>
              </w:rPr>
              <w:t xml:space="preserve"> and is not consistent with the estimate </w:t>
            </w:r>
            <w:r w:rsidR="006E0FD3" w:rsidRPr="00D367BA">
              <w:rPr>
                <w:szCs w:val="20"/>
              </w:rPr>
              <w:t xml:space="preserve">for the </w:t>
            </w:r>
            <w:r w:rsidR="006526F6" w:rsidRPr="00D367BA">
              <w:rPr>
                <w:szCs w:val="20"/>
              </w:rPr>
              <w:t>segment</w:t>
            </w:r>
            <w:r w:rsidR="006E0FD3" w:rsidRPr="00D367BA">
              <w:rPr>
                <w:szCs w:val="20"/>
              </w:rPr>
              <w:t xml:space="preserve"> of the </w:t>
            </w:r>
            <w:r w:rsidR="006526F6" w:rsidRPr="00D367BA">
              <w:rPr>
                <w:szCs w:val="20"/>
              </w:rPr>
              <w:t>existing</w:t>
            </w:r>
            <w:r w:rsidR="006E0FD3" w:rsidRPr="00D367BA">
              <w:rPr>
                <w:szCs w:val="20"/>
              </w:rPr>
              <w:t xml:space="preserve"> market. </w:t>
            </w:r>
          </w:p>
        </w:tc>
      </w:tr>
      <w:tr w:rsidR="00C82411" w:rsidRPr="009475AF" w14:paraId="47B37957" w14:textId="77777777" w:rsidTr="001423EE">
        <w:tc>
          <w:tcPr>
            <w:tcW w:w="2230" w:type="dxa"/>
            <w:tcBorders>
              <w:top w:val="single" w:sz="4" w:space="0" w:color="auto"/>
              <w:left w:val="single" w:sz="4" w:space="0" w:color="auto"/>
              <w:bottom w:val="single" w:sz="4" w:space="0" w:color="auto"/>
              <w:right w:val="single" w:sz="4" w:space="0" w:color="auto"/>
            </w:tcBorders>
          </w:tcPr>
          <w:p w14:paraId="51014885" w14:textId="4649889A" w:rsidR="00C82411" w:rsidRPr="00D367BA" w:rsidRDefault="00C82411" w:rsidP="001F4861">
            <w:pPr>
              <w:pStyle w:val="TableText0"/>
              <w:rPr>
                <w:szCs w:val="20"/>
              </w:rPr>
            </w:pPr>
            <w:r w:rsidRPr="00D367BA">
              <w:rPr>
                <w:szCs w:val="20"/>
              </w:rPr>
              <w:t>Grandfathered patients</w:t>
            </w:r>
          </w:p>
        </w:tc>
        <w:tc>
          <w:tcPr>
            <w:tcW w:w="2294" w:type="dxa"/>
            <w:tcBorders>
              <w:top w:val="single" w:sz="4" w:space="0" w:color="auto"/>
              <w:left w:val="single" w:sz="4" w:space="0" w:color="auto"/>
              <w:bottom w:val="single" w:sz="4" w:space="0" w:color="auto"/>
              <w:right w:val="single" w:sz="4" w:space="0" w:color="auto"/>
            </w:tcBorders>
          </w:tcPr>
          <w:p w14:paraId="2211990F" w14:textId="2742C5FE" w:rsidR="00C82411" w:rsidRPr="00D367BA" w:rsidRDefault="00C82411" w:rsidP="001F4861">
            <w:pPr>
              <w:pStyle w:val="TableText0"/>
              <w:rPr>
                <w:szCs w:val="20"/>
              </w:rPr>
            </w:pPr>
            <w:r w:rsidRPr="00D367BA">
              <w:rPr>
                <w:szCs w:val="20"/>
              </w:rPr>
              <w:t xml:space="preserve">Y1: </w:t>
            </w:r>
            <w:r w:rsidR="00CE7646" w:rsidRPr="00CE7646">
              <w:rPr>
                <w:color w:val="000000"/>
                <w:spacing w:val="53"/>
                <w:szCs w:val="20"/>
                <w:shd w:val="solid" w:color="000000" w:fill="000000"/>
                <w:fitText w:val="330" w:id="-962338301"/>
                <w14:textFill>
                  <w14:solidFill>
                    <w14:srgbClr w14:val="000000">
                      <w14:alpha w14:val="100000"/>
                    </w14:srgbClr>
                  </w14:solidFill>
                </w14:textFill>
              </w:rPr>
              <w:t>|||</w:t>
            </w:r>
            <w:r w:rsidR="00CE7646" w:rsidRPr="00CE7646">
              <w:rPr>
                <w:color w:val="000000"/>
                <w:spacing w:val="1"/>
                <w:szCs w:val="20"/>
                <w:shd w:val="solid" w:color="000000" w:fill="000000"/>
                <w:fitText w:val="330" w:id="-962338301"/>
                <w14:textFill>
                  <w14:solidFill>
                    <w14:srgbClr w14:val="000000">
                      <w14:alpha w14:val="100000"/>
                    </w14:srgbClr>
                  </w14:solidFill>
                </w14:textFill>
              </w:rPr>
              <w:t>|</w:t>
            </w:r>
            <w:r w:rsidR="00BE63BA" w:rsidRPr="00D367BA">
              <w:rPr>
                <w:szCs w:val="20"/>
                <w:vertAlign w:val="superscript"/>
              </w:rPr>
              <w:t>4</w:t>
            </w:r>
          </w:p>
          <w:p w14:paraId="59CC01AB" w14:textId="61BBE78E" w:rsidR="00C82411" w:rsidRPr="00D367BA" w:rsidRDefault="00C82411" w:rsidP="001F4861">
            <w:pPr>
              <w:pStyle w:val="TableText0"/>
              <w:rPr>
                <w:szCs w:val="20"/>
              </w:rPr>
            </w:pPr>
            <w:r w:rsidRPr="00D367BA">
              <w:rPr>
                <w:szCs w:val="20"/>
              </w:rPr>
              <w:t xml:space="preserve">Y2: </w:t>
            </w:r>
            <w:r w:rsidR="00CE7646" w:rsidRPr="00CE7646">
              <w:rPr>
                <w:color w:val="000000"/>
                <w:spacing w:val="53"/>
                <w:szCs w:val="20"/>
                <w:shd w:val="solid" w:color="000000" w:fill="000000"/>
                <w:fitText w:val="330" w:id="-962338300"/>
                <w14:textFill>
                  <w14:solidFill>
                    <w14:srgbClr w14:val="000000">
                      <w14:alpha w14:val="100000"/>
                    </w14:srgbClr>
                  </w14:solidFill>
                </w14:textFill>
              </w:rPr>
              <w:t>|||</w:t>
            </w:r>
            <w:r w:rsidR="00CE7646" w:rsidRPr="00CE7646">
              <w:rPr>
                <w:color w:val="000000"/>
                <w:spacing w:val="1"/>
                <w:szCs w:val="20"/>
                <w:shd w:val="solid" w:color="000000" w:fill="000000"/>
                <w:fitText w:val="330" w:id="-962338300"/>
                <w14:textFill>
                  <w14:solidFill>
                    <w14:srgbClr w14:val="000000">
                      <w14:alpha w14:val="100000"/>
                    </w14:srgbClr>
                  </w14:solidFill>
                </w14:textFill>
              </w:rPr>
              <w:t>|</w:t>
            </w:r>
            <w:r w:rsidR="00BE63BA" w:rsidRPr="00D367BA">
              <w:rPr>
                <w:szCs w:val="20"/>
                <w:vertAlign w:val="superscript"/>
              </w:rPr>
              <w:t>4</w:t>
            </w:r>
          </w:p>
          <w:p w14:paraId="09943DB4" w14:textId="532B7BF4" w:rsidR="00C82411" w:rsidRPr="00D367BA" w:rsidRDefault="00C82411" w:rsidP="001F4861">
            <w:pPr>
              <w:pStyle w:val="TableText0"/>
              <w:rPr>
                <w:szCs w:val="20"/>
              </w:rPr>
            </w:pPr>
            <w:r w:rsidRPr="00D367BA">
              <w:rPr>
                <w:szCs w:val="20"/>
              </w:rPr>
              <w:t xml:space="preserve">Y3: </w:t>
            </w:r>
            <w:r w:rsidR="00CE7646" w:rsidRPr="00CE7646">
              <w:rPr>
                <w:color w:val="000000"/>
                <w:spacing w:val="53"/>
                <w:szCs w:val="20"/>
                <w:shd w:val="solid" w:color="000000" w:fill="000000"/>
                <w:fitText w:val="330" w:id="-962338299"/>
                <w14:textFill>
                  <w14:solidFill>
                    <w14:srgbClr w14:val="000000">
                      <w14:alpha w14:val="100000"/>
                    </w14:srgbClr>
                  </w14:solidFill>
                </w14:textFill>
              </w:rPr>
              <w:t>|||</w:t>
            </w:r>
            <w:r w:rsidR="00CE7646" w:rsidRPr="00CE7646">
              <w:rPr>
                <w:color w:val="000000"/>
                <w:spacing w:val="1"/>
                <w:szCs w:val="20"/>
                <w:shd w:val="solid" w:color="000000" w:fill="000000"/>
                <w:fitText w:val="330" w:id="-962338299"/>
                <w14:textFill>
                  <w14:solidFill>
                    <w14:srgbClr w14:val="000000">
                      <w14:alpha w14:val="100000"/>
                    </w14:srgbClr>
                  </w14:solidFill>
                </w14:textFill>
              </w:rPr>
              <w:t>|</w:t>
            </w:r>
            <w:r w:rsidR="00BE63BA" w:rsidRPr="00D367BA">
              <w:rPr>
                <w:szCs w:val="20"/>
                <w:vertAlign w:val="superscript"/>
              </w:rPr>
              <w:t>4</w:t>
            </w:r>
          </w:p>
          <w:p w14:paraId="3F7D12C3" w14:textId="29AF8C1C" w:rsidR="00C82411" w:rsidRPr="00D367BA" w:rsidRDefault="00C82411" w:rsidP="001F4861">
            <w:pPr>
              <w:pStyle w:val="TableText0"/>
              <w:rPr>
                <w:szCs w:val="20"/>
              </w:rPr>
            </w:pPr>
            <w:r w:rsidRPr="00D367BA">
              <w:rPr>
                <w:szCs w:val="20"/>
              </w:rPr>
              <w:t xml:space="preserve">Y4: </w:t>
            </w:r>
            <w:r w:rsidR="00CE7646" w:rsidRPr="00CE7646">
              <w:rPr>
                <w:color w:val="000000"/>
                <w:spacing w:val="53"/>
                <w:szCs w:val="20"/>
                <w:shd w:val="solid" w:color="000000" w:fill="000000"/>
                <w:fitText w:val="330" w:id="-962338298"/>
                <w14:textFill>
                  <w14:solidFill>
                    <w14:srgbClr w14:val="000000">
                      <w14:alpha w14:val="100000"/>
                    </w14:srgbClr>
                  </w14:solidFill>
                </w14:textFill>
              </w:rPr>
              <w:t>|||</w:t>
            </w:r>
            <w:r w:rsidR="00CE7646" w:rsidRPr="00CE7646">
              <w:rPr>
                <w:color w:val="000000"/>
                <w:spacing w:val="1"/>
                <w:szCs w:val="20"/>
                <w:shd w:val="solid" w:color="000000" w:fill="000000"/>
                <w:fitText w:val="330" w:id="-962338298"/>
                <w14:textFill>
                  <w14:solidFill>
                    <w14:srgbClr w14:val="000000">
                      <w14:alpha w14:val="100000"/>
                    </w14:srgbClr>
                  </w14:solidFill>
                </w14:textFill>
              </w:rPr>
              <w:t>|</w:t>
            </w:r>
            <w:r w:rsidR="00BE63BA" w:rsidRPr="00D367BA">
              <w:rPr>
                <w:szCs w:val="20"/>
                <w:vertAlign w:val="superscript"/>
              </w:rPr>
              <w:t>4</w:t>
            </w:r>
          </w:p>
          <w:p w14:paraId="12A183C5" w14:textId="3884C084" w:rsidR="00C82411" w:rsidRPr="00D367BA" w:rsidRDefault="00C82411" w:rsidP="001F4861">
            <w:pPr>
              <w:pStyle w:val="TableText0"/>
              <w:rPr>
                <w:szCs w:val="20"/>
              </w:rPr>
            </w:pPr>
            <w:r w:rsidRPr="00D367BA">
              <w:rPr>
                <w:szCs w:val="20"/>
              </w:rPr>
              <w:t xml:space="preserve">Y5: </w:t>
            </w:r>
            <w:r w:rsidR="00CE7646" w:rsidRPr="00CE7646">
              <w:rPr>
                <w:color w:val="000000"/>
                <w:spacing w:val="53"/>
                <w:szCs w:val="20"/>
                <w:shd w:val="solid" w:color="000000" w:fill="000000"/>
                <w:fitText w:val="330" w:id="-962338297"/>
                <w14:textFill>
                  <w14:solidFill>
                    <w14:srgbClr w14:val="000000">
                      <w14:alpha w14:val="100000"/>
                    </w14:srgbClr>
                  </w14:solidFill>
                </w14:textFill>
              </w:rPr>
              <w:t>|||</w:t>
            </w:r>
            <w:r w:rsidR="00CE7646" w:rsidRPr="00CE7646">
              <w:rPr>
                <w:color w:val="000000"/>
                <w:spacing w:val="1"/>
                <w:szCs w:val="20"/>
                <w:shd w:val="solid" w:color="000000" w:fill="000000"/>
                <w:fitText w:val="330" w:id="-962338297"/>
                <w14:textFill>
                  <w14:solidFill>
                    <w14:srgbClr w14:val="000000">
                      <w14:alpha w14:val="100000"/>
                    </w14:srgbClr>
                  </w14:solidFill>
                </w14:textFill>
              </w:rPr>
              <w:t>|</w:t>
            </w:r>
            <w:r w:rsidR="00BE63BA" w:rsidRPr="00D367BA">
              <w:rPr>
                <w:szCs w:val="20"/>
                <w:vertAlign w:val="superscript"/>
              </w:rPr>
              <w:t>4</w:t>
            </w:r>
          </w:p>
          <w:p w14:paraId="3947EF08" w14:textId="7D35CD53" w:rsidR="00C82411" w:rsidRPr="00D367BA" w:rsidRDefault="00C82411" w:rsidP="001F4861">
            <w:pPr>
              <w:pStyle w:val="TableText0"/>
              <w:rPr>
                <w:szCs w:val="20"/>
              </w:rPr>
            </w:pPr>
            <w:r w:rsidRPr="00D367BA">
              <w:rPr>
                <w:szCs w:val="20"/>
              </w:rPr>
              <w:t xml:space="preserve">Y6: </w:t>
            </w:r>
            <w:r w:rsidR="00CE7646" w:rsidRPr="00CE7646">
              <w:rPr>
                <w:color w:val="000000"/>
                <w:spacing w:val="53"/>
                <w:szCs w:val="20"/>
                <w:shd w:val="solid" w:color="000000" w:fill="000000"/>
                <w:fitText w:val="330" w:id="-962338296"/>
                <w14:textFill>
                  <w14:solidFill>
                    <w14:srgbClr w14:val="000000">
                      <w14:alpha w14:val="100000"/>
                    </w14:srgbClr>
                  </w14:solidFill>
                </w14:textFill>
              </w:rPr>
              <w:t>|||</w:t>
            </w:r>
            <w:r w:rsidR="00CE7646" w:rsidRPr="00CE7646">
              <w:rPr>
                <w:color w:val="000000"/>
                <w:spacing w:val="1"/>
                <w:szCs w:val="20"/>
                <w:shd w:val="solid" w:color="000000" w:fill="000000"/>
                <w:fitText w:val="330" w:id="-962338296"/>
                <w14:textFill>
                  <w14:solidFill>
                    <w14:srgbClr w14:val="000000">
                      <w14:alpha w14:val="100000"/>
                    </w14:srgbClr>
                  </w14:solidFill>
                </w14:textFill>
              </w:rPr>
              <w:t>|</w:t>
            </w:r>
            <w:r w:rsidR="00BE63BA" w:rsidRPr="00D367BA">
              <w:rPr>
                <w:szCs w:val="20"/>
                <w:vertAlign w:val="superscript"/>
              </w:rPr>
              <w:t>4</w:t>
            </w:r>
          </w:p>
        </w:tc>
        <w:tc>
          <w:tcPr>
            <w:tcW w:w="2237" w:type="dxa"/>
            <w:tcBorders>
              <w:top w:val="single" w:sz="4" w:space="0" w:color="auto"/>
              <w:left w:val="single" w:sz="4" w:space="0" w:color="auto"/>
              <w:bottom w:val="single" w:sz="4" w:space="0" w:color="auto"/>
              <w:right w:val="single" w:sz="4" w:space="0" w:color="auto"/>
            </w:tcBorders>
          </w:tcPr>
          <w:p w14:paraId="17A9E225" w14:textId="18C632D8" w:rsidR="00C82411" w:rsidRPr="00D367BA" w:rsidRDefault="00C82411" w:rsidP="001F4861">
            <w:pPr>
              <w:pStyle w:val="TableText0"/>
              <w:rPr>
                <w:szCs w:val="20"/>
              </w:rPr>
            </w:pPr>
            <w:r w:rsidRPr="00D367BA">
              <w:rPr>
                <w:szCs w:val="20"/>
              </w:rPr>
              <w:t>Sponsor assumption, applying 80% continuation per year</w:t>
            </w:r>
          </w:p>
        </w:tc>
        <w:tc>
          <w:tcPr>
            <w:tcW w:w="2256" w:type="dxa"/>
            <w:tcBorders>
              <w:top w:val="single" w:sz="4" w:space="0" w:color="auto"/>
              <w:left w:val="single" w:sz="4" w:space="0" w:color="auto"/>
              <w:bottom w:val="single" w:sz="4" w:space="0" w:color="auto"/>
              <w:right w:val="single" w:sz="4" w:space="0" w:color="auto"/>
            </w:tcBorders>
          </w:tcPr>
          <w:p w14:paraId="6B556FEB" w14:textId="2D6D7605" w:rsidR="00C82411" w:rsidRPr="00D367BA" w:rsidRDefault="00C82411" w:rsidP="001F4861">
            <w:pPr>
              <w:pStyle w:val="TableText0"/>
              <w:rPr>
                <w:szCs w:val="20"/>
              </w:rPr>
            </w:pPr>
            <w:r w:rsidRPr="00D367BA">
              <w:rPr>
                <w:szCs w:val="20"/>
              </w:rPr>
              <w:t xml:space="preserve">Likely overestimate based on total market size </w:t>
            </w:r>
          </w:p>
        </w:tc>
      </w:tr>
      <w:tr w:rsidR="00BB60DC" w:rsidRPr="009475AF" w14:paraId="6F21B800" w14:textId="5D55A175" w:rsidTr="001423EE">
        <w:tc>
          <w:tcPr>
            <w:tcW w:w="2230" w:type="dxa"/>
            <w:tcBorders>
              <w:top w:val="single" w:sz="4" w:space="0" w:color="auto"/>
              <w:left w:val="single" w:sz="4" w:space="0" w:color="auto"/>
              <w:bottom w:val="single" w:sz="4" w:space="0" w:color="auto"/>
              <w:right w:val="single" w:sz="4" w:space="0" w:color="auto"/>
            </w:tcBorders>
          </w:tcPr>
          <w:p w14:paraId="12BED544" w14:textId="77777777" w:rsidR="00BB60DC" w:rsidRPr="00D367BA" w:rsidRDefault="00BB60DC" w:rsidP="001F4861">
            <w:pPr>
              <w:pStyle w:val="TableText0"/>
              <w:rPr>
                <w:szCs w:val="20"/>
              </w:rPr>
            </w:pPr>
            <w:r w:rsidRPr="00D367BA">
              <w:rPr>
                <w:szCs w:val="20"/>
              </w:rPr>
              <w:t>Script equivalence</w:t>
            </w:r>
          </w:p>
        </w:tc>
        <w:tc>
          <w:tcPr>
            <w:tcW w:w="2294" w:type="dxa"/>
            <w:tcBorders>
              <w:top w:val="single" w:sz="4" w:space="0" w:color="auto"/>
              <w:left w:val="single" w:sz="4" w:space="0" w:color="auto"/>
              <w:bottom w:val="single" w:sz="4" w:space="0" w:color="auto"/>
              <w:right w:val="single" w:sz="4" w:space="0" w:color="auto"/>
            </w:tcBorders>
          </w:tcPr>
          <w:p w14:paraId="3E08585C" w14:textId="77777777" w:rsidR="00BB60DC" w:rsidRPr="00D367BA" w:rsidRDefault="00BB60DC" w:rsidP="001F4861">
            <w:pPr>
              <w:pStyle w:val="TableText0"/>
              <w:rPr>
                <w:szCs w:val="20"/>
              </w:rPr>
            </w:pPr>
            <w:r w:rsidRPr="00D367BA">
              <w:rPr>
                <w:szCs w:val="20"/>
              </w:rPr>
              <w:t>0.28</w:t>
            </w:r>
          </w:p>
        </w:tc>
        <w:tc>
          <w:tcPr>
            <w:tcW w:w="2237" w:type="dxa"/>
            <w:tcBorders>
              <w:top w:val="single" w:sz="4" w:space="0" w:color="auto"/>
              <w:left w:val="single" w:sz="4" w:space="0" w:color="auto"/>
              <w:bottom w:val="single" w:sz="4" w:space="0" w:color="auto"/>
              <w:right w:val="single" w:sz="4" w:space="0" w:color="auto"/>
            </w:tcBorders>
          </w:tcPr>
          <w:p w14:paraId="6132A646" w14:textId="02341D1F" w:rsidR="00BB60DC" w:rsidRPr="00D367BA" w:rsidRDefault="00BB60DC" w:rsidP="001F4861">
            <w:pPr>
              <w:pStyle w:val="TableText0"/>
              <w:rPr>
                <w:szCs w:val="20"/>
              </w:rPr>
            </w:pPr>
            <w:r w:rsidRPr="00D367BA">
              <w:rPr>
                <w:szCs w:val="20"/>
              </w:rPr>
              <w:t>Derived</w:t>
            </w:r>
            <w:r w:rsidR="00470241" w:rsidRPr="00D367BA">
              <w:rPr>
                <w:szCs w:val="20"/>
              </w:rPr>
              <w:t xml:space="preserve"> </w:t>
            </w:r>
            <w:r w:rsidR="0014493F" w:rsidRPr="00D367BA">
              <w:rPr>
                <w:szCs w:val="20"/>
              </w:rPr>
              <w:t>from omalizumab item codes, predicted use of omalizumab in 2016 PSD, and predicted use of dupilumab by weight of patients</w:t>
            </w:r>
            <w:r w:rsidR="009475AF" w:rsidRPr="00D367BA">
              <w:rPr>
                <w:szCs w:val="20"/>
              </w:rPr>
              <w:t xml:space="preserve">. </w:t>
            </w:r>
          </w:p>
        </w:tc>
        <w:tc>
          <w:tcPr>
            <w:tcW w:w="2256" w:type="dxa"/>
            <w:tcBorders>
              <w:top w:val="single" w:sz="4" w:space="0" w:color="auto"/>
              <w:left w:val="single" w:sz="4" w:space="0" w:color="auto"/>
              <w:bottom w:val="single" w:sz="4" w:space="0" w:color="auto"/>
              <w:right w:val="single" w:sz="4" w:space="0" w:color="auto"/>
            </w:tcBorders>
          </w:tcPr>
          <w:p w14:paraId="391FFE4A" w14:textId="1A838198" w:rsidR="00BB60DC" w:rsidRPr="00D367BA" w:rsidRDefault="0014493F" w:rsidP="001F4861">
            <w:pPr>
              <w:pStyle w:val="TableText0"/>
              <w:rPr>
                <w:szCs w:val="20"/>
              </w:rPr>
            </w:pPr>
            <w:r w:rsidRPr="00D367BA">
              <w:rPr>
                <w:szCs w:val="20"/>
              </w:rPr>
              <w:t>Depends on accuracy of predicted use of different strengths of omalizumab from 2016</w:t>
            </w:r>
            <w:r w:rsidR="00CD7EB9" w:rsidRPr="00D367BA">
              <w:rPr>
                <w:szCs w:val="20"/>
              </w:rPr>
              <w:t>-</w:t>
            </w:r>
            <w:r w:rsidR="003335FD" w:rsidRPr="00D367BA">
              <w:rPr>
                <w:szCs w:val="20"/>
              </w:rPr>
              <w:t xml:space="preserve"> and actual eventual use of dupilumab strengths, which may or may not be</w:t>
            </w:r>
            <w:r w:rsidR="00CD7EB9" w:rsidRPr="00D367BA">
              <w:rPr>
                <w:szCs w:val="20"/>
              </w:rPr>
              <w:t xml:space="preserve"> correct</w:t>
            </w:r>
            <w:r w:rsidRPr="00D367BA">
              <w:rPr>
                <w:szCs w:val="20"/>
              </w:rPr>
              <w:t>.</w:t>
            </w:r>
          </w:p>
        </w:tc>
      </w:tr>
      <w:tr w:rsidR="00D71A25" w:rsidRPr="009475AF" w14:paraId="2C5E441F" w14:textId="77777777" w:rsidTr="001423EE">
        <w:tc>
          <w:tcPr>
            <w:tcW w:w="2230" w:type="dxa"/>
            <w:tcBorders>
              <w:top w:val="single" w:sz="4" w:space="0" w:color="auto"/>
              <w:left w:val="single" w:sz="4" w:space="0" w:color="auto"/>
              <w:bottom w:val="single" w:sz="4" w:space="0" w:color="auto"/>
              <w:right w:val="single" w:sz="4" w:space="0" w:color="auto"/>
            </w:tcBorders>
          </w:tcPr>
          <w:p w14:paraId="7373ABBD" w14:textId="437BEAAF" w:rsidR="004F6E23" w:rsidRPr="00D367BA" w:rsidRDefault="004F6E23" w:rsidP="001F4861">
            <w:pPr>
              <w:pStyle w:val="TableText0"/>
              <w:rPr>
                <w:szCs w:val="20"/>
              </w:rPr>
            </w:pPr>
            <w:r w:rsidRPr="00D367BA">
              <w:rPr>
                <w:szCs w:val="20"/>
              </w:rPr>
              <w:t>Treatment regimen</w:t>
            </w:r>
          </w:p>
        </w:tc>
        <w:tc>
          <w:tcPr>
            <w:tcW w:w="2294" w:type="dxa"/>
            <w:tcBorders>
              <w:top w:val="single" w:sz="4" w:space="0" w:color="auto"/>
              <w:left w:val="single" w:sz="4" w:space="0" w:color="auto"/>
              <w:bottom w:val="single" w:sz="4" w:space="0" w:color="auto"/>
              <w:right w:val="single" w:sz="4" w:space="0" w:color="auto"/>
            </w:tcBorders>
          </w:tcPr>
          <w:p w14:paraId="6E4AE105" w14:textId="77777777" w:rsidR="004F6E23" w:rsidRPr="00D367BA" w:rsidRDefault="004F6E23" w:rsidP="004F6E23">
            <w:pPr>
              <w:pStyle w:val="TableText0"/>
              <w:rPr>
                <w:szCs w:val="20"/>
              </w:rPr>
            </w:pPr>
            <w:r w:rsidRPr="00D367BA">
              <w:rPr>
                <w:szCs w:val="20"/>
              </w:rPr>
              <w:t>Q2W: 5.9%</w:t>
            </w:r>
          </w:p>
          <w:p w14:paraId="37906A98" w14:textId="49A76245" w:rsidR="004F6E23" w:rsidRPr="00D367BA" w:rsidRDefault="004F6E23" w:rsidP="004F6E23">
            <w:pPr>
              <w:pStyle w:val="TableText0"/>
              <w:rPr>
                <w:szCs w:val="20"/>
              </w:rPr>
            </w:pPr>
            <w:r w:rsidRPr="00D367BA">
              <w:rPr>
                <w:szCs w:val="20"/>
              </w:rPr>
              <w:t>Q4W: 94.1%</w:t>
            </w:r>
          </w:p>
        </w:tc>
        <w:tc>
          <w:tcPr>
            <w:tcW w:w="2237" w:type="dxa"/>
            <w:tcBorders>
              <w:top w:val="single" w:sz="4" w:space="0" w:color="auto"/>
              <w:left w:val="single" w:sz="4" w:space="0" w:color="auto"/>
              <w:bottom w:val="single" w:sz="4" w:space="0" w:color="auto"/>
              <w:right w:val="single" w:sz="4" w:space="0" w:color="auto"/>
            </w:tcBorders>
          </w:tcPr>
          <w:p w14:paraId="11FFC84C" w14:textId="77777777" w:rsidR="004F6E23" w:rsidRPr="00D367BA" w:rsidRDefault="004F6E23" w:rsidP="001F4861">
            <w:pPr>
              <w:pStyle w:val="TableText0"/>
              <w:rPr>
                <w:szCs w:val="20"/>
              </w:rPr>
            </w:pPr>
            <w:r w:rsidRPr="00D367BA">
              <w:rPr>
                <w:szCs w:val="20"/>
              </w:rPr>
              <w:t xml:space="preserve">Based on US CDC </w:t>
            </w:r>
          </w:p>
          <w:p w14:paraId="3A562981" w14:textId="108E6CF5" w:rsidR="004F6E23" w:rsidRPr="00D367BA" w:rsidRDefault="004F6E23" w:rsidP="001F4861">
            <w:pPr>
              <w:pStyle w:val="TableText0"/>
              <w:rPr>
                <w:szCs w:val="20"/>
              </w:rPr>
            </w:pPr>
            <w:r w:rsidRPr="00D367BA">
              <w:rPr>
                <w:szCs w:val="20"/>
              </w:rPr>
              <w:t>Data Table of Weight-for-age Charts</w:t>
            </w:r>
          </w:p>
        </w:tc>
        <w:tc>
          <w:tcPr>
            <w:tcW w:w="2256" w:type="dxa"/>
            <w:tcBorders>
              <w:top w:val="single" w:sz="4" w:space="0" w:color="auto"/>
              <w:left w:val="single" w:sz="4" w:space="0" w:color="auto"/>
              <w:bottom w:val="single" w:sz="4" w:space="0" w:color="auto"/>
              <w:right w:val="single" w:sz="4" w:space="0" w:color="auto"/>
            </w:tcBorders>
          </w:tcPr>
          <w:p w14:paraId="1682FD00" w14:textId="0A1BFB64" w:rsidR="004F6E23" w:rsidRPr="00D367BA" w:rsidRDefault="008C47CA" w:rsidP="001F4861">
            <w:pPr>
              <w:pStyle w:val="TableText0"/>
              <w:rPr>
                <w:szCs w:val="20"/>
              </w:rPr>
            </w:pPr>
            <w:r w:rsidRPr="00D367BA">
              <w:rPr>
                <w:szCs w:val="20"/>
              </w:rPr>
              <w:t xml:space="preserve"> Weight is based on US CDC data table, but the split of doses is considered uncertain.</w:t>
            </w:r>
          </w:p>
        </w:tc>
      </w:tr>
      <w:tr w:rsidR="000912ED" w:rsidRPr="009475AF" w14:paraId="78F13CE2" w14:textId="77777777" w:rsidTr="001423EE">
        <w:tc>
          <w:tcPr>
            <w:tcW w:w="2230" w:type="dxa"/>
            <w:tcBorders>
              <w:top w:val="single" w:sz="4" w:space="0" w:color="auto"/>
              <w:left w:val="single" w:sz="4" w:space="0" w:color="auto"/>
              <w:bottom w:val="single" w:sz="4" w:space="0" w:color="auto"/>
              <w:right w:val="single" w:sz="4" w:space="0" w:color="auto"/>
            </w:tcBorders>
          </w:tcPr>
          <w:p w14:paraId="72099A36" w14:textId="3CCCDCBA" w:rsidR="000912ED" w:rsidRPr="00D367BA" w:rsidRDefault="000912ED" w:rsidP="001F4861">
            <w:pPr>
              <w:pStyle w:val="TableText0"/>
              <w:rPr>
                <w:szCs w:val="20"/>
              </w:rPr>
            </w:pPr>
            <w:r w:rsidRPr="00D367BA">
              <w:rPr>
                <w:szCs w:val="20"/>
              </w:rPr>
              <w:t>Dupilumab services</w:t>
            </w:r>
          </w:p>
        </w:tc>
        <w:tc>
          <w:tcPr>
            <w:tcW w:w="2294" w:type="dxa"/>
            <w:tcBorders>
              <w:top w:val="single" w:sz="4" w:space="0" w:color="auto"/>
              <w:left w:val="single" w:sz="4" w:space="0" w:color="auto"/>
              <w:bottom w:val="single" w:sz="4" w:space="0" w:color="auto"/>
              <w:right w:val="single" w:sz="4" w:space="0" w:color="auto"/>
            </w:tcBorders>
          </w:tcPr>
          <w:p w14:paraId="60DF894B" w14:textId="3BE141B0" w:rsidR="000912ED" w:rsidRPr="00D367BA" w:rsidRDefault="000912ED" w:rsidP="001F4861">
            <w:pPr>
              <w:pStyle w:val="TableText0"/>
              <w:rPr>
                <w:szCs w:val="20"/>
              </w:rPr>
            </w:pPr>
            <w:r w:rsidRPr="00D367BA">
              <w:rPr>
                <w:szCs w:val="20"/>
              </w:rPr>
              <w:t xml:space="preserve">Y1: </w:t>
            </w:r>
            <w:r w:rsidR="00CE7646" w:rsidRPr="00CE7646">
              <w:rPr>
                <w:color w:val="000000"/>
                <w:spacing w:val="53"/>
                <w:szCs w:val="20"/>
                <w:shd w:val="solid" w:color="000000" w:fill="000000"/>
                <w:fitText w:val="330" w:id="-962338295"/>
                <w14:textFill>
                  <w14:solidFill>
                    <w14:srgbClr w14:val="000000">
                      <w14:alpha w14:val="100000"/>
                    </w14:srgbClr>
                  </w14:solidFill>
                </w14:textFill>
              </w:rPr>
              <w:t>|||</w:t>
            </w:r>
            <w:r w:rsidR="00CE7646" w:rsidRPr="00CE7646">
              <w:rPr>
                <w:color w:val="000000"/>
                <w:spacing w:val="1"/>
                <w:szCs w:val="20"/>
                <w:shd w:val="solid" w:color="000000" w:fill="000000"/>
                <w:fitText w:val="330" w:id="-962338295"/>
                <w14:textFill>
                  <w14:solidFill>
                    <w14:srgbClr w14:val="000000">
                      <w14:alpha w14:val="100000"/>
                    </w14:srgbClr>
                  </w14:solidFill>
                </w14:textFill>
              </w:rPr>
              <w:t>|</w:t>
            </w:r>
            <w:r w:rsidR="00BE63BA" w:rsidRPr="00D367BA">
              <w:rPr>
                <w:szCs w:val="20"/>
                <w:vertAlign w:val="superscript"/>
              </w:rPr>
              <w:t>1</w:t>
            </w:r>
          </w:p>
          <w:p w14:paraId="1AAB9A64" w14:textId="75C5AC53" w:rsidR="000912ED" w:rsidRPr="00D367BA" w:rsidRDefault="000912ED" w:rsidP="001F4861">
            <w:pPr>
              <w:pStyle w:val="TableText0"/>
              <w:rPr>
                <w:szCs w:val="20"/>
              </w:rPr>
            </w:pPr>
            <w:r w:rsidRPr="00D367BA">
              <w:rPr>
                <w:szCs w:val="20"/>
              </w:rPr>
              <w:t xml:space="preserve">Y2: </w:t>
            </w:r>
            <w:r w:rsidR="00CE7646" w:rsidRPr="00CE7646">
              <w:rPr>
                <w:color w:val="000000"/>
                <w:spacing w:val="53"/>
                <w:szCs w:val="20"/>
                <w:shd w:val="solid" w:color="000000" w:fill="000000"/>
                <w:fitText w:val="330" w:id="-962338294"/>
                <w14:textFill>
                  <w14:solidFill>
                    <w14:srgbClr w14:val="000000">
                      <w14:alpha w14:val="100000"/>
                    </w14:srgbClr>
                  </w14:solidFill>
                </w14:textFill>
              </w:rPr>
              <w:t>|||</w:t>
            </w:r>
            <w:r w:rsidR="00CE7646" w:rsidRPr="00CE7646">
              <w:rPr>
                <w:color w:val="000000"/>
                <w:spacing w:val="1"/>
                <w:szCs w:val="20"/>
                <w:shd w:val="solid" w:color="000000" w:fill="000000"/>
                <w:fitText w:val="330" w:id="-962338294"/>
                <w14:textFill>
                  <w14:solidFill>
                    <w14:srgbClr w14:val="000000">
                      <w14:alpha w14:val="100000"/>
                    </w14:srgbClr>
                  </w14:solidFill>
                </w14:textFill>
              </w:rPr>
              <w:t>|</w:t>
            </w:r>
            <w:r w:rsidR="00BE63BA" w:rsidRPr="00D367BA">
              <w:rPr>
                <w:szCs w:val="20"/>
                <w:vertAlign w:val="superscript"/>
              </w:rPr>
              <w:t>1</w:t>
            </w:r>
          </w:p>
          <w:p w14:paraId="06DC79F9" w14:textId="73707593" w:rsidR="000912ED" w:rsidRPr="00D367BA" w:rsidRDefault="000912ED" w:rsidP="001F4861">
            <w:pPr>
              <w:pStyle w:val="TableText0"/>
              <w:rPr>
                <w:szCs w:val="20"/>
              </w:rPr>
            </w:pPr>
            <w:r w:rsidRPr="00D367BA">
              <w:rPr>
                <w:szCs w:val="20"/>
              </w:rPr>
              <w:t xml:space="preserve">Y3: </w:t>
            </w:r>
            <w:r w:rsidR="00CE7646" w:rsidRPr="00CE7646">
              <w:rPr>
                <w:color w:val="000000"/>
                <w:spacing w:val="53"/>
                <w:szCs w:val="20"/>
                <w:shd w:val="solid" w:color="000000" w:fill="000000"/>
                <w:fitText w:val="330" w:id="-962338293"/>
                <w14:textFill>
                  <w14:solidFill>
                    <w14:srgbClr w14:val="000000">
                      <w14:alpha w14:val="100000"/>
                    </w14:srgbClr>
                  </w14:solidFill>
                </w14:textFill>
              </w:rPr>
              <w:t>|||</w:t>
            </w:r>
            <w:r w:rsidR="00CE7646" w:rsidRPr="00CE7646">
              <w:rPr>
                <w:color w:val="000000"/>
                <w:spacing w:val="1"/>
                <w:szCs w:val="20"/>
                <w:shd w:val="solid" w:color="000000" w:fill="000000"/>
                <w:fitText w:val="330" w:id="-962338293"/>
                <w14:textFill>
                  <w14:solidFill>
                    <w14:srgbClr w14:val="000000">
                      <w14:alpha w14:val="100000"/>
                    </w14:srgbClr>
                  </w14:solidFill>
                </w14:textFill>
              </w:rPr>
              <w:t>|</w:t>
            </w:r>
            <w:r w:rsidR="00BE63BA" w:rsidRPr="00D367BA">
              <w:rPr>
                <w:szCs w:val="20"/>
                <w:vertAlign w:val="superscript"/>
              </w:rPr>
              <w:t>1</w:t>
            </w:r>
          </w:p>
          <w:p w14:paraId="64430901" w14:textId="3B4A03FE" w:rsidR="000912ED" w:rsidRPr="00D367BA" w:rsidRDefault="000912ED" w:rsidP="001F4861">
            <w:pPr>
              <w:pStyle w:val="TableText0"/>
              <w:rPr>
                <w:szCs w:val="20"/>
              </w:rPr>
            </w:pPr>
            <w:r w:rsidRPr="00D367BA">
              <w:rPr>
                <w:szCs w:val="20"/>
              </w:rPr>
              <w:t xml:space="preserve">Y4: </w:t>
            </w:r>
            <w:r w:rsidR="00CE7646" w:rsidRPr="00CE7646">
              <w:rPr>
                <w:color w:val="000000"/>
                <w:spacing w:val="53"/>
                <w:szCs w:val="20"/>
                <w:shd w:val="solid" w:color="000000" w:fill="000000"/>
                <w:fitText w:val="330" w:id="-962338292"/>
                <w14:textFill>
                  <w14:solidFill>
                    <w14:srgbClr w14:val="000000">
                      <w14:alpha w14:val="100000"/>
                    </w14:srgbClr>
                  </w14:solidFill>
                </w14:textFill>
              </w:rPr>
              <w:t>|||</w:t>
            </w:r>
            <w:r w:rsidR="00CE7646" w:rsidRPr="00CE7646">
              <w:rPr>
                <w:color w:val="000000"/>
                <w:spacing w:val="1"/>
                <w:szCs w:val="20"/>
                <w:shd w:val="solid" w:color="000000" w:fill="000000"/>
                <w:fitText w:val="330" w:id="-962338292"/>
                <w14:textFill>
                  <w14:solidFill>
                    <w14:srgbClr w14:val="000000">
                      <w14:alpha w14:val="100000"/>
                    </w14:srgbClr>
                  </w14:solidFill>
                </w14:textFill>
              </w:rPr>
              <w:t>|</w:t>
            </w:r>
            <w:r w:rsidR="00BE63BA" w:rsidRPr="00D367BA">
              <w:rPr>
                <w:szCs w:val="20"/>
                <w:vertAlign w:val="superscript"/>
              </w:rPr>
              <w:t>1</w:t>
            </w:r>
          </w:p>
          <w:p w14:paraId="6FF9C2A1" w14:textId="4E399EF0" w:rsidR="000912ED" w:rsidRPr="00D367BA" w:rsidRDefault="000912ED" w:rsidP="001F4861">
            <w:pPr>
              <w:pStyle w:val="TableText0"/>
              <w:rPr>
                <w:szCs w:val="20"/>
              </w:rPr>
            </w:pPr>
            <w:r w:rsidRPr="00D367BA">
              <w:rPr>
                <w:szCs w:val="20"/>
              </w:rPr>
              <w:t xml:space="preserve">Y5: </w:t>
            </w:r>
            <w:r w:rsidR="00CE7646" w:rsidRPr="00CE7646">
              <w:rPr>
                <w:color w:val="000000"/>
                <w:spacing w:val="53"/>
                <w:szCs w:val="20"/>
                <w:shd w:val="solid" w:color="000000" w:fill="000000"/>
                <w:fitText w:val="330" w:id="-962338291"/>
                <w14:textFill>
                  <w14:solidFill>
                    <w14:srgbClr w14:val="000000">
                      <w14:alpha w14:val="100000"/>
                    </w14:srgbClr>
                  </w14:solidFill>
                </w14:textFill>
              </w:rPr>
              <w:t>|||</w:t>
            </w:r>
            <w:r w:rsidR="00CE7646" w:rsidRPr="00CE7646">
              <w:rPr>
                <w:color w:val="000000"/>
                <w:spacing w:val="1"/>
                <w:szCs w:val="20"/>
                <w:shd w:val="solid" w:color="000000" w:fill="000000"/>
                <w:fitText w:val="330" w:id="-962338291"/>
                <w14:textFill>
                  <w14:solidFill>
                    <w14:srgbClr w14:val="000000">
                      <w14:alpha w14:val="100000"/>
                    </w14:srgbClr>
                  </w14:solidFill>
                </w14:textFill>
              </w:rPr>
              <w:t>|</w:t>
            </w:r>
            <w:r w:rsidR="00BE63BA" w:rsidRPr="00D367BA">
              <w:rPr>
                <w:szCs w:val="20"/>
                <w:vertAlign w:val="superscript"/>
              </w:rPr>
              <w:t>1</w:t>
            </w:r>
          </w:p>
          <w:p w14:paraId="756DEC5F" w14:textId="56B54FD9" w:rsidR="000912ED" w:rsidRPr="00D367BA" w:rsidRDefault="000912ED" w:rsidP="001F4861">
            <w:pPr>
              <w:pStyle w:val="TableText0"/>
              <w:rPr>
                <w:szCs w:val="20"/>
              </w:rPr>
            </w:pPr>
            <w:r w:rsidRPr="00D367BA">
              <w:rPr>
                <w:szCs w:val="20"/>
              </w:rPr>
              <w:t xml:space="preserve">Y6: </w:t>
            </w:r>
            <w:r w:rsidR="00CE7646" w:rsidRPr="00CE7646">
              <w:rPr>
                <w:color w:val="000000"/>
                <w:spacing w:val="53"/>
                <w:szCs w:val="20"/>
                <w:shd w:val="solid" w:color="000000" w:fill="000000"/>
                <w:fitText w:val="330" w:id="-962338290"/>
                <w14:textFill>
                  <w14:solidFill>
                    <w14:srgbClr w14:val="000000">
                      <w14:alpha w14:val="100000"/>
                    </w14:srgbClr>
                  </w14:solidFill>
                </w14:textFill>
              </w:rPr>
              <w:t>|||</w:t>
            </w:r>
            <w:r w:rsidR="00CE7646" w:rsidRPr="00CE7646">
              <w:rPr>
                <w:color w:val="000000"/>
                <w:spacing w:val="1"/>
                <w:szCs w:val="20"/>
                <w:shd w:val="solid" w:color="000000" w:fill="000000"/>
                <w:fitText w:val="330" w:id="-962338290"/>
                <w14:textFill>
                  <w14:solidFill>
                    <w14:srgbClr w14:val="000000">
                      <w14:alpha w14:val="100000"/>
                    </w14:srgbClr>
                  </w14:solidFill>
                </w14:textFill>
              </w:rPr>
              <w:t>|</w:t>
            </w:r>
            <w:r w:rsidR="00BE63BA" w:rsidRPr="00D367BA">
              <w:rPr>
                <w:szCs w:val="20"/>
                <w:vertAlign w:val="superscript"/>
              </w:rPr>
              <w:t>1</w:t>
            </w:r>
          </w:p>
        </w:tc>
        <w:tc>
          <w:tcPr>
            <w:tcW w:w="2237" w:type="dxa"/>
            <w:tcBorders>
              <w:top w:val="single" w:sz="4" w:space="0" w:color="auto"/>
              <w:left w:val="single" w:sz="4" w:space="0" w:color="auto"/>
              <w:bottom w:val="single" w:sz="4" w:space="0" w:color="auto"/>
              <w:right w:val="single" w:sz="4" w:space="0" w:color="auto"/>
            </w:tcBorders>
          </w:tcPr>
          <w:p w14:paraId="1511E1CA" w14:textId="4DEB9518" w:rsidR="000912ED" w:rsidRPr="00D367BA" w:rsidRDefault="000912ED" w:rsidP="001F4861">
            <w:pPr>
              <w:pStyle w:val="TableText0"/>
              <w:rPr>
                <w:szCs w:val="20"/>
              </w:rPr>
            </w:pPr>
            <w:r w:rsidRPr="00D367BA">
              <w:rPr>
                <w:szCs w:val="20"/>
              </w:rPr>
              <w:t>Derived from script equivalence, estimate of projected services and estimate of reduction in omalizumab serv</w:t>
            </w:r>
            <w:r w:rsidR="005035E5" w:rsidRPr="00D367BA">
              <w:rPr>
                <w:szCs w:val="20"/>
              </w:rPr>
              <w:t>i</w:t>
            </w:r>
            <w:r w:rsidRPr="00D367BA">
              <w:rPr>
                <w:szCs w:val="20"/>
              </w:rPr>
              <w:t>ces.</w:t>
            </w:r>
          </w:p>
        </w:tc>
        <w:tc>
          <w:tcPr>
            <w:tcW w:w="2256" w:type="dxa"/>
            <w:tcBorders>
              <w:top w:val="single" w:sz="4" w:space="0" w:color="auto"/>
              <w:left w:val="single" w:sz="4" w:space="0" w:color="auto"/>
              <w:bottom w:val="single" w:sz="4" w:space="0" w:color="auto"/>
              <w:right w:val="single" w:sz="4" w:space="0" w:color="auto"/>
            </w:tcBorders>
          </w:tcPr>
          <w:p w14:paraId="6A0FBDCC" w14:textId="3A36448F" w:rsidR="000912ED" w:rsidRPr="00D367BA" w:rsidRDefault="000912ED" w:rsidP="001F4861">
            <w:pPr>
              <w:pStyle w:val="TableText0"/>
              <w:rPr>
                <w:szCs w:val="20"/>
              </w:rPr>
            </w:pPr>
            <w:r w:rsidRPr="00D367BA">
              <w:rPr>
                <w:szCs w:val="20"/>
              </w:rPr>
              <w:t>Uncertain given sources used in derivation as noted</w:t>
            </w:r>
            <w:r w:rsidR="006526F6" w:rsidRPr="00D367BA">
              <w:rPr>
                <w:szCs w:val="20"/>
              </w:rPr>
              <w:t xml:space="preserve"> </w:t>
            </w:r>
            <w:r w:rsidRPr="00D367BA">
              <w:rPr>
                <w:szCs w:val="20"/>
              </w:rPr>
              <w:t>above.</w:t>
            </w:r>
            <w:r w:rsidR="001A73CD" w:rsidRPr="00D367BA">
              <w:rPr>
                <w:szCs w:val="20"/>
              </w:rPr>
              <w:t xml:space="preserve"> </w:t>
            </w:r>
          </w:p>
        </w:tc>
      </w:tr>
    </w:tbl>
    <w:p w14:paraId="26FB6670" w14:textId="67E88C59" w:rsidR="00B505C8" w:rsidRPr="00D367BA" w:rsidRDefault="00470241" w:rsidP="00D367BA">
      <w:pPr>
        <w:pStyle w:val="FooterTableFigure"/>
        <w:spacing w:after="0"/>
      </w:pPr>
      <w:r w:rsidRPr="00D367BA">
        <w:t>Source: Tables 4.2.1, 4.3, 4.4</w:t>
      </w:r>
      <w:r w:rsidR="000912ED" w:rsidRPr="00D367BA">
        <w:t xml:space="preserve">, 4.7 </w:t>
      </w:r>
      <w:r w:rsidRPr="00D367BA">
        <w:t xml:space="preserve">of the submission. </w:t>
      </w:r>
    </w:p>
    <w:p w14:paraId="51B2EF87" w14:textId="77777777" w:rsidR="00BE63BA" w:rsidRPr="00D367BA" w:rsidRDefault="00BE63BA" w:rsidP="00BE63BA">
      <w:pPr>
        <w:jc w:val="left"/>
        <w:rPr>
          <w:rFonts w:ascii="Arial Narrow" w:hAnsi="Arial Narrow" w:cstheme="minorHAnsi"/>
          <w:bCs/>
          <w:i/>
          <w:iCs/>
          <w:sz w:val="18"/>
          <w:szCs w:val="18"/>
        </w:rPr>
      </w:pPr>
      <w:r w:rsidRPr="00D367BA">
        <w:rPr>
          <w:rFonts w:ascii="Arial Narrow" w:hAnsi="Arial Narrow" w:cstheme="minorHAnsi"/>
          <w:bCs/>
          <w:i/>
          <w:iCs/>
          <w:sz w:val="18"/>
          <w:szCs w:val="18"/>
        </w:rPr>
        <w:t xml:space="preserve">The redacted values correspond to the following ranges: </w:t>
      </w:r>
    </w:p>
    <w:p w14:paraId="589BFE49" w14:textId="0BC97713" w:rsidR="00BE63BA" w:rsidRPr="00D367BA" w:rsidRDefault="00BE63BA" w:rsidP="00BE63BA">
      <w:pPr>
        <w:jc w:val="left"/>
        <w:rPr>
          <w:rFonts w:ascii="Arial Narrow" w:hAnsi="Arial Narrow" w:cstheme="minorHAnsi"/>
          <w:bCs/>
          <w:i/>
          <w:iCs/>
          <w:sz w:val="18"/>
          <w:szCs w:val="18"/>
        </w:rPr>
      </w:pPr>
      <w:r w:rsidRPr="00D367BA">
        <w:rPr>
          <w:rFonts w:ascii="Arial Narrow" w:hAnsi="Arial Narrow" w:cstheme="minorHAnsi"/>
          <w:bCs/>
          <w:i/>
          <w:iCs/>
          <w:sz w:val="18"/>
          <w:szCs w:val="18"/>
          <w:vertAlign w:val="superscript"/>
        </w:rPr>
        <w:t>1</w:t>
      </w:r>
      <w:r w:rsidRPr="00D367BA">
        <w:rPr>
          <w:rFonts w:ascii="Arial Narrow" w:hAnsi="Arial Narrow" w:cstheme="minorHAnsi"/>
          <w:bCs/>
          <w:i/>
          <w:iCs/>
          <w:sz w:val="18"/>
          <w:szCs w:val="18"/>
        </w:rPr>
        <w:t xml:space="preserve"> 500 to &lt; 5,000</w:t>
      </w:r>
    </w:p>
    <w:p w14:paraId="7377141A" w14:textId="5A7B72CD" w:rsidR="00BE63BA" w:rsidRPr="00D367BA" w:rsidRDefault="00BE63BA" w:rsidP="00BE63BA">
      <w:pPr>
        <w:jc w:val="left"/>
        <w:rPr>
          <w:rFonts w:ascii="Arial Narrow" w:hAnsi="Arial Narrow" w:cstheme="minorHAnsi"/>
          <w:bCs/>
          <w:i/>
          <w:iCs/>
          <w:sz w:val="18"/>
          <w:szCs w:val="18"/>
        </w:rPr>
      </w:pPr>
      <w:r w:rsidRPr="00D367BA">
        <w:rPr>
          <w:rFonts w:ascii="Arial Narrow" w:hAnsi="Arial Narrow" w:cstheme="minorHAnsi"/>
          <w:bCs/>
          <w:i/>
          <w:iCs/>
          <w:sz w:val="18"/>
          <w:szCs w:val="18"/>
          <w:vertAlign w:val="superscript"/>
        </w:rPr>
        <w:t>2</w:t>
      </w:r>
      <w:r w:rsidRPr="00D367BA">
        <w:rPr>
          <w:rFonts w:ascii="Arial Narrow" w:hAnsi="Arial Narrow" w:cstheme="minorHAnsi"/>
          <w:bCs/>
          <w:i/>
          <w:iCs/>
          <w:sz w:val="18"/>
          <w:szCs w:val="18"/>
        </w:rPr>
        <w:t xml:space="preserve"> 5,000 to &lt; 10,000</w:t>
      </w:r>
    </w:p>
    <w:p w14:paraId="3A4B24A1" w14:textId="6E62CA11" w:rsidR="00BE63BA" w:rsidRPr="00D367BA" w:rsidRDefault="00BE63BA" w:rsidP="00BE63BA">
      <w:pPr>
        <w:jc w:val="left"/>
        <w:rPr>
          <w:rFonts w:ascii="Arial Narrow" w:hAnsi="Arial Narrow" w:cstheme="minorHAnsi"/>
          <w:bCs/>
          <w:i/>
          <w:iCs/>
          <w:sz w:val="18"/>
          <w:szCs w:val="18"/>
        </w:rPr>
      </w:pPr>
      <w:r w:rsidRPr="00D367BA">
        <w:rPr>
          <w:rFonts w:ascii="Arial Narrow" w:hAnsi="Arial Narrow" w:cstheme="minorHAnsi"/>
          <w:bCs/>
          <w:i/>
          <w:iCs/>
          <w:sz w:val="18"/>
          <w:szCs w:val="18"/>
          <w:vertAlign w:val="superscript"/>
        </w:rPr>
        <w:t>3</w:t>
      </w:r>
      <w:r w:rsidRPr="00D367BA">
        <w:rPr>
          <w:rFonts w:ascii="Arial Narrow" w:hAnsi="Arial Narrow" w:cstheme="minorHAnsi"/>
          <w:bCs/>
          <w:i/>
          <w:iCs/>
          <w:sz w:val="18"/>
          <w:szCs w:val="18"/>
        </w:rPr>
        <w:t xml:space="preserve"> 10,000 to &lt; 20,000</w:t>
      </w:r>
    </w:p>
    <w:p w14:paraId="13FE8A4D" w14:textId="5457545F" w:rsidR="001A73CD" w:rsidRPr="009475AF" w:rsidRDefault="00BE63BA" w:rsidP="00D367BA">
      <w:pPr>
        <w:spacing w:after="120"/>
        <w:jc w:val="left"/>
      </w:pPr>
      <w:r w:rsidRPr="00D367BA">
        <w:rPr>
          <w:rFonts w:ascii="Arial Narrow" w:hAnsi="Arial Narrow" w:cstheme="minorHAnsi"/>
          <w:bCs/>
          <w:i/>
          <w:iCs/>
          <w:sz w:val="18"/>
          <w:szCs w:val="18"/>
          <w:vertAlign w:val="superscript"/>
        </w:rPr>
        <w:t>4</w:t>
      </w:r>
      <w:r w:rsidRPr="00D367BA">
        <w:rPr>
          <w:rFonts w:ascii="Arial Narrow" w:hAnsi="Arial Narrow" w:cstheme="minorHAnsi"/>
          <w:bCs/>
          <w:i/>
          <w:iCs/>
          <w:sz w:val="18"/>
          <w:szCs w:val="18"/>
        </w:rPr>
        <w:t xml:space="preserve"> &lt; 500</w:t>
      </w:r>
    </w:p>
    <w:p w14:paraId="2487F615" w14:textId="7AEFE567" w:rsidR="001423EE" w:rsidRPr="009475AF" w:rsidRDefault="001A73CD" w:rsidP="00FE1901">
      <w:pPr>
        <w:pStyle w:val="3-BodyText"/>
      </w:pPr>
      <w:r w:rsidRPr="009475AF">
        <w:t>To estimate the size of the market t</w:t>
      </w:r>
      <w:r w:rsidRPr="009475AF">
        <w:rPr>
          <w:rFonts w:ascii="Calibri" w:hAnsi="Calibri" w:cs="Calibri"/>
          <w:color w:val="212121"/>
        </w:rPr>
        <w:t xml:space="preserve">he submission estimated omalizumab scripts for 2024, based on 2023, using the item codes for paediatric scripts. The total was estimated to be </w:t>
      </w:r>
      <w:r w:rsidR="00BE63BA" w:rsidRPr="00BE63BA">
        <w:rPr>
          <w:rFonts w:ascii="Calibri" w:hAnsi="Calibri" w:cs="Calibri"/>
          <w:color w:val="212121"/>
        </w:rPr>
        <w:t>500 to &lt; 5,000</w:t>
      </w:r>
      <w:r w:rsidRPr="009475AF">
        <w:rPr>
          <w:rFonts w:ascii="Calibri" w:hAnsi="Calibri" w:cs="Calibri"/>
          <w:color w:val="212121"/>
        </w:rPr>
        <w:t xml:space="preserve">, of which </w:t>
      </w:r>
      <w:r w:rsidR="00BE63BA" w:rsidRPr="00BE63BA">
        <w:rPr>
          <w:rFonts w:ascii="Calibri" w:hAnsi="Calibri" w:cs="Calibri"/>
          <w:color w:val="212121"/>
        </w:rPr>
        <w:t>500 to &lt; 5,000</w:t>
      </w:r>
      <w:r w:rsidR="00BE63BA">
        <w:rPr>
          <w:rFonts w:ascii="Calibri" w:hAnsi="Calibri" w:cs="Calibri"/>
          <w:color w:val="212121"/>
        </w:rPr>
        <w:t xml:space="preserve"> </w:t>
      </w:r>
      <w:r w:rsidRPr="009475AF">
        <w:rPr>
          <w:rFonts w:ascii="Calibri" w:hAnsi="Calibri" w:cs="Calibri"/>
          <w:color w:val="212121"/>
        </w:rPr>
        <w:t xml:space="preserve">were initiating scripts and </w:t>
      </w:r>
      <w:r w:rsidR="00BE63BA" w:rsidRPr="00BE63BA">
        <w:rPr>
          <w:rFonts w:ascii="Calibri" w:hAnsi="Calibri" w:cs="Calibri"/>
          <w:color w:val="212121"/>
        </w:rPr>
        <w:t>500</w:t>
      </w:r>
      <w:r w:rsidR="001A1787">
        <w:rPr>
          <w:rFonts w:ascii="Calibri" w:hAnsi="Calibri" w:cs="Calibri"/>
          <w:color w:val="212121"/>
        </w:rPr>
        <w:t> </w:t>
      </w:r>
      <w:r w:rsidR="00BE63BA" w:rsidRPr="00BE63BA">
        <w:rPr>
          <w:rFonts w:ascii="Calibri" w:hAnsi="Calibri" w:cs="Calibri"/>
          <w:color w:val="212121"/>
        </w:rPr>
        <w:t>to &lt; 5,000</w:t>
      </w:r>
      <w:r w:rsidR="00BE63BA">
        <w:rPr>
          <w:rFonts w:ascii="Calibri" w:hAnsi="Calibri" w:cs="Calibri"/>
          <w:color w:val="212121"/>
        </w:rPr>
        <w:t xml:space="preserve"> </w:t>
      </w:r>
      <w:r w:rsidRPr="009475AF">
        <w:rPr>
          <w:rFonts w:ascii="Calibri" w:hAnsi="Calibri" w:cs="Calibri"/>
          <w:color w:val="212121"/>
        </w:rPr>
        <w:t>continuing scripts (item codes 10967F, 11946R,</w:t>
      </w:r>
      <w:r w:rsidRPr="009475AF">
        <w:rPr>
          <w:rFonts w:ascii="Calibri" w:hAnsi="Calibri" w:cs="Calibri"/>
          <w:color w:val="212121"/>
          <w:sz w:val="22"/>
          <w:szCs w:val="22"/>
        </w:rPr>
        <w:t xml:space="preserve"> </w:t>
      </w:r>
      <w:r w:rsidRPr="009475AF">
        <w:rPr>
          <w:rFonts w:cstheme="minorHAnsi"/>
          <w:color w:val="212121"/>
        </w:rPr>
        <w:t xml:space="preserve">10956P, 11952C, 10973M, 11945Q, 10968G, 11935D). The largest numbers of scripts were for items 11945Q, 150 mg/mL for continuing treatment (predicted total number of services for 2024 of </w:t>
      </w:r>
      <w:r w:rsidR="00BE63BA" w:rsidRPr="00BE63BA">
        <w:rPr>
          <w:rFonts w:cstheme="minorHAnsi"/>
          <w:color w:val="212121"/>
        </w:rPr>
        <w:t>500 to &lt; 5,000</w:t>
      </w:r>
      <w:r w:rsidRPr="009475AF">
        <w:rPr>
          <w:rFonts w:cstheme="minorHAnsi"/>
          <w:color w:val="212121"/>
        </w:rPr>
        <w:t xml:space="preserve">) and item 10968G, 150 mg/mL for initiating treatment (predicted total for 2024 of </w:t>
      </w:r>
      <w:r w:rsidR="00BE63BA" w:rsidRPr="00BE63BA">
        <w:rPr>
          <w:rFonts w:cstheme="minorHAnsi"/>
          <w:color w:val="212121"/>
        </w:rPr>
        <w:t>500 to &lt; 5,000</w:t>
      </w:r>
      <w:r w:rsidRPr="009475AF">
        <w:rPr>
          <w:rFonts w:cstheme="minorHAnsi"/>
          <w:color w:val="212121"/>
        </w:rPr>
        <w:t xml:space="preserve"> services), accounting for the majority of the estimate of market size.</w:t>
      </w:r>
      <w:r w:rsidRPr="009475AF">
        <w:rPr>
          <w:rFonts w:ascii="Calibri" w:hAnsi="Calibri" w:cs="Calibri"/>
          <w:color w:val="212121"/>
          <w:sz w:val="22"/>
          <w:szCs w:val="22"/>
        </w:rPr>
        <w:t xml:space="preserve"> </w:t>
      </w:r>
    </w:p>
    <w:p w14:paraId="3F1A9426" w14:textId="1A11C902" w:rsidR="00756600" w:rsidRPr="009475AF" w:rsidRDefault="00756600" w:rsidP="00756600">
      <w:pPr>
        <w:pStyle w:val="3-BodyText"/>
      </w:pPr>
      <w:r w:rsidRPr="009475AF">
        <w:t>DUSC last reviewed the use of biologicals for uncontrolled and severe allergic asthma in October 2019, but did not present data for paediatric use separately in that review. During the evaluation, the DUSC Secretariat provided data extracted from the PBS claims database maintained by the Department of Health and Aged Care and processed by Services Australia. Prescription data were extracted from 1</w:t>
      </w:r>
      <w:r w:rsidR="001A1787">
        <w:t> </w:t>
      </w:r>
      <w:r w:rsidRPr="009475AF">
        <w:t>January</w:t>
      </w:r>
      <w:r w:rsidR="001A1787">
        <w:t> </w:t>
      </w:r>
      <w:r w:rsidRPr="009475AF">
        <w:t>2017 up to and including 30 September 2023, using all PBS item codes that contain the word “asthma”</w:t>
      </w:r>
      <w:r w:rsidR="00F4206D" w:rsidRPr="009475AF">
        <w:t xml:space="preserve"> (i.e., not just item codes specific to patients younger than 12 years of age)</w:t>
      </w:r>
      <w:r w:rsidRPr="009475AF">
        <w:t xml:space="preserve">. The number of prescriptions </w:t>
      </w:r>
      <w:r w:rsidR="00C82411" w:rsidRPr="009475AF">
        <w:t xml:space="preserve">of </w:t>
      </w:r>
      <w:r w:rsidR="00C82411" w:rsidRPr="009475AF">
        <w:rPr>
          <w:bCs/>
        </w:rPr>
        <w:t>omalizumab, mepolizumab, benralizumab</w:t>
      </w:r>
      <w:r w:rsidR="00C82411" w:rsidRPr="009475AF">
        <w:rPr>
          <w:b/>
        </w:rPr>
        <w:t xml:space="preserve"> </w:t>
      </w:r>
      <w:r w:rsidR="00C82411" w:rsidRPr="009475AF">
        <w:rPr>
          <w:bCs/>
        </w:rPr>
        <w:t>and dupilumab</w:t>
      </w:r>
      <w:r w:rsidR="00C82411" w:rsidRPr="009475AF">
        <w:rPr>
          <w:b/>
        </w:rPr>
        <w:t xml:space="preserve"> </w:t>
      </w:r>
      <w:r w:rsidRPr="009475AF">
        <w:t>supplied to patients younger than 12 was summarised by year and are shown in</w:t>
      </w:r>
      <w:r w:rsidR="00041C7B" w:rsidRPr="009475AF">
        <w:t xml:space="preserve"> </w:t>
      </w:r>
      <w:r w:rsidR="00041C7B" w:rsidRPr="009475AF">
        <w:fldChar w:fldCharType="begin" w:fldLock="1"/>
      </w:r>
      <w:r w:rsidR="00041C7B" w:rsidRPr="009475AF">
        <w:instrText xml:space="preserve"> REF _Ref155081635 \h  \* MERGEFORMAT </w:instrText>
      </w:r>
      <w:r w:rsidR="00041C7B" w:rsidRPr="009475AF">
        <w:fldChar w:fldCharType="separate"/>
      </w:r>
      <w:r w:rsidR="00041C7B" w:rsidRPr="009475AF">
        <w:t>Table 12</w:t>
      </w:r>
      <w:r w:rsidR="00041C7B" w:rsidRPr="009475AF">
        <w:fldChar w:fldCharType="end"/>
      </w:r>
      <w:r w:rsidRPr="009475AF">
        <w:t xml:space="preserve">. </w:t>
      </w:r>
    </w:p>
    <w:p w14:paraId="79B25C14" w14:textId="15A9E739" w:rsidR="00756600" w:rsidRPr="009475AF" w:rsidRDefault="00041C7B" w:rsidP="00041C7B">
      <w:pPr>
        <w:pStyle w:val="Caption"/>
        <w:rPr>
          <w:rStyle w:val="CommentReference"/>
          <w:lang w:eastAsia="en-GB"/>
        </w:rPr>
      </w:pPr>
      <w:r w:rsidRPr="009475AF">
        <w:t xml:space="preserve">Table </w:t>
      </w:r>
      <w:r w:rsidR="00696736">
        <w:fldChar w:fldCharType="begin" w:fldLock="1"/>
      </w:r>
      <w:r w:rsidR="00696736">
        <w:instrText xml:space="preserve"> SEQ Table \* ARABIC </w:instrText>
      </w:r>
      <w:r w:rsidR="00696736">
        <w:fldChar w:fldCharType="separate"/>
      </w:r>
      <w:r w:rsidR="00F866CD" w:rsidRPr="009475AF">
        <w:t>12</w:t>
      </w:r>
      <w:r w:rsidR="00696736">
        <w:fldChar w:fldCharType="end"/>
      </w:r>
      <w:r w:rsidR="00015C20" w:rsidRPr="009475AF">
        <w:t xml:space="preserve">: </w:t>
      </w:r>
      <w:r w:rsidR="00756600" w:rsidRPr="009475AF">
        <w:rPr>
          <w:rStyle w:val="TableFigureHeadingChar"/>
          <w:b/>
          <w:bCs/>
        </w:rPr>
        <w:t>Utilisation of omalizumab, mepolizumab, benralizumab and dupilumab in patients under the age of 12</w:t>
      </w:r>
      <w:r w:rsidR="00306D91" w:rsidRPr="009475AF">
        <w:rPr>
          <w:rStyle w:val="TableFigureHeadingChar"/>
          <w:b/>
          <w:bCs/>
        </w:rPr>
        <w:t xml:space="preser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2: Utilisation of omalizumab, mepolizumab, benralizumab and dupilumab in patients under the age of 12 years"/>
      </w:tblPr>
      <w:tblGrid>
        <w:gridCol w:w="1262"/>
        <w:gridCol w:w="2096"/>
        <w:gridCol w:w="2766"/>
        <w:gridCol w:w="2893"/>
      </w:tblGrid>
      <w:tr w:rsidR="00756600" w:rsidRPr="009475AF" w14:paraId="73623F3A" w14:textId="77777777" w:rsidTr="001A1787">
        <w:trPr>
          <w:trHeight w:val="227"/>
        </w:trPr>
        <w:tc>
          <w:tcPr>
            <w:tcW w:w="700" w:type="pct"/>
            <w:noWrap/>
            <w:tcMar>
              <w:top w:w="0" w:type="dxa"/>
              <w:left w:w="108" w:type="dxa"/>
              <w:bottom w:w="0" w:type="dxa"/>
              <w:right w:w="108" w:type="dxa"/>
            </w:tcMar>
            <w:vAlign w:val="bottom"/>
            <w:hideMark/>
          </w:tcPr>
          <w:p w14:paraId="4A836925" w14:textId="77777777" w:rsidR="00756600" w:rsidRPr="009475AF" w:rsidRDefault="00756600" w:rsidP="001A1787">
            <w:pPr>
              <w:pStyle w:val="PBACTableText"/>
              <w:spacing w:before="0" w:after="0"/>
              <w:rPr>
                <w:b/>
                <w:bCs/>
                <w:color w:val="212121"/>
              </w:rPr>
            </w:pPr>
            <w:r w:rsidRPr="009475AF">
              <w:rPr>
                <w:b/>
                <w:bCs/>
              </w:rPr>
              <w:t>Year</w:t>
            </w:r>
          </w:p>
        </w:tc>
        <w:tc>
          <w:tcPr>
            <w:tcW w:w="1162" w:type="pct"/>
            <w:noWrap/>
            <w:tcMar>
              <w:top w:w="0" w:type="dxa"/>
              <w:left w:w="108" w:type="dxa"/>
              <w:bottom w:w="0" w:type="dxa"/>
              <w:right w:w="108" w:type="dxa"/>
            </w:tcMar>
            <w:vAlign w:val="bottom"/>
            <w:hideMark/>
          </w:tcPr>
          <w:p w14:paraId="2E659047" w14:textId="4F7D17F4" w:rsidR="00756600" w:rsidRPr="009475AF" w:rsidRDefault="009475AF" w:rsidP="001A1787">
            <w:pPr>
              <w:pStyle w:val="PBACTableText"/>
              <w:spacing w:before="0" w:after="0"/>
              <w:jc w:val="center"/>
              <w:rPr>
                <w:b/>
                <w:bCs/>
                <w:color w:val="212121"/>
              </w:rPr>
            </w:pPr>
            <w:r w:rsidRPr="009475AF">
              <w:rPr>
                <w:b/>
                <w:bCs/>
              </w:rPr>
              <w:t xml:space="preserve">Prescription </w:t>
            </w:r>
            <w:r>
              <w:rPr>
                <w:b/>
                <w:bCs/>
              </w:rPr>
              <w:t>count</w:t>
            </w:r>
          </w:p>
        </w:tc>
        <w:tc>
          <w:tcPr>
            <w:tcW w:w="1534" w:type="pct"/>
            <w:noWrap/>
            <w:tcMar>
              <w:top w:w="0" w:type="dxa"/>
              <w:left w:w="108" w:type="dxa"/>
              <w:bottom w:w="0" w:type="dxa"/>
              <w:right w:w="108" w:type="dxa"/>
            </w:tcMar>
            <w:vAlign w:val="bottom"/>
            <w:hideMark/>
          </w:tcPr>
          <w:p w14:paraId="095CB37C" w14:textId="1143FE1F" w:rsidR="00756600" w:rsidRPr="009475AF" w:rsidRDefault="00756600" w:rsidP="001A1787">
            <w:pPr>
              <w:pStyle w:val="PBACTableText"/>
              <w:spacing w:before="0" w:after="0"/>
              <w:jc w:val="center"/>
              <w:rPr>
                <w:b/>
                <w:bCs/>
                <w:color w:val="212121"/>
              </w:rPr>
            </w:pPr>
            <w:r w:rsidRPr="009475AF">
              <w:rPr>
                <w:b/>
                <w:bCs/>
              </w:rPr>
              <w:t>Treated</w:t>
            </w:r>
            <w:r w:rsidR="009475AF">
              <w:rPr>
                <w:b/>
                <w:bCs/>
              </w:rPr>
              <w:t xml:space="preserve"> </w:t>
            </w:r>
            <w:r w:rsidRPr="009475AF">
              <w:rPr>
                <w:b/>
                <w:bCs/>
              </w:rPr>
              <w:t>patient</w:t>
            </w:r>
            <w:r w:rsidR="009475AF">
              <w:rPr>
                <w:b/>
                <w:bCs/>
              </w:rPr>
              <w:t xml:space="preserve"> </w:t>
            </w:r>
            <w:r w:rsidRPr="009475AF">
              <w:rPr>
                <w:b/>
                <w:bCs/>
              </w:rPr>
              <w:t>count</w:t>
            </w:r>
          </w:p>
        </w:tc>
        <w:tc>
          <w:tcPr>
            <w:tcW w:w="1604" w:type="pct"/>
            <w:noWrap/>
            <w:tcMar>
              <w:top w:w="0" w:type="dxa"/>
              <w:left w:w="108" w:type="dxa"/>
              <w:bottom w:w="0" w:type="dxa"/>
              <w:right w:w="108" w:type="dxa"/>
            </w:tcMar>
            <w:vAlign w:val="bottom"/>
            <w:hideMark/>
          </w:tcPr>
          <w:p w14:paraId="445E5EA8" w14:textId="0A891C82" w:rsidR="00756600" w:rsidRPr="009475AF" w:rsidRDefault="00756600" w:rsidP="001A1787">
            <w:pPr>
              <w:pStyle w:val="PBACTableText"/>
              <w:spacing w:before="0" w:after="0"/>
              <w:jc w:val="center"/>
              <w:rPr>
                <w:b/>
                <w:bCs/>
                <w:color w:val="212121"/>
              </w:rPr>
            </w:pPr>
            <w:r w:rsidRPr="009475AF">
              <w:rPr>
                <w:b/>
                <w:bCs/>
              </w:rPr>
              <w:t>Initiating</w:t>
            </w:r>
            <w:r w:rsidR="009475AF">
              <w:rPr>
                <w:b/>
                <w:bCs/>
              </w:rPr>
              <w:t xml:space="preserve"> </w:t>
            </w:r>
            <w:r w:rsidRPr="009475AF">
              <w:rPr>
                <w:b/>
                <w:bCs/>
              </w:rPr>
              <w:t>patient</w:t>
            </w:r>
            <w:r w:rsidR="009475AF">
              <w:rPr>
                <w:b/>
                <w:bCs/>
              </w:rPr>
              <w:t xml:space="preserve"> </w:t>
            </w:r>
            <w:r w:rsidRPr="009475AF">
              <w:rPr>
                <w:b/>
                <w:bCs/>
              </w:rPr>
              <w:t>count</w:t>
            </w:r>
          </w:p>
        </w:tc>
      </w:tr>
      <w:tr w:rsidR="00756600" w:rsidRPr="009475AF" w14:paraId="33EF9BBC" w14:textId="77777777" w:rsidTr="001A1787">
        <w:trPr>
          <w:trHeight w:val="227"/>
        </w:trPr>
        <w:tc>
          <w:tcPr>
            <w:tcW w:w="700" w:type="pct"/>
            <w:noWrap/>
            <w:tcMar>
              <w:top w:w="0" w:type="dxa"/>
              <w:left w:w="108" w:type="dxa"/>
              <w:bottom w:w="0" w:type="dxa"/>
              <w:right w:w="108" w:type="dxa"/>
            </w:tcMar>
            <w:vAlign w:val="bottom"/>
            <w:hideMark/>
          </w:tcPr>
          <w:p w14:paraId="1B207900" w14:textId="77777777" w:rsidR="00756600" w:rsidRPr="009475AF" w:rsidRDefault="00756600" w:rsidP="001A1787">
            <w:pPr>
              <w:pStyle w:val="PBACTableText"/>
              <w:spacing w:before="0" w:after="0"/>
              <w:rPr>
                <w:color w:val="212121"/>
              </w:rPr>
            </w:pPr>
            <w:r w:rsidRPr="009475AF">
              <w:t>2017</w:t>
            </w:r>
          </w:p>
        </w:tc>
        <w:tc>
          <w:tcPr>
            <w:tcW w:w="1162" w:type="pct"/>
            <w:noWrap/>
            <w:tcMar>
              <w:top w:w="0" w:type="dxa"/>
              <w:left w:w="108" w:type="dxa"/>
              <w:bottom w:w="0" w:type="dxa"/>
              <w:right w:w="108" w:type="dxa"/>
            </w:tcMar>
            <w:vAlign w:val="bottom"/>
            <w:hideMark/>
          </w:tcPr>
          <w:p w14:paraId="47CEC240" w14:textId="227603D8"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61FEF581" w14:textId="69D01A76"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0D1D310E" w14:textId="34E5AF29"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0A68739C" w14:textId="77777777" w:rsidTr="001A1787">
        <w:trPr>
          <w:trHeight w:val="227"/>
        </w:trPr>
        <w:tc>
          <w:tcPr>
            <w:tcW w:w="700" w:type="pct"/>
            <w:noWrap/>
            <w:tcMar>
              <w:top w:w="0" w:type="dxa"/>
              <w:left w:w="108" w:type="dxa"/>
              <w:bottom w:w="0" w:type="dxa"/>
              <w:right w:w="108" w:type="dxa"/>
            </w:tcMar>
            <w:vAlign w:val="bottom"/>
            <w:hideMark/>
          </w:tcPr>
          <w:p w14:paraId="0A36573D" w14:textId="77777777" w:rsidR="00756600" w:rsidRPr="009475AF" w:rsidRDefault="00756600" w:rsidP="001A1787">
            <w:pPr>
              <w:pStyle w:val="PBACTableText"/>
              <w:spacing w:before="0" w:after="0"/>
              <w:rPr>
                <w:color w:val="212121"/>
              </w:rPr>
            </w:pPr>
            <w:r w:rsidRPr="009475AF">
              <w:t>2018</w:t>
            </w:r>
          </w:p>
        </w:tc>
        <w:tc>
          <w:tcPr>
            <w:tcW w:w="1162" w:type="pct"/>
            <w:noWrap/>
            <w:tcMar>
              <w:top w:w="0" w:type="dxa"/>
              <w:left w:w="108" w:type="dxa"/>
              <w:bottom w:w="0" w:type="dxa"/>
              <w:right w:w="108" w:type="dxa"/>
            </w:tcMar>
            <w:vAlign w:val="bottom"/>
            <w:hideMark/>
          </w:tcPr>
          <w:p w14:paraId="61BD6DC4" w14:textId="1E068906"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3B28D14B" w14:textId="3BC09ABC"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27F202F7" w14:textId="7DCD2D34"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26FE0C14" w14:textId="77777777" w:rsidTr="001A1787">
        <w:trPr>
          <w:trHeight w:val="227"/>
        </w:trPr>
        <w:tc>
          <w:tcPr>
            <w:tcW w:w="700" w:type="pct"/>
            <w:noWrap/>
            <w:tcMar>
              <w:top w:w="0" w:type="dxa"/>
              <w:left w:w="108" w:type="dxa"/>
              <w:bottom w:w="0" w:type="dxa"/>
              <w:right w:w="108" w:type="dxa"/>
            </w:tcMar>
            <w:vAlign w:val="bottom"/>
            <w:hideMark/>
          </w:tcPr>
          <w:p w14:paraId="6427CBC9" w14:textId="77777777" w:rsidR="00756600" w:rsidRPr="009475AF" w:rsidRDefault="00756600" w:rsidP="001A1787">
            <w:pPr>
              <w:pStyle w:val="PBACTableText"/>
              <w:spacing w:before="0" w:after="0"/>
              <w:rPr>
                <w:color w:val="212121"/>
              </w:rPr>
            </w:pPr>
            <w:r w:rsidRPr="009475AF">
              <w:t>2019</w:t>
            </w:r>
          </w:p>
        </w:tc>
        <w:tc>
          <w:tcPr>
            <w:tcW w:w="1162" w:type="pct"/>
            <w:noWrap/>
            <w:tcMar>
              <w:top w:w="0" w:type="dxa"/>
              <w:left w:w="108" w:type="dxa"/>
              <w:bottom w:w="0" w:type="dxa"/>
              <w:right w:w="108" w:type="dxa"/>
            </w:tcMar>
            <w:vAlign w:val="bottom"/>
            <w:hideMark/>
          </w:tcPr>
          <w:p w14:paraId="65C1CCFD" w14:textId="5C40BF1B"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56E1E01F" w14:textId="73091534"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325FF9C7" w14:textId="256AEA22"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45D228C5" w14:textId="77777777" w:rsidTr="001A1787">
        <w:trPr>
          <w:trHeight w:val="227"/>
        </w:trPr>
        <w:tc>
          <w:tcPr>
            <w:tcW w:w="700" w:type="pct"/>
            <w:noWrap/>
            <w:tcMar>
              <w:top w:w="0" w:type="dxa"/>
              <w:left w:w="108" w:type="dxa"/>
              <w:bottom w:w="0" w:type="dxa"/>
              <w:right w:w="108" w:type="dxa"/>
            </w:tcMar>
            <w:vAlign w:val="bottom"/>
            <w:hideMark/>
          </w:tcPr>
          <w:p w14:paraId="7B222B5C" w14:textId="77777777" w:rsidR="00756600" w:rsidRPr="009475AF" w:rsidRDefault="00756600" w:rsidP="001A1787">
            <w:pPr>
              <w:pStyle w:val="PBACTableText"/>
              <w:spacing w:before="0" w:after="0"/>
              <w:rPr>
                <w:color w:val="212121"/>
              </w:rPr>
            </w:pPr>
            <w:r w:rsidRPr="009475AF">
              <w:t>2020</w:t>
            </w:r>
          </w:p>
        </w:tc>
        <w:tc>
          <w:tcPr>
            <w:tcW w:w="1162" w:type="pct"/>
            <w:noWrap/>
            <w:tcMar>
              <w:top w:w="0" w:type="dxa"/>
              <w:left w:w="108" w:type="dxa"/>
              <w:bottom w:w="0" w:type="dxa"/>
              <w:right w:w="108" w:type="dxa"/>
            </w:tcMar>
            <w:vAlign w:val="bottom"/>
            <w:hideMark/>
          </w:tcPr>
          <w:p w14:paraId="68E66F4A" w14:textId="1BB74C24"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6B486849" w14:textId="0382DEA8"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53D5A2C4" w14:textId="5E637350"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0725750F" w14:textId="77777777" w:rsidTr="001A1787">
        <w:trPr>
          <w:trHeight w:val="227"/>
        </w:trPr>
        <w:tc>
          <w:tcPr>
            <w:tcW w:w="700" w:type="pct"/>
            <w:noWrap/>
            <w:tcMar>
              <w:top w:w="0" w:type="dxa"/>
              <w:left w:w="108" w:type="dxa"/>
              <w:bottom w:w="0" w:type="dxa"/>
              <w:right w:w="108" w:type="dxa"/>
            </w:tcMar>
            <w:vAlign w:val="bottom"/>
            <w:hideMark/>
          </w:tcPr>
          <w:p w14:paraId="2A72F92A" w14:textId="77777777" w:rsidR="00756600" w:rsidRPr="009475AF" w:rsidRDefault="00756600" w:rsidP="001A1787">
            <w:pPr>
              <w:pStyle w:val="PBACTableText"/>
              <w:spacing w:before="0" w:after="0"/>
              <w:rPr>
                <w:color w:val="212121"/>
              </w:rPr>
            </w:pPr>
            <w:r w:rsidRPr="009475AF">
              <w:t>2021</w:t>
            </w:r>
          </w:p>
        </w:tc>
        <w:tc>
          <w:tcPr>
            <w:tcW w:w="1162" w:type="pct"/>
            <w:noWrap/>
            <w:tcMar>
              <w:top w:w="0" w:type="dxa"/>
              <w:left w:w="108" w:type="dxa"/>
              <w:bottom w:w="0" w:type="dxa"/>
              <w:right w:w="108" w:type="dxa"/>
            </w:tcMar>
            <w:vAlign w:val="bottom"/>
            <w:hideMark/>
          </w:tcPr>
          <w:p w14:paraId="17CD93CE" w14:textId="4510310D"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6D5930" w:rsidRPr="006D5930">
              <w:rPr>
                <w:vertAlign w:val="superscript"/>
              </w:rPr>
              <w:t>2</w:t>
            </w:r>
          </w:p>
        </w:tc>
        <w:tc>
          <w:tcPr>
            <w:tcW w:w="1534" w:type="pct"/>
            <w:noWrap/>
            <w:tcMar>
              <w:top w:w="0" w:type="dxa"/>
              <w:left w:w="108" w:type="dxa"/>
              <w:bottom w:w="0" w:type="dxa"/>
              <w:right w:w="108" w:type="dxa"/>
            </w:tcMar>
            <w:vAlign w:val="bottom"/>
            <w:hideMark/>
          </w:tcPr>
          <w:p w14:paraId="44AC0D9E" w14:textId="66BB1C4B"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179340B1" w14:textId="07831DCF"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7B935F20" w14:textId="77777777" w:rsidTr="001A1787">
        <w:trPr>
          <w:trHeight w:val="227"/>
        </w:trPr>
        <w:tc>
          <w:tcPr>
            <w:tcW w:w="700" w:type="pct"/>
            <w:noWrap/>
            <w:tcMar>
              <w:top w:w="0" w:type="dxa"/>
              <w:left w:w="108" w:type="dxa"/>
              <w:bottom w:w="0" w:type="dxa"/>
              <w:right w:w="108" w:type="dxa"/>
            </w:tcMar>
            <w:vAlign w:val="bottom"/>
            <w:hideMark/>
          </w:tcPr>
          <w:p w14:paraId="4308811D" w14:textId="77777777" w:rsidR="00756600" w:rsidRPr="009475AF" w:rsidRDefault="00756600" w:rsidP="001A1787">
            <w:pPr>
              <w:pStyle w:val="PBACTableText"/>
              <w:spacing w:before="0" w:after="0"/>
              <w:rPr>
                <w:color w:val="212121"/>
              </w:rPr>
            </w:pPr>
            <w:r w:rsidRPr="009475AF">
              <w:t>2022</w:t>
            </w:r>
          </w:p>
        </w:tc>
        <w:tc>
          <w:tcPr>
            <w:tcW w:w="1162" w:type="pct"/>
            <w:noWrap/>
            <w:tcMar>
              <w:top w:w="0" w:type="dxa"/>
              <w:left w:w="108" w:type="dxa"/>
              <w:bottom w:w="0" w:type="dxa"/>
              <w:right w:w="108" w:type="dxa"/>
            </w:tcMar>
            <w:vAlign w:val="bottom"/>
            <w:hideMark/>
          </w:tcPr>
          <w:p w14:paraId="384E0602" w14:textId="1556168A"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244957B7" w14:textId="2AB83D18"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2CB6CAEB" w14:textId="410ACD2D"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r w:rsidR="00756600" w:rsidRPr="009475AF" w14:paraId="471F3B25" w14:textId="77777777" w:rsidTr="001A1787">
        <w:trPr>
          <w:trHeight w:val="227"/>
        </w:trPr>
        <w:tc>
          <w:tcPr>
            <w:tcW w:w="700" w:type="pct"/>
            <w:noWrap/>
            <w:tcMar>
              <w:top w:w="0" w:type="dxa"/>
              <w:left w:w="108" w:type="dxa"/>
              <w:bottom w:w="0" w:type="dxa"/>
              <w:right w:w="108" w:type="dxa"/>
            </w:tcMar>
            <w:vAlign w:val="bottom"/>
            <w:hideMark/>
          </w:tcPr>
          <w:p w14:paraId="5FB552F2" w14:textId="77777777" w:rsidR="00756600" w:rsidRPr="009475AF" w:rsidRDefault="00756600" w:rsidP="001A1787">
            <w:pPr>
              <w:pStyle w:val="PBACTableText"/>
              <w:spacing w:before="0" w:after="0"/>
              <w:rPr>
                <w:color w:val="212121"/>
              </w:rPr>
            </w:pPr>
            <w:r w:rsidRPr="009475AF">
              <w:t>2023</w:t>
            </w:r>
          </w:p>
        </w:tc>
        <w:tc>
          <w:tcPr>
            <w:tcW w:w="1162" w:type="pct"/>
            <w:noWrap/>
            <w:tcMar>
              <w:top w:w="0" w:type="dxa"/>
              <w:left w:w="108" w:type="dxa"/>
              <w:bottom w:w="0" w:type="dxa"/>
              <w:right w:w="108" w:type="dxa"/>
            </w:tcMar>
            <w:vAlign w:val="bottom"/>
            <w:hideMark/>
          </w:tcPr>
          <w:p w14:paraId="4A3C0593" w14:textId="4C8EFBCC"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534" w:type="pct"/>
            <w:noWrap/>
            <w:tcMar>
              <w:top w:w="0" w:type="dxa"/>
              <w:left w:w="108" w:type="dxa"/>
              <w:bottom w:w="0" w:type="dxa"/>
              <w:right w:w="108" w:type="dxa"/>
            </w:tcMar>
            <w:vAlign w:val="bottom"/>
            <w:hideMark/>
          </w:tcPr>
          <w:p w14:paraId="7BAEB54F" w14:textId="146FDB4E"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c>
          <w:tcPr>
            <w:tcW w:w="1604" w:type="pct"/>
            <w:noWrap/>
            <w:tcMar>
              <w:top w:w="0" w:type="dxa"/>
              <w:left w:w="108" w:type="dxa"/>
              <w:bottom w:w="0" w:type="dxa"/>
              <w:right w:w="108" w:type="dxa"/>
            </w:tcMar>
            <w:vAlign w:val="bottom"/>
            <w:hideMark/>
          </w:tcPr>
          <w:p w14:paraId="786EA0E4" w14:textId="70235BFD" w:rsidR="00756600" w:rsidRPr="00F01DDA" w:rsidRDefault="00CE7646" w:rsidP="001A1787">
            <w:pPr>
              <w:pStyle w:val="PBACTableText"/>
              <w:spacing w:before="0" w:after="0"/>
              <w:jc w:val="center"/>
              <w:rPr>
                <w:color w:val="212121"/>
                <w:highlight w:val="lightGray"/>
              </w:rPr>
            </w:pPr>
            <w:r w:rsidRPr="00CE7646">
              <w:rPr>
                <w:color w:val="000000"/>
                <w:shd w:val="solid" w:color="000000" w:fill="000000"/>
                <w14:textFill>
                  <w14:solidFill>
                    <w14:srgbClr w14:val="000000">
                      <w14:alpha w14:val="100000"/>
                    </w14:srgbClr>
                  </w14:solidFill>
                </w14:textFill>
              </w:rPr>
              <w:t>|</w:t>
            </w:r>
            <w:r w:rsidR="007819D9" w:rsidRPr="007819D9">
              <w:rPr>
                <w:vertAlign w:val="superscript"/>
              </w:rPr>
              <w:t>1</w:t>
            </w:r>
          </w:p>
        </w:tc>
      </w:tr>
    </w:tbl>
    <w:p w14:paraId="3D119B40" w14:textId="77777777" w:rsidR="007819D9" w:rsidRPr="001A1787" w:rsidRDefault="007819D9" w:rsidP="007819D9">
      <w:pPr>
        <w:jc w:val="left"/>
        <w:rPr>
          <w:rFonts w:ascii="Arial Narrow" w:hAnsi="Arial Narrow" w:cstheme="minorHAnsi"/>
          <w:bCs/>
          <w:i/>
          <w:iCs/>
          <w:sz w:val="18"/>
          <w:szCs w:val="18"/>
        </w:rPr>
      </w:pPr>
      <w:r w:rsidRPr="001A1787">
        <w:rPr>
          <w:rFonts w:ascii="Arial Narrow" w:hAnsi="Arial Narrow" w:cstheme="minorHAnsi"/>
          <w:bCs/>
          <w:i/>
          <w:iCs/>
          <w:sz w:val="18"/>
          <w:szCs w:val="18"/>
        </w:rPr>
        <w:t xml:space="preserve">The redacted values correspond to the following ranges: </w:t>
      </w:r>
    </w:p>
    <w:p w14:paraId="677DBB24" w14:textId="524E0829" w:rsidR="007819D9" w:rsidRPr="001A1787" w:rsidRDefault="007819D9" w:rsidP="007819D9">
      <w:pPr>
        <w:jc w:val="left"/>
        <w:rPr>
          <w:rFonts w:ascii="Arial Narrow" w:hAnsi="Arial Narrow" w:cstheme="minorHAnsi"/>
          <w:bCs/>
          <w:i/>
          <w:iCs/>
          <w:sz w:val="18"/>
          <w:szCs w:val="18"/>
        </w:rPr>
      </w:pPr>
      <w:r w:rsidRPr="001A1787">
        <w:rPr>
          <w:rFonts w:ascii="Arial Narrow" w:hAnsi="Arial Narrow" w:cstheme="minorHAnsi"/>
          <w:bCs/>
          <w:i/>
          <w:iCs/>
          <w:sz w:val="18"/>
          <w:szCs w:val="18"/>
          <w:vertAlign w:val="superscript"/>
        </w:rPr>
        <w:t>1</w:t>
      </w:r>
      <w:r w:rsidRPr="001A1787">
        <w:rPr>
          <w:rFonts w:ascii="Arial Narrow" w:hAnsi="Arial Narrow" w:cstheme="minorHAnsi"/>
          <w:bCs/>
          <w:i/>
          <w:iCs/>
          <w:sz w:val="18"/>
          <w:szCs w:val="18"/>
        </w:rPr>
        <w:t xml:space="preserve"> </w:t>
      </w:r>
      <w:r w:rsidR="006D5930" w:rsidRPr="001A1787">
        <w:rPr>
          <w:rFonts w:ascii="Arial Narrow" w:hAnsi="Arial Narrow" w:cstheme="minorHAnsi"/>
          <w:bCs/>
          <w:i/>
          <w:iCs/>
          <w:sz w:val="18"/>
          <w:szCs w:val="18"/>
        </w:rPr>
        <w:t>&lt; 500</w:t>
      </w:r>
    </w:p>
    <w:p w14:paraId="38337A17" w14:textId="77777777" w:rsidR="00213940" w:rsidRPr="00213940" w:rsidRDefault="006D5930" w:rsidP="001A1787">
      <w:pPr>
        <w:spacing w:after="120"/>
        <w:jc w:val="left"/>
      </w:pPr>
      <w:r w:rsidRPr="001A1787">
        <w:rPr>
          <w:rFonts w:ascii="Arial Narrow" w:hAnsi="Arial Narrow" w:cstheme="minorHAnsi"/>
          <w:bCs/>
          <w:i/>
          <w:iCs/>
          <w:sz w:val="18"/>
          <w:szCs w:val="18"/>
          <w:vertAlign w:val="superscript"/>
        </w:rPr>
        <w:t>2</w:t>
      </w:r>
      <w:r w:rsidR="001A1787">
        <w:rPr>
          <w:rFonts w:ascii="Arial Narrow" w:hAnsi="Arial Narrow" w:cstheme="minorHAnsi"/>
          <w:bCs/>
          <w:i/>
          <w:iCs/>
          <w:sz w:val="18"/>
          <w:szCs w:val="18"/>
          <w:vertAlign w:val="superscript"/>
        </w:rPr>
        <w:t xml:space="preserve"> </w:t>
      </w:r>
      <w:r w:rsidRPr="001A1787">
        <w:rPr>
          <w:rFonts w:ascii="Arial Narrow" w:hAnsi="Arial Narrow" w:cstheme="minorHAnsi"/>
          <w:bCs/>
          <w:i/>
          <w:iCs/>
          <w:sz w:val="18"/>
          <w:szCs w:val="18"/>
        </w:rPr>
        <w:t>500 to &lt; 5,000</w:t>
      </w:r>
    </w:p>
    <w:p w14:paraId="54032B31" w14:textId="2817E831" w:rsidR="001423EE" w:rsidRPr="009475AF" w:rsidRDefault="00756600" w:rsidP="00756600">
      <w:pPr>
        <w:pStyle w:val="3-BodyText"/>
      </w:pPr>
      <w:r w:rsidRPr="009475AF">
        <w:rPr>
          <w:iCs/>
        </w:rPr>
        <w:t xml:space="preserve">The </w:t>
      </w:r>
      <w:r w:rsidR="00F41117" w:rsidRPr="009475AF">
        <w:rPr>
          <w:iCs/>
        </w:rPr>
        <w:t>ESC noted</w:t>
      </w:r>
      <w:r w:rsidR="00F41117" w:rsidRPr="009475AF">
        <w:t xml:space="preserve"> that the </w:t>
      </w:r>
      <w:r w:rsidRPr="009475AF">
        <w:t xml:space="preserve">estimate in the submission of the total market size </w:t>
      </w:r>
      <w:r w:rsidR="00C82411" w:rsidRPr="009475AF">
        <w:t xml:space="preserve">(for omalizumab alone) </w:t>
      </w:r>
      <w:r w:rsidRPr="009475AF">
        <w:t xml:space="preserve">appears to be a substantial overestimate </w:t>
      </w:r>
      <w:r w:rsidR="001423EE" w:rsidRPr="009475AF">
        <w:t xml:space="preserve">(i.e., </w:t>
      </w:r>
      <w:r w:rsidR="007721B9" w:rsidRPr="007721B9">
        <w:t>&lt; 500</w:t>
      </w:r>
      <w:r w:rsidR="007721B9">
        <w:t xml:space="preserve"> </w:t>
      </w:r>
      <w:r w:rsidR="001423EE" w:rsidRPr="009475AF">
        <w:t xml:space="preserve">scripts dispensed in 2023 vs estimated </w:t>
      </w:r>
      <w:r w:rsidR="007721B9" w:rsidRPr="007721B9">
        <w:t>500 to &lt; 5,000</w:t>
      </w:r>
      <w:r w:rsidR="001423EE" w:rsidRPr="009475AF">
        <w:t xml:space="preserve"> in Year 1) </w:t>
      </w:r>
      <w:r w:rsidRPr="009475AF">
        <w:t xml:space="preserve">and may be due to patients </w:t>
      </w:r>
      <w:r w:rsidR="00306D91" w:rsidRPr="009475AF">
        <w:t xml:space="preserve">12 years and </w:t>
      </w:r>
      <w:r w:rsidRPr="009475AF">
        <w:t>over receiving prescriptions that are coded incorrectly</w:t>
      </w:r>
      <w:r w:rsidR="009475AF">
        <w:t xml:space="preserve">. </w:t>
      </w:r>
    </w:p>
    <w:p w14:paraId="18768D35" w14:textId="19D75C77" w:rsidR="00756600" w:rsidRPr="009475AF" w:rsidRDefault="00756600" w:rsidP="00756600">
      <w:pPr>
        <w:pStyle w:val="3-BodyText"/>
      </w:pPr>
      <w:r w:rsidRPr="009475AF">
        <w:rPr>
          <w:iCs/>
        </w:rPr>
        <w:t xml:space="preserve">The </w:t>
      </w:r>
      <w:r w:rsidR="00732005" w:rsidRPr="009475AF">
        <w:rPr>
          <w:iCs/>
        </w:rPr>
        <w:t>ESC noted</w:t>
      </w:r>
      <w:r w:rsidR="00732005" w:rsidRPr="009475AF">
        <w:t xml:space="preserve"> </w:t>
      </w:r>
      <w:r w:rsidR="00732005" w:rsidRPr="009475AF">
        <w:rPr>
          <w:iCs/>
        </w:rPr>
        <w:t xml:space="preserve">that the </w:t>
      </w:r>
      <w:r w:rsidRPr="009475AF">
        <w:rPr>
          <w:iCs/>
        </w:rPr>
        <w:t>proportion of the existing market share (50%) estimated to be taken by dupilumab may be reasonable</w:t>
      </w:r>
      <w:r w:rsidR="00E0520C" w:rsidRPr="009475AF">
        <w:rPr>
          <w:iCs/>
        </w:rPr>
        <w:t>,</w:t>
      </w:r>
      <w:r w:rsidRPr="009475AF">
        <w:rPr>
          <w:iCs/>
        </w:rPr>
        <w:t xml:space="preserve"> but if the restriction is based on the</w:t>
      </w:r>
      <w:r w:rsidR="000A646A" w:rsidRPr="009475AF">
        <w:rPr>
          <w:iCs/>
        </w:rPr>
        <w:t xml:space="preserve"> dupilumab</w:t>
      </w:r>
      <w:r w:rsidRPr="009475AF">
        <w:rPr>
          <w:iCs/>
        </w:rPr>
        <w:t xml:space="preserve"> trial population </w:t>
      </w:r>
      <w:r w:rsidR="00BE2BF5" w:rsidRPr="009475AF">
        <w:rPr>
          <w:iCs/>
        </w:rPr>
        <w:t>i.e.,</w:t>
      </w:r>
      <w:r w:rsidR="002B0072" w:rsidRPr="009475AF">
        <w:rPr>
          <w:iCs/>
        </w:rPr>
        <w:t xml:space="preserve"> </w:t>
      </w:r>
      <w:r w:rsidRPr="009475AF">
        <w:rPr>
          <w:iCs/>
        </w:rPr>
        <w:t xml:space="preserve">high IgE and Type 2 inflammation, the total market </w:t>
      </w:r>
      <w:r w:rsidR="003774BA" w:rsidRPr="009475AF">
        <w:rPr>
          <w:iCs/>
        </w:rPr>
        <w:t xml:space="preserve">would be </w:t>
      </w:r>
      <w:r w:rsidRPr="009475AF">
        <w:rPr>
          <w:iCs/>
        </w:rPr>
        <w:t>approximately 85% of the existing population</w:t>
      </w:r>
      <w:r w:rsidR="00CB2CFD" w:rsidRPr="009475AF">
        <w:rPr>
          <w:iCs/>
        </w:rPr>
        <w:t xml:space="preserve">) as approximately 15% of patients in the trial did not have this asthma phenotype. </w:t>
      </w:r>
      <w:r w:rsidRPr="009475AF">
        <w:rPr>
          <w:iCs/>
        </w:rPr>
        <w:t>However</w:t>
      </w:r>
      <w:r w:rsidR="002E0904" w:rsidRPr="009475AF">
        <w:rPr>
          <w:iCs/>
        </w:rPr>
        <w:t xml:space="preserve">, </w:t>
      </w:r>
      <w:r w:rsidR="00FD5123" w:rsidRPr="009475AF">
        <w:rPr>
          <w:iCs/>
        </w:rPr>
        <w:t xml:space="preserve">the ESC considered </w:t>
      </w:r>
      <w:r w:rsidR="002E0904" w:rsidRPr="009475AF">
        <w:rPr>
          <w:iCs/>
        </w:rPr>
        <w:t>the ease of use of dupilumab compared to omalizumab could result in an expansion of the total existing market as well</w:t>
      </w:r>
      <w:r w:rsidR="00CB2CFD" w:rsidRPr="009475AF">
        <w:rPr>
          <w:iCs/>
        </w:rPr>
        <w:t xml:space="preserve"> a larger market share</w:t>
      </w:r>
      <w:r w:rsidR="009475AF">
        <w:rPr>
          <w:iCs/>
        </w:rPr>
        <w:t xml:space="preserve">. </w:t>
      </w:r>
    </w:p>
    <w:p w14:paraId="40D34707" w14:textId="3F35D0B2" w:rsidR="00732005" w:rsidRPr="009475AF" w:rsidRDefault="00732005" w:rsidP="00756600">
      <w:pPr>
        <w:pStyle w:val="3-BodyText"/>
      </w:pPr>
      <w:r w:rsidRPr="009475AF">
        <w:rPr>
          <w:iCs/>
        </w:rPr>
        <w:t>The ESC considered that there may be treatment overlap with children who are eligible to receive dupilumab for atopic dermatitis</w:t>
      </w:r>
      <w:r w:rsidR="00E95321">
        <w:rPr>
          <w:iCs/>
        </w:rPr>
        <w:t>,</w:t>
      </w:r>
      <w:r w:rsidR="00E95321" w:rsidRPr="00E95321">
        <w:t xml:space="preserve"> </w:t>
      </w:r>
      <w:r w:rsidR="00E95321">
        <w:t xml:space="preserve">once </w:t>
      </w:r>
      <w:r w:rsidR="00E95321" w:rsidRPr="00E95321">
        <w:rPr>
          <w:iCs/>
        </w:rPr>
        <w:t xml:space="preserve">the recommendation for patients aged 6 to 11 years from the March 2022 PBAC meeting </w:t>
      </w:r>
      <w:r w:rsidR="00E95321">
        <w:rPr>
          <w:iCs/>
        </w:rPr>
        <w:t>is</w:t>
      </w:r>
      <w:r w:rsidR="00E95321" w:rsidRPr="00E95321">
        <w:rPr>
          <w:iCs/>
        </w:rPr>
        <w:t xml:space="preserve"> implemented</w:t>
      </w:r>
      <w:r w:rsidRPr="009475AF">
        <w:rPr>
          <w:iCs/>
        </w:rPr>
        <w:t>.</w:t>
      </w:r>
    </w:p>
    <w:p w14:paraId="37D38781" w14:textId="2AA85CBD" w:rsidR="00FE1901" w:rsidRPr="009475AF" w:rsidRDefault="00FE1901" w:rsidP="00FE1901">
      <w:pPr>
        <w:pStyle w:val="3-BodyText"/>
      </w:pPr>
      <w:r w:rsidRPr="009475AF">
        <w:t>Given the uncertainty about the market size, and noting that tiotropium is a potential alternative comparator, the DUSC Secretariat also extracted data for patient numbers and prescriptions</w:t>
      </w:r>
      <w:r w:rsidR="004354F6" w:rsidRPr="009475AF">
        <w:t xml:space="preserve"> for tiotropium</w:t>
      </w:r>
      <w:r w:rsidRPr="009475AF">
        <w:t xml:space="preserve"> supplied to patients aged 0-11 years for the period 2018-2023. The item codes used were 11892X, 11629C, 11043F, 10509D, 08626B. </w:t>
      </w:r>
      <w:r w:rsidR="00F866CD" w:rsidRPr="009475AF">
        <w:t>Dat</w:t>
      </w:r>
      <w:r w:rsidR="004354F6" w:rsidRPr="009475AF">
        <w:t>a</w:t>
      </w:r>
      <w:r w:rsidR="00F866CD" w:rsidRPr="009475AF">
        <w:t xml:space="preserve"> were extracted on 18 January 2024</w:t>
      </w:r>
      <w:r w:rsidR="004354F6" w:rsidRPr="009475AF">
        <w:t xml:space="preserve"> and </w:t>
      </w:r>
      <w:r w:rsidRPr="009475AF">
        <w:t xml:space="preserve">are shown in </w:t>
      </w:r>
      <w:r w:rsidR="00F866CD" w:rsidRPr="009475AF">
        <w:fldChar w:fldCharType="begin" w:fldLock="1"/>
      </w:r>
      <w:r w:rsidR="00F866CD" w:rsidRPr="009475AF">
        <w:instrText xml:space="preserve"> REF _Ref156552116 \h  \* MERGEFORMAT </w:instrText>
      </w:r>
      <w:r w:rsidR="00F866CD" w:rsidRPr="009475AF">
        <w:fldChar w:fldCharType="separate"/>
      </w:r>
      <w:r w:rsidR="00F866CD" w:rsidRPr="009475AF">
        <w:t>Table 13</w:t>
      </w:r>
      <w:r w:rsidR="00F866CD" w:rsidRPr="009475AF">
        <w:fldChar w:fldCharType="end"/>
      </w:r>
      <w:r w:rsidR="004354F6" w:rsidRPr="009475AF">
        <w:t>.</w:t>
      </w:r>
      <w:r w:rsidRPr="009475AF">
        <w:t xml:space="preserve"> </w:t>
      </w:r>
    </w:p>
    <w:p w14:paraId="004CF8A4" w14:textId="31DB5D5B" w:rsidR="00FE1901" w:rsidRPr="009475AF" w:rsidRDefault="00F866CD" w:rsidP="00F866CD">
      <w:pPr>
        <w:pStyle w:val="Caption"/>
      </w:pPr>
      <w:bookmarkStart w:id="53" w:name="_Ref156552116"/>
      <w:r w:rsidRPr="009475AF">
        <w:t xml:space="preserve">Table </w:t>
      </w:r>
      <w:r w:rsidR="00696736">
        <w:fldChar w:fldCharType="begin" w:fldLock="1"/>
      </w:r>
      <w:r w:rsidR="00696736">
        <w:instrText xml:space="preserve"> SEQ Table \* ARABIC </w:instrText>
      </w:r>
      <w:r w:rsidR="00696736">
        <w:fldChar w:fldCharType="separate"/>
      </w:r>
      <w:r w:rsidRPr="009475AF">
        <w:t>13</w:t>
      </w:r>
      <w:r w:rsidR="00696736">
        <w:fldChar w:fldCharType="end"/>
      </w:r>
      <w:bookmarkEnd w:id="53"/>
      <w:r w:rsidRPr="009475AF">
        <w:t>: Utilisation of tiotropium in patients aged 0-11 years</w:t>
      </w:r>
    </w:p>
    <w:tbl>
      <w:tblPr>
        <w:tblStyle w:val="TableGrid"/>
        <w:tblW w:w="9016" w:type="dxa"/>
        <w:tblLook w:val="04A0" w:firstRow="1" w:lastRow="0" w:firstColumn="1" w:lastColumn="0" w:noHBand="0" w:noVBand="1"/>
        <w:tblCaption w:val="Table 13: Utilisation of tiotropium in patients aged 0-11 years"/>
      </w:tblPr>
      <w:tblGrid>
        <w:gridCol w:w="2254"/>
        <w:gridCol w:w="2254"/>
        <w:gridCol w:w="2254"/>
        <w:gridCol w:w="2254"/>
      </w:tblGrid>
      <w:tr w:rsidR="00FE1901" w:rsidRPr="003B3F8F" w14:paraId="6D504DC5" w14:textId="77777777" w:rsidTr="003B3F8F">
        <w:trPr>
          <w:trHeight w:val="227"/>
        </w:trPr>
        <w:tc>
          <w:tcPr>
            <w:tcW w:w="2254" w:type="dxa"/>
            <w:vAlign w:val="bottom"/>
          </w:tcPr>
          <w:p w14:paraId="79680279" w14:textId="2F63124B" w:rsidR="00FE1901" w:rsidRPr="003B3F8F" w:rsidRDefault="005B0195" w:rsidP="003B3F8F">
            <w:pPr>
              <w:pStyle w:val="PBACTableText"/>
              <w:spacing w:before="0" w:after="0"/>
              <w:rPr>
                <w:b/>
                <w:bCs/>
                <w:color w:val="212121"/>
              </w:rPr>
            </w:pPr>
            <w:r w:rsidRPr="003B3F8F">
              <w:rPr>
                <w:b/>
                <w:bCs/>
                <w:color w:val="212121"/>
              </w:rPr>
              <w:t>Y</w:t>
            </w:r>
            <w:r w:rsidR="00FE1901" w:rsidRPr="003B3F8F">
              <w:rPr>
                <w:b/>
                <w:bCs/>
                <w:color w:val="212121"/>
              </w:rPr>
              <w:t>ear</w:t>
            </w:r>
          </w:p>
        </w:tc>
        <w:tc>
          <w:tcPr>
            <w:tcW w:w="2254" w:type="dxa"/>
          </w:tcPr>
          <w:p w14:paraId="2633C6E2" w14:textId="6DDD3630" w:rsidR="00FE1901" w:rsidRPr="003B3F8F" w:rsidRDefault="00FE1901" w:rsidP="003B3F8F">
            <w:pPr>
              <w:pStyle w:val="PBACTableText"/>
              <w:spacing w:before="0" w:after="0"/>
              <w:rPr>
                <w:b/>
                <w:bCs/>
                <w:color w:val="212121"/>
              </w:rPr>
            </w:pPr>
            <w:r w:rsidRPr="003B3F8F">
              <w:rPr>
                <w:b/>
                <w:bCs/>
                <w:color w:val="212121"/>
              </w:rPr>
              <w:t>A</w:t>
            </w:r>
            <w:r w:rsidR="009475AF" w:rsidRPr="003B3F8F">
              <w:rPr>
                <w:b/>
                <w:bCs/>
                <w:color w:val="212121"/>
              </w:rPr>
              <w:t>ge</w:t>
            </w:r>
            <w:r w:rsidRPr="003B3F8F">
              <w:rPr>
                <w:b/>
                <w:bCs/>
                <w:color w:val="212121"/>
              </w:rPr>
              <w:t xml:space="preserve"> </w:t>
            </w:r>
            <w:r w:rsidR="00297E6E" w:rsidRPr="003B3F8F">
              <w:rPr>
                <w:b/>
                <w:bCs/>
                <w:color w:val="212121"/>
              </w:rPr>
              <w:t>r</w:t>
            </w:r>
            <w:r w:rsidR="009475AF" w:rsidRPr="003B3F8F">
              <w:rPr>
                <w:b/>
                <w:bCs/>
                <w:color w:val="212121"/>
              </w:rPr>
              <w:t>ange</w:t>
            </w:r>
            <w:r w:rsidR="00297E6E" w:rsidRPr="003B3F8F">
              <w:rPr>
                <w:b/>
                <w:bCs/>
                <w:color w:val="212121"/>
              </w:rPr>
              <w:t xml:space="preserve"> (years)</w:t>
            </w:r>
          </w:p>
        </w:tc>
        <w:tc>
          <w:tcPr>
            <w:tcW w:w="2254" w:type="dxa"/>
          </w:tcPr>
          <w:p w14:paraId="2B61875F" w14:textId="5ADA8A10" w:rsidR="00FE1901" w:rsidRPr="003B3F8F" w:rsidRDefault="00E4443A" w:rsidP="003B3F8F">
            <w:pPr>
              <w:pStyle w:val="PBACTableText"/>
              <w:spacing w:before="0" w:after="0"/>
              <w:rPr>
                <w:b/>
                <w:bCs/>
                <w:color w:val="212121"/>
              </w:rPr>
            </w:pPr>
            <w:r w:rsidRPr="003B3F8F">
              <w:rPr>
                <w:b/>
                <w:bCs/>
                <w:color w:val="212121"/>
              </w:rPr>
              <w:t>Patient count</w:t>
            </w:r>
          </w:p>
        </w:tc>
        <w:tc>
          <w:tcPr>
            <w:tcW w:w="2254" w:type="dxa"/>
          </w:tcPr>
          <w:p w14:paraId="579314FD" w14:textId="7F970FB6" w:rsidR="00FE1901" w:rsidRPr="003B3F8F" w:rsidRDefault="009475AF" w:rsidP="003B3F8F">
            <w:pPr>
              <w:pStyle w:val="PBACTableText"/>
              <w:spacing w:before="0" w:after="0"/>
              <w:rPr>
                <w:b/>
                <w:bCs/>
                <w:color w:val="212121"/>
              </w:rPr>
            </w:pPr>
            <w:r w:rsidRPr="003B3F8F">
              <w:rPr>
                <w:b/>
                <w:bCs/>
                <w:color w:val="212121"/>
              </w:rPr>
              <w:t>Prescription count</w:t>
            </w:r>
          </w:p>
        </w:tc>
      </w:tr>
      <w:tr w:rsidR="003B3F8F" w:rsidRPr="009475AF" w14:paraId="70CBAA04" w14:textId="77777777" w:rsidTr="003B3F8F">
        <w:trPr>
          <w:trHeight w:val="227"/>
        </w:trPr>
        <w:tc>
          <w:tcPr>
            <w:tcW w:w="2254" w:type="dxa"/>
          </w:tcPr>
          <w:p w14:paraId="48BCEE94" w14:textId="0BECB464" w:rsidR="003B3F8F" w:rsidRPr="003B3F8F" w:rsidRDefault="003B3F8F" w:rsidP="003B3F8F">
            <w:pPr>
              <w:pStyle w:val="PBACTableText"/>
              <w:spacing w:before="0" w:after="0"/>
              <w:rPr>
                <w:color w:val="212121"/>
              </w:rPr>
            </w:pPr>
            <w:r w:rsidRPr="003B3F8F">
              <w:rPr>
                <w:color w:val="212121"/>
              </w:rPr>
              <w:t>2018</w:t>
            </w:r>
          </w:p>
        </w:tc>
        <w:tc>
          <w:tcPr>
            <w:tcW w:w="2254" w:type="dxa"/>
          </w:tcPr>
          <w:p w14:paraId="131980E8" w14:textId="5FECF765" w:rsidR="003B3F8F" w:rsidRPr="003B3F8F" w:rsidRDefault="003B3F8F" w:rsidP="003B3F8F">
            <w:pPr>
              <w:pStyle w:val="PBACTableText"/>
              <w:spacing w:before="0" w:after="0"/>
              <w:rPr>
                <w:color w:val="212121"/>
              </w:rPr>
            </w:pPr>
            <w:r w:rsidRPr="003B3F8F">
              <w:rPr>
                <w:color w:val="212121"/>
              </w:rPr>
              <w:t>0-11</w:t>
            </w:r>
          </w:p>
        </w:tc>
        <w:tc>
          <w:tcPr>
            <w:tcW w:w="2254" w:type="dxa"/>
          </w:tcPr>
          <w:p w14:paraId="5472EF4A" w14:textId="4E811E9B"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89"/>
                <w14:textFill>
                  <w14:solidFill>
                    <w14:srgbClr w14:val="191919">
                      <w14:alpha w14:val="100000"/>
                    </w14:srgbClr>
                  </w14:solidFill>
                </w14:textFill>
              </w:rPr>
              <w:t>|||</w:t>
            </w:r>
            <w:r w:rsidRPr="00CE7646">
              <w:rPr>
                <w:rFonts w:cs="Calibri"/>
                <w:color w:val="191919"/>
                <w:spacing w:val="1"/>
                <w:shd w:val="solid" w:color="000000" w:fill="000000"/>
                <w:fitText w:val="330" w:id="-962338289"/>
                <w14:textFill>
                  <w14:solidFill>
                    <w14:srgbClr w14:val="191919">
                      <w14:alpha w14:val="100000"/>
                    </w14:srgbClr>
                  </w14:solidFill>
                </w14:textFill>
              </w:rPr>
              <w:t>|</w:t>
            </w:r>
            <w:r w:rsidR="003B3F8F" w:rsidRPr="007819D9">
              <w:rPr>
                <w:vertAlign w:val="superscript"/>
              </w:rPr>
              <w:t>1</w:t>
            </w:r>
          </w:p>
        </w:tc>
        <w:tc>
          <w:tcPr>
            <w:tcW w:w="2254" w:type="dxa"/>
          </w:tcPr>
          <w:p w14:paraId="5852CDC3" w14:textId="39707859"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88"/>
                <w14:textFill>
                  <w14:solidFill>
                    <w14:srgbClr w14:val="191919">
                      <w14:alpha w14:val="100000"/>
                    </w14:srgbClr>
                  </w14:solidFill>
                </w14:textFill>
              </w:rPr>
              <w:t>|||</w:t>
            </w:r>
            <w:r w:rsidRPr="00CE7646">
              <w:rPr>
                <w:rFonts w:cs="Calibri"/>
                <w:color w:val="191919"/>
                <w:spacing w:val="1"/>
                <w:shd w:val="solid" w:color="000000" w:fill="000000"/>
                <w:fitText w:val="330" w:id="-962338288"/>
                <w14:textFill>
                  <w14:solidFill>
                    <w14:srgbClr w14:val="191919">
                      <w14:alpha w14:val="100000"/>
                    </w14:srgbClr>
                  </w14:solidFill>
                </w14:textFill>
              </w:rPr>
              <w:t>|</w:t>
            </w:r>
            <w:r w:rsidR="003B3F8F" w:rsidRPr="007819D9">
              <w:rPr>
                <w:vertAlign w:val="superscript"/>
              </w:rPr>
              <w:t>1</w:t>
            </w:r>
          </w:p>
        </w:tc>
      </w:tr>
      <w:tr w:rsidR="003B3F8F" w:rsidRPr="009475AF" w14:paraId="0F1E2A10" w14:textId="77777777" w:rsidTr="003B3F8F">
        <w:trPr>
          <w:trHeight w:val="227"/>
        </w:trPr>
        <w:tc>
          <w:tcPr>
            <w:tcW w:w="2254" w:type="dxa"/>
          </w:tcPr>
          <w:p w14:paraId="26323B7A" w14:textId="32A61114" w:rsidR="003B3F8F" w:rsidRPr="003B3F8F" w:rsidRDefault="003B3F8F" w:rsidP="003B3F8F">
            <w:pPr>
              <w:pStyle w:val="PBACTableText"/>
              <w:spacing w:before="0" w:after="0"/>
              <w:rPr>
                <w:color w:val="212121"/>
              </w:rPr>
            </w:pPr>
            <w:r w:rsidRPr="003B3F8F">
              <w:rPr>
                <w:color w:val="212121"/>
              </w:rPr>
              <w:t>2019</w:t>
            </w:r>
          </w:p>
        </w:tc>
        <w:tc>
          <w:tcPr>
            <w:tcW w:w="2254" w:type="dxa"/>
          </w:tcPr>
          <w:p w14:paraId="70209175" w14:textId="434F4FBA" w:rsidR="003B3F8F" w:rsidRPr="003B3F8F" w:rsidRDefault="003B3F8F" w:rsidP="003B3F8F">
            <w:pPr>
              <w:pStyle w:val="PBACTableText"/>
              <w:spacing w:before="0" w:after="0"/>
              <w:rPr>
                <w:color w:val="212121"/>
              </w:rPr>
            </w:pPr>
            <w:r w:rsidRPr="003B3F8F">
              <w:rPr>
                <w:color w:val="212121"/>
              </w:rPr>
              <w:t>0-11</w:t>
            </w:r>
          </w:p>
        </w:tc>
        <w:tc>
          <w:tcPr>
            <w:tcW w:w="2254" w:type="dxa"/>
          </w:tcPr>
          <w:p w14:paraId="2C79230D" w14:textId="1C19EB5D"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304"/>
                <w14:textFill>
                  <w14:solidFill>
                    <w14:srgbClr w14:val="191919">
                      <w14:alpha w14:val="100000"/>
                    </w14:srgbClr>
                  </w14:solidFill>
                </w14:textFill>
              </w:rPr>
              <w:t>|||</w:t>
            </w:r>
            <w:r w:rsidRPr="00CE7646">
              <w:rPr>
                <w:rFonts w:cs="Calibri"/>
                <w:color w:val="191919"/>
                <w:spacing w:val="1"/>
                <w:shd w:val="solid" w:color="000000" w:fill="000000"/>
                <w:fitText w:val="330" w:id="-962338304"/>
                <w14:textFill>
                  <w14:solidFill>
                    <w14:srgbClr w14:val="191919">
                      <w14:alpha w14:val="100000"/>
                    </w14:srgbClr>
                  </w14:solidFill>
                </w14:textFill>
              </w:rPr>
              <w:t>|</w:t>
            </w:r>
            <w:r w:rsidR="003B3F8F" w:rsidRPr="007819D9">
              <w:rPr>
                <w:vertAlign w:val="superscript"/>
              </w:rPr>
              <w:t>1</w:t>
            </w:r>
          </w:p>
        </w:tc>
        <w:tc>
          <w:tcPr>
            <w:tcW w:w="2254" w:type="dxa"/>
          </w:tcPr>
          <w:p w14:paraId="3E4272A1" w14:textId="0F03738C"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303"/>
                <w14:textFill>
                  <w14:solidFill>
                    <w14:srgbClr w14:val="191919">
                      <w14:alpha w14:val="100000"/>
                    </w14:srgbClr>
                  </w14:solidFill>
                </w14:textFill>
              </w:rPr>
              <w:t>|||</w:t>
            </w:r>
            <w:r w:rsidRPr="00CE7646">
              <w:rPr>
                <w:rFonts w:cs="Calibri"/>
                <w:color w:val="191919"/>
                <w:spacing w:val="1"/>
                <w:shd w:val="solid" w:color="000000" w:fill="000000"/>
                <w:fitText w:val="330" w:id="-962338303"/>
                <w14:textFill>
                  <w14:solidFill>
                    <w14:srgbClr w14:val="191919">
                      <w14:alpha w14:val="100000"/>
                    </w14:srgbClr>
                  </w14:solidFill>
                </w14:textFill>
              </w:rPr>
              <w:t>|</w:t>
            </w:r>
            <w:r w:rsidR="003B3F8F" w:rsidRPr="007819D9">
              <w:rPr>
                <w:vertAlign w:val="superscript"/>
              </w:rPr>
              <w:t>1</w:t>
            </w:r>
          </w:p>
        </w:tc>
      </w:tr>
      <w:tr w:rsidR="003B3F8F" w:rsidRPr="009475AF" w14:paraId="31767C3D" w14:textId="77777777" w:rsidTr="003B3F8F">
        <w:trPr>
          <w:trHeight w:val="227"/>
        </w:trPr>
        <w:tc>
          <w:tcPr>
            <w:tcW w:w="2254" w:type="dxa"/>
          </w:tcPr>
          <w:p w14:paraId="7175ADA5" w14:textId="01122783" w:rsidR="003B3F8F" w:rsidRPr="003B3F8F" w:rsidRDefault="003B3F8F" w:rsidP="003B3F8F">
            <w:pPr>
              <w:pStyle w:val="PBACTableText"/>
              <w:spacing w:before="0" w:after="0"/>
              <w:rPr>
                <w:color w:val="212121"/>
              </w:rPr>
            </w:pPr>
            <w:r w:rsidRPr="003B3F8F">
              <w:rPr>
                <w:color w:val="212121"/>
              </w:rPr>
              <w:t>2020</w:t>
            </w:r>
          </w:p>
        </w:tc>
        <w:tc>
          <w:tcPr>
            <w:tcW w:w="2254" w:type="dxa"/>
          </w:tcPr>
          <w:p w14:paraId="4A937F96" w14:textId="5E4B9CCD" w:rsidR="003B3F8F" w:rsidRPr="003B3F8F" w:rsidRDefault="003B3F8F" w:rsidP="003B3F8F">
            <w:pPr>
              <w:pStyle w:val="PBACTableText"/>
              <w:spacing w:before="0" w:after="0"/>
              <w:rPr>
                <w:color w:val="212121"/>
              </w:rPr>
            </w:pPr>
            <w:r w:rsidRPr="003B3F8F">
              <w:rPr>
                <w:color w:val="212121"/>
              </w:rPr>
              <w:t>0-11</w:t>
            </w:r>
          </w:p>
        </w:tc>
        <w:tc>
          <w:tcPr>
            <w:tcW w:w="2254" w:type="dxa"/>
          </w:tcPr>
          <w:p w14:paraId="179285DF" w14:textId="717AF837"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302"/>
                <w14:textFill>
                  <w14:solidFill>
                    <w14:srgbClr w14:val="191919">
                      <w14:alpha w14:val="100000"/>
                    </w14:srgbClr>
                  </w14:solidFill>
                </w14:textFill>
              </w:rPr>
              <w:t>|||</w:t>
            </w:r>
            <w:r w:rsidRPr="00CE7646">
              <w:rPr>
                <w:rFonts w:cs="Calibri"/>
                <w:color w:val="191919"/>
                <w:spacing w:val="1"/>
                <w:shd w:val="solid" w:color="000000" w:fill="000000"/>
                <w:fitText w:val="330" w:id="-962338302"/>
                <w14:textFill>
                  <w14:solidFill>
                    <w14:srgbClr w14:val="191919">
                      <w14:alpha w14:val="100000"/>
                    </w14:srgbClr>
                  </w14:solidFill>
                </w14:textFill>
              </w:rPr>
              <w:t>|</w:t>
            </w:r>
            <w:r w:rsidR="003B3F8F" w:rsidRPr="007819D9">
              <w:rPr>
                <w:vertAlign w:val="superscript"/>
              </w:rPr>
              <w:t>1</w:t>
            </w:r>
          </w:p>
        </w:tc>
        <w:tc>
          <w:tcPr>
            <w:tcW w:w="2254" w:type="dxa"/>
          </w:tcPr>
          <w:p w14:paraId="6B267076" w14:textId="52D150CE"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301"/>
                <w14:textFill>
                  <w14:solidFill>
                    <w14:srgbClr w14:val="191919">
                      <w14:alpha w14:val="100000"/>
                    </w14:srgbClr>
                  </w14:solidFill>
                </w14:textFill>
              </w:rPr>
              <w:t>|||</w:t>
            </w:r>
            <w:r w:rsidRPr="00CE7646">
              <w:rPr>
                <w:rFonts w:cs="Calibri"/>
                <w:color w:val="191919"/>
                <w:spacing w:val="1"/>
                <w:shd w:val="solid" w:color="000000" w:fill="000000"/>
                <w:fitText w:val="330" w:id="-962338301"/>
                <w14:textFill>
                  <w14:solidFill>
                    <w14:srgbClr w14:val="191919">
                      <w14:alpha w14:val="100000"/>
                    </w14:srgbClr>
                  </w14:solidFill>
                </w14:textFill>
              </w:rPr>
              <w:t>|</w:t>
            </w:r>
            <w:r w:rsidR="003B3F8F" w:rsidRPr="007819D9">
              <w:rPr>
                <w:vertAlign w:val="superscript"/>
              </w:rPr>
              <w:t>1</w:t>
            </w:r>
          </w:p>
        </w:tc>
      </w:tr>
      <w:tr w:rsidR="003B3F8F" w:rsidRPr="009475AF" w14:paraId="5DBFB5A8" w14:textId="77777777" w:rsidTr="003B3F8F">
        <w:trPr>
          <w:trHeight w:val="227"/>
        </w:trPr>
        <w:tc>
          <w:tcPr>
            <w:tcW w:w="2254" w:type="dxa"/>
          </w:tcPr>
          <w:p w14:paraId="1027BFAD" w14:textId="4B158EEB" w:rsidR="003B3F8F" w:rsidRPr="003B3F8F" w:rsidRDefault="003B3F8F" w:rsidP="003B3F8F">
            <w:pPr>
              <w:pStyle w:val="PBACTableText"/>
              <w:spacing w:before="0" w:after="0"/>
              <w:rPr>
                <w:color w:val="212121"/>
              </w:rPr>
            </w:pPr>
            <w:r w:rsidRPr="003B3F8F">
              <w:rPr>
                <w:color w:val="212121"/>
              </w:rPr>
              <w:t>2021</w:t>
            </w:r>
          </w:p>
        </w:tc>
        <w:tc>
          <w:tcPr>
            <w:tcW w:w="2254" w:type="dxa"/>
          </w:tcPr>
          <w:p w14:paraId="5FF1038C" w14:textId="01E59FCB" w:rsidR="003B3F8F" w:rsidRPr="003B3F8F" w:rsidRDefault="003B3F8F" w:rsidP="003B3F8F">
            <w:pPr>
              <w:pStyle w:val="PBACTableText"/>
              <w:spacing w:before="0" w:after="0"/>
              <w:rPr>
                <w:color w:val="212121"/>
              </w:rPr>
            </w:pPr>
            <w:r w:rsidRPr="003B3F8F">
              <w:rPr>
                <w:color w:val="212121"/>
              </w:rPr>
              <w:t>0-11</w:t>
            </w:r>
          </w:p>
        </w:tc>
        <w:tc>
          <w:tcPr>
            <w:tcW w:w="2254" w:type="dxa"/>
          </w:tcPr>
          <w:p w14:paraId="3C21F870" w14:textId="7D557B03"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300"/>
                <w14:textFill>
                  <w14:solidFill>
                    <w14:srgbClr w14:val="191919">
                      <w14:alpha w14:val="100000"/>
                    </w14:srgbClr>
                  </w14:solidFill>
                </w14:textFill>
              </w:rPr>
              <w:t>|||</w:t>
            </w:r>
            <w:r w:rsidRPr="00CE7646">
              <w:rPr>
                <w:rFonts w:cs="Calibri"/>
                <w:color w:val="191919"/>
                <w:spacing w:val="1"/>
                <w:shd w:val="solid" w:color="000000" w:fill="000000"/>
                <w:fitText w:val="330" w:id="-962338300"/>
                <w14:textFill>
                  <w14:solidFill>
                    <w14:srgbClr w14:val="191919">
                      <w14:alpha w14:val="100000"/>
                    </w14:srgbClr>
                  </w14:solidFill>
                </w14:textFill>
              </w:rPr>
              <w:t>|</w:t>
            </w:r>
            <w:r w:rsidR="003B3F8F" w:rsidRPr="007819D9">
              <w:rPr>
                <w:vertAlign w:val="superscript"/>
              </w:rPr>
              <w:t>1</w:t>
            </w:r>
          </w:p>
        </w:tc>
        <w:tc>
          <w:tcPr>
            <w:tcW w:w="2254" w:type="dxa"/>
          </w:tcPr>
          <w:p w14:paraId="7E44ADB6" w14:textId="30323FE6"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99"/>
                <w14:textFill>
                  <w14:solidFill>
                    <w14:srgbClr w14:val="191919">
                      <w14:alpha w14:val="100000"/>
                    </w14:srgbClr>
                  </w14:solidFill>
                </w14:textFill>
              </w:rPr>
              <w:t>|||</w:t>
            </w:r>
            <w:r w:rsidRPr="00CE7646">
              <w:rPr>
                <w:rFonts w:cs="Calibri"/>
                <w:color w:val="191919"/>
                <w:spacing w:val="1"/>
                <w:shd w:val="solid" w:color="000000" w:fill="000000"/>
                <w:fitText w:val="330" w:id="-962338299"/>
                <w14:textFill>
                  <w14:solidFill>
                    <w14:srgbClr w14:val="191919">
                      <w14:alpha w14:val="100000"/>
                    </w14:srgbClr>
                  </w14:solidFill>
                </w14:textFill>
              </w:rPr>
              <w:t>|</w:t>
            </w:r>
            <w:r w:rsidR="003B3F8F" w:rsidRPr="007819D9">
              <w:rPr>
                <w:vertAlign w:val="superscript"/>
              </w:rPr>
              <w:t>1</w:t>
            </w:r>
          </w:p>
        </w:tc>
      </w:tr>
      <w:tr w:rsidR="003B3F8F" w:rsidRPr="009475AF" w14:paraId="3441079F" w14:textId="77777777" w:rsidTr="003B3F8F">
        <w:trPr>
          <w:trHeight w:val="227"/>
        </w:trPr>
        <w:tc>
          <w:tcPr>
            <w:tcW w:w="2254" w:type="dxa"/>
          </w:tcPr>
          <w:p w14:paraId="5C30F0A4" w14:textId="34251BC1" w:rsidR="003B3F8F" w:rsidRPr="003B3F8F" w:rsidRDefault="003B3F8F" w:rsidP="003B3F8F">
            <w:pPr>
              <w:pStyle w:val="PBACTableText"/>
              <w:spacing w:before="0" w:after="0"/>
              <w:rPr>
                <w:color w:val="212121"/>
              </w:rPr>
            </w:pPr>
            <w:r w:rsidRPr="003B3F8F">
              <w:rPr>
                <w:color w:val="212121"/>
              </w:rPr>
              <w:t>2022</w:t>
            </w:r>
          </w:p>
        </w:tc>
        <w:tc>
          <w:tcPr>
            <w:tcW w:w="2254" w:type="dxa"/>
          </w:tcPr>
          <w:p w14:paraId="5C8CA56F" w14:textId="02986A47" w:rsidR="003B3F8F" w:rsidRPr="003B3F8F" w:rsidRDefault="003B3F8F" w:rsidP="003B3F8F">
            <w:pPr>
              <w:pStyle w:val="PBACTableText"/>
              <w:spacing w:before="0" w:after="0"/>
              <w:rPr>
                <w:color w:val="212121"/>
              </w:rPr>
            </w:pPr>
            <w:r w:rsidRPr="003B3F8F">
              <w:rPr>
                <w:color w:val="212121"/>
              </w:rPr>
              <w:t>0-11</w:t>
            </w:r>
          </w:p>
        </w:tc>
        <w:tc>
          <w:tcPr>
            <w:tcW w:w="2254" w:type="dxa"/>
          </w:tcPr>
          <w:p w14:paraId="1AB375B5" w14:textId="427D0F28"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98"/>
                <w14:textFill>
                  <w14:solidFill>
                    <w14:srgbClr w14:val="191919">
                      <w14:alpha w14:val="100000"/>
                    </w14:srgbClr>
                  </w14:solidFill>
                </w14:textFill>
              </w:rPr>
              <w:t>|||</w:t>
            </w:r>
            <w:r w:rsidRPr="00CE7646">
              <w:rPr>
                <w:rFonts w:cs="Calibri"/>
                <w:color w:val="191919"/>
                <w:spacing w:val="1"/>
                <w:shd w:val="solid" w:color="000000" w:fill="000000"/>
                <w:fitText w:val="330" w:id="-962338298"/>
                <w14:textFill>
                  <w14:solidFill>
                    <w14:srgbClr w14:val="191919">
                      <w14:alpha w14:val="100000"/>
                    </w14:srgbClr>
                  </w14:solidFill>
                </w14:textFill>
              </w:rPr>
              <w:t>|</w:t>
            </w:r>
            <w:r w:rsidR="003B3F8F" w:rsidRPr="007819D9">
              <w:rPr>
                <w:vertAlign w:val="superscript"/>
              </w:rPr>
              <w:t>1</w:t>
            </w:r>
          </w:p>
        </w:tc>
        <w:tc>
          <w:tcPr>
            <w:tcW w:w="2254" w:type="dxa"/>
          </w:tcPr>
          <w:p w14:paraId="71B7672F" w14:textId="685722D9"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97"/>
                <w14:textFill>
                  <w14:solidFill>
                    <w14:srgbClr w14:val="191919">
                      <w14:alpha w14:val="100000"/>
                    </w14:srgbClr>
                  </w14:solidFill>
                </w14:textFill>
              </w:rPr>
              <w:t>|||</w:t>
            </w:r>
            <w:r w:rsidRPr="00CE7646">
              <w:rPr>
                <w:rFonts w:cs="Calibri"/>
                <w:color w:val="191919"/>
                <w:spacing w:val="1"/>
                <w:shd w:val="solid" w:color="000000" w:fill="000000"/>
                <w:fitText w:val="330" w:id="-962338297"/>
                <w14:textFill>
                  <w14:solidFill>
                    <w14:srgbClr w14:val="191919">
                      <w14:alpha w14:val="100000"/>
                    </w14:srgbClr>
                  </w14:solidFill>
                </w14:textFill>
              </w:rPr>
              <w:t>|</w:t>
            </w:r>
            <w:r w:rsidR="003B3F8F" w:rsidRPr="007819D9">
              <w:rPr>
                <w:vertAlign w:val="superscript"/>
              </w:rPr>
              <w:t>1</w:t>
            </w:r>
          </w:p>
        </w:tc>
      </w:tr>
      <w:tr w:rsidR="003B3F8F" w:rsidRPr="009475AF" w14:paraId="48365B4B" w14:textId="77777777" w:rsidTr="003B3F8F">
        <w:trPr>
          <w:trHeight w:val="227"/>
        </w:trPr>
        <w:tc>
          <w:tcPr>
            <w:tcW w:w="2254" w:type="dxa"/>
          </w:tcPr>
          <w:p w14:paraId="22DD2269" w14:textId="68593777" w:rsidR="003B3F8F" w:rsidRPr="003B3F8F" w:rsidRDefault="003B3F8F" w:rsidP="003B3F8F">
            <w:pPr>
              <w:pStyle w:val="PBACTableText"/>
              <w:spacing w:before="0" w:after="0"/>
              <w:rPr>
                <w:color w:val="212121"/>
              </w:rPr>
            </w:pPr>
            <w:r w:rsidRPr="003B3F8F">
              <w:rPr>
                <w:color w:val="212121"/>
              </w:rPr>
              <w:t>2023</w:t>
            </w:r>
          </w:p>
        </w:tc>
        <w:tc>
          <w:tcPr>
            <w:tcW w:w="2254" w:type="dxa"/>
          </w:tcPr>
          <w:p w14:paraId="187DE349" w14:textId="0813335B" w:rsidR="003B3F8F" w:rsidRPr="003B3F8F" w:rsidRDefault="003B3F8F" w:rsidP="003B3F8F">
            <w:pPr>
              <w:pStyle w:val="PBACTableText"/>
              <w:spacing w:before="0" w:after="0"/>
              <w:rPr>
                <w:color w:val="212121"/>
              </w:rPr>
            </w:pPr>
            <w:r w:rsidRPr="003B3F8F">
              <w:rPr>
                <w:color w:val="212121"/>
              </w:rPr>
              <w:t>0-11</w:t>
            </w:r>
          </w:p>
        </w:tc>
        <w:tc>
          <w:tcPr>
            <w:tcW w:w="2254" w:type="dxa"/>
          </w:tcPr>
          <w:p w14:paraId="30851723" w14:textId="6387D85E"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96"/>
                <w14:textFill>
                  <w14:solidFill>
                    <w14:srgbClr w14:val="191919">
                      <w14:alpha w14:val="100000"/>
                    </w14:srgbClr>
                  </w14:solidFill>
                </w14:textFill>
              </w:rPr>
              <w:t>|||</w:t>
            </w:r>
            <w:r w:rsidRPr="00CE7646">
              <w:rPr>
                <w:rFonts w:cs="Calibri"/>
                <w:color w:val="191919"/>
                <w:spacing w:val="1"/>
                <w:shd w:val="solid" w:color="000000" w:fill="000000"/>
                <w:fitText w:val="330" w:id="-962338296"/>
                <w14:textFill>
                  <w14:solidFill>
                    <w14:srgbClr w14:val="191919">
                      <w14:alpha w14:val="100000"/>
                    </w14:srgbClr>
                  </w14:solidFill>
                </w14:textFill>
              </w:rPr>
              <w:t>|</w:t>
            </w:r>
            <w:r w:rsidR="003B3F8F" w:rsidRPr="007819D9">
              <w:rPr>
                <w:vertAlign w:val="superscript"/>
              </w:rPr>
              <w:t>1</w:t>
            </w:r>
          </w:p>
        </w:tc>
        <w:tc>
          <w:tcPr>
            <w:tcW w:w="2254" w:type="dxa"/>
          </w:tcPr>
          <w:p w14:paraId="7CD570F7" w14:textId="5E9FA577" w:rsidR="003B3F8F" w:rsidRPr="003B3F8F" w:rsidRDefault="00CE7646" w:rsidP="003B3F8F">
            <w:pPr>
              <w:pStyle w:val="PBACTableText"/>
              <w:spacing w:before="0" w:after="0"/>
              <w:rPr>
                <w:color w:val="212121"/>
              </w:rPr>
            </w:pPr>
            <w:r w:rsidRPr="00CE7646">
              <w:rPr>
                <w:rFonts w:cs="Calibri"/>
                <w:color w:val="191919"/>
                <w:spacing w:val="53"/>
                <w:shd w:val="solid" w:color="000000" w:fill="000000"/>
                <w:fitText w:val="330" w:id="-962338295"/>
                <w14:textFill>
                  <w14:solidFill>
                    <w14:srgbClr w14:val="191919">
                      <w14:alpha w14:val="100000"/>
                    </w14:srgbClr>
                  </w14:solidFill>
                </w14:textFill>
              </w:rPr>
              <w:t>|||</w:t>
            </w:r>
            <w:r w:rsidRPr="00CE7646">
              <w:rPr>
                <w:rFonts w:cs="Calibri"/>
                <w:color w:val="191919"/>
                <w:spacing w:val="1"/>
                <w:shd w:val="solid" w:color="000000" w:fill="000000"/>
                <w:fitText w:val="330" w:id="-962338295"/>
                <w14:textFill>
                  <w14:solidFill>
                    <w14:srgbClr w14:val="191919">
                      <w14:alpha w14:val="100000"/>
                    </w14:srgbClr>
                  </w14:solidFill>
                </w14:textFill>
              </w:rPr>
              <w:t>|</w:t>
            </w:r>
            <w:r w:rsidR="003B3F8F">
              <w:rPr>
                <w:vertAlign w:val="superscript"/>
              </w:rPr>
              <w:t>2</w:t>
            </w:r>
          </w:p>
        </w:tc>
      </w:tr>
    </w:tbl>
    <w:p w14:paraId="7285575D" w14:textId="77777777" w:rsidR="00C105D9" w:rsidRPr="003B3F8F" w:rsidRDefault="00C105D9" w:rsidP="00C105D9">
      <w:pPr>
        <w:jc w:val="left"/>
        <w:rPr>
          <w:rFonts w:ascii="Arial Narrow" w:hAnsi="Arial Narrow" w:cstheme="minorHAnsi"/>
          <w:bCs/>
          <w:i/>
          <w:iCs/>
          <w:sz w:val="18"/>
          <w:szCs w:val="18"/>
        </w:rPr>
      </w:pPr>
      <w:r w:rsidRPr="003B3F8F">
        <w:rPr>
          <w:rFonts w:ascii="Arial Narrow" w:hAnsi="Arial Narrow" w:cstheme="minorHAnsi"/>
          <w:bCs/>
          <w:i/>
          <w:iCs/>
          <w:sz w:val="18"/>
          <w:szCs w:val="18"/>
        </w:rPr>
        <w:t xml:space="preserve">The redacted values correspond to the following ranges: </w:t>
      </w:r>
    </w:p>
    <w:p w14:paraId="00757D0E" w14:textId="77777777" w:rsidR="00C105D9" w:rsidRPr="003B3F8F" w:rsidRDefault="00C105D9" w:rsidP="00C105D9">
      <w:pPr>
        <w:jc w:val="left"/>
        <w:rPr>
          <w:rFonts w:ascii="Arial Narrow" w:hAnsi="Arial Narrow" w:cstheme="minorHAnsi"/>
          <w:bCs/>
          <w:i/>
          <w:iCs/>
          <w:sz w:val="18"/>
          <w:szCs w:val="18"/>
        </w:rPr>
      </w:pPr>
      <w:r w:rsidRPr="003B3F8F">
        <w:rPr>
          <w:rFonts w:ascii="Arial Narrow" w:hAnsi="Arial Narrow" w:cstheme="minorHAnsi"/>
          <w:bCs/>
          <w:i/>
          <w:iCs/>
          <w:sz w:val="18"/>
          <w:szCs w:val="18"/>
          <w:vertAlign w:val="superscript"/>
        </w:rPr>
        <w:t>1</w:t>
      </w:r>
      <w:r w:rsidRPr="003B3F8F">
        <w:rPr>
          <w:rFonts w:ascii="Arial Narrow" w:hAnsi="Arial Narrow" w:cstheme="minorHAnsi"/>
          <w:bCs/>
          <w:i/>
          <w:iCs/>
          <w:sz w:val="18"/>
          <w:szCs w:val="18"/>
        </w:rPr>
        <w:t xml:space="preserve"> &lt; 500</w:t>
      </w:r>
    </w:p>
    <w:p w14:paraId="2331258D" w14:textId="08C19679" w:rsidR="00F866CD" w:rsidRPr="009475AF" w:rsidRDefault="00C105D9" w:rsidP="001A1787">
      <w:pPr>
        <w:spacing w:after="120"/>
        <w:jc w:val="left"/>
      </w:pPr>
      <w:r w:rsidRPr="003B3F8F">
        <w:rPr>
          <w:rFonts w:ascii="Arial Narrow" w:hAnsi="Arial Narrow" w:cstheme="minorHAnsi"/>
          <w:bCs/>
          <w:i/>
          <w:iCs/>
          <w:sz w:val="18"/>
          <w:szCs w:val="18"/>
          <w:vertAlign w:val="superscript"/>
        </w:rPr>
        <w:t>2</w:t>
      </w:r>
      <w:r w:rsidR="00645BAC">
        <w:rPr>
          <w:rFonts w:ascii="Arial Narrow" w:hAnsi="Arial Narrow" w:cstheme="minorHAnsi"/>
          <w:bCs/>
          <w:i/>
          <w:iCs/>
          <w:sz w:val="18"/>
          <w:szCs w:val="18"/>
          <w:vertAlign w:val="superscript"/>
        </w:rPr>
        <w:t xml:space="preserve"> </w:t>
      </w:r>
      <w:r w:rsidRPr="003B3F8F">
        <w:rPr>
          <w:rFonts w:ascii="Arial Narrow" w:hAnsi="Arial Narrow" w:cstheme="minorHAnsi"/>
          <w:bCs/>
          <w:i/>
          <w:iCs/>
          <w:sz w:val="18"/>
          <w:szCs w:val="18"/>
        </w:rPr>
        <w:t>500 to &lt; 5,000</w:t>
      </w:r>
    </w:p>
    <w:p w14:paraId="136E068D" w14:textId="25A75650" w:rsidR="00FE1901" w:rsidRPr="009475AF" w:rsidRDefault="00F866CD" w:rsidP="00F866CD">
      <w:pPr>
        <w:pStyle w:val="3-BodyText"/>
      </w:pPr>
      <w:r w:rsidRPr="009475AF">
        <w:t xml:space="preserve">Although it is not possible to estimate exactly how many patients would switch from tiotropium to dupilumab, it is reasonable to assume that some might, given the relative ease of use of dupilumab compared to omalizumab. The tiotropium utilisation data also confirm that the total market size is likely to </w:t>
      </w:r>
      <w:r w:rsidR="004354F6" w:rsidRPr="009475AF">
        <w:t xml:space="preserve">be </w:t>
      </w:r>
      <w:r w:rsidRPr="009475AF">
        <w:t xml:space="preserve">smaller than that estimated in the submission. </w:t>
      </w:r>
    </w:p>
    <w:p w14:paraId="56E6CF37" w14:textId="09CA31AB" w:rsidR="00941430" w:rsidRPr="009475AF" w:rsidRDefault="00941430" w:rsidP="00FE1901">
      <w:pPr>
        <w:pStyle w:val="3-BodyText"/>
      </w:pPr>
      <w:r w:rsidRPr="009475AF">
        <w:t xml:space="preserve">The market research used as the basis for some of the assumptions was based on a survey of physicians (immunologists, respiratory </w:t>
      </w:r>
      <w:r w:rsidR="002600D3" w:rsidRPr="009475AF">
        <w:t>physicians,</w:t>
      </w:r>
      <w:r w:rsidRPr="009475AF">
        <w:t xml:space="preserve"> and paediatricians) with experience in managing patients failing optimisation of asthma therapy and accredited S100 prescribers. Of 670 physicians approached, 17 completed the survey, of who</w:t>
      </w:r>
      <w:r w:rsidR="00041C7B" w:rsidRPr="009475AF">
        <w:t>m</w:t>
      </w:r>
      <w:r w:rsidRPr="009475AF">
        <w:t xml:space="preserve"> 2 were paediatricians</w:t>
      </w:r>
      <w:r w:rsidR="009475AF">
        <w:t xml:space="preserve">. </w:t>
      </w:r>
      <w:r w:rsidR="000912ED" w:rsidRPr="009475AF">
        <w:t xml:space="preserve"> </w:t>
      </w:r>
      <w:r w:rsidRPr="009475AF">
        <w:t>Given the very low response rate</w:t>
      </w:r>
      <w:r w:rsidR="00025F9A" w:rsidRPr="009475AF">
        <w:t xml:space="preserve"> to this survey, </w:t>
      </w:r>
      <w:r w:rsidR="00983078" w:rsidRPr="009475AF">
        <w:rPr>
          <w:iCs/>
        </w:rPr>
        <w:t>the ESC considered</w:t>
      </w:r>
      <w:r w:rsidR="00983078" w:rsidRPr="009475AF">
        <w:t xml:space="preserve"> that </w:t>
      </w:r>
      <w:r w:rsidRPr="009475AF">
        <w:t>assumptions</w:t>
      </w:r>
      <w:r w:rsidR="00025F9A" w:rsidRPr="009475AF">
        <w:t xml:space="preserve"> based on the results may not be representative or accurate</w:t>
      </w:r>
      <w:r w:rsidRPr="009475AF">
        <w:t xml:space="preserve">. </w:t>
      </w:r>
    </w:p>
    <w:p w14:paraId="1DD9F35D" w14:textId="12C3D2C6" w:rsidR="00025F9A" w:rsidRPr="009475AF" w:rsidRDefault="003D298C" w:rsidP="000912ED">
      <w:pPr>
        <w:pStyle w:val="3-BodyText"/>
      </w:pPr>
      <w:r w:rsidRPr="009475AF">
        <w:t>The calculation of script equivalence was complex. The submission stated that it attempted to align the omalizumab item codes with the proposed dupilumab restrictions, take account of the different strengths of omalizumab compared to the 2 proposed strengths of dupilumab as well as the 2 weekly and 4 weekly do</w:t>
      </w:r>
      <w:r w:rsidR="00CD7EB9" w:rsidRPr="009475AF">
        <w:t>s</w:t>
      </w:r>
      <w:r w:rsidRPr="009475AF">
        <w:t>ing regimen options. The submiss</w:t>
      </w:r>
      <w:r w:rsidR="00CD7EB9" w:rsidRPr="009475AF">
        <w:t>i</w:t>
      </w:r>
      <w:r w:rsidRPr="009475AF">
        <w:t xml:space="preserve">on used the </w:t>
      </w:r>
      <w:r w:rsidR="00CD7EB9" w:rsidRPr="009475AF">
        <w:t xml:space="preserve">2016 </w:t>
      </w:r>
      <w:r w:rsidRPr="009475AF">
        <w:t xml:space="preserve">PSD </w:t>
      </w:r>
      <w:r w:rsidR="00CD7EB9" w:rsidRPr="009475AF">
        <w:t xml:space="preserve">for omalizumab </w:t>
      </w:r>
      <w:r w:rsidRPr="009475AF">
        <w:t xml:space="preserve">as the </w:t>
      </w:r>
      <w:r w:rsidR="00CD7EB9" w:rsidRPr="009475AF">
        <w:t>basis for determining the usage of 75</w:t>
      </w:r>
      <w:r w:rsidR="00306D91" w:rsidRPr="009475AF">
        <w:t xml:space="preserve"> </w:t>
      </w:r>
      <w:r w:rsidR="00CD7EB9" w:rsidRPr="009475AF">
        <w:t>mg and 150</w:t>
      </w:r>
      <w:r w:rsidR="00306D91" w:rsidRPr="009475AF">
        <w:t xml:space="preserve"> </w:t>
      </w:r>
      <w:r w:rsidR="00CD7EB9" w:rsidRPr="009475AF">
        <w:t>mg syringes and calculated the weighted average existing market script equivalence as 1.88, based on 20% usage of 75</w:t>
      </w:r>
      <w:r w:rsidR="00306D91" w:rsidRPr="009475AF">
        <w:t xml:space="preserve"> </w:t>
      </w:r>
      <w:r w:rsidR="00CD7EB9" w:rsidRPr="009475AF">
        <w:t>mg and 80% usage of 150</w:t>
      </w:r>
      <w:r w:rsidR="00306D91" w:rsidRPr="009475AF">
        <w:t xml:space="preserve"> </w:t>
      </w:r>
      <w:r w:rsidR="00CD7EB9" w:rsidRPr="009475AF">
        <w:t xml:space="preserve">mg. This was compared to the </w:t>
      </w:r>
      <w:r w:rsidR="003335FD" w:rsidRPr="009475AF">
        <w:t>projected usage of dupilumab, based on the assumption that 94.1% of children will be treated with 300</w:t>
      </w:r>
      <w:r w:rsidR="00306D91" w:rsidRPr="009475AF">
        <w:t xml:space="preserve"> </w:t>
      </w:r>
      <w:r w:rsidR="003335FD" w:rsidRPr="009475AF">
        <w:t>mg dupilumab (half a script) every 4 weeks</w:t>
      </w:r>
      <w:r w:rsidR="009475AF">
        <w:t xml:space="preserve">. </w:t>
      </w:r>
      <w:r w:rsidR="003335FD" w:rsidRPr="009475AF">
        <w:t xml:space="preserve">This estimate of script equivalence depends on the accuracy of the assumptions about dose equivalence and usage of dupilumab which </w:t>
      </w:r>
      <w:r w:rsidR="00F943DF" w:rsidRPr="009475AF">
        <w:t>is assumed</w:t>
      </w:r>
      <w:r w:rsidR="003335FD" w:rsidRPr="009475AF">
        <w:t xml:space="preserve">. </w:t>
      </w:r>
    </w:p>
    <w:p w14:paraId="27DC8A3F" w14:textId="3EDC78CC" w:rsidR="0098088D" w:rsidRPr="009475AF" w:rsidRDefault="0098088D" w:rsidP="000912ED">
      <w:pPr>
        <w:pStyle w:val="3-BodyText"/>
      </w:pPr>
      <w:r w:rsidRPr="009475AF">
        <w:t>The submission presented its assumptions about the number of patients who would be grandfather</w:t>
      </w:r>
      <w:r w:rsidR="00F66049" w:rsidRPr="009475AF">
        <w:t>ed</w:t>
      </w:r>
      <w:r w:rsidRPr="009475AF">
        <w:t xml:space="preserve"> onto the PBS listed product following a patient familiarisation program</w:t>
      </w:r>
      <w:r w:rsidR="009475AF">
        <w:t>.</w:t>
      </w:r>
      <w:r w:rsidRPr="009475AF">
        <w:rPr>
          <w:iCs/>
        </w:rPr>
        <w:t xml:space="preserve"> The </w:t>
      </w:r>
      <w:r w:rsidR="00983078" w:rsidRPr="009475AF">
        <w:rPr>
          <w:iCs/>
        </w:rPr>
        <w:t>ESC noted</w:t>
      </w:r>
      <w:r w:rsidR="00983078" w:rsidRPr="009475AF">
        <w:t xml:space="preserve"> that the </w:t>
      </w:r>
      <w:r w:rsidRPr="009475AF">
        <w:t>estimated number of patients to be treated through this program would appear to be larger than the current total market</w:t>
      </w:r>
      <w:r w:rsidR="001423EE" w:rsidRPr="009475AF">
        <w:t xml:space="preserve"> (based on the estimates provided by the DUSC Secretariat)</w:t>
      </w:r>
      <w:r w:rsidR="009475AF">
        <w:t xml:space="preserve">. </w:t>
      </w:r>
      <w:r w:rsidR="00600F98" w:rsidRPr="009475AF">
        <w:rPr>
          <w:iCs/>
        </w:rPr>
        <w:t xml:space="preserve">The PSCR </w:t>
      </w:r>
      <w:r w:rsidR="001E2185" w:rsidRPr="009475AF">
        <w:rPr>
          <w:iCs/>
        </w:rPr>
        <w:t xml:space="preserve">stated that it presented the maximum feasible number of patients to be treated through this program to ensure a seamless </w:t>
      </w:r>
      <w:r w:rsidR="002600D3" w:rsidRPr="009475AF">
        <w:rPr>
          <w:iCs/>
        </w:rPr>
        <w:t>transition but</w:t>
      </w:r>
      <w:r w:rsidR="001E2185" w:rsidRPr="009475AF">
        <w:rPr>
          <w:iCs/>
        </w:rPr>
        <w:t xml:space="preserve"> </w:t>
      </w:r>
      <w:r w:rsidR="00600F98" w:rsidRPr="009475AF">
        <w:rPr>
          <w:iCs/>
        </w:rPr>
        <w:t>acknowledged th</w:t>
      </w:r>
      <w:r w:rsidR="001E2185" w:rsidRPr="009475AF">
        <w:rPr>
          <w:iCs/>
        </w:rPr>
        <w:t>at “th</w:t>
      </w:r>
      <w:r w:rsidR="00600F98" w:rsidRPr="009475AF">
        <w:rPr>
          <w:iCs/>
        </w:rPr>
        <w:t>e potential for any reduction in Grandfathering (GF) use would correspondingly diminish the overall impact to the cost to government</w:t>
      </w:r>
      <w:r w:rsidR="001E2185" w:rsidRPr="009475AF">
        <w:rPr>
          <w:iCs/>
        </w:rPr>
        <w:t>”</w:t>
      </w:r>
      <w:r w:rsidR="00600F98" w:rsidRPr="009475AF">
        <w:rPr>
          <w:iCs/>
        </w:rPr>
        <w:t>.</w:t>
      </w:r>
    </w:p>
    <w:p w14:paraId="619A2332" w14:textId="5901F2A2" w:rsidR="00BC0E69" w:rsidRPr="009475AF" w:rsidRDefault="00025F9A" w:rsidP="00BC0E69">
      <w:pPr>
        <w:pStyle w:val="3-BodyText"/>
        <w:rPr>
          <w:rFonts w:ascii="Arial Narrow" w:hAnsi="Arial Narrow"/>
          <w:b/>
          <w:sz w:val="20"/>
          <w:szCs w:val="16"/>
        </w:rPr>
      </w:pPr>
      <w:r w:rsidRPr="009475AF">
        <w:t xml:space="preserve">The </w:t>
      </w:r>
      <w:r w:rsidR="000912ED" w:rsidRPr="009475AF">
        <w:t>estimated use and financial implications</w:t>
      </w:r>
      <w:r w:rsidR="002E0904" w:rsidRPr="009475AF">
        <w:t xml:space="preserve"> as presented in the submission</w:t>
      </w:r>
      <w:r w:rsidR="000912ED" w:rsidRPr="009475AF">
        <w:t xml:space="preserve"> based on Subgroup A alone are shown in</w:t>
      </w:r>
      <w:r w:rsidR="00003774" w:rsidRPr="009475AF">
        <w:t xml:space="preserve"> </w:t>
      </w:r>
      <w:r w:rsidR="00910F0F" w:rsidRPr="009475AF">
        <w:fldChar w:fldCharType="begin" w:fldLock="1"/>
      </w:r>
      <w:r w:rsidR="00910F0F" w:rsidRPr="009475AF">
        <w:instrText xml:space="preserve"> REF _Ref155081867 \h </w:instrText>
      </w:r>
      <w:r w:rsidR="00592F13" w:rsidRPr="009475AF">
        <w:instrText xml:space="preserve"> \* MERGEFORMAT </w:instrText>
      </w:r>
      <w:r w:rsidR="00910F0F" w:rsidRPr="009475AF">
        <w:fldChar w:fldCharType="separate"/>
      </w:r>
      <w:r w:rsidR="00910F0F" w:rsidRPr="009475AF">
        <w:t>Table 14</w:t>
      </w:r>
      <w:r w:rsidR="00910F0F" w:rsidRPr="009475AF">
        <w:fldChar w:fldCharType="end"/>
      </w:r>
      <w:r w:rsidR="00910F0F" w:rsidRPr="009475AF">
        <w:t xml:space="preserve"> </w:t>
      </w:r>
      <w:r w:rsidR="00114F7A" w:rsidRPr="009475AF">
        <w:t>based on the estimated effective</w:t>
      </w:r>
      <w:r w:rsidR="006A06E1" w:rsidRPr="009475AF">
        <w:t xml:space="preserve"> </w:t>
      </w:r>
      <w:r w:rsidR="00E67C1A">
        <w:t>A</w:t>
      </w:r>
      <w:r w:rsidR="005A1548" w:rsidRPr="000C7D39">
        <w:t>EMP</w:t>
      </w:r>
      <w:r w:rsidR="005A1548" w:rsidRPr="009475AF">
        <w:t xml:space="preserve"> </w:t>
      </w:r>
      <w:r w:rsidR="00114F7A" w:rsidRPr="009475AF">
        <w:t>of $</w:t>
      </w:r>
      <w:r w:rsidR="00CE7646" w:rsidRPr="00696736">
        <w:rPr>
          <w:color w:val="000000"/>
          <w:w w:val="15"/>
          <w:shd w:val="solid" w:color="000000" w:fill="000000"/>
          <w:fitText w:val="-20" w:id="-962338294"/>
          <w14:textFill>
            <w14:solidFill>
              <w14:srgbClr w14:val="000000">
                <w14:alpha w14:val="100000"/>
              </w14:srgbClr>
            </w14:solidFill>
          </w14:textFill>
        </w:rPr>
        <w:t xml:space="preserve">|  </w:t>
      </w:r>
      <w:r w:rsidR="00CE7646" w:rsidRPr="00696736">
        <w:rPr>
          <w:color w:val="000000"/>
          <w:spacing w:val="-69"/>
          <w:w w:val="15"/>
          <w:shd w:val="solid" w:color="000000" w:fill="000000"/>
          <w:fitText w:val="-20" w:id="-962338294"/>
          <w14:textFill>
            <w14:solidFill>
              <w14:srgbClr w14:val="000000">
                <w14:alpha w14:val="100000"/>
              </w14:srgbClr>
            </w14:solidFill>
          </w14:textFill>
        </w:rPr>
        <w:t>|</w:t>
      </w:r>
      <w:r w:rsidR="00114F7A" w:rsidRPr="009475AF">
        <w:t xml:space="preserve"> per pack for a second weekly dosing regimen and $</w:t>
      </w:r>
      <w:r w:rsidR="00CE7646" w:rsidRPr="00696736">
        <w:rPr>
          <w:color w:val="000000"/>
          <w:w w:val="15"/>
          <w:shd w:val="solid" w:color="000000" w:fill="000000"/>
          <w:fitText w:val="-20" w:id="-962338293"/>
          <w14:textFill>
            <w14:solidFill>
              <w14:srgbClr w14:val="000000">
                <w14:alpha w14:val="100000"/>
              </w14:srgbClr>
            </w14:solidFill>
          </w14:textFill>
        </w:rPr>
        <w:t xml:space="preserve">|  </w:t>
      </w:r>
      <w:r w:rsidR="00CE7646" w:rsidRPr="00696736">
        <w:rPr>
          <w:color w:val="000000"/>
          <w:spacing w:val="-69"/>
          <w:w w:val="15"/>
          <w:shd w:val="solid" w:color="000000" w:fill="000000"/>
          <w:fitText w:val="-20" w:id="-962338293"/>
          <w14:textFill>
            <w14:solidFill>
              <w14:srgbClr w14:val="000000">
                <w14:alpha w14:val="100000"/>
              </w14:srgbClr>
            </w14:solidFill>
          </w14:textFill>
        </w:rPr>
        <w:t>|</w:t>
      </w:r>
      <w:r w:rsidR="00114F7A" w:rsidRPr="009475AF">
        <w:t xml:space="preserve"> per pack for a </w:t>
      </w:r>
      <w:r w:rsidR="00E14122" w:rsidRPr="009475AF">
        <w:t>4</w:t>
      </w:r>
      <w:r w:rsidR="00E14122">
        <w:t> </w:t>
      </w:r>
      <w:r w:rsidR="00114F7A" w:rsidRPr="009475AF">
        <w:t>weekly dosing regimen.</w:t>
      </w:r>
      <w:r w:rsidR="003335FD" w:rsidRPr="009475AF">
        <w:t xml:space="preserve"> As noted above these prices are both </w:t>
      </w:r>
      <w:r w:rsidR="00D60DC0" w:rsidRPr="009475AF">
        <w:t>overestimates,</w:t>
      </w:r>
      <w:r w:rsidR="002E0904" w:rsidRPr="009475AF">
        <w:t xml:space="preserve"> and the market size is an overestimate. </w:t>
      </w:r>
      <w:r w:rsidR="00114F7A" w:rsidRPr="009475AF">
        <w:t>The prices were w</w:t>
      </w:r>
      <w:r w:rsidR="00250C99" w:rsidRPr="009475AF">
        <w:t>ei</w:t>
      </w:r>
      <w:r w:rsidR="00114F7A" w:rsidRPr="009475AF">
        <w:t>ght</w:t>
      </w:r>
      <w:r w:rsidR="00250C99" w:rsidRPr="009475AF">
        <w:t>ed</w:t>
      </w:r>
      <w:r w:rsidR="00114F7A" w:rsidRPr="009475AF">
        <w:t xml:space="preserve"> by the estimated utilisation in the public and private settings</w:t>
      </w:r>
      <w:r w:rsidR="00250C99" w:rsidRPr="009475AF">
        <w:t>,</w:t>
      </w:r>
      <w:r w:rsidR="00114F7A" w:rsidRPr="009475AF">
        <w:t xml:space="preserve"> based on the observed omalizumab utilisation in these settings (public 66.28%; private 33.72%). </w:t>
      </w:r>
    </w:p>
    <w:p w14:paraId="141DB534" w14:textId="1488DD2F" w:rsidR="00FF6427" w:rsidRPr="009475AF" w:rsidRDefault="008040F4" w:rsidP="00BC0E69">
      <w:pPr>
        <w:pStyle w:val="3-BodyText"/>
        <w:rPr>
          <w:rFonts w:ascii="Arial Narrow" w:hAnsi="Arial Narrow"/>
          <w:b/>
          <w:sz w:val="20"/>
          <w:szCs w:val="16"/>
        </w:rPr>
      </w:pPr>
      <w:r w:rsidRPr="009475AF">
        <w:t xml:space="preserve">The submission also included estimates of the change in prescription processing, and changes in the use of MBS items. The health care resource utilisation estimates were based on a survey of 17 clinicians and included use of GP and specialist visits, as well as nurse practitioner costs for training in the </w:t>
      </w:r>
      <w:r w:rsidR="00F26A19" w:rsidRPr="009475AF">
        <w:t>delivery</w:t>
      </w:r>
      <w:r w:rsidRPr="009475AF">
        <w:t xml:space="preserve"> of injections</w:t>
      </w:r>
      <w:r w:rsidR="00F26A19" w:rsidRPr="009475AF">
        <w:t>,</w:t>
      </w:r>
      <w:r w:rsidRPr="009475AF">
        <w:t xml:space="preserve"> and laboratory tests</w:t>
      </w:r>
      <w:r w:rsidR="005A73A0" w:rsidRPr="009475AF">
        <w:t xml:space="preserve">. These estimates appear to have been based on the epidemiological </w:t>
      </w:r>
      <w:r w:rsidR="00250C99" w:rsidRPr="009475AF">
        <w:t>model for patient number</w:t>
      </w:r>
      <w:r w:rsidR="007E5F66" w:rsidRPr="009475AF">
        <w:t>s</w:t>
      </w:r>
      <w:r w:rsidR="00250C99" w:rsidRPr="009475AF">
        <w:t xml:space="preserve"> only</w:t>
      </w:r>
      <w:r w:rsidR="002E0904" w:rsidRPr="009475AF">
        <w:t xml:space="preserve"> and were derived from the physician survey so are very uncertain. </w:t>
      </w:r>
    </w:p>
    <w:p w14:paraId="529E0043" w14:textId="6D5F74AC" w:rsidR="004860AE" w:rsidRPr="009475AF" w:rsidRDefault="00041C7B" w:rsidP="00645BAC">
      <w:pPr>
        <w:pStyle w:val="Caption"/>
      </w:pPr>
      <w:bookmarkStart w:id="54" w:name="_Ref155081867"/>
      <w:r w:rsidRPr="009475AF">
        <w:t xml:space="preserve">Table </w:t>
      </w:r>
      <w:r w:rsidR="00696736">
        <w:fldChar w:fldCharType="begin" w:fldLock="1"/>
      </w:r>
      <w:r w:rsidR="00696736">
        <w:instrText xml:space="preserve"> SEQ Table \* ARABIC </w:instrText>
      </w:r>
      <w:r w:rsidR="00696736">
        <w:fldChar w:fldCharType="separate"/>
      </w:r>
      <w:r w:rsidR="00F866CD" w:rsidRPr="009475AF">
        <w:t>14</w:t>
      </w:r>
      <w:r w:rsidR="00696736">
        <w:fldChar w:fldCharType="end"/>
      </w:r>
      <w:bookmarkEnd w:id="54"/>
      <w:r w:rsidRPr="009475AF">
        <w:t xml:space="preserve">: </w:t>
      </w:r>
      <w:r w:rsidR="004860AE" w:rsidRPr="009475AF">
        <w:rPr>
          <w:rStyle w:val="CommentReference"/>
          <w:b/>
          <w:szCs w:val="24"/>
        </w:rPr>
        <w:t>Estimated use and financial implications (placeholder effective EMP</w:t>
      </w:r>
      <w:r w:rsidR="00F943DF" w:rsidRPr="009475AF">
        <w:rPr>
          <w:rStyle w:val="CommentReference"/>
          <w:b/>
          <w:szCs w:val="24"/>
        </w:rPr>
        <w:t xml:space="preserve"> for dupilumab</w:t>
      </w:r>
      <w:r w:rsidR="004860AE" w:rsidRPr="009475AF">
        <w:rPr>
          <w:rStyle w:val="CommentReference"/>
          <w:b/>
          <w:szCs w:val="24"/>
        </w:rPr>
        <w:t>), market share model</w:t>
      </w:r>
      <w:r w:rsidR="00F943DF" w:rsidRPr="009475AF">
        <w:rPr>
          <w:rStyle w:val="CommentReference"/>
          <w:b/>
          <w:szCs w:val="24"/>
        </w:rPr>
        <w:t xml:space="preserve">, </w:t>
      </w:r>
      <w:r w:rsidR="00F943DF" w:rsidRPr="009475AF">
        <w:rPr>
          <w:rStyle w:val="CommentReference"/>
          <w:b/>
          <w:iCs/>
          <w:szCs w:val="24"/>
        </w:rPr>
        <w:t>based on the submission’s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placeholder effective EMP for dupilumab), market share model, based on the submission’s estimates"/>
      </w:tblPr>
      <w:tblGrid>
        <w:gridCol w:w="2405"/>
        <w:gridCol w:w="1102"/>
        <w:gridCol w:w="1102"/>
        <w:gridCol w:w="1102"/>
        <w:gridCol w:w="1102"/>
        <w:gridCol w:w="1102"/>
        <w:gridCol w:w="1102"/>
      </w:tblGrid>
      <w:tr w:rsidR="004860AE" w:rsidRPr="009475AF" w14:paraId="5726A9A5" w14:textId="77777777" w:rsidTr="00023485">
        <w:trPr>
          <w:tblHeader/>
        </w:trPr>
        <w:tc>
          <w:tcPr>
            <w:tcW w:w="1334" w:type="pct"/>
            <w:shd w:val="clear" w:color="auto" w:fill="auto"/>
            <w:vAlign w:val="center"/>
          </w:tcPr>
          <w:p w14:paraId="127CF737" w14:textId="77777777" w:rsidR="004860AE" w:rsidRPr="00E14122" w:rsidRDefault="004860AE" w:rsidP="00645BAC">
            <w:pPr>
              <w:pStyle w:val="In-tableHeading"/>
              <w:keepLines/>
              <w:jc w:val="center"/>
              <w:rPr>
                <w:szCs w:val="20"/>
                <w:lang w:val="en-AU"/>
              </w:rPr>
            </w:pPr>
          </w:p>
        </w:tc>
        <w:tc>
          <w:tcPr>
            <w:tcW w:w="611" w:type="pct"/>
            <w:shd w:val="clear" w:color="auto" w:fill="auto"/>
            <w:vAlign w:val="center"/>
          </w:tcPr>
          <w:p w14:paraId="5F24A988" w14:textId="77777777" w:rsidR="004860AE" w:rsidRPr="00E14122" w:rsidRDefault="004860AE" w:rsidP="00645BAC">
            <w:pPr>
              <w:pStyle w:val="In-tableHeading"/>
              <w:keepLines/>
              <w:jc w:val="center"/>
              <w:rPr>
                <w:szCs w:val="20"/>
                <w:lang w:val="en-AU"/>
              </w:rPr>
            </w:pPr>
            <w:r w:rsidRPr="00E14122">
              <w:rPr>
                <w:szCs w:val="20"/>
                <w:lang w:val="en-AU"/>
              </w:rPr>
              <w:t>Year 1</w:t>
            </w:r>
          </w:p>
        </w:tc>
        <w:tc>
          <w:tcPr>
            <w:tcW w:w="611" w:type="pct"/>
            <w:shd w:val="clear" w:color="auto" w:fill="auto"/>
            <w:vAlign w:val="center"/>
          </w:tcPr>
          <w:p w14:paraId="1C88BB39" w14:textId="77777777" w:rsidR="004860AE" w:rsidRPr="00E14122" w:rsidRDefault="004860AE" w:rsidP="00645BAC">
            <w:pPr>
              <w:pStyle w:val="In-tableHeading"/>
              <w:keepLines/>
              <w:jc w:val="center"/>
              <w:rPr>
                <w:szCs w:val="20"/>
                <w:lang w:val="en-AU"/>
              </w:rPr>
            </w:pPr>
            <w:r w:rsidRPr="00E14122">
              <w:rPr>
                <w:szCs w:val="20"/>
                <w:lang w:val="en-AU"/>
              </w:rPr>
              <w:t>Year 2</w:t>
            </w:r>
          </w:p>
        </w:tc>
        <w:tc>
          <w:tcPr>
            <w:tcW w:w="611" w:type="pct"/>
            <w:shd w:val="clear" w:color="auto" w:fill="auto"/>
            <w:vAlign w:val="center"/>
          </w:tcPr>
          <w:p w14:paraId="44833400" w14:textId="77777777" w:rsidR="004860AE" w:rsidRPr="00E14122" w:rsidRDefault="004860AE" w:rsidP="00645BAC">
            <w:pPr>
              <w:pStyle w:val="In-tableHeading"/>
              <w:keepLines/>
              <w:jc w:val="center"/>
              <w:rPr>
                <w:szCs w:val="20"/>
                <w:lang w:val="en-AU"/>
              </w:rPr>
            </w:pPr>
            <w:r w:rsidRPr="00E14122">
              <w:rPr>
                <w:szCs w:val="20"/>
                <w:lang w:val="en-AU"/>
              </w:rPr>
              <w:t>Year 3</w:t>
            </w:r>
          </w:p>
        </w:tc>
        <w:tc>
          <w:tcPr>
            <w:tcW w:w="611" w:type="pct"/>
            <w:shd w:val="clear" w:color="auto" w:fill="auto"/>
            <w:vAlign w:val="center"/>
          </w:tcPr>
          <w:p w14:paraId="786EC9F9" w14:textId="77777777" w:rsidR="004860AE" w:rsidRPr="00E14122" w:rsidRDefault="004860AE" w:rsidP="00645BAC">
            <w:pPr>
              <w:pStyle w:val="In-tableHeading"/>
              <w:keepLines/>
              <w:jc w:val="center"/>
              <w:rPr>
                <w:szCs w:val="20"/>
                <w:lang w:val="en-AU"/>
              </w:rPr>
            </w:pPr>
            <w:r w:rsidRPr="00E14122">
              <w:rPr>
                <w:szCs w:val="20"/>
                <w:lang w:val="en-AU"/>
              </w:rPr>
              <w:t>Year 4</w:t>
            </w:r>
          </w:p>
        </w:tc>
        <w:tc>
          <w:tcPr>
            <w:tcW w:w="611" w:type="pct"/>
            <w:shd w:val="clear" w:color="auto" w:fill="auto"/>
            <w:vAlign w:val="center"/>
          </w:tcPr>
          <w:p w14:paraId="4D475DD3" w14:textId="77777777" w:rsidR="004860AE" w:rsidRPr="00E14122" w:rsidRDefault="004860AE" w:rsidP="00645BAC">
            <w:pPr>
              <w:pStyle w:val="In-tableHeading"/>
              <w:keepLines/>
              <w:jc w:val="center"/>
              <w:rPr>
                <w:szCs w:val="20"/>
                <w:lang w:val="en-AU"/>
              </w:rPr>
            </w:pPr>
            <w:r w:rsidRPr="00E14122">
              <w:rPr>
                <w:szCs w:val="20"/>
                <w:lang w:val="en-AU"/>
              </w:rPr>
              <w:t>Year 5</w:t>
            </w:r>
          </w:p>
        </w:tc>
        <w:tc>
          <w:tcPr>
            <w:tcW w:w="611" w:type="pct"/>
          </w:tcPr>
          <w:p w14:paraId="45E757F8" w14:textId="77777777" w:rsidR="004860AE" w:rsidRPr="00E14122" w:rsidRDefault="004860AE" w:rsidP="00645BAC">
            <w:pPr>
              <w:pStyle w:val="In-tableHeading"/>
              <w:keepLines/>
              <w:jc w:val="center"/>
              <w:rPr>
                <w:szCs w:val="20"/>
                <w:lang w:val="en-AU"/>
              </w:rPr>
            </w:pPr>
            <w:r w:rsidRPr="00E14122">
              <w:rPr>
                <w:szCs w:val="20"/>
                <w:lang w:val="en-AU"/>
              </w:rPr>
              <w:t>Year 6</w:t>
            </w:r>
          </w:p>
        </w:tc>
      </w:tr>
      <w:tr w:rsidR="004860AE" w:rsidRPr="009475AF" w14:paraId="1F23EFE5" w14:textId="77777777" w:rsidTr="00023485">
        <w:tc>
          <w:tcPr>
            <w:tcW w:w="5000" w:type="pct"/>
            <w:gridSpan w:val="7"/>
            <w:shd w:val="clear" w:color="auto" w:fill="auto"/>
            <w:vAlign w:val="center"/>
          </w:tcPr>
          <w:p w14:paraId="01471602" w14:textId="77777777" w:rsidR="004860AE" w:rsidRPr="00E14122" w:rsidRDefault="004860AE" w:rsidP="00645BAC">
            <w:pPr>
              <w:pStyle w:val="In-tableHeading"/>
              <w:keepLines/>
              <w:rPr>
                <w:bCs/>
                <w:color w:val="000000"/>
                <w:szCs w:val="20"/>
                <w:lang w:val="en-AU"/>
              </w:rPr>
            </w:pPr>
            <w:r w:rsidRPr="00E14122">
              <w:rPr>
                <w:bCs/>
                <w:color w:val="000000"/>
                <w:szCs w:val="20"/>
                <w:lang w:val="en-AU"/>
              </w:rPr>
              <w:t>Estimated extent of use</w:t>
            </w:r>
          </w:p>
        </w:tc>
      </w:tr>
      <w:tr w:rsidR="004860AE" w:rsidRPr="009475AF" w14:paraId="4058D2CC" w14:textId="77777777" w:rsidTr="00023485">
        <w:tc>
          <w:tcPr>
            <w:tcW w:w="1334" w:type="pct"/>
            <w:shd w:val="clear" w:color="auto" w:fill="auto"/>
            <w:vAlign w:val="center"/>
          </w:tcPr>
          <w:p w14:paraId="40B6DB44" w14:textId="77777777" w:rsidR="004860AE" w:rsidRPr="00E14122" w:rsidRDefault="004860AE" w:rsidP="00645BAC">
            <w:pPr>
              <w:pStyle w:val="TableText0"/>
              <w:keepLines/>
              <w:rPr>
                <w:szCs w:val="20"/>
              </w:rPr>
            </w:pPr>
            <w:r w:rsidRPr="00E14122">
              <w:rPr>
                <w:szCs w:val="20"/>
              </w:rPr>
              <w:t>Number of scripts dispensed</w:t>
            </w:r>
          </w:p>
        </w:tc>
        <w:tc>
          <w:tcPr>
            <w:tcW w:w="611" w:type="pct"/>
            <w:shd w:val="clear" w:color="auto" w:fill="auto"/>
          </w:tcPr>
          <w:p w14:paraId="42069216" w14:textId="36E74D02"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292"/>
                <w14:textFill>
                  <w14:solidFill>
                    <w14:srgbClr w14:val="000000">
                      <w14:alpha w14:val="100000"/>
                    </w14:srgbClr>
                  </w14:solidFill>
                </w14:textFill>
              </w:rPr>
              <w:t xml:space="preserve">　</w:t>
            </w:r>
            <w:r w:rsidRPr="00CE7646">
              <w:rPr>
                <w:color w:val="000000"/>
                <w:w w:val="16"/>
                <w:szCs w:val="20"/>
                <w:shd w:val="solid" w:color="000000" w:fill="000000"/>
                <w:fitText w:val="75" w:id="-962338292"/>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2"/>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c>
          <w:tcPr>
            <w:tcW w:w="611" w:type="pct"/>
            <w:shd w:val="clear" w:color="auto" w:fill="auto"/>
          </w:tcPr>
          <w:p w14:paraId="111F3814" w14:textId="60966BE9"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291"/>
                <w14:textFill>
                  <w14:solidFill>
                    <w14:srgbClr w14:val="000000">
                      <w14:alpha w14:val="100000"/>
                    </w14:srgbClr>
                  </w14:solidFill>
                </w14:textFill>
              </w:rPr>
              <w:t xml:space="preserve">　</w:t>
            </w:r>
            <w:r w:rsidRPr="00CE7646">
              <w:rPr>
                <w:color w:val="000000"/>
                <w:w w:val="16"/>
                <w:szCs w:val="20"/>
                <w:shd w:val="solid" w:color="000000" w:fill="000000"/>
                <w:fitText w:val="75" w:id="-962338291"/>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1"/>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c>
          <w:tcPr>
            <w:tcW w:w="611" w:type="pct"/>
            <w:shd w:val="clear" w:color="auto" w:fill="auto"/>
          </w:tcPr>
          <w:p w14:paraId="75B701D2" w14:textId="4762FFA3"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290"/>
                <w14:textFill>
                  <w14:solidFill>
                    <w14:srgbClr w14:val="000000">
                      <w14:alpha w14:val="100000"/>
                    </w14:srgbClr>
                  </w14:solidFill>
                </w14:textFill>
              </w:rPr>
              <w:t xml:space="preserve">　</w:t>
            </w:r>
            <w:r w:rsidRPr="00CE7646">
              <w:rPr>
                <w:color w:val="000000"/>
                <w:w w:val="16"/>
                <w:szCs w:val="20"/>
                <w:shd w:val="solid" w:color="000000" w:fill="000000"/>
                <w:fitText w:val="75" w:id="-962338290"/>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0"/>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c>
          <w:tcPr>
            <w:tcW w:w="611" w:type="pct"/>
            <w:shd w:val="clear" w:color="auto" w:fill="auto"/>
          </w:tcPr>
          <w:p w14:paraId="08CDDC17" w14:textId="2BAAA97B"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289"/>
                <w14:textFill>
                  <w14:solidFill>
                    <w14:srgbClr w14:val="000000">
                      <w14:alpha w14:val="100000"/>
                    </w14:srgbClr>
                  </w14:solidFill>
                </w14:textFill>
              </w:rPr>
              <w:t xml:space="preserve">　</w:t>
            </w:r>
            <w:r w:rsidRPr="00CE7646">
              <w:rPr>
                <w:color w:val="000000"/>
                <w:w w:val="16"/>
                <w:szCs w:val="20"/>
                <w:shd w:val="solid" w:color="000000" w:fill="000000"/>
                <w:fitText w:val="75" w:id="-962338289"/>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89"/>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c>
          <w:tcPr>
            <w:tcW w:w="611" w:type="pct"/>
            <w:shd w:val="clear" w:color="auto" w:fill="auto"/>
          </w:tcPr>
          <w:p w14:paraId="5C810923" w14:textId="40DDD8EE"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288"/>
                <w14:textFill>
                  <w14:solidFill>
                    <w14:srgbClr w14:val="000000">
                      <w14:alpha w14:val="100000"/>
                    </w14:srgbClr>
                  </w14:solidFill>
                </w14:textFill>
              </w:rPr>
              <w:t xml:space="preserve">　</w:t>
            </w:r>
            <w:r w:rsidRPr="00CE7646">
              <w:rPr>
                <w:color w:val="000000"/>
                <w:w w:val="16"/>
                <w:szCs w:val="20"/>
                <w:shd w:val="solid" w:color="000000" w:fill="000000"/>
                <w:fitText w:val="75" w:id="-962338288"/>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88"/>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c>
          <w:tcPr>
            <w:tcW w:w="611" w:type="pct"/>
          </w:tcPr>
          <w:p w14:paraId="5D48790D" w14:textId="77A88389" w:rsidR="004860AE" w:rsidRPr="00E14122" w:rsidRDefault="00CE7646" w:rsidP="00645BAC">
            <w:pPr>
              <w:pStyle w:val="TableText0"/>
              <w:keepLines/>
              <w:jc w:val="center"/>
              <w:rPr>
                <w:color w:val="000000"/>
                <w:szCs w:val="20"/>
                <w:highlight w:val="lightGray"/>
              </w:rPr>
            </w:pPr>
            <w:r w:rsidRPr="00CE7646">
              <w:rPr>
                <w:rFonts w:hint="eastAsia"/>
                <w:color w:val="000000"/>
                <w:w w:val="16"/>
                <w:szCs w:val="20"/>
                <w:shd w:val="solid" w:color="000000" w:fill="000000"/>
                <w:fitText w:val="75" w:id="-962338304"/>
                <w14:textFill>
                  <w14:solidFill>
                    <w14:srgbClr w14:val="000000">
                      <w14:alpha w14:val="100000"/>
                    </w14:srgbClr>
                  </w14:solidFill>
                </w14:textFill>
              </w:rPr>
              <w:t xml:space="preserve">　</w:t>
            </w:r>
            <w:r w:rsidRPr="00CE7646">
              <w:rPr>
                <w:color w:val="000000"/>
                <w:w w:val="16"/>
                <w:szCs w:val="20"/>
                <w:shd w:val="solid" w:color="000000" w:fill="000000"/>
                <w:fitText w:val="75" w:id="-962338304"/>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304"/>
                <w14:textFill>
                  <w14:solidFill>
                    <w14:srgbClr w14:val="000000">
                      <w14:alpha w14:val="100000"/>
                    </w14:srgbClr>
                  </w14:solidFill>
                </w14:textFill>
              </w:rPr>
              <w:t xml:space="preserve">　</w:t>
            </w:r>
            <w:r w:rsidR="00213940" w:rsidRPr="00213940">
              <w:rPr>
                <w:szCs w:val="20"/>
              </w:rPr>
              <w:t xml:space="preserve"> </w:t>
            </w:r>
            <w:r w:rsidR="00022F15" w:rsidRPr="00E14122">
              <w:rPr>
                <w:szCs w:val="20"/>
                <w:vertAlign w:val="superscript"/>
              </w:rPr>
              <w:t>1</w:t>
            </w:r>
          </w:p>
        </w:tc>
      </w:tr>
      <w:tr w:rsidR="004860AE" w:rsidRPr="009475AF" w14:paraId="301EF9CA" w14:textId="77777777" w:rsidTr="00023485">
        <w:tc>
          <w:tcPr>
            <w:tcW w:w="5000" w:type="pct"/>
            <w:gridSpan w:val="7"/>
            <w:shd w:val="clear" w:color="auto" w:fill="auto"/>
            <w:vAlign w:val="center"/>
          </w:tcPr>
          <w:p w14:paraId="2A9BA53E" w14:textId="77777777" w:rsidR="004860AE" w:rsidRPr="00E14122" w:rsidRDefault="004860AE" w:rsidP="00645BAC">
            <w:pPr>
              <w:pStyle w:val="In-tableHeading"/>
              <w:keepLines/>
              <w:rPr>
                <w:szCs w:val="20"/>
                <w:lang w:val="en-AU"/>
              </w:rPr>
            </w:pPr>
            <w:r w:rsidRPr="00E14122">
              <w:rPr>
                <w:szCs w:val="20"/>
                <w:lang w:val="en-AU"/>
              </w:rPr>
              <w:t>Estimated financial implications of dupilumab</w:t>
            </w:r>
          </w:p>
        </w:tc>
      </w:tr>
      <w:tr w:rsidR="004860AE" w:rsidRPr="009475AF" w14:paraId="16685651" w14:textId="77777777" w:rsidTr="00023485">
        <w:tc>
          <w:tcPr>
            <w:tcW w:w="1334" w:type="pct"/>
            <w:shd w:val="clear" w:color="auto" w:fill="auto"/>
            <w:vAlign w:val="center"/>
          </w:tcPr>
          <w:p w14:paraId="2F61920D" w14:textId="77777777" w:rsidR="004860AE" w:rsidRPr="00E14122" w:rsidRDefault="004860AE" w:rsidP="00645BAC">
            <w:pPr>
              <w:pStyle w:val="TableText0"/>
              <w:keepLines/>
              <w:rPr>
                <w:szCs w:val="20"/>
              </w:rPr>
            </w:pPr>
            <w:r w:rsidRPr="00E14122">
              <w:rPr>
                <w:szCs w:val="20"/>
              </w:rPr>
              <w:t>Cost to PBS/RPBS less copayments</w:t>
            </w:r>
          </w:p>
        </w:tc>
        <w:tc>
          <w:tcPr>
            <w:tcW w:w="611" w:type="pct"/>
            <w:shd w:val="clear" w:color="auto" w:fill="auto"/>
          </w:tcPr>
          <w:p w14:paraId="4D2CC421" w14:textId="03D48EDB" w:rsidR="004860AE" w:rsidRPr="00E14122" w:rsidRDefault="004860AE" w:rsidP="00645BAC">
            <w:pPr>
              <w:pStyle w:val="TableText0"/>
              <w:keepLines/>
              <w:jc w:val="center"/>
              <w:rPr>
                <w:szCs w:val="20"/>
                <w:vertAlign w:val="superscript"/>
              </w:rPr>
            </w:pPr>
            <w:r w:rsidRPr="00E14122">
              <w:rPr>
                <w:szCs w:val="20"/>
              </w:rPr>
              <w:t>$</w:t>
            </w:r>
            <w:r w:rsidR="00CE7646" w:rsidRPr="00CE7646">
              <w:rPr>
                <w:rFonts w:hint="eastAsia"/>
                <w:color w:val="000000"/>
                <w:w w:val="23"/>
                <w:szCs w:val="20"/>
                <w:shd w:val="solid" w:color="000000" w:fill="000000"/>
                <w:fitText w:val="105" w:id="-962338303"/>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303"/>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303"/>
                <w14:textFill>
                  <w14:solidFill>
                    <w14:srgbClr w14:val="000000">
                      <w14:alpha w14:val="100000"/>
                    </w14:srgbClr>
                  </w14:solidFill>
                </w14:textFill>
              </w:rPr>
              <w:t xml:space="preserve">　</w:t>
            </w:r>
            <w:r w:rsidR="00022F15" w:rsidRPr="00E14122">
              <w:rPr>
                <w:szCs w:val="20"/>
                <w:vertAlign w:val="superscript"/>
              </w:rPr>
              <w:t>2</w:t>
            </w:r>
          </w:p>
        </w:tc>
        <w:tc>
          <w:tcPr>
            <w:tcW w:w="611" w:type="pct"/>
            <w:shd w:val="clear" w:color="auto" w:fill="auto"/>
          </w:tcPr>
          <w:p w14:paraId="496D03CC" w14:textId="1D1F3738"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302"/>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302"/>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302"/>
                <w14:textFill>
                  <w14:solidFill>
                    <w14:srgbClr w14:val="000000">
                      <w14:alpha w14:val="100000"/>
                    </w14:srgbClr>
                  </w14:solidFill>
                </w14:textFill>
              </w:rPr>
              <w:t xml:space="preserve">　</w:t>
            </w:r>
            <w:r w:rsidR="00022F15" w:rsidRPr="00E14122">
              <w:rPr>
                <w:szCs w:val="20"/>
                <w:vertAlign w:val="superscript"/>
              </w:rPr>
              <w:t>2</w:t>
            </w:r>
          </w:p>
        </w:tc>
        <w:tc>
          <w:tcPr>
            <w:tcW w:w="611" w:type="pct"/>
            <w:shd w:val="clear" w:color="auto" w:fill="auto"/>
          </w:tcPr>
          <w:p w14:paraId="763792D5" w14:textId="3D3985CF"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301"/>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301"/>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301"/>
                <w14:textFill>
                  <w14:solidFill>
                    <w14:srgbClr w14:val="000000">
                      <w14:alpha w14:val="100000"/>
                    </w14:srgbClr>
                  </w14:solidFill>
                </w14:textFill>
              </w:rPr>
              <w:t xml:space="preserve">　</w:t>
            </w:r>
            <w:r w:rsidR="00022F15" w:rsidRPr="00E14122">
              <w:rPr>
                <w:szCs w:val="20"/>
                <w:vertAlign w:val="superscript"/>
              </w:rPr>
              <w:t>2</w:t>
            </w:r>
          </w:p>
        </w:tc>
        <w:tc>
          <w:tcPr>
            <w:tcW w:w="611" w:type="pct"/>
            <w:shd w:val="clear" w:color="auto" w:fill="auto"/>
          </w:tcPr>
          <w:p w14:paraId="4D08DA88" w14:textId="1D163B5A"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300"/>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300"/>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300"/>
                <w14:textFill>
                  <w14:solidFill>
                    <w14:srgbClr w14:val="000000">
                      <w14:alpha w14:val="100000"/>
                    </w14:srgbClr>
                  </w14:solidFill>
                </w14:textFill>
              </w:rPr>
              <w:t xml:space="preserve">　</w:t>
            </w:r>
            <w:r w:rsidR="00022F15" w:rsidRPr="00E14122">
              <w:rPr>
                <w:szCs w:val="20"/>
                <w:vertAlign w:val="superscript"/>
              </w:rPr>
              <w:t>2</w:t>
            </w:r>
          </w:p>
        </w:tc>
        <w:tc>
          <w:tcPr>
            <w:tcW w:w="611" w:type="pct"/>
            <w:shd w:val="clear" w:color="auto" w:fill="auto"/>
          </w:tcPr>
          <w:p w14:paraId="67B4757C" w14:textId="14F7249D"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9"/>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9"/>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9"/>
                <w14:textFill>
                  <w14:solidFill>
                    <w14:srgbClr w14:val="000000">
                      <w14:alpha w14:val="100000"/>
                    </w14:srgbClr>
                  </w14:solidFill>
                </w14:textFill>
              </w:rPr>
              <w:t xml:space="preserve">　</w:t>
            </w:r>
            <w:r w:rsidR="00022F15" w:rsidRPr="00E14122">
              <w:rPr>
                <w:szCs w:val="20"/>
                <w:vertAlign w:val="superscript"/>
              </w:rPr>
              <w:t>2</w:t>
            </w:r>
          </w:p>
        </w:tc>
        <w:tc>
          <w:tcPr>
            <w:tcW w:w="611" w:type="pct"/>
          </w:tcPr>
          <w:p w14:paraId="110C0D56" w14:textId="6F475DA7"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8"/>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8"/>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8"/>
                <w14:textFill>
                  <w14:solidFill>
                    <w14:srgbClr w14:val="000000">
                      <w14:alpha w14:val="100000"/>
                    </w14:srgbClr>
                  </w14:solidFill>
                </w14:textFill>
              </w:rPr>
              <w:t xml:space="preserve">　</w:t>
            </w:r>
            <w:r w:rsidR="00022F15" w:rsidRPr="00E14122">
              <w:rPr>
                <w:szCs w:val="20"/>
                <w:vertAlign w:val="superscript"/>
              </w:rPr>
              <w:t>2</w:t>
            </w:r>
          </w:p>
        </w:tc>
      </w:tr>
      <w:tr w:rsidR="004860AE" w:rsidRPr="009475AF" w14:paraId="6B1262B8" w14:textId="77777777" w:rsidTr="00023485">
        <w:tc>
          <w:tcPr>
            <w:tcW w:w="5000" w:type="pct"/>
            <w:gridSpan w:val="7"/>
            <w:shd w:val="clear" w:color="auto" w:fill="auto"/>
            <w:vAlign w:val="center"/>
          </w:tcPr>
          <w:p w14:paraId="3BC40C23" w14:textId="77777777" w:rsidR="004860AE" w:rsidRPr="00E14122" w:rsidRDefault="004860AE" w:rsidP="00645BAC">
            <w:pPr>
              <w:pStyle w:val="In-tableHeading"/>
              <w:keepLines/>
              <w:rPr>
                <w:szCs w:val="20"/>
                <w:lang w:val="en-AU"/>
              </w:rPr>
            </w:pPr>
            <w:r w:rsidRPr="00E14122">
              <w:rPr>
                <w:szCs w:val="20"/>
                <w:lang w:val="en-AU"/>
              </w:rPr>
              <w:t>Estimated financial implications for omalizumab</w:t>
            </w:r>
          </w:p>
        </w:tc>
      </w:tr>
      <w:tr w:rsidR="004860AE" w:rsidRPr="009475AF" w14:paraId="3E5A0803" w14:textId="77777777" w:rsidTr="00023485">
        <w:tc>
          <w:tcPr>
            <w:tcW w:w="1334" w:type="pct"/>
            <w:shd w:val="clear" w:color="auto" w:fill="auto"/>
            <w:vAlign w:val="center"/>
          </w:tcPr>
          <w:p w14:paraId="3B621C0A" w14:textId="77777777" w:rsidR="004860AE" w:rsidRPr="00E14122" w:rsidRDefault="004860AE" w:rsidP="00645BAC">
            <w:pPr>
              <w:pStyle w:val="TableText0"/>
              <w:keepLines/>
              <w:rPr>
                <w:szCs w:val="20"/>
              </w:rPr>
            </w:pPr>
            <w:r w:rsidRPr="00E14122">
              <w:rPr>
                <w:szCs w:val="20"/>
              </w:rPr>
              <w:t>Change in omalizumab scripts</w:t>
            </w:r>
          </w:p>
        </w:tc>
        <w:tc>
          <w:tcPr>
            <w:tcW w:w="611" w:type="pct"/>
            <w:shd w:val="clear" w:color="auto" w:fill="auto"/>
          </w:tcPr>
          <w:p w14:paraId="3DDA7463" w14:textId="0CB83CA0"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7"/>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7"/>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7"/>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c>
          <w:tcPr>
            <w:tcW w:w="611" w:type="pct"/>
            <w:shd w:val="clear" w:color="auto" w:fill="auto"/>
          </w:tcPr>
          <w:p w14:paraId="00AFE21F" w14:textId="4E8FC159"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6"/>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6"/>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6"/>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c>
          <w:tcPr>
            <w:tcW w:w="611" w:type="pct"/>
            <w:shd w:val="clear" w:color="auto" w:fill="auto"/>
          </w:tcPr>
          <w:p w14:paraId="76825ECE" w14:textId="70D8C0EA"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5"/>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5"/>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5"/>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c>
          <w:tcPr>
            <w:tcW w:w="611" w:type="pct"/>
            <w:shd w:val="clear" w:color="auto" w:fill="auto"/>
          </w:tcPr>
          <w:p w14:paraId="027BF0BD" w14:textId="25BB4C12"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4"/>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4"/>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4"/>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c>
          <w:tcPr>
            <w:tcW w:w="611" w:type="pct"/>
            <w:shd w:val="clear" w:color="auto" w:fill="auto"/>
          </w:tcPr>
          <w:p w14:paraId="67CF30E4" w14:textId="0D84B595"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3"/>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3"/>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3"/>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c>
          <w:tcPr>
            <w:tcW w:w="611" w:type="pct"/>
          </w:tcPr>
          <w:p w14:paraId="12937772" w14:textId="19E18A35"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23"/>
                <w:szCs w:val="20"/>
                <w:shd w:val="solid" w:color="000000" w:fill="000000"/>
                <w:fitText w:val="105" w:id="-962338292"/>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2"/>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2"/>
                <w14:textFill>
                  <w14:solidFill>
                    <w14:srgbClr w14:val="000000">
                      <w14:alpha w14:val="100000"/>
                    </w14:srgbClr>
                  </w14:solidFill>
                </w14:textFill>
              </w:rPr>
              <w:t xml:space="preserve">　</w:t>
            </w:r>
            <w:r w:rsidRPr="00E14122">
              <w:rPr>
                <w:szCs w:val="20"/>
              </w:rPr>
              <w:t xml:space="preserve"> </w:t>
            </w:r>
            <w:r w:rsidR="00E70AEF">
              <w:rPr>
                <w:szCs w:val="20"/>
                <w:vertAlign w:val="superscript"/>
              </w:rPr>
              <w:t>1</w:t>
            </w:r>
          </w:p>
        </w:tc>
      </w:tr>
      <w:tr w:rsidR="004860AE" w:rsidRPr="009475AF" w14:paraId="386F5F96" w14:textId="77777777" w:rsidTr="00023485">
        <w:tc>
          <w:tcPr>
            <w:tcW w:w="1334" w:type="pct"/>
            <w:shd w:val="clear" w:color="auto" w:fill="auto"/>
            <w:vAlign w:val="center"/>
          </w:tcPr>
          <w:p w14:paraId="1EF22C64" w14:textId="77777777" w:rsidR="004860AE" w:rsidRPr="00E14122" w:rsidRDefault="004860AE" w:rsidP="00645BAC">
            <w:pPr>
              <w:pStyle w:val="TableText0"/>
              <w:keepLines/>
              <w:rPr>
                <w:szCs w:val="20"/>
              </w:rPr>
            </w:pPr>
            <w:r w:rsidRPr="00E14122">
              <w:rPr>
                <w:szCs w:val="20"/>
              </w:rPr>
              <w:t>Cost to PBS/RPBS less copayments</w:t>
            </w:r>
          </w:p>
        </w:tc>
        <w:tc>
          <w:tcPr>
            <w:tcW w:w="611" w:type="pct"/>
            <w:shd w:val="clear" w:color="auto" w:fill="auto"/>
          </w:tcPr>
          <w:p w14:paraId="4B9DAEE0" w14:textId="02294A68"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1"/>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1"/>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1"/>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7B4AAA34" w14:textId="1053DBEB"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0"/>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0"/>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0"/>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7A707D21" w14:textId="2BDA61B6"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89"/>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89"/>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89"/>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487D5EF0" w14:textId="6CFC898C"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88"/>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88"/>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88"/>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0CAFF216" w14:textId="2E1A957B"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304"/>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304"/>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304"/>
                <w14:textFill>
                  <w14:solidFill>
                    <w14:srgbClr w14:val="000000">
                      <w14:alpha w14:val="100000"/>
                    </w14:srgbClr>
                  </w14:solidFill>
                </w14:textFill>
              </w:rPr>
              <w:t xml:space="preserve">　</w:t>
            </w:r>
            <w:r w:rsidR="00D430B4" w:rsidRPr="00E14122">
              <w:rPr>
                <w:szCs w:val="20"/>
                <w:vertAlign w:val="superscript"/>
              </w:rPr>
              <w:t>3</w:t>
            </w:r>
          </w:p>
        </w:tc>
        <w:tc>
          <w:tcPr>
            <w:tcW w:w="611" w:type="pct"/>
          </w:tcPr>
          <w:p w14:paraId="54E6E1C0" w14:textId="3D3CD316"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303"/>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303"/>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303"/>
                <w14:textFill>
                  <w14:solidFill>
                    <w14:srgbClr w14:val="000000">
                      <w14:alpha w14:val="100000"/>
                    </w14:srgbClr>
                  </w14:solidFill>
                </w14:textFill>
              </w:rPr>
              <w:t xml:space="preserve">　</w:t>
            </w:r>
            <w:r w:rsidR="00D430B4" w:rsidRPr="00E14122">
              <w:rPr>
                <w:szCs w:val="20"/>
                <w:vertAlign w:val="superscript"/>
              </w:rPr>
              <w:t>3</w:t>
            </w:r>
          </w:p>
        </w:tc>
      </w:tr>
      <w:tr w:rsidR="004860AE" w:rsidRPr="009475AF" w14:paraId="1F494610" w14:textId="77777777" w:rsidTr="00023485">
        <w:tc>
          <w:tcPr>
            <w:tcW w:w="5000" w:type="pct"/>
            <w:gridSpan w:val="7"/>
            <w:shd w:val="clear" w:color="auto" w:fill="auto"/>
            <w:vAlign w:val="center"/>
          </w:tcPr>
          <w:p w14:paraId="23B2D95B" w14:textId="42204C64" w:rsidR="004860AE" w:rsidRPr="00E14122" w:rsidRDefault="004860AE" w:rsidP="00645BAC">
            <w:pPr>
              <w:pStyle w:val="In-tableHeading"/>
              <w:keepLines/>
              <w:rPr>
                <w:szCs w:val="20"/>
                <w:lang w:val="en-AU"/>
              </w:rPr>
            </w:pPr>
            <w:r w:rsidRPr="00E14122">
              <w:rPr>
                <w:szCs w:val="20"/>
                <w:lang w:val="en-AU"/>
              </w:rPr>
              <w:t xml:space="preserve">Net financial implications </w:t>
            </w:r>
          </w:p>
        </w:tc>
      </w:tr>
      <w:tr w:rsidR="004860AE" w:rsidRPr="009475AF" w14:paraId="452DD238" w14:textId="77777777" w:rsidTr="00023485">
        <w:tc>
          <w:tcPr>
            <w:tcW w:w="1334" w:type="pct"/>
            <w:shd w:val="clear" w:color="auto" w:fill="auto"/>
            <w:vAlign w:val="center"/>
          </w:tcPr>
          <w:p w14:paraId="59118AA9" w14:textId="77777777" w:rsidR="004860AE" w:rsidRPr="00E14122" w:rsidRDefault="004860AE" w:rsidP="00645BAC">
            <w:pPr>
              <w:pStyle w:val="TableText0"/>
              <w:keepLines/>
              <w:rPr>
                <w:szCs w:val="20"/>
              </w:rPr>
            </w:pPr>
            <w:r w:rsidRPr="00E14122">
              <w:rPr>
                <w:szCs w:val="20"/>
              </w:rPr>
              <w:t>Net cost to PBS/RPBS</w:t>
            </w:r>
          </w:p>
        </w:tc>
        <w:tc>
          <w:tcPr>
            <w:tcW w:w="611" w:type="pct"/>
            <w:shd w:val="clear" w:color="auto" w:fill="auto"/>
            <w:vAlign w:val="bottom"/>
          </w:tcPr>
          <w:p w14:paraId="11014DBD" w14:textId="2E20C0F3"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7"/>
                <w:szCs w:val="20"/>
                <w:shd w:val="solid" w:color="000000" w:fill="000000"/>
                <w:fitText w:val="120" w:id="-962338302"/>
                <w:lang w:eastAsia="en-GB"/>
                <w14:textFill>
                  <w14:solidFill>
                    <w14:srgbClr w14:val="000000">
                      <w14:alpha w14:val="100000"/>
                    </w14:srgbClr>
                  </w14:solidFill>
                </w14:textFill>
              </w:rPr>
              <w:t xml:space="preserve">　</w:t>
            </w:r>
            <w:r w:rsidR="00CE7646" w:rsidRPr="00CE7646">
              <w:rPr>
                <w:rFonts w:cs="Calibri"/>
                <w:iCs/>
                <w:color w:val="000000"/>
                <w:w w:val="27"/>
                <w:szCs w:val="20"/>
                <w:shd w:val="solid" w:color="000000" w:fill="000000"/>
                <w:fitText w:val="120" w:id="-962338302"/>
                <w:lang w:eastAsia="en-GB"/>
                <w14:textFill>
                  <w14:solidFill>
                    <w14:srgbClr w14:val="000000">
                      <w14:alpha w14:val="100000"/>
                    </w14:srgbClr>
                  </w14:solidFill>
                </w14:textFill>
              </w:rPr>
              <w:t>|</w:t>
            </w:r>
            <w:r w:rsidR="00CE7646" w:rsidRPr="00CE7646">
              <w:rPr>
                <w:rFonts w:cs="Calibri" w:hint="eastAsia"/>
                <w:iCs/>
                <w:color w:val="000000"/>
                <w:spacing w:val="2"/>
                <w:w w:val="27"/>
                <w:szCs w:val="20"/>
                <w:shd w:val="solid" w:color="000000" w:fill="000000"/>
                <w:fitText w:val="120" w:id="-962338302"/>
                <w:lang w:eastAsia="en-GB"/>
                <w14:textFill>
                  <w14:solidFill>
                    <w14:srgbClr w14:val="000000">
                      <w14:alpha w14:val="100000"/>
                    </w14:srgbClr>
                  </w14:solidFill>
                </w14:textFill>
              </w:rPr>
              <w:t xml:space="preserve">　</w:t>
            </w:r>
            <w:r w:rsidRPr="00E14122">
              <w:rPr>
                <w:rFonts w:cs="Calibri"/>
                <w:iCs/>
                <w:color w:val="000000"/>
                <w:szCs w:val="20"/>
                <w:lang w:eastAsia="en-GB"/>
              </w:rPr>
              <w:t xml:space="preserve"> </w:t>
            </w:r>
            <w:r w:rsidR="00D430B4" w:rsidRPr="00E14122">
              <w:rPr>
                <w:szCs w:val="20"/>
                <w:vertAlign w:val="superscript"/>
              </w:rPr>
              <w:t>2</w:t>
            </w:r>
          </w:p>
        </w:tc>
        <w:tc>
          <w:tcPr>
            <w:tcW w:w="611" w:type="pct"/>
            <w:shd w:val="clear" w:color="auto" w:fill="auto"/>
            <w:vAlign w:val="bottom"/>
          </w:tcPr>
          <w:p w14:paraId="7A10050D" w14:textId="61CBFC01"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7"/>
                <w:szCs w:val="20"/>
                <w:shd w:val="solid" w:color="000000" w:fill="000000"/>
                <w:fitText w:val="120" w:id="-962338301"/>
                <w:lang w:eastAsia="en-GB"/>
                <w14:textFill>
                  <w14:solidFill>
                    <w14:srgbClr w14:val="000000">
                      <w14:alpha w14:val="100000"/>
                    </w14:srgbClr>
                  </w14:solidFill>
                </w14:textFill>
              </w:rPr>
              <w:t xml:space="preserve">　</w:t>
            </w:r>
            <w:r w:rsidR="00CE7646" w:rsidRPr="00CE7646">
              <w:rPr>
                <w:rFonts w:cs="Calibri"/>
                <w:iCs/>
                <w:color w:val="000000"/>
                <w:w w:val="27"/>
                <w:szCs w:val="20"/>
                <w:shd w:val="solid" w:color="000000" w:fill="000000"/>
                <w:fitText w:val="120" w:id="-962338301"/>
                <w:lang w:eastAsia="en-GB"/>
                <w14:textFill>
                  <w14:solidFill>
                    <w14:srgbClr w14:val="000000">
                      <w14:alpha w14:val="100000"/>
                    </w14:srgbClr>
                  </w14:solidFill>
                </w14:textFill>
              </w:rPr>
              <w:t>|</w:t>
            </w:r>
            <w:r w:rsidR="00CE7646" w:rsidRPr="00CE7646">
              <w:rPr>
                <w:rFonts w:cs="Calibri" w:hint="eastAsia"/>
                <w:iCs/>
                <w:color w:val="000000"/>
                <w:spacing w:val="2"/>
                <w:w w:val="27"/>
                <w:szCs w:val="20"/>
                <w:shd w:val="solid" w:color="000000" w:fill="000000"/>
                <w:fitText w:val="120" w:id="-962338301"/>
                <w:lang w:eastAsia="en-GB"/>
                <w14:textFill>
                  <w14:solidFill>
                    <w14:srgbClr w14:val="000000">
                      <w14:alpha w14:val="100000"/>
                    </w14:srgbClr>
                  </w14:solidFill>
                </w14:textFill>
              </w:rPr>
              <w:t xml:space="preserve">　</w:t>
            </w:r>
            <w:r w:rsidRPr="00E14122">
              <w:rPr>
                <w:rFonts w:cs="Calibri"/>
                <w:iCs/>
                <w:color w:val="000000"/>
                <w:szCs w:val="20"/>
                <w:lang w:eastAsia="en-GB"/>
              </w:rPr>
              <w:t xml:space="preserve"> </w:t>
            </w:r>
            <w:r w:rsidR="00D430B4" w:rsidRPr="00E14122">
              <w:rPr>
                <w:szCs w:val="20"/>
                <w:vertAlign w:val="superscript"/>
              </w:rPr>
              <w:t>2</w:t>
            </w:r>
          </w:p>
        </w:tc>
        <w:tc>
          <w:tcPr>
            <w:tcW w:w="611" w:type="pct"/>
            <w:shd w:val="clear" w:color="auto" w:fill="auto"/>
            <w:vAlign w:val="bottom"/>
          </w:tcPr>
          <w:p w14:paraId="539EC92B" w14:textId="66DFA68B"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7"/>
                <w:szCs w:val="20"/>
                <w:shd w:val="solid" w:color="000000" w:fill="000000"/>
                <w:fitText w:val="120" w:id="-962338300"/>
                <w:lang w:eastAsia="en-GB"/>
                <w14:textFill>
                  <w14:solidFill>
                    <w14:srgbClr w14:val="000000">
                      <w14:alpha w14:val="100000"/>
                    </w14:srgbClr>
                  </w14:solidFill>
                </w14:textFill>
              </w:rPr>
              <w:t xml:space="preserve">　</w:t>
            </w:r>
            <w:r w:rsidR="00CE7646" w:rsidRPr="00CE7646">
              <w:rPr>
                <w:rFonts w:cs="Calibri"/>
                <w:iCs/>
                <w:color w:val="000000"/>
                <w:w w:val="27"/>
                <w:szCs w:val="20"/>
                <w:shd w:val="solid" w:color="000000" w:fill="000000"/>
                <w:fitText w:val="120" w:id="-962338300"/>
                <w:lang w:eastAsia="en-GB"/>
                <w14:textFill>
                  <w14:solidFill>
                    <w14:srgbClr w14:val="000000">
                      <w14:alpha w14:val="100000"/>
                    </w14:srgbClr>
                  </w14:solidFill>
                </w14:textFill>
              </w:rPr>
              <w:t>|</w:t>
            </w:r>
            <w:r w:rsidR="00CE7646" w:rsidRPr="00CE7646">
              <w:rPr>
                <w:rFonts w:cs="Calibri" w:hint="eastAsia"/>
                <w:iCs/>
                <w:color w:val="000000"/>
                <w:spacing w:val="2"/>
                <w:w w:val="27"/>
                <w:szCs w:val="20"/>
                <w:shd w:val="solid" w:color="000000" w:fill="000000"/>
                <w:fitText w:val="120" w:id="-962338300"/>
                <w:lang w:eastAsia="en-GB"/>
                <w14:textFill>
                  <w14:solidFill>
                    <w14:srgbClr w14:val="000000">
                      <w14:alpha w14:val="100000"/>
                    </w14:srgbClr>
                  </w14:solidFill>
                </w14:textFill>
              </w:rPr>
              <w:t xml:space="preserve">　</w:t>
            </w:r>
            <w:r w:rsidRPr="00E14122">
              <w:rPr>
                <w:rFonts w:cs="Calibri"/>
                <w:iCs/>
                <w:color w:val="000000"/>
                <w:szCs w:val="20"/>
                <w:lang w:eastAsia="en-GB"/>
              </w:rPr>
              <w:t xml:space="preserve"> </w:t>
            </w:r>
            <w:r w:rsidR="00D430B4" w:rsidRPr="00E14122">
              <w:rPr>
                <w:szCs w:val="20"/>
                <w:vertAlign w:val="superscript"/>
              </w:rPr>
              <w:t>2</w:t>
            </w:r>
          </w:p>
        </w:tc>
        <w:tc>
          <w:tcPr>
            <w:tcW w:w="611" w:type="pct"/>
            <w:shd w:val="clear" w:color="auto" w:fill="auto"/>
            <w:vAlign w:val="bottom"/>
          </w:tcPr>
          <w:p w14:paraId="0D9863CC" w14:textId="6E4D2BB3"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3"/>
                <w:szCs w:val="20"/>
                <w:shd w:val="solid" w:color="000000" w:fill="000000"/>
                <w:fitText w:val="105" w:id="-962338299"/>
                <w:lang w:eastAsia="en-GB"/>
                <w14:textFill>
                  <w14:solidFill>
                    <w14:srgbClr w14:val="000000">
                      <w14:alpha w14:val="100000"/>
                    </w14:srgbClr>
                  </w14:solidFill>
                </w14:textFill>
              </w:rPr>
              <w:t xml:space="preserve">　</w:t>
            </w:r>
            <w:r w:rsidR="00CE7646" w:rsidRPr="00CE7646">
              <w:rPr>
                <w:rFonts w:cs="Calibri"/>
                <w:iCs/>
                <w:color w:val="000000"/>
                <w:w w:val="23"/>
                <w:szCs w:val="20"/>
                <w:shd w:val="solid" w:color="000000" w:fill="000000"/>
                <w:fitText w:val="105" w:id="-962338299"/>
                <w:lang w:eastAsia="en-GB"/>
                <w14:textFill>
                  <w14:solidFill>
                    <w14:srgbClr w14:val="000000">
                      <w14:alpha w14:val="100000"/>
                    </w14:srgbClr>
                  </w14:solidFill>
                </w14:textFill>
              </w:rPr>
              <w:t>|</w:t>
            </w:r>
            <w:r w:rsidR="00CE7646" w:rsidRPr="00CE7646">
              <w:rPr>
                <w:rFonts w:cs="Calibri" w:hint="eastAsia"/>
                <w:iCs/>
                <w:color w:val="000000"/>
                <w:spacing w:val="4"/>
                <w:w w:val="23"/>
                <w:szCs w:val="20"/>
                <w:shd w:val="solid" w:color="000000" w:fill="000000"/>
                <w:fitText w:val="105" w:id="-962338299"/>
                <w:lang w:eastAsia="en-GB"/>
                <w14:textFill>
                  <w14:solidFill>
                    <w14:srgbClr w14:val="000000">
                      <w14:alpha w14:val="100000"/>
                    </w14:srgbClr>
                  </w14:solidFill>
                </w14:textFill>
              </w:rPr>
              <w:t xml:space="preserve">　</w:t>
            </w:r>
            <w:r w:rsidR="00D430B4" w:rsidRPr="00E14122">
              <w:rPr>
                <w:szCs w:val="20"/>
                <w:vertAlign w:val="superscript"/>
              </w:rPr>
              <w:t>2</w:t>
            </w:r>
            <w:r w:rsidRPr="00E14122">
              <w:rPr>
                <w:rFonts w:cs="Calibri"/>
                <w:iCs/>
                <w:color w:val="000000"/>
                <w:szCs w:val="20"/>
                <w:lang w:eastAsia="en-GB"/>
              </w:rPr>
              <w:t xml:space="preserve"> </w:t>
            </w:r>
          </w:p>
        </w:tc>
        <w:tc>
          <w:tcPr>
            <w:tcW w:w="611" w:type="pct"/>
            <w:shd w:val="clear" w:color="auto" w:fill="auto"/>
            <w:vAlign w:val="bottom"/>
          </w:tcPr>
          <w:p w14:paraId="2A392F2D" w14:textId="7901D165"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7"/>
                <w:szCs w:val="20"/>
                <w:shd w:val="solid" w:color="000000" w:fill="000000"/>
                <w:fitText w:val="120" w:id="-962338298"/>
                <w:lang w:eastAsia="en-GB"/>
                <w14:textFill>
                  <w14:solidFill>
                    <w14:srgbClr w14:val="000000">
                      <w14:alpha w14:val="100000"/>
                    </w14:srgbClr>
                  </w14:solidFill>
                </w14:textFill>
              </w:rPr>
              <w:t xml:space="preserve">　</w:t>
            </w:r>
            <w:r w:rsidR="00CE7646" w:rsidRPr="00CE7646">
              <w:rPr>
                <w:rFonts w:cs="Calibri"/>
                <w:iCs/>
                <w:color w:val="000000"/>
                <w:w w:val="27"/>
                <w:szCs w:val="20"/>
                <w:shd w:val="solid" w:color="000000" w:fill="000000"/>
                <w:fitText w:val="120" w:id="-962338298"/>
                <w:lang w:eastAsia="en-GB"/>
                <w14:textFill>
                  <w14:solidFill>
                    <w14:srgbClr w14:val="000000">
                      <w14:alpha w14:val="100000"/>
                    </w14:srgbClr>
                  </w14:solidFill>
                </w14:textFill>
              </w:rPr>
              <w:t>|</w:t>
            </w:r>
            <w:r w:rsidR="00CE7646" w:rsidRPr="00CE7646">
              <w:rPr>
                <w:rFonts w:cs="Calibri" w:hint="eastAsia"/>
                <w:iCs/>
                <w:color w:val="000000"/>
                <w:spacing w:val="2"/>
                <w:w w:val="27"/>
                <w:szCs w:val="20"/>
                <w:shd w:val="solid" w:color="000000" w:fill="000000"/>
                <w:fitText w:val="120" w:id="-962338298"/>
                <w:lang w:eastAsia="en-GB"/>
                <w14:textFill>
                  <w14:solidFill>
                    <w14:srgbClr w14:val="000000">
                      <w14:alpha w14:val="100000"/>
                    </w14:srgbClr>
                  </w14:solidFill>
                </w14:textFill>
              </w:rPr>
              <w:t xml:space="preserve">　</w:t>
            </w:r>
            <w:r w:rsidRPr="00E14122">
              <w:rPr>
                <w:rFonts w:cs="Calibri"/>
                <w:iCs/>
                <w:color w:val="000000"/>
                <w:szCs w:val="20"/>
                <w:lang w:eastAsia="en-GB"/>
              </w:rPr>
              <w:t xml:space="preserve"> </w:t>
            </w:r>
            <w:r w:rsidR="00D430B4" w:rsidRPr="00E14122">
              <w:rPr>
                <w:szCs w:val="20"/>
                <w:vertAlign w:val="superscript"/>
              </w:rPr>
              <w:t>2</w:t>
            </w:r>
          </w:p>
        </w:tc>
        <w:tc>
          <w:tcPr>
            <w:tcW w:w="611" w:type="pct"/>
            <w:vAlign w:val="bottom"/>
          </w:tcPr>
          <w:p w14:paraId="6ED38F50" w14:textId="45298D45" w:rsidR="004860AE" w:rsidRPr="00E14122" w:rsidRDefault="004860AE" w:rsidP="00645BAC">
            <w:pPr>
              <w:pStyle w:val="TableText0"/>
              <w:keepLines/>
              <w:jc w:val="center"/>
              <w:rPr>
                <w:iCs/>
                <w:szCs w:val="20"/>
              </w:rPr>
            </w:pPr>
            <w:r w:rsidRPr="00E14122">
              <w:rPr>
                <w:rFonts w:cs="Calibri"/>
                <w:iCs/>
                <w:color w:val="000000"/>
                <w:szCs w:val="20"/>
                <w:lang w:eastAsia="en-GB"/>
              </w:rPr>
              <w:t>$</w:t>
            </w:r>
            <w:r w:rsidR="00CE7646" w:rsidRPr="00CE7646">
              <w:rPr>
                <w:rFonts w:cs="Calibri" w:hint="eastAsia"/>
                <w:iCs/>
                <w:color w:val="000000"/>
                <w:w w:val="27"/>
                <w:szCs w:val="20"/>
                <w:shd w:val="solid" w:color="000000" w:fill="000000"/>
                <w:fitText w:val="120" w:id="-962338297"/>
                <w:lang w:eastAsia="en-GB"/>
                <w14:textFill>
                  <w14:solidFill>
                    <w14:srgbClr w14:val="000000">
                      <w14:alpha w14:val="100000"/>
                    </w14:srgbClr>
                  </w14:solidFill>
                </w14:textFill>
              </w:rPr>
              <w:t xml:space="preserve">　</w:t>
            </w:r>
            <w:r w:rsidR="00CE7646" w:rsidRPr="00CE7646">
              <w:rPr>
                <w:rFonts w:cs="Calibri"/>
                <w:iCs/>
                <w:color w:val="000000"/>
                <w:w w:val="27"/>
                <w:szCs w:val="20"/>
                <w:shd w:val="solid" w:color="000000" w:fill="000000"/>
                <w:fitText w:val="120" w:id="-962338297"/>
                <w:lang w:eastAsia="en-GB"/>
                <w14:textFill>
                  <w14:solidFill>
                    <w14:srgbClr w14:val="000000">
                      <w14:alpha w14:val="100000"/>
                    </w14:srgbClr>
                  </w14:solidFill>
                </w14:textFill>
              </w:rPr>
              <w:t>|</w:t>
            </w:r>
            <w:r w:rsidR="00CE7646" w:rsidRPr="00CE7646">
              <w:rPr>
                <w:rFonts w:cs="Calibri" w:hint="eastAsia"/>
                <w:iCs/>
                <w:color w:val="000000"/>
                <w:spacing w:val="2"/>
                <w:w w:val="27"/>
                <w:szCs w:val="20"/>
                <w:shd w:val="solid" w:color="000000" w:fill="000000"/>
                <w:fitText w:val="120" w:id="-962338297"/>
                <w:lang w:eastAsia="en-GB"/>
                <w14:textFill>
                  <w14:solidFill>
                    <w14:srgbClr w14:val="000000">
                      <w14:alpha w14:val="100000"/>
                    </w14:srgbClr>
                  </w14:solidFill>
                </w14:textFill>
              </w:rPr>
              <w:t xml:space="preserve">　</w:t>
            </w:r>
            <w:r w:rsidRPr="00E14122">
              <w:rPr>
                <w:rFonts w:cs="Calibri"/>
                <w:iCs/>
                <w:color w:val="000000"/>
                <w:szCs w:val="20"/>
                <w:lang w:eastAsia="en-GB"/>
              </w:rPr>
              <w:t xml:space="preserve"> </w:t>
            </w:r>
            <w:r w:rsidR="00D430B4" w:rsidRPr="00E14122">
              <w:rPr>
                <w:szCs w:val="20"/>
                <w:vertAlign w:val="superscript"/>
              </w:rPr>
              <w:t>2</w:t>
            </w:r>
          </w:p>
        </w:tc>
      </w:tr>
      <w:tr w:rsidR="004860AE" w:rsidRPr="009475AF" w14:paraId="536921A1" w14:textId="77777777" w:rsidTr="00023485">
        <w:tc>
          <w:tcPr>
            <w:tcW w:w="1334" w:type="pct"/>
            <w:shd w:val="clear" w:color="auto" w:fill="auto"/>
            <w:vAlign w:val="center"/>
          </w:tcPr>
          <w:p w14:paraId="09E6863D" w14:textId="77777777" w:rsidR="004860AE" w:rsidRPr="00E14122" w:rsidRDefault="004860AE" w:rsidP="00645BAC">
            <w:pPr>
              <w:pStyle w:val="TableText0"/>
              <w:keepLines/>
              <w:rPr>
                <w:szCs w:val="20"/>
              </w:rPr>
            </w:pPr>
            <w:r w:rsidRPr="00E14122">
              <w:rPr>
                <w:szCs w:val="20"/>
              </w:rPr>
              <w:t>Net cost to MBS/</w:t>
            </w:r>
            <w:r w:rsidRPr="00E14122" w:rsidDel="00D244B6">
              <w:rPr>
                <w:szCs w:val="20"/>
              </w:rPr>
              <w:t xml:space="preserve"> </w:t>
            </w:r>
            <w:r w:rsidRPr="00E14122">
              <w:rPr>
                <w:szCs w:val="20"/>
              </w:rPr>
              <w:t>Services Australia/other</w:t>
            </w:r>
          </w:p>
        </w:tc>
        <w:tc>
          <w:tcPr>
            <w:tcW w:w="611" w:type="pct"/>
            <w:shd w:val="clear" w:color="auto" w:fill="auto"/>
          </w:tcPr>
          <w:p w14:paraId="6BB8881B" w14:textId="0763B376"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6"/>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6"/>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6"/>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214A6B9F" w14:textId="397F283F"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5"/>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5"/>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5"/>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3F0F7752" w14:textId="16DF7EDD"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4"/>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4"/>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4"/>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4F616658" w14:textId="2C496741"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3"/>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3"/>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3"/>
                <w14:textFill>
                  <w14:solidFill>
                    <w14:srgbClr w14:val="000000">
                      <w14:alpha w14:val="100000"/>
                    </w14:srgbClr>
                  </w14:solidFill>
                </w14:textFill>
              </w:rPr>
              <w:t xml:space="preserve">　</w:t>
            </w:r>
            <w:r w:rsidR="00D430B4" w:rsidRPr="00E14122">
              <w:rPr>
                <w:szCs w:val="20"/>
                <w:vertAlign w:val="superscript"/>
              </w:rPr>
              <w:t>3</w:t>
            </w:r>
          </w:p>
        </w:tc>
        <w:tc>
          <w:tcPr>
            <w:tcW w:w="611" w:type="pct"/>
            <w:shd w:val="clear" w:color="auto" w:fill="auto"/>
          </w:tcPr>
          <w:p w14:paraId="66A02AD6" w14:textId="3F3A5587"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2"/>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2"/>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2"/>
                <w14:textFill>
                  <w14:solidFill>
                    <w14:srgbClr w14:val="000000">
                      <w14:alpha w14:val="100000"/>
                    </w14:srgbClr>
                  </w14:solidFill>
                </w14:textFill>
              </w:rPr>
              <w:t xml:space="preserve">　</w:t>
            </w:r>
            <w:r w:rsidR="00D430B4" w:rsidRPr="00E14122">
              <w:rPr>
                <w:szCs w:val="20"/>
                <w:vertAlign w:val="superscript"/>
              </w:rPr>
              <w:t>3</w:t>
            </w:r>
          </w:p>
        </w:tc>
        <w:tc>
          <w:tcPr>
            <w:tcW w:w="611" w:type="pct"/>
          </w:tcPr>
          <w:p w14:paraId="29985106" w14:textId="32A592A6" w:rsidR="004860AE" w:rsidRPr="00E14122" w:rsidRDefault="004860AE" w:rsidP="00645BAC">
            <w:pPr>
              <w:pStyle w:val="TableText0"/>
              <w:keepLines/>
              <w:jc w:val="center"/>
              <w:rPr>
                <w:szCs w:val="20"/>
              </w:rPr>
            </w:pPr>
            <w:r w:rsidRPr="00E14122">
              <w:rPr>
                <w:szCs w:val="20"/>
              </w:rPr>
              <w:t>-$</w:t>
            </w:r>
            <w:r w:rsidR="00CE7646" w:rsidRPr="00CE7646">
              <w:rPr>
                <w:rFonts w:hint="eastAsia"/>
                <w:color w:val="000000"/>
                <w:w w:val="30"/>
                <w:szCs w:val="20"/>
                <w:shd w:val="solid" w:color="000000" w:fill="000000"/>
                <w:fitText w:val="135" w:id="-962338291"/>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291"/>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291"/>
                <w14:textFill>
                  <w14:solidFill>
                    <w14:srgbClr w14:val="000000">
                      <w14:alpha w14:val="100000"/>
                    </w14:srgbClr>
                  </w14:solidFill>
                </w14:textFill>
              </w:rPr>
              <w:t xml:space="preserve">　</w:t>
            </w:r>
            <w:r w:rsidR="00D430B4" w:rsidRPr="00E14122">
              <w:rPr>
                <w:szCs w:val="20"/>
                <w:vertAlign w:val="superscript"/>
              </w:rPr>
              <w:t>3</w:t>
            </w:r>
          </w:p>
        </w:tc>
      </w:tr>
      <w:tr w:rsidR="004860AE" w:rsidRPr="009475AF" w14:paraId="5EA32194" w14:textId="77777777" w:rsidTr="00023485">
        <w:tc>
          <w:tcPr>
            <w:tcW w:w="1334" w:type="pct"/>
            <w:shd w:val="clear" w:color="auto" w:fill="auto"/>
            <w:vAlign w:val="center"/>
          </w:tcPr>
          <w:p w14:paraId="033BFE26" w14:textId="7B4C8DF4" w:rsidR="004860AE" w:rsidRPr="00E14122" w:rsidRDefault="004860AE" w:rsidP="00645BAC">
            <w:pPr>
              <w:pStyle w:val="TableText0"/>
              <w:keepLines/>
              <w:rPr>
                <w:szCs w:val="20"/>
              </w:rPr>
            </w:pPr>
            <w:r w:rsidRPr="00E14122">
              <w:rPr>
                <w:szCs w:val="20"/>
              </w:rPr>
              <w:t>Net cost to PBS/RPBS/MBS</w:t>
            </w:r>
            <w:r w:rsidR="00E14122">
              <w:rPr>
                <w:szCs w:val="20"/>
              </w:rPr>
              <w:t xml:space="preserve">/ </w:t>
            </w:r>
            <w:r w:rsidRPr="00E14122">
              <w:rPr>
                <w:szCs w:val="20"/>
              </w:rPr>
              <w:t>Services Australia}</w:t>
            </w:r>
          </w:p>
        </w:tc>
        <w:tc>
          <w:tcPr>
            <w:tcW w:w="611" w:type="pct"/>
            <w:shd w:val="clear" w:color="auto" w:fill="auto"/>
            <w:vAlign w:val="center"/>
          </w:tcPr>
          <w:p w14:paraId="2F91B76C" w14:textId="30B4E438"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3"/>
                <w:szCs w:val="20"/>
                <w:shd w:val="solid" w:color="000000" w:fill="000000"/>
                <w:fitText w:val="105" w:id="-962338290"/>
                <w:lang w:eastAsia="en-GB"/>
                <w14:textFill>
                  <w14:solidFill>
                    <w14:srgbClr w14:val="000000">
                      <w14:alpha w14:val="100000"/>
                    </w14:srgbClr>
                  </w14:solidFill>
                </w14:textFill>
              </w:rPr>
              <w:t xml:space="preserve">　</w:t>
            </w:r>
            <w:r w:rsidR="00CE7646" w:rsidRPr="00CE7646">
              <w:rPr>
                <w:rFonts w:cs="Calibri"/>
                <w:bCs w:val="0"/>
                <w:color w:val="000000"/>
                <w:w w:val="23"/>
                <w:szCs w:val="20"/>
                <w:shd w:val="solid" w:color="000000" w:fill="000000"/>
                <w:fitText w:val="105" w:id="-962338290"/>
                <w:lang w:eastAsia="en-GB"/>
                <w14:textFill>
                  <w14:solidFill>
                    <w14:srgbClr w14:val="000000">
                      <w14:alpha w14:val="100000"/>
                    </w14:srgbClr>
                  </w14:solidFill>
                </w14:textFill>
              </w:rPr>
              <w:t>|</w:t>
            </w:r>
            <w:r w:rsidR="00CE7646" w:rsidRPr="00CE7646">
              <w:rPr>
                <w:rFonts w:cs="Calibri" w:hint="eastAsia"/>
                <w:bCs w:val="0"/>
                <w:color w:val="000000"/>
                <w:spacing w:val="4"/>
                <w:w w:val="23"/>
                <w:szCs w:val="20"/>
                <w:shd w:val="solid" w:color="000000" w:fill="000000"/>
                <w:fitText w:val="105" w:id="-962338290"/>
                <w:lang w:eastAsia="en-GB"/>
                <w14:textFill>
                  <w14:solidFill>
                    <w14:srgbClr w14:val="000000">
                      <w14:alpha w14:val="100000"/>
                    </w14:srgbClr>
                  </w14:solidFill>
                </w14:textFill>
              </w:rPr>
              <w:t xml:space="preserve">　</w:t>
            </w:r>
            <w:r w:rsidR="00D430B4" w:rsidRPr="00E14122">
              <w:rPr>
                <w:szCs w:val="20"/>
                <w:vertAlign w:val="superscript"/>
              </w:rPr>
              <w:t>2</w:t>
            </w:r>
            <w:r w:rsidRPr="00E14122">
              <w:rPr>
                <w:rFonts w:cs="Calibri"/>
                <w:bCs w:val="0"/>
                <w:color w:val="000000"/>
                <w:szCs w:val="20"/>
                <w:lang w:eastAsia="en-GB"/>
              </w:rPr>
              <w:t xml:space="preserve"> </w:t>
            </w:r>
          </w:p>
        </w:tc>
        <w:tc>
          <w:tcPr>
            <w:tcW w:w="611" w:type="pct"/>
            <w:shd w:val="clear" w:color="auto" w:fill="auto"/>
            <w:vAlign w:val="center"/>
          </w:tcPr>
          <w:p w14:paraId="043665E2" w14:textId="58CA2752"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7"/>
                <w:szCs w:val="20"/>
                <w:shd w:val="solid" w:color="000000" w:fill="000000"/>
                <w:fitText w:val="120" w:id="-962338289"/>
                <w:lang w:eastAsia="en-GB"/>
                <w14:textFill>
                  <w14:solidFill>
                    <w14:srgbClr w14:val="000000">
                      <w14:alpha w14:val="100000"/>
                    </w14:srgbClr>
                  </w14:solidFill>
                </w14:textFill>
              </w:rPr>
              <w:t xml:space="preserve">　</w:t>
            </w:r>
            <w:r w:rsidR="00CE7646" w:rsidRPr="00CE7646">
              <w:rPr>
                <w:rFonts w:cs="Calibri"/>
                <w:bCs w:val="0"/>
                <w:color w:val="000000"/>
                <w:w w:val="27"/>
                <w:szCs w:val="20"/>
                <w:shd w:val="solid" w:color="000000" w:fill="000000"/>
                <w:fitText w:val="120" w:id="-962338289"/>
                <w:lang w:eastAsia="en-GB"/>
                <w14:textFill>
                  <w14:solidFill>
                    <w14:srgbClr w14:val="000000">
                      <w14:alpha w14:val="100000"/>
                    </w14:srgbClr>
                  </w14:solidFill>
                </w14:textFill>
              </w:rPr>
              <w:t>|</w:t>
            </w:r>
            <w:r w:rsidR="00CE7646" w:rsidRPr="00CE7646">
              <w:rPr>
                <w:rFonts w:cs="Calibri" w:hint="eastAsia"/>
                <w:bCs w:val="0"/>
                <w:color w:val="000000"/>
                <w:spacing w:val="2"/>
                <w:w w:val="27"/>
                <w:szCs w:val="20"/>
                <w:shd w:val="solid" w:color="000000" w:fill="000000"/>
                <w:fitText w:val="120" w:id="-962338289"/>
                <w:lang w:eastAsia="en-GB"/>
                <w14:textFill>
                  <w14:solidFill>
                    <w14:srgbClr w14:val="000000">
                      <w14:alpha w14:val="100000"/>
                    </w14:srgbClr>
                  </w14:solidFill>
                </w14:textFill>
              </w:rPr>
              <w:t xml:space="preserve">　</w:t>
            </w:r>
            <w:r w:rsidRPr="00E14122">
              <w:rPr>
                <w:rFonts w:cs="Calibri"/>
                <w:bCs w:val="0"/>
                <w:color w:val="000000"/>
                <w:szCs w:val="20"/>
                <w:lang w:eastAsia="en-GB"/>
              </w:rPr>
              <w:t xml:space="preserve"> </w:t>
            </w:r>
            <w:r w:rsidR="00D430B4" w:rsidRPr="00E14122">
              <w:rPr>
                <w:szCs w:val="20"/>
                <w:vertAlign w:val="superscript"/>
              </w:rPr>
              <w:t>2</w:t>
            </w:r>
          </w:p>
        </w:tc>
        <w:tc>
          <w:tcPr>
            <w:tcW w:w="611" w:type="pct"/>
            <w:shd w:val="clear" w:color="auto" w:fill="auto"/>
            <w:vAlign w:val="center"/>
          </w:tcPr>
          <w:p w14:paraId="35EF49B2" w14:textId="24BDC540"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3"/>
                <w:szCs w:val="20"/>
                <w:shd w:val="solid" w:color="000000" w:fill="000000"/>
                <w:fitText w:val="105" w:id="-962338288"/>
                <w:lang w:eastAsia="en-GB"/>
                <w14:textFill>
                  <w14:solidFill>
                    <w14:srgbClr w14:val="000000">
                      <w14:alpha w14:val="100000"/>
                    </w14:srgbClr>
                  </w14:solidFill>
                </w14:textFill>
              </w:rPr>
              <w:t xml:space="preserve">　</w:t>
            </w:r>
            <w:r w:rsidR="00CE7646" w:rsidRPr="00CE7646">
              <w:rPr>
                <w:rFonts w:cs="Calibri"/>
                <w:bCs w:val="0"/>
                <w:color w:val="000000"/>
                <w:w w:val="23"/>
                <w:szCs w:val="20"/>
                <w:shd w:val="solid" w:color="000000" w:fill="000000"/>
                <w:fitText w:val="105" w:id="-962338288"/>
                <w:lang w:eastAsia="en-GB"/>
                <w14:textFill>
                  <w14:solidFill>
                    <w14:srgbClr w14:val="000000">
                      <w14:alpha w14:val="100000"/>
                    </w14:srgbClr>
                  </w14:solidFill>
                </w14:textFill>
              </w:rPr>
              <w:t>|</w:t>
            </w:r>
            <w:r w:rsidR="00CE7646" w:rsidRPr="00CE7646">
              <w:rPr>
                <w:rFonts w:cs="Calibri" w:hint="eastAsia"/>
                <w:bCs w:val="0"/>
                <w:color w:val="000000"/>
                <w:spacing w:val="4"/>
                <w:w w:val="23"/>
                <w:szCs w:val="20"/>
                <w:shd w:val="solid" w:color="000000" w:fill="000000"/>
                <w:fitText w:val="105" w:id="-962338288"/>
                <w:lang w:eastAsia="en-GB"/>
                <w14:textFill>
                  <w14:solidFill>
                    <w14:srgbClr w14:val="000000">
                      <w14:alpha w14:val="100000"/>
                    </w14:srgbClr>
                  </w14:solidFill>
                </w14:textFill>
              </w:rPr>
              <w:t xml:space="preserve">　</w:t>
            </w:r>
            <w:r w:rsidR="00D430B4" w:rsidRPr="00E14122">
              <w:rPr>
                <w:szCs w:val="20"/>
                <w:vertAlign w:val="superscript"/>
              </w:rPr>
              <w:t>2</w:t>
            </w:r>
            <w:r w:rsidRPr="00E14122">
              <w:rPr>
                <w:rFonts w:cs="Calibri"/>
                <w:bCs w:val="0"/>
                <w:color w:val="000000"/>
                <w:szCs w:val="20"/>
                <w:lang w:eastAsia="en-GB"/>
              </w:rPr>
              <w:t xml:space="preserve"> </w:t>
            </w:r>
          </w:p>
        </w:tc>
        <w:tc>
          <w:tcPr>
            <w:tcW w:w="611" w:type="pct"/>
            <w:shd w:val="clear" w:color="auto" w:fill="auto"/>
            <w:vAlign w:val="center"/>
          </w:tcPr>
          <w:p w14:paraId="37EB0D27" w14:textId="187EC248"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7"/>
                <w:szCs w:val="20"/>
                <w:shd w:val="solid" w:color="000000" w:fill="000000"/>
                <w:fitText w:val="120" w:id="-962338304"/>
                <w:lang w:eastAsia="en-GB"/>
                <w14:textFill>
                  <w14:solidFill>
                    <w14:srgbClr w14:val="000000">
                      <w14:alpha w14:val="100000"/>
                    </w14:srgbClr>
                  </w14:solidFill>
                </w14:textFill>
              </w:rPr>
              <w:t xml:space="preserve">　</w:t>
            </w:r>
            <w:r w:rsidR="00CE7646" w:rsidRPr="00CE7646">
              <w:rPr>
                <w:rFonts w:cs="Calibri"/>
                <w:bCs w:val="0"/>
                <w:color w:val="000000"/>
                <w:w w:val="27"/>
                <w:szCs w:val="20"/>
                <w:shd w:val="solid" w:color="000000" w:fill="000000"/>
                <w:fitText w:val="120" w:id="-962338304"/>
                <w:lang w:eastAsia="en-GB"/>
                <w14:textFill>
                  <w14:solidFill>
                    <w14:srgbClr w14:val="000000">
                      <w14:alpha w14:val="100000"/>
                    </w14:srgbClr>
                  </w14:solidFill>
                </w14:textFill>
              </w:rPr>
              <w:t>|</w:t>
            </w:r>
            <w:r w:rsidR="00CE7646" w:rsidRPr="00CE7646">
              <w:rPr>
                <w:rFonts w:cs="Calibri" w:hint="eastAsia"/>
                <w:bCs w:val="0"/>
                <w:color w:val="000000"/>
                <w:spacing w:val="2"/>
                <w:w w:val="27"/>
                <w:szCs w:val="20"/>
                <w:shd w:val="solid" w:color="000000" w:fill="000000"/>
                <w:fitText w:val="120" w:id="-962338304"/>
                <w:lang w:eastAsia="en-GB"/>
                <w14:textFill>
                  <w14:solidFill>
                    <w14:srgbClr w14:val="000000">
                      <w14:alpha w14:val="100000"/>
                    </w14:srgbClr>
                  </w14:solidFill>
                </w14:textFill>
              </w:rPr>
              <w:t xml:space="preserve">　</w:t>
            </w:r>
            <w:r w:rsidRPr="00E14122">
              <w:rPr>
                <w:rFonts w:cs="Calibri"/>
                <w:bCs w:val="0"/>
                <w:color w:val="000000"/>
                <w:szCs w:val="20"/>
                <w:lang w:eastAsia="en-GB"/>
              </w:rPr>
              <w:t xml:space="preserve"> </w:t>
            </w:r>
            <w:r w:rsidR="00D430B4" w:rsidRPr="00E14122">
              <w:rPr>
                <w:szCs w:val="20"/>
                <w:vertAlign w:val="superscript"/>
              </w:rPr>
              <w:t>2</w:t>
            </w:r>
          </w:p>
        </w:tc>
        <w:tc>
          <w:tcPr>
            <w:tcW w:w="611" w:type="pct"/>
            <w:shd w:val="clear" w:color="auto" w:fill="auto"/>
            <w:vAlign w:val="center"/>
          </w:tcPr>
          <w:p w14:paraId="4F6462B0" w14:textId="0AEAE709"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3"/>
                <w:szCs w:val="20"/>
                <w:shd w:val="solid" w:color="000000" w:fill="000000"/>
                <w:fitText w:val="105" w:id="-962338303"/>
                <w:lang w:eastAsia="en-GB"/>
                <w14:textFill>
                  <w14:solidFill>
                    <w14:srgbClr w14:val="000000">
                      <w14:alpha w14:val="100000"/>
                    </w14:srgbClr>
                  </w14:solidFill>
                </w14:textFill>
              </w:rPr>
              <w:t xml:space="preserve">　</w:t>
            </w:r>
            <w:r w:rsidR="00CE7646" w:rsidRPr="00CE7646">
              <w:rPr>
                <w:rFonts w:cs="Calibri"/>
                <w:bCs w:val="0"/>
                <w:color w:val="000000"/>
                <w:w w:val="23"/>
                <w:szCs w:val="20"/>
                <w:shd w:val="solid" w:color="000000" w:fill="000000"/>
                <w:fitText w:val="105" w:id="-962338303"/>
                <w:lang w:eastAsia="en-GB"/>
                <w14:textFill>
                  <w14:solidFill>
                    <w14:srgbClr w14:val="000000">
                      <w14:alpha w14:val="100000"/>
                    </w14:srgbClr>
                  </w14:solidFill>
                </w14:textFill>
              </w:rPr>
              <w:t>|</w:t>
            </w:r>
            <w:r w:rsidR="00CE7646" w:rsidRPr="00CE7646">
              <w:rPr>
                <w:rFonts w:cs="Calibri" w:hint="eastAsia"/>
                <w:bCs w:val="0"/>
                <w:color w:val="000000"/>
                <w:spacing w:val="4"/>
                <w:w w:val="23"/>
                <w:szCs w:val="20"/>
                <w:shd w:val="solid" w:color="000000" w:fill="000000"/>
                <w:fitText w:val="105" w:id="-962338303"/>
                <w:lang w:eastAsia="en-GB"/>
                <w14:textFill>
                  <w14:solidFill>
                    <w14:srgbClr w14:val="000000">
                      <w14:alpha w14:val="100000"/>
                    </w14:srgbClr>
                  </w14:solidFill>
                </w14:textFill>
              </w:rPr>
              <w:t xml:space="preserve">　</w:t>
            </w:r>
            <w:r w:rsidR="00D430B4" w:rsidRPr="00E14122">
              <w:rPr>
                <w:szCs w:val="20"/>
                <w:vertAlign w:val="superscript"/>
              </w:rPr>
              <w:t>2</w:t>
            </w:r>
            <w:r w:rsidRPr="00E14122">
              <w:rPr>
                <w:rFonts w:cs="Calibri"/>
                <w:bCs w:val="0"/>
                <w:color w:val="000000"/>
                <w:szCs w:val="20"/>
                <w:lang w:eastAsia="en-GB"/>
              </w:rPr>
              <w:t xml:space="preserve"> </w:t>
            </w:r>
          </w:p>
        </w:tc>
        <w:tc>
          <w:tcPr>
            <w:tcW w:w="611" w:type="pct"/>
            <w:vAlign w:val="center"/>
          </w:tcPr>
          <w:p w14:paraId="592AEBC1" w14:textId="4FE90E73" w:rsidR="004860AE" w:rsidRPr="00E14122" w:rsidRDefault="004860AE" w:rsidP="00645BAC">
            <w:pPr>
              <w:pStyle w:val="TableText0"/>
              <w:keepLines/>
              <w:jc w:val="center"/>
              <w:rPr>
                <w:bCs w:val="0"/>
                <w:szCs w:val="20"/>
              </w:rPr>
            </w:pPr>
            <w:r w:rsidRPr="00E14122">
              <w:rPr>
                <w:rFonts w:cs="Calibri"/>
                <w:bCs w:val="0"/>
                <w:color w:val="000000"/>
                <w:szCs w:val="20"/>
                <w:lang w:eastAsia="en-GB"/>
              </w:rPr>
              <w:t>$</w:t>
            </w:r>
            <w:r w:rsidR="00CE7646" w:rsidRPr="00CE7646">
              <w:rPr>
                <w:rFonts w:cs="Calibri" w:hint="eastAsia"/>
                <w:bCs w:val="0"/>
                <w:color w:val="000000"/>
                <w:w w:val="23"/>
                <w:szCs w:val="20"/>
                <w:shd w:val="solid" w:color="000000" w:fill="000000"/>
                <w:fitText w:val="105" w:id="-962338302"/>
                <w:lang w:eastAsia="en-GB"/>
                <w14:textFill>
                  <w14:solidFill>
                    <w14:srgbClr w14:val="000000">
                      <w14:alpha w14:val="100000"/>
                    </w14:srgbClr>
                  </w14:solidFill>
                </w14:textFill>
              </w:rPr>
              <w:t xml:space="preserve">　</w:t>
            </w:r>
            <w:r w:rsidR="00CE7646" w:rsidRPr="00CE7646">
              <w:rPr>
                <w:rFonts w:cs="Calibri"/>
                <w:bCs w:val="0"/>
                <w:color w:val="000000"/>
                <w:w w:val="23"/>
                <w:szCs w:val="20"/>
                <w:shd w:val="solid" w:color="000000" w:fill="000000"/>
                <w:fitText w:val="105" w:id="-962338302"/>
                <w:lang w:eastAsia="en-GB"/>
                <w14:textFill>
                  <w14:solidFill>
                    <w14:srgbClr w14:val="000000">
                      <w14:alpha w14:val="100000"/>
                    </w14:srgbClr>
                  </w14:solidFill>
                </w14:textFill>
              </w:rPr>
              <w:t>|</w:t>
            </w:r>
            <w:r w:rsidR="00CE7646" w:rsidRPr="00CE7646">
              <w:rPr>
                <w:rFonts w:cs="Calibri" w:hint="eastAsia"/>
                <w:bCs w:val="0"/>
                <w:color w:val="000000"/>
                <w:spacing w:val="4"/>
                <w:w w:val="23"/>
                <w:szCs w:val="20"/>
                <w:shd w:val="solid" w:color="000000" w:fill="000000"/>
                <w:fitText w:val="105" w:id="-962338302"/>
                <w:lang w:eastAsia="en-GB"/>
                <w14:textFill>
                  <w14:solidFill>
                    <w14:srgbClr w14:val="000000">
                      <w14:alpha w14:val="100000"/>
                    </w14:srgbClr>
                  </w14:solidFill>
                </w14:textFill>
              </w:rPr>
              <w:t xml:space="preserve">　</w:t>
            </w:r>
            <w:r w:rsidR="00D430B4" w:rsidRPr="00E14122">
              <w:rPr>
                <w:szCs w:val="20"/>
                <w:vertAlign w:val="superscript"/>
              </w:rPr>
              <w:t>2</w:t>
            </w:r>
            <w:r w:rsidRPr="00E14122">
              <w:rPr>
                <w:rFonts w:cs="Calibri"/>
                <w:bCs w:val="0"/>
                <w:color w:val="000000"/>
                <w:szCs w:val="20"/>
                <w:lang w:eastAsia="en-GB"/>
              </w:rPr>
              <w:t xml:space="preserve"> </w:t>
            </w:r>
          </w:p>
        </w:tc>
      </w:tr>
    </w:tbl>
    <w:p w14:paraId="334C1C22" w14:textId="42EEC98B" w:rsidR="004860AE" w:rsidRDefault="004860AE" w:rsidP="00645BAC">
      <w:pPr>
        <w:pStyle w:val="FooterTableFigure"/>
        <w:keepNext/>
        <w:keepLines/>
        <w:spacing w:after="0"/>
      </w:pPr>
      <w:r w:rsidRPr="009475AF">
        <w:t>Source: Tables 4.17, 4.26, 4.33 of the submission.</w:t>
      </w:r>
    </w:p>
    <w:p w14:paraId="083D25EA" w14:textId="77777777" w:rsidR="00022F15" w:rsidRPr="00E70AEF" w:rsidRDefault="00022F15" w:rsidP="00645BAC">
      <w:pPr>
        <w:keepNext/>
        <w:keepLines/>
        <w:jc w:val="left"/>
        <w:rPr>
          <w:rFonts w:ascii="Arial Narrow" w:hAnsi="Arial Narrow" w:cstheme="minorHAnsi"/>
          <w:bCs/>
          <w:i/>
          <w:iCs/>
          <w:sz w:val="18"/>
          <w:szCs w:val="18"/>
        </w:rPr>
      </w:pPr>
      <w:r w:rsidRPr="00E70AEF">
        <w:rPr>
          <w:rFonts w:ascii="Arial Narrow" w:hAnsi="Arial Narrow" w:cstheme="minorHAnsi"/>
          <w:bCs/>
          <w:i/>
          <w:iCs/>
          <w:sz w:val="18"/>
          <w:szCs w:val="18"/>
        </w:rPr>
        <w:t xml:space="preserve">The redacted values correspond to the following ranges: </w:t>
      </w:r>
    </w:p>
    <w:p w14:paraId="2CE43FC0" w14:textId="2A1ADA35" w:rsidR="00022F15" w:rsidRPr="00E70AEF" w:rsidRDefault="00022F15" w:rsidP="00645BAC">
      <w:pPr>
        <w:keepNext/>
        <w:keepLines/>
        <w:jc w:val="left"/>
        <w:rPr>
          <w:rFonts w:ascii="Arial Narrow" w:hAnsi="Arial Narrow" w:cstheme="minorHAnsi"/>
          <w:bCs/>
          <w:i/>
          <w:iCs/>
          <w:sz w:val="18"/>
          <w:szCs w:val="18"/>
        </w:rPr>
      </w:pPr>
      <w:r w:rsidRPr="00E70AEF">
        <w:rPr>
          <w:rFonts w:ascii="Arial Narrow" w:hAnsi="Arial Narrow" w:cstheme="minorHAnsi"/>
          <w:bCs/>
          <w:i/>
          <w:iCs/>
          <w:sz w:val="18"/>
          <w:szCs w:val="18"/>
          <w:vertAlign w:val="superscript"/>
        </w:rPr>
        <w:t>1</w:t>
      </w:r>
      <w:r w:rsidRPr="00E70AEF">
        <w:rPr>
          <w:rFonts w:ascii="Arial Narrow" w:hAnsi="Arial Narrow" w:cstheme="minorHAnsi"/>
          <w:bCs/>
          <w:i/>
          <w:iCs/>
          <w:sz w:val="18"/>
          <w:szCs w:val="18"/>
        </w:rPr>
        <w:t xml:space="preserve"> 500 to &lt; 5,000</w:t>
      </w:r>
    </w:p>
    <w:p w14:paraId="4B6E7600" w14:textId="405935E2" w:rsidR="00022F15" w:rsidRPr="00E70AEF" w:rsidRDefault="00022F15" w:rsidP="00645BAC">
      <w:pPr>
        <w:keepNext/>
        <w:keepLines/>
        <w:jc w:val="left"/>
        <w:rPr>
          <w:rFonts w:ascii="Arial Narrow" w:hAnsi="Arial Narrow" w:cstheme="minorHAnsi"/>
          <w:bCs/>
          <w:i/>
          <w:iCs/>
          <w:sz w:val="18"/>
          <w:szCs w:val="18"/>
        </w:rPr>
      </w:pPr>
      <w:r w:rsidRPr="00E70AEF">
        <w:rPr>
          <w:rFonts w:ascii="Arial Narrow" w:hAnsi="Arial Narrow" w:cstheme="minorHAnsi"/>
          <w:bCs/>
          <w:i/>
          <w:iCs/>
          <w:sz w:val="18"/>
          <w:szCs w:val="18"/>
          <w:vertAlign w:val="superscript"/>
        </w:rPr>
        <w:t>2</w:t>
      </w:r>
      <w:r w:rsidRPr="00E70AEF">
        <w:rPr>
          <w:rFonts w:ascii="Arial Narrow" w:hAnsi="Arial Narrow" w:cstheme="minorHAnsi"/>
          <w:bCs/>
          <w:i/>
          <w:iCs/>
          <w:sz w:val="18"/>
          <w:szCs w:val="18"/>
        </w:rPr>
        <w:t xml:space="preserve"> </w:t>
      </w:r>
      <w:r w:rsidR="00D430B4" w:rsidRPr="00E70AEF">
        <w:rPr>
          <w:rFonts w:ascii="Arial Narrow" w:hAnsi="Arial Narrow" w:cstheme="minorHAnsi"/>
          <w:bCs/>
          <w:i/>
          <w:iCs/>
          <w:sz w:val="18"/>
          <w:szCs w:val="18"/>
        </w:rPr>
        <w:t>$0 to &lt; $10 million</w:t>
      </w:r>
    </w:p>
    <w:p w14:paraId="00E10581" w14:textId="10A515E7" w:rsidR="00022F15" w:rsidRPr="009475AF" w:rsidRDefault="00022F15" w:rsidP="00E14122">
      <w:pPr>
        <w:spacing w:after="120"/>
        <w:jc w:val="left"/>
      </w:pPr>
      <w:r w:rsidRPr="00E70AEF">
        <w:rPr>
          <w:rFonts w:ascii="Arial Narrow" w:hAnsi="Arial Narrow" w:cstheme="minorHAnsi"/>
          <w:bCs/>
          <w:i/>
          <w:iCs/>
          <w:sz w:val="18"/>
          <w:szCs w:val="18"/>
          <w:vertAlign w:val="superscript"/>
        </w:rPr>
        <w:t>3</w:t>
      </w:r>
      <w:r w:rsidRPr="00E70AEF">
        <w:rPr>
          <w:rFonts w:ascii="Arial Narrow" w:hAnsi="Arial Narrow" w:cstheme="minorHAnsi"/>
          <w:bCs/>
          <w:i/>
          <w:iCs/>
          <w:sz w:val="18"/>
          <w:szCs w:val="18"/>
        </w:rPr>
        <w:t xml:space="preserve"> </w:t>
      </w:r>
      <w:r w:rsidR="00D430B4" w:rsidRPr="00E70AEF">
        <w:rPr>
          <w:rFonts w:ascii="Arial Narrow" w:hAnsi="Arial Narrow" w:cstheme="minorHAnsi"/>
          <w:bCs/>
          <w:i/>
          <w:iCs/>
          <w:sz w:val="18"/>
          <w:szCs w:val="18"/>
        </w:rPr>
        <w:t>net cost saving</w:t>
      </w:r>
    </w:p>
    <w:p w14:paraId="765906EE" w14:textId="2845F2C5" w:rsidR="009E3DBB" w:rsidRPr="009475AF" w:rsidRDefault="009E3DBB" w:rsidP="00ED042C">
      <w:pPr>
        <w:pStyle w:val="3-BodyText"/>
        <w:rPr>
          <w:iCs/>
        </w:rPr>
      </w:pPr>
      <w:r w:rsidRPr="009475AF">
        <w:rPr>
          <w:iCs/>
        </w:rPr>
        <w:t xml:space="preserve">In the PSCR the sponsor stated that the additional DUSC data extracted from the PBS claims database was welcomed and that they updated the utilisation </w:t>
      </w:r>
      <w:r w:rsidR="007208D9" w:rsidRPr="009475AF">
        <w:rPr>
          <w:iCs/>
        </w:rPr>
        <w:t>estimates</w:t>
      </w:r>
      <w:r w:rsidRPr="009475AF">
        <w:rPr>
          <w:iCs/>
        </w:rPr>
        <w:t xml:space="preserve"> in alignment with this supplementary information.</w:t>
      </w:r>
      <w:r w:rsidR="007208D9" w:rsidRPr="009475AF">
        <w:rPr>
          <w:iCs/>
        </w:rPr>
        <w:t xml:space="preserve"> These revised estimates are provided in Table 15.</w:t>
      </w:r>
      <w:r w:rsidR="0080523D" w:rsidRPr="009475AF">
        <w:rPr>
          <w:iCs/>
        </w:rPr>
        <w:t xml:space="preserve"> The ESC noted these estimates would need to be revised with the corrected cost-minimised price for dupilumab.</w:t>
      </w:r>
    </w:p>
    <w:p w14:paraId="3BFD6CEF" w14:textId="19B9676B" w:rsidR="007208D9" w:rsidRPr="009475AF" w:rsidRDefault="007208D9" w:rsidP="00E14122">
      <w:pPr>
        <w:pStyle w:val="3-BodyText"/>
        <w:keepNext/>
        <w:keepLines/>
        <w:numPr>
          <w:ilvl w:val="0"/>
          <w:numId w:val="0"/>
        </w:numPr>
        <w:spacing w:after="0"/>
        <w:rPr>
          <w:rFonts w:ascii="Arial Narrow" w:hAnsi="Arial Narrow"/>
          <w:b/>
          <w:bCs/>
          <w:iCs/>
          <w:sz w:val="20"/>
          <w:szCs w:val="20"/>
        </w:rPr>
      </w:pPr>
      <w:r w:rsidRPr="009475AF">
        <w:rPr>
          <w:rFonts w:ascii="Arial Narrow" w:hAnsi="Arial Narrow"/>
          <w:b/>
          <w:bCs/>
          <w:iCs/>
          <w:sz w:val="20"/>
          <w:szCs w:val="20"/>
        </w:rPr>
        <w:t>Table 15: Amended use and financial implications (placeholder effective EMP</w:t>
      </w:r>
      <w:r w:rsidR="00F943DF" w:rsidRPr="009475AF">
        <w:rPr>
          <w:rFonts w:ascii="Arial Narrow" w:hAnsi="Arial Narrow"/>
          <w:b/>
          <w:bCs/>
          <w:iCs/>
          <w:sz w:val="20"/>
          <w:szCs w:val="20"/>
        </w:rPr>
        <w:t xml:space="preserve"> for dupilumab</w:t>
      </w:r>
      <w:r w:rsidRPr="009475AF">
        <w:rPr>
          <w:rFonts w:ascii="Arial Narrow" w:hAnsi="Arial Narrow"/>
          <w:b/>
          <w:bCs/>
          <w:iCs/>
          <w:sz w:val="20"/>
          <w:szCs w:val="20"/>
        </w:rPr>
        <w:t>), market share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5: Amended use and financial implications (placeholder effective EMP for dupilumab), market share model"/>
      </w:tblPr>
      <w:tblGrid>
        <w:gridCol w:w="2405"/>
        <w:gridCol w:w="1102"/>
        <w:gridCol w:w="1102"/>
        <w:gridCol w:w="1102"/>
        <w:gridCol w:w="1102"/>
        <w:gridCol w:w="1102"/>
        <w:gridCol w:w="1102"/>
      </w:tblGrid>
      <w:tr w:rsidR="007208D9" w:rsidRPr="009475AF" w14:paraId="2534B48C" w14:textId="77777777" w:rsidTr="00775A89">
        <w:trPr>
          <w:tblHeader/>
        </w:trPr>
        <w:tc>
          <w:tcPr>
            <w:tcW w:w="1334" w:type="pct"/>
            <w:tcMar>
              <w:top w:w="0" w:type="dxa"/>
              <w:left w:w="28" w:type="dxa"/>
              <w:bottom w:w="0" w:type="dxa"/>
              <w:right w:w="28" w:type="dxa"/>
            </w:tcMar>
            <w:vAlign w:val="center"/>
          </w:tcPr>
          <w:p w14:paraId="42CB4449" w14:textId="77777777" w:rsidR="007208D9" w:rsidRPr="00E14122" w:rsidRDefault="007208D9" w:rsidP="00E14122">
            <w:pPr>
              <w:pStyle w:val="In-tableHeading"/>
              <w:keepLines/>
              <w:spacing w:line="252" w:lineRule="auto"/>
              <w:jc w:val="center"/>
              <w:rPr>
                <w:szCs w:val="20"/>
                <w:lang w:val="en-AU"/>
              </w:rPr>
            </w:pPr>
          </w:p>
        </w:tc>
        <w:tc>
          <w:tcPr>
            <w:tcW w:w="611" w:type="pct"/>
            <w:tcMar>
              <w:top w:w="0" w:type="dxa"/>
              <w:left w:w="28" w:type="dxa"/>
              <w:bottom w:w="0" w:type="dxa"/>
              <w:right w:w="28" w:type="dxa"/>
            </w:tcMar>
            <w:vAlign w:val="center"/>
            <w:hideMark/>
          </w:tcPr>
          <w:p w14:paraId="0B0788B4"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1</w:t>
            </w:r>
          </w:p>
        </w:tc>
        <w:tc>
          <w:tcPr>
            <w:tcW w:w="611" w:type="pct"/>
            <w:tcMar>
              <w:top w:w="0" w:type="dxa"/>
              <w:left w:w="28" w:type="dxa"/>
              <w:bottom w:w="0" w:type="dxa"/>
              <w:right w:w="28" w:type="dxa"/>
            </w:tcMar>
            <w:vAlign w:val="center"/>
            <w:hideMark/>
          </w:tcPr>
          <w:p w14:paraId="3B140F3F"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2</w:t>
            </w:r>
          </w:p>
        </w:tc>
        <w:tc>
          <w:tcPr>
            <w:tcW w:w="611" w:type="pct"/>
            <w:tcMar>
              <w:top w:w="0" w:type="dxa"/>
              <w:left w:w="28" w:type="dxa"/>
              <w:bottom w:w="0" w:type="dxa"/>
              <w:right w:w="28" w:type="dxa"/>
            </w:tcMar>
            <w:vAlign w:val="center"/>
            <w:hideMark/>
          </w:tcPr>
          <w:p w14:paraId="0B99C406"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3</w:t>
            </w:r>
          </w:p>
        </w:tc>
        <w:tc>
          <w:tcPr>
            <w:tcW w:w="611" w:type="pct"/>
            <w:tcMar>
              <w:top w:w="0" w:type="dxa"/>
              <w:left w:w="28" w:type="dxa"/>
              <w:bottom w:w="0" w:type="dxa"/>
              <w:right w:w="28" w:type="dxa"/>
            </w:tcMar>
            <w:vAlign w:val="center"/>
            <w:hideMark/>
          </w:tcPr>
          <w:p w14:paraId="2501CF61"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4</w:t>
            </w:r>
          </w:p>
        </w:tc>
        <w:tc>
          <w:tcPr>
            <w:tcW w:w="611" w:type="pct"/>
            <w:tcMar>
              <w:top w:w="0" w:type="dxa"/>
              <w:left w:w="28" w:type="dxa"/>
              <w:bottom w:w="0" w:type="dxa"/>
              <w:right w:w="28" w:type="dxa"/>
            </w:tcMar>
            <w:vAlign w:val="center"/>
            <w:hideMark/>
          </w:tcPr>
          <w:p w14:paraId="517D94BA"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5</w:t>
            </w:r>
          </w:p>
        </w:tc>
        <w:tc>
          <w:tcPr>
            <w:tcW w:w="611" w:type="pct"/>
            <w:tcMar>
              <w:top w:w="0" w:type="dxa"/>
              <w:left w:w="28" w:type="dxa"/>
              <w:bottom w:w="0" w:type="dxa"/>
              <w:right w:w="28" w:type="dxa"/>
            </w:tcMar>
            <w:hideMark/>
          </w:tcPr>
          <w:p w14:paraId="59BF9144" w14:textId="77777777" w:rsidR="007208D9" w:rsidRPr="00E14122" w:rsidRDefault="007208D9" w:rsidP="00E14122">
            <w:pPr>
              <w:pStyle w:val="In-tableHeading"/>
              <w:keepLines/>
              <w:spacing w:line="252" w:lineRule="auto"/>
              <w:jc w:val="center"/>
              <w:rPr>
                <w:szCs w:val="20"/>
                <w:lang w:val="en-AU"/>
              </w:rPr>
            </w:pPr>
            <w:r w:rsidRPr="00E14122">
              <w:rPr>
                <w:szCs w:val="20"/>
                <w:lang w:val="en-AU"/>
              </w:rPr>
              <w:t>Year 6</w:t>
            </w:r>
          </w:p>
        </w:tc>
      </w:tr>
      <w:tr w:rsidR="007208D9" w:rsidRPr="009475AF" w14:paraId="646EBC62" w14:textId="77777777" w:rsidTr="00775A89">
        <w:tc>
          <w:tcPr>
            <w:tcW w:w="5000" w:type="pct"/>
            <w:gridSpan w:val="7"/>
            <w:tcMar>
              <w:top w:w="0" w:type="dxa"/>
              <w:left w:w="28" w:type="dxa"/>
              <w:bottom w:w="0" w:type="dxa"/>
              <w:right w:w="28" w:type="dxa"/>
            </w:tcMar>
            <w:vAlign w:val="center"/>
            <w:hideMark/>
          </w:tcPr>
          <w:p w14:paraId="71FF2657" w14:textId="77777777" w:rsidR="007208D9" w:rsidRPr="00E14122" w:rsidRDefault="007208D9" w:rsidP="00E14122">
            <w:pPr>
              <w:pStyle w:val="In-tableHeading"/>
              <w:keepLines/>
              <w:spacing w:line="252" w:lineRule="auto"/>
              <w:rPr>
                <w:color w:val="000000"/>
                <w:szCs w:val="20"/>
                <w:lang w:val="en-AU"/>
              </w:rPr>
            </w:pPr>
            <w:r w:rsidRPr="00E14122">
              <w:rPr>
                <w:color w:val="000000"/>
                <w:szCs w:val="20"/>
                <w:lang w:val="en-AU"/>
              </w:rPr>
              <w:t>Estimated extent of use</w:t>
            </w:r>
          </w:p>
        </w:tc>
      </w:tr>
      <w:tr w:rsidR="007208D9" w:rsidRPr="009475AF" w14:paraId="32AE2B5C" w14:textId="77777777" w:rsidTr="00775A89">
        <w:tc>
          <w:tcPr>
            <w:tcW w:w="1334" w:type="pct"/>
            <w:tcMar>
              <w:top w:w="0" w:type="dxa"/>
              <w:left w:w="28" w:type="dxa"/>
              <w:bottom w:w="0" w:type="dxa"/>
              <w:right w:w="28" w:type="dxa"/>
            </w:tcMar>
            <w:vAlign w:val="center"/>
            <w:hideMark/>
          </w:tcPr>
          <w:p w14:paraId="073DE148" w14:textId="77777777" w:rsidR="007208D9" w:rsidRPr="00E14122" w:rsidRDefault="007208D9" w:rsidP="00E14122">
            <w:pPr>
              <w:pStyle w:val="TableText0"/>
              <w:keepLines/>
              <w:spacing w:line="252" w:lineRule="auto"/>
              <w:rPr>
                <w:rFonts w:cs="Times"/>
                <w:szCs w:val="20"/>
              </w:rPr>
            </w:pPr>
            <w:r w:rsidRPr="00E14122">
              <w:rPr>
                <w:szCs w:val="20"/>
              </w:rPr>
              <w:t>Number of scripts dispensed</w:t>
            </w:r>
          </w:p>
        </w:tc>
        <w:tc>
          <w:tcPr>
            <w:tcW w:w="611" w:type="pct"/>
            <w:tcMar>
              <w:top w:w="0" w:type="dxa"/>
              <w:left w:w="28" w:type="dxa"/>
              <w:bottom w:w="0" w:type="dxa"/>
              <w:right w:w="28" w:type="dxa"/>
            </w:tcMar>
            <w:hideMark/>
          </w:tcPr>
          <w:p w14:paraId="6BF84D49" w14:textId="7D4C231A" w:rsidR="007208D9" w:rsidRPr="00E14122" w:rsidRDefault="00CE7646" w:rsidP="00E14122">
            <w:pPr>
              <w:pStyle w:val="TableText0"/>
              <w:keepLines/>
              <w:spacing w:line="252" w:lineRule="auto"/>
              <w:jc w:val="center"/>
              <w:rPr>
                <w:rFonts w:cs="Calibri"/>
                <w:color w:val="000000"/>
                <w:szCs w:val="20"/>
                <w:highlight w:val="lightGray"/>
              </w:rPr>
            </w:pPr>
            <w:r w:rsidRPr="00CE7646">
              <w:rPr>
                <w:rFonts w:hint="eastAsia"/>
                <w:color w:val="000000"/>
                <w:w w:val="16"/>
                <w:szCs w:val="20"/>
                <w:shd w:val="solid" w:color="000000" w:fill="000000"/>
                <w:fitText w:val="75" w:id="-962338301"/>
                <w14:textFill>
                  <w14:solidFill>
                    <w14:srgbClr w14:val="000000">
                      <w14:alpha w14:val="100000"/>
                    </w14:srgbClr>
                  </w14:solidFill>
                </w14:textFill>
              </w:rPr>
              <w:t xml:space="preserve">　</w:t>
            </w:r>
            <w:r w:rsidRPr="00CE7646">
              <w:rPr>
                <w:color w:val="000000"/>
                <w:w w:val="16"/>
                <w:szCs w:val="20"/>
                <w:shd w:val="solid" w:color="000000" w:fill="000000"/>
                <w:fitText w:val="75" w:id="-962338301"/>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301"/>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c>
          <w:tcPr>
            <w:tcW w:w="611" w:type="pct"/>
            <w:tcMar>
              <w:top w:w="0" w:type="dxa"/>
              <w:left w:w="28" w:type="dxa"/>
              <w:bottom w:w="0" w:type="dxa"/>
              <w:right w:w="28" w:type="dxa"/>
            </w:tcMar>
            <w:hideMark/>
          </w:tcPr>
          <w:p w14:paraId="2FB9EA53" w14:textId="4586CF36" w:rsidR="007208D9" w:rsidRPr="00E14122" w:rsidRDefault="00CE7646" w:rsidP="00E14122">
            <w:pPr>
              <w:pStyle w:val="TableText0"/>
              <w:keepLines/>
              <w:spacing w:line="252" w:lineRule="auto"/>
              <w:jc w:val="center"/>
              <w:rPr>
                <w:rFonts w:cs="Times New Roman"/>
                <w:color w:val="000000"/>
                <w:szCs w:val="20"/>
                <w:highlight w:val="lightGray"/>
              </w:rPr>
            </w:pPr>
            <w:r w:rsidRPr="00CE7646">
              <w:rPr>
                <w:rFonts w:hint="eastAsia"/>
                <w:color w:val="000000"/>
                <w:w w:val="16"/>
                <w:szCs w:val="20"/>
                <w:shd w:val="solid" w:color="000000" w:fill="000000"/>
                <w:fitText w:val="75" w:id="-962338300"/>
                <w14:textFill>
                  <w14:solidFill>
                    <w14:srgbClr w14:val="000000">
                      <w14:alpha w14:val="100000"/>
                    </w14:srgbClr>
                  </w14:solidFill>
                </w14:textFill>
              </w:rPr>
              <w:t xml:space="preserve">　</w:t>
            </w:r>
            <w:r w:rsidRPr="00CE7646">
              <w:rPr>
                <w:color w:val="000000"/>
                <w:w w:val="16"/>
                <w:szCs w:val="20"/>
                <w:shd w:val="solid" w:color="000000" w:fill="000000"/>
                <w:fitText w:val="75" w:id="-962338300"/>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300"/>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c>
          <w:tcPr>
            <w:tcW w:w="611" w:type="pct"/>
            <w:tcMar>
              <w:top w:w="0" w:type="dxa"/>
              <w:left w:w="28" w:type="dxa"/>
              <w:bottom w:w="0" w:type="dxa"/>
              <w:right w:w="28" w:type="dxa"/>
            </w:tcMar>
            <w:hideMark/>
          </w:tcPr>
          <w:p w14:paraId="0A5F2EEC" w14:textId="5161BF1A" w:rsidR="007208D9" w:rsidRPr="00E14122" w:rsidRDefault="00CE7646" w:rsidP="00E14122">
            <w:pPr>
              <w:pStyle w:val="TableText0"/>
              <w:keepLines/>
              <w:spacing w:line="252" w:lineRule="auto"/>
              <w:jc w:val="center"/>
              <w:rPr>
                <w:color w:val="000000"/>
                <w:szCs w:val="20"/>
                <w:highlight w:val="lightGray"/>
              </w:rPr>
            </w:pPr>
            <w:r w:rsidRPr="00CE7646">
              <w:rPr>
                <w:rFonts w:hint="eastAsia"/>
                <w:color w:val="000000"/>
                <w:w w:val="16"/>
                <w:szCs w:val="20"/>
                <w:shd w:val="solid" w:color="000000" w:fill="000000"/>
                <w:fitText w:val="75" w:id="-962338299"/>
                <w14:textFill>
                  <w14:solidFill>
                    <w14:srgbClr w14:val="000000">
                      <w14:alpha w14:val="100000"/>
                    </w14:srgbClr>
                  </w14:solidFill>
                </w14:textFill>
              </w:rPr>
              <w:t xml:space="preserve">　</w:t>
            </w:r>
            <w:r w:rsidRPr="00CE7646">
              <w:rPr>
                <w:color w:val="000000"/>
                <w:w w:val="16"/>
                <w:szCs w:val="20"/>
                <w:shd w:val="solid" w:color="000000" w:fill="000000"/>
                <w:fitText w:val="75" w:id="-962338299"/>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9"/>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c>
          <w:tcPr>
            <w:tcW w:w="611" w:type="pct"/>
            <w:tcMar>
              <w:top w:w="0" w:type="dxa"/>
              <w:left w:w="28" w:type="dxa"/>
              <w:bottom w:w="0" w:type="dxa"/>
              <w:right w:w="28" w:type="dxa"/>
            </w:tcMar>
            <w:hideMark/>
          </w:tcPr>
          <w:p w14:paraId="0097D321" w14:textId="675FEE17" w:rsidR="007208D9" w:rsidRPr="00E14122" w:rsidRDefault="00CE7646" w:rsidP="00E14122">
            <w:pPr>
              <w:pStyle w:val="TableText0"/>
              <w:keepLines/>
              <w:spacing w:line="252" w:lineRule="auto"/>
              <w:jc w:val="center"/>
              <w:rPr>
                <w:color w:val="000000"/>
                <w:szCs w:val="20"/>
                <w:highlight w:val="lightGray"/>
              </w:rPr>
            </w:pPr>
            <w:r w:rsidRPr="00CE7646">
              <w:rPr>
                <w:rFonts w:hint="eastAsia"/>
                <w:color w:val="000000"/>
                <w:w w:val="16"/>
                <w:szCs w:val="20"/>
                <w:shd w:val="solid" w:color="000000" w:fill="000000"/>
                <w:fitText w:val="75" w:id="-962338298"/>
                <w14:textFill>
                  <w14:solidFill>
                    <w14:srgbClr w14:val="000000">
                      <w14:alpha w14:val="100000"/>
                    </w14:srgbClr>
                  </w14:solidFill>
                </w14:textFill>
              </w:rPr>
              <w:t xml:space="preserve">　</w:t>
            </w:r>
            <w:r w:rsidRPr="00CE7646">
              <w:rPr>
                <w:color w:val="000000"/>
                <w:w w:val="16"/>
                <w:szCs w:val="20"/>
                <w:shd w:val="solid" w:color="000000" w:fill="000000"/>
                <w:fitText w:val="75" w:id="-962338298"/>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8"/>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c>
          <w:tcPr>
            <w:tcW w:w="611" w:type="pct"/>
            <w:tcMar>
              <w:top w:w="0" w:type="dxa"/>
              <w:left w:w="28" w:type="dxa"/>
              <w:bottom w:w="0" w:type="dxa"/>
              <w:right w:w="28" w:type="dxa"/>
            </w:tcMar>
            <w:hideMark/>
          </w:tcPr>
          <w:p w14:paraId="5B8B3FBA" w14:textId="72225709" w:rsidR="007208D9" w:rsidRPr="00E14122" w:rsidRDefault="00CE7646" w:rsidP="00E14122">
            <w:pPr>
              <w:pStyle w:val="TableText0"/>
              <w:keepLines/>
              <w:spacing w:line="252" w:lineRule="auto"/>
              <w:jc w:val="center"/>
              <w:rPr>
                <w:color w:val="000000"/>
                <w:szCs w:val="20"/>
                <w:highlight w:val="lightGray"/>
              </w:rPr>
            </w:pPr>
            <w:r w:rsidRPr="00CE7646">
              <w:rPr>
                <w:rFonts w:hint="eastAsia"/>
                <w:color w:val="000000"/>
                <w:w w:val="16"/>
                <w:szCs w:val="20"/>
                <w:shd w:val="solid" w:color="000000" w:fill="000000"/>
                <w:fitText w:val="75" w:id="-962338297"/>
                <w14:textFill>
                  <w14:solidFill>
                    <w14:srgbClr w14:val="000000">
                      <w14:alpha w14:val="100000"/>
                    </w14:srgbClr>
                  </w14:solidFill>
                </w14:textFill>
              </w:rPr>
              <w:t xml:space="preserve">　</w:t>
            </w:r>
            <w:r w:rsidRPr="00CE7646">
              <w:rPr>
                <w:color w:val="000000"/>
                <w:w w:val="16"/>
                <w:szCs w:val="20"/>
                <w:shd w:val="solid" w:color="000000" w:fill="000000"/>
                <w:fitText w:val="75" w:id="-962338297"/>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7"/>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c>
          <w:tcPr>
            <w:tcW w:w="611" w:type="pct"/>
            <w:tcMar>
              <w:top w:w="0" w:type="dxa"/>
              <w:left w:w="28" w:type="dxa"/>
              <w:bottom w:w="0" w:type="dxa"/>
              <w:right w:w="28" w:type="dxa"/>
            </w:tcMar>
            <w:hideMark/>
          </w:tcPr>
          <w:p w14:paraId="081898E5" w14:textId="7E577577" w:rsidR="007208D9" w:rsidRPr="00E14122" w:rsidRDefault="00CE7646" w:rsidP="00E14122">
            <w:pPr>
              <w:pStyle w:val="TableText0"/>
              <w:keepLines/>
              <w:spacing w:line="252" w:lineRule="auto"/>
              <w:jc w:val="center"/>
              <w:rPr>
                <w:color w:val="000000"/>
                <w:szCs w:val="20"/>
                <w:highlight w:val="lightGray"/>
              </w:rPr>
            </w:pPr>
            <w:r w:rsidRPr="00CE7646">
              <w:rPr>
                <w:rFonts w:hint="eastAsia"/>
                <w:color w:val="000000"/>
                <w:w w:val="16"/>
                <w:szCs w:val="20"/>
                <w:shd w:val="solid" w:color="000000" w:fill="000000"/>
                <w:fitText w:val="75" w:id="-962338296"/>
                <w14:textFill>
                  <w14:solidFill>
                    <w14:srgbClr w14:val="000000">
                      <w14:alpha w14:val="100000"/>
                    </w14:srgbClr>
                  </w14:solidFill>
                </w14:textFill>
              </w:rPr>
              <w:t xml:space="preserve">　</w:t>
            </w:r>
            <w:r w:rsidRPr="00CE7646">
              <w:rPr>
                <w:color w:val="000000"/>
                <w:w w:val="16"/>
                <w:szCs w:val="20"/>
                <w:shd w:val="solid" w:color="000000" w:fill="000000"/>
                <w:fitText w:val="75" w:id="-962338296"/>
                <w14:textFill>
                  <w14:solidFill>
                    <w14:srgbClr w14:val="000000">
                      <w14:alpha w14:val="100000"/>
                    </w14:srgbClr>
                  </w14:solidFill>
                </w14:textFill>
              </w:rPr>
              <w:t>|</w:t>
            </w:r>
            <w:r w:rsidRPr="00CE7646">
              <w:rPr>
                <w:rFonts w:hint="eastAsia"/>
                <w:color w:val="000000"/>
                <w:spacing w:val="5"/>
                <w:w w:val="16"/>
                <w:szCs w:val="20"/>
                <w:shd w:val="solid" w:color="000000" w:fill="000000"/>
                <w:fitText w:val="75" w:id="-962338296"/>
                <w14:textFill>
                  <w14:solidFill>
                    <w14:srgbClr w14:val="000000">
                      <w14:alpha w14:val="100000"/>
                    </w14:srgbClr>
                  </w14:solidFill>
                </w14:textFill>
              </w:rPr>
              <w:t xml:space="preserve">　</w:t>
            </w:r>
            <w:r w:rsidR="00213940" w:rsidRPr="00213940">
              <w:rPr>
                <w:szCs w:val="20"/>
              </w:rPr>
              <w:t xml:space="preserve"> </w:t>
            </w:r>
            <w:r w:rsidR="002F58C7" w:rsidRPr="00E14122">
              <w:rPr>
                <w:szCs w:val="20"/>
                <w:vertAlign w:val="superscript"/>
              </w:rPr>
              <w:t>1</w:t>
            </w:r>
          </w:p>
        </w:tc>
      </w:tr>
      <w:tr w:rsidR="007208D9" w:rsidRPr="009475AF" w14:paraId="5C77E164" w14:textId="77777777" w:rsidTr="00775A89">
        <w:tc>
          <w:tcPr>
            <w:tcW w:w="5000" w:type="pct"/>
            <w:gridSpan w:val="7"/>
            <w:tcMar>
              <w:top w:w="0" w:type="dxa"/>
              <w:left w:w="28" w:type="dxa"/>
              <w:bottom w:w="0" w:type="dxa"/>
              <w:right w:w="28" w:type="dxa"/>
            </w:tcMar>
            <w:vAlign w:val="center"/>
            <w:hideMark/>
          </w:tcPr>
          <w:p w14:paraId="5EC23BAA" w14:textId="77777777" w:rsidR="007208D9" w:rsidRPr="00E14122" w:rsidRDefault="007208D9" w:rsidP="00E14122">
            <w:pPr>
              <w:pStyle w:val="In-tableHeading"/>
              <w:keepLines/>
              <w:spacing w:line="252" w:lineRule="auto"/>
              <w:rPr>
                <w:szCs w:val="20"/>
                <w:lang w:val="en-AU"/>
              </w:rPr>
            </w:pPr>
            <w:r w:rsidRPr="00E14122">
              <w:rPr>
                <w:szCs w:val="20"/>
                <w:lang w:val="en-AU"/>
              </w:rPr>
              <w:t>Estimated financial implications of dupilumab</w:t>
            </w:r>
          </w:p>
        </w:tc>
      </w:tr>
      <w:tr w:rsidR="007208D9" w:rsidRPr="009475AF" w14:paraId="6CE32D8D" w14:textId="77777777" w:rsidTr="00775A89">
        <w:tc>
          <w:tcPr>
            <w:tcW w:w="1334" w:type="pct"/>
            <w:tcMar>
              <w:top w:w="0" w:type="dxa"/>
              <w:left w:w="28" w:type="dxa"/>
              <w:bottom w:w="0" w:type="dxa"/>
              <w:right w:w="28" w:type="dxa"/>
            </w:tcMar>
            <w:vAlign w:val="center"/>
            <w:hideMark/>
          </w:tcPr>
          <w:p w14:paraId="7E0EA419" w14:textId="77777777" w:rsidR="007208D9" w:rsidRPr="00E14122" w:rsidRDefault="007208D9" w:rsidP="00E14122">
            <w:pPr>
              <w:pStyle w:val="TableText0"/>
              <w:keepLines/>
              <w:spacing w:line="252" w:lineRule="auto"/>
              <w:rPr>
                <w:szCs w:val="20"/>
              </w:rPr>
            </w:pPr>
            <w:r w:rsidRPr="00E14122">
              <w:rPr>
                <w:szCs w:val="20"/>
              </w:rPr>
              <w:t>Cost to PBS/RPBS less copayments</w:t>
            </w:r>
          </w:p>
        </w:tc>
        <w:tc>
          <w:tcPr>
            <w:tcW w:w="611" w:type="pct"/>
            <w:tcMar>
              <w:top w:w="0" w:type="dxa"/>
              <w:left w:w="28" w:type="dxa"/>
              <w:bottom w:w="0" w:type="dxa"/>
              <w:right w:w="28" w:type="dxa"/>
            </w:tcMar>
            <w:hideMark/>
          </w:tcPr>
          <w:p w14:paraId="12BA4D12" w14:textId="72473C43"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295"/>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295"/>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295"/>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102B53EE" w14:textId="3DE1E844"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8"/>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8"/>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8"/>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693F8143" w14:textId="65FFCDF4"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7"/>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7"/>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7"/>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444EE332" w14:textId="59ADEC66"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6"/>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6"/>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6"/>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216ED8AC" w14:textId="75962181"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5"/>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5"/>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5"/>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347AFA5A" w14:textId="1EB6BD10"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4"/>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4"/>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4"/>
                <w14:textFill>
                  <w14:solidFill>
                    <w14:srgbClr w14:val="000000">
                      <w14:alpha w14:val="100000"/>
                    </w14:srgbClr>
                  </w14:solidFill>
                </w14:textFill>
              </w:rPr>
              <w:t xml:space="preserve">　</w:t>
            </w:r>
            <w:r w:rsidR="002F58C7" w:rsidRPr="00E14122">
              <w:rPr>
                <w:szCs w:val="20"/>
                <w:vertAlign w:val="superscript"/>
              </w:rPr>
              <w:t>2</w:t>
            </w:r>
          </w:p>
        </w:tc>
      </w:tr>
      <w:tr w:rsidR="007208D9" w:rsidRPr="009475AF" w14:paraId="50C13C30" w14:textId="77777777" w:rsidTr="00775A89">
        <w:tc>
          <w:tcPr>
            <w:tcW w:w="5000" w:type="pct"/>
            <w:gridSpan w:val="7"/>
            <w:tcMar>
              <w:top w:w="0" w:type="dxa"/>
              <w:left w:w="28" w:type="dxa"/>
              <w:bottom w:w="0" w:type="dxa"/>
              <w:right w:w="28" w:type="dxa"/>
            </w:tcMar>
            <w:vAlign w:val="center"/>
            <w:hideMark/>
          </w:tcPr>
          <w:p w14:paraId="625778C6" w14:textId="77777777" w:rsidR="007208D9" w:rsidRPr="00E14122" w:rsidRDefault="007208D9" w:rsidP="00E14122">
            <w:pPr>
              <w:pStyle w:val="In-tableHeading"/>
              <w:keepLines/>
              <w:spacing w:line="252" w:lineRule="auto"/>
              <w:rPr>
                <w:szCs w:val="20"/>
                <w:lang w:val="en-AU"/>
              </w:rPr>
            </w:pPr>
            <w:r w:rsidRPr="00E14122">
              <w:rPr>
                <w:szCs w:val="20"/>
                <w:lang w:val="en-AU"/>
              </w:rPr>
              <w:t>Estimated financial implications for omalizumab</w:t>
            </w:r>
          </w:p>
        </w:tc>
      </w:tr>
      <w:tr w:rsidR="007208D9" w:rsidRPr="009475AF" w14:paraId="006E273E" w14:textId="77777777" w:rsidTr="00775A89">
        <w:tc>
          <w:tcPr>
            <w:tcW w:w="1334" w:type="pct"/>
            <w:tcMar>
              <w:top w:w="0" w:type="dxa"/>
              <w:left w:w="28" w:type="dxa"/>
              <w:bottom w:w="0" w:type="dxa"/>
              <w:right w:w="28" w:type="dxa"/>
            </w:tcMar>
            <w:vAlign w:val="center"/>
            <w:hideMark/>
          </w:tcPr>
          <w:p w14:paraId="202EEBBC" w14:textId="77777777" w:rsidR="007208D9" w:rsidRPr="00E14122" w:rsidRDefault="007208D9" w:rsidP="00E14122">
            <w:pPr>
              <w:pStyle w:val="TableText0"/>
              <w:keepLines/>
              <w:spacing w:line="252" w:lineRule="auto"/>
              <w:rPr>
                <w:szCs w:val="20"/>
              </w:rPr>
            </w:pPr>
            <w:r w:rsidRPr="00E14122">
              <w:rPr>
                <w:szCs w:val="20"/>
              </w:rPr>
              <w:t>Change in omalizumab scripts</w:t>
            </w:r>
          </w:p>
        </w:tc>
        <w:tc>
          <w:tcPr>
            <w:tcW w:w="611" w:type="pct"/>
            <w:tcMar>
              <w:top w:w="0" w:type="dxa"/>
              <w:left w:w="28" w:type="dxa"/>
              <w:bottom w:w="0" w:type="dxa"/>
              <w:right w:w="28" w:type="dxa"/>
            </w:tcMar>
            <w:hideMark/>
          </w:tcPr>
          <w:p w14:paraId="43164D29" w14:textId="79759B7C"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3"/>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3"/>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3"/>
                <w14:textFill>
                  <w14:solidFill>
                    <w14:srgbClr w14:val="000000">
                      <w14:alpha w14:val="100000"/>
                    </w14:srgbClr>
                  </w14:solidFill>
                </w14:textFill>
              </w:rPr>
              <w:t xml:space="preserve">　</w:t>
            </w:r>
            <w:r w:rsidR="00213940" w:rsidRPr="00213940">
              <w:rPr>
                <w:szCs w:val="20"/>
              </w:rPr>
              <w:t xml:space="preserve"> </w:t>
            </w:r>
            <w:r w:rsidR="00E70AEF">
              <w:rPr>
                <w:szCs w:val="20"/>
                <w:vertAlign w:val="superscript"/>
              </w:rPr>
              <w:t>1</w:t>
            </w:r>
          </w:p>
        </w:tc>
        <w:tc>
          <w:tcPr>
            <w:tcW w:w="611" w:type="pct"/>
            <w:tcMar>
              <w:top w:w="0" w:type="dxa"/>
              <w:left w:w="28" w:type="dxa"/>
              <w:bottom w:w="0" w:type="dxa"/>
              <w:right w:w="28" w:type="dxa"/>
            </w:tcMar>
            <w:hideMark/>
          </w:tcPr>
          <w:p w14:paraId="499AEAC5" w14:textId="1D558869"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2"/>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2"/>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2"/>
                <w14:textFill>
                  <w14:solidFill>
                    <w14:srgbClr w14:val="000000">
                      <w14:alpha w14:val="100000"/>
                    </w14:srgbClr>
                  </w14:solidFill>
                </w14:textFill>
              </w:rPr>
              <w:t xml:space="preserve">　</w:t>
            </w:r>
            <w:r w:rsidR="00213940" w:rsidRPr="00213940">
              <w:rPr>
                <w:szCs w:val="20"/>
              </w:rPr>
              <w:t xml:space="preserve"> </w:t>
            </w:r>
            <w:r w:rsidR="00E70AEF">
              <w:rPr>
                <w:szCs w:val="20"/>
                <w:vertAlign w:val="superscript"/>
              </w:rPr>
              <w:t>1</w:t>
            </w:r>
          </w:p>
        </w:tc>
        <w:tc>
          <w:tcPr>
            <w:tcW w:w="611" w:type="pct"/>
            <w:tcMar>
              <w:top w:w="0" w:type="dxa"/>
              <w:left w:w="28" w:type="dxa"/>
              <w:bottom w:w="0" w:type="dxa"/>
              <w:right w:w="28" w:type="dxa"/>
            </w:tcMar>
            <w:hideMark/>
          </w:tcPr>
          <w:p w14:paraId="572D6F57" w14:textId="2C2E51DB"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1"/>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1"/>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1"/>
                <w14:textFill>
                  <w14:solidFill>
                    <w14:srgbClr w14:val="000000">
                      <w14:alpha w14:val="100000"/>
                    </w14:srgbClr>
                  </w14:solidFill>
                </w14:textFill>
              </w:rPr>
              <w:t xml:space="preserve">　</w:t>
            </w:r>
            <w:r w:rsidR="00213940" w:rsidRPr="00213940">
              <w:rPr>
                <w:szCs w:val="20"/>
              </w:rPr>
              <w:t xml:space="preserve"> </w:t>
            </w:r>
            <w:r w:rsidR="00E70AEF">
              <w:rPr>
                <w:szCs w:val="20"/>
                <w:vertAlign w:val="superscript"/>
              </w:rPr>
              <w:t>1</w:t>
            </w:r>
          </w:p>
        </w:tc>
        <w:tc>
          <w:tcPr>
            <w:tcW w:w="611" w:type="pct"/>
            <w:tcMar>
              <w:top w:w="0" w:type="dxa"/>
              <w:left w:w="28" w:type="dxa"/>
              <w:bottom w:w="0" w:type="dxa"/>
              <w:right w:w="28" w:type="dxa"/>
            </w:tcMar>
            <w:hideMark/>
          </w:tcPr>
          <w:p w14:paraId="05154C67" w14:textId="7128FFA2"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0"/>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0"/>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0"/>
                <w14:textFill>
                  <w14:solidFill>
                    <w14:srgbClr w14:val="000000">
                      <w14:alpha w14:val="100000"/>
                    </w14:srgbClr>
                  </w14:solidFill>
                </w14:textFill>
              </w:rPr>
              <w:t xml:space="preserve">　</w:t>
            </w:r>
            <w:r w:rsidR="00213940" w:rsidRPr="00213940">
              <w:rPr>
                <w:szCs w:val="20"/>
              </w:rPr>
              <w:t xml:space="preserve"> </w:t>
            </w:r>
            <w:r w:rsidR="00645BAC">
              <w:rPr>
                <w:szCs w:val="20"/>
                <w:vertAlign w:val="superscript"/>
              </w:rPr>
              <w:t>4</w:t>
            </w:r>
          </w:p>
        </w:tc>
        <w:tc>
          <w:tcPr>
            <w:tcW w:w="611" w:type="pct"/>
            <w:tcMar>
              <w:top w:w="0" w:type="dxa"/>
              <w:left w:w="28" w:type="dxa"/>
              <w:bottom w:w="0" w:type="dxa"/>
              <w:right w:w="28" w:type="dxa"/>
            </w:tcMar>
            <w:hideMark/>
          </w:tcPr>
          <w:p w14:paraId="1D20BF32" w14:textId="14F63F04"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39"/>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39"/>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39"/>
                <w14:textFill>
                  <w14:solidFill>
                    <w14:srgbClr w14:val="000000">
                      <w14:alpha w14:val="100000"/>
                    </w14:srgbClr>
                  </w14:solidFill>
                </w14:textFill>
              </w:rPr>
              <w:t xml:space="preserve">　</w:t>
            </w:r>
            <w:r w:rsidR="00213940" w:rsidRPr="00213940">
              <w:rPr>
                <w:szCs w:val="20"/>
              </w:rPr>
              <w:t xml:space="preserve"> </w:t>
            </w:r>
            <w:r w:rsidR="00645BAC">
              <w:rPr>
                <w:szCs w:val="20"/>
                <w:vertAlign w:val="superscript"/>
              </w:rPr>
              <w:t>4</w:t>
            </w:r>
          </w:p>
        </w:tc>
        <w:tc>
          <w:tcPr>
            <w:tcW w:w="611" w:type="pct"/>
            <w:tcMar>
              <w:top w:w="0" w:type="dxa"/>
              <w:left w:w="28" w:type="dxa"/>
              <w:bottom w:w="0" w:type="dxa"/>
              <w:right w:w="28" w:type="dxa"/>
            </w:tcMar>
            <w:hideMark/>
          </w:tcPr>
          <w:p w14:paraId="0C53A859" w14:textId="0390D902"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38"/>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38"/>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38"/>
                <w14:textFill>
                  <w14:solidFill>
                    <w14:srgbClr w14:val="000000">
                      <w14:alpha w14:val="100000"/>
                    </w14:srgbClr>
                  </w14:solidFill>
                </w14:textFill>
              </w:rPr>
              <w:t xml:space="preserve">　</w:t>
            </w:r>
            <w:r w:rsidR="00213940" w:rsidRPr="00213940">
              <w:rPr>
                <w:szCs w:val="20"/>
              </w:rPr>
              <w:t xml:space="preserve"> </w:t>
            </w:r>
            <w:r w:rsidR="00645BAC">
              <w:rPr>
                <w:szCs w:val="20"/>
                <w:vertAlign w:val="superscript"/>
              </w:rPr>
              <w:t>4</w:t>
            </w:r>
          </w:p>
        </w:tc>
      </w:tr>
      <w:tr w:rsidR="007208D9" w:rsidRPr="009475AF" w14:paraId="78ABE39B" w14:textId="77777777" w:rsidTr="00775A89">
        <w:tc>
          <w:tcPr>
            <w:tcW w:w="1334" w:type="pct"/>
            <w:tcMar>
              <w:top w:w="0" w:type="dxa"/>
              <w:left w:w="28" w:type="dxa"/>
              <w:bottom w:w="0" w:type="dxa"/>
              <w:right w:w="28" w:type="dxa"/>
            </w:tcMar>
            <w:vAlign w:val="center"/>
            <w:hideMark/>
          </w:tcPr>
          <w:p w14:paraId="1CE41EE3" w14:textId="77777777" w:rsidR="007208D9" w:rsidRPr="00E14122" w:rsidRDefault="007208D9" w:rsidP="00E14122">
            <w:pPr>
              <w:pStyle w:val="TableText0"/>
              <w:keepLines/>
              <w:spacing w:line="252" w:lineRule="auto"/>
              <w:rPr>
                <w:szCs w:val="20"/>
              </w:rPr>
            </w:pPr>
            <w:r w:rsidRPr="00E14122">
              <w:rPr>
                <w:szCs w:val="20"/>
              </w:rPr>
              <w:t>Cost to PBS/RPBS less copayments</w:t>
            </w:r>
          </w:p>
        </w:tc>
        <w:tc>
          <w:tcPr>
            <w:tcW w:w="611" w:type="pct"/>
            <w:tcMar>
              <w:top w:w="0" w:type="dxa"/>
              <w:left w:w="28" w:type="dxa"/>
              <w:bottom w:w="0" w:type="dxa"/>
              <w:right w:w="28" w:type="dxa"/>
            </w:tcMar>
            <w:hideMark/>
          </w:tcPr>
          <w:p w14:paraId="7681A821" w14:textId="2F264080"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7"/>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7"/>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7"/>
                <w14:textFill>
                  <w14:solidFill>
                    <w14:srgbClr w14:val="000000">
                      <w14:alpha w14:val="100000"/>
                    </w14:srgbClr>
                  </w14:solidFill>
                </w14:textFill>
              </w:rPr>
              <w:t xml:space="preserve">　</w:t>
            </w:r>
            <w:r w:rsidR="00301E07" w:rsidRPr="00E14122">
              <w:rPr>
                <w:szCs w:val="20"/>
                <w:vertAlign w:val="superscript"/>
              </w:rPr>
              <w:t>3</w:t>
            </w:r>
          </w:p>
        </w:tc>
        <w:tc>
          <w:tcPr>
            <w:tcW w:w="611" w:type="pct"/>
            <w:tcMar>
              <w:top w:w="0" w:type="dxa"/>
              <w:left w:w="28" w:type="dxa"/>
              <w:bottom w:w="0" w:type="dxa"/>
              <w:right w:w="28" w:type="dxa"/>
            </w:tcMar>
            <w:hideMark/>
          </w:tcPr>
          <w:p w14:paraId="671BF222" w14:textId="434939D9"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6"/>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6"/>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6"/>
                <w14:textFill>
                  <w14:solidFill>
                    <w14:srgbClr w14:val="000000">
                      <w14:alpha w14:val="100000"/>
                    </w14:srgbClr>
                  </w14:solidFill>
                </w14:textFill>
              </w:rPr>
              <w:t xml:space="preserve">　</w:t>
            </w:r>
            <w:r w:rsidR="00301E07" w:rsidRPr="00E14122">
              <w:rPr>
                <w:szCs w:val="20"/>
                <w:vertAlign w:val="superscript"/>
              </w:rPr>
              <w:t>3</w:t>
            </w:r>
          </w:p>
        </w:tc>
        <w:tc>
          <w:tcPr>
            <w:tcW w:w="611" w:type="pct"/>
            <w:tcMar>
              <w:top w:w="0" w:type="dxa"/>
              <w:left w:w="28" w:type="dxa"/>
              <w:bottom w:w="0" w:type="dxa"/>
              <w:right w:w="28" w:type="dxa"/>
            </w:tcMar>
            <w:hideMark/>
          </w:tcPr>
          <w:p w14:paraId="3624F96A" w14:textId="41428530"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5"/>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5"/>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5"/>
                <w14:textFill>
                  <w14:solidFill>
                    <w14:srgbClr w14:val="000000">
                      <w14:alpha w14:val="100000"/>
                    </w14:srgbClr>
                  </w14:solidFill>
                </w14:textFill>
              </w:rPr>
              <w:t xml:space="preserve">　</w:t>
            </w:r>
            <w:r w:rsidR="00301E07" w:rsidRPr="00E14122">
              <w:rPr>
                <w:szCs w:val="20"/>
                <w:vertAlign w:val="superscript"/>
              </w:rPr>
              <w:t>3</w:t>
            </w:r>
          </w:p>
        </w:tc>
        <w:tc>
          <w:tcPr>
            <w:tcW w:w="611" w:type="pct"/>
            <w:tcMar>
              <w:top w:w="0" w:type="dxa"/>
              <w:left w:w="28" w:type="dxa"/>
              <w:bottom w:w="0" w:type="dxa"/>
              <w:right w:w="28" w:type="dxa"/>
            </w:tcMar>
            <w:hideMark/>
          </w:tcPr>
          <w:p w14:paraId="43812309" w14:textId="2F51A09D"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4"/>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4"/>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4"/>
                <w14:textFill>
                  <w14:solidFill>
                    <w14:srgbClr w14:val="000000">
                      <w14:alpha w14:val="100000"/>
                    </w14:srgbClr>
                  </w14:solidFill>
                </w14:textFill>
              </w:rPr>
              <w:t xml:space="preserve">　</w:t>
            </w:r>
            <w:r w:rsidR="00301E07" w:rsidRPr="00E14122">
              <w:rPr>
                <w:szCs w:val="20"/>
                <w:vertAlign w:val="superscript"/>
              </w:rPr>
              <w:t>3</w:t>
            </w:r>
          </w:p>
        </w:tc>
        <w:tc>
          <w:tcPr>
            <w:tcW w:w="611" w:type="pct"/>
            <w:tcMar>
              <w:top w:w="0" w:type="dxa"/>
              <w:left w:w="28" w:type="dxa"/>
              <w:bottom w:w="0" w:type="dxa"/>
              <w:right w:w="28" w:type="dxa"/>
            </w:tcMar>
            <w:hideMark/>
          </w:tcPr>
          <w:p w14:paraId="4C29EDB4" w14:textId="7CEF7D5B"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3"/>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3"/>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3"/>
                <w14:textFill>
                  <w14:solidFill>
                    <w14:srgbClr w14:val="000000">
                      <w14:alpha w14:val="100000"/>
                    </w14:srgbClr>
                  </w14:solidFill>
                </w14:textFill>
              </w:rPr>
              <w:t xml:space="preserve">　</w:t>
            </w:r>
            <w:r w:rsidR="00301E07" w:rsidRPr="00E14122">
              <w:rPr>
                <w:szCs w:val="20"/>
                <w:vertAlign w:val="superscript"/>
              </w:rPr>
              <w:t>3</w:t>
            </w:r>
          </w:p>
        </w:tc>
        <w:tc>
          <w:tcPr>
            <w:tcW w:w="611" w:type="pct"/>
            <w:tcMar>
              <w:top w:w="0" w:type="dxa"/>
              <w:left w:w="28" w:type="dxa"/>
              <w:bottom w:w="0" w:type="dxa"/>
              <w:right w:w="28" w:type="dxa"/>
            </w:tcMar>
            <w:hideMark/>
          </w:tcPr>
          <w:p w14:paraId="7F90FFA2" w14:textId="0450210F"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30"/>
                <w:szCs w:val="20"/>
                <w:shd w:val="solid" w:color="000000" w:fill="000000"/>
                <w:fitText w:val="135" w:id="-962338032"/>
                <w14:textFill>
                  <w14:solidFill>
                    <w14:srgbClr w14:val="000000">
                      <w14:alpha w14:val="100000"/>
                    </w14:srgbClr>
                  </w14:solidFill>
                </w14:textFill>
              </w:rPr>
              <w:t xml:space="preserve">　</w:t>
            </w:r>
            <w:r w:rsidR="00CE7646" w:rsidRPr="00CE7646">
              <w:rPr>
                <w:color w:val="000000"/>
                <w:w w:val="30"/>
                <w:szCs w:val="20"/>
                <w:shd w:val="solid" w:color="000000" w:fill="000000"/>
                <w:fitText w:val="135" w:id="-962338032"/>
                <w14:textFill>
                  <w14:solidFill>
                    <w14:srgbClr w14:val="000000">
                      <w14:alpha w14:val="100000"/>
                    </w14:srgbClr>
                  </w14:solidFill>
                </w14:textFill>
              </w:rPr>
              <w:t>|</w:t>
            </w:r>
            <w:r w:rsidR="00CE7646" w:rsidRPr="00CE7646">
              <w:rPr>
                <w:rFonts w:hint="eastAsia"/>
                <w:color w:val="000000"/>
                <w:spacing w:val="3"/>
                <w:w w:val="30"/>
                <w:szCs w:val="20"/>
                <w:shd w:val="solid" w:color="000000" w:fill="000000"/>
                <w:fitText w:val="135" w:id="-962338032"/>
                <w14:textFill>
                  <w14:solidFill>
                    <w14:srgbClr w14:val="000000">
                      <w14:alpha w14:val="100000"/>
                    </w14:srgbClr>
                  </w14:solidFill>
                </w14:textFill>
              </w:rPr>
              <w:t xml:space="preserve">　</w:t>
            </w:r>
            <w:r w:rsidR="00301E07" w:rsidRPr="00E14122">
              <w:rPr>
                <w:szCs w:val="20"/>
                <w:vertAlign w:val="superscript"/>
              </w:rPr>
              <w:t>3</w:t>
            </w:r>
          </w:p>
        </w:tc>
      </w:tr>
      <w:tr w:rsidR="007208D9" w:rsidRPr="009475AF" w14:paraId="5B68F537" w14:textId="77777777" w:rsidTr="00775A89">
        <w:tc>
          <w:tcPr>
            <w:tcW w:w="5000" w:type="pct"/>
            <w:gridSpan w:val="7"/>
            <w:tcMar>
              <w:top w:w="0" w:type="dxa"/>
              <w:left w:w="28" w:type="dxa"/>
              <w:bottom w:w="0" w:type="dxa"/>
              <w:right w:w="28" w:type="dxa"/>
            </w:tcMar>
            <w:vAlign w:val="center"/>
            <w:hideMark/>
          </w:tcPr>
          <w:p w14:paraId="7547B7F4" w14:textId="77777777" w:rsidR="007208D9" w:rsidRPr="00E14122" w:rsidRDefault="007208D9" w:rsidP="00E14122">
            <w:pPr>
              <w:pStyle w:val="In-tableHeading"/>
              <w:keepLines/>
              <w:spacing w:line="252" w:lineRule="auto"/>
              <w:rPr>
                <w:szCs w:val="20"/>
                <w:lang w:val="en-AU"/>
              </w:rPr>
            </w:pPr>
            <w:r w:rsidRPr="00E14122">
              <w:rPr>
                <w:szCs w:val="20"/>
                <w:lang w:val="en-AU"/>
              </w:rPr>
              <w:t>Net financial implications based on the revised submission estimates</w:t>
            </w:r>
            <w:r w:rsidRPr="00E14122">
              <w:rPr>
                <w:b w:val="0"/>
                <w:bCs/>
                <w:szCs w:val="20"/>
                <w:lang w:val="en-AU"/>
              </w:rPr>
              <w:t xml:space="preserve"> </w:t>
            </w:r>
          </w:p>
        </w:tc>
      </w:tr>
      <w:tr w:rsidR="007208D9" w:rsidRPr="009475AF" w14:paraId="60AA0D3F" w14:textId="77777777" w:rsidTr="00775A89">
        <w:tc>
          <w:tcPr>
            <w:tcW w:w="1334" w:type="pct"/>
            <w:tcMar>
              <w:top w:w="0" w:type="dxa"/>
              <w:left w:w="28" w:type="dxa"/>
              <w:bottom w:w="0" w:type="dxa"/>
              <w:right w:w="28" w:type="dxa"/>
            </w:tcMar>
            <w:vAlign w:val="center"/>
            <w:hideMark/>
          </w:tcPr>
          <w:p w14:paraId="64941645" w14:textId="77777777" w:rsidR="007208D9" w:rsidRPr="00E14122" w:rsidRDefault="007208D9" w:rsidP="00E14122">
            <w:pPr>
              <w:pStyle w:val="TableText0"/>
              <w:keepLines/>
              <w:spacing w:line="252" w:lineRule="auto"/>
              <w:rPr>
                <w:szCs w:val="20"/>
              </w:rPr>
            </w:pPr>
            <w:r w:rsidRPr="00E14122">
              <w:rPr>
                <w:szCs w:val="20"/>
              </w:rPr>
              <w:t>Net cost to PBS/RPBS</w:t>
            </w:r>
          </w:p>
        </w:tc>
        <w:tc>
          <w:tcPr>
            <w:tcW w:w="611" w:type="pct"/>
            <w:tcMar>
              <w:top w:w="0" w:type="dxa"/>
              <w:left w:w="28" w:type="dxa"/>
              <w:bottom w:w="0" w:type="dxa"/>
              <w:right w:w="28" w:type="dxa"/>
            </w:tcMar>
            <w:hideMark/>
          </w:tcPr>
          <w:p w14:paraId="2027465C" w14:textId="638A3A89"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8"/>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8"/>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8"/>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1DC3037A" w14:textId="1EAE856A"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7"/>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7"/>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7"/>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5D6920CE" w14:textId="60DF268C"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6"/>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6"/>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6"/>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251C7599" w14:textId="691D4185"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5"/>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5"/>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5"/>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4FD84499" w14:textId="57EB6424"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4"/>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4"/>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4"/>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36CC8F81" w14:textId="738D2820"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3"/>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3"/>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3"/>
                <w14:textFill>
                  <w14:solidFill>
                    <w14:srgbClr w14:val="000000">
                      <w14:alpha w14:val="100000"/>
                    </w14:srgbClr>
                  </w14:solidFill>
                </w14:textFill>
              </w:rPr>
              <w:t xml:space="preserve">　</w:t>
            </w:r>
            <w:r w:rsidR="002F58C7" w:rsidRPr="00E14122">
              <w:rPr>
                <w:szCs w:val="20"/>
                <w:vertAlign w:val="superscript"/>
              </w:rPr>
              <w:t>2</w:t>
            </w:r>
          </w:p>
        </w:tc>
      </w:tr>
      <w:tr w:rsidR="007208D9" w:rsidRPr="009475AF" w14:paraId="4DFCC7D2" w14:textId="77777777" w:rsidTr="00775A89">
        <w:trPr>
          <w:trHeight w:val="77"/>
        </w:trPr>
        <w:tc>
          <w:tcPr>
            <w:tcW w:w="1334" w:type="pct"/>
            <w:tcMar>
              <w:top w:w="0" w:type="dxa"/>
              <w:left w:w="28" w:type="dxa"/>
              <w:bottom w:w="0" w:type="dxa"/>
              <w:right w:w="28" w:type="dxa"/>
            </w:tcMar>
            <w:vAlign w:val="center"/>
            <w:hideMark/>
          </w:tcPr>
          <w:p w14:paraId="76CB0B5E" w14:textId="77777777" w:rsidR="007208D9" w:rsidRPr="00E14122" w:rsidRDefault="007208D9" w:rsidP="00E14122">
            <w:pPr>
              <w:pStyle w:val="TableText0"/>
              <w:keepLines/>
              <w:spacing w:line="252" w:lineRule="auto"/>
              <w:rPr>
                <w:rFonts w:cs="Times"/>
                <w:szCs w:val="20"/>
              </w:rPr>
            </w:pPr>
            <w:r w:rsidRPr="00E14122">
              <w:rPr>
                <w:szCs w:val="20"/>
              </w:rPr>
              <w:t>Net cost to MBS/ Services Australia/other*</w:t>
            </w:r>
          </w:p>
        </w:tc>
        <w:tc>
          <w:tcPr>
            <w:tcW w:w="611" w:type="pct"/>
            <w:tcMar>
              <w:top w:w="0" w:type="dxa"/>
              <w:left w:w="28" w:type="dxa"/>
              <w:bottom w:w="0" w:type="dxa"/>
              <w:right w:w="28" w:type="dxa"/>
            </w:tcMar>
            <w:hideMark/>
          </w:tcPr>
          <w:p w14:paraId="667FFB0D" w14:textId="77777777" w:rsidR="007208D9" w:rsidRPr="00E14122" w:rsidRDefault="007208D9" w:rsidP="00E14122">
            <w:pPr>
              <w:pStyle w:val="TableText0"/>
              <w:keepLines/>
              <w:spacing w:line="252" w:lineRule="auto"/>
              <w:jc w:val="center"/>
              <w:rPr>
                <w:rFonts w:cs="Calibri"/>
                <w:szCs w:val="20"/>
              </w:rPr>
            </w:pPr>
            <w:r w:rsidRPr="00E14122">
              <w:rPr>
                <w:szCs w:val="20"/>
              </w:rPr>
              <w:t>NA</w:t>
            </w:r>
          </w:p>
        </w:tc>
        <w:tc>
          <w:tcPr>
            <w:tcW w:w="611" w:type="pct"/>
            <w:tcMar>
              <w:top w:w="0" w:type="dxa"/>
              <w:left w:w="28" w:type="dxa"/>
              <w:bottom w:w="0" w:type="dxa"/>
              <w:right w:w="28" w:type="dxa"/>
            </w:tcMar>
            <w:hideMark/>
          </w:tcPr>
          <w:p w14:paraId="56CEFCC2" w14:textId="77777777" w:rsidR="007208D9" w:rsidRPr="00E14122" w:rsidRDefault="007208D9" w:rsidP="00E14122">
            <w:pPr>
              <w:pStyle w:val="TableText0"/>
              <w:keepLines/>
              <w:spacing w:line="252" w:lineRule="auto"/>
              <w:jc w:val="center"/>
              <w:rPr>
                <w:rFonts w:cs="Times New Roman"/>
                <w:szCs w:val="20"/>
              </w:rPr>
            </w:pPr>
            <w:r w:rsidRPr="00E14122">
              <w:rPr>
                <w:szCs w:val="20"/>
              </w:rPr>
              <w:t>NA</w:t>
            </w:r>
          </w:p>
        </w:tc>
        <w:tc>
          <w:tcPr>
            <w:tcW w:w="611" w:type="pct"/>
            <w:tcMar>
              <w:top w:w="0" w:type="dxa"/>
              <w:left w:w="28" w:type="dxa"/>
              <w:bottom w:w="0" w:type="dxa"/>
              <w:right w:w="28" w:type="dxa"/>
            </w:tcMar>
            <w:hideMark/>
          </w:tcPr>
          <w:p w14:paraId="5DC392EA" w14:textId="77777777" w:rsidR="007208D9" w:rsidRPr="00E14122" w:rsidRDefault="007208D9" w:rsidP="00E14122">
            <w:pPr>
              <w:pStyle w:val="TableText0"/>
              <w:keepLines/>
              <w:spacing w:line="252" w:lineRule="auto"/>
              <w:jc w:val="center"/>
              <w:rPr>
                <w:szCs w:val="20"/>
              </w:rPr>
            </w:pPr>
            <w:r w:rsidRPr="00E14122">
              <w:rPr>
                <w:szCs w:val="20"/>
              </w:rPr>
              <w:t>NA</w:t>
            </w:r>
          </w:p>
        </w:tc>
        <w:tc>
          <w:tcPr>
            <w:tcW w:w="611" w:type="pct"/>
            <w:tcMar>
              <w:top w:w="0" w:type="dxa"/>
              <w:left w:w="28" w:type="dxa"/>
              <w:bottom w:w="0" w:type="dxa"/>
              <w:right w:w="28" w:type="dxa"/>
            </w:tcMar>
            <w:hideMark/>
          </w:tcPr>
          <w:p w14:paraId="32E7FF30" w14:textId="77777777" w:rsidR="007208D9" w:rsidRPr="00E14122" w:rsidRDefault="007208D9" w:rsidP="00E14122">
            <w:pPr>
              <w:pStyle w:val="TableText0"/>
              <w:keepLines/>
              <w:spacing w:line="252" w:lineRule="auto"/>
              <w:jc w:val="center"/>
              <w:rPr>
                <w:szCs w:val="20"/>
              </w:rPr>
            </w:pPr>
            <w:r w:rsidRPr="00E14122">
              <w:rPr>
                <w:szCs w:val="20"/>
              </w:rPr>
              <w:t>NA</w:t>
            </w:r>
          </w:p>
        </w:tc>
        <w:tc>
          <w:tcPr>
            <w:tcW w:w="611" w:type="pct"/>
            <w:tcMar>
              <w:top w:w="0" w:type="dxa"/>
              <w:left w:w="28" w:type="dxa"/>
              <w:bottom w:w="0" w:type="dxa"/>
              <w:right w:w="28" w:type="dxa"/>
            </w:tcMar>
            <w:hideMark/>
          </w:tcPr>
          <w:p w14:paraId="0935A8A9" w14:textId="77777777" w:rsidR="007208D9" w:rsidRPr="00E14122" w:rsidRDefault="007208D9" w:rsidP="00E14122">
            <w:pPr>
              <w:pStyle w:val="TableText0"/>
              <w:keepLines/>
              <w:spacing w:line="252" w:lineRule="auto"/>
              <w:jc w:val="center"/>
              <w:rPr>
                <w:szCs w:val="20"/>
              </w:rPr>
            </w:pPr>
            <w:r w:rsidRPr="00E14122">
              <w:rPr>
                <w:szCs w:val="20"/>
              </w:rPr>
              <w:t>NA</w:t>
            </w:r>
          </w:p>
        </w:tc>
        <w:tc>
          <w:tcPr>
            <w:tcW w:w="611" w:type="pct"/>
            <w:tcMar>
              <w:top w:w="0" w:type="dxa"/>
              <w:left w:w="28" w:type="dxa"/>
              <w:bottom w:w="0" w:type="dxa"/>
              <w:right w:w="28" w:type="dxa"/>
            </w:tcMar>
            <w:hideMark/>
          </w:tcPr>
          <w:p w14:paraId="6A941529" w14:textId="77777777" w:rsidR="007208D9" w:rsidRPr="00E14122" w:rsidRDefault="007208D9" w:rsidP="00E14122">
            <w:pPr>
              <w:pStyle w:val="TableText0"/>
              <w:keepLines/>
              <w:spacing w:line="252" w:lineRule="auto"/>
              <w:jc w:val="center"/>
              <w:rPr>
                <w:szCs w:val="20"/>
              </w:rPr>
            </w:pPr>
            <w:r w:rsidRPr="00E14122">
              <w:rPr>
                <w:szCs w:val="20"/>
              </w:rPr>
              <w:t>NA</w:t>
            </w:r>
          </w:p>
        </w:tc>
      </w:tr>
      <w:tr w:rsidR="007208D9" w:rsidRPr="009475AF" w14:paraId="5732177F" w14:textId="77777777" w:rsidTr="00775A89">
        <w:tc>
          <w:tcPr>
            <w:tcW w:w="1334" w:type="pct"/>
            <w:tcMar>
              <w:top w:w="0" w:type="dxa"/>
              <w:left w:w="28" w:type="dxa"/>
              <w:bottom w:w="0" w:type="dxa"/>
              <w:right w:w="28" w:type="dxa"/>
            </w:tcMar>
            <w:vAlign w:val="center"/>
            <w:hideMark/>
          </w:tcPr>
          <w:p w14:paraId="758A9BC7" w14:textId="6F210C8D" w:rsidR="007208D9" w:rsidRPr="00E14122" w:rsidRDefault="007208D9" w:rsidP="00E14122">
            <w:pPr>
              <w:pStyle w:val="TableText0"/>
              <w:keepLines/>
              <w:spacing w:line="252" w:lineRule="auto"/>
              <w:rPr>
                <w:szCs w:val="20"/>
              </w:rPr>
            </w:pPr>
            <w:r w:rsidRPr="00E14122">
              <w:rPr>
                <w:szCs w:val="20"/>
              </w:rPr>
              <w:t>Net cost to PBS/RPBS/MBS/</w:t>
            </w:r>
            <w:r w:rsidR="00E14122" w:rsidRPr="00E14122">
              <w:rPr>
                <w:szCs w:val="20"/>
              </w:rPr>
              <w:t xml:space="preserve"> </w:t>
            </w:r>
            <w:r w:rsidRPr="00E14122">
              <w:rPr>
                <w:szCs w:val="20"/>
              </w:rPr>
              <w:t>Services Australia}</w:t>
            </w:r>
          </w:p>
        </w:tc>
        <w:tc>
          <w:tcPr>
            <w:tcW w:w="611" w:type="pct"/>
            <w:tcMar>
              <w:top w:w="0" w:type="dxa"/>
              <w:left w:w="28" w:type="dxa"/>
              <w:bottom w:w="0" w:type="dxa"/>
              <w:right w:w="28" w:type="dxa"/>
            </w:tcMar>
            <w:hideMark/>
          </w:tcPr>
          <w:p w14:paraId="61870EFC" w14:textId="05AD201A"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2"/>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2"/>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2"/>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1556D6C1" w14:textId="7AD14CC2"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1"/>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1"/>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1"/>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3F797198" w14:textId="6424867E"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40"/>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40"/>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40"/>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3107B900" w14:textId="1D44E1BB"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39"/>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39"/>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39"/>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1050F43E" w14:textId="5E06AAD9"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38"/>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38"/>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38"/>
                <w14:textFill>
                  <w14:solidFill>
                    <w14:srgbClr w14:val="000000">
                      <w14:alpha w14:val="100000"/>
                    </w14:srgbClr>
                  </w14:solidFill>
                </w14:textFill>
              </w:rPr>
              <w:t xml:space="preserve">　</w:t>
            </w:r>
            <w:r w:rsidR="002F58C7" w:rsidRPr="00E14122">
              <w:rPr>
                <w:szCs w:val="20"/>
                <w:vertAlign w:val="superscript"/>
              </w:rPr>
              <w:t>2</w:t>
            </w:r>
          </w:p>
        </w:tc>
        <w:tc>
          <w:tcPr>
            <w:tcW w:w="611" w:type="pct"/>
            <w:tcMar>
              <w:top w:w="0" w:type="dxa"/>
              <w:left w:w="28" w:type="dxa"/>
              <w:bottom w:w="0" w:type="dxa"/>
              <w:right w:w="28" w:type="dxa"/>
            </w:tcMar>
            <w:hideMark/>
          </w:tcPr>
          <w:p w14:paraId="0CB6ADB1" w14:textId="0CF3F471" w:rsidR="007208D9" w:rsidRPr="00E14122" w:rsidRDefault="00275487" w:rsidP="00E14122">
            <w:pPr>
              <w:pStyle w:val="TableText0"/>
              <w:keepLines/>
              <w:spacing w:line="252" w:lineRule="auto"/>
              <w:jc w:val="center"/>
              <w:rPr>
                <w:szCs w:val="20"/>
                <w:highlight w:val="lightGray"/>
              </w:rPr>
            </w:pPr>
            <w:r w:rsidRPr="00E14122">
              <w:rPr>
                <w:szCs w:val="20"/>
              </w:rPr>
              <w:t>$</w:t>
            </w:r>
            <w:r w:rsidR="00CE7646" w:rsidRPr="00CE7646">
              <w:rPr>
                <w:rFonts w:hint="eastAsia"/>
                <w:color w:val="000000"/>
                <w:w w:val="23"/>
                <w:szCs w:val="20"/>
                <w:shd w:val="solid" w:color="000000" w:fill="000000"/>
                <w:fitText w:val="105" w:id="-962338037"/>
                <w14:textFill>
                  <w14:solidFill>
                    <w14:srgbClr w14:val="000000">
                      <w14:alpha w14:val="100000"/>
                    </w14:srgbClr>
                  </w14:solidFill>
                </w14:textFill>
              </w:rPr>
              <w:t xml:space="preserve">　</w:t>
            </w:r>
            <w:r w:rsidR="00CE7646" w:rsidRPr="00CE7646">
              <w:rPr>
                <w:color w:val="000000"/>
                <w:w w:val="23"/>
                <w:szCs w:val="20"/>
                <w:shd w:val="solid" w:color="000000" w:fill="000000"/>
                <w:fitText w:val="105" w:id="-962338037"/>
                <w14:textFill>
                  <w14:solidFill>
                    <w14:srgbClr w14:val="000000">
                      <w14:alpha w14:val="100000"/>
                    </w14:srgbClr>
                  </w14:solidFill>
                </w14:textFill>
              </w:rPr>
              <w:t>|</w:t>
            </w:r>
            <w:r w:rsidR="00CE7646" w:rsidRPr="00CE7646">
              <w:rPr>
                <w:rFonts w:hint="eastAsia"/>
                <w:color w:val="000000"/>
                <w:spacing w:val="4"/>
                <w:w w:val="23"/>
                <w:szCs w:val="20"/>
                <w:shd w:val="solid" w:color="000000" w:fill="000000"/>
                <w:fitText w:val="105" w:id="-962338037"/>
                <w14:textFill>
                  <w14:solidFill>
                    <w14:srgbClr w14:val="000000">
                      <w14:alpha w14:val="100000"/>
                    </w14:srgbClr>
                  </w14:solidFill>
                </w14:textFill>
              </w:rPr>
              <w:t xml:space="preserve">　</w:t>
            </w:r>
            <w:r w:rsidR="002F58C7" w:rsidRPr="00E14122">
              <w:rPr>
                <w:szCs w:val="20"/>
                <w:vertAlign w:val="superscript"/>
              </w:rPr>
              <w:t>2</w:t>
            </w:r>
          </w:p>
        </w:tc>
      </w:tr>
    </w:tbl>
    <w:p w14:paraId="07158527" w14:textId="3BFBE189" w:rsidR="007208D9" w:rsidRPr="009475AF" w:rsidRDefault="007208D9" w:rsidP="00E14122">
      <w:pPr>
        <w:pStyle w:val="NoSpacing"/>
        <w:keepNext/>
        <w:keepLines/>
        <w:widowControl/>
        <w:rPr>
          <w:rFonts w:ascii="Arial Narrow" w:hAnsi="Arial Narrow"/>
          <w:sz w:val="18"/>
          <w:szCs w:val="18"/>
        </w:rPr>
      </w:pPr>
      <w:r w:rsidRPr="009475AF">
        <w:rPr>
          <w:rFonts w:ascii="Arial Narrow" w:hAnsi="Arial Narrow"/>
          <w:sz w:val="18"/>
          <w:szCs w:val="18"/>
        </w:rPr>
        <w:t>Source: PSCR</w:t>
      </w:r>
    </w:p>
    <w:p w14:paraId="37BC45D1" w14:textId="56D6007D" w:rsidR="007208D9" w:rsidRPr="009475AF" w:rsidRDefault="007208D9" w:rsidP="00E14122">
      <w:pPr>
        <w:pStyle w:val="NoSpacing"/>
        <w:keepNext/>
        <w:keepLines/>
        <w:widowControl/>
        <w:rPr>
          <w:rFonts w:ascii="Arial Narrow" w:hAnsi="Arial Narrow"/>
          <w:sz w:val="18"/>
          <w:szCs w:val="18"/>
        </w:rPr>
      </w:pPr>
      <w:r w:rsidRPr="009475AF">
        <w:rPr>
          <w:rFonts w:ascii="Arial Narrow" w:hAnsi="Arial Narrow"/>
          <w:sz w:val="18"/>
          <w:szCs w:val="18"/>
        </w:rPr>
        <w:t>*Given the UCM workbook requires nomination of a Duration of Treatment Group (DTG) in Sheet 7. Net Changes – MBS (cells R63-V66), and each DTG requires linkage to an ‘Epidemiology’ population, it was not possible to calculate the net cost to MBS/Services Australia for the ‘Market Share’ component of the workbook. Nonetheless, modest savings to the MBS would be expected each year, as detailed in the submission</w:t>
      </w:r>
      <w:r w:rsidR="009475AF">
        <w:rPr>
          <w:rFonts w:ascii="Arial Narrow" w:hAnsi="Arial Narrow"/>
          <w:sz w:val="18"/>
          <w:szCs w:val="18"/>
        </w:rPr>
        <w:t xml:space="preserve">. </w:t>
      </w:r>
    </w:p>
    <w:p w14:paraId="00AD5953" w14:textId="77777777" w:rsidR="002F58C7" w:rsidRPr="00E14122" w:rsidRDefault="002F58C7" w:rsidP="00E14122">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rPr>
        <w:t xml:space="preserve">The redacted values correspond to the following ranges: </w:t>
      </w:r>
    </w:p>
    <w:p w14:paraId="154878B5" w14:textId="7ABF1126" w:rsidR="002F58C7" w:rsidRPr="00E14122" w:rsidRDefault="002F58C7" w:rsidP="00E14122">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vertAlign w:val="superscript"/>
        </w:rPr>
        <w:t>1</w:t>
      </w:r>
      <w:r w:rsidRPr="00E14122">
        <w:rPr>
          <w:rFonts w:ascii="Arial Narrow" w:hAnsi="Arial Narrow" w:cstheme="minorHAnsi"/>
          <w:bCs/>
          <w:i/>
          <w:iCs/>
          <w:sz w:val="18"/>
          <w:szCs w:val="18"/>
        </w:rPr>
        <w:t xml:space="preserve"> &lt; 500</w:t>
      </w:r>
    </w:p>
    <w:p w14:paraId="184B6A09" w14:textId="1041DBB1" w:rsidR="002F58C7" w:rsidRPr="00E14122" w:rsidRDefault="002F58C7" w:rsidP="00E14122">
      <w:pPr>
        <w:pStyle w:val="TableText0"/>
        <w:keepLines/>
        <w:rPr>
          <w:rFonts w:cstheme="minorHAnsi"/>
          <w:sz w:val="22"/>
          <w:szCs w:val="28"/>
        </w:rPr>
      </w:pPr>
      <w:r w:rsidRPr="00E14122">
        <w:rPr>
          <w:rFonts w:cstheme="minorHAnsi"/>
          <w:i/>
          <w:iCs/>
          <w:sz w:val="18"/>
          <w:szCs w:val="18"/>
          <w:vertAlign w:val="superscript"/>
        </w:rPr>
        <w:t>2</w:t>
      </w:r>
      <w:r w:rsidRPr="00E14122">
        <w:rPr>
          <w:rFonts w:cstheme="minorHAnsi"/>
          <w:i/>
          <w:iCs/>
          <w:sz w:val="18"/>
          <w:szCs w:val="18"/>
        </w:rPr>
        <w:t xml:space="preserve"> </w:t>
      </w:r>
      <w:r w:rsidR="00301E07" w:rsidRPr="00E14122">
        <w:rPr>
          <w:rFonts w:cstheme="minorHAnsi"/>
          <w:i/>
          <w:iCs/>
          <w:sz w:val="18"/>
          <w:szCs w:val="22"/>
        </w:rPr>
        <w:t>$0 to &lt; $10 million</w:t>
      </w:r>
    </w:p>
    <w:p w14:paraId="202F95AE" w14:textId="15022F0C" w:rsidR="002F58C7" w:rsidRDefault="002F58C7" w:rsidP="00645BAC">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vertAlign w:val="superscript"/>
        </w:rPr>
        <w:t>3</w:t>
      </w:r>
      <w:r w:rsidRPr="00E14122">
        <w:rPr>
          <w:rFonts w:ascii="Arial Narrow" w:hAnsi="Arial Narrow" w:cstheme="minorHAnsi"/>
          <w:bCs/>
          <w:i/>
          <w:iCs/>
          <w:sz w:val="18"/>
          <w:szCs w:val="18"/>
        </w:rPr>
        <w:t xml:space="preserve"> </w:t>
      </w:r>
      <w:r w:rsidR="00301E07" w:rsidRPr="00E14122">
        <w:rPr>
          <w:rFonts w:ascii="Arial Narrow" w:hAnsi="Arial Narrow" w:cstheme="minorHAnsi"/>
          <w:bCs/>
          <w:i/>
          <w:iCs/>
          <w:sz w:val="18"/>
          <w:szCs w:val="18"/>
        </w:rPr>
        <w:t>net cost saving</w:t>
      </w:r>
    </w:p>
    <w:p w14:paraId="19183478" w14:textId="62343417" w:rsidR="00645BAC" w:rsidRPr="00E14122" w:rsidRDefault="00645BAC" w:rsidP="00645BAC">
      <w:pPr>
        <w:spacing w:after="120"/>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E70AEF">
        <w:rPr>
          <w:rFonts w:ascii="Arial Narrow" w:hAnsi="Arial Narrow" w:cstheme="minorHAnsi"/>
          <w:bCs/>
          <w:i/>
          <w:iCs/>
          <w:sz w:val="18"/>
          <w:szCs w:val="18"/>
        </w:rPr>
        <w:t xml:space="preserve"> 500 to &lt; 5,000</w:t>
      </w:r>
    </w:p>
    <w:p w14:paraId="7E10B3A1" w14:textId="14C124B5" w:rsidR="00F15C44" w:rsidRPr="009475AF" w:rsidRDefault="00F15C44" w:rsidP="00A91222">
      <w:pPr>
        <w:pStyle w:val="3-BodyText"/>
      </w:pPr>
      <w:r w:rsidRPr="009475AF">
        <w:t>The ESC noted the revised financial estimates provided for Subgroup A.</w:t>
      </w:r>
      <w:r w:rsidR="00905E7E" w:rsidRPr="009475AF">
        <w:t xml:space="preserve"> The ESC considered the script estimates presented in the PSCR for Subgroup A to be more reliable than those presented in the submission</w:t>
      </w:r>
      <w:r w:rsidR="009475AF">
        <w:t xml:space="preserve">. </w:t>
      </w:r>
      <w:r w:rsidR="00905E7E" w:rsidRPr="009475AF">
        <w:t>The ESC noted the additional net PBS/RPBS cost for Subgroup A was potentially inconsistent with listing being proposed on a CMA basis.</w:t>
      </w:r>
    </w:p>
    <w:p w14:paraId="75494F14" w14:textId="451DFDA6" w:rsidR="00F15C44" w:rsidRPr="009475AF" w:rsidRDefault="00F15C44" w:rsidP="00A91222">
      <w:pPr>
        <w:pStyle w:val="3-BodyText"/>
      </w:pPr>
      <w:r w:rsidRPr="009475AF">
        <w:t>Financial estimates as presented in the submission for Subgroup B are presented in Table 16.</w:t>
      </w:r>
      <w:r w:rsidR="007A35D6" w:rsidRPr="009475AF">
        <w:t xml:space="preserve"> The ESC noted that the dupilumab cost </w:t>
      </w:r>
      <w:r w:rsidR="0080523D" w:rsidRPr="009475AF">
        <w:t xml:space="preserve">per script was the same as for Subgroup A and that this cost was overestimated in the CMA. The ESC noted based on the revised estimates in the PSCR </w:t>
      </w:r>
      <w:r w:rsidR="00610F9D" w:rsidRPr="009475AF">
        <w:t xml:space="preserve">for Subgroup A </w:t>
      </w:r>
      <w:r w:rsidR="0080523D" w:rsidRPr="009475AF">
        <w:t>that the estimated cost for Subgroup B was higher than for Subgroup A.</w:t>
      </w:r>
    </w:p>
    <w:p w14:paraId="4463AC07" w14:textId="71A5AE5F" w:rsidR="00F15C44" w:rsidRPr="009475AF" w:rsidRDefault="00F15C44" w:rsidP="00E14122">
      <w:pPr>
        <w:pStyle w:val="TableFigureHeading"/>
        <w:keepLines/>
      </w:pPr>
      <w:r w:rsidRPr="009475AF">
        <w:t xml:space="preserve">Table 16: </w:t>
      </w:r>
      <w:r w:rsidR="00D534DE" w:rsidRPr="009475AF">
        <w:t>Estimated use and financial implications for Subgroup B of dupilumab</w:t>
      </w:r>
    </w:p>
    <w:tbl>
      <w:tblPr>
        <w:tblStyle w:val="TableGrid"/>
        <w:tblW w:w="9010" w:type="dxa"/>
        <w:tblLayout w:type="fixed"/>
        <w:tblLook w:val="04A0" w:firstRow="1" w:lastRow="0" w:firstColumn="1" w:lastColumn="0" w:noHBand="0" w:noVBand="1"/>
        <w:tblCaption w:val="Table 16: Estimated use and financial implications for Subgroup B of dupilumab"/>
      </w:tblPr>
      <w:tblGrid>
        <w:gridCol w:w="1696"/>
        <w:gridCol w:w="1418"/>
        <w:gridCol w:w="1276"/>
        <w:gridCol w:w="1134"/>
        <w:gridCol w:w="1275"/>
        <w:gridCol w:w="1134"/>
        <w:gridCol w:w="1077"/>
      </w:tblGrid>
      <w:tr w:rsidR="004D344E" w:rsidRPr="009475AF" w14:paraId="6471742A" w14:textId="77777777" w:rsidTr="00E14122">
        <w:trPr>
          <w:trHeight w:val="20"/>
        </w:trPr>
        <w:tc>
          <w:tcPr>
            <w:tcW w:w="1696" w:type="dxa"/>
            <w:shd w:val="clear" w:color="auto" w:fill="auto"/>
            <w:noWrap/>
            <w:vAlign w:val="center"/>
          </w:tcPr>
          <w:p w14:paraId="30573A7A" w14:textId="77777777" w:rsidR="004D344E" w:rsidRPr="009475AF" w:rsidRDefault="004D344E" w:rsidP="00E14122">
            <w:pPr>
              <w:pStyle w:val="TableText0"/>
              <w:keepLines/>
              <w:rPr>
                <w:b/>
                <w:bCs w:val="0"/>
              </w:rPr>
            </w:pPr>
          </w:p>
        </w:tc>
        <w:tc>
          <w:tcPr>
            <w:tcW w:w="1418" w:type="dxa"/>
            <w:shd w:val="clear" w:color="auto" w:fill="auto"/>
            <w:noWrap/>
            <w:vAlign w:val="center"/>
          </w:tcPr>
          <w:p w14:paraId="1D6B1704" w14:textId="35F52C0B" w:rsidR="004D344E" w:rsidRPr="009475AF" w:rsidRDefault="004D344E" w:rsidP="00E14122">
            <w:pPr>
              <w:pStyle w:val="TableText0"/>
              <w:keepLines/>
              <w:jc w:val="center"/>
              <w:rPr>
                <w:b/>
                <w:bCs w:val="0"/>
              </w:rPr>
            </w:pPr>
            <w:r w:rsidRPr="009475AF">
              <w:rPr>
                <w:b/>
                <w:bCs w:val="0"/>
              </w:rPr>
              <w:t>Year 1</w:t>
            </w:r>
          </w:p>
        </w:tc>
        <w:tc>
          <w:tcPr>
            <w:tcW w:w="1276" w:type="dxa"/>
            <w:shd w:val="clear" w:color="auto" w:fill="auto"/>
            <w:noWrap/>
            <w:vAlign w:val="center"/>
          </w:tcPr>
          <w:p w14:paraId="305EACE0" w14:textId="19A77ADD" w:rsidR="004D344E" w:rsidRPr="009475AF" w:rsidRDefault="004D344E" w:rsidP="00E14122">
            <w:pPr>
              <w:pStyle w:val="TableText0"/>
              <w:keepLines/>
              <w:jc w:val="center"/>
              <w:rPr>
                <w:b/>
                <w:bCs w:val="0"/>
              </w:rPr>
            </w:pPr>
            <w:r w:rsidRPr="009475AF">
              <w:rPr>
                <w:b/>
                <w:bCs w:val="0"/>
              </w:rPr>
              <w:t>Year 2</w:t>
            </w:r>
          </w:p>
        </w:tc>
        <w:tc>
          <w:tcPr>
            <w:tcW w:w="1134" w:type="dxa"/>
            <w:shd w:val="clear" w:color="auto" w:fill="auto"/>
            <w:noWrap/>
            <w:vAlign w:val="center"/>
          </w:tcPr>
          <w:p w14:paraId="3B1ADE99" w14:textId="49213418" w:rsidR="004D344E" w:rsidRPr="009475AF" w:rsidRDefault="004D344E" w:rsidP="00E14122">
            <w:pPr>
              <w:pStyle w:val="TableText0"/>
              <w:keepLines/>
              <w:jc w:val="center"/>
              <w:rPr>
                <w:b/>
                <w:bCs w:val="0"/>
              </w:rPr>
            </w:pPr>
            <w:r w:rsidRPr="009475AF">
              <w:rPr>
                <w:b/>
                <w:bCs w:val="0"/>
              </w:rPr>
              <w:t>Year 3</w:t>
            </w:r>
          </w:p>
        </w:tc>
        <w:tc>
          <w:tcPr>
            <w:tcW w:w="1275" w:type="dxa"/>
            <w:shd w:val="clear" w:color="auto" w:fill="auto"/>
            <w:noWrap/>
            <w:vAlign w:val="center"/>
          </w:tcPr>
          <w:p w14:paraId="10DA6987" w14:textId="19D86552" w:rsidR="004D344E" w:rsidRPr="009475AF" w:rsidRDefault="004D344E" w:rsidP="00E14122">
            <w:pPr>
              <w:pStyle w:val="TableText0"/>
              <w:keepLines/>
              <w:jc w:val="center"/>
              <w:rPr>
                <w:b/>
                <w:bCs w:val="0"/>
              </w:rPr>
            </w:pPr>
            <w:r w:rsidRPr="009475AF">
              <w:rPr>
                <w:b/>
                <w:bCs w:val="0"/>
              </w:rPr>
              <w:t>Year 4</w:t>
            </w:r>
          </w:p>
        </w:tc>
        <w:tc>
          <w:tcPr>
            <w:tcW w:w="1134" w:type="dxa"/>
            <w:shd w:val="clear" w:color="auto" w:fill="auto"/>
            <w:noWrap/>
            <w:vAlign w:val="center"/>
          </w:tcPr>
          <w:p w14:paraId="260F20A2" w14:textId="1DB3C425" w:rsidR="004D344E" w:rsidRPr="009475AF" w:rsidRDefault="004D344E" w:rsidP="00E14122">
            <w:pPr>
              <w:pStyle w:val="TableText0"/>
              <w:keepLines/>
              <w:jc w:val="center"/>
              <w:rPr>
                <w:b/>
                <w:bCs w:val="0"/>
              </w:rPr>
            </w:pPr>
            <w:r w:rsidRPr="009475AF">
              <w:rPr>
                <w:b/>
                <w:bCs w:val="0"/>
              </w:rPr>
              <w:t>Year 5</w:t>
            </w:r>
          </w:p>
        </w:tc>
        <w:tc>
          <w:tcPr>
            <w:tcW w:w="1077" w:type="dxa"/>
            <w:noWrap/>
          </w:tcPr>
          <w:p w14:paraId="2D63B05C" w14:textId="1478929D" w:rsidR="004D344E" w:rsidRPr="009475AF" w:rsidRDefault="004D344E" w:rsidP="00E14122">
            <w:pPr>
              <w:pStyle w:val="TableText0"/>
              <w:keepLines/>
              <w:jc w:val="center"/>
              <w:rPr>
                <w:b/>
                <w:bCs w:val="0"/>
              </w:rPr>
            </w:pPr>
            <w:r w:rsidRPr="009475AF">
              <w:rPr>
                <w:b/>
                <w:bCs w:val="0"/>
              </w:rPr>
              <w:t>Year 6</w:t>
            </w:r>
          </w:p>
        </w:tc>
      </w:tr>
      <w:tr w:rsidR="00F943DF" w:rsidRPr="009475AF" w14:paraId="0C7F1AD6" w14:textId="77777777" w:rsidTr="00E14122">
        <w:trPr>
          <w:trHeight w:val="20"/>
        </w:trPr>
        <w:tc>
          <w:tcPr>
            <w:tcW w:w="1696" w:type="dxa"/>
            <w:noWrap/>
          </w:tcPr>
          <w:p w14:paraId="1DC440BF" w14:textId="77777777" w:rsidR="007A35D6" w:rsidRPr="009475AF" w:rsidRDefault="007A35D6" w:rsidP="00E14122">
            <w:pPr>
              <w:pStyle w:val="TableText0"/>
              <w:keepLines/>
            </w:pPr>
            <w:r w:rsidRPr="009475AF">
              <w:t>Total patients (#)</w:t>
            </w:r>
          </w:p>
        </w:tc>
        <w:tc>
          <w:tcPr>
            <w:tcW w:w="1418" w:type="dxa"/>
            <w:noWrap/>
          </w:tcPr>
          <w:p w14:paraId="0CF4A898" w14:textId="17DA1D89" w:rsidR="007A35D6" w:rsidRPr="00174A38" w:rsidRDefault="00CE7646" w:rsidP="00E14122">
            <w:pPr>
              <w:pStyle w:val="TableText0"/>
              <w:keepLines/>
              <w:jc w:val="center"/>
              <w:rPr>
                <w:highlight w:val="lightGray"/>
              </w:rPr>
            </w:pPr>
            <w:r w:rsidRPr="00CE7646">
              <w:rPr>
                <w:color w:val="000000"/>
                <w:shd w:val="solid" w:color="000000" w:fill="000000"/>
                <w14:textFill>
                  <w14:solidFill>
                    <w14:srgbClr w14:val="000000">
                      <w14:alpha w14:val="100000"/>
                    </w14:srgbClr>
                  </w14:solidFill>
                </w14:textFill>
              </w:rPr>
              <w:t>|</w:t>
            </w:r>
            <w:r w:rsidR="00213940" w:rsidRPr="00213940">
              <w:t xml:space="preserve"> </w:t>
            </w:r>
            <w:r w:rsidR="00DB5C1E" w:rsidRPr="00DB5C1E">
              <w:rPr>
                <w:vertAlign w:val="superscript"/>
              </w:rPr>
              <w:t>1</w:t>
            </w:r>
          </w:p>
        </w:tc>
        <w:tc>
          <w:tcPr>
            <w:tcW w:w="1276" w:type="dxa"/>
            <w:noWrap/>
          </w:tcPr>
          <w:p w14:paraId="20F49474" w14:textId="0006F16C" w:rsidR="007A35D6" w:rsidRPr="00174A38" w:rsidRDefault="00CE7646" w:rsidP="00E14122">
            <w:pPr>
              <w:pStyle w:val="TableText0"/>
              <w:keepLines/>
              <w:jc w:val="center"/>
              <w:rPr>
                <w:highlight w:val="lightGray"/>
              </w:rPr>
            </w:pPr>
            <w:r w:rsidRPr="00CE7646">
              <w:rPr>
                <w:rFonts w:hint="eastAsia"/>
                <w:color w:val="000000"/>
                <w:w w:val="15"/>
                <w:shd w:val="solid" w:color="000000" w:fill="000000"/>
                <w:fitText w:val="45" w:id="-962338036"/>
                <w14:textFill>
                  <w14:solidFill>
                    <w14:srgbClr w14:val="000000">
                      <w14:alpha w14:val="100000"/>
                    </w14:srgbClr>
                  </w14:solidFill>
                </w14:textFill>
              </w:rPr>
              <w:t xml:space="preserve">　</w:t>
            </w:r>
            <w:r w:rsidRPr="00CE7646">
              <w:rPr>
                <w:color w:val="000000"/>
                <w:w w:val="15"/>
                <w:shd w:val="solid" w:color="000000" w:fill="000000"/>
                <w:fitText w:val="45" w:id="-962338036"/>
                <w14:textFill>
                  <w14:solidFill>
                    <w14:srgbClr w14:val="000000">
                      <w14:alpha w14:val="100000"/>
                    </w14:srgbClr>
                  </w14:solidFill>
                </w14:textFill>
              </w:rPr>
              <w:t>|</w:t>
            </w:r>
            <w:r w:rsidRPr="00CE7646">
              <w:rPr>
                <w:rFonts w:hint="eastAsia"/>
                <w:color w:val="000000"/>
                <w:spacing w:val="-20"/>
                <w:w w:val="15"/>
                <w:shd w:val="solid" w:color="000000" w:fill="000000"/>
                <w:fitText w:val="45" w:id="-962338036"/>
                <w14:textFill>
                  <w14:solidFill>
                    <w14:srgbClr w14:val="000000">
                      <w14:alpha w14:val="100000"/>
                    </w14:srgbClr>
                  </w14:solidFill>
                </w14:textFill>
              </w:rPr>
              <w:t xml:space="preserve">　</w:t>
            </w:r>
            <w:r w:rsidR="00DB5C1E" w:rsidRPr="00DB5C1E">
              <w:rPr>
                <w:vertAlign w:val="superscript"/>
              </w:rPr>
              <w:t>1</w:t>
            </w:r>
          </w:p>
        </w:tc>
        <w:tc>
          <w:tcPr>
            <w:tcW w:w="1134" w:type="dxa"/>
            <w:noWrap/>
          </w:tcPr>
          <w:p w14:paraId="61EFF9AF" w14:textId="56F229C5" w:rsidR="007A35D6" w:rsidRPr="00174A38" w:rsidRDefault="00CE7646" w:rsidP="00E14122">
            <w:pPr>
              <w:pStyle w:val="TableText0"/>
              <w:keepLines/>
              <w:jc w:val="center"/>
              <w:rPr>
                <w:highlight w:val="lightGray"/>
              </w:rPr>
            </w:pPr>
            <w:r w:rsidRPr="00CE7646">
              <w:rPr>
                <w:rFonts w:hint="eastAsia"/>
                <w:color w:val="000000"/>
                <w:w w:val="27"/>
                <w:shd w:val="solid" w:color="000000" w:fill="000000"/>
                <w:fitText w:val="120" w:id="-962338035"/>
                <w14:textFill>
                  <w14:solidFill>
                    <w14:srgbClr w14:val="000000">
                      <w14:alpha w14:val="100000"/>
                    </w14:srgbClr>
                  </w14:solidFill>
                </w14:textFill>
              </w:rPr>
              <w:t xml:space="preserve">　</w:t>
            </w:r>
            <w:r w:rsidRPr="00CE7646">
              <w:rPr>
                <w:color w:val="000000"/>
                <w:w w:val="27"/>
                <w:shd w:val="solid" w:color="000000" w:fill="000000"/>
                <w:fitText w:val="120" w:id="-962338035"/>
                <w14:textFill>
                  <w14:solidFill>
                    <w14:srgbClr w14:val="000000">
                      <w14:alpha w14:val="100000"/>
                    </w14:srgbClr>
                  </w14:solidFill>
                </w14:textFill>
              </w:rPr>
              <w:t>|</w:t>
            </w:r>
            <w:r w:rsidRPr="00CE7646">
              <w:rPr>
                <w:rFonts w:hint="eastAsia"/>
                <w:color w:val="000000"/>
                <w:spacing w:val="2"/>
                <w:w w:val="27"/>
                <w:shd w:val="solid" w:color="000000" w:fill="000000"/>
                <w:fitText w:val="120" w:id="-962338035"/>
                <w14:textFill>
                  <w14:solidFill>
                    <w14:srgbClr w14:val="000000">
                      <w14:alpha w14:val="100000"/>
                    </w14:srgbClr>
                  </w14:solidFill>
                </w14:textFill>
              </w:rPr>
              <w:t xml:space="preserve">　</w:t>
            </w:r>
            <w:r w:rsidR="00DB5C1E" w:rsidRPr="00DB5C1E">
              <w:rPr>
                <w:vertAlign w:val="superscript"/>
              </w:rPr>
              <w:t>1</w:t>
            </w:r>
          </w:p>
        </w:tc>
        <w:tc>
          <w:tcPr>
            <w:tcW w:w="1275" w:type="dxa"/>
            <w:noWrap/>
          </w:tcPr>
          <w:p w14:paraId="4E4A9CB8" w14:textId="10D16EBC" w:rsidR="007A35D6" w:rsidRPr="00174A38" w:rsidRDefault="00CE7646" w:rsidP="00E14122">
            <w:pPr>
              <w:pStyle w:val="TableText0"/>
              <w:keepLines/>
              <w:jc w:val="center"/>
              <w:rPr>
                <w:highlight w:val="lightGray"/>
              </w:rPr>
            </w:pPr>
            <w:r w:rsidRPr="00CE7646">
              <w:rPr>
                <w:rFonts w:hint="eastAsia"/>
                <w:color w:val="000000"/>
                <w:w w:val="15"/>
                <w:shd w:val="solid" w:color="000000" w:fill="000000"/>
                <w:fitText w:val="45" w:id="-962338034"/>
                <w14:textFill>
                  <w14:solidFill>
                    <w14:srgbClr w14:val="000000">
                      <w14:alpha w14:val="100000"/>
                    </w14:srgbClr>
                  </w14:solidFill>
                </w14:textFill>
              </w:rPr>
              <w:t xml:space="preserve">　</w:t>
            </w:r>
            <w:r w:rsidRPr="00CE7646">
              <w:rPr>
                <w:color w:val="000000"/>
                <w:w w:val="15"/>
                <w:shd w:val="solid" w:color="000000" w:fill="000000"/>
                <w:fitText w:val="45" w:id="-962338034"/>
                <w14:textFill>
                  <w14:solidFill>
                    <w14:srgbClr w14:val="000000">
                      <w14:alpha w14:val="100000"/>
                    </w14:srgbClr>
                  </w14:solidFill>
                </w14:textFill>
              </w:rPr>
              <w:t>|</w:t>
            </w:r>
            <w:r w:rsidRPr="00CE7646">
              <w:rPr>
                <w:rFonts w:hint="eastAsia"/>
                <w:color w:val="000000"/>
                <w:spacing w:val="-20"/>
                <w:w w:val="15"/>
                <w:shd w:val="solid" w:color="000000" w:fill="000000"/>
                <w:fitText w:val="45" w:id="-962338034"/>
                <w14:textFill>
                  <w14:solidFill>
                    <w14:srgbClr w14:val="000000">
                      <w14:alpha w14:val="100000"/>
                    </w14:srgbClr>
                  </w14:solidFill>
                </w14:textFill>
              </w:rPr>
              <w:t xml:space="preserve">　</w:t>
            </w:r>
            <w:r w:rsidR="00DB5C1E" w:rsidRPr="00DB5C1E">
              <w:rPr>
                <w:vertAlign w:val="superscript"/>
              </w:rPr>
              <w:t>1</w:t>
            </w:r>
          </w:p>
        </w:tc>
        <w:tc>
          <w:tcPr>
            <w:tcW w:w="1134" w:type="dxa"/>
            <w:noWrap/>
          </w:tcPr>
          <w:p w14:paraId="1F6B1922" w14:textId="008F6E2D" w:rsidR="007A35D6" w:rsidRPr="00174A38" w:rsidRDefault="00CE7646" w:rsidP="00E14122">
            <w:pPr>
              <w:pStyle w:val="TableText0"/>
              <w:keepLines/>
              <w:jc w:val="center"/>
              <w:rPr>
                <w:highlight w:val="lightGray"/>
              </w:rPr>
            </w:pPr>
            <w:r w:rsidRPr="00CE7646">
              <w:rPr>
                <w:rFonts w:hint="eastAsia"/>
                <w:color w:val="000000"/>
                <w:w w:val="27"/>
                <w:shd w:val="solid" w:color="000000" w:fill="000000"/>
                <w:fitText w:val="120" w:id="-962338033"/>
                <w14:textFill>
                  <w14:solidFill>
                    <w14:srgbClr w14:val="000000">
                      <w14:alpha w14:val="100000"/>
                    </w14:srgbClr>
                  </w14:solidFill>
                </w14:textFill>
              </w:rPr>
              <w:t xml:space="preserve">　</w:t>
            </w:r>
            <w:r w:rsidRPr="00CE7646">
              <w:rPr>
                <w:color w:val="000000"/>
                <w:w w:val="27"/>
                <w:shd w:val="solid" w:color="000000" w:fill="000000"/>
                <w:fitText w:val="120" w:id="-962338033"/>
                <w14:textFill>
                  <w14:solidFill>
                    <w14:srgbClr w14:val="000000">
                      <w14:alpha w14:val="100000"/>
                    </w14:srgbClr>
                  </w14:solidFill>
                </w14:textFill>
              </w:rPr>
              <w:t>|</w:t>
            </w:r>
            <w:r w:rsidRPr="00CE7646">
              <w:rPr>
                <w:rFonts w:hint="eastAsia"/>
                <w:color w:val="000000"/>
                <w:spacing w:val="2"/>
                <w:w w:val="27"/>
                <w:shd w:val="solid" w:color="000000" w:fill="000000"/>
                <w:fitText w:val="120" w:id="-962338033"/>
                <w14:textFill>
                  <w14:solidFill>
                    <w14:srgbClr w14:val="000000">
                      <w14:alpha w14:val="100000"/>
                    </w14:srgbClr>
                  </w14:solidFill>
                </w14:textFill>
              </w:rPr>
              <w:t xml:space="preserve">　</w:t>
            </w:r>
            <w:r w:rsidR="00DB5C1E" w:rsidRPr="00DB5C1E">
              <w:rPr>
                <w:vertAlign w:val="superscript"/>
              </w:rPr>
              <w:t>1</w:t>
            </w:r>
          </w:p>
        </w:tc>
        <w:tc>
          <w:tcPr>
            <w:tcW w:w="1077" w:type="dxa"/>
            <w:noWrap/>
          </w:tcPr>
          <w:p w14:paraId="6AB00278" w14:textId="3990D93F" w:rsidR="007A35D6" w:rsidRPr="00174A38" w:rsidRDefault="00CE7646" w:rsidP="00E14122">
            <w:pPr>
              <w:pStyle w:val="TableText0"/>
              <w:keepLines/>
              <w:jc w:val="center"/>
              <w:rPr>
                <w:highlight w:val="lightGray"/>
              </w:rPr>
            </w:pPr>
            <w:r w:rsidRPr="00CE7646">
              <w:rPr>
                <w:rFonts w:hint="eastAsia"/>
                <w:color w:val="000000"/>
                <w:w w:val="33"/>
                <w:shd w:val="solid" w:color="000000" w:fill="000000"/>
                <w:fitText w:val="150" w:id="-962338032"/>
                <w14:textFill>
                  <w14:solidFill>
                    <w14:srgbClr w14:val="000000">
                      <w14:alpha w14:val="100000"/>
                    </w14:srgbClr>
                  </w14:solidFill>
                </w14:textFill>
              </w:rPr>
              <w:t xml:space="preserve">　</w:t>
            </w:r>
            <w:r w:rsidRPr="00CE7646">
              <w:rPr>
                <w:color w:val="000000"/>
                <w:w w:val="33"/>
                <w:shd w:val="solid" w:color="000000" w:fill="000000"/>
                <w:fitText w:val="150" w:id="-962338032"/>
                <w14:textFill>
                  <w14:solidFill>
                    <w14:srgbClr w14:val="000000">
                      <w14:alpha w14:val="100000"/>
                    </w14:srgbClr>
                  </w14:solidFill>
                </w14:textFill>
              </w:rPr>
              <w:t>|</w:t>
            </w:r>
            <w:r w:rsidRPr="00CE7646">
              <w:rPr>
                <w:rFonts w:hint="eastAsia"/>
                <w:color w:val="000000"/>
                <w:spacing w:val="4"/>
                <w:w w:val="33"/>
                <w:shd w:val="solid" w:color="000000" w:fill="000000"/>
                <w:fitText w:val="150" w:id="-962338032"/>
                <w14:textFill>
                  <w14:solidFill>
                    <w14:srgbClr w14:val="000000">
                      <w14:alpha w14:val="100000"/>
                    </w14:srgbClr>
                  </w14:solidFill>
                </w14:textFill>
              </w:rPr>
              <w:t xml:space="preserve">　</w:t>
            </w:r>
            <w:r w:rsidR="00DB5C1E" w:rsidRPr="00DB5C1E">
              <w:rPr>
                <w:vertAlign w:val="superscript"/>
              </w:rPr>
              <w:t>1</w:t>
            </w:r>
          </w:p>
        </w:tc>
      </w:tr>
      <w:tr w:rsidR="00F943DF" w:rsidRPr="009475AF" w14:paraId="48305EFB" w14:textId="77777777" w:rsidTr="00E14122">
        <w:trPr>
          <w:trHeight w:val="20"/>
        </w:trPr>
        <w:tc>
          <w:tcPr>
            <w:tcW w:w="1696" w:type="dxa"/>
            <w:noWrap/>
          </w:tcPr>
          <w:p w14:paraId="78F056C5" w14:textId="77777777" w:rsidR="007A35D6" w:rsidRPr="009475AF" w:rsidRDefault="007A35D6" w:rsidP="00E14122">
            <w:pPr>
              <w:pStyle w:val="TableText0"/>
              <w:keepLines/>
            </w:pPr>
            <w:r w:rsidRPr="009475AF">
              <w:t>Estimated total volume of medicine</w:t>
            </w:r>
          </w:p>
        </w:tc>
        <w:tc>
          <w:tcPr>
            <w:tcW w:w="1418" w:type="dxa"/>
            <w:noWrap/>
          </w:tcPr>
          <w:p w14:paraId="373DBBC1" w14:textId="66DD5861" w:rsidR="007A35D6" w:rsidRPr="00174A38" w:rsidRDefault="00CE7646" w:rsidP="00E14122">
            <w:pPr>
              <w:pStyle w:val="TableText0"/>
              <w:keepLines/>
              <w:jc w:val="center"/>
              <w:rPr>
                <w:highlight w:val="lightGray"/>
              </w:rPr>
            </w:pPr>
            <w:r w:rsidRPr="00CE7646">
              <w:rPr>
                <w:color w:val="000000"/>
                <w:shd w:val="solid" w:color="000000" w:fill="000000"/>
                <w14:textFill>
                  <w14:solidFill>
                    <w14:srgbClr w14:val="000000">
                      <w14:alpha w14:val="100000"/>
                    </w14:srgbClr>
                  </w14:solidFill>
                </w14:textFill>
              </w:rPr>
              <w:t>|</w:t>
            </w:r>
            <w:r w:rsidR="00DB5C1E">
              <w:rPr>
                <w:vertAlign w:val="superscript"/>
              </w:rPr>
              <w:t>2</w:t>
            </w:r>
          </w:p>
        </w:tc>
        <w:tc>
          <w:tcPr>
            <w:tcW w:w="1276" w:type="dxa"/>
            <w:noWrap/>
          </w:tcPr>
          <w:p w14:paraId="56589C13" w14:textId="6BF64067" w:rsidR="007A35D6" w:rsidRPr="00174A38" w:rsidRDefault="00CE7646" w:rsidP="00E14122">
            <w:pPr>
              <w:pStyle w:val="TableText0"/>
              <w:keepLines/>
              <w:jc w:val="center"/>
              <w:rPr>
                <w:highlight w:val="lightGray"/>
              </w:rPr>
            </w:pPr>
            <w:r w:rsidRPr="00CE7646">
              <w:rPr>
                <w:rFonts w:hint="eastAsia"/>
                <w:color w:val="000000"/>
                <w:w w:val="15"/>
                <w:shd w:val="solid" w:color="000000" w:fill="000000"/>
                <w:fitText w:val="45" w:id="-962338048"/>
                <w14:textFill>
                  <w14:solidFill>
                    <w14:srgbClr w14:val="000000">
                      <w14:alpha w14:val="100000"/>
                    </w14:srgbClr>
                  </w14:solidFill>
                </w14:textFill>
              </w:rPr>
              <w:t xml:space="preserve">　</w:t>
            </w:r>
            <w:r w:rsidRPr="00CE7646">
              <w:rPr>
                <w:color w:val="000000"/>
                <w:w w:val="15"/>
                <w:shd w:val="solid" w:color="000000" w:fill="000000"/>
                <w:fitText w:val="45" w:id="-962338048"/>
                <w14:textFill>
                  <w14:solidFill>
                    <w14:srgbClr w14:val="000000">
                      <w14:alpha w14:val="100000"/>
                    </w14:srgbClr>
                  </w14:solidFill>
                </w14:textFill>
              </w:rPr>
              <w:t>|</w:t>
            </w:r>
            <w:r w:rsidRPr="00CE7646">
              <w:rPr>
                <w:rFonts w:hint="eastAsia"/>
                <w:color w:val="000000"/>
                <w:spacing w:val="-20"/>
                <w:w w:val="15"/>
                <w:shd w:val="solid" w:color="000000" w:fill="000000"/>
                <w:fitText w:val="45" w:id="-962338048"/>
                <w14:textFill>
                  <w14:solidFill>
                    <w14:srgbClr w14:val="000000">
                      <w14:alpha w14:val="100000"/>
                    </w14:srgbClr>
                  </w14:solidFill>
                </w14:textFill>
              </w:rPr>
              <w:t xml:space="preserve">　</w:t>
            </w:r>
            <w:r w:rsidR="00DB5C1E">
              <w:rPr>
                <w:vertAlign w:val="superscript"/>
              </w:rPr>
              <w:t>2</w:t>
            </w:r>
          </w:p>
        </w:tc>
        <w:tc>
          <w:tcPr>
            <w:tcW w:w="1134" w:type="dxa"/>
            <w:noWrap/>
          </w:tcPr>
          <w:p w14:paraId="20687140" w14:textId="69CF21A5" w:rsidR="007A35D6" w:rsidRPr="00174A38" w:rsidRDefault="00CE7646" w:rsidP="00E14122">
            <w:pPr>
              <w:pStyle w:val="TableText0"/>
              <w:keepLines/>
              <w:jc w:val="center"/>
              <w:rPr>
                <w:highlight w:val="lightGray"/>
              </w:rPr>
            </w:pPr>
            <w:r w:rsidRPr="00CE7646">
              <w:rPr>
                <w:rFonts w:hint="eastAsia"/>
                <w:color w:val="000000"/>
                <w:w w:val="27"/>
                <w:shd w:val="solid" w:color="000000" w:fill="000000"/>
                <w:fitText w:val="120" w:id="-962338047"/>
                <w14:textFill>
                  <w14:solidFill>
                    <w14:srgbClr w14:val="000000">
                      <w14:alpha w14:val="100000"/>
                    </w14:srgbClr>
                  </w14:solidFill>
                </w14:textFill>
              </w:rPr>
              <w:t xml:space="preserve">　</w:t>
            </w:r>
            <w:r w:rsidRPr="00CE7646">
              <w:rPr>
                <w:color w:val="000000"/>
                <w:w w:val="27"/>
                <w:shd w:val="solid" w:color="000000" w:fill="000000"/>
                <w:fitText w:val="120" w:id="-962338047"/>
                <w14:textFill>
                  <w14:solidFill>
                    <w14:srgbClr w14:val="000000">
                      <w14:alpha w14:val="100000"/>
                    </w14:srgbClr>
                  </w14:solidFill>
                </w14:textFill>
              </w:rPr>
              <w:t>|</w:t>
            </w:r>
            <w:r w:rsidRPr="00CE7646">
              <w:rPr>
                <w:rFonts w:hint="eastAsia"/>
                <w:color w:val="000000"/>
                <w:spacing w:val="2"/>
                <w:w w:val="27"/>
                <w:shd w:val="solid" w:color="000000" w:fill="000000"/>
                <w:fitText w:val="120" w:id="-962338047"/>
                <w14:textFill>
                  <w14:solidFill>
                    <w14:srgbClr w14:val="000000">
                      <w14:alpha w14:val="100000"/>
                    </w14:srgbClr>
                  </w14:solidFill>
                </w14:textFill>
              </w:rPr>
              <w:t xml:space="preserve">　</w:t>
            </w:r>
            <w:r w:rsidR="00DB5C1E">
              <w:rPr>
                <w:vertAlign w:val="superscript"/>
              </w:rPr>
              <w:t>2</w:t>
            </w:r>
          </w:p>
        </w:tc>
        <w:tc>
          <w:tcPr>
            <w:tcW w:w="1275" w:type="dxa"/>
            <w:noWrap/>
          </w:tcPr>
          <w:p w14:paraId="61CD70C0" w14:textId="6629E533" w:rsidR="007A35D6" w:rsidRPr="00174A38" w:rsidRDefault="00CE7646" w:rsidP="00E14122">
            <w:pPr>
              <w:pStyle w:val="TableText0"/>
              <w:keepLines/>
              <w:jc w:val="center"/>
              <w:rPr>
                <w:highlight w:val="lightGray"/>
              </w:rPr>
            </w:pPr>
            <w:r w:rsidRPr="00CE7646">
              <w:rPr>
                <w:rFonts w:hint="eastAsia"/>
                <w:color w:val="000000"/>
                <w:w w:val="15"/>
                <w:shd w:val="solid" w:color="000000" w:fill="000000"/>
                <w:fitText w:val="45" w:id="-962338046"/>
                <w14:textFill>
                  <w14:solidFill>
                    <w14:srgbClr w14:val="000000">
                      <w14:alpha w14:val="100000"/>
                    </w14:srgbClr>
                  </w14:solidFill>
                </w14:textFill>
              </w:rPr>
              <w:t xml:space="preserve">　</w:t>
            </w:r>
            <w:r w:rsidRPr="00CE7646">
              <w:rPr>
                <w:color w:val="000000"/>
                <w:w w:val="15"/>
                <w:shd w:val="solid" w:color="000000" w:fill="000000"/>
                <w:fitText w:val="45" w:id="-962338046"/>
                <w14:textFill>
                  <w14:solidFill>
                    <w14:srgbClr w14:val="000000">
                      <w14:alpha w14:val="100000"/>
                    </w14:srgbClr>
                  </w14:solidFill>
                </w14:textFill>
              </w:rPr>
              <w:t>|</w:t>
            </w:r>
            <w:r w:rsidRPr="00CE7646">
              <w:rPr>
                <w:rFonts w:hint="eastAsia"/>
                <w:color w:val="000000"/>
                <w:spacing w:val="-20"/>
                <w:w w:val="15"/>
                <w:shd w:val="solid" w:color="000000" w:fill="000000"/>
                <w:fitText w:val="45" w:id="-962338046"/>
                <w14:textFill>
                  <w14:solidFill>
                    <w14:srgbClr w14:val="000000">
                      <w14:alpha w14:val="100000"/>
                    </w14:srgbClr>
                  </w14:solidFill>
                </w14:textFill>
              </w:rPr>
              <w:t xml:space="preserve">　</w:t>
            </w:r>
            <w:r w:rsidR="00DB5C1E">
              <w:rPr>
                <w:vertAlign w:val="superscript"/>
              </w:rPr>
              <w:t>2</w:t>
            </w:r>
          </w:p>
        </w:tc>
        <w:tc>
          <w:tcPr>
            <w:tcW w:w="1134" w:type="dxa"/>
            <w:noWrap/>
          </w:tcPr>
          <w:p w14:paraId="216B610D" w14:textId="6288966D" w:rsidR="007A35D6" w:rsidRPr="00174A38" w:rsidRDefault="00CE7646" w:rsidP="00E14122">
            <w:pPr>
              <w:pStyle w:val="TableText0"/>
              <w:keepLines/>
              <w:jc w:val="center"/>
              <w:rPr>
                <w:highlight w:val="lightGray"/>
              </w:rPr>
            </w:pPr>
            <w:r w:rsidRPr="00CE7646">
              <w:rPr>
                <w:rFonts w:hint="eastAsia"/>
                <w:color w:val="000000"/>
                <w:w w:val="27"/>
                <w:shd w:val="solid" w:color="000000" w:fill="000000"/>
                <w:fitText w:val="120" w:id="-962338045"/>
                <w14:textFill>
                  <w14:solidFill>
                    <w14:srgbClr w14:val="000000">
                      <w14:alpha w14:val="100000"/>
                    </w14:srgbClr>
                  </w14:solidFill>
                </w14:textFill>
              </w:rPr>
              <w:t xml:space="preserve">　</w:t>
            </w:r>
            <w:r w:rsidRPr="00CE7646">
              <w:rPr>
                <w:color w:val="000000"/>
                <w:w w:val="27"/>
                <w:shd w:val="solid" w:color="000000" w:fill="000000"/>
                <w:fitText w:val="120" w:id="-962338045"/>
                <w14:textFill>
                  <w14:solidFill>
                    <w14:srgbClr w14:val="000000">
                      <w14:alpha w14:val="100000"/>
                    </w14:srgbClr>
                  </w14:solidFill>
                </w14:textFill>
              </w:rPr>
              <w:t>|</w:t>
            </w:r>
            <w:r w:rsidRPr="00CE7646">
              <w:rPr>
                <w:rFonts w:hint="eastAsia"/>
                <w:color w:val="000000"/>
                <w:spacing w:val="2"/>
                <w:w w:val="27"/>
                <w:shd w:val="solid" w:color="000000" w:fill="000000"/>
                <w:fitText w:val="120" w:id="-962338045"/>
                <w14:textFill>
                  <w14:solidFill>
                    <w14:srgbClr w14:val="000000">
                      <w14:alpha w14:val="100000"/>
                    </w14:srgbClr>
                  </w14:solidFill>
                </w14:textFill>
              </w:rPr>
              <w:t xml:space="preserve">　</w:t>
            </w:r>
            <w:r w:rsidR="00DB5C1E">
              <w:rPr>
                <w:vertAlign w:val="superscript"/>
              </w:rPr>
              <w:t>2</w:t>
            </w:r>
          </w:p>
        </w:tc>
        <w:tc>
          <w:tcPr>
            <w:tcW w:w="1077" w:type="dxa"/>
            <w:noWrap/>
          </w:tcPr>
          <w:p w14:paraId="2F76E765" w14:textId="182554D1" w:rsidR="007A35D6" w:rsidRPr="00174A38" w:rsidRDefault="00CE7646" w:rsidP="00E14122">
            <w:pPr>
              <w:pStyle w:val="TableText0"/>
              <w:keepLines/>
              <w:jc w:val="center"/>
              <w:rPr>
                <w:highlight w:val="lightGray"/>
              </w:rPr>
            </w:pPr>
            <w:r w:rsidRPr="00CE7646">
              <w:rPr>
                <w:rFonts w:hint="eastAsia"/>
                <w:color w:val="000000"/>
                <w:w w:val="33"/>
                <w:shd w:val="solid" w:color="000000" w:fill="000000"/>
                <w:fitText w:val="150" w:id="-962338044"/>
                <w14:textFill>
                  <w14:solidFill>
                    <w14:srgbClr w14:val="000000">
                      <w14:alpha w14:val="100000"/>
                    </w14:srgbClr>
                  </w14:solidFill>
                </w14:textFill>
              </w:rPr>
              <w:t xml:space="preserve">　</w:t>
            </w:r>
            <w:r w:rsidRPr="00CE7646">
              <w:rPr>
                <w:color w:val="000000"/>
                <w:w w:val="33"/>
                <w:shd w:val="solid" w:color="000000" w:fill="000000"/>
                <w:fitText w:val="150" w:id="-962338044"/>
                <w14:textFill>
                  <w14:solidFill>
                    <w14:srgbClr w14:val="000000">
                      <w14:alpha w14:val="100000"/>
                    </w14:srgbClr>
                  </w14:solidFill>
                </w14:textFill>
              </w:rPr>
              <w:t>|</w:t>
            </w:r>
            <w:r w:rsidRPr="00CE7646">
              <w:rPr>
                <w:rFonts w:hint="eastAsia"/>
                <w:color w:val="000000"/>
                <w:spacing w:val="4"/>
                <w:w w:val="33"/>
                <w:shd w:val="solid" w:color="000000" w:fill="000000"/>
                <w:fitText w:val="150" w:id="-962338044"/>
                <w14:textFill>
                  <w14:solidFill>
                    <w14:srgbClr w14:val="000000">
                      <w14:alpha w14:val="100000"/>
                    </w14:srgbClr>
                  </w14:solidFill>
                </w14:textFill>
              </w:rPr>
              <w:t xml:space="preserve">　</w:t>
            </w:r>
            <w:r w:rsidR="00DB5C1E">
              <w:rPr>
                <w:vertAlign w:val="superscript"/>
              </w:rPr>
              <w:t>2</w:t>
            </w:r>
          </w:p>
        </w:tc>
      </w:tr>
      <w:tr w:rsidR="00F943DF" w:rsidRPr="009475AF" w14:paraId="2CC7740A" w14:textId="77777777" w:rsidTr="00E14122">
        <w:trPr>
          <w:trHeight w:val="20"/>
        </w:trPr>
        <w:tc>
          <w:tcPr>
            <w:tcW w:w="1696" w:type="dxa"/>
            <w:noWrap/>
          </w:tcPr>
          <w:p w14:paraId="5625C40B" w14:textId="77777777" w:rsidR="007A35D6" w:rsidRPr="009475AF" w:rsidRDefault="007A35D6" w:rsidP="00E14122">
            <w:pPr>
              <w:pStyle w:val="TableText0"/>
              <w:keepLines/>
            </w:pPr>
            <w:r w:rsidRPr="009475AF">
              <w:t>Total net cost (PBS + RPBS)</w:t>
            </w:r>
          </w:p>
        </w:tc>
        <w:tc>
          <w:tcPr>
            <w:tcW w:w="1418" w:type="dxa"/>
            <w:noWrap/>
          </w:tcPr>
          <w:p w14:paraId="01DECDFD" w14:textId="58D0744D" w:rsidR="007A35D6" w:rsidRPr="00174A38" w:rsidRDefault="00275487" w:rsidP="00E14122">
            <w:pPr>
              <w:pStyle w:val="TableText0"/>
              <w:keepLines/>
              <w:jc w:val="center"/>
              <w:rPr>
                <w:highlight w:val="lightGray"/>
              </w:rPr>
            </w:pPr>
            <w:r w:rsidRPr="00275487">
              <w:t>$</w:t>
            </w:r>
            <w:r w:rsidR="00CE7646" w:rsidRPr="00CE7646">
              <w:rPr>
                <w:rFonts w:hint="eastAsia"/>
                <w:color w:val="000000"/>
                <w:w w:val="15"/>
                <w:shd w:val="solid" w:color="000000" w:fill="000000"/>
                <w:fitText w:val="30" w:id="-962338043"/>
                <w14:textFill>
                  <w14:solidFill>
                    <w14:srgbClr w14:val="000000">
                      <w14:alpha w14:val="100000"/>
                    </w14:srgbClr>
                  </w14:solidFill>
                </w14:textFill>
              </w:rPr>
              <w:t xml:space="preserve">　</w:t>
            </w:r>
            <w:r w:rsidR="00CE7646" w:rsidRPr="00CE7646">
              <w:rPr>
                <w:color w:val="000000"/>
                <w:w w:val="15"/>
                <w:shd w:val="solid" w:color="000000" w:fill="000000"/>
                <w:fitText w:val="30" w:id="-962338043"/>
                <w14:textFill>
                  <w14:solidFill>
                    <w14:srgbClr w14:val="000000">
                      <w14:alpha w14:val="100000"/>
                    </w14:srgbClr>
                  </w14:solidFill>
                </w14:textFill>
              </w:rPr>
              <w:t>|</w:t>
            </w:r>
            <w:r w:rsidR="00CE7646" w:rsidRPr="00CE7646">
              <w:rPr>
                <w:rFonts w:hint="eastAsia"/>
                <w:color w:val="000000"/>
                <w:spacing w:val="-35"/>
                <w:w w:val="15"/>
                <w:shd w:val="solid" w:color="000000" w:fill="000000"/>
                <w:fitText w:val="30" w:id="-962338043"/>
                <w14:textFill>
                  <w14:solidFill>
                    <w14:srgbClr w14:val="000000">
                      <w14:alpha w14:val="100000"/>
                    </w14:srgbClr>
                  </w14:solidFill>
                </w14:textFill>
              </w:rPr>
              <w:t xml:space="preserve">　</w:t>
            </w:r>
            <w:r w:rsidR="00DB5C1E">
              <w:rPr>
                <w:vertAlign w:val="superscript"/>
              </w:rPr>
              <w:t>3</w:t>
            </w:r>
          </w:p>
        </w:tc>
        <w:tc>
          <w:tcPr>
            <w:tcW w:w="1276" w:type="dxa"/>
            <w:noWrap/>
          </w:tcPr>
          <w:p w14:paraId="5B911D47" w14:textId="430A5F03" w:rsidR="007A35D6" w:rsidRPr="00174A38" w:rsidRDefault="00275487" w:rsidP="00E14122">
            <w:pPr>
              <w:pStyle w:val="TableText0"/>
              <w:keepLines/>
              <w:jc w:val="center"/>
              <w:rPr>
                <w:highlight w:val="lightGray"/>
              </w:rPr>
            </w:pPr>
            <w:r w:rsidRPr="00275487">
              <w:t>$</w:t>
            </w:r>
            <w:r w:rsidR="00CE7646" w:rsidRPr="00CE7646">
              <w:rPr>
                <w:rFonts w:hint="eastAsia"/>
                <w:color w:val="000000"/>
                <w:w w:val="20"/>
                <w:shd w:val="solid" w:color="000000" w:fill="000000"/>
                <w:fitText w:val="90" w:id="-962338042"/>
                <w14:textFill>
                  <w14:solidFill>
                    <w14:srgbClr w14:val="000000">
                      <w14:alpha w14:val="100000"/>
                    </w14:srgbClr>
                  </w14:solidFill>
                </w14:textFill>
              </w:rPr>
              <w:t xml:space="preserve">　</w:t>
            </w:r>
            <w:r w:rsidR="00CE7646" w:rsidRPr="00CE7646">
              <w:rPr>
                <w:color w:val="000000"/>
                <w:w w:val="20"/>
                <w:shd w:val="solid" w:color="000000" w:fill="000000"/>
                <w:fitText w:val="90" w:id="-962338042"/>
                <w14:textFill>
                  <w14:solidFill>
                    <w14:srgbClr w14:val="000000">
                      <w14:alpha w14:val="100000"/>
                    </w14:srgbClr>
                  </w14:solidFill>
                </w14:textFill>
              </w:rPr>
              <w:t>|</w:t>
            </w:r>
            <w:r w:rsidR="00CE7646" w:rsidRPr="00CE7646">
              <w:rPr>
                <w:rFonts w:hint="eastAsia"/>
                <w:color w:val="000000"/>
                <w:spacing w:val="3"/>
                <w:w w:val="20"/>
                <w:shd w:val="solid" w:color="000000" w:fill="000000"/>
                <w:fitText w:val="90" w:id="-962338042"/>
                <w14:textFill>
                  <w14:solidFill>
                    <w14:srgbClr w14:val="000000">
                      <w14:alpha w14:val="100000"/>
                    </w14:srgbClr>
                  </w14:solidFill>
                </w14:textFill>
              </w:rPr>
              <w:t xml:space="preserve">　</w:t>
            </w:r>
            <w:r w:rsidR="00DB5C1E">
              <w:rPr>
                <w:vertAlign w:val="superscript"/>
              </w:rPr>
              <w:t>3</w:t>
            </w:r>
          </w:p>
        </w:tc>
        <w:tc>
          <w:tcPr>
            <w:tcW w:w="1134" w:type="dxa"/>
            <w:noWrap/>
          </w:tcPr>
          <w:p w14:paraId="691D19BD" w14:textId="796CDD36" w:rsidR="007A35D6" w:rsidRPr="00174A38" w:rsidRDefault="00275487" w:rsidP="00E14122">
            <w:pPr>
              <w:pStyle w:val="TableText0"/>
              <w:keepLines/>
              <w:jc w:val="center"/>
              <w:rPr>
                <w:highlight w:val="lightGray"/>
              </w:rPr>
            </w:pPr>
            <w:r w:rsidRPr="00275487">
              <w:t>$</w:t>
            </w:r>
            <w:r w:rsidR="00CE7646" w:rsidRPr="00CE7646">
              <w:rPr>
                <w:color w:val="000000"/>
                <w:spacing w:val="79"/>
                <w:shd w:val="solid" w:color="000000" w:fill="000000"/>
                <w:fitText w:val="165" w:id="-962338041"/>
                <w14:textFill>
                  <w14:solidFill>
                    <w14:srgbClr w14:val="000000">
                      <w14:alpha w14:val="100000"/>
                    </w14:srgbClr>
                  </w14:solidFill>
                </w14:textFill>
              </w:rPr>
              <w:t>|</w:t>
            </w:r>
            <w:r w:rsidR="00CE7646" w:rsidRPr="00CE7646">
              <w:rPr>
                <w:color w:val="000000"/>
                <w:spacing w:val="1"/>
                <w:shd w:val="solid" w:color="000000" w:fill="000000"/>
                <w:fitText w:val="165" w:id="-962338041"/>
                <w14:textFill>
                  <w14:solidFill>
                    <w14:srgbClr w14:val="000000">
                      <w14:alpha w14:val="100000"/>
                    </w14:srgbClr>
                  </w14:solidFill>
                </w14:textFill>
              </w:rPr>
              <w:t>|</w:t>
            </w:r>
            <w:r w:rsidR="00DB5C1E">
              <w:rPr>
                <w:vertAlign w:val="superscript"/>
              </w:rPr>
              <w:t>3</w:t>
            </w:r>
          </w:p>
        </w:tc>
        <w:tc>
          <w:tcPr>
            <w:tcW w:w="1275" w:type="dxa"/>
            <w:noWrap/>
          </w:tcPr>
          <w:p w14:paraId="1C715C8D" w14:textId="243BE34D" w:rsidR="007A35D6" w:rsidRPr="00174A38" w:rsidRDefault="00275487" w:rsidP="00E14122">
            <w:pPr>
              <w:pStyle w:val="TableText0"/>
              <w:keepLines/>
              <w:jc w:val="center"/>
              <w:rPr>
                <w:highlight w:val="lightGray"/>
              </w:rPr>
            </w:pPr>
            <w:r w:rsidRPr="00275487">
              <w:t>$</w:t>
            </w:r>
            <w:r w:rsidR="00CE7646" w:rsidRPr="00CE7646">
              <w:rPr>
                <w:rFonts w:hint="eastAsia"/>
                <w:color w:val="000000"/>
                <w:w w:val="20"/>
                <w:shd w:val="solid" w:color="000000" w:fill="000000"/>
                <w:fitText w:val="90" w:id="-962338040"/>
                <w14:textFill>
                  <w14:solidFill>
                    <w14:srgbClr w14:val="000000">
                      <w14:alpha w14:val="100000"/>
                    </w14:srgbClr>
                  </w14:solidFill>
                </w14:textFill>
              </w:rPr>
              <w:t xml:space="preserve">　</w:t>
            </w:r>
            <w:r w:rsidR="00CE7646" w:rsidRPr="00CE7646">
              <w:rPr>
                <w:color w:val="000000"/>
                <w:w w:val="20"/>
                <w:shd w:val="solid" w:color="000000" w:fill="000000"/>
                <w:fitText w:val="90" w:id="-962338040"/>
                <w14:textFill>
                  <w14:solidFill>
                    <w14:srgbClr w14:val="000000">
                      <w14:alpha w14:val="100000"/>
                    </w14:srgbClr>
                  </w14:solidFill>
                </w14:textFill>
              </w:rPr>
              <w:t>|</w:t>
            </w:r>
            <w:r w:rsidR="00CE7646" w:rsidRPr="00CE7646">
              <w:rPr>
                <w:rFonts w:hint="eastAsia"/>
                <w:color w:val="000000"/>
                <w:spacing w:val="3"/>
                <w:w w:val="20"/>
                <w:shd w:val="solid" w:color="000000" w:fill="000000"/>
                <w:fitText w:val="90" w:id="-962338040"/>
                <w14:textFill>
                  <w14:solidFill>
                    <w14:srgbClr w14:val="000000">
                      <w14:alpha w14:val="100000"/>
                    </w14:srgbClr>
                  </w14:solidFill>
                </w14:textFill>
              </w:rPr>
              <w:t xml:space="preserve">　</w:t>
            </w:r>
            <w:r w:rsidR="00DB5C1E">
              <w:rPr>
                <w:vertAlign w:val="superscript"/>
              </w:rPr>
              <w:t>3</w:t>
            </w:r>
          </w:p>
        </w:tc>
        <w:tc>
          <w:tcPr>
            <w:tcW w:w="1134" w:type="dxa"/>
            <w:noWrap/>
          </w:tcPr>
          <w:p w14:paraId="43F84E7C" w14:textId="11E61A00" w:rsidR="007A35D6" w:rsidRPr="00174A38" w:rsidRDefault="00275487" w:rsidP="00E14122">
            <w:pPr>
              <w:pStyle w:val="TableText0"/>
              <w:keepLines/>
              <w:jc w:val="center"/>
              <w:rPr>
                <w:highlight w:val="lightGray"/>
              </w:rPr>
            </w:pPr>
            <w:r w:rsidRPr="00275487">
              <w:t>$</w:t>
            </w:r>
            <w:r w:rsidR="00CE7646" w:rsidRPr="00CE7646">
              <w:rPr>
                <w:color w:val="000000"/>
                <w:spacing w:val="79"/>
                <w:shd w:val="solid" w:color="000000" w:fill="000000"/>
                <w:fitText w:val="165" w:id="-962338039"/>
                <w14:textFill>
                  <w14:solidFill>
                    <w14:srgbClr w14:val="000000">
                      <w14:alpha w14:val="100000"/>
                    </w14:srgbClr>
                  </w14:solidFill>
                </w14:textFill>
              </w:rPr>
              <w:t>|</w:t>
            </w:r>
            <w:r w:rsidR="00CE7646" w:rsidRPr="00CE7646">
              <w:rPr>
                <w:color w:val="000000"/>
                <w:spacing w:val="1"/>
                <w:shd w:val="solid" w:color="000000" w:fill="000000"/>
                <w:fitText w:val="165" w:id="-962338039"/>
                <w14:textFill>
                  <w14:solidFill>
                    <w14:srgbClr w14:val="000000">
                      <w14:alpha w14:val="100000"/>
                    </w14:srgbClr>
                  </w14:solidFill>
                </w14:textFill>
              </w:rPr>
              <w:t>|</w:t>
            </w:r>
            <w:r w:rsidR="00DB5C1E">
              <w:rPr>
                <w:vertAlign w:val="superscript"/>
              </w:rPr>
              <w:t>3</w:t>
            </w:r>
          </w:p>
        </w:tc>
        <w:tc>
          <w:tcPr>
            <w:tcW w:w="1077" w:type="dxa"/>
            <w:noWrap/>
          </w:tcPr>
          <w:p w14:paraId="27E7CCE8" w14:textId="0560FEAA" w:rsidR="007A35D6" w:rsidRPr="00174A38" w:rsidRDefault="00275487" w:rsidP="00E14122">
            <w:pPr>
              <w:pStyle w:val="TableText0"/>
              <w:keepLines/>
              <w:jc w:val="center"/>
              <w:rPr>
                <w:highlight w:val="lightGray"/>
              </w:rPr>
            </w:pPr>
            <w:r w:rsidRPr="00275487">
              <w:t>$</w:t>
            </w:r>
            <w:r w:rsidR="00CE7646" w:rsidRPr="00CE7646">
              <w:rPr>
                <w:color w:val="000000"/>
                <w:spacing w:val="109"/>
                <w:shd w:val="solid" w:color="000000" w:fill="000000"/>
                <w:fitText w:val="195" w:id="-962338038"/>
                <w14:textFill>
                  <w14:solidFill>
                    <w14:srgbClr w14:val="000000">
                      <w14:alpha w14:val="100000"/>
                    </w14:srgbClr>
                  </w14:solidFill>
                </w14:textFill>
              </w:rPr>
              <w:t>|</w:t>
            </w:r>
            <w:r w:rsidR="00CE7646" w:rsidRPr="00CE7646">
              <w:rPr>
                <w:color w:val="000000"/>
                <w:spacing w:val="1"/>
                <w:shd w:val="solid" w:color="000000" w:fill="000000"/>
                <w:fitText w:val="195" w:id="-962338038"/>
                <w14:textFill>
                  <w14:solidFill>
                    <w14:srgbClr w14:val="000000">
                      <w14:alpha w14:val="100000"/>
                    </w14:srgbClr>
                  </w14:solidFill>
                </w14:textFill>
              </w:rPr>
              <w:t>|</w:t>
            </w:r>
            <w:r w:rsidR="00DB5C1E">
              <w:rPr>
                <w:vertAlign w:val="superscript"/>
              </w:rPr>
              <w:t>3</w:t>
            </w:r>
          </w:p>
        </w:tc>
      </w:tr>
    </w:tbl>
    <w:p w14:paraId="02BF4D13" w14:textId="093B4432" w:rsidR="007A35D6" w:rsidRDefault="00D534DE" w:rsidP="00E14122">
      <w:pPr>
        <w:pStyle w:val="3-BodyText"/>
        <w:keepNext/>
        <w:keepLines/>
        <w:numPr>
          <w:ilvl w:val="0"/>
          <w:numId w:val="0"/>
        </w:numPr>
        <w:spacing w:after="0"/>
        <w:rPr>
          <w:rFonts w:ascii="Arial Narrow" w:hAnsi="Arial Narrow"/>
          <w:sz w:val="18"/>
          <w:szCs w:val="18"/>
        </w:rPr>
      </w:pPr>
      <w:r w:rsidRPr="009475AF">
        <w:rPr>
          <w:rFonts w:ascii="Arial Narrow" w:hAnsi="Arial Narrow"/>
          <w:sz w:val="18"/>
          <w:szCs w:val="18"/>
        </w:rPr>
        <w:t>Source: Derived from Table 4.14 of the submission.</w:t>
      </w:r>
    </w:p>
    <w:p w14:paraId="5643CAD1" w14:textId="77777777" w:rsidR="00DB5C1E" w:rsidRPr="00E14122" w:rsidRDefault="00DB5C1E" w:rsidP="00E14122">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rPr>
        <w:t xml:space="preserve">The redacted values correspond to the following ranges: </w:t>
      </w:r>
    </w:p>
    <w:p w14:paraId="01C8A3F3" w14:textId="2CC3AE04" w:rsidR="00DB5C1E" w:rsidRPr="00E14122" w:rsidRDefault="00DB5C1E" w:rsidP="00E14122">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vertAlign w:val="superscript"/>
        </w:rPr>
        <w:t>1</w:t>
      </w:r>
      <w:r w:rsidRPr="00E14122">
        <w:rPr>
          <w:rFonts w:ascii="Arial Narrow" w:hAnsi="Arial Narrow" w:cstheme="minorHAnsi"/>
          <w:bCs/>
          <w:i/>
          <w:iCs/>
          <w:sz w:val="18"/>
          <w:szCs w:val="18"/>
        </w:rPr>
        <w:t xml:space="preserve"> &lt; 500</w:t>
      </w:r>
    </w:p>
    <w:p w14:paraId="09464399" w14:textId="2AE576C3" w:rsidR="00DB5C1E" w:rsidRPr="00E14122" w:rsidRDefault="00DB5C1E" w:rsidP="00E14122">
      <w:pPr>
        <w:keepNext/>
        <w:keepLines/>
        <w:jc w:val="left"/>
        <w:rPr>
          <w:rFonts w:ascii="Arial Narrow" w:hAnsi="Arial Narrow" w:cstheme="minorHAnsi"/>
          <w:bCs/>
          <w:i/>
          <w:iCs/>
          <w:sz w:val="18"/>
          <w:szCs w:val="18"/>
        </w:rPr>
      </w:pPr>
      <w:r w:rsidRPr="00E14122">
        <w:rPr>
          <w:rFonts w:ascii="Arial Narrow" w:hAnsi="Arial Narrow" w:cstheme="minorHAnsi"/>
          <w:bCs/>
          <w:i/>
          <w:iCs/>
          <w:sz w:val="18"/>
          <w:szCs w:val="18"/>
          <w:vertAlign w:val="superscript"/>
        </w:rPr>
        <w:t>2</w:t>
      </w:r>
      <w:r w:rsidRPr="00E14122">
        <w:rPr>
          <w:rFonts w:ascii="Arial Narrow" w:hAnsi="Arial Narrow" w:cstheme="minorHAnsi"/>
          <w:bCs/>
          <w:i/>
          <w:iCs/>
          <w:sz w:val="18"/>
          <w:szCs w:val="18"/>
        </w:rPr>
        <w:t xml:space="preserve"> 500 to &lt; 5,000</w:t>
      </w:r>
    </w:p>
    <w:p w14:paraId="2088DA93" w14:textId="45F9EEA4" w:rsidR="00784926" w:rsidRPr="009475AF" w:rsidRDefault="00DB5C1E" w:rsidP="00E14122">
      <w:pPr>
        <w:spacing w:after="120"/>
        <w:jc w:val="left"/>
        <w:rPr>
          <w:rFonts w:ascii="Arial Narrow" w:hAnsi="Arial Narrow"/>
          <w:sz w:val="18"/>
          <w:szCs w:val="18"/>
        </w:rPr>
      </w:pPr>
      <w:r w:rsidRPr="00E14122">
        <w:rPr>
          <w:rFonts w:ascii="Arial Narrow" w:hAnsi="Arial Narrow" w:cstheme="minorHAnsi"/>
          <w:bCs/>
          <w:i/>
          <w:iCs/>
          <w:sz w:val="18"/>
          <w:szCs w:val="18"/>
          <w:vertAlign w:val="superscript"/>
        </w:rPr>
        <w:t>3</w:t>
      </w:r>
      <w:r w:rsidRPr="00E14122">
        <w:rPr>
          <w:rFonts w:ascii="Arial Narrow" w:hAnsi="Arial Narrow" w:cstheme="minorHAnsi"/>
          <w:bCs/>
          <w:i/>
          <w:iCs/>
          <w:sz w:val="18"/>
          <w:szCs w:val="18"/>
        </w:rPr>
        <w:t xml:space="preserve"> $0 to &lt; $10 million</w:t>
      </w:r>
    </w:p>
    <w:p w14:paraId="2238DEE9" w14:textId="3E6A228B" w:rsidR="00576972" w:rsidRPr="009475AF" w:rsidRDefault="00576972" w:rsidP="00F61B0B">
      <w:pPr>
        <w:pStyle w:val="4-SubsectionHeading"/>
      </w:pPr>
      <w:bookmarkStart w:id="55" w:name="_Toc22897648"/>
      <w:bookmarkStart w:id="56" w:name="_Toc156912924"/>
      <w:r w:rsidRPr="009475AF">
        <w:t>Quality Use of Medicines</w:t>
      </w:r>
      <w:bookmarkEnd w:id="55"/>
      <w:bookmarkEnd w:id="56"/>
    </w:p>
    <w:p w14:paraId="38BD0AEF" w14:textId="756A082B" w:rsidR="00576972" w:rsidRPr="009475AF" w:rsidRDefault="00250C99" w:rsidP="00606FBA">
      <w:pPr>
        <w:pStyle w:val="3-BodyText"/>
      </w:pPr>
      <w:r w:rsidRPr="009475AF">
        <w:t>The submission described planned activities including an early access scheme/patient familiarisation program, educational meetings</w:t>
      </w:r>
      <w:r w:rsidR="00F26A19" w:rsidRPr="009475AF">
        <w:t>,</w:t>
      </w:r>
      <w:r w:rsidRPr="009475AF">
        <w:t xml:space="preserve"> and educational material. In addition</w:t>
      </w:r>
      <w:r w:rsidR="00F26A19" w:rsidRPr="009475AF">
        <w:t xml:space="preserve">, </w:t>
      </w:r>
      <w:r w:rsidRPr="009475AF">
        <w:t xml:space="preserve">the submission stated that </w:t>
      </w:r>
      <w:r w:rsidR="00F26A19" w:rsidRPr="009475AF">
        <w:t>the sponsor</w:t>
      </w:r>
      <w:r w:rsidRPr="009475AF">
        <w:t xml:space="preserve"> is collaborating with the Thoracic Society of Australia and New Zealand to extend the Australasia Severe Asthma Registry to paediatric patients. </w:t>
      </w:r>
    </w:p>
    <w:p w14:paraId="36F922E5" w14:textId="0D66C66F" w:rsidR="00576972" w:rsidRPr="009475AF" w:rsidRDefault="002F74D4" w:rsidP="002F74D4">
      <w:pPr>
        <w:pStyle w:val="3-BodyText"/>
        <w:numPr>
          <w:ilvl w:val="0"/>
          <w:numId w:val="0"/>
        </w:numPr>
        <w:ind w:left="1440" w:hanging="720"/>
        <w:rPr>
          <w:rFonts w:eastAsiaTheme="minorHAnsi"/>
          <w:i/>
          <w:iCs/>
        </w:rPr>
      </w:pPr>
      <w:r w:rsidRPr="009475AF">
        <w:rPr>
          <w:rFonts w:eastAsiaTheme="minorHAnsi"/>
          <w:i/>
          <w:iCs/>
        </w:rPr>
        <w:t>For more detail on PBAC’s view, see section 7 PBAC outcome.</w:t>
      </w:r>
    </w:p>
    <w:p w14:paraId="767F0D9E" w14:textId="77777777" w:rsidR="00BC0976" w:rsidRPr="009475AF" w:rsidRDefault="00BC0976" w:rsidP="00491427">
      <w:pPr>
        <w:pStyle w:val="2-SectionHeading"/>
      </w:pPr>
      <w:bookmarkStart w:id="57" w:name="_Hlk76381249"/>
      <w:bookmarkStart w:id="58" w:name="_Hlk76377955"/>
      <w:r w:rsidRPr="009475AF">
        <w:t>PBAC Outcome</w:t>
      </w:r>
    </w:p>
    <w:p w14:paraId="3A0DE108" w14:textId="0C17C598" w:rsidR="00335282" w:rsidRPr="009475AF" w:rsidRDefault="00BC0976" w:rsidP="00335282">
      <w:pPr>
        <w:pStyle w:val="3-BodyText"/>
      </w:pPr>
      <w:bookmarkStart w:id="59" w:name="_Hlk161754864"/>
      <w:r w:rsidRPr="009475AF">
        <w:rPr>
          <w:lang w:eastAsia="en-US"/>
        </w:rPr>
        <w:t xml:space="preserve">The PBAC recommended the </w:t>
      </w:r>
      <w:r w:rsidR="004801BE" w:rsidRPr="009475AF">
        <w:t xml:space="preserve">Section 100 Highly Specialised Drugs Program listing </w:t>
      </w:r>
      <w:r w:rsidR="009D48CF">
        <w:t>of</w:t>
      </w:r>
      <w:r w:rsidR="009D48CF" w:rsidRPr="009475AF">
        <w:t xml:space="preserve"> </w:t>
      </w:r>
      <w:r w:rsidR="004801BE" w:rsidRPr="009475AF">
        <w:t xml:space="preserve">dupilumab for the treatment of patients aged 6 to 11 years of age with uncontrolled severe asthma </w:t>
      </w:r>
      <w:r w:rsidR="004679B5" w:rsidRPr="009475AF">
        <w:t xml:space="preserve">despite optimised asthma therapy </w:t>
      </w:r>
      <w:r w:rsidR="004801BE" w:rsidRPr="009475AF">
        <w:t>who have</w:t>
      </w:r>
      <w:r w:rsidR="00987C90" w:rsidRPr="009475AF">
        <w:t xml:space="preserve"> total serum immunoglobulin E (IgE) </w:t>
      </w:r>
      <w:r w:rsidR="00987C90" w:rsidRPr="009475AF">
        <w:sym w:font="Symbol" w:char="F0B3"/>
      </w:r>
      <w:r w:rsidR="00987C90" w:rsidRPr="009475AF">
        <w:t xml:space="preserve"> 30 IU/mL and evidence of atopy, or blood eosinophils </w:t>
      </w:r>
      <w:r w:rsidR="00987C90" w:rsidRPr="009475AF">
        <w:sym w:font="Symbol" w:char="F0B3"/>
      </w:r>
      <w:r w:rsidR="00E14122">
        <w:t> </w:t>
      </w:r>
      <w:r w:rsidR="00987C90" w:rsidRPr="009475AF">
        <w:t>150</w:t>
      </w:r>
      <w:r w:rsidR="00E14122">
        <w:t> </w:t>
      </w:r>
      <w:r w:rsidR="00987C90" w:rsidRPr="009475AF">
        <w:t>x</w:t>
      </w:r>
      <w:r w:rsidR="00E14122">
        <w:t> </w:t>
      </w:r>
      <w:r w:rsidR="00987C90" w:rsidRPr="009475AF">
        <w:t>10</w:t>
      </w:r>
      <w:r w:rsidR="00987C90" w:rsidRPr="009475AF">
        <w:rPr>
          <w:vertAlign w:val="superscript"/>
        </w:rPr>
        <w:t>9</w:t>
      </w:r>
      <w:r w:rsidR="00987C90" w:rsidRPr="009475AF">
        <w:t xml:space="preserve">/L, or fractional exhaled nitric oxide (FeNO) </w:t>
      </w:r>
      <w:r w:rsidR="00987C90" w:rsidRPr="009475AF">
        <w:sym w:font="Symbol" w:char="F0B3"/>
      </w:r>
      <w:r w:rsidR="00987C90" w:rsidRPr="009475AF">
        <w:t xml:space="preserve"> 20 parts per billion (ppb)</w:t>
      </w:r>
      <w:r w:rsidR="00987C90" w:rsidRPr="009475AF">
        <w:rPr>
          <w:iCs/>
        </w:rPr>
        <w:t>.</w:t>
      </w:r>
      <w:r w:rsidR="00335282" w:rsidRPr="009475AF">
        <w:t xml:space="preserve"> </w:t>
      </w:r>
    </w:p>
    <w:p w14:paraId="6E5411CD" w14:textId="698C167C" w:rsidR="00987C90" w:rsidRPr="009475AF" w:rsidRDefault="00987C90" w:rsidP="00335282">
      <w:pPr>
        <w:pStyle w:val="3-BodyText"/>
      </w:pPr>
      <w:bookmarkStart w:id="60" w:name="_Hlk161755067"/>
      <w:bookmarkEnd w:id="59"/>
      <w:r w:rsidRPr="009475AF">
        <w:t>The PBAC’s recommendation for listing was based on, among other matters, its assessment that the cost-effectiveness of dupilumab would be acceptable if it were cost-minimised against omalizumab</w:t>
      </w:r>
      <w:r w:rsidR="009475AF">
        <w:t>.</w:t>
      </w:r>
    </w:p>
    <w:bookmarkEnd w:id="60"/>
    <w:p w14:paraId="29578E46" w14:textId="49BF979A" w:rsidR="00782D68" w:rsidRPr="009475AF" w:rsidRDefault="00782D68" w:rsidP="00782D68">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the comments from </w:t>
      </w:r>
      <w:r w:rsidR="0027576F" w:rsidRPr="009475AF">
        <w:rPr>
          <w:rFonts w:asciiTheme="minorHAnsi" w:hAnsiTheme="minorHAnsi"/>
          <w:snapToGrid w:val="0"/>
          <w:lang w:eastAsia="en-US"/>
        </w:rPr>
        <w:t>health care professionals and organisations</w:t>
      </w:r>
      <w:r w:rsidRPr="009475AF">
        <w:rPr>
          <w:rFonts w:asciiTheme="minorHAnsi" w:hAnsiTheme="minorHAnsi"/>
          <w:snapToGrid w:val="0"/>
          <w:lang w:eastAsia="en-US"/>
        </w:rPr>
        <w:t xml:space="preserve"> in support of PBS listing of dupilumab in paediatric patients</w:t>
      </w:r>
      <w:r w:rsidR="00705B2A" w:rsidRPr="009475AF">
        <w:rPr>
          <w:rFonts w:asciiTheme="minorHAnsi" w:hAnsiTheme="minorHAnsi"/>
          <w:snapToGrid w:val="0"/>
          <w:lang w:eastAsia="en-US"/>
        </w:rPr>
        <w:t xml:space="preserve">, including the potential </w:t>
      </w:r>
      <w:r w:rsidRPr="009475AF">
        <w:rPr>
          <w:rFonts w:asciiTheme="minorHAnsi" w:hAnsiTheme="minorHAnsi"/>
          <w:snapToGrid w:val="0"/>
          <w:lang w:eastAsia="en-US"/>
        </w:rPr>
        <w:t xml:space="preserve">for home initiation of treatment and a reduction in injection frequency. </w:t>
      </w:r>
    </w:p>
    <w:p w14:paraId="1D236498" w14:textId="4D0CD7EE" w:rsidR="00344793" w:rsidRPr="009475AF" w:rsidRDefault="00344793" w:rsidP="00782D68">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w:t>
      </w:r>
      <w:r w:rsidR="00BF60BD" w:rsidRPr="009475AF">
        <w:rPr>
          <w:rFonts w:asciiTheme="minorHAnsi" w:hAnsiTheme="minorHAnsi"/>
          <w:snapToGrid w:val="0"/>
          <w:lang w:eastAsia="en-US"/>
        </w:rPr>
        <w:t>noted the advice from the sponsor hearing that w</w:t>
      </w:r>
      <w:r w:rsidRPr="009475AF">
        <w:rPr>
          <w:rFonts w:asciiTheme="minorHAnsi" w:hAnsiTheme="minorHAnsi"/>
          <w:snapToGrid w:val="0"/>
          <w:lang w:eastAsia="en-US"/>
        </w:rPr>
        <w:t xml:space="preserve">hilst increased IgE is typical for </w:t>
      </w:r>
      <w:r w:rsidR="002600D3" w:rsidRPr="009475AF">
        <w:rPr>
          <w:rFonts w:asciiTheme="minorHAnsi" w:hAnsiTheme="minorHAnsi"/>
          <w:snapToGrid w:val="0"/>
          <w:lang w:eastAsia="en-US"/>
        </w:rPr>
        <w:t>most</w:t>
      </w:r>
      <w:r w:rsidRPr="009475AF">
        <w:rPr>
          <w:rFonts w:asciiTheme="minorHAnsi" w:hAnsiTheme="minorHAnsi"/>
          <w:snapToGrid w:val="0"/>
          <w:lang w:eastAsia="en-US"/>
        </w:rPr>
        <w:t xml:space="preserve"> childhood </w:t>
      </w:r>
      <w:r w:rsidR="00BF60BD" w:rsidRPr="009475AF">
        <w:rPr>
          <w:rFonts w:asciiTheme="minorHAnsi" w:hAnsiTheme="minorHAnsi"/>
          <w:snapToGrid w:val="0"/>
          <w:lang w:eastAsia="en-US"/>
        </w:rPr>
        <w:t>T</w:t>
      </w:r>
      <w:r w:rsidRPr="009475AF">
        <w:rPr>
          <w:rFonts w:asciiTheme="minorHAnsi" w:hAnsiTheme="minorHAnsi"/>
          <w:snapToGrid w:val="0"/>
          <w:lang w:eastAsia="en-US"/>
        </w:rPr>
        <w:t xml:space="preserve">ype 2 asthma cases, there exists a small number of children with uncontrolled asthma with low IgE in the presence of other elevated </w:t>
      </w:r>
      <w:r w:rsidR="00BF60BD" w:rsidRPr="009475AF">
        <w:rPr>
          <w:rFonts w:asciiTheme="minorHAnsi" w:hAnsiTheme="minorHAnsi"/>
          <w:snapToGrid w:val="0"/>
          <w:lang w:eastAsia="en-US"/>
        </w:rPr>
        <w:t>T</w:t>
      </w:r>
      <w:r w:rsidRPr="009475AF">
        <w:rPr>
          <w:rFonts w:asciiTheme="minorHAnsi" w:hAnsiTheme="minorHAnsi"/>
          <w:snapToGrid w:val="0"/>
          <w:lang w:eastAsia="en-US"/>
        </w:rPr>
        <w:t>ype 2 markers</w:t>
      </w:r>
      <w:r w:rsidR="00BF60BD" w:rsidRPr="009475AF">
        <w:rPr>
          <w:rFonts w:asciiTheme="minorHAnsi" w:hAnsiTheme="minorHAnsi"/>
          <w:snapToGrid w:val="0"/>
          <w:lang w:eastAsia="en-US"/>
        </w:rPr>
        <w:t xml:space="preserve"> such as blood eosinophils or FeN</w:t>
      </w:r>
      <w:r w:rsidR="00696736">
        <w:rPr>
          <w:rFonts w:asciiTheme="minorHAnsi" w:hAnsiTheme="minorHAnsi"/>
          <w:snapToGrid w:val="0"/>
          <w:lang w:eastAsia="en-US"/>
        </w:rPr>
        <w:t>O</w:t>
      </w:r>
      <w:r w:rsidR="00BF60BD" w:rsidRPr="009475AF">
        <w:rPr>
          <w:rFonts w:asciiTheme="minorHAnsi" w:hAnsiTheme="minorHAnsi"/>
          <w:snapToGrid w:val="0"/>
          <w:lang w:eastAsia="en-US"/>
        </w:rPr>
        <w:t>, and considered a clinical need existed for these patients</w:t>
      </w:r>
      <w:r w:rsidR="009475AF">
        <w:rPr>
          <w:rFonts w:asciiTheme="minorHAnsi" w:hAnsiTheme="minorHAnsi"/>
          <w:snapToGrid w:val="0"/>
          <w:lang w:eastAsia="en-US"/>
        </w:rPr>
        <w:t xml:space="preserve">. </w:t>
      </w:r>
    </w:p>
    <w:p w14:paraId="19D5007B" w14:textId="2B5F5704" w:rsidR="00B13C09" w:rsidRPr="009475AF" w:rsidRDefault="00B13C09" w:rsidP="00782D68">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the submission had requested a grandfather clause to allow patients enrolled in a Patient Familiarisation Programme to transition to PBS-subsidised use of dupilumab, and considered this was appropriate. </w:t>
      </w:r>
    </w:p>
    <w:p w14:paraId="477F4C4A" w14:textId="0C6EC8B5" w:rsidR="00B13C09" w:rsidRPr="009475AF" w:rsidRDefault="00B13C09" w:rsidP="00782D68">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the submission had proposed an alternative restriction </w:t>
      </w:r>
      <w:r w:rsidR="006F0AA0" w:rsidRPr="009475AF">
        <w:rPr>
          <w:rFonts w:asciiTheme="minorHAnsi" w:hAnsiTheme="minorHAnsi"/>
          <w:snapToGrid w:val="0"/>
          <w:lang w:eastAsia="en-US"/>
        </w:rPr>
        <w:t xml:space="preserve">that aligned with the characteristics of patients enrolled in the VOYAGE trial rather than with the </w:t>
      </w:r>
      <w:r w:rsidR="0023239B" w:rsidRPr="009475AF">
        <w:rPr>
          <w:rFonts w:asciiTheme="minorHAnsi" w:hAnsiTheme="minorHAnsi"/>
          <w:snapToGrid w:val="0"/>
          <w:lang w:eastAsia="en-US"/>
        </w:rPr>
        <w:t xml:space="preserve">current </w:t>
      </w:r>
      <w:r w:rsidR="006F0AA0" w:rsidRPr="009475AF">
        <w:rPr>
          <w:rFonts w:asciiTheme="minorHAnsi" w:hAnsiTheme="minorHAnsi"/>
          <w:snapToGrid w:val="0"/>
          <w:lang w:eastAsia="en-US"/>
        </w:rPr>
        <w:t xml:space="preserve">omalizumab restriction. The PBAC noted </w:t>
      </w:r>
      <w:r w:rsidR="0023239B" w:rsidRPr="009475AF">
        <w:rPr>
          <w:rFonts w:asciiTheme="minorHAnsi" w:hAnsiTheme="minorHAnsi"/>
          <w:snapToGrid w:val="0"/>
          <w:lang w:eastAsia="en-US"/>
        </w:rPr>
        <w:t xml:space="preserve">for continuing therapy </w:t>
      </w:r>
      <w:r w:rsidR="006F0AA0" w:rsidRPr="009475AF">
        <w:rPr>
          <w:rFonts w:asciiTheme="minorHAnsi" w:hAnsiTheme="minorHAnsi"/>
          <w:snapToGrid w:val="0"/>
          <w:lang w:eastAsia="en-US"/>
        </w:rPr>
        <w:t xml:space="preserve">this alternative restriction removed reference to </w:t>
      </w:r>
      <w:r w:rsidR="0023239B" w:rsidRPr="009475AF">
        <w:rPr>
          <w:rFonts w:asciiTheme="minorHAnsi" w:hAnsiTheme="minorHAnsi"/>
          <w:snapToGrid w:val="0"/>
          <w:lang w:eastAsia="en-US"/>
        </w:rPr>
        <w:t xml:space="preserve">(i) </w:t>
      </w:r>
      <w:r w:rsidR="006F0AA0" w:rsidRPr="009475AF">
        <w:rPr>
          <w:rFonts w:asciiTheme="minorHAnsi" w:hAnsiTheme="minorHAnsi"/>
          <w:snapToGrid w:val="0"/>
          <w:lang w:eastAsia="en-US"/>
        </w:rPr>
        <w:t xml:space="preserve">a reduction in the maintenance dose of corticosteroids by at least 25% from baseline and </w:t>
      </w:r>
      <w:r w:rsidR="0023239B" w:rsidRPr="009475AF">
        <w:rPr>
          <w:rFonts w:asciiTheme="minorHAnsi" w:hAnsiTheme="minorHAnsi"/>
          <w:snapToGrid w:val="0"/>
          <w:lang w:eastAsia="en-US"/>
        </w:rPr>
        <w:t xml:space="preserve">(ii) </w:t>
      </w:r>
      <w:r w:rsidR="006F0AA0" w:rsidRPr="009475AF">
        <w:rPr>
          <w:rFonts w:asciiTheme="minorHAnsi" w:hAnsiTheme="minorHAnsi"/>
          <w:snapToGrid w:val="0"/>
          <w:lang w:eastAsia="en-US"/>
        </w:rPr>
        <w:t>no deterioration in the Asthma Control Questionnaire or ACQ-IA from baseline</w:t>
      </w:r>
      <w:r w:rsidR="0023239B" w:rsidRPr="009475AF">
        <w:rPr>
          <w:rFonts w:asciiTheme="minorHAnsi" w:hAnsiTheme="minorHAnsi"/>
          <w:snapToGrid w:val="0"/>
          <w:lang w:eastAsia="en-US"/>
        </w:rPr>
        <w:t>. The PBAC</w:t>
      </w:r>
      <w:r w:rsidR="006F0AA0" w:rsidRPr="009475AF">
        <w:rPr>
          <w:rFonts w:asciiTheme="minorHAnsi" w:hAnsiTheme="minorHAnsi"/>
          <w:snapToGrid w:val="0"/>
          <w:lang w:eastAsia="en-US"/>
        </w:rPr>
        <w:t xml:space="preserve"> considered it </w:t>
      </w:r>
      <w:r w:rsidR="00402BC9" w:rsidRPr="009475AF">
        <w:rPr>
          <w:rFonts w:asciiTheme="minorHAnsi" w:hAnsiTheme="minorHAnsi"/>
          <w:snapToGrid w:val="0"/>
          <w:lang w:eastAsia="en-US"/>
        </w:rPr>
        <w:t>inappropriate to remove these criteria</w:t>
      </w:r>
      <w:r w:rsidR="006F0AA0" w:rsidRPr="009475AF">
        <w:rPr>
          <w:rFonts w:asciiTheme="minorHAnsi" w:hAnsiTheme="minorHAnsi"/>
          <w:snapToGrid w:val="0"/>
          <w:lang w:eastAsia="en-US"/>
        </w:rPr>
        <w:t>.</w:t>
      </w:r>
    </w:p>
    <w:p w14:paraId="38EDC444" w14:textId="600F5A28" w:rsidR="00D21269" w:rsidRPr="009475AF" w:rsidRDefault="006F0AA0" w:rsidP="00782D68">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considered a written authority level was appropriate. </w:t>
      </w:r>
    </w:p>
    <w:p w14:paraId="650A5CF3" w14:textId="32FB06E9" w:rsidR="004A7128" w:rsidRPr="009475AF" w:rsidRDefault="009C1C50" w:rsidP="004A7128">
      <w:pPr>
        <w:pStyle w:val="3-BodyText"/>
        <w:rPr>
          <w:lang w:eastAsia="en-US"/>
        </w:rPr>
      </w:pPr>
      <w:r w:rsidRPr="009475AF">
        <w:rPr>
          <w:lang w:eastAsia="en-US"/>
        </w:rPr>
        <w:t xml:space="preserve">The submission proposed the comparator of omalizumab for patients with IgE of </w:t>
      </w:r>
      <w:r w:rsidR="00705B2A" w:rsidRPr="009475AF">
        <w:rPr>
          <w:rFonts w:cstheme="minorHAnsi"/>
          <w:lang w:eastAsia="en-US"/>
        </w:rPr>
        <w:t>≥</w:t>
      </w:r>
      <w:r w:rsidR="00E14122">
        <w:rPr>
          <w:rFonts w:cstheme="minorHAnsi"/>
          <w:lang w:eastAsia="en-US"/>
        </w:rPr>
        <w:t> </w:t>
      </w:r>
      <w:r w:rsidRPr="009475AF">
        <w:rPr>
          <w:lang w:eastAsia="en-US"/>
        </w:rPr>
        <w:t>30</w:t>
      </w:r>
      <w:r w:rsidR="00E14122">
        <w:rPr>
          <w:lang w:eastAsia="en-US"/>
        </w:rPr>
        <w:t> </w:t>
      </w:r>
      <w:r w:rsidRPr="009475AF">
        <w:rPr>
          <w:lang w:eastAsia="en-US"/>
        </w:rPr>
        <w:t>IU/mL. The PBAC considered the nominated comparator w</w:t>
      </w:r>
      <w:r w:rsidR="00705B2A" w:rsidRPr="009475AF">
        <w:rPr>
          <w:lang w:eastAsia="en-US"/>
        </w:rPr>
        <w:t>as</w:t>
      </w:r>
      <w:r w:rsidRPr="009475AF">
        <w:rPr>
          <w:lang w:eastAsia="en-US"/>
        </w:rPr>
        <w:t xml:space="preserve"> appropriate, noting that while tiotropium is a possible comparator based on the GINA Guidelines that it is not </w:t>
      </w:r>
      <w:r w:rsidR="00705B2A" w:rsidRPr="009475AF">
        <w:rPr>
          <w:lang w:eastAsia="en-US"/>
        </w:rPr>
        <w:t>includ</w:t>
      </w:r>
      <w:r w:rsidRPr="009475AF">
        <w:rPr>
          <w:lang w:eastAsia="en-US"/>
        </w:rPr>
        <w:t>ed in the National Asthma Council guidelines and</w:t>
      </w:r>
      <w:r w:rsidR="00705B2A" w:rsidRPr="009475AF">
        <w:rPr>
          <w:lang w:eastAsia="en-US"/>
        </w:rPr>
        <w:t>,</w:t>
      </w:r>
      <w:r w:rsidRPr="009475AF">
        <w:rPr>
          <w:lang w:eastAsia="en-US"/>
        </w:rPr>
        <w:t xml:space="preserve"> as noted in the PSCR</w:t>
      </w:r>
      <w:r w:rsidR="00705B2A" w:rsidRPr="009475AF">
        <w:rPr>
          <w:lang w:eastAsia="en-US"/>
        </w:rPr>
        <w:t>,</w:t>
      </w:r>
      <w:r w:rsidRPr="009475AF">
        <w:rPr>
          <w:lang w:eastAsia="en-US"/>
        </w:rPr>
        <w:t xml:space="preserve"> omalizumab was not considered to be an appropriate comparator for tiotropium when it was considered by the PBAC in 2018. </w:t>
      </w:r>
    </w:p>
    <w:p w14:paraId="12BB5968" w14:textId="4330D66D" w:rsidR="009C1C50" w:rsidRPr="009475AF" w:rsidRDefault="009C1C50" w:rsidP="004801BE">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The submission proposed the comparator of placebo (representing standard of care) for patients with IgE &lt; 30 IU/mL</w:t>
      </w:r>
      <w:r w:rsidR="009475AF">
        <w:rPr>
          <w:rFonts w:asciiTheme="minorHAnsi" w:hAnsiTheme="minorHAnsi"/>
          <w:snapToGrid w:val="0"/>
          <w:lang w:eastAsia="en-US"/>
        </w:rPr>
        <w:t xml:space="preserve">. </w:t>
      </w:r>
      <w:r w:rsidRPr="009475AF">
        <w:rPr>
          <w:rFonts w:asciiTheme="minorHAnsi" w:hAnsiTheme="minorHAnsi"/>
          <w:snapToGrid w:val="0"/>
          <w:lang w:eastAsia="en-US"/>
        </w:rPr>
        <w:t>The PBAC considered the nominated comparator was appropriate</w:t>
      </w:r>
      <w:r w:rsidR="00705B2A" w:rsidRPr="009475AF">
        <w:rPr>
          <w:rFonts w:asciiTheme="minorHAnsi" w:hAnsiTheme="minorHAnsi"/>
          <w:snapToGrid w:val="0"/>
          <w:lang w:eastAsia="en-US"/>
        </w:rPr>
        <w:t>.</w:t>
      </w:r>
    </w:p>
    <w:p w14:paraId="3804379A" w14:textId="02E14840" w:rsidR="006E23A3" w:rsidRPr="009475AF" w:rsidRDefault="006E23A3" w:rsidP="004801BE">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the submission was based on </w:t>
      </w:r>
      <w:r w:rsidR="006A1A44" w:rsidRPr="009475AF">
        <w:rPr>
          <w:rFonts w:asciiTheme="minorHAnsi" w:hAnsiTheme="minorHAnsi"/>
          <w:snapToGrid w:val="0"/>
          <w:lang w:eastAsia="en-US"/>
        </w:rPr>
        <w:t>indirect treatment comparison</w:t>
      </w:r>
      <w:r w:rsidR="00EF44B0" w:rsidRPr="009475AF">
        <w:rPr>
          <w:rFonts w:asciiTheme="minorHAnsi" w:hAnsiTheme="minorHAnsi"/>
          <w:snapToGrid w:val="0"/>
          <w:lang w:eastAsia="en-US"/>
        </w:rPr>
        <w:t>s</w:t>
      </w:r>
      <w:r w:rsidR="006A1A44" w:rsidRPr="009475AF">
        <w:rPr>
          <w:rFonts w:asciiTheme="minorHAnsi" w:hAnsiTheme="minorHAnsi"/>
          <w:snapToGrid w:val="0"/>
          <w:lang w:eastAsia="en-US"/>
        </w:rPr>
        <w:t xml:space="preserve"> (ITC</w:t>
      </w:r>
      <w:r w:rsidR="00EF44B0" w:rsidRPr="009475AF">
        <w:rPr>
          <w:rFonts w:asciiTheme="minorHAnsi" w:hAnsiTheme="minorHAnsi"/>
          <w:snapToGrid w:val="0"/>
          <w:lang w:eastAsia="en-US"/>
        </w:rPr>
        <w:t>s</w:t>
      </w:r>
      <w:r w:rsidR="006A1A44" w:rsidRPr="009475AF">
        <w:rPr>
          <w:rFonts w:asciiTheme="minorHAnsi" w:hAnsiTheme="minorHAnsi"/>
          <w:snapToGrid w:val="0"/>
          <w:lang w:eastAsia="en-US"/>
        </w:rPr>
        <w:t>) of one</w:t>
      </w:r>
      <w:r w:rsidRPr="009475AF">
        <w:rPr>
          <w:rFonts w:asciiTheme="minorHAnsi" w:hAnsiTheme="minorHAnsi"/>
          <w:snapToGrid w:val="0"/>
          <w:lang w:eastAsia="en-US"/>
        </w:rPr>
        <w:t xml:space="preserve"> randomised controlled trial (RCT) of dupilumab versus placebo (VOYAGE) and </w:t>
      </w:r>
      <w:r w:rsidR="006A1A44" w:rsidRPr="009475AF">
        <w:rPr>
          <w:rFonts w:asciiTheme="minorHAnsi" w:hAnsiTheme="minorHAnsi"/>
          <w:snapToGrid w:val="0"/>
          <w:lang w:eastAsia="en-US"/>
        </w:rPr>
        <w:t>one</w:t>
      </w:r>
      <w:r w:rsidRPr="009475AF">
        <w:rPr>
          <w:rFonts w:asciiTheme="minorHAnsi" w:hAnsiTheme="minorHAnsi"/>
          <w:snapToGrid w:val="0"/>
          <w:lang w:eastAsia="en-US"/>
        </w:rPr>
        <w:t xml:space="preserve"> RCT of omalizumab versus placebo (IA-05</w:t>
      </w:r>
      <w:r w:rsidR="003C45C9" w:rsidRPr="009475AF">
        <w:rPr>
          <w:rFonts w:asciiTheme="minorHAnsi" w:hAnsiTheme="minorHAnsi"/>
          <w:snapToGrid w:val="0"/>
          <w:lang w:eastAsia="en-US"/>
        </w:rPr>
        <w:t>)</w:t>
      </w:r>
      <w:r w:rsidRPr="009475AF">
        <w:rPr>
          <w:rFonts w:asciiTheme="minorHAnsi" w:hAnsiTheme="minorHAnsi"/>
          <w:snapToGrid w:val="0"/>
          <w:lang w:eastAsia="en-US"/>
        </w:rPr>
        <w:t xml:space="preserve">. The PBAC </w:t>
      </w:r>
      <w:r w:rsidR="0052157D" w:rsidRPr="009475AF">
        <w:rPr>
          <w:rFonts w:asciiTheme="minorHAnsi" w:hAnsiTheme="minorHAnsi"/>
          <w:snapToGrid w:val="0"/>
          <w:lang w:eastAsia="en-US"/>
        </w:rPr>
        <w:t xml:space="preserve">noted </w:t>
      </w:r>
      <w:r w:rsidR="006A1A44" w:rsidRPr="009475AF">
        <w:rPr>
          <w:rFonts w:asciiTheme="minorHAnsi" w:hAnsiTheme="minorHAnsi"/>
          <w:snapToGrid w:val="0"/>
          <w:lang w:eastAsia="en-US"/>
        </w:rPr>
        <w:t xml:space="preserve">the submission had excluded </w:t>
      </w:r>
      <w:r w:rsidR="0052157D" w:rsidRPr="009475AF">
        <w:rPr>
          <w:rFonts w:asciiTheme="minorHAnsi" w:hAnsiTheme="minorHAnsi"/>
          <w:snapToGrid w:val="0"/>
          <w:lang w:eastAsia="en-US"/>
        </w:rPr>
        <w:t xml:space="preserve">three other trials of omalizumab from the ITC </w:t>
      </w:r>
      <w:r w:rsidR="006A1A44" w:rsidRPr="009475AF">
        <w:rPr>
          <w:rFonts w:asciiTheme="minorHAnsi" w:hAnsiTheme="minorHAnsi"/>
          <w:snapToGrid w:val="0"/>
          <w:lang w:eastAsia="en-US"/>
        </w:rPr>
        <w:t>and</w:t>
      </w:r>
      <w:r w:rsidR="0052157D" w:rsidRPr="009475AF">
        <w:rPr>
          <w:rFonts w:asciiTheme="minorHAnsi" w:hAnsiTheme="minorHAnsi"/>
          <w:snapToGrid w:val="0"/>
          <w:lang w:eastAsia="en-US"/>
        </w:rPr>
        <w:t xml:space="preserve"> </w:t>
      </w:r>
      <w:r w:rsidRPr="009475AF">
        <w:rPr>
          <w:rFonts w:asciiTheme="minorHAnsi" w:hAnsiTheme="minorHAnsi"/>
          <w:snapToGrid w:val="0"/>
          <w:lang w:eastAsia="en-US"/>
        </w:rPr>
        <w:t>considered</w:t>
      </w:r>
      <w:r w:rsidR="006A1A44" w:rsidRPr="009475AF">
        <w:rPr>
          <w:rFonts w:asciiTheme="minorHAnsi" w:hAnsiTheme="minorHAnsi"/>
          <w:snapToGrid w:val="0"/>
          <w:lang w:eastAsia="en-US"/>
        </w:rPr>
        <w:t xml:space="preserve"> that while</w:t>
      </w:r>
      <w:r w:rsidRPr="009475AF">
        <w:rPr>
          <w:rFonts w:asciiTheme="minorHAnsi" w:hAnsiTheme="minorHAnsi"/>
          <w:snapToGrid w:val="0"/>
          <w:lang w:eastAsia="en-US"/>
        </w:rPr>
        <w:t xml:space="preserve"> </w:t>
      </w:r>
      <w:r w:rsidR="0052157D" w:rsidRPr="009475AF">
        <w:rPr>
          <w:rFonts w:asciiTheme="minorHAnsi" w:hAnsiTheme="minorHAnsi"/>
          <w:snapToGrid w:val="0"/>
          <w:lang w:eastAsia="en-US"/>
        </w:rPr>
        <w:t>Odajima 2015 had been appropriate</w:t>
      </w:r>
      <w:r w:rsidR="003C45C9" w:rsidRPr="009475AF">
        <w:rPr>
          <w:rFonts w:asciiTheme="minorHAnsi" w:hAnsiTheme="minorHAnsi"/>
          <w:snapToGrid w:val="0"/>
          <w:lang w:eastAsia="en-US"/>
        </w:rPr>
        <w:t>ly</w:t>
      </w:r>
      <w:r w:rsidR="0052157D" w:rsidRPr="009475AF">
        <w:rPr>
          <w:rFonts w:asciiTheme="minorHAnsi" w:hAnsiTheme="minorHAnsi"/>
          <w:snapToGrid w:val="0"/>
          <w:lang w:eastAsia="en-US"/>
        </w:rPr>
        <w:t xml:space="preserve"> excluded</w:t>
      </w:r>
      <w:r w:rsidR="006A1A44" w:rsidRPr="009475AF">
        <w:rPr>
          <w:rFonts w:asciiTheme="minorHAnsi" w:hAnsiTheme="minorHAnsi"/>
          <w:snapToGrid w:val="0"/>
          <w:lang w:eastAsia="en-US"/>
        </w:rPr>
        <w:t xml:space="preserve"> (given it was an uncontrolled study) that it was </w:t>
      </w:r>
      <w:r w:rsidR="00AD38C9" w:rsidRPr="009475AF">
        <w:rPr>
          <w:rFonts w:asciiTheme="minorHAnsi" w:hAnsiTheme="minorHAnsi"/>
          <w:snapToGrid w:val="0"/>
          <w:lang w:eastAsia="en-US"/>
        </w:rPr>
        <w:t>inappropriat</w:t>
      </w:r>
      <w:r w:rsidR="006A1A44" w:rsidRPr="009475AF">
        <w:rPr>
          <w:rFonts w:asciiTheme="minorHAnsi" w:hAnsiTheme="minorHAnsi"/>
          <w:snapToGrid w:val="0"/>
          <w:lang w:eastAsia="en-US"/>
        </w:rPr>
        <w:t>e for the submission to have excluded</w:t>
      </w:r>
      <w:r w:rsidR="0052157D" w:rsidRPr="009475AF">
        <w:rPr>
          <w:rFonts w:asciiTheme="minorHAnsi" w:hAnsiTheme="minorHAnsi"/>
          <w:snapToGrid w:val="0"/>
          <w:lang w:eastAsia="en-US"/>
        </w:rPr>
        <w:t xml:space="preserve"> </w:t>
      </w:r>
      <w:r w:rsidRPr="009475AF">
        <w:rPr>
          <w:rFonts w:asciiTheme="minorHAnsi" w:hAnsiTheme="minorHAnsi"/>
          <w:snapToGrid w:val="0"/>
          <w:lang w:eastAsia="en-US"/>
        </w:rPr>
        <w:t>Busse 2011 and Milgram 2001</w:t>
      </w:r>
      <w:r w:rsidR="009475AF">
        <w:rPr>
          <w:rFonts w:asciiTheme="minorHAnsi" w:hAnsiTheme="minorHAnsi"/>
          <w:snapToGrid w:val="0"/>
          <w:lang w:eastAsia="en-US"/>
        </w:rPr>
        <w:t xml:space="preserve">. </w:t>
      </w:r>
      <w:r w:rsidR="00F93A94" w:rsidRPr="009475AF">
        <w:rPr>
          <w:rFonts w:asciiTheme="minorHAnsi" w:hAnsiTheme="minorHAnsi"/>
          <w:snapToGrid w:val="0"/>
          <w:lang w:eastAsia="en-US"/>
        </w:rPr>
        <w:t>However</w:t>
      </w:r>
      <w:r w:rsidR="001A0B71" w:rsidRPr="009475AF">
        <w:rPr>
          <w:rFonts w:asciiTheme="minorHAnsi" w:hAnsiTheme="minorHAnsi"/>
          <w:snapToGrid w:val="0"/>
          <w:lang w:eastAsia="en-US"/>
        </w:rPr>
        <w:t>,</w:t>
      </w:r>
      <w:r w:rsidR="00F93A94" w:rsidRPr="009475AF">
        <w:rPr>
          <w:rFonts w:asciiTheme="minorHAnsi" w:hAnsiTheme="minorHAnsi"/>
          <w:snapToGrid w:val="0"/>
          <w:lang w:eastAsia="en-US"/>
        </w:rPr>
        <w:t xml:space="preserve"> the PBAC considered</w:t>
      </w:r>
      <w:r w:rsidR="002E704E" w:rsidRPr="009475AF">
        <w:rPr>
          <w:rFonts w:asciiTheme="minorHAnsi" w:hAnsiTheme="minorHAnsi"/>
          <w:snapToGrid w:val="0"/>
          <w:lang w:eastAsia="en-US"/>
        </w:rPr>
        <w:t xml:space="preserve"> that </w:t>
      </w:r>
      <w:r w:rsidR="00F93A94" w:rsidRPr="009475AF">
        <w:rPr>
          <w:rFonts w:asciiTheme="minorHAnsi" w:hAnsiTheme="minorHAnsi"/>
          <w:snapToGrid w:val="0"/>
          <w:lang w:eastAsia="en-US"/>
        </w:rPr>
        <w:t>the</w:t>
      </w:r>
      <w:r w:rsidR="00657552" w:rsidRPr="009475AF">
        <w:rPr>
          <w:rFonts w:asciiTheme="minorHAnsi" w:hAnsiTheme="minorHAnsi"/>
          <w:snapToGrid w:val="0"/>
          <w:lang w:eastAsia="en-US"/>
        </w:rPr>
        <w:t xml:space="preserve"> excluded</w:t>
      </w:r>
      <w:r w:rsidR="00F93A94" w:rsidRPr="009475AF">
        <w:rPr>
          <w:rFonts w:asciiTheme="minorHAnsi" w:hAnsiTheme="minorHAnsi"/>
          <w:snapToGrid w:val="0"/>
          <w:lang w:eastAsia="en-US"/>
        </w:rPr>
        <w:t xml:space="preserve"> studies </w:t>
      </w:r>
      <w:r w:rsidR="002E704E" w:rsidRPr="009475AF">
        <w:rPr>
          <w:rFonts w:asciiTheme="minorHAnsi" w:hAnsiTheme="minorHAnsi"/>
          <w:snapToGrid w:val="0"/>
          <w:lang w:eastAsia="en-US"/>
        </w:rPr>
        <w:t>were not critical for</w:t>
      </w:r>
      <w:r w:rsidR="00F93A94" w:rsidRPr="009475AF">
        <w:rPr>
          <w:rFonts w:asciiTheme="minorHAnsi" w:hAnsiTheme="minorHAnsi"/>
          <w:snapToGrid w:val="0"/>
          <w:lang w:eastAsia="en-US"/>
        </w:rPr>
        <w:t xml:space="preserve"> the assessment of the clinical claims.</w:t>
      </w:r>
    </w:p>
    <w:p w14:paraId="7EB5E8D6" w14:textId="66D774F5" w:rsidR="005261BA" w:rsidRPr="009475AF" w:rsidRDefault="00F20254" w:rsidP="004801BE">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that both dupilumab and omalizumab were effective in reducing </w:t>
      </w:r>
      <w:r w:rsidR="004D106E" w:rsidRPr="009475AF">
        <w:rPr>
          <w:rFonts w:asciiTheme="minorHAnsi" w:hAnsiTheme="minorHAnsi"/>
          <w:snapToGrid w:val="0"/>
          <w:lang w:eastAsia="en-US"/>
        </w:rPr>
        <w:t xml:space="preserve">the rate of </w:t>
      </w:r>
      <w:r w:rsidRPr="009475AF">
        <w:rPr>
          <w:rFonts w:asciiTheme="minorHAnsi" w:hAnsiTheme="minorHAnsi"/>
          <w:snapToGrid w:val="0"/>
          <w:lang w:eastAsia="en-US"/>
        </w:rPr>
        <w:t>exacerbations</w:t>
      </w:r>
      <w:r w:rsidR="00F93A94" w:rsidRPr="009475AF">
        <w:rPr>
          <w:rFonts w:asciiTheme="minorHAnsi" w:hAnsiTheme="minorHAnsi"/>
          <w:snapToGrid w:val="0"/>
          <w:lang w:eastAsia="en-US"/>
        </w:rPr>
        <w:t>,</w:t>
      </w:r>
      <w:r w:rsidR="002E704E" w:rsidRPr="009475AF">
        <w:rPr>
          <w:rFonts w:asciiTheme="minorHAnsi" w:hAnsiTheme="minorHAnsi"/>
          <w:snapToGrid w:val="0"/>
          <w:lang w:eastAsia="en-US"/>
        </w:rPr>
        <w:t xml:space="preserve"> although</w:t>
      </w:r>
      <w:r w:rsidR="00252C38" w:rsidRPr="009475AF">
        <w:rPr>
          <w:rFonts w:asciiTheme="minorHAnsi" w:hAnsiTheme="minorHAnsi"/>
          <w:snapToGrid w:val="0"/>
          <w:lang w:eastAsia="en-US"/>
        </w:rPr>
        <w:t xml:space="preserve"> the primary outcome was </w:t>
      </w:r>
      <w:r w:rsidR="004D106E" w:rsidRPr="009475AF">
        <w:rPr>
          <w:rFonts w:asciiTheme="minorHAnsi" w:hAnsiTheme="minorHAnsi"/>
          <w:snapToGrid w:val="0"/>
          <w:lang w:eastAsia="en-US"/>
        </w:rPr>
        <w:t>assessed over</w:t>
      </w:r>
      <w:r w:rsidR="00252C38" w:rsidRPr="009475AF">
        <w:rPr>
          <w:rFonts w:asciiTheme="minorHAnsi" w:hAnsiTheme="minorHAnsi"/>
          <w:snapToGrid w:val="0"/>
          <w:lang w:eastAsia="en-US"/>
        </w:rPr>
        <w:t xml:space="preserve"> 52 weeks in VOYAGE compared to over 24 weeks </w:t>
      </w:r>
      <w:r w:rsidR="00BB7402" w:rsidRPr="009475AF">
        <w:rPr>
          <w:rFonts w:asciiTheme="minorHAnsi" w:hAnsiTheme="minorHAnsi"/>
          <w:snapToGrid w:val="0"/>
          <w:lang w:eastAsia="en-US"/>
        </w:rPr>
        <w:t>in</w:t>
      </w:r>
      <w:r w:rsidR="00252C38" w:rsidRPr="009475AF">
        <w:rPr>
          <w:rFonts w:asciiTheme="minorHAnsi" w:hAnsiTheme="minorHAnsi"/>
          <w:snapToGrid w:val="0"/>
          <w:lang w:eastAsia="en-US"/>
        </w:rPr>
        <w:t xml:space="preserve"> IA-05</w:t>
      </w:r>
      <w:r w:rsidRPr="009475AF">
        <w:rPr>
          <w:rFonts w:asciiTheme="minorHAnsi" w:hAnsiTheme="minorHAnsi"/>
          <w:snapToGrid w:val="0"/>
          <w:lang w:eastAsia="en-US"/>
        </w:rPr>
        <w:t>.</w:t>
      </w:r>
      <w:r w:rsidR="004D106E" w:rsidRPr="009475AF">
        <w:rPr>
          <w:rFonts w:asciiTheme="minorHAnsi" w:hAnsiTheme="minorHAnsi"/>
          <w:snapToGrid w:val="0"/>
          <w:lang w:eastAsia="en-US"/>
        </w:rPr>
        <w:t xml:space="preserve"> The PBAC noted another key difference between the trials was that patients in IA-05 were required to have an IgE of </w:t>
      </w:r>
      <w:r w:rsidR="00E14122" w:rsidRPr="009475AF">
        <w:rPr>
          <w:rFonts w:asciiTheme="minorHAnsi" w:hAnsiTheme="minorHAnsi" w:cstheme="minorHAnsi"/>
          <w:snapToGrid w:val="0"/>
          <w:lang w:eastAsia="en-US"/>
        </w:rPr>
        <w:t>≥</w:t>
      </w:r>
      <w:r w:rsidR="00E14122">
        <w:rPr>
          <w:rFonts w:asciiTheme="minorHAnsi" w:hAnsiTheme="minorHAnsi" w:cstheme="minorHAnsi"/>
          <w:snapToGrid w:val="0"/>
          <w:lang w:eastAsia="en-US"/>
        </w:rPr>
        <w:t> </w:t>
      </w:r>
      <w:r w:rsidR="004D106E" w:rsidRPr="009475AF">
        <w:rPr>
          <w:rFonts w:asciiTheme="minorHAnsi" w:hAnsiTheme="minorHAnsi"/>
          <w:snapToGrid w:val="0"/>
          <w:lang w:eastAsia="en-US"/>
        </w:rPr>
        <w:t>30</w:t>
      </w:r>
      <w:r w:rsidR="00E14122">
        <w:rPr>
          <w:rFonts w:asciiTheme="minorHAnsi" w:hAnsiTheme="minorHAnsi"/>
          <w:snapToGrid w:val="0"/>
          <w:lang w:eastAsia="en-US"/>
        </w:rPr>
        <w:t> </w:t>
      </w:r>
      <w:r w:rsidR="004D106E" w:rsidRPr="009475AF">
        <w:rPr>
          <w:rFonts w:asciiTheme="minorHAnsi" w:hAnsiTheme="minorHAnsi"/>
          <w:snapToGrid w:val="0"/>
          <w:lang w:eastAsia="en-US"/>
        </w:rPr>
        <w:t>IU/mL whereas there were no IgE criteria in VOYAGE.</w:t>
      </w:r>
    </w:p>
    <w:p w14:paraId="2EB8160E" w14:textId="2D9C2E34" w:rsidR="00C04340" w:rsidRPr="009475AF" w:rsidRDefault="00EF44B0" w:rsidP="00322071">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noted that two </w:t>
      </w:r>
      <w:r w:rsidRPr="009475AF">
        <w:t>ITCs were presented in the submission</w:t>
      </w:r>
      <w:r w:rsidR="00657552" w:rsidRPr="009475AF">
        <w:t>.</w:t>
      </w:r>
      <w:r w:rsidRPr="009475AF">
        <w:t xml:space="preserve"> </w:t>
      </w:r>
      <w:r w:rsidR="00657552" w:rsidRPr="009475AF">
        <w:t xml:space="preserve">The first used the </w:t>
      </w:r>
      <w:r w:rsidRPr="009475AF">
        <w:t xml:space="preserve">VOYAGE </w:t>
      </w:r>
      <w:r w:rsidR="00657552" w:rsidRPr="009475AF">
        <w:t xml:space="preserve">subgroup of </w:t>
      </w:r>
      <w:r w:rsidRPr="009475AF">
        <w:t>patients with elevated eosinophils or FeNO</w:t>
      </w:r>
      <w:r w:rsidR="00657552" w:rsidRPr="009475AF">
        <w:t xml:space="preserve"> and the IA-05 ITT population. </w:t>
      </w:r>
      <w:r w:rsidR="00C04340" w:rsidRPr="009475AF">
        <w:t xml:space="preserve">The Committee noted that </w:t>
      </w:r>
      <w:r w:rsidR="00B26CFF" w:rsidRPr="009475AF">
        <w:t xml:space="preserve">for this ITC </w:t>
      </w:r>
      <w:r w:rsidR="00C04340" w:rsidRPr="009475AF">
        <w:t>the rate ratio for</w:t>
      </w:r>
      <w:r w:rsidR="00657552" w:rsidRPr="009475AF">
        <w:t xml:space="preserve"> the</w:t>
      </w:r>
      <w:r w:rsidR="00C04340" w:rsidRPr="009475AF">
        <w:t xml:space="preserve"> annualised rates of severe exacerbations </w:t>
      </w:r>
      <w:r w:rsidR="00E9441D" w:rsidRPr="009475AF">
        <w:t xml:space="preserve">for </w:t>
      </w:r>
      <w:r w:rsidR="00C04340" w:rsidRPr="009475AF">
        <w:t>dupilumab</w:t>
      </w:r>
      <w:r w:rsidR="00E9441D" w:rsidRPr="009475AF">
        <w:t xml:space="preserve"> </w:t>
      </w:r>
      <w:r w:rsidR="004C506A" w:rsidRPr="009475AF">
        <w:t>vs</w:t>
      </w:r>
      <w:r w:rsidR="00E9441D" w:rsidRPr="009475AF">
        <w:t xml:space="preserve"> placebo</w:t>
      </w:r>
      <w:r w:rsidR="00C04340" w:rsidRPr="009475AF">
        <w:t xml:space="preserve"> was 0.41 (95% CI: 0.22, 0.75) at 52 weeks</w:t>
      </w:r>
      <w:r w:rsidR="00657552" w:rsidRPr="009475AF">
        <w:t>,</w:t>
      </w:r>
      <w:r w:rsidR="00C04340" w:rsidRPr="009475AF">
        <w:t xml:space="preserve"> and for omalizumab</w:t>
      </w:r>
      <w:r w:rsidR="00E9441D" w:rsidRPr="009475AF">
        <w:t xml:space="preserve"> </w:t>
      </w:r>
      <w:r w:rsidR="004C506A" w:rsidRPr="009475AF">
        <w:t>vs</w:t>
      </w:r>
      <w:r w:rsidR="00E9441D" w:rsidRPr="009475AF">
        <w:t xml:space="preserve"> placebo</w:t>
      </w:r>
      <w:r w:rsidR="00C04340" w:rsidRPr="009475AF">
        <w:t xml:space="preserve"> was 0.69 (95% CI: 0.53, 0.90) at 24 weeks. </w:t>
      </w:r>
      <w:r w:rsidR="00E9441D" w:rsidRPr="009475AF">
        <w:t xml:space="preserve">The indirect estimate for dupilumab vs omalizumab was </w:t>
      </w:r>
      <w:r w:rsidR="00E9441D" w:rsidRPr="009475AF">
        <w:rPr>
          <w:bCs/>
        </w:rPr>
        <w:t xml:space="preserve">0.59 (0.31, 1.15). </w:t>
      </w:r>
      <w:r w:rsidR="00B26CFF" w:rsidRPr="009475AF">
        <w:t xml:space="preserve">The second </w:t>
      </w:r>
      <w:r w:rsidR="00E9441D" w:rsidRPr="009475AF">
        <w:t xml:space="preserve">ITC </w:t>
      </w:r>
      <w:r w:rsidR="00B26CFF" w:rsidRPr="009475AF">
        <w:t xml:space="preserve">used the VOYAGE </w:t>
      </w:r>
      <w:r w:rsidR="00E9441D" w:rsidRPr="009475AF">
        <w:t xml:space="preserve">subgroup of </w:t>
      </w:r>
      <w:r w:rsidR="00B26CFF" w:rsidRPr="009475AF">
        <w:t xml:space="preserve">patients with elevated eosinophils or FeNO and high-dose ICS+LABA and the IA-05-EU (high-dose ICS+LABA) population. </w:t>
      </w:r>
      <w:r w:rsidR="00C04340" w:rsidRPr="009475AF">
        <w:t xml:space="preserve">For </w:t>
      </w:r>
      <w:r w:rsidR="004C506A" w:rsidRPr="009475AF">
        <w:t xml:space="preserve">this </w:t>
      </w:r>
      <w:r w:rsidR="00C04340" w:rsidRPr="009475AF">
        <w:t xml:space="preserve">ITC the rate ratios were 0.37 (95% CI: 0.15, 0.81) </w:t>
      </w:r>
      <w:r w:rsidR="00791FEA" w:rsidRPr="009475AF">
        <w:t>for dupilumab</w:t>
      </w:r>
      <w:r w:rsidR="004C506A" w:rsidRPr="009475AF">
        <w:t xml:space="preserve"> vs placebo</w:t>
      </w:r>
      <w:r w:rsidR="00791FEA" w:rsidRPr="009475AF">
        <w:t xml:space="preserve"> at 52 weeks </w:t>
      </w:r>
      <w:r w:rsidR="00C04340" w:rsidRPr="009475AF">
        <w:t xml:space="preserve">and 0.66 (95% CI: 0.44, 0.0995) </w:t>
      </w:r>
      <w:r w:rsidR="00791FEA" w:rsidRPr="009475AF">
        <w:t>for omalizumab</w:t>
      </w:r>
      <w:r w:rsidR="004C506A" w:rsidRPr="009475AF">
        <w:t xml:space="preserve"> vs placebo</w:t>
      </w:r>
      <w:r w:rsidR="00791FEA" w:rsidRPr="009475AF">
        <w:t xml:space="preserve"> at 24 weeks</w:t>
      </w:r>
      <w:r w:rsidR="00C04340" w:rsidRPr="009475AF">
        <w:t>.</w:t>
      </w:r>
      <w:r w:rsidR="004C506A" w:rsidRPr="009475AF">
        <w:t xml:space="preserve"> The indirect estimate for dupilumab vs omalizumab was </w:t>
      </w:r>
      <w:r w:rsidR="004C506A" w:rsidRPr="009475AF">
        <w:rPr>
          <w:bCs/>
        </w:rPr>
        <w:t>0.52 (0.20, 1.35)</w:t>
      </w:r>
      <w:r w:rsidR="003B4E6C" w:rsidRPr="009475AF">
        <w:rPr>
          <w:bCs/>
        </w:rPr>
        <w:t>.</w:t>
      </w:r>
    </w:p>
    <w:p w14:paraId="5834E11E" w14:textId="77712B53" w:rsidR="00EF44B0" w:rsidRPr="009475AF" w:rsidRDefault="00EF44B0" w:rsidP="00CF2100">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Committee noted that </w:t>
      </w:r>
      <w:r w:rsidR="006F0188" w:rsidRPr="009475AF">
        <w:rPr>
          <w:rFonts w:asciiTheme="minorHAnsi" w:hAnsiTheme="minorHAnsi"/>
          <w:snapToGrid w:val="0"/>
          <w:lang w:eastAsia="en-US"/>
        </w:rPr>
        <w:t xml:space="preserve">the point estimates for the </w:t>
      </w:r>
      <w:r w:rsidR="003B4E6C" w:rsidRPr="009475AF">
        <w:rPr>
          <w:rFonts w:asciiTheme="minorHAnsi" w:hAnsiTheme="minorHAnsi"/>
          <w:snapToGrid w:val="0"/>
          <w:lang w:eastAsia="en-US"/>
        </w:rPr>
        <w:t>ITCs</w:t>
      </w:r>
      <w:r w:rsidR="006F0188" w:rsidRPr="009475AF">
        <w:rPr>
          <w:rFonts w:asciiTheme="minorHAnsi" w:hAnsiTheme="minorHAnsi"/>
          <w:snapToGrid w:val="0"/>
          <w:lang w:eastAsia="en-US"/>
        </w:rPr>
        <w:t xml:space="preserve"> favoured dupilumab however the confidence intervals were wide and included </w:t>
      </w:r>
      <w:r w:rsidR="00B25DDA" w:rsidRPr="009475AF">
        <w:rPr>
          <w:rFonts w:asciiTheme="minorHAnsi" w:hAnsiTheme="minorHAnsi"/>
          <w:snapToGrid w:val="0"/>
          <w:lang w:eastAsia="en-US"/>
        </w:rPr>
        <w:t>one, and</w:t>
      </w:r>
      <w:r w:rsidRPr="009475AF">
        <w:rPr>
          <w:rFonts w:asciiTheme="minorHAnsi" w:hAnsiTheme="minorHAnsi"/>
          <w:snapToGrid w:val="0"/>
          <w:lang w:eastAsia="en-US"/>
        </w:rPr>
        <w:t xml:space="preserve"> the efficacy of omalizumab appeared to be better at 52 weeks, compared to the 24-week time point used in the ITC</w:t>
      </w:r>
      <w:r w:rsidR="00791FEA" w:rsidRPr="009475AF">
        <w:rPr>
          <w:rFonts w:asciiTheme="minorHAnsi" w:hAnsiTheme="minorHAnsi"/>
          <w:snapToGrid w:val="0"/>
          <w:lang w:eastAsia="en-US"/>
        </w:rPr>
        <w:t>s</w:t>
      </w:r>
      <w:r w:rsidRPr="009475AF">
        <w:rPr>
          <w:rFonts w:asciiTheme="minorHAnsi" w:hAnsiTheme="minorHAnsi"/>
          <w:snapToGrid w:val="0"/>
          <w:lang w:eastAsia="en-US"/>
        </w:rPr>
        <w:t>.</w:t>
      </w:r>
    </w:p>
    <w:p w14:paraId="2A3604FB" w14:textId="58AB8B22" w:rsidR="004A1837" w:rsidRPr="009475AF" w:rsidRDefault="004A1837" w:rsidP="00322071">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The PBAC considered the adverse event profile for patients treated with dupilumab or omalizumab in VOYAGE and IA-05 to be similar but noted </w:t>
      </w:r>
      <w:r w:rsidR="00085D81" w:rsidRPr="009475AF">
        <w:rPr>
          <w:rFonts w:asciiTheme="minorHAnsi" w:hAnsiTheme="minorHAnsi"/>
          <w:snapToGrid w:val="0"/>
          <w:lang w:eastAsia="en-US"/>
        </w:rPr>
        <w:t xml:space="preserve">that while the adverse event of </w:t>
      </w:r>
      <w:r w:rsidRPr="009475AF">
        <w:rPr>
          <w:rFonts w:asciiTheme="minorHAnsi" w:hAnsiTheme="minorHAnsi"/>
          <w:snapToGrid w:val="0"/>
          <w:lang w:eastAsia="en-US"/>
        </w:rPr>
        <w:t>eosinophilia &gt; 3.0 x 10</w:t>
      </w:r>
      <w:r w:rsidRPr="009475AF">
        <w:rPr>
          <w:rFonts w:asciiTheme="minorHAnsi" w:hAnsiTheme="minorHAnsi"/>
          <w:snapToGrid w:val="0"/>
          <w:vertAlign w:val="superscript"/>
          <w:lang w:eastAsia="en-US"/>
        </w:rPr>
        <w:t>9</w:t>
      </w:r>
      <w:r w:rsidRPr="009475AF">
        <w:rPr>
          <w:rFonts w:asciiTheme="minorHAnsi" w:hAnsiTheme="minorHAnsi"/>
          <w:snapToGrid w:val="0"/>
          <w:lang w:eastAsia="en-US"/>
        </w:rPr>
        <w:t>/L</w:t>
      </w:r>
      <w:r w:rsidR="00085D81" w:rsidRPr="009475AF">
        <w:rPr>
          <w:rFonts w:asciiTheme="minorHAnsi" w:hAnsiTheme="minorHAnsi"/>
          <w:snapToGrid w:val="0"/>
          <w:lang w:eastAsia="en-US"/>
        </w:rPr>
        <w:t xml:space="preserve"> was not reported for omalizumab, that 5.9% of patients treated with dupilumab had eosinophilia &gt; 3.0 x 10</w:t>
      </w:r>
      <w:r w:rsidR="00085D81" w:rsidRPr="009475AF">
        <w:rPr>
          <w:rFonts w:asciiTheme="minorHAnsi" w:hAnsiTheme="minorHAnsi"/>
          <w:snapToGrid w:val="0"/>
          <w:vertAlign w:val="superscript"/>
          <w:lang w:eastAsia="en-US"/>
        </w:rPr>
        <w:t>9</w:t>
      </w:r>
      <w:r w:rsidR="00085D81" w:rsidRPr="009475AF">
        <w:rPr>
          <w:rFonts w:asciiTheme="minorHAnsi" w:hAnsiTheme="minorHAnsi"/>
          <w:snapToGrid w:val="0"/>
          <w:lang w:eastAsia="en-US"/>
        </w:rPr>
        <w:t xml:space="preserve">/L compared to 0.7% for </w:t>
      </w:r>
      <w:r w:rsidR="00EF2EF9" w:rsidRPr="009475AF">
        <w:rPr>
          <w:rFonts w:asciiTheme="minorHAnsi" w:hAnsiTheme="minorHAnsi"/>
          <w:snapToGrid w:val="0"/>
          <w:lang w:eastAsia="en-US"/>
        </w:rPr>
        <w:t xml:space="preserve">patients treated with </w:t>
      </w:r>
      <w:r w:rsidR="00085D81" w:rsidRPr="009475AF">
        <w:rPr>
          <w:rFonts w:asciiTheme="minorHAnsi" w:hAnsiTheme="minorHAnsi"/>
          <w:snapToGrid w:val="0"/>
          <w:lang w:eastAsia="en-US"/>
        </w:rPr>
        <w:t>placebo in the VOYAGE trial. The Committee noted that cases of eosinophilic pneumonia and of vasculitis consistent with eosinophilic granulomatosis with polyangiitis (EGPA) reported in adults receiving dupilumab</w:t>
      </w:r>
      <w:r w:rsidR="00EF2EF9" w:rsidRPr="009475AF">
        <w:rPr>
          <w:rFonts w:asciiTheme="minorHAnsi" w:hAnsiTheme="minorHAnsi"/>
          <w:snapToGrid w:val="0"/>
          <w:lang w:eastAsia="en-US"/>
        </w:rPr>
        <w:t>,</w:t>
      </w:r>
      <w:r w:rsidR="00085D81" w:rsidRPr="009475AF">
        <w:rPr>
          <w:rFonts w:asciiTheme="minorHAnsi" w:hAnsiTheme="minorHAnsi"/>
          <w:snapToGrid w:val="0"/>
          <w:lang w:eastAsia="en-US"/>
        </w:rPr>
        <w:t xml:space="preserve"> but that causation had not been established. </w:t>
      </w:r>
    </w:p>
    <w:p w14:paraId="75D2EEBE" w14:textId="6D09B92C" w:rsidR="005261BA" w:rsidRPr="009475AF" w:rsidRDefault="005261BA" w:rsidP="004801BE">
      <w:pPr>
        <w:widowControl w:val="0"/>
        <w:numPr>
          <w:ilvl w:val="1"/>
          <w:numId w:val="1"/>
        </w:numPr>
        <w:spacing w:after="120"/>
        <w:rPr>
          <w:rFonts w:asciiTheme="minorHAnsi" w:hAnsiTheme="minorHAnsi"/>
          <w:snapToGrid w:val="0"/>
          <w:lang w:eastAsia="en-US"/>
        </w:rPr>
      </w:pPr>
      <w:r w:rsidRPr="009475AF">
        <w:rPr>
          <w:rFonts w:asciiTheme="minorHAnsi" w:hAnsiTheme="minorHAnsi"/>
          <w:snapToGrid w:val="0"/>
          <w:lang w:eastAsia="en-US"/>
        </w:rPr>
        <w:t xml:space="preserve">For patients meeting the current criteria for omalizumab (i.e., those with serum IgE of ≥ 30 IU/mL), the PBAC noted that there were transitivity issues </w:t>
      </w:r>
      <w:r w:rsidR="004A1837" w:rsidRPr="009475AF">
        <w:rPr>
          <w:rFonts w:asciiTheme="minorHAnsi" w:hAnsiTheme="minorHAnsi"/>
          <w:snapToGrid w:val="0"/>
          <w:lang w:eastAsia="en-US"/>
        </w:rPr>
        <w:t>due to differences in baseline characteristics of patients between</w:t>
      </w:r>
      <w:r w:rsidRPr="009475AF">
        <w:rPr>
          <w:rFonts w:asciiTheme="minorHAnsi" w:hAnsiTheme="minorHAnsi"/>
          <w:snapToGrid w:val="0"/>
          <w:lang w:eastAsia="en-US"/>
        </w:rPr>
        <w:t xml:space="preserve"> the trials but considered that on balance the claim of non-inferior comparative effectiveness and safety for dupilumab compared to omalizumab was likely to be reasonable.</w:t>
      </w:r>
    </w:p>
    <w:p w14:paraId="540D4CBF" w14:textId="133807D3" w:rsidR="005261BA" w:rsidRPr="009475AF" w:rsidRDefault="005A647C" w:rsidP="003C34EC">
      <w:pPr>
        <w:widowControl w:val="0"/>
        <w:numPr>
          <w:ilvl w:val="1"/>
          <w:numId w:val="1"/>
        </w:numPr>
        <w:spacing w:after="120"/>
        <w:rPr>
          <w:snapToGrid w:val="0"/>
          <w:lang w:eastAsia="en-US"/>
        </w:rPr>
      </w:pPr>
      <w:r>
        <w:rPr>
          <w:rFonts w:asciiTheme="minorHAnsi" w:hAnsiTheme="minorHAnsi"/>
          <w:snapToGrid w:val="0"/>
          <w:lang w:eastAsia="en-US"/>
        </w:rPr>
        <w:t>The PBAC noted the submission’s proposed PBS restriction was</w:t>
      </w:r>
      <w:r w:rsidRPr="00D1440F">
        <w:rPr>
          <w:rFonts w:asciiTheme="minorHAnsi" w:hAnsiTheme="minorHAnsi"/>
          <w:snapToGrid w:val="0"/>
          <w:lang w:eastAsia="en-US"/>
        </w:rPr>
        <w:t xml:space="preserve"> broader than the approved TGA indication where patients must have high serum IgE and evidence of atopy together with either elevated eosinophils or FeNO</w:t>
      </w:r>
      <w:r>
        <w:rPr>
          <w:rFonts w:asciiTheme="minorHAnsi" w:hAnsiTheme="minorHAnsi"/>
          <w:snapToGrid w:val="0"/>
          <w:lang w:eastAsia="en-US"/>
        </w:rPr>
        <w:t>.</w:t>
      </w:r>
      <w:r w:rsidRPr="00D1440F">
        <w:rPr>
          <w:rFonts w:asciiTheme="minorHAnsi" w:hAnsiTheme="minorHAnsi"/>
          <w:snapToGrid w:val="0"/>
          <w:lang w:eastAsia="en-US"/>
        </w:rPr>
        <w:t xml:space="preserve"> </w:t>
      </w:r>
      <w:r w:rsidR="003C45C9" w:rsidRPr="009475AF">
        <w:rPr>
          <w:rFonts w:asciiTheme="minorHAnsi" w:hAnsiTheme="minorHAnsi"/>
          <w:snapToGrid w:val="0"/>
          <w:lang w:eastAsia="en-US"/>
        </w:rPr>
        <w:t xml:space="preserve">The PBAC noted that the submission’s claim </w:t>
      </w:r>
      <w:r w:rsidR="009C1C50" w:rsidRPr="009475AF">
        <w:rPr>
          <w:rFonts w:asciiTheme="minorHAnsi" w:hAnsiTheme="minorHAnsi"/>
          <w:snapToGrid w:val="0"/>
          <w:lang w:eastAsia="en-US"/>
        </w:rPr>
        <w:t xml:space="preserve">of superior effectiveness </w:t>
      </w:r>
      <w:r w:rsidR="003C45C9" w:rsidRPr="009475AF">
        <w:rPr>
          <w:rFonts w:asciiTheme="minorHAnsi" w:hAnsiTheme="minorHAnsi"/>
          <w:snapToGrid w:val="0"/>
          <w:lang w:eastAsia="en-US"/>
        </w:rPr>
        <w:t>for patients with IgE of &lt; 30 IU/mL was based on seven patients enrolled in VOYAGE.</w:t>
      </w:r>
      <w:r w:rsidR="009C1C50" w:rsidRPr="009475AF">
        <w:rPr>
          <w:rFonts w:asciiTheme="minorHAnsi" w:hAnsiTheme="minorHAnsi"/>
          <w:snapToGrid w:val="0"/>
          <w:lang w:eastAsia="en-US"/>
        </w:rPr>
        <w:t xml:space="preserve"> The PBAC considered </w:t>
      </w:r>
      <w:r w:rsidR="005261BA" w:rsidRPr="009475AF">
        <w:rPr>
          <w:lang w:eastAsia="en-US"/>
        </w:rPr>
        <w:t>there was insufficient evidence presented to determine whether the claim of superior comparative effectiveness and non-inferior safety for dupilumab compared to standard of care was reasonable.</w:t>
      </w:r>
      <w:r w:rsidR="00CF3F63" w:rsidRPr="009475AF">
        <w:rPr>
          <w:lang w:eastAsia="en-US"/>
        </w:rPr>
        <w:t xml:space="preserve"> However, the PBAC noted </w:t>
      </w:r>
      <w:r w:rsidR="00155442" w:rsidRPr="009475AF">
        <w:rPr>
          <w:lang w:eastAsia="en-US"/>
        </w:rPr>
        <w:t>that</w:t>
      </w:r>
      <w:r w:rsidR="004C5614" w:rsidRPr="009475AF">
        <w:rPr>
          <w:lang w:eastAsia="en-US"/>
        </w:rPr>
        <w:t xml:space="preserve"> for</w:t>
      </w:r>
      <w:r w:rsidR="004C5614" w:rsidRPr="009475AF">
        <w:rPr>
          <w:rFonts w:asciiTheme="minorHAnsi" w:hAnsiTheme="minorHAnsi"/>
          <w:bCs/>
          <w:snapToGrid w:val="0"/>
          <w:lang w:eastAsia="en-US"/>
        </w:rPr>
        <w:t xml:space="preserve"> this population</w:t>
      </w:r>
      <w:r w:rsidR="00155442" w:rsidRPr="009475AF">
        <w:rPr>
          <w:lang w:eastAsia="en-US"/>
        </w:rPr>
        <w:t xml:space="preserve"> </w:t>
      </w:r>
      <w:r w:rsidR="00155442" w:rsidRPr="009475AF">
        <w:rPr>
          <w:rFonts w:asciiTheme="minorHAnsi" w:hAnsiTheme="minorHAnsi"/>
          <w:bCs/>
          <w:snapToGrid w:val="0"/>
          <w:lang w:eastAsia="en-US"/>
        </w:rPr>
        <w:t xml:space="preserve">there </w:t>
      </w:r>
      <w:r w:rsidR="004C5614" w:rsidRPr="009475AF">
        <w:rPr>
          <w:rFonts w:asciiTheme="minorHAnsi" w:hAnsiTheme="minorHAnsi"/>
          <w:bCs/>
          <w:snapToGrid w:val="0"/>
          <w:lang w:eastAsia="en-US"/>
        </w:rPr>
        <w:t>were</w:t>
      </w:r>
      <w:r w:rsidR="00155442" w:rsidRPr="009475AF">
        <w:rPr>
          <w:rFonts w:asciiTheme="minorHAnsi" w:hAnsiTheme="minorHAnsi"/>
          <w:bCs/>
          <w:snapToGrid w:val="0"/>
          <w:lang w:eastAsia="en-US"/>
        </w:rPr>
        <w:t xml:space="preserve"> no PBS-listed biologic treatment</w:t>
      </w:r>
      <w:r w:rsidR="004C5614" w:rsidRPr="009475AF">
        <w:rPr>
          <w:rFonts w:asciiTheme="minorHAnsi" w:hAnsiTheme="minorHAnsi"/>
          <w:bCs/>
          <w:snapToGrid w:val="0"/>
          <w:lang w:eastAsia="en-US"/>
        </w:rPr>
        <w:t>s</w:t>
      </w:r>
      <w:r w:rsidR="00155442" w:rsidRPr="009475AF">
        <w:rPr>
          <w:rFonts w:asciiTheme="minorHAnsi" w:hAnsiTheme="minorHAnsi"/>
          <w:bCs/>
          <w:snapToGrid w:val="0"/>
          <w:lang w:eastAsia="en-US"/>
        </w:rPr>
        <w:t xml:space="preserve"> and the number of patients and cost </w:t>
      </w:r>
      <w:r w:rsidR="004C5614" w:rsidRPr="009475AF">
        <w:rPr>
          <w:rFonts w:asciiTheme="minorHAnsi" w:hAnsiTheme="minorHAnsi"/>
          <w:bCs/>
          <w:snapToGrid w:val="0"/>
          <w:lang w:eastAsia="en-US"/>
        </w:rPr>
        <w:t>were</w:t>
      </w:r>
      <w:r w:rsidR="00155442" w:rsidRPr="009475AF">
        <w:rPr>
          <w:rFonts w:asciiTheme="minorHAnsi" w:hAnsiTheme="minorHAnsi"/>
          <w:bCs/>
          <w:snapToGrid w:val="0"/>
          <w:lang w:eastAsia="en-US"/>
        </w:rPr>
        <w:t xml:space="preserve"> expected to be small,</w:t>
      </w:r>
      <w:r w:rsidR="00CF3F63" w:rsidRPr="009475AF">
        <w:rPr>
          <w:lang w:eastAsia="en-US"/>
        </w:rPr>
        <w:t xml:space="preserve"> and </w:t>
      </w:r>
      <w:r w:rsidR="00155442" w:rsidRPr="009475AF">
        <w:rPr>
          <w:lang w:eastAsia="en-US"/>
        </w:rPr>
        <w:t xml:space="preserve">overall </w:t>
      </w:r>
      <w:r w:rsidR="00CF3F63" w:rsidRPr="009475AF">
        <w:rPr>
          <w:lang w:eastAsia="en-US"/>
        </w:rPr>
        <w:t xml:space="preserve">considered that dupilumab was likely to be effective with similar safety as for those with </w:t>
      </w:r>
      <w:r w:rsidR="00CF3F63" w:rsidRPr="009475AF">
        <w:rPr>
          <w:rFonts w:asciiTheme="minorHAnsi" w:hAnsiTheme="minorHAnsi"/>
          <w:snapToGrid w:val="0"/>
          <w:lang w:eastAsia="en-US"/>
        </w:rPr>
        <w:t>an IgE ≥ 30 IU/mL</w:t>
      </w:r>
      <w:r w:rsidR="00CF3F63" w:rsidRPr="009475AF">
        <w:rPr>
          <w:lang w:eastAsia="en-US"/>
        </w:rPr>
        <w:t>.</w:t>
      </w:r>
    </w:p>
    <w:p w14:paraId="1F0202A7" w14:textId="66AB6BC6" w:rsidR="00561228" w:rsidRPr="009475AF" w:rsidRDefault="00561228" w:rsidP="003C34EC">
      <w:pPr>
        <w:widowControl w:val="0"/>
        <w:numPr>
          <w:ilvl w:val="1"/>
          <w:numId w:val="1"/>
        </w:numPr>
        <w:spacing w:after="120"/>
        <w:rPr>
          <w:snapToGrid w:val="0"/>
          <w:lang w:eastAsia="en-US"/>
        </w:rPr>
      </w:pPr>
      <w:r w:rsidRPr="009475AF">
        <w:rPr>
          <w:lang w:eastAsia="en-US"/>
        </w:rPr>
        <w:t xml:space="preserve">The PBAC noted the submission presented a cost-minimisation approach (CMA) of dupilumab to omalizumab for patients with IgE </w:t>
      </w:r>
      <w:r w:rsidRPr="009475AF">
        <w:rPr>
          <w:rFonts w:cs="Calibri"/>
          <w:lang w:eastAsia="en-US"/>
        </w:rPr>
        <w:t>≥</w:t>
      </w:r>
      <w:r w:rsidR="00E14122">
        <w:rPr>
          <w:rFonts w:cs="Calibri"/>
          <w:lang w:eastAsia="en-US"/>
        </w:rPr>
        <w:t xml:space="preserve"> </w:t>
      </w:r>
      <w:r w:rsidRPr="009475AF">
        <w:rPr>
          <w:lang w:eastAsia="en-US"/>
        </w:rPr>
        <w:t>30 IU/mL and evidence of atopy.</w:t>
      </w:r>
    </w:p>
    <w:p w14:paraId="1373E2D5" w14:textId="43F28FC4" w:rsidR="00561228" w:rsidRPr="009475AF" w:rsidRDefault="00561228" w:rsidP="003C34EC">
      <w:pPr>
        <w:widowControl w:val="0"/>
        <w:numPr>
          <w:ilvl w:val="1"/>
          <w:numId w:val="1"/>
        </w:numPr>
        <w:spacing w:after="120"/>
        <w:rPr>
          <w:snapToGrid w:val="0"/>
          <w:lang w:eastAsia="en-US"/>
        </w:rPr>
      </w:pPr>
      <w:r w:rsidRPr="009475AF">
        <w:rPr>
          <w:lang w:eastAsia="en-US"/>
        </w:rPr>
        <w:t>The Committee noted the submission also presented a CMA of dupilumab to omalizumab for patients with IgE &lt; 30 IU/mL rather than a cost-effectiveness analysis versus standard of care.</w:t>
      </w:r>
      <w:r w:rsidR="006D77BD" w:rsidRPr="009475AF">
        <w:t xml:space="preserve"> </w:t>
      </w:r>
      <w:r w:rsidR="006D77BD" w:rsidRPr="009475AF">
        <w:rPr>
          <w:lang w:eastAsia="en-US"/>
        </w:rPr>
        <w:t xml:space="preserve">The Committee considered the submission’s approach was </w:t>
      </w:r>
      <w:r w:rsidR="00081621" w:rsidRPr="009475AF">
        <w:rPr>
          <w:lang w:eastAsia="en-US"/>
        </w:rPr>
        <w:t xml:space="preserve">likely </w:t>
      </w:r>
      <w:r w:rsidR="006D77BD" w:rsidRPr="009475AF">
        <w:rPr>
          <w:lang w:eastAsia="en-US"/>
        </w:rPr>
        <w:t>reasonable, noting the limited evidence for patients with IgE &lt; 30 IU/mL</w:t>
      </w:r>
      <w:r w:rsidR="00CF3F63" w:rsidRPr="009475AF">
        <w:rPr>
          <w:lang w:eastAsia="en-US"/>
        </w:rPr>
        <w:t xml:space="preserve"> and </w:t>
      </w:r>
      <w:r w:rsidR="004C5614" w:rsidRPr="009475AF">
        <w:rPr>
          <w:lang w:eastAsia="en-US"/>
        </w:rPr>
        <w:t>that</w:t>
      </w:r>
      <w:r w:rsidR="00CF3F63" w:rsidRPr="009475AF">
        <w:rPr>
          <w:lang w:eastAsia="en-US"/>
        </w:rPr>
        <w:t xml:space="preserve"> the approach</w:t>
      </w:r>
      <w:r w:rsidR="004C5614" w:rsidRPr="009475AF">
        <w:rPr>
          <w:lang w:eastAsia="en-US"/>
        </w:rPr>
        <w:t xml:space="preserve"> was consistent with that used</w:t>
      </w:r>
      <w:r w:rsidR="00CF3F63" w:rsidRPr="009475AF">
        <w:rPr>
          <w:lang w:eastAsia="en-US"/>
        </w:rPr>
        <w:t xml:space="preserve"> for mepolizumab for uncontrolled severe eosinophilic asthma</w:t>
      </w:r>
      <w:r w:rsidR="00123DAE" w:rsidRPr="009475AF">
        <w:rPr>
          <w:lang w:eastAsia="en-US"/>
        </w:rPr>
        <w:t xml:space="preserve"> (</w:t>
      </w:r>
      <w:r w:rsidR="001A0B71" w:rsidRPr="009475AF">
        <w:rPr>
          <w:lang w:eastAsia="en-US"/>
        </w:rPr>
        <w:t>para 7.11, m</w:t>
      </w:r>
      <w:r w:rsidR="00123DAE" w:rsidRPr="009475AF">
        <w:rPr>
          <w:lang w:eastAsia="en-US"/>
        </w:rPr>
        <w:t>epolizumab PSD, March 2016</w:t>
      </w:r>
      <w:r w:rsidR="001A0B71" w:rsidRPr="009475AF">
        <w:rPr>
          <w:lang w:eastAsia="en-US"/>
        </w:rPr>
        <w:t xml:space="preserve"> PBAC meeting</w:t>
      </w:r>
      <w:r w:rsidR="00123DAE" w:rsidRPr="009475AF">
        <w:rPr>
          <w:lang w:eastAsia="en-US"/>
        </w:rPr>
        <w:t>)</w:t>
      </w:r>
      <w:r w:rsidR="006D77BD" w:rsidRPr="009475AF">
        <w:rPr>
          <w:lang w:eastAsia="en-US"/>
        </w:rPr>
        <w:t>.</w:t>
      </w:r>
    </w:p>
    <w:p w14:paraId="265FDF0C" w14:textId="77777777" w:rsidR="003C6724" w:rsidRPr="009475AF" w:rsidRDefault="003C6724" w:rsidP="003C6724">
      <w:pPr>
        <w:pStyle w:val="3-BodyText"/>
        <w:rPr>
          <w:rFonts w:ascii="Calibri" w:hAnsi="Calibri"/>
          <w:lang w:eastAsia="en-US"/>
        </w:rPr>
      </w:pPr>
      <w:r w:rsidRPr="009475AF">
        <w:rPr>
          <w:rFonts w:ascii="Calibri" w:hAnsi="Calibri"/>
          <w:lang w:eastAsia="en-US"/>
        </w:rPr>
        <w:t xml:space="preserve">The PBAC considered the equi-effective doses to be dupilumab 300 mg given by subcutaneous injection every 4 weeks for patients weighing &lt; 60 kg, or 200 mg given by subcutaneous injection every 2 weeks for patients weighing ≥ 30 kg, is therapeutically equivalent to omalizumab 375 mg given every 4 weeks by subcutaneous injection, either as one dose given every 4 weeks or split into two equal doses given every 2 weeks. </w:t>
      </w:r>
    </w:p>
    <w:p w14:paraId="4309C998" w14:textId="09A12B7F" w:rsidR="009D7017" w:rsidRPr="009475AF" w:rsidRDefault="003E1699" w:rsidP="00D72A39">
      <w:pPr>
        <w:pStyle w:val="3-BodyText"/>
        <w:rPr>
          <w:rFonts w:ascii="Calibri" w:hAnsi="Calibri"/>
          <w:snapToGrid/>
          <w:lang w:eastAsia="en-US"/>
        </w:rPr>
      </w:pPr>
      <w:r w:rsidRPr="009475AF">
        <w:rPr>
          <w:lang w:eastAsia="en-US"/>
        </w:rPr>
        <w:t xml:space="preserve">The PBAC noted that the submission proposed </w:t>
      </w:r>
      <w:r w:rsidR="009D7017" w:rsidRPr="009475AF">
        <w:rPr>
          <w:lang w:eastAsia="en-US"/>
        </w:rPr>
        <w:t xml:space="preserve">the same 4-weekly treatment cost for a patient treated with dupilumab </w:t>
      </w:r>
      <w:r w:rsidR="003C6724" w:rsidRPr="009475AF">
        <w:rPr>
          <w:lang w:eastAsia="en-US"/>
        </w:rPr>
        <w:t xml:space="preserve">at a dose of </w:t>
      </w:r>
      <w:r w:rsidR="009D7017" w:rsidRPr="009475AF">
        <w:rPr>
          <w:lang w:eastAsia="en-US"/>
        </w:rPr>
        <w:t>300 mg every 4 weeks</w:t>
      </w:r>
      <w:r w:rsidR="004C5614" w:rsidRPr="009475AF">
        <w:rPr>
          <w:lang w:eastAsia="en-US"/>
        </w:rPr>
        <w:t xml:space="preserve"> (Q4W)</w:t>
      </w:r>
      <w:r w:rsidR="009D7017" w:rsidRPr="009475AF">
        <w:rPr>
          <w:lang w:eastAsia="en-US"/>
        </w:rPr>
        <w:t xml:space="preserve"> or 200 mg every 2 weeks</w:t>
      </w:r>
      <w:r w:rsidR="00123DAE" w:rsidRPr="009475AF">
        <w:rPr>
          <w:lang w:eastAsia="en-US"/>
        </w:rPr>
        <w:t xml:space="preserve"> </w:t>
      </w:r>
      <w:r w:rsidR="004C5614" w:rsidRPr="009475AF">
        <w:rPr>
          <w:lang w:eastAsia="en-US"/>
        </w:rPr>
        <w:t xml:space="preserve">(Q2W) </w:t>
      </w:r>
      <w:r w:rsidR="00123DAE" w:rsidRPr="009475AF">
        <w:rPr>
          <w:lang w:eastAsia="en-US"/>
        </w:rPr>
        <w:t>and that this required the cost per syringe for the Q2W regimen to be half that for the Q4W regimen</w:t>
      </w:r>
      <w:r w:rsidR="003C6724" w:rsidRPr="009475AF">
        <w:rPr>
          <w:lang w:eastAsia="en-US"/>
        </w:rPr>
        <w:t>.</w:t>
      </w:r>
      <w:r w:rsidR="007B5C2B" w:rsidRPr="009475AF">
        <w:rPr>
          <w:lang w:eastAsia="en-US"/>
        </w:rPr>
        <w:t xml:space="preserve"> </w:t>
      </w:r>
      <w:r w:rsidR="00C668DD" w:rsidRPr="009475AF">
        <w:rPr>
          <w:lang w:eastAsia="en-US"/>
        </w:rPr>
        <w:t xml:space="preserve">The PBAC noted that in the submission it was estimated that the Q2W regimen was assumed to be used in 5.9% of patients based on American age-weight charts and an assumption that for patients with a weight of 30-60 kg that the Q2W regimen would be used in 10% of patients. </w:t>
      </w:r>
      <w:r w:rsidR="00955AA6" w:rsidRPr="009475AF">
        <w:rPr>
          <w:lang w:eastAsia="en-US"/>
        </w:rPr>
        <w:t xml:space="preserve">The PBAC considered the extent of use of the Q2W regimen should be estimated with consideration of Australian </w:t>
      </w:r>
      <w:r w:rsidR="00012E0B" w:rsidRPr="009475AF">
        <w:rPr>
          <w:lang w:eastAsia="en-US"/>
        </w:rPr>
        <w:t>weight charts</w:t>
      </w:r>
      <w:r w:rsidR="00842B4F" w:rsidRPr="009475AF">
        <w:rPr>
          <w:lang w:eastAsia="en-US"/>
        </w:rPr>
        <w:t>.</w:t>
      </w:r>
      <w:r w:rsidR="00012E0B" w:rsidRPr="009475AF">
        <w:rPr>
          <w:lang w:eastAsia="en-US"/>
        </w:rPr>
        <w:t xml:space="preserve"> The PBAC noted it was important that the use of the Q2W regimen was not underestimated as this would result in the cost of dupilumab being higher than the cost of omalizumab.</w:t>
      </w:r>
      <w:r w:rsidR="00123DAE" w:rsidRPr="009475AF">
        <w:rPr>
          <w:lang w:eastAsia="en-US"/>
        </w:rPr>
        <w:t xml:space="preserve"> </w:t>
      </w:r>
      <w:r w:rsidR="005571B8">
        <w:rPr>
          <w:lang w:eastAsia="en-US"/>
        </w:rPr>
        <w:t>Alternatively</w:t>
      </w:r>
      <w:r w:rsidR="002E6FDC">
        <w:rPr>
          <w:lang w:eastAsia="en-US"/>
        </w:rPr>
        <w:t>,</w:t>
      </w:r>
      <w:r w:rsidR="005571B8">
        <w:rPr>
          <w:lang w:eastAsia="en-US"/>
        </w:rPr>
        <w:t xml:space="preserve"> the PBAC noted that</w:t>
      </w:r>
      <w:r w:rsidR="00043931">
        <w:rPr>
          <w:lang w:eastAsia="en-US"/>
        </w:rPr>
        <w:t xml:space="preserve"> it may be possible to avoid calculating a weighted price if the cost of the Q2W syringe</w:t>
      </w:r>
      <w:r w:rsidR="00D12477">
        <w:rPr>
          <w:lang w:eastAsia="en-US"/>
        </w:rPr>
        <w:t>,</w:t>
      </w:r>
      <w:r w:rsidR="00043931">
        <w:rPr>
          <w:lang w:eastAsia="en-US"/>
        </w:rPr>
        <w:t xml:space="preserve"> which is used Q2W</w:t>
      </w:r>
      <w:r w:rsidR="00D12477">
        <w:rPr>
          <w:lang w:eastAsia="en-US"/>
        </w:rPr>
        <w:t>,</w:t>
      </w:r>
      <w:r w:rsidR="00043931">
        <w:rPr>
          <w:lang w:eastAsia="en-US"/>
        </w:rPr>
        <w:t xml:space="preserve"> is half that of the 300 mg syringe</w:t>
      </w:r>
      <w:r w:rsidR="00D12477">
        <w:rPr>
          <w:lang w:eastAsia="en-US"/>
        </w:rPr>
        <w:t>,</w:t>
      </w:r>
      <w:r w:rsidR="00043931">
        <w:rPr>
          <w:lang w:eastAsia="en-US"/>
        </w:rPr>
        <w:t xml:space="preserve"> which is used Q4W.</w:t>
      </w:r>
      <w:r w:rsidR="002E6FDC">
        <w:rPr>
          <w:lang w:eastAsia="en-US"/>
        </w:rPr>
        <w:t xml:space="preserve"> </w:t>
      </w:r>
    </w:p>
    <w:p w14:paraId="3DCA3613" w14:textId="6D364C99" w:rsidR="00012E0B" w:rsidRPr="009475AF" w:rsidRDefault="00FE1DA1" w:rsidP="00FE1DA1">
      <w:pPr>
        <w:pStyle w:val="3-BodyText"/>
        <w:rPr>
          <w:rFonts w:ascii="Calibri" w:hAnsi="Calibri"/>
          <w:snapToGrid/>
          <w:lang w:eastAsia="en-US"/>
        </w:rPr>
      </w:pPr>
      <w:r w:rsidRPr="009475AF">
        <w:rPr>
          <w:rFonts w:ascii="Calibri" w:hAnsi="Calibri"/>
          <w:snapToGrid/>
          <w:lang w:eastAsia="en-US"/>
        </w:rPr>
        <w:t xml:space="preserve">The PBAC noted the equi-effective dose of omalizumab </w:t>
      </w:r>
      <w:r w:rsidR="001C6652" w:rsidRPr="009475AF">
        <w:rPr>
          <w:rFonts w:ascii="Calibri" w:hAnsi="Calibri"/>
          <w:snapToGrid/>
          <w:lang w:eastAsia="en-US"/>
        </w:rPr>
        <w:t xml:space="preserve">of 375 mg every 4 weeks </w:t>
      </w:r>
      <w:r w:rsidRPr="009475AF">
        <w:rPr>
          <w:rFonts w:ascii="Calibri" w:hAnsi="Calibri"/>
          <w:snapToGrid/>
          <w:lang w:eastAsia="en-US"/>
        </w:rPr>
        <w:t xml:space="preserve">for the cost-minimisation </w:t>
      </w:r>
      <w:r w:rsidR="00012E0B" w:rsidRPr="009475AF">
        <w:rPr>
          <w:rFonts w:ascii="Calibri" w:hAnsi="Calibri"/>
          <w:snapToGrid/>
          <w:lang w:eastAsia="en-US"/>
        </w:rPr>
        <w:t>was consistent with that used for the July 2016 consideration of omalizumab</w:t>
      </w:r>
      <w:r w:rsidR="001A0B71" w:rsidRPr="009475AF">
        <w:rPr>
          <w:rFonts w:ascii="Calibri" w:hAnsi="Calibri"/>
          <w:snapToGrid/>
          <w:lang w:eastAsia="en-US"/>
        </w:rPr>
        <w:t xml:space="preserve"> (</w:t>
      </w:r>
      <w:r w:rsidR="001A0B71" w:rsidRPr="009475AF">
        <w:t>para 6.16, omalizumab PSD, July 2016 PBAC Meeting)</w:t>
      </w:r>
      <w:r w:rsidR="00012E0B" w:rsidRPr="009475AF">
        <w:rPr>
          <w:rFonts w:ascii="Calibri" w:hAnsi="Calibri"/>
          <w:snapToGrid/>
          <w:lang w:eastAsia="en-US"/>
        </w:rPr>
        <w:t>.</w:t>
      </w:r>
      <w:r w:rsidR="009D0D0F" w:rsidRPr="009475AF">
        <w:rPr>
          <w:rFonts w:ascii="Calibri" w:hAnsi="Calibri"/>
          <w:snapToGrid/>
          <w:lang w:eastAsia="en-US"/>
        </w:rPr>
        <w:t xml:space="preserve"> The PBAC agreed with ESC that cost of omalizumab should be consistent with that calculated for the July 2016 consideration</w:t>
      </w:r>
      <w:r w:rsidR="006D6EB2" w:rsidRPr="009475AF">
        <w:rPr>
          <w:rFonts w:ascii="Calibri" w:hAnsi="Calibri"/>
          <w:snapToGrid/>
          <w:lang w:eastAsia="en-US"/>
        </w:rPr>
        <w:t>,</w:t>
      </w:r>
      <w:r w:rsidR="009D0D0F" w:rsidRPr="009475AF">
        <w:rPr>
          <w:rFonts w:ascii="Calibri" w:hAnsi="Calibri"/>
          <w:snapToGrid/>
          <w:lang w:eastAsia="en-US"/>
        </w:rPr>
        <w:t xml:space="preserve"> and noted that it would be inappropriate to round up the average number of syringes when calculating the cost (paragraph 6.</w:t>
      </w:r>
      <w:r w:rsidR="00CF24AE" w:rsidRPr="009475AF">
        <w:rPr>
          <w:rFonts w:ascii="Calibri" w:hAnsi="Calibri"/>
          <w:snapToGrid/>
          <w:lang w:eastAsia="en-US"/>
        </w:rPr>
        <w:t>77</w:t>
      </w:r>
      <w:r w:rsidR="009D0D0F" w:rsidRPr="009475AF">
        <w:rPr>
          <w:rFonts w:ascii="Calibri" w:hAnsi="Calibri"/>
          <w:snapToGrid/>
          <w:lang w:eastAsia="en-US"/>
        </w:rPr>
        <w:t>)</w:t>
      </w:r>
      <w:r w:rsidR="009475AF">
        <w:rPr>
          <w:rFonts w:ascii="Calibri" w:hAnsi="Calibri"/>
          <w:snapToGrid/>
          <w:lang w:eastAsia="en-US"/>
        </w:rPr>
        <w:t xml:space="preserve">. </w:t>
      </w:r>
      <w:r w:rsidR="009D0D0F" w:rsidRPr="009475AF">
        <w:rPr>
          <w:rFonts w:ascii="Calibri" w:hAnsi="Calibri"/>
          <w:snapToGrid/>
          <w:lang w:eastAsia="en-US"/>
        </w:rPr>
        <w:t>The PBAC noted the pre</w:t>
      </w:r>
      <w:r w:rsidR="001A0B71" w:rsidRPr="009475AF">
        <w:rPr>
          <w:rFonts w:ascii="Calibri" w:hAnsi="Calibri"/>
          <w:snapToGrid/>
          <w:lang w:eastAsia="en-US"/>
        </w:rPr>
        <w:t>-</w:t>
      </w:r>
      <w:r w:rsidR="009D0D0F" w:rsidRPr="009475AF">
        <w:rPr>
          <w:rFonts w:ascii="Calibri" w:hAnsi="Calibri"/>
          <w:snapToGrid/>
          <w:lang w:eastAsia="en-US"/>
        </w:rPr>
        <w:t xml:space="preserve">PBAC response agreed with </w:t>
      </w:r>
      <w:r w:rsidR="006D6EB2" w:rsidRPr="009475AF">
        <w:rPr>
          <w:rFonts w:ascii="Calibri" w:hAnsi="Calibri"/>
          <w:snapToGrid/>
          <w:lang w:eastAsia="en-US"/>
        </w:rPr>
        <w:t>the</w:t>
      </w:r>
      <w:r w:rsidR="009D0D0F" w:rsidRPr="009475AF">
        <w:rPr>
          <w:rFonts w:ascii="Calibri" w:hAnsi="Calibri"/>
          <w:snapToGrid/>
          <w:lang w:eastAsia="en-US"/>
        </w:rPr>
        <w:t xml:space="preserve"> approach</w:t>
      </w:r>
      <w:r w:rsidR="006D6EB2" w:rsidRPr="009475AF">
        <w:rPr>
          <w:rFonts w:ascii="Calibri" w:hAnsi="Calibri"/>
          <w:snapToGrid/>
          <w:lang w:eastAsia="en-US"/>
        </w:rPr>
        <w:t xml:space="preserve"> in the ESC advice</w:t>
      </w:r>
      <w:r w:rsidR="009D0D0F" w:rsidRPr="009475AF">
        <w:rPr>
          <w:rFonts w:ascii="Calibri" w:hAnsi="Calibri"/>
          <w:snapToGrid/>
          <w:lang w:eastAsia="en-US"/>
        </w:rPr>
        <w:t>.</w:t>
      </w:r>
    </w:p>
    <w:p w14:paraId="7D560132" w14:textId="21003DC2" w:rsidR="00CF24AE" w:rsidRPr="009475AF" w:rsidRDefault="004A7128" w:rsidP="000C4C48">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 xml:space="preserve">The PBAC </w:t>
      </w:r>
      <w:r w:rsidR="00C33B9A" w:rsidRPr="009475AF">
        <w:rPr>
          <w:rFonts w:asciiTheme="minorHAnsi" w:hAnsiTheme="minorHAnsi"/>
          <w:bCs/>
          <w:snapToGrid w:val="0"/>
          <w:lang w:eastAsia="en-US"/>
        </w:rPr>
        <w:t xml:space="preserve">noted the submission had used a </w:t>
      </w:r>
      <w:r w:rsidRPr="009475AF">
        <w:rPr>
          <w:rFonts w:asciiTheme="minorHAnsi" w:hAnsiTheme="minorHAnsi"/>
          <w:bCs/>
          <w:snapToGrid w:val="0"/>
          <w:lang w:eastAsia="en-US"/>
        </w:rPr>
        <w:t xml:space="preserve">market share approach to estimate utilisation in patients with IgE </w:t>
      </w:r>
      <w:r w:rsidRPr="009475AF">
        <w:rPr>
          <w:rFonts w:asciiTheme="minorHAnsi" w:hAnsiTheme="minorHAnsi" w:cstheme="minorHAnsi"/>
          <w:bCs/>
          <w:snapToGrid w:val="0"/>
          <w:lang w:eastAsia="en-US"/>
        </w:rPr>
        <w:t>≥</w:t>
      </w:r>
      <w:r w:rsidRPr="009475AF">
        <w:rPr>
          <w:rFonts w:asciiTheme="minorHAnsi" w:hAnsiTheme="minorHAnsi"/>
          <w:bCs/>
          <w:snapToGrid w:val="0"/>
          <w:lang w:eastAsia="en-US"/>
        </w:rPr>
        <w:t xml:space="preserve"> 30 IU/mL and evidence of atopy</w:t>
      </w:r>
      <w:r w:rsidR="00C33B9A" w:rsidRPr="009475AF">
        <w:rPr>
          <w:rFonts w:asciiTheme="minorHAnsi" w:hAnsiTheme="minorHAnsi"/>
          <w:bCs/>
          <w:snapToGrid w:val="0"/>
          <w:lang w:eastAsia="en-US"/>
        </w:rPr>
        <w:t xml:space="preserve">. </w:t>
      </w:r>
      <w:r w:rsidR="006C716D" w:rsidRPr="009475AF">
        <w:rPr>
          <w:rFonts w:asciiTheme="minorHAnsi" w:hAnsiTheme="minorHAnsi"/>
          <w:bCs/>
          <w:snapToGrid w:val="0"/>
          <w:lang w:eastAsia="en-US"/>
        </w:rPr>
        <w:t xml:space="preserve">The Committee considered the DUSC Secretariat data on current use of omalizumab, mepolizumab, benralizumab and dupilumab in patients under the age of 12 years should be used to inform the market size. </w:t>
      </w:r>
      <w:r w:rsidR="00C33B9A" w:rsidRPr="009475AF">
        <w:rPr>
          <w:rFonts w:asciiTheme="minorHAnsi" w:hAnsiTheme="minorHAnsi"/>
          <w:bCs/>
          <w:snapToGrid w:val="0"/>
          <w:lang w:eastAsia="en-US"/>
        </w:rPr>
        <w:t>The Committee considered the estimate of a 50% market share to be reasonable</w:t>
      </w:r>
      <w:r w:rsidR="006C716D" w:rsidRPr="009475AF">
        <w:rPr>
          <w:rFonts w:asciiTheme="minorHAnsi" w:hAnsiTheme="minorHAnsi"/>
          <w:bCs/>
          <w:snapToGrid w:val="0"/>
          <w:lang w:eastAsia="en-US"/>
        </w:rPr>
        <w:t>. The Committee considered dupilumab may also replace a small proportion of the tiotropium use. The PBAC agreed with the sponsor</w:t>
      </w:r>
      <w:r w:rsidR="00C33B9A" w:rsidRPr="009475AF">
        <w:rPr>
          <w:rFonts w:asciiTheme="minorHAnsi" w:hAnsiTheme="minorHAnsi"/>
          <w:bCs/>
          <w:snapToGrid w:val="0"/>
          <w:lang w:eastAsia="en-US"/>
        </w:rPr>
        <w:t xml:space="preserve"> that ease of use with dupilumab </w:t>
      </w:r>
      <w:r w:rsidR="006C716D" w:rsidRPr="009475AF">
        <w:rPr>
          <w:rFonts w:asciiTheme="minorHAnsi" w:hAnsiTheme="minorHAnsi"/>
          <w:bCs/>
          <w:snapToGrid w:val="0"/>
          <w:lang w:eastAsia="en-US"/>
        </w:rPr>
        <w:t xml:space="preserve">associated with </w:t>
      </w:r>
      <w:r w:rsidR="000C48AC" w:rsidRPr="009475AF">
        <w:rPr>
          <w:rFonts w:asciiTheme="minorHAnsi" w:hAnsiTheme="minorHAnsi"/>
          <w:bCs/>
          <w:snapToGrid w:val="0"/>
          <w:lang w:eastAsia="en-US"/>
        </w:rPr>
        <w:t xml:space="preserve">a reduced number of monthly injections and reduced dosing complexity </w:t>
      </w:r>
      <w:r w:rsidR="00C33B9A" w:rsidRPr="009475AF">
        <w:rPr>
          <w:rFonts w:asciiTheme="minorHAnsi" w:hAnsiTheme="minorHAnsi"/>
          <w:bCs/>
          <w:snapToGrid w:val="0"/>
          <w:lang w:eastAsia="en-US"/>
        </w:rPr>
        <w:t>may lead to market growth.</w:t>
      </w:r>
      <w:r w:rsidRPr="009475AF">
        <w:rPr>
          <w:rFonts w:asciiTheme="minorHAnsi" w:hAnsiTheme="minorHAnsi"/>
          <w:bCs/>
          <w:snapToGrid w:val="0"/>
          <w:lang w:eastAsia="en-US"/>
        </w:rPr>
        <w:t xml:space="preserve"> </w:t>
      </w:r>
      <w:r w:rsidR="00A51DC0" w:rsidRPr="009475AF">
        <w:rPr>
          <w:rFonts w:asciiTheme="minorHAnsi" w:hAnsiTheme="minorHAnsi"/>
          <w:bCs/>
          <w:snapToGrid w:val="0"/>
          <w:lang w:eastAsia="en-US"/>
        </w:rPr>
        <w:t xml:space="preserve">The PBAC </w:t>
      </w:r>
      <w:r w:rsidR="000C4C48" w:rsidRPr="009475AF">
        <w:rPr>
          <w:rFonts w:asciiTheme="minorHAnsi" w:hAnsiTheme="minorHAnsi"/>
          <w:bCs/>
          <w:snapToGrid w:val="0"/>
          <w:lang w:eastAsia="en-US"/>
        </w:rPr>
        <w:t xml:space="preserve">noted the growth assumptions included in the submission’s financial estimates were </w:t>
      </w:r>
      <w:r w:rsidR="00CE7646" w:rsidRPr="00696736">
        <w:rPr>
          <w:rFonts w:asciiTheme="minorHAnsi" w:hAnsiTheme="minorHAnsi"/>
          <w:bCs/>
          <w:snapToGrid w:val="0"/>
          <w:color w:val="000000"/>
          <w:w w:val="15"/>
          <w:shd w:val="solid" w:color="000000" w:fill="000000"/>
          <w:fitText w:val="-20" w:id="-962338037"/>
          <w:lang w:eastAsia="en-US"/>
          <w14:textFill>
            <w14:solidFill>
              <w14:srgbClr w14:val="000000">
                <w14:alpha w14:val="100000"/>
              </w14:srgbClr>
            </w14:solidFill>
          </w14:textFill>
        </w:rPr>
        <w:t xml:space="preserve">|  </w:t>
      </w:r>
      <w:r w:rsidR="00CE7646" w:rsidRPr="00696736">
        <w:rPr>
          <w:rFonts w:asciiTheme="minorHAnsi" w:hAnsiTheme="minorHAnsi"/>
          <w:bCs/>
          <w:snapToGrid w:val="0"/>
          <w:color w:val="000000"/>
          <w:spacing w:val="-69"/>
          <w:w w:val="15"/>
          <w:shd w:val="solid" w:color="000000" w:fill="000000"/>
          <w:fitText w:val="-20" w:id="-962338037"/>
          <w:lang w:eastAsia="en-US"/>
          <w14:textFill>
            <w14:solidFill>
              <w14:srgbClr w14:val="000000">
                <w14:alpha w14:val="100000"/>
              </w14:srgbClr>
            </w14:solidFill>
          </w14:textFill>
        </w:rPr>
        <w:t>|</w:t>
      </w:r>
      <w:r w:rsidR="000C4C48" w:rsidRPr="009475AF">
        <w:rPr>
          <w:rFonts w:asciiTheme="minorHAnsi" w:hAnsiTheme="minorHAnsi"/>
          <w:bCs/>
          <w:snapToGrid w:val="0"/>
          <w:lang w:eastAsia="en-US"/>
        </w:rPr>
        <w:t xml:space="preserve">% in year 1, </w:t>
      </w:r>
      <w:r w:rsidR="00CE7646" w:rsidRPr="00696736">
        <w:rPr>
          <w:rFonts w:asciiTheme="minorHAnsi" w:hAnsiTheme="minorHAnsi"/>
          <w:bCs/>
          <w:snapToGrid w:val="0"/>
          <w:color w:val="000000"/>
          <w:w w:val="15"/>
          <w:shd w:val="solid" w:color="000000" w:fill="000000"/>
          <w:fitText w:val="-20" w:id="-962338036"/>
          <w:lang w:eastAsia="en-US"/>
          <w14:textFill>
            <w14:solidFill>
              <w14:srgbClr w14:val="000000">
                <w14:alpha w14:val="100000"/>
              </w14:srgbClr>
            </w14:solidFill>
          </w14:textFill>
        </w:rPr>
        <w:t xml:space="preserve">|  </w:t>
      </w:r>
      <w:r w:rsidR="00CE7646" w:rsidRPr="00696736">
        <w:rPr>
          <w:rFonts w:asciiTheme="minorHAnsi" w:hAnsiTheme="minorHAnsi"/>
          <w:bCs/>
          <w:snapToGrid w:val="0"/>
          <w:color w:val="000000"/>
          <w:spacing w:val="-69"/>
          <w:w w:val="15"/>
          <w:shd w:val="solid" w:color="000000" w:fill="000000"/>
          <w:fitText w:val="-20" w:id="-962338036"/>
          <w:lang w:eastAsia="en-US"/>
          <w14:textFill>
            <w14:solidFill>
              <w14:srgbClr w14:val="000000">
                <w14:alpha w14:val="100000"/>
              </w14:srgbClr>
            </w14:solidFill>
          </w14:textFill>
        </w:rPr>
        <w:t>|</w:t>
      </w:r>
      <w:r w:rsidR="000C4C48" w:rsidRPr="009475AF">
        <w:rPr>
          <w:rFonts w:asciiTheme="minorHAnsi" w:hAnsiTheme="minorHAnsi"/>
          <w:bCs/>
          <w:snapToGrid w:val="0"/>
          <w:lang w:eastAsia="en-US"/>
        </w:rPr>
        <w:t xml:space="preserve">% in year 2 reducing to </w:t>
      </w:r>
      <w:r w:rsidR="00CE7646" w:rsidRPr="00696736">
        <w:rPr>
          <w:rFonts w:asciiTheme="minorHAnsi" w:hAnsiTheme="minorHAnsi"/>
          <w:bCs/>
          <w:snapToGrid w:val="0"/>
          <w:color w:val="000000"/>
          <w:w w:val="15"/>
          <w:shd w:val="solid" w:color="000000" w:fill="000000"/>
          <w:fitText w:val="-20" w:id="-962338035"/>
          <w:lang w:eastAsia="en-US"/>
          <w14:textFill>
            <w14:solidFill>
              <w14:srgbClr w14:val="000000">
                <w14:alpha w14:val="100000"/>
              </w14:srgbClr>
            </w14:solidFill>
          </w14:textFill>
        </w:rPr>
        <w:t xml:space="preserve">|  </w:t>
      </w:r>
      <w:r w:rsidR="00CE7646" w:rsidRPr="00696736">
        <w:rPr>
          <w:rFonts w:asciiTheme="minorHAnsi" w:hAnsiTheme="minorHAnsi"/>
          <w:bCs/>
          <w:snapToGrid w:val="0"/>
          <w:color w:val="000000"/>
          <w:spacing w:val="-69"/>
          <w:w w:val="15"/>
          <w:shd w:val="solid" w:color="000000" w:fill="000000"/>
          <w:fitText w:val="-20" w:id="-962338035"/>
          <w:lang w:eastAsia="en-US"/>
          <w14:textFill>
            <w14:solidFill>
              <w14:srgbClr w14:val="000000">
                <w14:alpha w14:val="100000"/>
              </w14:srgbClr>
            </w14:solidFill>
          </w14:textFill>
        </w:rPr>
        <w:t>|</w:t>
      </w:r>
      <w:r w:rsidR="000C4C48" w:rsidRPr="009475AF">
        <w:rPr>
          <w:rFonts w:asciiTheme="minorHAnsi" w:hAnsiTheme="minorHAnsi"/>
          <w:bCs/>
          <w:snapToGrid w:val="0"/>
          <w:lang w:eastAsia="en-US"/>
        </w:rPr>
        <w:t xml:space="preserve">% in year 6. The high growth in year 1 was stated in </w:t>
      </w:r>
      <w:r w:rsidR="00A51DC0" w:rsidRPr="009475AF">
        <w:rPr>
          <w:rFonts w:asciiTheme="minorHAnsi" w:hAnsiTheme="minorHAnsi"/>
          <w:bCs/>
          <w:snapToGrid w:val="0"/>
          <w:lang w:eastAsia="en-US"/>
        </w:rPr>
        <w:t>the submissio</w:t>
      </w:r>
      <w:r w:rsidR="000C4C48" w:rsidRPr="009475AF">
        <w:rPr>
          <w:rFonts w:asciiTheme="minorHAnsi" w:hAnsiTheme="minorHAnsi"/>
          <w:bCs/>
          <w:snapToGrid w:val="0"/>
          <w:lang w:eastAsia="en-US"/>
        </w:rPr>
        <w:t>n</w:t>
      </w:r>
      <w:r w:rsidR="00A51DC0" w:rsidRPr="009475AF">
        <w:rPr>
          <w:rFonts w:asciiTheme="minorHAnsi" w:hAnsiTheme="minorHAnsi"/>
          <w:bCs/>
          <w:snapToGrid w:val="0"/>
          <w:lang w:eastAsia="en-US"/>
        </w:rPr>
        <w:t xml:space="preserve"> to be due to ‘unlocking of disengaged market'.</w:t>
      </w:r>
      <w:r w:rsidR="000C4C48" w:rsidRPr="009475AF">
        <w:rPr>
          <w:rFonts w:asciiTheme="minorHAnsi" w:hAnsiTheme="minorHAnsi"/>
          <w:bCs/>
          <w:snapToGrid w:val="0"/>
          <w:lang w:eastAsia="en-US"/>
        </w:rPr>
        <w:t xml:space="preserve"> The PBAC considered the growth in year 1 was substantially overestimated.</w:t>
      </w:r>
      <w:r w:rsidR="00EA4DFF" w:rsidRPr="009475AF">
        <w:rPr>
          <w:rFonts w:asciiTheme="minorHAnsi" w:hAnsiTheme="minorHAnsi"/>
          <w:bCs/>
          <w:snapToGrid w:val="0"/>
          <w:lang w:eastAsia="en-US"/>
        </w:rPr>
        <w:t xml:space="preserve"> </w:t>
      </w:r>
    </w:p>
    <w:p w14:paraId="57517A55" w14:textId="15356F02" w:rsidR="003D363E" w:rsidRPr="009475AF" w:rsidRDefault="003D363E" w:rsidP="0047011D">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 xml:space="preserve">The PBAC noted that an epidemiological approach had been used to estimate utilisation in patients with IgE &lt; 30 IU/mL but </w:t>
      </w:r>
      <w:r w:rsidR="002111EA" w:rsidRPr="009475AF">
        <w:rPr>
          <w:rFonts w:asciiTheme="minorHAnsi" w:hAnsiTheme="minorHAnsi"/>
          <w:bCs/>
          <w:snapToGrid w:val="0"/>
          <w:lang w:eastAsia="en-US"/>
        </w:rPr>
        <w:t xml:space="preserve">considered </w:t>
      </w:r>
      <w:r w:rsidRPr="009475AF">
        <w:rPr>
          <w:rFonts w:asciiTheme="minorHAnsi" w:hAnsiTheme="minorHAnsi"/>
          <w:bCs/>
          <w:snapToGrid w:val="0"/>
          <w:lang w:eastAsia="en-US"/>
        </w:rPr>
        <w:t xml:space="preserve">the estimates </w:t>
      </w:r>
      <w:r w:rsidR="002111EA" w:rsidRPr="009475AF">
        <w:rPr>
          <w:rFonts w:asciiTheme="minorHAnsi" w:hAnsiTheme="minorHAnsi"/>
          <w:bCs/>
          <w:snapToGrid w:val="0"/>
          <w:lang w:eastAsia="en-US"/>
        </w:rPr>
        <w:t xml:space="preserve">to be </w:t>
      </w:r>
      <w:r w:rsidR="006D6EB2" w:rsidRPr="009475AF">
        <w:rPr>
          <w:rFonts w:asciiTheme="minorHAnsi" w:hAnsiTheme="minorHAnsi"/>
          <w:bCs/>
          <w:snapToGrid w:val="0"/>
          <w:lang w:eastAsia="en-US"/>
        </w:rPr>
        <w:t xml:space="preserve">substantially overestimated </w:t>
      </w:r>
      <w:r w:rsidRPr="009475AF">
        <w:rPr>
          <w:rFonts w:asciiTheme="minorHAnsi" w:hAnsiTheme="minorHAnsi"/>
          <w:bCs/>
          <w:snapToGrid w:val="0"/>
          <w:lang w:eastAsia="en-US"/>
        </w:rPr>
        <w:t xml:space="preserve">given that the submission’s estimate of the proposed number of patients </w:t>
      </w:r>
      <w:r w:rsidR="000C4C48" w:rsidRPr="009475AF">
        <w:rPr>
          <w:rFonts w:asciiTheme="minorHAnsi" w:hAnsiTheme="minorHAnsi"/>
          <w:bCs/>
          <w:snapToGrid w:val="0"/>
          <w:lang w:eastAsia="en-US"/>
        </w:rPr>
        <w:t>was</w:t>
      </w:r>
      <w:r w:rsidRPr="009475AF">
        <w:rPr>
          <w:rFonts w:asciiTheme="minorHAnsi" w:hAnsiTheme="minorHAnsi"/>
          <w:bCs/>
          <w:snapToGrid w:val="0"/>
          <w:lang w:eastAsia="en-US"/>
        </w:rPr>
        <w:t xml:space="preserve"> larger than </w:t>
      </w:r>
      <w:r w:rsidR="000C4C48" w:rsidRPr="009475AF">
        <w:rPr>
          <w:rFonts w:asciiTheme="minorHAnsi" w:hAnsiTheme="minorHAnsi"/>
          <w:bCs/>
          <w:snapToGrid w:val="0"/>
          <w:lang w:eastAsia="en-US"/>
        </w:rPr>
        <w:t xml:space="preserve">for patients with IgE </w:t>
      </w:r>
      <w:r w:rsidR="000C4C48" w:rsidRPr="009475AF">
        <w:rPr>
          <w:rFonts w:asciiTheme="minorHAnsi" w:hAnsiTheme="minorHAnsi" w:cstheme="minorHAnsi"/>
          <w:bCs/>
          <w:snapToGrid w:val="0"/>
          <w:lang w:eastAsia="en-US"/>
        </w:rPr>
        <w:t>≥</w:t>
      </w:r>
      <w:r w:rsidR="000C4C48" w:rsidRPr="009475AF">
        <w:rPr>
          <w:rFonts w:asciiTheme="minorHAnsi" w:hAnsiTheme="minorHAnsi"/>
          <w:bCs/>
          <w:snapToGrid w:val="0"/>
          <w:lang w:eastAsia="en-US"/>
        </w:rPr>
        <w:t xml:space="preserve"> 30 IU/mL</w:t>
      </w:r>
      <w:r w:rsidRPr="009475AF">
        <w:rPr>
          <w:rFonts w:asciiTheme="minorHAnsi" w:hAnsiTheme="minorHAnsi"/>
          <w:bCs/>
          <w:snapToGrid w:val="0"/>
          <w:lang w:eastAsia="en-US"/>
        </w:rPr>
        <w:t>.</w:t>
      </w:r>
      <w:r w:rsidR="000C48AC" w:rsidRPr="009475AF">
        <w:rPr>
          <w:rFonts w:asciiTheme="minorHAnsi" w:hAnsiTheme="minorHAnsi"/>
          <w:bCs/>
          <w:snapToGrid w:val="0"/>
          <w:lang w:eastAsia="en-US"/>
        </w:rPr>
        <w:t xml:space="preserve"> The PBAC considered the use in this population should be estimated based on </w:t>
      </w:r>
      <w:r w:rsidR="000C48AC" w:rsidRPr="009475AF">
        <w:rPr>
          <w:iCs/>
        </w:rPr>
        <w:t>the dupilumab trial population i.e</w:t>
      </w:r>
      <w:r w:rsidR="00854213" w:rsidRPr="009475AF">
        <w:rPr>
          <w:iCs/>
        </w:rPr>
        <w:t>.</w:t>
      </w:r>
      <w:r w:rsidR="001A0B71" w:rsidRPr="009475AF">
        <w:rPr>
          <w:iCs/>
        </w:rPr>
        <w:t>,</w:t>
      </w:r>
      <w:r w:rsidR="000C48AC" w:rsidRPr="009475AF">
        <w:rPr>
          <w:iCs/>
        </w:rPr>
        <w:t xml:space="preserve"> approximately 15% of patients in the trial did not have </w:t>
      </w:r>
      <w:r w:rsidR="00854213" w:rsidRPr="009475AF">
        <w:rPr>
          <w:iCs/>
        </w:rPr>
        <w:t>high IgE and Type 2 inflammation</w:t>
      </w:r>
      <w:r w:rsidR="000C48AC" w:rsidRPr="009475AF">
        <w:rPr>
          <w:iCs/>
        </w:rPr>
        <w:t>.</w:t>
      </w:r>
    </w:p>
    <w:p w14:paraId="5A19805A" w14:textId="1676557B" w:rsidR="004A7128" w:rsidRPr="009475AF" w:rsidRDefault="004A7128" w:rsidP="002136D3">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 xml:space="preserve">The </w:t>
      </w:r>
      <w:r w:rsidR="003B529E" w:rsidRPr="009475AF">
        <w:rPr>
          <w:rFonts w:asciiTheme="minorHAnsi" w:hAnsiTheme="minorHAnsi"/>
          <w:bCs/>
          <w:snapToGrid w:val="0"/>
          <w:lang w:eastAsia="en-US"/>
        </w:rPr>
        <w:t>PBAC</w:t>
      </w:r>
      <w:r w:rsidRPr="009475AF">
        <w:rPr>
          <w:rFonts w:asciiTheme="minorHAnsi" w:hAnsiTheme="minorHAnsi"/>
          <w:bCs/>
          <w:snapToGrid w:val="0"/>
          <w:lang w:eastAsia="en-US"/>
        </w:rPr>
        <w:t xml:space="preserve"> </w:t>
      </w:r>
      <w:r w:rsidR="00C33B9A" w:rsidRPr="009475AF">
        <w:rPr>
          <w:rFonts w:asciiTheme="minorHAnsi" w:hAnsiTheme="minorHAnsi"/>
          <w:bCs/>
          <w:snapToGrid w:val="0"/>
          <w:lang w:eastAsia="en-US"/>
        </w:rPr>
        <w:t xml:space="preserve">noted that at the time of consideration, the recommendation for the PBS listing of dupilumab for patients aged 6 to 11 years with atopic dermatitis from the March 2022 PBAC meeting had not been implemented and </w:t>
      </w:r>
      <w:r w:rsidRPr="009475AF">
        <w:rPr>
          <w:rFonts w:asciiTheme="minorHAnsi" w:hAnsiTheme="minorHAnsi"/>
          <w:bCs/>
          <w:snapToGrid w:val="0"/>
          <w:lang w:eastAsia="en-US"/>
        </w:rPr>
        <w:t xml:space="preserve">considered </w:t>
      </w:r>
      <w:r w:rsidR="00C33B9A" w:rsidRPr="009475AF">
        <w:rPr>
          <w:rFonts w:asciiTheme="minorHAnsi" w:hAnsiTheme="minorHAnsi"/>
          <w:bCs/>
          <w:snapToGrid w:val="0"/>
          <w:lang w:eastAsia="en-US"/>
        </w:rPr>
        <w:t>there was</w:t>
      </w:r>
      <w:r w:rsidR="002111EA" w:rsidRPr="009475AF">
        <w:rPr>
          <w:rFonts w:asciiTheme="minorHAnsi" w:hAnsiTheme="minorHAnsi"/>
          <w:bCs/>
          <w:snapToGrid w:val="0"/>
          <w:lang w:eastAsia="en-US"/>
        </w:rPr>
        <w:t xml:space="preserve"> </w:t>
      </w:r>
      <w:r w:rsidR="00C06D8B" w:rsidRPr="009475AF">
        <w:rPr>
          <w:rFonts w:asciiTheme="minorHAnsi" w:hAnsiTheme="minorHAnsi"/>
          <w:bCs/>
          <w:snapToGrid w:val="0"/>
          <w:lang w:eastAsia="en-US"/>
        </w:rPr>
        <w:t>potential for</w:t>
      </w:r>
      <w:r w:rsidRPr="009475AF">
        <w:rPr>
          <w:rFonts w:asciiTheme="minorHAnsi" w:hAnsiTheme="minorHAnsi"/>
          <w:bCs/>
          <w:snapToGrid w:val="0"/>
          <w:lang w:eastAsia="en-US"/>
        </w:rPr>
        <w:t xml:space="preserve"> </w:t>
      </w:r>
      <w:r w:rsidR="002111EA" w:rsidRPr="009475AF">
        <w:rPr>
          <w:rFonts w:asciiTheme="minorHAnsi" w:hAnsiTheme="minorHAnsi"/>
          <w:bCs/>
          <w:snapToGrid w:val="0"/>
          <w:lang w:eastAsia="en-US"/>
        </w:rPr>
        <w:t xml:space="preserve">overlap </w:t>
      </w:r>
      <w:r w:rsidR="00A850C8" w:rsidRPr="009475AF">
        <w:rPr>
          <w:rFonts w:asciiTheme="minorHAnsi" w:hAnsiTheme="minorHAnsi"/>
          <w:bCs/>
          <w:snapToGrid w:val="0"/>
          <w:lang w:eastAsia="en-US"/>
        </w:rPr>
        <w:t>in</w:t>
      </w:r>
      <w:r w:rsidR="002111EA" w:rsidRPr="009475AF">
        <w:rPr>
          <w:rFonts w:asciiTheme="minorHAnsi" w:hAnsiTheme="minorHAnsi"/>
          <w:bCs/>
          <w:snapToGrid w:val="0"/>
          <w:lang w:eastAsia="en-US"/>
        </w:rPr>
        <w:t xml:space="preserve"> </w:t>
      </w:r>
      <w:r w:rsidR="009659CD" w:rsidRPr="009475AF">
        <w:rPr>
          <w:rFonts w:asciiTheme="minorHAnsi" w:hAnsiTheme="minorHAnsi"/>
          <w:bCs/>
          <w:snapToGrid w:val="0"/>
          <w:lang w:eastAsia="en-US"/>
        </w:rPr>
        <w:t>patient eligibility</w:t>
      </w:r>
      <w:r w:rsidR="00961CB9" w:rsidRPr="009475AF">
        <w:rPr>
          <w:rFonts w:asciiTheme="minorHAnsi" w:hAnsiTheme="minorHAnsi"/>
          <w:bCs/>
          <w:snapToGrid w:val="0"/>
          <w:lang w:eastAsia="en-US"/>
        </w:rPr>
        <w:t xml:space="preserve">. </w:t>
      </w:r>
      <w:r w:rsidR="00043931">
        <w:rPr>
          <w:rFonts w:asciiTheme="minorHAnsi" w:hAnsiTheme="minorHAnsi"/>
          <w:bCs/>
          <w:snapToGrid w:val="0"/>
          <w:lang w:eastAsia="en-US"/>
        </w:rPr>
        <w:t xml:space="preserve">The PBAC noted </w:t>
      </w:r>
      <w:r w:rsidR="007B5EA2">
        <w:rPr>
          <w:rFonts w:asciiTheme="minorHAnsi" w:hAnsiTheme="minorHAnsi"/>
          <w:bCs/>
          <w:snapToGrid w:val="0"/>
          <w:lang w:eastAsia="en-US"/>
        </w:rPr>
        <w:t xml:space="preserve">that the written authority listing for asthma would minimise the risk of use in a broader population. </w:t>
      </w:r>
    </w:p>
    <w:p w14:paraId="35886463" w14:textId="7ED0CCDC" w:rsidR="00A446B3" w:rsidRPr="009475AF" w:rsidRDefault="00A446B3" w:rsidP="00F60BDF">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The requested restriction is considered to be complex.</w:t>
      </w:r>
    </w:p>
    <w:p w14:paraId="3CFAE82E" w14:textId="081BAF44" w:rsidR="00D149A9" w:rsidRPr="009475AF" w:rsidRDefault="00D149A9" w:rsidP="00F60BDF">
      <w:pPr>
        <w:widowControl w:val="0"/>
        <w:numPr>
          <w:ilvl w:val="1"/>
          <w:numId w:val="1"/>
        </w:numPr>
        <w:spacing w:after="120"/>
        <w:rPr>
          <w:rFonts w:asciiTheme="minorHAnsi" w:hAnsiTheme="minorHAnsi"/>
          <w:bCs/>
          <w:snapToGrid w:val="0"/>
          <w:lang w:eastAsia="en-US"/>
        </w:rPr>
      </w:pPr>
      <w:r w:rsidRPr="009475AF">
        <w:t>The PBAC recommended that the grandfather listing be in operation for 12 months to transition patients commenced on non</w:t>
      </w:r>
      <w:r w:rsidRPr="009475AF">
        <w:noBreakHyphen/>
        <w:t>PBS subsidised treatment to PBS subsidised supply, where these patients would otherwise have met the initial treatment criteria.</w:t>
      </w:r>
    </w:p>
    <w:p w14:paraId="66C07C9B" w14:textId="0DB6BC28" w:rsidR="00A446B3" w:rsidRPr="009475AF" w:rsidRDefault="00BC0976" w:rsidP="00F60BDF">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 xml:space="preserve">The PBAC noted </w:t>
      </w:r>
      <w:r w:rsidR="00705B2A" w:rsidRPr="009475AF">
        <w:rPr>
          <w:rFonts w:asciiTheme="minorHAnsi" w:hAnsiTheme="minorHAnsi"/>
          <w:bCs/>
          <w:snapToGrid w:val="0"/>
          <w:lang w:eastAsia="en-US"/>
        </w:rPr>
        <w:t>that</w:t>
      </w:r>
      <w:r w:rsidRPr="009475AF">
        <w:rPr>
          <w:rFonts w:asciiTheme="minorHAnsi" w:hAnsiTheme="minorHAnsi"/>
          <w:bCs/>
          <w:snapToGrid w:val="0"/>
          <w:lang w:eastAsia="en-US"/>
        </w:rPr>
        <w:t xml:space="preserve"> </w:t>
      </w:r>
      <w:r w:rsidR="00A446B3" w:rsidRPr="009475AF">
        <w:rPr>
          <w:rFonts w:asciiTheme="minorHAnsi" w:hAnsiTheme="minorHAnsi"/>
          <w:bCs/>
          <w:snapToGrid w:val="0"/>
          <w:lang w:eastAsia="en-US"/>
        </w:rPr>
        <w:t xml:space="preserve">the following changes will be required to the </w:t>
      </w:r>
      <w:r w:rsidR="00EF6950" w:rsidRPr="009475AF">
        <w:rPr>
          <w:rFonts w:asciiTheme="minorHAnsi" w:hAnsiTheme="minorHAnsi"/>
          <w:bCs/>
          <w:snapToGrid w:val="0"/>
          <w:lang w:eastAsia="en-US"/>
        </w:rPr>
        <w:t xml:space="preserve">omalizumab </w:t>
      </w:r>
      <w:r w:rsidR="00E14122" w:rsidRPr="009475AF">
        <w:rPr>
          <w:rFonts w:asciiTheme="minorHAnsi" w:hAnsiTheme="minorHAnsi"/>
          <w:bCs/>
          <w:snapToGrid w:val="0"/>
          <w:lang w:eastAsia="en-US"/>
        </w:rPr>
        <w:t>75</w:t>
      </w:r>
      <w:r w:rsidR="00E14122">
        <w:rPr>
          <w:rFonts w:asciiTheme="minorHAnsi" w:hAnsiTheme="minorHAnsi"/>
          <w:bCs/>
          <w:snapToGrid w:val="0"/>
          <w:lang w:eastAsia="en-US"/>
        </w:rPr>
        <w:t> </w:t>
      </w:r>
      <w:r w:rsidR="00EF6950" w:rsidRPr="009475AF">
        <w:rPr>
          <w:rFonts w:asciiTheme="minorHAnsi" w:hAnsiTheme="minorHAnsi"/>
          <w:bCs/>
          <w:snapToGrid w:val="0"/>
          <w:lang w:eastAsia="en-US"/>
        </w:rPr>
        <w:t xml:space="preserve">mg/0.5 mL injection, 0.5 mL syringe (items </w:t>
      </w:r>
      <w:r w:rsidR="00E11329" w:rsidRPr="009475AF">
        <w:rPr>
          <w:rFonts w:asciiTheme="minorHAnsi" w:hAnsiTheme="minorHAnsi"/>
          <w:bCs/>
          <w:snapToGrid w:val="0"/>
          <w:lang w:eastAsia="en-US"/>
        </w:rPr>
        <w:t>10967F</w:t>
      </w:r>
      <w:r w:rsidR="00451FA0" w:rsidRPr="009475AF">
        <w:rPr>
          <w:rFonts w:asciiTheme="minorHAnsi" w:hAnsiTheme="minorHAnsi"/>
          <w:bCs/>
          <w:snapToGrid w:val="0"/>
          <w:lang w:eastAsia="en-US"/>
        </w:rPr>
        <w:t>, 10956P</w:t>
      </w:r>
      <w:r w:rsidR="006A4764" w:rsidRPr="009475AF">
        <w:rPr>
          <w:rFonts w:asciiTheme="minorHAnsi" w:hAnsiTheme="minorHAnsi"/>
          <w:bCs/>
          <w:snapToGrid w:val="0"/>
          <w:lang w:eastAsia="en-US"/>
        </w:rPr>
        <w:t xml:space="preserve">, </w:t>
      </w:r>
      <w:r w:rsidR="0089313F">
        <w:rPr>
          <w:rFonts w:asciiTheme="minorHAnsi" w:hAnsiTheme="minorHAnsi"/>
          <w:bCs/>
          <w:snapToGrid w:val="0"/>
          <w:lang w:eastAsia="en-US"/>
        </w:rPr>
        <w:t xml:space="preserve">11958J, 11962N, </w:t>
      </w:r>
      <w:r w:rsidR="006A4764" w:rsidRPr="009475AF">
        <w:rPr>
          <w:rFonts w:asciiTheme="minorHAnsi" w:hAnsiTheme="minorHAnsi"/>
          <w:bCs/>
          <w:snapToGrid w:val="0"/>
          <w:lang w:eastAsia="en-US"/>
        </w:rPr>
        <w:t>11946R, 11952C</w:t>
      </w:r>
      <w:r w:rsidR="00EF6950" w:rsidRPr="009475AF">
        <w:rPr>
          <w:rFonts w:asciiTheme="minorHAnsi" w:hAnsiTheme="minorHAnsi"/>
          <w:bCs/>
          <w:snapToGrid w:val="0"/>
          <w:lang w:eastAsia="en-US"/>
        </w:rPr>
        <w:t>)</w:t>
      </w:r>
      <w:r w:rsidR="008218F3" w:rsidRPr="009475AF">
        <w:rPr>
          <w:rFonts w:asciiTheme="minorHAnsi" w:hAnsiTheme="minorHAnsi"/>
          <w:bCs/>
          <w:snapToGrid w:val="0"/>
          <w:lang w:eastAsia="en-US"/>
        </w:rPr>
        <w:t>, and omalizumab 150 mg/mL injection, 1 mL syringe (items 10968G, 10973M</w:t>
      </w:r>
      <w:r w:rsidR="0089313F">
        <w:rPr>
          <w:rFonts w:asciiTheme="minorHAnsi" w:hAnsiTheme="minorHAnsi"/>
          <w:bCs/>
          <w:snapToGrid w:val="0"/>
          <w:lang w:eastAsia="en-US"/>
        </w:rPr>
        <w:t>, 11950Y, 11932B</w:t>
      </w:r>
      <w:r w:rsidR="000B4CF5">
        <w:rPr>
          <w:rFonts w:asciiTheme="minorHAnsi" w:hAnsiTheme="minorHAnsi"/>
          <w:bCs/>
          <w:snapToGrid w:val="0"/>
          <w:lang w:eastAsia="en-US"/>
        </w:rPr>
        <w:t>, 11945Q, 11953D</w:t>
      </w:r>
      <w:r w:rsidR="008218F3" w:rsidRPr="009475AF">
        <w:rPr>
          <w:rFonts w:asciiTheme="minorHAnsi" w:hAnsiTheme="minorHAnsi"/>
          <w:bCs/>
          <w:snapToGrid w:val="0"/>
          <w:lang w:eastAsia="en-US"/>
        </w:rPr>
        <w:t>)</w:t>
      </w:r>
      <w:r w:rsidR="00A446B3" w:rsidRPr="009475AF">
        <w:rPr>
          <w:rFonts w:asciiTheme="minorHAnsi" w:hAnsiTheme="minorHAnsi"/>
          <w:bCs/>
          <w:snapToGrid w:val="0"/>
          <w:lang w:eastAsia="en-US"/>
        </w:rPr>
        <w:t xml:space="preserve"> restrictions </w:t>
      </w:r>
      <w:r w:rsidR="00EF6950" w:rsidRPr="009475AF">
        <w:rPr>
          <w:rFonts w:asciiTheme="minorHAnsi" w:hAnsiTheme="minorHAnsi"/>
          <w:bCs/>
          <w:snapToGrid w:val="0"/>
          <w:lang w:eastAsia="en-US"/>
        </w:rPr>
        <w:t xml:space="preserve">to allow for </w:t>
      </w:r>
      <w:r w:rsidR="00F60BDF" w:rsidRPr="009475AF">
        <w:rPr>
          <w:rFonts w:asciiTheme="minorHAnsi" w:hAnsiTheme="minorHAnsi"/>
          <w:bCs/>
          <w:snapToGrid w:val="0"/>
          <w:lang w:eastAsia="en-US"/>
        </w:rPr>
        <w:t xml:space="preserve">eligible patients to </w:t>
      </w:r>
      <w:r w:rsidR="00EF6950" w:rsidRPr="009475AF">
        <w:rPr>
          <w:rFonts w:asciiTheme="minorHAnsi" w:hAnsiTheme="minorHAnsi"/>
          <w:bCs/>
          <w:snapToGrid w:val="0"/>
          <w:lang w:eastAsia="en-US"/>
        </w:rPr>
        <w:t>switch between omalizumab and dupilumab during a treatment cycle</w:t>
      </w:r>
      <w:r w:rsidR="00A446B3" w:rsidRPr="009475AF">
        <w:rPr>
          <w:rFonts w:asciiTheme="minorHAnsi" w:hAnsiTheme="minorHAnsi"/>
          <w:bCs/>
          <w:snapToGrid w:val="0"/>
          <w:lang w:eastAsia="en-US"/>
        </w:rPr>
        <w:t>:</w:t>
      </w:r>
    </w:p>
    <w:p w14:paraId="71C87A48" w14:textId="3F72616E" w:rsidR="00BC0976" w:rsidRDefault="00A446B3" w:rsidP="00E14122">
      <w:pPr>
        <w:widowControl w:val="0"/>
        <w:numPr>
          <w:ilvl w:val="5"/>
          <w:numId w:val="45"/>
        </w:numPr>
        <w:spacing w:after="120"/>
        <w:ind w:left="1134"/>
        <w:rPr>
          <w:rFonts w:asciiTheme="minorHAnsi" w:hAnsiTheme="minorHAnsi"/>
          <w:bCs/>
          <w:snapToGrid w:val="0"/>
          <w:lang w:eastAsia="en-US"/>
        </w:rPr>
      </w:pPr>
      <w:r w:rsidRPr="009475AF">
        <w:rPr>
          <w:rFonts w:asciiTheme="minorHAnsi" w:hAnsiTheme="minorHAnsi"/>
          <w:bCs/>
          <w:snapToGrid w:val="0"/>
          <w:lang w:eastAsia="en-US"/>
        </w:rPr>
        <w:t>The Overarching Note of ‘Treatment of paediatric patients with uncontrolled severe asthma’ will be required for omalizumab.</w:t>
      </w:r>
    </w:p>
    <w:p w14:paraId="7B5F9724" w14:textId="119674B8" w:rsidR="000B4CF5" w:rsidRPr="009475AF" w:rsidRDefault="000B4CF5" w:rsidP="00E14122">
      <w:pPr>
        <w:widowControl w:val="0"/>
        <w:numPr>
          <w:ilvl w:val="5"/>
          <w:numId w:val="45"/>
        </w:numPr>
        <w:spacing w:after="120"/>
        <w:ind w:left="1134"/>
        <w:rPr>
          <w:rFonts w:asciiTheme="minorHAnsi" w:hAnsiTheme="minorHAnsi"/>
          <w:bCs/>
          <w:snapToGrid w:val="0"/>
          <w:lang w:eastAsia="en-US"/>
        </w:rPr>
      </w:pPr>
      <w:r>
        <w:rPr>
          <w:rFonts w:asciiTheme="minorHAnsi" w:hAnsiTheme="minorHAnsi"/>
          <w:bCs/>
          <w:snapToGrid w:val="0"/>
          <w:lang w:eastAsia="en-US"/>
        </w:rPr>
        <w:t>The addition of an initial 2 restriction is required for omalizumab to allow for eligible patients to be able to switch from dupilumab to omalizumab within a treatment cycle if required.</w:t>
      </w:r>
    </w:p>
    <w:p w14:paraId="45D6FB0D" w14:textId="48D75D26" w:rsidR="006A4764" w:rsidRPr="009475AF" w:rsidRDefault="006A4764" w:rsidP="00E14122">
      <w:pPr>
        <w:widowControl w:val="0"/>
        <w:numPr>
          <w:ilvl w:val="5"/>
          <w:numId w:val="45"/>
        </w:numPr>
        <w:spacing w:after="120"/>
        <w:ind w:left="1134"/>
        <w:rPr>
          <w:rFonts w:asciiTheme="minorHAnsi" w:hAnsiTheme="minorHAnsi"/>
          <w:bCs/>
          <w:snapToGrid w:val="0"/>
          <w:lang w:eastAsia="en-US"/>
        </w:rPr>
      </w:pPr>
      <w:r w:rsidRPr="009475AF">
        <w:rPr>
          <w:rFonts w:asciiTheme="minorHAnsi" w:hAnsiTheme="minorHAnsi"/>
          <w:bCs/>
          <w:snapToGrid w:val="0"/>
          <w:lang w:eastAsia="en-US"/>
        </w:rPr>
        <w:t>The restrictions for omalizumab will require the following Prescriber Instruction to be changed from ‘A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 to ‘A patient who fails to demonstrate a response to treatment with this drug for this condition will not be eligible to receive further PBS-subsidised treatment with this drug for this condition within the same treatment cycle’.</w:t>
      </w:r>
    </w:p>
    <w:p w14:paraId="5147A099" w14:textId="5452C628" w:rsidR="00A446B3" w:rsidRPr="009475AF" w:rsidRDefault="00A446B3" w:rsidP="00E14122">
      <w:pPr>
        <w:widowControl w:val="0"/>
        <w:numPr>
          <w:ilvl w:val="5"/>
          <w:numId w:val="45"/>
        </w:numPr>
        <w:spacing w:after="120"/>
        <w:ind w:left="1134"/>
        <w:rPr>
          <w:rFonts w:asciiTheme="minorHAnsi" w:hAnsiTheme="minorHAnsi"/>
          <w:bCs/>
          <w:snapToGrid w:val="0"/>
          <w:lang w:eastAsia="en-US"/>
        </w:rPr>
      </w:pPr>
      <w:r w:rsidRPr="009475AF">
        <w:rPr>
          <w:rFonts w:asciiTheme="minorHAnsi" w:hAnsiTheme="minorHAnsi"/>
          <w:bCs/>
          <w:snapToGrid w:val="0"/>
          <w:lang w:eastAsia="en-US"/>
        </w:rPr>
        <w:t>The restriction</w:t>
      </w:r>
      <w:r w:rsidR="006A4764" w:rsidRPr="009475AF">
        <w:rPr>
          <w:rFonts w:asciiTheme="minorHAnsi" w:hAnsiTheme="minorHAnsi"/>
          <w:bCs/>
          <w:snapToGrid w:val="0"/>
          <w:lang w:eastAsia="en-US"/>
        </w:rPr>
        <w:t>s</w:t>
      </w:r>
      <w:r w:rsidRPr="009475AF">
        <w:rPr>
          <w:rFonts w:asciiTheme="minorHAnsi" w:hAnsiTheme="minorHAnsi"/>
          <w:bCs/>
          <w:snapToGrid w:val="0"/>
          <w:lang w:eastAsia="en-US"/>
        </w:rPr>
        <w:t xml:space="preserve"> for omalizumab will require an update in its Prescriber Instructions to reflect that ‘A treatment break in PBS-subsidised biological medicine therapy of at least 12 months must be observed in a patient who has failed to achieve or sustain a response to treatment with 2 biological medicines within the same treatment cycle.’ The PBAC reaffirmed that a patient can only fail any biologics for severe asthma</w:t>
      </w:r>
      <w:r w:rsidR="000B4CF5">
        <w:rPr>
          <w:rFonts w:asciiTheme="minorHAnsi" w:hAnsiTheme="minorHAnsi"/>
          <w:bCs/>
          <w:snapToGrid w:val="0"/>
          <w:lang w:eastAsia="en-US"/>
        </w:rPr>
        <w:t>/severe allergic asthma</w:t>
      </w:r>
      <w:r w:rsidRPr="009475AF">
        <w:rPr>
          <w:rFonts w:asciiTheme="minorHAnsi" w:hAnsiTheme="minorHAnsi"/>
          <w:bCs/>
          <w:snapToGrid w:val="0"/>
          <w:lang w:eastAsia="en-US"/>
        </w:rPr>
        <w:t xml:space="preserve"> once within a treatment cycle. In addition, the PBAC reaffirmed that there is no limit to the number of treatment cycles in a lifetime for biological medicines for uncontrolled severe asthma</w:t>
      </w:r>
      <w:r w:rsidR="000B4CF5">
        <w:rPr>
          <w:rFonts w:asciiTheme="minorHAnsi" w:hAnsiTheme="minorHAnsi"/>
          <w:bCs/>
          <w:snapToGrid w:val="0"/>
          <w:lang w:eastAsia="en-US"/>
        </w:rPr>
        <w:t>/uncontrolled severe allergic asthma</w:t>
      </w:r>
      <w:r w:rsidRPr="009475AF">
        <w:rPr>
          <w:rFonts w:asciiTheme="minorHAnsi" w:hAnsiTheme="minorHAnsi"/>
          <w:bCs/>
          <w:snapToGrid w:val="0"/>
          <w:lang w:eastAsia="en-US"/>
        </w:rPr>
        <w:t>.</w:t>
      </w:r>
    </w:p>
    <w:p w14:paraId="3C3CDC96" w14:textId="3A38A148" w:rsidR="00CC053E" w:rsidRPr="009475AF" w:rsidRDefault="00CC053E" w:rsidP="00E14122">
      <w:pPr>
        <w:widowControl w:val="0"/>
        <w:numPr>
          <w:ilvl w:val="5"/>
          <w:numId w:val="45"/>
        </w:numPr>
        <w:spacing w:after="120"/>
        <w:ind w:left="1134"/>
        <w:rPr>
          <w:rFonts w:asciiTheme="minorHAnsi" w:hAnsiTheme="minorHAnsi"/>
          <w:bCs/>
          <w:snapToGrid w:val="0"/>
          <w:lang w:eastAsia="en-US"/>
        </w:rPr>
      </w:pPr>
      <w:r w:rsidRPr="009475AF">
        <w:rPr>
          <w:shd w:val="clear" w:color="auto" w:fill="FFFFFF"/>
        </w:rPr>
        <w:t>The PBAC noted that currently</w:t>
      </w:r>
      <w:r w:rsidR="00E11329" w:rsidRPr="009475AF">
        <w:rPr>
          <w:shd w:val="clear" w:color="auto" w:fill="FFFFFF"/>
        </w:rPr>
        <w:t xml:space="preserve"> the </w:t>
      </w:r>
      <w:r w:rsidRPr="009475AF">
        <w:rPr>
          <w:shd w:val="clear" w:color="auto" w:fill="FFFFFF"/>
        </w:rPr>
        <w:t xml:space="preserve">only available </w:t>
      </w:r>
      <w:r w:rsidR="00E11329" w:rsidRPr="009475AF">
        <w:rPr>
          <w:shd w:val="clear" w:color="auto" w:fill="FFFFFF"/>
        </w:rPr>
        <w:t xml:space="preserve">biological </w:t>
      </w:r>
      <w:r w:rsidRPr="009475AF">
        <w:rPr>
          <w:shd w:val="clear" w:color="auto" w:fill="FFFFFF"/>
        </w:rPr>
        <w:t xml:space="preserve">treatment option </w:t>
      </w:r>
      <w:r w:rsidR="00E11329" w:rsidRPr="009475AF">
        <w:rPr>
          <w:shd w:val="clear" w:color="auto" w:fill="FFFFFF"/>
        </w:rPr>
        <w:t xml:space="preserve">for paediatric patients </w:t>
      </w:r>
      <w:r w:rsidRPr="009475AF">
        <w:rPr>
          <w:shd w:val="clear" w:color="auto" w:fill="FFFFFF"/>
        </w:rPr>
        <w:t>is omalizumab, and for these patients</w:t>
      </w:r>
      <w:r w:rsidR="00E11329" w:rsidRPr="009475AF">
        <w:rPr>
          <w:shd w:val="clear" w:color="auto" w:fill="FFFFFF"/>
        </w:rPr>
        <w:t>,</w:t>
      </w:r>
      <w:r w:rsidRPr="009475AF">
        <w:rPr>
          <w:shd w:val="clear" w:color="auto" w:fill="FFFFFF"/>
        </w:rPr>
        <w:t xml:space="preserve"> completion of a treatment cycle is defined as when the patient has trialled and failed omalizumab once. The PBAC noted that this currently must then be followed by at least </w:t>
      </w:r>
      <w:r w:rsidR="00E14122" w:rsidRPr="009475AF">
        <w:rPr>
          <w:shd w:val="clear" w:color="auto" w:fill="FFFFFF"/>
        </w:rPr>
        <w:t>6</w:t>
      </w:r>
      <w:r w:rsidR="00E14122">
        <w:rPr>
          <w:shd w:val="clear" w:color="auto" w:fill="FFFFFF"/>
        </w:rPr>
        <w:t> </w:t>
      </w:r>
      <w:r w:rsidRPr="009475AF">
        <w:rPr>
          <w:shd w:val="clear" w:color="auto" w:fill="FFFFFF"/>
        </w:rPr>
        <w:t>months exclusion before the patient can re-start a new treatment cycle with omalizumab. Given these patients will now have an extra choice of dupilumab, the PBAC considered that the treatment break should be extended to 12 months once they have trialled and failed both omalizumab and dupilumab within a treatment cycle.</w:t>
      </w:r>
    </w:p>
    <w:p w14:paraId="3811478D" w14:textId="69457452" w:rsidR="002806E2" w:rsidRPr="009475AF" w:rsidRDefault="002806E2" w:rsidP="00E14122">
      <w:pPr>
        <w:pStyle w:val="ListParagraph"/>
        <w:numPr>
          <w:ilvl w:val="5"/>
          <w:numId w:val="45"/>
        </w:numPr>
        <w:ind w:left="1134"/>
        <w:rPr>
          <w:bCs/>
          <w:lang w:eastAsia="en-US"/>
        </w:rPr>
      </w:pPr>
      <w:r w:rsidRPr="009475AF">
        <w:rPr>
          <w:bCs/>
          <w:lang w:eastAsia="en-US"/>
        </w:rPr>
        <w:t>In the context of a treatment cycle, the PBAC also considered that since the proposed dupilumab restriction encompassed patients who would be eligible for omalizumab, but was also broader in that it would allow for patients with IgE levels of &lt; 30 IU/mL without allergic asthma to also be treated with dupilumab, the restriction</w:t>
      </w:r>
      <w:r w:rsidR="00290E7A" w:rsidRPr="009475AF">
        <w:rPr>
          <w:bCs/>
          <w:lang w:eastAsia="en-US"/>
        </w:rPr>
        <w:t>s</w:t>
      </w:r>
      <w:r w:rsidRPr="009475AF">
        <w:rPr>
          <w:bCs/>
          <w:lang w:eastAsia="en-US"/>
        </w:rPr>
        <w:t xml:space="preserve"> should ensure that while eligible patients treated with omalizumab should be able to switch to dupilumab, only eligible patients treated with dupilumab who initially qualified based on IgE levels should be able to switch to omalizumab. </w:t>
      </w:r>
    </w:p>
    <w:p w14:paraId="23C0DC90" w14:textId="5C650809" w:rsidR="00BC0976" w:rsidRPr="009475AF" w:rsidRDefault="00BC0976" w:rsidP="00E14122">
      <w:pPr>
        <w:pStyle w:val="3-BodyText"/>
        <w:rPr>
          <w:rFonts w:cs="Times New Roman"/>
          <w:b/>
          <w:bCs/>
          <w:lang w:eastAsia="en-US"/>
        </w:rPr>
      </w:pPr>
      <w:r w:rsidRPr="009475AF">
        <w:rPr>
          <w:lang w:eastAsia="en-US"/>
        </w:rPr>
        <w:t xml:space="preserve">The PBAC noted that its recommendation was on a cost-minimisation basis and advised that, because </w:t>
      </w:r>
      <w:r w:rsidR="00C55149" w:rsidRPr="009475AF">
        <w:rPr>
          <w:lang w:eastAsia="en-US"/>
        </w:rPr>
        <w:t>dupilumab</w:t>
      </w:r>
      <w:r w:rsidRPr="009475AF">
        <w:rPr>
          <w:lang w:eastAsia="en-US"/>
        </w:rPr>
        <w:t xml:space="preserve"> is not expected to provide a substantial</w:t>
      </w:r>
      <w:r w:rsidRPr="009475AF">
        <w:rPr>
          <w:rFonts w:cs="Times New Roman"/>
          <w:bCs/>
          <w:lang w:eastAsia="en-US"/>
        </w:rPr>
        <w:t xml:space="preserve"> and clinically relevant improvement in efficacy, or reduction of toxicity, over </w:t>
      </w:r>
      <w:r w:rsidR="00C55149" w:rsidRPr="009475AF">
        <w:rPr>
          <w:rFonts w:cs="Times New Roman"/>
          <w:bCs/>
          <w:lang w:eastAsia="en-US"/>
        </w:rPr>
        <w:t>omalizumab</w:t>
      </w:r>
      <w:r w:rsidRPr="009475AF">
        <w:rPr>
          <w:rFonts w:cs="Times New Roman"/>
          <w:bCs/>
          <w:lang w:eastAsia="en-US"/>
        </w:rPr>
        <w:t xml:space="preserve">, or not expected to address a high and urgent unmet clinical need given the presence of an alternative therapy, the criteria prescribed by the </w:t>
      </w:r>
      <w:r w:rsidRPr="009475AF">
        <w:rPr>
          <w:rFonts w:cs="Times New Roman"/>
          <w:bCs/>
          <w:i/>
          <w:lang w:eastAsia="en-US"/>
        </w:rPr>
        <w:t>National Health (Pharmaceuticals and Vaccines – Cost Recovery) Regulations 2022</w:t>
      </w:r>
      <w:r w:rsidRPr="009475AF">
        <w:rPr>
          <w:rFonts w:cs="Times New Roman"/>
          <w:bCs/>
          <w:lang w:eastAsia="en-US"/>
        </w:rPr>
        <w:t xml:space="preserve"> for Pricing Pathway A were not met.</w:t>
      </w:r>
    </w:p>
    <w:p w14:paraId="3435C526" w14:textId="07450D6D" w:rsidR="00BC0976" w:rsidRPr="009475AF" w:rsidRDefault="00BC0976" w:rsidP="00CA0F11">
      <w:pPr>
        <w:widowControl w:val="0"/>
        <w:numPr>
          <w:ilvl w:val="1"/>
          <w:numId w:val="1"/>
        </w:numPr>
        <w:spacing w:after="120"/>
        <w:rPr>
          <w:rFonts w:asciiTheme="minorHAnsi" w:hAnsiTheme="minorHAnsi"/>
          <w:bCs/>
          <w:snapToGrid w:val="0"/>
          <w:lang w:eastAsia="en-US"/>
        </w:rPr>
      </w:pPr>
      <w:r w:rsidRPr="009475AF">
        <w:rPr>
          <w:rFonts w:asciiTheme="minorHAnsi" w:hAnsiTheme="minorHAnsi"/>
          <w:bCs/>
          <w:snapToGrid w:val="0"/>
          <w:lang w:eastAsia="en-US"/>
        </w:rPr>
        <w:t>The PBAC noted that this submission is not eligible for an Independent Review</w:t>
      </w:r>
      <w:r w:rsidR="00C55149" w:rsidRPr="009475AF">
        <w:rPr>
          <w:rFonts w:asciiTheme="minorHAnsi" w:hAnsiTheme="minorHAnsi"/>
          <w:bCs/>
          <w:snapToGrid w:val="0"/>
          <w:lang w:eastAsia="en-US"/>
        </w:rPr>
        <w:t xml:space="preserve"> since it received a positive recommendation</w:t>
      </w:r>
      <w:r w:rsidRPr="009475AF">
        <w:rPr>
          <w:rFonts w:asciiTheme="minorHAnsi" w:hAnsiTheme="minorHAnsi"/>
          <w:bCs/>
          <w:snapToGrid w:val="0"/>
          <w:lang w:eastAsia="en-US"/>
        </w:rPr>
        <w:t xml:space="preserve">. </w:t>
      </w:r>
    </w:p>
    <w:p w14:paraId="0DD92411" w14:textId="77777777" w:rsidR="00BC0976" w:rsidRPr="009475AF" w:rsidRDefault="00BC0976" w:rsidP="00BC0976">
      <w:pPr>
        <w:spacing w:before="240"/>
        <w:rPr>
          <w:rFonts w:asciiTheme="minorHAnsi" w:hAnsiTheme="minorHAnsi"/>
          <w:b/>
          <w:bCs/>
          <w:snapToGrid w:val="0"/>
          <w:lang w:eastAsia="en-US"/>
        </w:rPr>
      </w:pPr>
      <w:r w:rsidRPr="009475AF">
        <w:rPr>
          <w:rFonts w:asciiTheme="minorHAnsi" w:hAnsiTheme="minorHAnsi"/>
          <w:b/>
          <w:bCs/>
          <w:snapToGrid w:val="0"/>
          <w:lang w:eastAsia="en-US"/>
        </w:rPr>
        <w:t>Outcome:</w:t>
      </w:r>
    </w:p>
    <w:p w14:paraId="3CC7CE9A" w14:textId="6200FBC4" w:rsidR="00BC0976" w:rsidRPr="009475AF" w:rsidRDefault="00BC0976" w:rsidP="003A2464">
      <w:pPr>
        <w:spacing w:after="120"/>
        <w:rPr>
          <w:rFonts w:asciiTheme="minorHAnsi" w:hAnsiTheme="minorHAnsi"/>
          <w:b/>
          <w:bCs/>
          <w:snapToGrid w:val="0"/>
          <w:lang w:eastAsia="en-US"/>
        </w:rPr>
      </w:pPr>
      <w:r w:rsidRPr="009475AF">
        <w:rPr>
          <w:rFonts w:asciiTheme="minorHAnsi" w:hAnsiTheme="minorHAnsi"/>
          <w:bCs/>
          <w:snapToGrid w:val="0"/>
          <w:lang w:eastAsia="en-US"/>
        </w:rPr>
        <w:t xml:space="preserve">Recommended </w:t>
      </w:r>
    </w:p>
    <w:bookmarkEnd w:id="57"/>
    <w:p w14:paraId="07A12C1F" w14:textId="77777777" w:rsidR="00BC0976" w:rsidRPr="009475AF" w:rsidRDefault="00BC0976" w:rsidP="00491427">
      <w:pPr>
        <w:pStyle w:val="2-SectionHeading"/>
        <w:rPr>
          <w:iCs/>
        </w:rPr>
      </w:pPr>
      <w:r w:rsidRPr="009475AF">
        <w:t>Recommended listing</w:t>
      </w:r>
    </w:p>
    <w:p w14:paraId="6015B8FA" w14:textId="5DE36A96" w:rsidR="00BC0976" w:rsidRPr="009475AF" w:rsidRDefault="00BC0976" w:rsidP="0072594F">
      <w:pPr>
        <w:widowControl w:val="0"/>
        <w:numPr>
          <w:ilvl w:val="1"/>
          <w:numId w:val="1"/>
        </w:numPr>
        <w:spacing w:after="120"/>
        <w:contextualSpacing/>
        <w:jc w:val="left"/>
        <w:rPr>
          <w:rFonts w:asciiTheme="minorHAnsi" w:hAnsiTheme="minorHAnsi"/>
          <w:bCs/>
          <w:snapToGrid w:val="0"/>
          <w:lang w:eastAsia="en-US"/>
        </w:rPr>
      </w:pPr>
      <w:bookmarkStart w:id="61" w:name="_Hlk161736709"/>
      <w:r w:rsidRPr="009475AF">
        <w:rPr>
          <w:rFonts w:asciiTheme="minorHAnsi" w:hAnsiTheme="minorHAnsi"/>
          <w:bCs/>
          <w:snapToGrid w:val="0"/>
          <w:lang w:eastAsia="en-US"/>
        </w:rPr>
        <w:t>A</w:t>
      </w:r>
      <w:r w:rsidR="00585A3D" w:rsidRPr="009475AF">
        <w:rPr>
          <w:rFonts w:asciiTheme="minorHAnsi" w:hAnsiTheme="minorHAnsi"/>
          <w:bCs/>
          <w:snapToGrid w:val="0"/>
          <w:lang w:eastAsia="en-US"/>
        </w:rPr>
        <w:t xml:space="preserve">dd new items as </w:t>
      </w:r>
      <w:r w:rsidRPr="009475AF">
        <w:rPr>
          <w:rFonts w:asciiTheme="minorHAnsi" w:hAnsiTheme="minorHAnsi"/>
          <w:bCs/>
          <w:snapToGrid w:val="0"/>
          <w:lang w:eastAsia="en-US"/>
        </w:rPr>
        <w:t>follows:</w:t>
      </w:r>
    </w:p>
    <w:bookmarkEnd w:id="61"/>
    <w:p w14:paraId="56853E9B" w14:textId="77777777" w:rsidR="00CA0F11" w:rsidRPr="009475AF" w:rsidRDefault="00CA0F11" w:rsidP="00CA0F11">
      <w:pPr>
        <w:widowControl w:val="0"/>
        <w:spacing w:after="120"/>
        <w:contextualSpacing/>
        <w:jc w:val="left"/>
        <w:rPr>
          <w:rFonts w:asciiTheme="minorHAnsi" w:hAnsiTheme="minorHAnsi"/>
          <w:bCs/>
          <w:snapToGrid w:val="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2125"/>
        <w:gridCol w:w="1354"/>
        <w:gridCol w:w="812"/>
        <w:gridCol w:w="811"/>
        <w:gridCol w:w="812"/>
        <w:gridCol w:w="1831"/>
      </w:tblGrid>
      <w:tr w:rsidR="00CA0F11" w:rsidRPr="009475AF" w14:paraId="26B85D32" w14:textId="77777777" w:rsidTr="00286797">
        <w:trPr>
          <w:cantSplit/>
          <w:trHeight w:val="20"/>
        </w:trPr>
        <w:tc>
          <w:tcPr>
            <w:tcW w:w="3397" w:type="dxa"/>
            <w:gridSpan w:val="3"/>
            <w:vAlign w:val="center"/>
          </w:tcPr>
          <w:p w14:paraId="2891C43E" w14:textId="77777777" w:rsidR="00CA0F11" w:rsidRPr="009475AF" w:rsidRDefault="00CA0F11" w:rsidP="00CA0F11">
            <w:pPr>
              <w:keepLines/>
              <w:rPr>
                <w:rFonts w:ascii="Arial Narrow" w:hAnsi="Arial Narrow"/>
                <w:b/>
                <w:bCs/>
                <w:sz w:val="20"/>
                <w:szCs w:val="20"/>
              </w:rPr>
            </w:pPr>
            <w:r w:rsidRPr="009475AF">
              <w:rPr>
                <w:rFonts w:ascii="Arial Narrow" w:hAnsi="Arial Narrow"/>
                <w:b/>
                <w:bCs/>
                <w:sz w:val="20"/>
                <w:szCs w:val="20"/>
              </w:rPr>
              <w:t>MEDICINAL PRODUCT</w:t>
            </w:r>
          </w:p>
          <w:p w14:paraId="023668B6" w14:textId="7B2258A9" w:rsidR="00CA0F11" w:rsidRPr="009475AF" w:rsidRDefault="00CA0F11" w:rsidP="00CA0F11">
            <w:pPr>
              <w:pStyle w:val="5-SubsectionSubheading"/>
            </w:pPr>
            <w:r w:rsidRPr="009475AF">
              <w:rPr>
                <w:rFonts w:ascii="Arial Narrow" w:hAnsi="Arial Narrow"/>
                <w:bCs/>
                <w:sz w:val="20"/>
                <w:szCs w:val="20"/>
              </w:rPr>
              <w:t>medicinal product pack</w:t>
            </w:r>
          </w:p>
        </w:tc>
        <w:tc>
          <w:tcPr>
            <w:tcW w:w="1354" w:type="dxa"/>
            <w:vAlign w:val="center"/>
          </w:tcPr>
          <w:p w14:paraId="7C5BB560"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PBS item code</w:t>
            </w:r>
          </w:p>
        </w:tc>
        <w:tc>
          <w:tcPr>
            <w:tcW w:w="812" w:type="dxa"/>
            <w:vAlign w:val="center"/>
          </w:tcPr>
          <w:p w14:paraId="654A2AF9"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packs</w:t>
            </w:r>
          </w:p>
        </w:tc>
        <w:tc>
          <w:tcPr>
            <w:tcW w:w="811" w:type="dxa"/>
            <w:vAlign w:val="center"/>
          </w:tcPr>
          <w:p w14:paraId="695F700A"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units</w:t>
            </w:r>
          </w:p>
        </w:tc>
        <w:tc>
          <w:tcPr>
            <w:tcW w:w="812" w:type="dxa"/>
            <w:vAlign w:val="center"/>
          </w:tcPr>
          <w:p w14:paraId="0D5A2AD1"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№.of</w:t>
            </w:r>
          </w:p>
          <w:p w14:paraId="57295F14"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Rpts</w:t>
            </w:r>
          </w:p>
        </w:tc>
        <w:tc>
          <w:tcPr>
            <w:tcW w:w="1831" w:type="dxa"/>
            <w:vAlign w:val="center"/>
          </w:tcPr>
          <w:p w14:paraId="69316338"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Available brands</w:t>
            </w:r>
          </w:p>
        </w:tc>
      </w:tr>
      <w:tr w:rsidR="00CA0F11" w:rsidRPr="009475AF" w14:paraId="5BABE364" w14:textId="77777777" w:rsidTr="00286797">
        <w:trPr>
          <w:cantSplit/>
          <w:trHeight w:val="20"/>
        </w:trPr>
        <w:tc>
          <w:tcPr>
            <w:tcW w:w="9017" w:type="dxa"/>
            <w:gridSpan w:val="8"/>
            <w:vAlign w:val="center"/>
          </w:tcPr>
          <w:p w14:paraId="09DC18B1"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w:t>
            </w:r>
          </w:p>
        </w:tc>
      </w:tr>
      <w:tr w:rsidR="00CA0F11" w:rsidRPr="009475AF" w14:paraId="415FEE10" w14:textId="77777777" w:rsidTr="00286797">
        <w:trPr>
          <w:cantSplit/>
          <w:trHeight w:val="20"/>
        </w:trPr>
        <w:tc>
          <w:tcPr>
            <w:tcW w:w="3397" w:type="dxa"/>
            <w:gridSpan w:val="3"/>
            <w:vAlign w:val="center"/>
          </w:tcPr>
          <w:p w14:paraId="6C3F49CB"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200 mg/1.14 mL injection, 2 x 1.14mL </w:t>
            </w:r>
          </w:p>
        </w:tc>
        <w:tc>
          <w:tcPr>
            <w:tcW w:w="1354" w:type="dxa"/>
            <w:vAlign w:val="center"/>
          </w:tcPr>
          <w:p w14:paraId="52FEE21D"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173545A2"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71BD1C2F"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7EEF2A16"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382E874D" w14:textId="4D22CF15" w:rsidR="00CA0F11" w:rsidRPr="009475AF" w:rsidRDefault="00CA0F11" w:rsidP="00286797">
            <w:pPr>
              <w:keepLines/>
              <w:jc w:val="center"/>
              <w:rPr>
                <w:rFonts w:ascii="Arial Narrow" w:hAnsi="Arial Narrow"/>
                <w:sz w:val="20"/>
                <w:szCs w:val="20"/>
              </w:rPr>
            </w:pPr>
            <w:r w:rsidRPr="009475AF">
              <w:rPr>
                <w:rFonts w:ascii="Arial Narrow" w:hAnsi="Arial Narrow"/>
                <w:i/>
                <w:iCs/>
                <w:sz w:val="20"/>
                <w:szCs w:val="20"/>
              </w:rPr>
              <w:t>7</w:t>
            </w:r>
          </w:p>
        </w:tc>
        <w:tc>
          <w:tcPr>
            <w:tcW w:w="1831" w:type="dxa"/>
            <w:vAlign w:val="center"/>
          </w:tcPr>
          <w:p w14:paraId="6C0971CE"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67F1FCD7" w14:textId="77777777" w:rsidTr="00286797">
        <w:trPr>
          <w:cantSplit/>
          <w:trHeight w:val="20"/>
        </w:trPr>
        <w:tc>
          <w:tcPr>
            <w:tcW w:w="3397" w:type="dxa"/>
            <w:gridSpan w:val="3"/>
            <w:vAlign w:val="center"/>
          </w:tcPr>
          <w:p w14:paraId="183CA9F7"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dupilumab 300 mg/2 mL injection, 2 x 2mL syringes</w:t>
            </w:r>
          </w:p>
        </w:tc>
        <w:tc>
          <w:tcPr>
            <w:tcW w:w="1354" w:type="dxa"/>
            <w:vAlign w:val="center"/>
          </w:tcPr>
          <w:p w14:paraId="6A512D83"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474BF10D"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476B603B"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7D578F79"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2327FF35"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3</w:t>
            </w:r>
          </w:p>
        </w:tc>
        <w:tc>
          <w:tcPr>
            <w:tcW w:w="1831" w:type="dxa"/>
            <w:vAlign w:val="center"/>
          </w:tcPr>
          <w:p w14:paraId="50765D9C"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76B33575" w14:textId="77777777" w:rsidTr="0028679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97DB5C5" w14:textId="77777777" w:rsidR="00CA0F11" w:rsidRPr="009475AF" w:rsidRDefault="00CA0F11" w:rsidP="00286797">
            <w:pPr>
              <w:rPr>
                <w:rFonts w:ascii="Arial Narrow" w:hAnsi="Arial Narrow"/>
                <w:sz w:val="20"/>
                <w:szCs w:val="20"/>
              </w:rPr>
            </w:pPr>
          </w:p>
        </w:tc>
      </w:tr>
      <w:tr w:rsidR="00CA0F11" w:rsidRPr="009475AF" w14:paraId="084801E3" w14:textId="77777777" w:rsidTr="0028679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416C31D" w14:textId="2EC9ECD1"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Restriction Summary edit / Treatment of Concept: edit </w:t>
            </w:r>
          </w:p>
        </w:tc>
      </w:tr>
      <w:tr w:rsidR="00CA0F11" w:rsidRPr="009475AF" w14:paraId="37391633"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D7D067B" w14:textId="77777777" w:rsidR="00CA0F11" w:rsidRPr="009475AF" w:rsidRDefault="00CA0F11" w:rsidP="00286797">
            <w:pPr>
              <w:jc w:val="center"/>
              <w:rPr>
                <w:rFonts w:ascii="Arial Narrow" w:hAnsi="Arial Narrow"/>
                <w:b/>
                <w:sz w:val="20"/>
                <w:szCs w:val="20"/>
              </w:rPr>
            </w:pPr>
            <w:r w:rsidRPr="009475AF">
              <w:rPr>
                <w:rFonts w:ascii="Arial Narrow" w:hAnsi="Arial Narrow"/>
                <w:b/>
                <w:sz w:val="20"/>
                <w:szCs w:val="20"/>
              </w:rPr>
              <w:t xml:space="preserve">Concept ID </w:t>
            </w:r>
            <w:r w:rsidRPr="009475AF">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6E6C2F" w14:textId="77777777" w:rsidR="00CA0F11" w:rsidRPr="009475AF" w:rsidRDefault="00CA0F11" w:rsidP="00286797">
            <w:pPr>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CA0F11" w:rsidRPr="009475AF" w14:paraId="4D3EE32D"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2415752D"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3D003C"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CA0F11" w:rsidRPr="009475AF" w14:paraId="4C200903"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009E05FA"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57E604" w14:textId="77777777" w:rsidR="00CA0F11" w:rsidRPr="009475AF" w:rsidRDefault="00CA0F11" w:rsidP="00286797">
            <w:pPr>
              <w:keepLines/>
              <w:rPr>
                <w:rFonts w:ascii="Arial Narrow" w:eastAsia="Calibri" w:hAnsi="Arial Narrow"/>
                <w:color w:val="FF0000"/>
                <w:sz w:val="20"/>
                <w:szCs w:val="20"/>
              </w:rPr>
            </w:pPr>
            <w:r w:rsidRPr="009475AF">
              <w:rPr>
                <w:rFonts w:ascii="Arial Narrow" w:hAnsi="Arial Narrow"/>
                <w:b/>
                <w:sz w:val="20"/>
                <w:szCs w:val="20"/>
              </w:rPr>
              <w:t>Restriction type:</w:t>
            </w:r>
            <w:r w:rsidRPr="009475AF">
              <w:rPr>
                <w:rFonts w:ascii="Arial Narrow" w:eastAsia="Calibri" w:hAnsi="Arial Narrow"/>
                <w:color w:val="FF0000"/>
                <w:sz w:val="20"/>
                <w:szCs w:val="20"/>
              </w:rPr>
              <w:t xml:space="preserv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(in writing only via post/HPOS upload) </w:t>
            </w:r>
          </w:p>
        </w:tc>
      </w:tr>
      <w:tr w:rsidR="00CA0F11" w:rsidRPr="009475AF" w14:paraId="5B2FDE42" w14:textId="77777777" w:rsidTr="00286797">
        <w:tblPrEx>
          <w:tblCellMar>
            <w:top w:w="15" w:type="dxa"/>
            <w:bottom w:w="15" w:type="dxa"/>
          </w:tblCellMar>
          <w:tblLook w:val="04A0" w:firstRow="1" w:lastRow="0" w:firstColumn="1" w:lastColumn="0" w:noHBand="0" w:noVBand="1"/>
        </w:tblPrEx>
        <w:trPr>
          <w:trHeight w:val="20"/>
        </w:trPr>
        <w:tc>
          <w:tcPr>
            <w:tcW w:w="563" w:type="dxa"/>
            <w:vMerge w:val="restart"/>
            <w:tcBorders>
              <w:left w:val="single" w:sz="4" w:space="0" w:color="auto"/>
              <w:right w:val="single" w:sz="4" w:space="0" w:color="auto"/>
            </w:tcBorders>
            <w:textDirection w:val="btLr"/>
            <w:vAlign w:val="center"/>
          </w:tcPr>
          <w:p w14:paraId="04068A11" w14:textId="138EC826" w:rsidR="00CA0F11" w:rsidRPr="009475AF" w:rsidRDefault="00CA0F11" w:rsidP="00286797">
            <w:pPr>
              <w:jc w:val="center"/>
              <w:rPr>
                <w:rFonts w:ascii="Arial Narrow" w:hAnsi="Arial Narrow"/>
                <w:sz w:val="20"/>
                <w:szCs w:val="20"/>
              </w:rPr>
            </w:pPr>
          </w:p>
        </w:tc>
        <w:tc>
          <w:tcPr>
            <w:tcW w:w="709" w:type="dxa"/>
            <w:vAlign w:val="center"/>
          </w:tcPr>
          <w:p w14:paraId="09EB56B7" w14:textId="18579EF0"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46A6839"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212D1FF6" w14:textId="74640344" w:rsidR="00CA0F11" w:rsidRPr="009475AF" w:rsidRDefault="00CA0F11" w:rsidP="00286797">
            <w:pPr>
              <w:rPr>
                <w:rFonts w:ascii="Arial Narrow" w:hAnsi="Arial Narrow"/>
                <w:sz w:val="20"/>
                <w:szCs w:val="20"/>
              </w:rPr>
            </w:pPr>
            <w:r w:rsidRPr="009475AF">
              <w:rPr>
                <w:rFonts w:ascii="Arial Narrow" w:hAnsi="Arial Narrow"/>
                <w:sz w:val="20"/>
                <w:szCs w:val="20"/>
              </w:rPr>
              <w:t>See overarching administrative note below</w:t>
            </w:r>
            <w:r w:rsidR="009475AF">
              <w:rPr>
                <w:rFonts w:ascii="Arial Narrow" w:hAnsi="Arial Narrow"/>
                <w:sz w:val="20"/>
                <w:szCs w:val="20"/>
              </w:rPr>
              <w:t xml:space="preserve">. </w:t>
            </w:r>
          </w:p>
        </w:tc>
      </w:tr>
      <w:tr w:rsidR="00CA0F11" w:rsidRPr="009475AF" w14:paraId="0C8C07F9" w14:textId="77777777" w:rsidTr="00286797">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566E652A" w14:textId="77777777" w:rsidR="00CA0F11" w:rsidRPr="009475AF" w:rsidRDefault="00CA0F11" w:rsidP="00286797">
            <w:pPr>
              <w:rPr>
                <w:rFonts w:ascii="Arial Narrow" w:hAnsi="Arial Narrow"/>
                <w:sz w:val="20"/>
                <w:szCs w:val="20"/>
              </w:rPr>
            </w:pPr>
          </w:p>
        </w:tc>
        <w:tc>
          <w:tcPr>
            <w:tcW w:w="709" w:type="dxa"/>
            <w:vAlign w:val="center"/>
          </w:tcPr>
          <w:p w14:paraId="642BD845" w14:textId="74791801"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0114AB02"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10F11A56" w14:textId="77777777" w:rsidR="00CA0F11" w:rsidRPr="009475AF" w:rsidRDefault="00CA0F11" w:rsidP="00286797">
            <w:pPr>
              <w:rPr>
                <w:rFonts w:ascii="Arial Narrow" w:hAnsi="Arial Narrow"/>
                <w:b/>
                <w:bCs/>
                <w:color w:val="333333"/>
                <w:sz w:val="20"/>
                <w:szCs w:val="20"/>
              </w:rPr>
            </w:pPr>
            <w:r w:rsidRPr="009475AF">
              <w:rPr>
                <w:rFonts w:ascii="Arial Narrow" w:hAnsi="Arial Narrow"/>
                <w:color w:val="333333"/>
                <w:sz w:val="20"/>
                <w:szCs w:val="20"/>
              </w:rPr>
              <w:t>No increase in the maximum number of repeats may be authorised.</w:t>
            </w:r>
          </w:p>
        </w:tc>
      </w:tr>
      <w:tr w:rsidR="00CA0F11" w:rsidRPr="009475AF" w14:paraId="41534C43" w14:textId="77777777" w:rsidTr="00286797">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731A994F" w14:textId="77777777" w:rsidR="00CA0F11" w:rsidRPr="009475AF" w:rsidRDefault="00CA0F11" w:rsidP="00286797">
            <w:pPr>
              <w:rPr>
                <w:rFonts w:ascii="Arial Narrow" w:hAnsi="Arial Narrow"/>
                <w:sz w:val="20"/>
                <w:szCs w:val="20"/>
              </w:rPr>
            </w:pPr>
          </w:p>
        </w:tc>
        <w:tc>
          <w:tcPr>
            <w:tcW w:w="709" w:type="dxa"/>
            <w:vAlign w:val="center"/>
          </w:tcPr>
          <w:p w14:paraId="5E785695" w14:textId="649ACEC1"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499E837F"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61277228"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Special Pricing Arrangements apply.</w:t>
            </w:r>
          </w:p>
        </w:tc>
      </w:tr>
      <w:tr w:rsidR="00CA0F11" w:rsidRPr="009475AF" w14:paraId="044E1A3A"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A1771D" w14:textId="21FAADA3" w:rsidR="00CA0F11" w:rsidRPr="009475AF" w:rsidRDefault="00CA0F11" w:rsidP="00286797">
            <w:pPr>
              <w:keepLines/>
              <w:jc w:val="center"/>
              <w:rPr>
                <w:rFonts w:ascii="Arial Narrow" w:hAnsi="Arial Narrow"/>
                <w:color w:val="333333"/>
                <w:sz w:val="20"/>
                <w:szCs w:val="20"/>
              </w:rPr>
            </w:pPr>
          </w:p>
        </w:tc>
        <w:tc>
          <w:tcPr>
            <w:tcW w:w="7745" w:type="dxa"/>
            <w:gridSpan w:val="6"/>
            <w:vAlign w:val="center"/>
            <w:hideMark/>
          </w:tcPr>
          <w:p w14:paraId="54636608" w14:textId="77777777" w:rsidR="00CA0F11" w:rsidRPr="009475AF" w:rsidRDefault="00CA0F11" w:rsidP="00286797">
            <w:pPr>
              <w:keepLines/>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 </w:t>
            </w:r>
          </w:p>
        </w:tc>
      </w:tr>
      <w:tr w:rsidR="00CA0F11" w:rsidRPr="009475AF" w14:paraId="58EFC7E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350C3F7"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0C7AAA9C"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Initial treatment 1 – (New patient; or Recommencement of treatment in a new treatment cycle following a break in PBS-subsidised biological medicine therapy)</w:t>
            </w:r>
          </w:p>
        </w:tc>
      </w:tr>
      <w:tr w:rsidR="00CA0F11" w:rsidRPr="009475AF" w14:paraId="48D893D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D51A0D"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6755277B" w14:textId="77777777" w:rsidR="00CA0F11" w:rsidRPr="009475AF" w:rsidRDefault="00CA0F11" w:rsidP="00286797">
            <w:pPr>
              <w:rPr>
                <w:rFonts w:ascii="Arial Narrow" w:hAnsi="Arial Narrow"/>
                <w:b/>
                <w:bCs/>
                <w:color w:val="333333"/>
                <w:sz w:val="20"/>
                <w:szCs w:val="20"/>
              </w:rPr>
            </w:pPr>
          </w:p>
        </w:tc>
      </w:tr>
      <w:tr w:rsidR="00CA0F11" w:rsidRPr="009475AF" w14:paraId="2806310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ABAC9E" w14:textId="3BDE4A3B"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5009EE42"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Clinical criteria:</w:t>
            </w:r>
          </w:p>
        </w:tc>
      </w:tr>
      <w:tr w:rsidR="00CA0F11" w:rsidRPr="009475AF" w14:paraId="7E02EF2D"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944F63" w14:textId="28E412CB"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4B63B05" w14:textId="6595A76F"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not have received PBS-subsidised treatment with a biological medicine for </w:t>
            </w:r>
            <w:r w:rsidR="000B4CF5">
              <w:rPr>
                <w:rFonts w:ascii="Arial Narrow" w:hAnsi="Arial Narrow"/>
                <w:color w:val="333333"/>
                <w:sz w:val="20"/>
                <w:szCs w:val="20"/>
              </w:rPr>
              <w:t xml:space="preserve">either: (i) </w:t>
            </w:r>
            <w:r w:rsidRPr="009475AF">
              <w:rPr>
                <w:rFonts w:ascii="Arial Narrow" w:hAnsi="Arial Narrow"/>
                <w:color w:val="333333"/>
                <w:sz w:val="20"/>
                <w:szCs w:val="20"/>
              </w:rPr>
              <w:t>severe asthma</w:t>
            </w:r>
            <w:r w:rsidR="000B4CF5">
              <w:rPr>
                <w:rFonts w:ascii="Arial Narrow" w:hAnsi="Arial Narrow"/>
                <w:color w:val="333333"/>
                <w:sz w:val="20"/>
                <w:szCs w:val="20"/>
              </w:rPr>
              <w:t>, (ii) severe allergic asthma</w:t>
            </w:r>
            <w:r w:rsidRPr="009475AF">
              <w:rPr>
                <w:rFonts w:ascii="Arial Narrow" w:hAnsi="Arial Narrow"/>
                <w:color w:val="333333"/>
                <w:sz w:val="20"/>
                <w:szCs w:val="20"/>
              </w:rPr>
              <w:t xml:space="preserve">; or </w:t>
            </w:r>
          </w:p>
        </w:tc>
      </w:tr>
      <w:tr w:rsidR="00CA0F11" w:rsidRPr="009475AF" w14:paraId="4C22E1AF"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9E92AC" w14:textId="277357FC" w:rsidR="00DF57AB" w:rsidRPr="009475AF" w:rsidRDefault="00DF57AB" w:rsidP="00286797">
            <w:pPr>
              <w:jc w:val="center"/>
              <w:rPr>
                <w:rFonts w:ascii="Arial Narrow" w:hAnsi="Arial Narrow"/>
                <w:color w:val="333333"/>
                <w:sz w:val="20"/>
                <w:szCs w:val="20"/>
              </w:rPr>
            </w:pPr>
          </w:p>
        </w:tc>
        <w:tc>
          <w:tcPr>
            <w:tcW w:w="7745" w:type="dxa"/>
            <w:gridSpan w:val="6"/>
            <w:vAlign w:val="center"/>
          </w:tcPr>
          <w:p w14:paraId="4B6DBE1B" w14:textId="10B46D34"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had a break in treatment from the most recently approved PBS-subsidised biological medicine for </w:t>
            </w:r>
            <w:r w:rsidR="00DF57AB">
              <w:rPr>
                <w:rFonts w:ascii="Arial Narrow" w:hAnsi="Arial Narrow"/>
                <w:color w:val="333333"/>
                <w:sz w:val="20"/>
                <w:szCs w:val="20"/>
              </w:rPr>
              <w:t xml:space="preserve">either: (i) </w:t>
            </w:r>
            <w:r w:rsidRPr="009475AF">
              <w:rPr>
                <w:rFonts w:ascii="Arial Narrow" w:hAnsi="Arial Narrow"/>
                <w:color w:val="333333"/>
                <w:sz w:val="20"/>
                <w:szCs w:val="20"/>
              </w:rPr>
              <w:t>severe asthma</w:t>
            </w:r>
            <w:r w:rsidR="00DF57AB">
              <w:rPr>
                <w:rFonts w:ascii="Arial Narrow" w:hAnsi="Arial Narrow"/>
                <w:color w:val="333333"/>
                <w:sz w:val="20"/>
                <w:szCs w:val="20"/>
              </w:rPr>
              <w:t>, (ii) severe allergic asthma</w:t>
            </w:r>
          </w:p>
        </w:tc>
      </w:tr>
      <w:tr w:rsidR="00CA0F11" w:rsidRPr="009475AF" w14:paraId="6621DADF"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38C22D"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97E1CC1"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AND</w:t>
            </w:r>
          </w:p>
        </w:tc>
      </w:tr>
      <w:tr w:rsidR="00CA0F11" w:rsidRPr="009475AF" w14:paraId="3E2916EA"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D69725" w14:textId="74CE1005"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2714321"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 xml:space="preserve">Clinical criteria: </w:t>
            </w:r>
          </w:p>
        </w:tc>
      </w:tr>
      <w:tr w:rsidR="00CA0F11" w:rsidRPr="009475AF" w14:paraId="4886B980"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60E540" w14:textId="3A12AE46" w:rsidR="00DF57AB" w:rsidRPr="009475AF" w:rsidRDefault="00DF57AB" w:rsidP="00286797">
            <w:pPr>
              <w:jc w:val="center"/>
              <w:rPr>
                <w:rFonts w:ascii="Arial Narrow" w:hAnsi="Arial Narrow"/>
                <w:color w:val="333333"/>
                <w:sz w:val="20"/>
                <w:szCs w:val="20"/>
              </w:rPr>
            </w:pPr>
          </w:p>
        </w:tc>
        <w:tc>
          <w:tcPr>
            <w:tcW w:w="7745" w:type="dxa"/>
            <w:gridSpan w:val="6"/>
            <w:vAlign w:val="center"/>
            <w:hideMark/>
          </w:tcPr>
          <w:p w14:paraId="2547A4B7" w14:textId="620F0232" w:rsidR="00CA0F11" w:rsidRPr="009475AF" w:rsidRDefault="00CA0F11" w:rsidP="00286797">
            <w:pPr>
              <w:rPr>
                <w:rFonts w:ascii="Arial Narrow" w:hAnsi="Arial Narrow"/>
                <w:color w:val="333333"/>
                <w:sz w:val="20"/>
                <w:szCs w:val="20"/>
              </w:rPr>
            </w:pPr>
            <w:r w:rsidRPr="009475AF">
              <w:rPr>
                <w:rFonts w:ascii="Arial Narrow" w:hAnsi="Arial Narrow"/>
                <w:sz w:val="20"/>
                <w:szCs w:val="20"/>
              </w:rPr>
              <w:t xml:space="preserve">Patient must have a diagnosis of asthma confirmed and documented </w:t>
            </w:r>
            <w:r w:rsidR="00DF57AB">
              <w:rPr>
                <w:rFonts w:ascii="Arial Narrow" w:hAnsi="Arial Narrow"/>
                <w:sz w:val="20"/>
                <w:szCs w:val="20"/>
              </w:rPr>
              <w:t xml:space="preserve">in the patient’s medical records </w:t>
            </w:r>
            <w:r w:rsidRPr="009475AF">
              <w:rPr>
                <w:rFonts w:ascii="Arial Narrow" w:hAnsi="Arial Narrow"/>
                <w:sz w:val="20"/>
                <w:szCs w:val="20"/>
              </w:rPr>
              <w:t>by</w:t>
            </w:r>
            <w:r w:rsidR="00DF57AB">
              <w:rPr>
                <w:rFonts w:ascii="Arial Narrow" w:hAnsi="Arial Narrow"/>
                <w:sz w:val="20"/>
                <w:szCs w:val="20"/>
              </w:rPr>
              <w:t xml:space="preserve"> either: (i) </w:t>
            </w:r>
            <w:r w:rsidRPr="009475AF">
              <w:rPr>
                <w:rFonts w:ascii="Arial Narrow" w:hAnsi="Arial Narrow"/>
                <w:sz w:val="20"/>
                <w:szCs w:val="20"/>
              </w:rPr>
              <w:t xml:space="preserve"> a paediatric respiratory physician, </w:t>
            </w:r>
            <w:r w:rsidR="00DF57AB">
              <w:rPr>
                <w:rFonts w:ascii="Arial Narrow" w:hAnsi="Arial Narrow"/>
                <w:sz w:val="20"/>
                <w:szCs w:val="20"/>
              </w:rPr>
              <w:t xml:space="preserve">(ii) </w:t>
            </w:r>
            <w:r w:rsidRPr="009475AF">
              <w:rPr>
                <w:rFonts w:ascii="Arial Narrow" w:hAnsi="Arial Narrow"/>
                <w:sz w:val="20"/>
                <w:szCs w:val="20"/>
              </w:rPr>
              <w:t xml:space="preserve">clinical immunologist,  </w:t>
            </w:r>
            <w:r w:rsidR="00DF57AB">
              <w:rPr>
                <w:rFonts w:ascii="Arial Narrow" w:hAnsi="Arial Narrow"/>
                <w:sz w:val="20"/>
                <w:szCs w:val="20"/>
              </w:rPr>
              <w:t xml:space="preserve">(iii) </w:t>
            </w:r>
            <w:r w:rsidRPr="009475AF">
              <w:rPr>
                <w:rFonts w:ascii="Arial Narrow" w:hAnsi="Arial Narrow"/>
                <w:sz w:val="20"/>
                <w:szCs w:val="20"/>
              </w:rPr>
              <w:t>allergist</w:t>
            </w:r>
            <w:r w:rsidR="00DF57AB">
              <w:rPr>
                <w:rFonts w:ascii="Arial Narrow" w:hAnsi="Arial Narrow"/>
                <w:sz w:val="20"/>
                <w:szCs w:val="20"/>
              </w:rPr>
              <w:t>,</w:t>
            </w:r>
            <w:r w:rsidRPr="009475AF">
              <w:rPr>
                <w:rFonts w:ascii="Arial Narrow" w:hAnsi="Arial Narrow"/>
                <w:sz w:val="20"/>
                <w:szCs w:val="20"/>
              </w:rPr>
              <w:t xml:space="preserve"> </w:t>
            </w:r>
            <w:r w:rsidR="00DF57AB">
              <w:rPr>
                <w:rFonts w:ascii="Arial Narrow" w:hAnsi="Arial Narrow"/>
                <w:sz w:val="20"/>
                <w:szCs w:val="20"/>
              </w:rPr>
              <w:t xml:space="preserve">(iv) </w:t>
            </w:r>
            <w:r w:rsidRPr="009475AF">
              <w:rPr>
                <w:rFonts w:ascii="Arial Narrow" w:hAnsi="Arial Narrow"/>
                <w:sz w:val="20"/>
                <w:szCs w:val="20"/>
              </w:rPr>
              <w:t xml:space="preserve">paediatrician or general physician experienced in the management of patients with severe asthma in consultation with a respiratory physician, defined by </w:t>
            </w:r>
            <w:r w:rsidR="00DF57AB">
              <w:rPr>
                <w:rFonts w:ascii="Arial Narrow" w:hAnsi="Arial Narrow"/>
                <w:sz w:val="20"/>
                <w:szCs w:val="20"/>
              </w:rPr>
              <w:t xml:space="preserve">at least one of </w:t>
            </w:r>
            <w:r w:rsidRPr="009475AF">
              <w:rPr>
                <w:rFonts w:ascii="Arial Narrow" w:hAnsi="Arial Narrow"/>
                <w:sz w:val="20"/>
                <w:szCs w:val="20"/>
              </w:rPr>
              <w:t xml:space="preserve">the following standard clinical features: </w:t>
            </w:r>
            <w:r w:rsidR="00DF57AB">
              <w:rPr>
                <w:rFonts w:ascii="Arial Narrow" w:hAnsi="Arial Narrow"/>
                <w:sz w:val="20"/>
                <w:szCs w:val="20"/>
              </w:rPr>
              <w:t xml:space="preserve">(a) </w:t>
            </w:r>
            <w:r w:rsidRPr="009475AF">
              <w:rPr>
                <w:rFonts w:ascii="Arial Narrow" w:hAnsi="Arial Narrow"/>
                <w:sz w:val="20"/>
                <w:szCs w:val="20"/>
              </w:rPr>
              <w:t>forced expiratory volume (FEV1) reversibility</w:t>
            </w:r>
            <w:r w:rsidR="00DF57AB">
              <w:rPr>
                <w:rFonts w:ascii="Arial Narrow" w:hAnsi="Arial Narrow"/>
                <w:sz w:val="20"/>
                <w:szCs w:val="20"/>
              </w:rPr>
              <w:t>,</w:t>
            </w:r>
            <w:r w:rsidRPr="009475AF">
              <w:rPr>
                <w:rFonts w:ascii="Arial Narrow" w:hAnsi="Arial Narrow"/>
                <w:sz w:val="20"/>
                <w:szCs w:val="20"/>
              </w:rPr>
              <w:t xml:space="preserve"> </w:t>
            </w:r>
            <w:r w:rsidR="00DF57AB">
              <w:rPr>
                <w:rFonts w:ascii="Arial Narrow" w:hAnsi="Arial Narrow"/>
                <w:sz w:val="20"/>
                <w:szCs w:val="20"/>
              </w:rPr>
              <w:t xml:space="preserve">(b) </w:t>
            </w:r>
            <w:r w:rsidRPr="009475AF">
              <w:rPr>
                <w:rFonts w:ascii="Arial Narrow" w:hAnsi="Arial Narrow"/>
                <w:sz w:val="20"/>
                <w:szCs w:val="20"/>
              </w:rPr>
              <w:t>airway hyperresponsiveness</w:t>
            </w:r>
            <w:r w:rsidR="00DF57AB">
              <w:rPr>
                <w:rFonts w:ascii="Arial Narrow" w:hAnsi="Arial Narrow"/>
                <w:sz w:val="20"/>
                <w:szCs w:val="20"/>
              </w:rPr>
              <w:t>,</w:t>
            </w:r>
            <w:r w:rsidRPr="009475AF">
              <w:rPr>
                <w:rFonts w:ascii="Arial Narrow" w:hAnsi="Arial Narrow"/>
                <w:sz w:val="20"/>
                <w:szCs w:val="20"/>
              </w:rPr>
              <w:t xml:space="preserve"> </w:t>
            </w:r>
            <w:r w:rsidR="00DF57AB">
              <w:rPr>
                <w:rFonts w:ascii="Arial Narrow" w:hAnsi="Arial Narrow"/>
                <w:sz w:val="20"/>
                <w:szCs w:val="20"/>
              </w:rPr>
              <w:t xml:space="preserve">(c) </w:t>
            </w:r>
            <w:r w:rsidRPr="009475AF">
              <w:rPr>
                <w:rFonts w:ascii="Arial Narrow" w:hAnsi="Arial Narrow"/>
                <w:sz w:val="20"/>
                <w:szCs w:val="20"/>
              </w:rPr>
              <w:t>peak expiratory flow (PEF) variability,</w:t>
            </w:r>
          </w:p>
        </w:tc>
      </w:tr>
      <w:tr w:rsidR="00CA0F11" w:rsidRPr="009475AF" w14:paraId="40645677"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87461A"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27995526"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04C686CF"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55EDE4" w14:textId="79B49129"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4F943BCA"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2BA286A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2E5F2E" w14:textId="1F31DB04"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41065974" w14:textId="77777777" w:rsidR="00CA0F11" w:rsidRPr="009475AF" w:rsidRDefault="00CA0F11" w:rsidP="00286797">
            <w:pPr>
              <w:rPr>
                <w:rFonts w:ascii="Arial Narrow" w:hAnsi="Arial Narrow"/>
                <w:color w:val="FF0000"/>
                <w:sz w:val="20"/>
                <w:szCs w:val="20"/>
              </w:rPr>
            </w:pPr>
            <w:r w:rsidRPr="009475AF">
              <w:rPr>
                <w:rFonts w:ascii="Arial Narrow" w:hAnsi="Arial Narrow"/>
                <w:sz w:val="20"/>
                <w:szCs w:val="20"/>
              </w:rPr>
              <w:t xml:space="preserve">Patient must have a duration of asthma of at least 1 year </w:t>
            </w:r>
          </w:p>
        </w:tc>
      </w:tr>
      <w:tr w:rsidR="00CA0F11" w:rsidRPr="009475AF" w14:paraId="2D5BEC8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1410B5"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DD19C09"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01B68B7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8D8FB2"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63CE7049"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082104A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104F9B" w14:textId="19EAFA00" w:rsidR="00DF57AB" w:rsidRPr="009475AF" w:rsidRDefault="00DF57AB" w:rsidP="00286797">
            <w:pPr>
              <w:jc w:val="center"/>
              <w:rPr>
                <w:rFonts w:ascii="Arial Narrow" w:hAnsi="Arial Narrow"/>
                <w:color w:val="333333"/>
                <w:sz w:val="20"/>
                <w:szCs w:val="20"/>
              </w:rPr>
            </w:pPr>
          </w:p>
        </w:tc>
        <w:tc>
          <w:tcPr>
            <w:tcW w:w="7745" w:type="dxa"/>
            <w:gridSpan w:val="6"/>
            <w:vAlign w:val="center"/>
            <w:hideMark/>
          </w:tcPr>
          <w:p w14:paraId="33CADA2F" w14:textId="090DE7A8"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total serum human immunoglobulin E </w:t>
            </w:r>
            <w:r w:rsidR="00DF57AB">
              <w:rPr>
                <w:rFonts w:ascii="Arial Narrow" w:hAnsi="Arial Narrow"/>
                <w:color w:val="333333"/>
                <w:sz w:val="20"/>
                <w:szCs w:val="20"/>
              </w:rPr>
              <w:t>of at least</w:t>
            </w:r>
            <w:r w:rsidRPr="009475AF">
              <w:rPr>
                <w:rFonts w:ascii="Arial Narrow" w:hAnsi="Arial Narrow"/>
                <w:color w:val="333333"/>
                <w:sz w:val="20"/>
                <w:szCs w:val="20"/>
              </w:rPr>
              <w:t xml:space="preserve"> 30 IU/mL with past or current evidence of atopy, documented by skin prick testing or an in vitro measure of specific IgE in the last 12 months, OR </w:t>
            </w:r>
          </w:p>
        </w:tc>
      </w:tr>
      <w:tr w:rsidR="00CA0F11" w:rsidRPr="009475AF" w14:paraId="0EDB0CC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BB803B" w14:textId="6685A16C"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35335F48" w14:textId="757CCE80"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blood eosinophil count </w:t>
            </w:r>
            <w:r w:rsidR="00DF57AB">
              <w:rPr>
                <w:rFonts w:ascii="Arial Narrow" w:hAnsi="Arial Narrow"/>
                <w:color w:val="333333"/>
                <w:sz w:val="20"/>
                <w:szCs w:val="20"/>
              </w:rPr>
              <w:t>of at least</w:t>
            </w:r>
            <w:r w:rsidRPr="009475AF">
              <w:rPr>
                <w:rFonts w:ascii="Arial Narrow" w:hAnsi="Arial Narrow"/>
                <w:color w:val="333333"/>
                <w:sz w:val="20"/>
                <w:szCs w:val="20"/>
              </w:rPr>
              <w:t xml:space="preserve"> 150 cells per microlitre in the last 12 months; OR </w:t>
            </w:r>
          </w:p>
        </w:tc>
      </w:tr>
      <w:tr w:rsidR="00CA0F11" w:rsidRPr="009475AF" w14:paraId="6CC38F9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85C394" w14:textId="2F8E9AC1"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AACA85C" w14:textId="500B06BA"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a fractional exhaled nitrous oxide </w:t>
            </w:r>
            <w:r w:rsidR="00DF57AB">
              <w:rPr>
                <w:rFonts w:ascii="Arial Narrow" w:hAnsi="Arial Narrow"/>
                <w:color w:val="333333"/>
                <w:sz w:val="20"/>
                <w:szCs w:val="20"/>
              </w:rPr>
              <w:t>of at least</w:t>
            </w:r>
            <w:r w:rsidRPr="009475AF">
              <w:rPr>
                <w:rFonts w:ascii="Arial Narrow" w:hAnsi="Arial Narrow"/>
                <w:color w:val="333333"/>
                <w:sz w:val="20"/>
                <w:szCs w:val="20"/>
              </w:rPr>
              <w:t xml:space="preserve"> 20 ppb in the last 12 months</w:t>
            </w:r>
          </w:p>
        </w:tc>
      </w:tr>
      <w:tr w:rsidR="00CA0F11" w:rsidRPr="009475AF" w14:paraId="5F0830F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694ABC"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5364D9E6"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419C102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4B1021" w14:textId="520DDBB8"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52B695C2"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4BB7ADE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24E930" w14:textId="10A429F0" w:rsidR="00DF57AB" w:rsidRPr="009475AF" w:rsidRDefault="00DF57AB" w:rsidP="00286797">
            <w:pPr>
              <w:jc w:val="center"/>
              <w:rPr>
                <w:rFonts w:ascii="Arial Narrow" w:hAnsi="Arial Narrow"/>
                <w:color w:val="333333"/>
                <w:sz w:val="20"/>
                <w:szCs w:val="20"/>
              </w:rPr>
            </w:pPr>
          </w:p>
        </w:tc>
        <w:tc>
          <w:tcPr>
            <w:tcW w:w="7745" w:type="dxa"/>
            <w:gridSpan w:val="6"/>
            <w:vAlign w:val="center"/>
          </w:tcPr>
          <w:p w14:paraId="72128650" w14:textId="342D162F"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Patient must have failed to achieve adequate control with optimised asthma therapy, despite formal assessment of and adherence to correct inhaler technique, which has been documented</w:t>
            </w:r>
            <w:r w:rsidR="00DF57AB">
              <w:rPr>
                <w:rFonts w:ascii="Arial Narrow" w:hAnsi="Arial Narrow"/>
                <w:color w:val="333333"/>
                <w:sz w:val="20"/>
                <w:szCs w:val="20"/>
              </w:rPr>
              <w:t xml:space="preserve"> in the patient’s medical records</w:t>
            </w:r>
            <w:r w:rsidRPr="009475AF">
              <w:rPr>
                <w:rFonts w:ascii="Arial Narrow" w:hAnsi="Arial Narrow"/>
                <w:color w:val="333333"/>
                <w:sz w:val="20"/>
                <w:szCs w:val="20"/>
              </w:rPr>
              <w:t>,</w:t>
            </w:r>
          </w:p>
        </w:tc>
      </w:tr>
      <w:tr w:rsidR="00CA0F11" w:rsidRPr="009475AF" w14:paraId="77987EC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96BCFF"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1DD732F"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5AE0CD1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458F89" w14:textId="04E99B0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77A0476B"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1BBCE90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295ABF" w14:textId="10EE2AC6"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368B5EB4"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Patient must not receive more than 32 weeks of treatment under this restriction,</w:t>
            </w:r>
          </w:p>
        </w:tc>
      </w:tr>
      <w:tr w:rsidR="00CA0F11" w:rsidRPr="009475AF" w14:paraId="6AD185F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453A0A"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FD072D1"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11EF0D8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0CCD2B" w14:textId="1BEBBABC"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D2790E9"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35C55B9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E66DC0" w14:textId="3D6778B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50D2EB4"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Patient must be under the care of the same physician for at least 6 months.</w:t>
            </w:r>
          </w:p>
        </w:tc>
      </w:tr>
      <w:tr w:rsidR="00CA0F11" w:rsidRPr="009475AF" w14:paraId="3D55364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57DCDD"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8C0F3C9"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6EE740F1"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0FBD27" w14:textId="08063C60"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3BD82A9B"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5FF7D0D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8B34614" w14:textId="1B004754" w:rsidR="00DF57AB" w:rsidRPr="009475AF" w:rsidRDefault="00DF57AB" w:rsidP="00286797">
            <w:pPr>
              <w:jc w:val="center"/>
              <w:rPr>
                <w:rFonts w:ascii="Arial Narrow" w:hAnsi="Arial Narrow"/>
                <w:color w:val="333333"/>
                <w:sz w:val="20"/>
                <w:szCs w:val="20"/>
              </w:rPr>
            </w:pPr>
          </w:p>
        </w:tc>
        <w:tc>
          <w:tcPr>
            <w:tcW w:w="7745" w:type="dxa"/>
            <w:gridSpan w:val="6"/>
            <w:vAlign w:val="center"/>
          </w:tcPr>
          <w:p w14:paraId="50942FBA" w14:textId="25691CBB"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The treatment must not be used in combination with and within 4 weeks of another PBS-subsidised biological medicine prescribed for </w:t>
            </w:r>
            <w:r w:rsidR="00DF57AB">
              <w:rPr>
                <w:rFonts w:ascii="Arial Narrow" w:hAnsi="Arial Narrow"/>
                <w:color w:val="333333"/>
                <w:sz w:val="20"/>
                <w:szCs w:val="20"/>
              </w:rPr>
              <w:t xml:space="preserve">either: (i) </w:t>
            </w:r>
            <w:r w:rsidRPr="009475AF">
              <w:rPr>
                <w:rFonts w:ascii="Arial Narrow" w:hAnsi="Arial Narrow"/>
                <w:color w:val="333333"/>
                <w:sz w:val="20"/>
                <w:szCs w:val="20"/>
              </w:rPr>
              <w:t>severe asthma</w:t>
            </w:r>
            <w:r w:rsidR="00DF57AB">
              <w:rPr>
                <w:rFonts w:ascii="Arial Narrow" w:hAnsi="Arial Narrow"/>
                <w:color w:val="333333"/>
                <w:sz w:val="20"/>
                <w:szCs w:val="20"/>
              </w:rPr>
              <w:t>, (ii) severe allergic asthma</w:t>
            </w:r>
          </w:p>
        </w:tc>
      </w:tr>
      <w:tr w:rsidR="00CA0F11" w:rsidRPr="009475AF" w14:paraId="76D7BD9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134230" w14:textId="4C7FF1B2" w:rsidR="00CA0F11" w:rsidRPr="009475AF" w:rsidRDefault="00CA0F11" w:rsidP="00286797">
            <w:pPr>
              <w:keepNext/>
              <w:jc w:val="center"/>
              <w:rPr>
                <w:rFonts w:ascii="Arial Narrow" w:hAnsi="Arial Narrow"/>
                <w:color w:val="333333"/>
                <w:sz w:val="20"/>
                <w:szCs w:val="20"/>
              </w:rPr>
            </w:pPr>
          </w:p>
        </w:tc>
        <w:tc>
          <w:tcPr>
            <w:tcW w:w="7745" w:type="dxa"/>
            <w:gridSpan w:val="6"/>
            <w:vAlign w:val="center"/>
            <w:hideMark/>
          </w:tcPr>
          <w:p w14:paraId="1ADEF7DE" w14:textId="77777777" w:rsidR="00CA0F11" w:rsidRPr="009475AF" w:rsidRDefault="00CA0F11" w:rsidP="00286797">
            <w:pPr>
              <w:keepNext/>
              <w:rPr>
                <w:rFonts w:ascii="Arial Narrow" w:hAnsi="Arial Narrow"/>
                <w:color w:val="333333"/>
                <w:sz w:val="20"/>
                <w:szCs w:val="20"/>
              </w:rPr>
            </w:pPr>
            <w:r w:rsidRPr="009475AF">
              <w:rPr>
                <w:rFonts w:ascii="Arial Narrow" w:hAnsi="Arial Narrow"/>
                <w:b/>
                <w:bCs/>
                <w:color w:val="333333"/>
                <w:sz w:val="20"/>
                <w:szCs w:val="20"/>
              </w:rPr>
              <w:t>Treatment criteria:</w:t>
            </w:r>
          </w:p>
        </w:tc>
      </w:tr>
      <w:tr w:rsidR="00CA0F11" w:rsidRPr="009475AF" w14:paraId="1D76575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921231" w14:textId="51C5D305" w:rsidR="00DF57AB" w:rsidRPr="009475AF" w:rsidRDefault="00DF57AB" w:rsidP="00286797">
            <w:pPr>
              <w:jc w:val="center"/>
              <w:rPr>
                <w:rFonts w:ascii="Arial Narrow" w:hAnsi="Arial Narrow"/>
                <w:color w:val="333333"/>
                <w:sz w:val="20"/>
                <w:szCs w:val="20"/>
              </w:rPr>
            </w:pPr>
          </w:p>
        </w:tc>
        <w:tc>
          <w:tcPr>
            <w:tcW w:w="7745" w:type="dxa"/>
            <w:gridSpan w:val="6"/>
            <w:vAlign w:val="center"/>
            <w:hideMark/>
          </w:tcPr>
          <w:p w14:paraId="77D0B9D7" w14:textId="2E110763" w:rsidR="00CA0F11" w:rsidRPr="009475AF" w:rsidRDefault="00CA0F11" w:rsidP="00286797">
            <w:pPr>
              <w:autoSpaceDE w:val="0"/>
              <w:autoSpaceDN w:val="0"/>
              <w:adjustRightInd w:val="0"/>
              <w:rPr>
                <w:rFonts w:ascii="Arial Narrow" w:hAnsi="Arial Narrow" w:cs="Arial Narrow"/>
                <w:sz w:val="20"/>
                <w:szCs w:val="20"/>
              </w:rPr>
            </w:pPr>
            <w:r w:rsidRPr="009475AF">
              <w:rPr>
                <w:rFonts w:ascii="Arial Narrow" w:hAnsi="Arial Narrow" w:cs="Arial Narrow"/>
                <w:sz w:val="20"/>
                <w:szCs w:val="20"/>
              </w:rPr>
              <w:t xml:space="preserve">Must be treated by a </w:t>
            </w:r>
            <w:r w:rsidR="00DF57AB">
              <w:rPr>
                <w:rFonts w:ascii="Arial Narrow" w:hAnsi="Arial Narrow" w:cs="Arial Narrow"/>
                <w:sz w:val="20"/>
                <w:szCs w:val="20"/>
              </w:rPr>
              <w:t xml:space="preserve">medical practitioner who is either: (i) </w:t>
            </w:r>
            <w:r w:rsidRPr="009475AF">
              <w:rPr>
                <w:rFonts w:ascii="Arial Narrow" w:hAnsi="Arial Narrow" w:cs="Arial Narrow"/>
                <w:sz w:val="20"/>
                <w:szCs w:val="20"/>
              </w:rPr>
              <w:t xml:space="preserve">paediatric respiratory physician, </w:t>
            </w:r>
            <w:r w:rsidR="00DF57AB">
              <w:rPr>
                <w:rFonts w:ascii="Arial Narrow" w:hAnsi="Arial Narrow" w:cs="Arial Narrow"/>
                <w:sz w:val="20"/>
                <w:szCs w:val="20"/>
              </w:rPr>
              <w:t xml:space="preserve">(ii) </w:t>
            </w:r>
            <w:r w:rsidRPr="009475AF">
              <w:rPr>
                <w:rFonts w:ascii="Arial Narrow" w:hAnsi="Arial Narrow" w:cs="Arial Narrow"/>
                <w:sz w:val="20"/>
                <w:szCs w:val="20"/>
              </w:rPr>
              <w:t xml:space="preserve">clinical immunologist, </w:t>
            </w:r>
            <w:r w:rsidR="00DF57AB">
              <w:rPr>
                <w:rFonts w:ascii="Arial Narrow" w:hAnsi="Arial Narrow" w:cs="Arial Narrow"/>
                <w:sz w:val="20"/>
                <w:szCs w:val="20"/>
              </w:rPr>
              <w:t xml:space="preserve">(iii) </w:t>
            </w:r>
            <w:r w:rsidRPr="009475AF">
              <w:rPr>
                <w:rFonts w:ascii="Arial Narrow" w:hAnsi="Arial Narrow" w:cs="Arial Narrow"/>
                <w:sz w:val="20"/>
                <w:szCs w:val="20"/>
              </w:rPr>
              <w:t xml:space="preserve">allergist; </w:t>
            </w:r>
            <w:r w:rsidR="00DF57AB">
              <w:rPr>
                <w:rFonts w:ascii="Arial Narrow" w:hAnsi="Arial Narrow" w:cs="Arial Narrow"/>
                <w:sz w:val="20"/>
                <w:szCs w:val="20"/>
              </w:rPr>
              <w:t xml:space="preserve">(iv) </w:t>
            </w:r>
            <w:r w:rsidRPr="009475AF">
              <w:rPr>
                <w:rFonts w:ascii="Arial Narrow" w:hAnsi="Arial Narrow" w:cs="Arial Narrow"/>
                <w:sz w:val="20"/>
                <w:szCs w:val="20"/>
              </w:rPr>
              <w:t>paediatrician or general physician experienced in the management of patients with severe asthma, in consultation with a respiratory physician.</w:t>
            </w:r>
          </w:p>
        </w:tc>
      </w:tr>
      <w:tr w:rsidR="00CA0F11" w:rsidRPr="009475AF" w14:paraId="51351E8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020769" w14:textId="2D3D4E5E"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48E340AE"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Population criteria:</w:t>
            </w:r>
          </w:p>
        </w:tc>
      </w:tr>
      <w:tr w:rsidR="00CA0F11" w:rsidRPr="009475AF" w14:paraId="354B7D98"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E0767B" w14:textId="23F4470A"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272E464B" w14:textId="77777777" w:rsidR="00CA0F11" w:rsidRPr="009475AF" w:rsidRDefault="00CA0F11" w:rsidP="00286797">
            <w:pPr>
              <w:rPr>
                <w:rFonts w:ascii="Arial Narrow" w:hAnsi="Arial Narrow"/>
                <w:color w:val="333333"/>
                <w:sz w:val="20"/>
                <w:szCs w:val="20"/>
              </w:rPr>
            </w:pPr>
            <w:r w:rsidRPr="009475AF">
              <w:rPr>
                <w:rFonts w:ascii="Arial Narrow" w:hAnsi="Arial Narrow"/>
                <w:sz w:val="20"/>
                <w:szCs w:val="20"/>
              </w:rPr>
              <w:t xml:space="preserve">Patient must be aged 6 to less than 12 years. </w:t>
            </w:r>
          </w:p>
        </w:tc>
      </w:tr>
      <w:tr w:rsidR="00CA0F11" w:rsidRPr="009475AF" w14:paraId="65DFEAC4"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1DFB99" w14:textId="6D560AC5"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1549EC15" w14:textId="77777777" w:rsidR="00CA0F11" w:rsidRPr="009475AF" w:rsidRDefault="00CA0F11"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4FF2B0C1" w14:textId="77777777" w:rsidR="00CA0F11" w:rsidRPr="009475AF" w:rsidRDefault="00CA0F11" w:rsidP="00286797">
            <w:pPr>
              <w:rPr>
                <w:rFonts w:ascii="Arial Narrow" w:hAnsi="Arial Narrow"/>
                <w:bCs/>
                <w:sz w:val="20"/>
                <w:szCs w:val="20"/>
              </w:rPr>
            </w:pPr>
            <w:r w:rsidRPr="009475AF">
              <w:rPr>
                <w:rFonts w:ascii="Arial Narrow" w:hAnsi="Arial Narrow"/>
                <w:bCs/>
                <w:sz w:val="20"/>
                <w:szCs w:val="20"/>
              </w:rPr>
              <w:t>Optimised asthma therapy includes:</w:t>
            </w:r>
          </w:p>
          <w:p w14:paraId="2C73AEC3" w14:textId="77777777" w:rsidR="00CA0F11" w:rsidRPr="009475AF" w:rsidRDefault="00CA0F11" w:rsidP="00286797">
            <w:pPr>
              <w:rPr>
                <w:rFonts w:ascii="Arial Narrow" w:hAnsi="Arial Narrow"/>
                <w:sz w:val="20"/>
                <w:szCs w:val="20"/>
              </w:rPr>
            </w:pPr>
            <w:r w:rsidRPr="009475AF">
              <w:rPr>
                <w:rFonts w:ascii="Arial Narrow" w:hAnsi="Arial Narrow"/>
                <w:bCs/>
                <w:sz w:val="20"/>
                <w:szCs w:val="20"/>
              </w:rPr>
              <w:t>(</w:t>
            </w:r>
            <w:r w:rsidRPr="009475AF">
              <w:rPr>
                <w:rFonts w:ascii="Arial Narrow" w:hAnsi="Arial Narrow"/>
                <w:sz w:val="20"/>
                <w:szCs w:val="20"/>
              </w:rPr>
              <w:t>i) Adherence to optimal inhaled therapy, including high dose inhaled corticosteroid (ICS) and long-acting beta-2 agonist (LABA) therapy for at least six months. If LABA therapy is contraindicated, not tolerated or not effective, montelukast, cromoglycate or nedocromil may be used as an alternative;</w:t>
            </w:r>
          </w:p>
          <w:p w14:paraId="6D042FBA"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AND </w:t>
            </w:r>
          </w:p>
          <w:p w14:paraId="54A7D7F3" w14:textId="252006B4"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(ii) treatment with at least 2 courses of oral or IV corticosteroids (daily or alternate day maintenance treatment courses, or </w:t>
            </w:r>
            <w:r w:rsidR="00CF25AF" w:rsidRPr="009475AF">
              <w:rPr>
                <w:rFonts w:ascii="Arial Narrow" w:hAnsi="Arial Narrow"/>
                <w:sz w:val="20"/>
                <w:szCs w:val="20"/>
              </w:rPr>
              <w:t>3–5-day</w:t>
            </w:r>
            <w:r w:rsidRPr="009475AF">
              <w:rPr>
                <w:rFonts w:ascii="Arial Narrow" w:hAnsi="Arial Narrow"/>
                <w:sz w:val="20"/>
                <w:szCs w:val="20"/>
              </w:rPr>
              <w:t xml:space="preserve"> exacerbation treatment courses), in the previous 12 months unless contraindicated or not tolerated.</w:t>
            </w:r>
          </w:p>
          <w:p w14:paraId="461455FA" w14:textId="77777777" w:rsidR="00CA0F11" w:rsidRPr="009475AF" w:rsidRDefault="00CA0F11" w:rsidP="00286797">
            <w:pPr>
              <w:rPr>
                <w:rFonts w:ascii="Arial Narrow" w:hAnsi="Arial Narrow"/>
                <w:sz w:val="20"/>
                <w:szCs w:val="20"/>
              </w:rPr>
            </w:pPr>
          </w:p>
          <w:p w14:paraId="1533235A"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 </w:t>
            </w:r>
          </w:p>
        </w:tc>
      </w:tr>
      <w:tr w:rsidR="00CA0F11" w:rsidRPr="009475AF" w14:paraId="3BCB1F5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3E4E73" w14:textId="18E813F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354652D" w14:textId="77777777" w:rsidR="00CA0F11" w:rsidRPr="009475AF" w:rsidRDefault="00CA0F11"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77BA2930"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initial IgE assessment, blood eosinophil count or fractional exhaled nitrous oxide measurement must be no more than 12 months old at the time of application. </w:t>
            </w:r>
          </w:p>
        </w:tc>
      </w:tr>
      <w:tr w:rsidR="00CA0F11" w:rsidRPr="009475AF" w14:paraId="5E5094D4" w14:textId="77777777" w:rsidTr="00645BAC">
        <w:tblPrEx>
          <w:tblCellMar>
            <w:top w:w="15" w:type="dxa"/>
            <w:bottom w:w="15" w:type="dxa"/>
          </w:tblCellMar>
          <w:tblLook w:val="04A0" w:firstRow="1" w:lastRow="0" w:firstColumn="1" w:lastColumn="0" w:noHBand="0" w:noVBand="1"/>
        </w:tblPrEx>
        <w:trPr>
          <w:trHeight w:val="20"/>
        </w:trPr>
        <w:tc>
          <w:tcPr>
            <w:tcW w:w="1272" w:type="dxa"/>
            <w:gridSpan w:val="2"/>
            <w:vAlign w:val="center"/>
          </w:tcPr>
          <w:p w14:paraId="7A7DD452" w14:textId="1A53A475"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484742D4" w14:textId="77777777" w:rsidR="00CA0F11" w:rsidRPr="009475AF" w:rsidRDefault="00CA0F11"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70DB8E5D"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The following initiation criteria indicate failure to achieve adequate control and must be demonstrated in all patients at the time of the application:</w:t>
            </w:r>
          </w:p>
          <w:p w14:paraId="31F16D56"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An Asthma Control Questionnaire (ACQ-5) score of at least 2.0, as assessed in the previous month (for children aged 6 to 10 years it is recommended that the Interviewer Administered version – the ACQ-IA be used), </w:t>
            </w:r>
          </w:p>
          <w:p w14:paraId="15FC5748"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AND</w:t>
            </w:r>
          </w:p>
          <w:p w14:paraId="0CAD333C"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 </w:t>
            </w:r>
          </w:p>
          <w:p w14:paraId="6B93429C" w14:textId="77777777" w:rsidR="00CA0F11" w:rsidRPr="009475AF" w:rsidRDefault="00CA0F11" w:rsidP="00286797">
            <w:pPr>
              <w:rPr>
                <w:rFonts w:ascii="Arial Narrow" w:hAnsi="Arial Narrow"/>
                <w:sz w:val="20"/>
                <w:szCs w:val="20"/>
              </w:rPr>
            </w:pPr>
          </w:p>
          <w:p w14:paraId="0B6F5542"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Asthma Control Questionnaire (5 item version) or ACQ-IA assessment of the patient’s response to this initial course of treatment, the assessment of oral corticosteroid dose, and the assessment of exacerbation rate should be made at around 28 weeks after the first dose so that there is adequate time for a response to be demonstrated and for the application for continuing therapy to be processed. </w:t>
            </w:r>
          </w:p>
          <w:p w14:paraId="49267EBF" w14:textId="77777777" w:rsidR="00CA0F11" w:rsidRPr="009475AF" w:rsidRDefault="00CA0F11" w:rsidP="00286797">
            <w:pPr>
              <w:rPr>
                <w:rFonts w:ascii="Arial Narrow" w:hAnsi="Arial Narrow"/>
                <w:sz w:val="20"/>
                <w:szCs w:val="20"/>
              </w:rPr>
            </w:pPr>
          </w:p>
          <w:p w14:paraId="64D940F2"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 for this condition. </w:t>
            </w:r>
          </w:p>
          <w:p w14:paraId="7D9D82C4" w14:textId="77777777" w:rsidR="00CA0F11" w:rsidRPr="009475AF" w:rsidRDefault="00CA0F11" w:rsidP="00286797">
            <w:pPr>
              <w:rPr>
                <w:rFonts w:ascii="Arial Narrow" w:hAnsi="Arial Narrow"/>
                <w:sz w:val="20"/>
                <w:szCs w:val="20"/>
              </w:rPr>
            </w:pPr>
          </w:p>
          <w:p w14:paraId="1EAE86E7"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patient who fails to demonstrate a response to treatment with this drug will not be eligible to receive further PBS-subsidised treatment with this drug for this condition within the same treatment cycle. </w:t>
            </w:r>
          </w:p>
          <w:p w14:paraId="2879FC66" w14:textId="77777777" w:rsidR="00CA0F11" w:rsidRPr="009475AF" w:rsidRDefault="00CA0F11" w:rsidP="00286797">
            <w:pPr>
              <w:rPr>
                <w:rFonts w:ascii="Arial Narrow" w:hAnsi="Arial Narrow"/>
                <w:sz w:val="20"/>
                <w:szCs w:val="20"/>
              </w:rPr>
            </w:pPr>
          </w:p>
          <w:p w14:paraId="6AD49C89" w14:textId="5E551FE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treatment break in PBS-subsidised biological medicine therapy of at least </w:t>
            </w:r>
            <w:r w:rsidR="00DF57AB">
              <w:rPr>
                <w:rFonts w:ascii="Arial Narrow" w:hAnsi="Arial Narrow"/>
                <w:sz w:val="20"/>
                <w:szCs w:val="20"/>
              </w:rPr>
              <w:t>12</w:t>
            </w:r>
            <w:r w:rsidR="00DF57AB" w:rsidRPr="009475AF">
              <w:rPr>
                <w:rFonts w:ascii="Arial Narrow" w:hAnsi="Arial Narrow"/>
                <w:sz w:val="20"/>
                <w:szCs w:val="20"/>
              </w:rPr>
              <w:t xml:space="preserve"> </w:t>
            </w:r>
            <w:r w:rsidRPr="009475AF">
              <w:rPr>
                <w:rFonts w:ascii="Arial Narrow" w:hAnsi="Arial Narrow"/>
                <w:sz w:val="20"/>
                <w:szCs w:val="20"/>
              </w:rPr>
              <w:t xml:space="preserve">months must be observed in a patient who has either failed to achieve or sustain a response to treatment with 2 biological medicines within the same treatment cycle. </w:t>
            </w:r>
          </w:p>
          <w:p w14:paraId="7986188B" w14:textId="77777777" w:rsidR="00CA0F11" w:rsidRPr="009475AF" w:rsidRDefault="00CA0F11" w:rsidP="00286797">
            <w:pPr>
              <w:rPr>
                <w:rFonts w:ascii="Arial Narrow" w:hAnsi="Arial Narrow"/>
                <w:sz w:val="20"/>
                <w:szCs w:val="20"/>
              </w:rPr>
            </w:pPr>
          </w:p>
          <w:p w14:paraId="2868988A"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length of the break in therapy is measured from the date of the most recent treatment with a PBS-subsidised biological medicine was administered until the date of the first application for recommencement of treatment with a biological medicine under the new treatment cycle. </w:t>
            </w:r>
          </w:p>
          <w:p w14:paraId="4FB0AC57" w14:textId="77777777" w:rsidR="00CA0F11" w:rsidRPr="009475AF" w:rsidRDefault="00CA0F11" w:rsidP="00286797">
            <w:pPr>
              <w:rPr>
                <w:rFonts w:ascii="Arial Narrow" w:hAnsi="Arial Narrow"/>
                <w:sz w:val="20"/>
                <w:szCs w:val="20"/>
              </w:rPr>
            </w:pPr>
          </w:p>
          <w:p w14:paraId="24CCC28E" w14:textId="466FE3CC" w:rsidR="00CA0F11" w:rsidRPr="009475AF" w:rsidRDefault="00CA0F11" w:rsidP="00CF25AF">
            <w:pPr>
              <w:rPr>
                <w:rFonts w:ascii="Arial Narrow" w:hAnsi="Arial Narrow"/>
                <w:sz w:val="20"/>
                <w:szCs w:val="20"/>
              </w:rPr>
            </w:pPr>
            <w:r w:rsidRPr="009475AF">
              <w:rPr>
                <w:rFonts w:ascii="Arial Narrow" w:hAnsi="Arial Narrow"/>
                <w:sz w:val="20"/>
                <w:szCs w:val="20"/>
              </w:rPr>
              <w:t xml:space="preserve">At the time of the authority application, medical practitioners should request the appropriate maximum quantity and number of repeats to provide for an initial course of dupilumab of up to 32 weeks.  </w:t>
            </w:r>
          </w:p>
        </w:tc>
      </w:tr>
      <w:tr w:rsidR="00DF57AB" w:rsidRPr="009475AF" w14:paraId="5AD4377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55BFD7" w14:textId="15D8E44A"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2ABE552C" w14:textId="77777777" w:rsidR="00DF57AB" w:rsidRPr="00B6228A" w:rsidRDefault="00DF57AB" w:rsidP="00DF57AB">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62D64376"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The authority application must be made in writing and must include:</w:t>
            </w:r>
          </w:p>
          <w:p w14:paraId="50E70056"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 xml:space="preserve">(a) a completed authority prescription form; and </w:t>
            </w:r>
          </w:p>
          <w:p w14:paraId="14AD63A4" w14:textId="4904CC24" w:rsidR="00DF57AB" w:rsidRPr="009475AF" w:rsidRDefault="00DF57AB" w:rsidP="00DF57AB">
            <w:pPr>
              <w:rPr>
                <w:rFonts w:ascii="Arial Narrow" w:hAnsi="Arial Narrow"/>
                <w:b/>
                <w:bCs/>
                <w:color w:val="333333"/>
                <w:sz w:val="20"/>
                <w:szCs w:val="20"/>
              </w:rPr>
            </w:pPr>
            <w:r w:rsidRPr="00480926">
              <w:rPr>
                <w:rFonts w:ascii="Arial Narrow" w:hAnsi="Arial Narrow"/>
                <w:sz w:val="20"/>
                <w:szCs w:val="20"/>
              </w:rPr>
              <w:t xml:space="preserve">(b) a completed </w:t>
            </w:r>
            <w:r w:rsidRPr="00636F08">
              <w:rPr>
                <w:rFonts w:ascii="Arial Narrow" w:hAnsi="Arial Narrow"/>
                <w:sz w:val="20"/>
                <w:szCs w:val="20"/>
              </w:rPr>
              <w:t>authority application form relevant to the indication and</w:t>
            </w:r>
            <w:r w:rsidRPr="00480926">
              <w:rPr>
                <w:rFonts w:ascii="Arial Narrow" w:hAnsi="Arial Narrow"/>
                <w:i/>
                <w:iCs/>
                <w:sz w:val="20"/>
                <w:szCs w:val="20"/>
              </w:rPr>
              <w:t xml:space="preserve"> </w:t>
            </w:r>
            <w:r w:rsidRPr="00636F08">
              <w:rPr>
                <w:rFonts w:ascii="Arial Narrow" w:hAnsi="Arial Narrow"/>
                <w:sz w:val="20"/>
                <w:szCs w:val="20"/>
              </w:rPr>
              <w:t>treatment phase (the latest version is located on the website specified in the Administrative Advice)</w:t>
            </w:r>
            <w:r>
              <w:rPr>
                <w:rFonts w:ascii="Arial Narrow" w:hAnsi="Arial Narrow"/>
                <w:sz w:val="20"/>
                <w:szCs w:val="20"/>
              </w:rPr>
              <w:t>.</w:t>
            </w:r>
          </w:p>
        </w:tc>
      </w:tr>
      <w:tr w:rsidR="00DF57AB" w:rsidRPr="009475AF" w14:paraId="3CBAD97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849AB0" w14:textId="3CBA9ECF"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B19A763" w14:textId="77777777" w:rsidR="00DF57AB" w:rsidRPr="00B6228A" w:rsidRDefault="00DF57AB" w:rsidP="00DF57AB">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62374DC4" w14:textId="77777777" w:rsidR="00DF57AB" w:rsidRDefault="00DF57AB" w:rsidP="00DF57AB">
            <w:pPr>
              <w:rPr>
                <w:rFonts w:ascii="Arial Narrow" w:hAnsi="Arial Narrow"/>
                <w:color w:val="333333"/>
                <w:sz w:val="20"/>
                <w:szCs w:val="20"/>
              </w:rPr>
            </w:pPr>
            <w:r>
              <w:rPr>
                <w:rFonts w:ascii="Arial Narrow" w:hAnsi="Arial Narrow"/>
                <w:color w:val="333333"/>
                <w:sz w:val="20"/>
                <w:szCs w:val="20"/>
              </w:rPr>
              <w:t>The following must be provided at the time of application and documented in the patient’s medical records:</w:t>
            </w:r>
          </w:p>
          <w:p w14:paraId="7EAF3902"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a</w:t>
            </w:r>
            <w:r w:rsidRPr="00480926">
              <w:rPr>
                <w:rFonts w:ascii="Arial Narrow" w:hAnsi="Arial Narrow"/>
                <w:sz w:val="20"/>
                <w:szCs w:val="20"/>
              </w:rPr>
              <w:t xml:space="preserve">) details of prior optimised asthma drug therapy (dosage, date of commencement and duration of therapy); and </w:t>
            </w:r>
          </w:p>
          <w:p w14:paraId="232AF5A5"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b</w:t>
            </w:r>
            <w:r w:rsidRPr="00480926">
              <w:rPr>
                <w:rFonts w:ascii="Arial Narrow" w:hAnsi="Arial Narrow"/>
                <w:sz w:val="20"/>
                <w:szCs w:val="20"/>
              </w:rPr>
              <w:t xml:space="preserve">) details of severe exacerbation/s experienced in the past 12 months while receiving optimised asthma therapy (date and treatment); and </w:t>
            </w:r>
          </w:p>
          <w:p w14:paraId="421E6E6B"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c</w:t>
            </w:r>
            <w:r w:rsidRPr="00480926">
              <w:rPr>
                <w:rFonts w:ascii="Arial Narrow" w:hAnsi="Arial Narrow"/>
                <w:sz w:val="20"/>
                <w:szCs w:val="20"/>
              </w:rPr>
              <w:t xml:space="preserve">) the IgE, </w:t>
            </w:r>
            <w:r w:rsidRPr="00636F08">
              <w:rPr>
                <w:rFonts w:ascii="Arial Narrow" w:hAnsi="Arial Narrow"/>
                <w:sz w:val="20"/>
                <w:szCs w:val="20"/>
              </w:rPr>
              <w:t>blood eosinophil or the fractional exhaled nitrous oxide</w:t>
            </w:r>
            <w:r w:rsidRPr="00480926">
              <w:rPr>
                <w:rFonts w:ascii="Arial Narrow" w:hAnsi="Arial Narrow"/>
                <w:sz w:val="20"/>
                <w:szCs w:val="20"/>
              </w:rPr>
              <w:t xml:space="preserve"> result</w:t>
            </w:r>
            <w:r w:rsidRPr="00480926">
              <w:rPr>
                <w:rFonts w:ascii="Arial Narrow" w:hAnsi="Arial Narrow"/>
                <w:i/>
                <w:iCs/>
                <w:sz w:val="20"/>
                <w:szCs w:val="20"/>
              </w:rPr>
              <w:t xml:space="preserve"> </w:t>
            </w:r>
            <w:r w:rsidRPr="00636F08">
              <w:rPr>
                <w:rFonts w:ascii="Arial Narrow" w:hAnsi="Arial Narrow"/>
                <w:sz w:val="20"/>
                <w:szCs w:val="20"/>
              </w:rPr>
              <w:t>and date</w:t>
            </w:r>
            <w:r w:rsidRPr="00480926">
              <w:rPr>
                <w:rFonts w:ascii="Arial Narrow" w:hAnsi="Arial Narrow"/>
                <w:sz w:val="20"/>
                <w:szCs w:val="20"/>
              </w:rPr>
              <w:t xml:space="preserve">; and </w:t>
            </w:r>
          </w:p>
          <w:p w14:paraId="247ED08C" w14:textId="77777777" w:rsidR="00DF57AB" w:rsidRPr="00480926" w:rsidRDefault="00DF57AB" w:rsidP="00DF57AB">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d</w:t>
            </w:r>
            <w:r w:rsidRPr="00480926">
              <w:rPr>
                <w:rFonts w:ascii="Arial Narrow" w:hAnsi="Arial Narrow"/>
                <w:sz w:val="20"/>
                <w:szCs w:val="20"/>
              </w:rPr>
              <w:t xml:space="preserve">) Asthma Control Questionnaire (ACQ-5) score; or </w:t>
            </w:r>
          </w:p>
          <w:p w14:paraId="502F2C14" w14:textId="30133DE3" w:rsidR="00DF57AB" w:rsidRPr="009475AF" w:rsidRDefault="00DF57AB" w:rsidP="00DF57AB">
            <w:pPr>
              <w:rPr>
                <w:rFonts w:ascii="Arial Narrow" w:hAnsi="Arial Narrow"/>
                <w:b/>
                <w:bCs/>
                <w:color w:val="333333"/>
                <w:sz w:val="20"/>
                <w:szCs w:val="20"/>
              </w:rPr>
            </w:pPr>
            <w:r w:rsidRPr="00480926">
              <w:rPr>
                <w:rFonts w:ascii="Arial Narrow" w:hAnsi="Arial Narrow"/>
                <w:sz w:val="20"/>
                <w:szCs w:val="20"/>
              </w:rPr>
              <w:t>(</w:t>
            </w:r>
            <w:r>
              <w:rPr>
                <w:rFonts w:ascii="Arial Narrow" w:hAnsi="Arial Narrow"/>
                <w:sz w:val="20"/>
                <w:szCs w:val="20"/>
              </w:rPr>
              <w:t>e</w:t>
            </w:r>
            <w:r w:rsidRPr="00480926">
              <w:rPr>
                <w:rFonts w:ascii="Arial Narrow" w:hAnsi="Arial Narrow"/>
                <w:sz w:val="20"/>
                <w:szCs w:val="20"/>
              </w:rPr>
              <w:t>) Asthma Control Questionnaire interviewer administered version (ACQ-IA) score</w:t>
            </w:r>
            <w:r>
              <w:rPr>
                <w:rFonts w:ascii="Arial Narrow" w:hAnsi="Arial Narrow"/>
                <w:sz w:val="20"/>
                <w:szCs w:val="20"/>
              </w:rPr>
              <w:t>.</w:t>
            </w:r>
          </w:p>
        </w:tc>
      </w:tr>
      <w:tr w:rsidR="00DF57AB" w:rsidRPr="009475AF" w14:paraId="23820537"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6A81A6" w14:textId="5E6B4051" w:rsidR="00DF57AB" w:rsidRPr="009475AF" w:rsidRDefault="00DF57AB" w:rsidP="00DF57AB">
            <w:pPr>
              <w:jc w:val="center"/>
              <w:rPr>
                <w:rFonts w:ascii="Arial Narrow" w:hAnsi="Arial Narrow"/>
                <w:color w:val="333333"/>
                <w:sz w:val="20"/>
                <w:szCs w:val="20"/>
              </w:rPr>
            </w:pPr>
          </w:p>
        </w:tc>
        <w:tc>
          <w:tcPr>
            <w:tcW w:w="7745" w:type="dxa"/>
            <w:gridSpan w:val="6"/>
            <w:vAlign w:val="center"/>
            <w:hideMark/>
          </w:tcPr>
          <w:p w14:paraId="14FCA815" w14:textId="77777777" w:rsidR="00DF57AB" w:rsidRPr="009475AF" w:rsidRDefault="00DF57AB" w:rsidP="00DF57AB">
            <w:pPr>
              <w:rPr>
                <w:rFonts w:ascii="Arial Narrow" w:hAnsi="Arial Narrow"/>
                <w:bCs/>
                <w:color w:val="FF0000"/>
                <w:sz w:val="20"/>
                <w:szCs w:val="20"/>
              </w:rPr>
            </w:pPr>
            <w:r w:rsidRPr="009475AF">
              <w:rPr>
                <w:rFonts w:ascii="Arial Narrow" w:hAnsi="Arial Narrow"/>
                <w:b/>
                <w:bCs/>
                <w:color w:val="333333"/>
                <w:sz w:val="20"/>
                <w:szCs w:val="20"/>
              </w:rPr>
              <w:t xml:space="preserve">Administrative Advice: </w:t>
            </w:r>
          </w:p>
          <w:p w14:paraId="3BC8DAE3" w14:textId="77777777" w:rsidR="00DF57AB" w:rsidRPr="009475AF" w:rsidRDefault="00DF57AB" w:rsidP="00DF57AB">
            <w:pPr>
              <w:rPr>
                <w:rFonts w:ascii="Arial Narrow" w:hAnsi="Arial Narrow"/>
                <w:color w:val="333333"/>
                <w:sz w:val="20"/>
                <w:szCs w:val="20"/>
              </w:rPr>
            </w:pPr>
            <w:r w:rsidRPr="009475AF">
              <w:rPr>
                <w:rFonts w:ascii="Arial Narrow" w:hAnsi="Arial Narrow"/>
                <w:bCs/>
                <w:sz w:val="20"/>
                <w:szCs w:val="20"/>
              </w:rPr>
              <w:t>The Services Australia website (</w:t>
            </w:r>
            <w:hyperlink r:id="rId15" w:history="1">
              <w:r w:rsidRPr="009475AF">
                <w:rPr>
                  <w:rStyle w:val="Hyperlink"/>
                  <w:rFonts w:ascii="Arial Narrow" w:hAnsi="Arial Narrow"/>
                  <w:bCs/>
                  <w:sz w:val="20"/>
                  <w:szCs w:val="20"/>
                </w:rPr>
                <w:t>www.servicesaustralia.gov.au</w:t>
              </w:r>
            </w:hyperlink>
            <w:r w:rsidRPr="009475AF">
              <w:rPr>
                <w:rFonts w:ascii="Arial Narrow" w:hAnsi="Arial Narrow"/>
                <w:bCs/>
                <w:sz w:val="20"/>
                <w:szCs w:val="20"/>
              </w:rPr>
              <w:t xml:space="preserve">) has details of the accepted toxicities, including severity, which will be accepted for the purposes of exempting a patient from the requirement of treatment with optimised asthma therapy. </w:t>
            </w:r>
          </w:p>
        </w:tc>
      </w:tr>
      <w:tr w:rsidR="00DF57AB" w:rsidRPr="009475AF" w14:paraId="1DD67DC5"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0EE526" w14:textId="538F4A74" w:rsidR="00DF57AB" w:rsidRPr="009475AF" w:rsidRDefault="00DF57AB" w:rsidP="00DF57AB">
            <w:pPr>
              <w:jc w:val="center"/>
              <w:rPr>
                <w:rFonts w:ascii="Arial Narrow" w:hAnsi="Arial Narrow"/>
                <w:color w:val="333333"/>
                <w:sz w:val="20"/>
                <w:szCs w:val="20"/>
              </w:rPr>
            </w:pPr>
          </w:p>
        </w:tc>
        <w:tc>
          <w:tcPr>
            <w:tcW w:w="7745" w:type="dxa"/>
            <w:gridSpan w:val="6"/>
            <w:vAlign w:val="center"/>
            <w:hideMark/>
          </w:tcPr>
          <w:p w14:paraId="2C79B84D" w14:textId="77777777" w:rsidR="00DF57AB" w:rsidRPr="009475AF" w:rsidRDefault="00DF57AB" w:rsidP="00DF57AB">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54A01F1D" w14:textId="77777777"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For copies of the ACQ and the calculation sheets please contact Sanofi Medical Information on 1800 818 806 or MedInfo.Australia@sanofi.com</w:t>
            </w:r>
          </w:p>
        </w:tc>
      </w:tr>
      <w:tr w:rsidR="00DF57AB" w:rsidRPr="009475AF" w14:paraId="0801FB6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A3A710" w14:textId="3B28149D"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494CE901" w14:textId="77777777" w:rsidR="00DF57AB" w:rsidRPr="009475AF" w:rsidRDefault="00DF57AB" w:rsidP="00DF57AB">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26939D30"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It is recommended that an application for continuing treatment is submitted at the of the 28-week assessment, to ensure continuity of treatment for those patients who meet the continuation criterion for PBS-subsidised treatment with this drug for this condition.</w:t>
            </w:r>
          </w:p>
        </w:tc>
      </w:tr>
      <w:tr w:rsidR="00DF57AB" w:rsidRPr="009475AF" w14:paraId="3BF81F28"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166467" w14:textId="0BABA806"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29168FEC" w14:textId="77777777" w:rsidR="00DF57AB" w:rsidRPr="009475AF" w:rsidRDefault="00DF57AB" w:rsidP="00DF57AB">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619C15AB" w14:textId="76AA9334"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Formal assessment and correction of inhaler technique should be performed in accordance with the National Asthma Council (NAC) Information Paper for Health Professionals on Inhaler Technique (available at </w:t>
            </w:r>
            <w:hyperlink r:id="rId16" w:history="1">
              <w:r w:rsidRPr="009475AF">
                <w:rPr>
                  <w:rStyle w:val="Hyperlink"/>
                  <w:rFonts w:ascii="Arial Narrow" w:hAnsi="Arial Narrow"/>
                  <w:sz w:val="20"/>
                  <w:szCs w:val="20"/>
                </w:rPr>
                <w:t>www.nationalasthma.org.au</w:t>
              </w:r>
            </w:hyperlink>
            <w:r w:rsidRPr="009475AF">
              <w:rPr>
                <w:rFonts w:ascii="Arial Narrow" w:hAnsi="Arial Narrow"/>
                <w:color w:val="333333"/>
                <w:sz w:val="20"/>
                <w:szCs w:val="20"/>
              </w:rPr>
              <w:t>); the assessment and adherence to correct technique should be documented in the patient’s medical records. Patients can obtain support with inhaler technique through their local Asthma Foundation (1800 645 130)</w:t>
            </w:r>
            <w:r>
              <w:rPr>
                <w:rFonts w:ascii="Arial Narrow" w:hAnsi="Arial Narrow"/>
                <w:color w:val="333333"/>
                <w:sz w:val="20"/>
                <w:szCs w:val="20"/>
              </w:rPr>
              <w:t xml:space="preserve">. </w:t>
            </w:r>
          </w:p>
        </w:tc>
      </w:tr>
      <w:tr w:rsidR="00DF57AB" w:rsidRPr="009475AF" w14:paraId="464ECD33" w14:textId="77777777" w:rsidTr="00645BAC">
        <w:tblPrEx>
          <w:tblCellMar>
            <w:top w:w="15" w:type="dxa"/>
            <w:bottom w:w="15" w:type="dxa"/>
          </w:tblCellMar>
          <w:tblLook w:val="04A0" w:firstRow="1" w:lastRow="0" w:firstColumn="1" w:lastColumn="0" w:noHBand="0" w:noVBand="1"/>
        </w:tblPrEx>
        <w:trPr>
          <w:trHeight w:val="20"/>
        </w:trPr>
        <w:tc>
          <w:tcPr>
            <w:tcW w:w="1272" w:type="dxa"/>
            <w:gridSpan w:val="2"/>
            <w:vAlign w:val="center"/>
          </w:tcPr>
          <w:p w14:paraId="227A7FE7" w14:textId="592F5F12"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50897DC2" w14:textId="77777777" w:rsidR="00DF57AB" w:rsidRPr="009475AF" w:rsidRDefault="00DF57AB" w:rsidP="00DF57AB">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45AA6833"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 xml:space="preserve">Any queries concerning the arrangements to prescribe may be directed to Services Australia on 1800 700 270 (hours of operation 8 a.m. to 5 p.m. Monday to Friday). </w:t>
            </w:r>
          </w:p>
          <w:p w14:paraId="356C3582"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7" w:history="1">
              <w:r w:rsidRPr="009475AF">
                <w:rPr>
                  <w:rStyle w:val="Hyperlink"/>
                  <w:rFonts w:ascii="Arial Narrow" w:hAnsi="Arial Narrow"/>
                  <w:bCs/>
                  <w:sz w:val="20"/>
                  <w:szCs w:val="20"/>
                </w:rPr>
                <w:t>www.servicesaustralia.gov.au</w:t>
              </w:r>
            </w:hyperlink>
          </w:p>
          <w:p w14:paraId="134D92EC"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18" w:history="1">
              <w:r w:rsidRPr="009475AF">
                <w:rPr>
                  <w:rStyle w:val="Hyperlink"/>
                  <w:rFonts w:ascii="Arial Narrow" w:hAnsi="Arial Narrow"/>
                  <w:bCs/>
                  <w:sz w:val="20"/>
                  <w:szCs w:val="20"/>
                </w:rPr>
                <w:t>www.servicesaustralia.gov.au/hpos</w:t>
              </w:r>
            </w:hyperlink>
          </w:p>
          <w:p w14:paraId="220A2148"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Or mailed to:</w:t>
            </w:r>
          </w:p>
          <w:p w14:paraId="79AB8DCF"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Services Australia</w:t>
            </w:r>
          </w:p>
          <w:p w14:paraId="456C496A"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 xml:space="preserve">Complex Drugs </w:t>
            </w:r>
          </w:p>
          <w:p w14:paraId="6649543A"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Reply Paid 9826</w:t>
            </w:r>
          </w:p>
          <w:p w14:paraId="2631246A" w14:textId="77777777" w:rsidR="00DF57AB" w:rsidRPr="009475AF" w:rsidRDefault="00DF57AB" w:rsidP="00DF57AB">
            <w:pPr>
              <w:rPr>
                <w:rFonts w:ascii="Arial Narrow" w:hAnsi="Arial Narrow"/>
                <w:bCs/>
                <w:color w:val="333333"/>
                <w:sz w:val="20"/>
                <w:szCs w:val="20"/>
              </w:rPr>
            </w:pPr>
            <w:r w:rsidRPr="009475AF">
              <w:rPr>
                <w:rFonts w:ascii="Arial Narrow" w:hAnsi="Arial Narrow"/>
                <w:bCs/>
                <w:color w:val="333333"/>
                <w:sz w:val="20"/>
                <w:szCs w:val="20"/>
              </w:rPr>
              <w:t>HOBART TAS 7001</w:t>
            </w:r>
          </w:p>
        </w:tc>
      </w:tr>
      <w:tr w:rsidR="00DF57AB" w:rsidRPr="009475AF" w14:paraId="2352ACD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22FD6F"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51617858" w14:textId="77777777" w:rsidR="00DF57AB" w:rsidRPr="009475AF" w:rsidRDefault="00DF57AB" w:rsidP="00DF57AB">
            <w:pPr>
              <w:rPr>
                <w:rFonts w:ascii="Arial Narrow" w:hAnsi="Arial Narrow"/>
                <w:b/>
                <w:bCs/>
                <w:color w:val="333333"/>
                <w:sz w:val="20"/>
                <w:szCs w:val="20"/>
              </w:rPr>
            </w:pPr>
          </w:p>
        </w:tc>
      </w:tr>
      <w:tr w:rsidR="00DF57AB" w:rsidRPr="009475AF" w14:paraId="2A0B3955" w14:textId="77777777" w:rsidTr="0028679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35BCE0DC" w14:textId="77777777" w:rsidR="00DF57AB" w:rsidRPr="009475AF" w:rsidRDefault="00DF57AB" w:rsidP="00DF57AB">
            <w:pPr>
              <w:rPr>
                <w:rFonts w:ascii="Arial Narrow" w:hAnsi="Arial Narrow"/>
                <w:bCs/>
                <w:color w:val="FF0000"/>
                <w:sz w:val="20"/>
                <w:szCs w:val="20"/>
              </w:rPr>
            </w:pPr>
          </w:p>
        </w:tc>
      </w:tr>
      <w:tr w:rsidR="00DF57AB" w:rsidRPr="009475AF" w14:paraId="0DA05CF1" w14:textId="77777777" w:rsidTr="0028679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0BA32A74" w14:textId="1F53A89C" w:rsidR="00DF57AB" w:rsidRPr="009475AF" w:rsidRDefault="00DF57AB" w:rsidP="00DF57AB">
            <w:pPr>
              <w:keepNext/>
              <w:keepLines/>
              <w:rPr>
                <w:rFonts w:ascii="Arial Narrow" w:hAnsi="Arial Narrow"/>
                <w:b/>
                <w:bCs/>
                <w:color w:val="333333"/>
                <w:sz w:val="20"/>
                <w:szCs w:val="20"/>
              </w:rPr>
            </w:pPr>
            <w:r w:rsidRPr="009475AF">
              <w:rPr>
                <w:rFonts w:ascii="Arial Narrow" w:hAnsi="Arial Narrow"/>
                <w:b/>
                <w:bCs/>
                <w:color w:val="333333"/>
                <w:sz w:val="20"/>
                <w:szCs w:val="20"/>
              </w:rPr>
              <w:t xml:space="preserve">Restriction Summary / Treatment of Concept </w:t>
            </w:r>
          </w:p>
        </w:tc>
      </w:tr>
      <w:tr w:rsidR="00DF57AB" w:rsidRPr="009475AF" w14:paraId="6826A01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5C1A30E3" w14:textId="77777777" w:rsidR="00DF57AB" w:rsidRPr="009475AF" w:rsidRDefault="00DF57AB" w:rsidP="00DF57AB">
            <w:pPr>
              <w:jc w:val="center"/>
              <w:rPr>
                <w:rFonts w:ascii="Arial Narrow" w:hAnsi="Arial Narrow"/>
                <w:b/>
                <w:sz w:val="20"/>
                <w:szCs w:val="20"/>
              </w:rPr>
            </w:pPr>
            <w:r w:rsidRPr="009475AF">
              <w:rPr>
                <w:rFonts w:ascii="Arial Narrow" w:hAnsi="Arial Narrow"/>
                <w:b/>
                <w:sz w:val="20"/>
                <w:szCs w:val="20"/>
              </w:rPr>
              <w:t>Concept ID</w:t>
            </w:r>
            <w:r w:rsidRPr="009475AF">
              <w:rPr>
                <w:rFonts w:ascii="Arial Narrow" w:hAnsi="Arial Narrow"/>
                <w:b/>
                <w:sz w:val="20"/>
                <w:szCs w:val="20"/>
              </w:rPr>
              <w:br/>
            </w:r>
            <w:r w:rsidRPr="009475AF">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D25C2A" w14:textId="77777777" w:rsidR="00DF57AB" w:rsidRPr="009475AF" w:rsidRDefault="00DF57AB" w:rsidP="00DF57AB">
            <w:pPr>
              <w:keepNext/>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DF57AB" w:rsidRPr="009475AF" w14:paraId="45C9AB88"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2CD823F7" w14:textId="77777777" w:rsidR="00DF57AB" w:rsidRPr="009475AF" w:rsidRDefault="00DF57AB" w:rsidP="00DF57A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E88881" w14:textId="77777777" w:rsidR="00DF57AB" w:rsidRPr="009475AF" w:rsidRDefault="00DF57AB" w:rsidP="00DF57AB">
            <w:pPr>
              <w:keepNext/>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DF57AB" w:rsidRPr="009475AF" w14:paraId="5A5B4F60"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64C6652F" w14:textId="77777777" w:rsidR="00DF57AB" w:rsidRPr="009475AF" w:rsidRDefault="00DF57AB" w:rsidP="00DF57A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24A1AE" w14:textId="77777777" w:rsidR="00DF57AB" w:rsidRPr="009475AF" w:rsidRDefault="00DF57AB" w:rsidP="00DF57AB">
            <w:pPr>
              <w:keepNext/>
              <w:keepLines/>
              <w:rPr>
                <w:rFonts w:ascii="Arial Narrow" w:eastAsia="Calibri" w:hAnsi="Arial Narrow"/>
                <w:sz w:val="20"/>
                <w:szCs w:val="20"/>
              </w:rPr>
            </w:pPr>
            <w:r w:rsidRPr="009475AF">
              <w:rPr>
                <w:rFonts w:ascii="Arial Narrow" w:hAnsi="Arial Narrow"/>
                <w:b/>
                <w:sz w:val="20"/>
                <w:szCs w:val="20"/>
              </w:rPr>
              <w:t xml:space="preserve">Restriction type: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(in writing only via post/HPOS upload) </w:t>
            </w:r>
          </w:p>
        </w:tc>
      </w:tr>
      <w:tr w:rsidR="00DF57AB" w:rsidRPr="009475AF" w14:paraId="7367EDB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C00F46E"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hideMark/>
          </w:tcPr>
          <w:p w14:paraId="4BAE2901"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w:t>
            </w:r>
          </w:p>
        </w:tc>
      </w:tr>
      <w:tr w:rsidR="00DF57AB" w:rsidRPr="009475AF" w14:paraId="141D0CCF"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5187ED1"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hideMark/>
          </w:tcPr>
          <w:p w14:paraId="47C60E3D" w14:textId="77777777" w:rsidR="00DF57AB" w:rsidRPr="009475AF" w:rsidRDefault="00DF57AB" w:rsidP="00DF57AB">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Initial treatment – Initial 2 (Change of treatment)</w:t>
            </w:r>
          </w:p>
        </w:tc>
      </w:tr>
      <w:tr w:rsidR="00DF57AB" w:rsidRPr="009475AF" w14:paraId="31C08C2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812216"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2A058B5F" w14:textId="77777777" w:rsidR="00DF57AB" w:rsidRPr="009475AF" w:rsidRDefault="00DF57AB" w:rsidP="00DF57AB">
            <w:pPr>
              <w:rPr>
                <w:rFonts w:ascii="Arial Narrow" w:hAnsi="Arial Narrow"/>
                <w:b/>
                <w:bCs/>
                <w:color w:val="333333"/>
                <w:sz w:val="20"/>
                <w:szCs w:val="20"/>
              </w:rPr>
            </w:pPr>
            <w:r w:rsidRPr="009475AF">
              <w:rPr>
                <w:rFonts w:ascii="Arial Narrow" w:hAnsi="Arial Narrow"/>
                <w:b/>
                <w:bCs/>
                <w:color w:val="333333"/>
                <w:sz w:val="20"/>
                <w:szCs w:val="20"/>
              </w:rPr>
              <w:t>Clinical criteria:</w:t>
            </w:r>
          </w:p>
        </w:tc>
      </w:tr>
      <w:tr w:rsidR="00DF57AB" w:rsidRPr="009475AF" w14:paraId="7F21ED6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CCDF46" w14:textId="6778328D"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489E61FC" w14:textId="4E6E3D77"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Patient must have had a total serum human immunoglobulin E </w:t>
            </w:r>
            <w:r>
              <w:rPr>
                <w:rFonts w:ascii="Arial Narrow" w:hAnsi="Arial Narrow"/>
                <w:color w:val="333333"/>
                <w:sz w:val="20"/>
                <w:szCs w:val="20"/>
              </w:rPr>
              <w:t>of at least</w:t>
            </w:r>
            <w:r w:rsidRPr="009475AF">
              <w:rPr>
                <w:rFonts w:ascii="Arial Narrow" w:hAnsi="Arial Narrow"/>
                <w:color w:val="333333"/>
                <w:sz w:val="20"/>
                <w:szCs w:val="20"/>
              </w:rPr>
              <w:t xml:space="preserve"> 30 IU/mL with past or current evidence of atopy, documented by skin prick testing or an in vitro measure of specific IgE no more than 12 months prior to initiating PBS-subsidised treatment with a biological medicine for</w:t>
            </w:r>
            <w:r>
              <w:rPr>
                <w:rFonts w:ascii="Arial Narrow" w:hAnsi="Arial Narrow"/>
                <w:color w:val="333333"/>
                <w:sz w:val="20"/>
                <w:szCs w:val="20"/>
              </w:rPr>
              <w:t xml:space="preserve"> either: (i)</w:t>
            </w:r>
            <w:r w:rsidRPr="009475AF">
              <w:rPr>
                <w:rFonts w:ascii="Arial Narrow" w:hAnsi="Arial Narrow"/>
                <w:color w:val="333333"/>
                <w:sz w:val="20"/>
                <w:szCs w:val="20"/>
              </w:rPr>
              <w:t xml:space="preserve"> severe asthma</w:t>
            </w:r>
            <w:r>
              <w:rPr>
                <w:rFonts w:ascii="Arial Narrow" w:hAnsi="Arial Narrow"/>
                <w:color w:val="333333"/>
                <w:sz w:val="20"/>
                <w:szCs w:val="20"/>
              </w:rPr>
              <w:t>, (ii) severe allergic asthma</w:t>
            </w:r>
            <w:r w:rsidRPr="009475AF">
              <w:rPr>
                <w:rFonts w:ascii="Arial Narrow" w:hAnsi="Arial Narrow"/>
                <w:color w:val="333333"/>
                <w:sz w:val="20"/>
                <w:szCs w:val="20"/>
              </w:rPr>
              <w:t>; or</w:t>
            </w:r>
          </w:p>
        </w:tc>
      </w:tr>
      <w:tr w:rsidR="00DF57AB" w:rsidRPr="009475AF" w14:paraId="2DC46B0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9DF8C9" w14:textId="093828D0"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6E5E2BD5" w14:textId="7638CF00"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Patient must have had a blood eosinophil count </w:t>
            </w:r>
            <w:r>
              <w:rPr>
                <w:rFonts w:ascii="Arial Narrow" w:hAnsi="Arial Narrow"/>
                <w:color w:val="333333"/>
                <w:sz w:val="20"/>
                <w:szCs w:val="20"/>
              </w:rPr>
              <w:t>of at least</w:t>
            </w:r>
            <w:r w:rsidRPr="009475AF">
              <w:rPr>
                <w:rFonts w:ascii="Arial Narrow" w:hAnsi="Arial Narrow"/>
                <w:color w:val="333333"/>
                <w:sz w:val="20"/>
                <w:szCs w:val="20"/>
              </w:rPr>
              <w:t xml:space="preserve"> 150 cells per microlitre no more than 12 months prior to initiating PBS-subsidised treatment with a biological medicine for </w:t>
            </w:r>
            <w:r>
              <w:rPr>
                <w:rFonts w:ascii="Arial Narrow" w:hAnsi="Arial Narrow"/>
                <w:color w:val="333333"/>
                <w:sz w:val="20"/>
                <w:szCs w:val="20"/>
              </w:rPr>
              <w:t xml:space="preserve">either: (i) </w:t>
            </w:r>
            <w:r w:rsidRPr="009475AF">
              <w:rPr>
                <w:rFonts w:ascii="Arial Narrow" w:hAnsi="Arial Narrow"/>
                <w:color w:val="333333"/>
                <w:sz w:val="20"/>
                <w:szCs w:val="20"/>
              </w:rPr>
              <w:t>severe asthma</w:t>
            </w:r>
            <w:r>
              <w:rPr>
                <w:rFonts w:ascii="Arial Narrow" w:hAnsi="Arial Narrow"/>
                <w:color w:val="333333"/>
                <w:sz w:val="20"/>
                <w:szCs w:val="20"/>
              </w:rPr>
              <w:t>, (ii) severe allergic asthma</w:t>
            </w:r>
            <w:r w:rsidRPr="009475AF">
              <w:rPr>
                <w:rFonts w:ascii="Arial Narrow" w:hAnsi="Arial Narrow"/>
                <w:color w:val="333333"/>
                <w:sz w:val="20"/>
                <w:szCs w:val="20"/>
              </w:rPr>
              <w:t>; or</w:t>
            </w:r>
          </w:p>
        </w:tc>
      </w:tr>
      <w:tr w:rsidR="00DF57AB" w:rsidRPr="009475AF" w14:paraId="6C2446ED"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4B1E65" w14:textId="4A826205"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53D9F8A2" w14:textId="7C6A2BDB"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Patient must have had a fractional exhaled nitrous oxide </w:t>
            </w:r>
            <w:r>
              <w:rPr>
                <w:rFonts w:ascii="Arial Narrow" w:hAnsi="Arial Narrow"/>
                <w:color w:val="333333"/>
                <w:sz w:val="20"/>
                <w:szCs w:val="20"/>
              </w:rPr>
              <w:t>of at least</w:t>
            </w:r>
            <w:r w:rsidRPr="009475AF">
              <w:rPr>
                <w:rFonts w:ascii="Arial Narrow" w:hAnsi="Arial Narrow"/>
                <w:color w:val="333333"/>
                <w:sz w:val="20"/>
                <w:szCs w:val="20"/>
              </w:rPr>
              <w:t xml:space="preserve"> 20 ppb no more than 12 months prior to initiating PBS-subsidised treatment with a biological medicine for </w:t>
            </w:r>
            <w:r>
              <w:rPr>
                <w:rFonts w:ascii="Arial Narrow" w:hAnsi="Arial Narrow"/>
                <w:color w:val="333333"/>
                <w:sz w:val="20"/>
                <w:szCs w:val="20"/>
              </w:rPr>
              <w:t xml:space="preserve">either: (i) </w:t>
            </w:r>
            <w:r w:rsidRPr="009475AF">
              <w:rPr>
                <w:rFonts w:ascii="Arial Narrow" w:hAnsi="Arial Narrow"/>
                <w:color w:val="333333"/>
                <w:sz w:val="20"/>
                <w:szCs w:val="20"/>
              </w:rPr>
              <w:t>severe asthma</w:t>
            </w:r>
            <w:r>
              <w:rPr>
                <w:rFonts w:ascii="Arial Narrow" w:hAnsi="Arial Narrow"/>
                <w:color w:val="333333"/>
                <w:sz w:val="20"/>
                <w:szCs w:val="20"/>
              </w:rPr>
              <w:t>, (ii) severe allergic asthma</w:t>
            </w:r>
          </w:p>
        </w:tc>
      </w:tr>
      <w:tr w:rsidR="00DF57AB" w:rsidRPr="009475AF" w14:paraId="37B3259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C1D767"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15715413"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AND</w:t>
            </w:r>
          </w:p>
        </w:tc>
      </w:tr>
      <w:tr w:rsidR="00DF57AB" w:rsidRPr="009475AF" w14:paraId="02C7FEE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B5A64F" w14:textId="06F724F9"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49BA1517"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DF57AB" w:rsidRPr="009475AF" w14:paraId="77F3F46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89CA51" w14:textId="52521F0D"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A235155" w14:textId="77777777"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Patient must not receive more than 32 weeks of treatment under this restriction.</w:t>
            </w:r>
          </w:p>
        </w:tc>
      </w:tr>
      <w:tr w:rsidR="00DF57AB" w:rsidRPr="009475AF" w14:paraId="60B6E49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F515E5"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2955EECD"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AND</w:t>
            </w:r>
          </w:p>
        </w:tc>
      </w:tr>
      <w:tr w:rsidR="00DF57AB" w:rsidRPr="009475AF" w14:paraId="2CFD747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6B946C"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129D5D7"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DF57AB" w:rsidRPr="009475AF" w14:paraId="1059CE6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68FD01" w14:textId="337E1136"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60BEBCB1" w14:textId="77777777"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Patient must be under the care of the same physician for at least 6 months. </w:t>
            </w:r>
          </w:p>
        </w:tc>
      </w:tr>
      <w:tr w:rsidR="00DF57AB" w:rsidRPr="009475AF" w14:paraId="2B50E4F8"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4F57A5"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5EE2512C"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AND</w:t>
            </w:r>
          </w:p>
        </w:tc>
      </w:tr>
      <w:tr w:rsidR="00DF57AB" w:rsidRPr="009475AF" w14:paraId="77311E58"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6CCBB8" w14:textId="10217051"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DD03294"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DF57AB" w:rsidRPr="009475AF" w14:paraId="700BA76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661A38" w14:textId="06671625"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1208A0C0" w14:textId="0B0BB98F"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Patient must have received prior PBS-subsidised treatment with a biological medicine </w:t>
            </w:r>
            <w:r w:rsidR="00C90CE9" w:rsidRPr="009475AF">
              <w:rPr>
                <w:rFonts w:ascii="Arial Narrow" w:hAnsi="Arial Narrow"/>
                <w:color w:val="333333"/>
                <w:sz w:val="20"/>
                <w:szCs w:val="20"/>
              </w:rPr>
              <w:t xml:space="preserve">in this treatment cycle </w:t>
            </w:r>
            <w:r w:rsidRPr="009475AF">
              <w:rPr>
                <w:rFonts w:ascii="Arial Narrow" w:hAnsi="Arial Narrow"/>
                <w:color w:val="333333"/>
                <w:sz w:val="20"/>
                <w:szCs w:val="20"/>
              </w:rPr>
              <w:t xml:space="preserve">for </w:t>
            </w:r>
            <w:r w:rsidR="00C90CE9">
              <w:rPr>
                <w:rFonts w:ascii="Arial Narrow" w:hAnsi="Arial Narrow"/>
                <w:color w:val="333333"/>
                <w:sz w:val="20"/>
                <w:szCs w:val="20"/>
              </w:rPr>
              <w:t xml:space="preserve">either: (i) </w:t>
            </w:r>
            <w:r w:rsidRPr="009475AF">
              <w:rPr>
                <w:rFonts w:ascii="Arial Narrow" w:hAnsi="Arial Narrow"/>
                <w:color w:val="333333"/>
                <w:sz w:val="20"/>
                <w:szCs w:val="20"/>
              </w:rPr>
              <w:t>severe asthma</w:t>
            </w:r>
            <w:r w:rsidR="00C90CE9">
              <w:rPr>
                <w:rFonts w:ascii="Arial Narrow" w:hAnsi="Arial Narrow"/>
                <w:color w:val="333333"/>
                <w:sz w:val="20"/>
                <w:szCs w:val="20"/>
              </w:rPr>
              <w:t xml:space="preserve">, (ii) </w:t>
            </w:r>
            <w:r w:rsidR="00C90CE9" w:rsidRPr="009475AF">
              <w:rPr>
                <w:rFonts w:ascii="Arial Narrow" w:hAnsi="Arial Narrow"/>
                <w:color w:val="333333"/>
                <w:sz w:val="20"/>
                <w:szCs w:val="20"/>
              </w:rPr>
              <w:t>severe</w:t>
            </w:r>
            <w:r w:rsidR="00C90CE9">
              <w:rPr>
                <w:rFonts w:ascii="Arial Narrow" w:hAnsi="Arial Narrow"/>
                <w:color w:val="333333"/>
                <w:sz w:val="20"/>
                <w:szCs w:val="20"/>
              </w:rPr>
              <w:t xml:space="preserve"> allergic </w:t>
            </w:r>
            <w:r w:rsidR="00CF25AF">
              <w:rPr>
                <w:rFonts w:ascii="Arial Narrow" w:hAnsi="Arial Narrow"/>
                <w:color w:val="333333"/>
                <w:sz w:val="20"/>
                <w:szCs w:val="20"/>
              </w:rPr>
              <w:t>asthma,</w:t>
            </w:r>
            <w:r w:rsidRPr="009475AF">
              <w:rPr>
                <w:rFonts w:ascii="Arial Narrow" w:hAnsi="Arial Narrow"/>
                <w:color w:val="333333"/>
                <w:sz w:val="20"/>
                <w:szCs w:val="20"/>
              </w:rPr>
              <w:t xml:space="preserve"> </w:t>
            </w:r>
          </w:p>
        </w:tc>
      </w:tr>
      <w:tr w:rsidR="00DF57AB" w:rsidRPr="009475AF" w14:paraId="08449FE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215F4E"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D51DAD3"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AND</w:t>
            </w:r>
          </w:p>
        </w:tc>
      </w:tr>
      <w:tr w:rsidR="00DF57AB" w:rsidRPr="009475AF" w14:paraId="4188D37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B827AE" w14:textId="3BC92E88"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72D71D38"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DF57AB" w:rsidRPr="009475AF" w14:paraId="645CA2A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25929D" w14:textId="300AEDE0"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717659B7" w14:textId="77777777"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Patient must not have failed, or ceased to respond to, PBS-subsidised treatment with this drug for this condition during the current treatment cycle</w:t>
            </w:r>
          </w:p>
        </w:tc>
      </w:tr>
      <w:tr w:rsidR="00DF57AB" w:rsidRPr="009475AF" w14:paraId="336771F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D91DDC"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345B736A"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AND</w:t>
            </w:r>
          </w:p>
        </w:tc>
      </w:tr>
      <w:tr w:rsidR="00DF57AB" w:rsidRPr="009475AF" w14:paraId="2702A54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8BDD02" w14:textId="5D6716E2"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6AAA6C1E"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DF57AB" w:rsidRPr="009475AF" w14:paraId="6A16081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8C2BC1" w14:textId="096010B6" w:rsidR="00182F72" w:rsidRPr="009475AF" w:rsidRDefault="00182F72" w:rsidP="00DF57AB">
            <w:pPr>
              <w:jc w:val="center"/>
              <w:rPr>
                <w:rFonts w:ascii="Arial Narrow" w:hAnsi="Arial Narrow"/>
                <w:color w:val="333333"/>
                <w:sz w:val="20"/>
                <w:szCs w:val="20"/>
              </w:rPr>
            </w:pPr>
          </w:p>
        </w:tc>
        <w:tc>
          <w:tcPr>
            <w:tcW w:w="7745" w:type="dxa"/>
            <w:gridSpan w:val="6"/>
            <w:vAlign w:val="center"/>
          </w:tcPr>
          <w:p w14:paraId="3B77481B" w14:textId="3163A7F0"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The treatment must not be used in combination with and within 4 weeks of another PBS-subsidised biological medicine prescribed for </w:t>
            </w:r>
            <w:r w:rsidR="00182F72">
              <w:rPr>
                <w:rFonts w:ascii="Arial Narrow" w:hAnsi="Arial Narrow"/>
                <w:color w:val="333333"/>
                <w:sz w:val="20"/>
                <w:szCs w:val="20"/>
              </w:rPr>
              <w:t xml:space="preserve">either: (i) </w:t>
            </w:r>
            <w:r w:rsidRPr="009475AF">
              <w:rPr>
                <w:rFonts w:ascii="Arial Narrow" w:hAnsi="Arial Narrow"/>
                <w:color w:val="333333"/>
                <w:sz w:val="20"/>
                <w:szCs w:val="20"/>
              </w:rPr>
              <w:t>severe asthma</w:t>
            </w:r>
            <w:r w:rsidR="00182F72">
              <w:rPr>
                <w:rFonts w:ascii="Arial Narrow" w:hAnsi="Arial Narrow"/>
                <w:color w:val="333333"/>
                <w:sz w:val="20"/>
                <w:szCs w:val="20"/>
              </w:rPr>
              <w:t>, (ii) severe allergic asthma</w:t>
            </w:r>
            <w:r w:rsidRPr="009475AF">
              <w:rPr>
                <w:rFonts w:ascii="Arial Narrow" w:hAnsi="Arial Narrow"/>
                <w:color w:val="333333"/>
                <w:sz w:val="20"/>
                <w:szCs w:val="20"/>
              </w:rPr>
              <w:t xml:space="preserve"> </w:t>
            </w:r>
          </w:p>
        </w:tc>
      </w:tr>
      <w:tr w:rsidR="00DF57AB" w:rsidRPr="009475AF" w14:paraId="370800D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41B48B" w14:textId="49EE3D45"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75B8364C"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Treatment criteria:</w:t>
            </w:r>
          </w:p>
        </w:tc>
      </w:tr>
      <w:tr w:rsidR="00DF57AB" w:rsidRPr="009475AF" w14:paraId="1ADC85D0"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14FC11" w14:textId="16436A57" w:rsidR="00182F72" w:rsidRPr="009475AF" w:rsidRDefault="00182F72" w:rsidP="00DF57AB">
            <w:pPr>
              <w:jc w:val="center"/>
              <w:rPr>
                <w:rFonts w:ascii="Arial Narrow" w:hAnsi="Arial Narrow"/>
                <w:color w:val="333333"/>
                <w:sz w:val="20"/>
                <w:szCs w:val="20"/>
              </w:rPr>
            </w:pPr>
          </w:p>
        </w:tc>
        <w:tc>
          <w:tcPr>
            <w:tcW w:w="7745" w:type="dxa"/>
            <w:gridSpan w:val="6"/>
            <w:vAlign w:val="center"/>
          </w:tcPr>
          <w:p w14:paraId="4516E859" w14:textId="5BDA5214" w:rsidR="00DF57AB" w:rsidRPr="009475AF" w:rsidRDefault="00DF57AB" w:rsidP="00DF57AB">
            <w:pPr>
              <w:rPr>
                <w:rFonts w:ascii="Arial Narrow" w:hAnsi="Arial Narrow"/>
                <w:color w:val="333333"/>
                <w:sz w:val="20"/>
                <w:szCs w:val="20"/>
              </w:rPr>
            </w:pPr>
            <w:r w:rsidRPr="009475AF">
              <w:rPr>
                <w:rFonts w:ascii="Arial Narrow" w:hAnsi="Arial Narrow"/>
                <w:color w:val="333333"/>
                <w:sz w:val="20"/>
                <w:szCs w:val="20"/>
              </w:rPr>
              <w:t xml:space="preserve">Must be treated by a </w:t>
            </w:r>
            <w:r w:rsidR="00182F72">
              <w:rPr>
                <w:rFonts w:ascii="Arial Narrow" w:hAnsi="Arial Narrow"/>
                <w:color w:val="333333"/>
                <w:sz w:val="20"/>
                <w:szCs w:val="20"/>
              </w:rPr>
              <w:t xml:space="preserve">medical practitioner who is either a: (i) </w:t>
            </w:r>
            <w:r w:rsidRPr="009475AF">
              <w:rPr>
                <w:rFonts w:ascii="Arial Narrow" w:hAnsi="Arial Narrow"/>
                <w:color w:val="333333"/>
                <w:sz w:val="20"/>
                <w:szCs w:val="20"/>
              </w:rPr>
              <w:t xml:space="preserve">paediatric respiratory physician, </w:t>
            </w:r>
            <w:r w:rsidR="00182F72">
              <w:rPr>
                <w:rFonts w:ascii="Arial Narrow" w:hAnsi="Arial Narrow"/>
                <w:color w:val="333333"/>
                <w:sz w:val="20"/>
                <w:szCs w:val="20"/>
              </w:rPr>
              <w:t xml:space="preserve">(ii) </w:t>
            </w:r>
            <w:r w:rsidRPr="009475AF">
              <w:rPr>
                <w:rFonts w:ascii="Arial Narrow" w:hAnsi="Arial Narrow"/>
                <w:color w:val="333333"/>
                <w:sz w:val="20"/>
                <w:szCs w:val="20"/>
              </w:rPr>
              <w:t xml:space="preserve">clinical immunologist, </w:t>
            </w:r>
            <w:r w:rsidR="00182F72">
              <w:rPr>
                <w:rFonts w:ascii="Arial Narrow" w:hAnsi="Arial Narrow"/>
                <w:color w:val="333333"/>
                <w:sz w:val="20"/>
                <w:szCs w:val="20"/>
              </w:rPr>
              <w:t xml:space="preserve">(iii) </w:t>
            </w:r>
            <w:r w:rsidRPr="009475AF">
              <w:rPr>
                <w:rFonts w:ascii="Arial Narrow" w:hAnsi="Arial Narrow"/>
                <w:color w:val="333333"/>
                <w:sz w:val="20"/>
                <w:szCs w:val="20"/>
              </w:rPr>
              <w:t xml:space="preserve">allergist; </w:t>
            </w:r>
            <w:r w:rsidR="00182F72">
              <w:rPr>
                <w:rFonts w:ascii="Arial Narrow" w:hAnsi="Arial Narrow"/>
                <w:color w:val="333333"/>
                <w:sz w:val="20"/>
                <w:szCs w:val="20"/>
              </w:rPr>
              <w:t xml:space="preserve">(iv) </w:t>
            </w:r>
            <w:r w:rsidRPr="009475AF">
              <w:rPr>
                <w:rFonts w:ascii="Arial Narrow" w:hAnsi="Arial Narrow"/>
                <w:color w:val="333333"/>
                <w:sz w:val="20"/>
                <w:szCs w:val="20"/>
              </w:rPr>
              <w:t>paediatrician or general physician experienced in the management of patients with severe asthma, in consultation with a respiratory physician</w:t>
            </w:r>
          </w:p>
        </w:tc>
      </w:tr>
      <w:tr w:rsidR="00DF57AB" w:rsidRPr="009475AF" w14:paraId="0EE2F95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062A1F" w14:textId="1EAD1784"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1C8AAB86" w14:textId="77777777" w:rsidR="00DF57AB" w:rsidRPr="009475AF" w:rsidRDefault="00DF57AB" w:rsidP="00DF57AB">
            <w:pPr>
              <w:rPr>
                <w:rFonts w:ascii="Arial Narrow" w:hAnsi="Arial Narrow"/>
                <w:color w:val="333333"/>
                <w:sz w:val="20"/>
                <w:szCs w:val="20"/>
              </w:rPr>
            </w:pPr>
            <w:r w:rsidRPr="009475AF">
              <w:rPr>
                <w:rFonts w:ascii="Arial Narrow" w:hAnsi="Arial Narrow"/>
                <w:b/>
                <w:bCs/>
                <w:color w:val="333333"/>
                <w:sz w:val="20"/>
                <w:szCs w:val="20"/>
              </w:rPr>
              <w:t>Population criteria:</w:t>
            </w:r>
          </w:p>
        </w:tc>
      </w:tr>
      <w:tr w:rsidR="00DF57AB" w:rsidRPr="009475AF" w14:paraId="6C9B20A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853BC7" w14:textId="716BD9F3"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765316B5" w14:textId="77777777" w:rsidR="00DF57AB" w:rsidRPr="009475AF" w:rsidRDefault="00DF57AB" w:rsidP="00DF57AB">
            <w:pPr>
              <w:rPr>
                <w:rFonts w:ascii="Arial Narrow" w:hAnsi="Arial Narrow"/>
                <w:color w:val="333333"/>
                <w:sz w:val="20"/>
                <w:szCs w:val="20"/>
              </w:rPr>
            </w:pPr>
            <w:r w:rsidRPr="009475AF">
              <w:rPr>
                <w:rFonts w:ascii="Arial Narrow" w:hAnsi="Arial Narrow"/>
                <w:sz w:val="20"/>
                <w:szCs w:val="20"/>
              </w:rPr>
              <w:t xml:space="preserve">Patient must be aged 6 to less than 12 years. </w:t>
            </w:r>
          </w:p>
        </w:tc>
      </w:tr>
      <w:tr w:rsidR="00DF57AB" w:rsidRPr="009475AF" w14:paraId="002CF870"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408D19" w14:textId="77777777" w:rsidR="00DF57AB" w:rsidRPr="009475AF" w:rsidRDefault="00DF57AB" w:rsidP="00DF57AB">
            <w:pPr>
              <w:jc w:val="center"/>
              <w:rPr>
                <w:rFonts w:ascii="Arial Narrow" w:hAnsi="Arial Narrow"/>
                <w:color w:val="333333"/>
                <w:sz w:val="20"/>
                <w:szCs w:val="20"/>
              </w:rPr>
            </w:pPr>
          </w:p>
        </w:tc>
        <w:tc>
          <w:tcPr>
            <w:tcW w:w="7745" w:type="dxa"/>
            <w:gridSpan w:val="6"/>
            <w:vAlign w:val="center"/>
          </w:tcPr>
          <w:p w14:paraId="4571B73F" w14:textId="77777777" w:rsidR="00DF57AB" w:rsidRPr="009475AF" w:rsidRDefault="00DF57AB" w:rsidP="00DF57AB">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4FD19BAA" w14:textId="77777777" w:rsidR="00DF57AB" w:rsidRPr="009475AF" w:rsidRDefault="00DF57AB" w:rsidP="00DF57AB">
            <w:pPr>
              <w:rPr>
                <w:rFonts w:ascii="Arial Narrow" w:hAnsi="Arial Narrow"/>
                <w:sz w:val="20"/>
                <w:szCs w:val="20"/>
              </w:rPr>
            </w:pPr>
          </w:p>
          <w:p w14:paraId="374DA273" w14:textId="7D37FDBA" w:rsidR="00DF57AB" w:rsidRPr="009475AF" w:rsidRDefault="00DF57AB" w:rsidP="00DF57AB">
            <w:pPr>
              <w:rPr>
                <w:rFonts w:ascii="Arial Narrow" w:hAnsi="Arial Narrow"/>
                <w:sz w:val="20"/>
                <w:szCs w:val="20"/>
              </w:rPr>
            </w:pPr>
            <w:r w:rsidRPr="009475AF">
              <w:rPr>
                <w:rFonts w:ascii="Arial Narrow" w:hAnsi="Arial Narrow"/>
                <w:sz w:val="20"/>
                <w:szCs w:val="20"/>
              </w:rPr>
              <w:t xml:space="preserve">An application for a patient who has received PBS-subsidised biological medicine treatment for severe asthma </w:t>
            </w:r>
            <w:r w:rsidR="00182F72">
              <w:rPr>
                <w:rFonts w:ascii="Arial Narrow" w:hAnsi="Arial Narrow"/>
                <w:sz w:val="20"/>
                <w:szCs w:val="20"/>
              </w:rPr>
              <w:t xml:space="preserve">or severe allergic asthma </w:t>
            </w:r>
            <w:r w:rsidRPr="009475AF">
              <w:rPr>
                <w:rFonts w:ascii="Arial Narrow" w:hAnsi="Arial Narrow"/>
                <w:sz w:val="20"/>
                <w:szCs w:val="20"/>
              </w:rPr>
              <w:t xml:space="preserve">who wishes to change therapy to this biological medicine, must be accompanied by the results of an ACQ-5 (or ACQ-5-IA)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 </w:t>
            </w:r>
          </w:p>
          <w:p w14:paraId="385DD983" w14:textId="77777777" w:rsidR="00DF57AB" w:rsidRPr="009475AF" w:rsidRDefault="00DF57AB" w:rsidP="00DF57AB">
            <w:pPr>
              <w:rPr>
                <w:rFonts w:ascii="Arial Narrow" w:hAnsi="Arial Narrow"/>
                <w:sz w:val="20"/>
                <w:szCs w:val="20"/>
              </w:rPr>
            </w:pPr>
          </w:p>
          <w:p w14:paraId="036E583A" w14:textId="3A4D9390" w:rsidR="00DF57AB" w:rsidRPr="009475AF" w:rsidRDefault="00DF57AB" w:rsidP="00DF57AB">
            <w:pPr>
              <w:rPr>
                <w:rFonts w:ascii="Arial Narrow" w:hAnsi="Arial Narrow"/>
                <w:sz w:val="20"/>
                <w:szCs w:val="20"/>
              </w:rPr>
            </w:pPr>
            <w:r w:rsidRPr="009475AF">
              <w:rPr>
                <w:rFonts w:ascii="Arial Narrow" w:hAnsi="Arial Narrow"/>
                <w:sz w:val="20"/>
                <w:szCs w:val="20"/>
              </w:rPr>
              <w:t xml:space="preserve">An ACQ-5 (or ACQ-5-IA)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 </w:t>
            </w:r>
          </w:p>
          <w:p w14:paraId="3B3B502F" w14:textId="77777777" w:rsidR="00DF57AB" w:rsidRPr="009475AF" w:rsidRDefault="00DF57AB" w:rsidP="00DF57AB">
            <w:pPr>
              <w:rPr>
                <w:rFonts w:ascii="Arial Narrow" w:hAnsi="Arial Narrow"/>
                <w:sz w:val="20"/>
                <w:szCs w:val="20"/>
              </w:rPr>
            </w:pPr>
          </w:p>
          <w:p w14:paraId="6D7FEDDE" w14:textId="448AAEDA" w:rsidR="00DF57AB" w:rsidRPr="009475AF" w:rsidRDefault="00DF57AB" w:rsidP="00DF57AB">
            <w:pPr>
              <w:rPr>
                <w:rFonts w:ascii="Arial Narrow" w:hAnsi="Arial Narrow"/>
                <w:sz w:val="20"/>
                <w:szCs w:val="20"/>
              </w:rPr>
            </w:pPr>
            <w:r w:rsidRPr="009475AF">
              <w:rPr>
                <w:rFonts w:ascii="Arial Narrow" w:hAnsi="Arial Narrow"/>
                <w:sz w:val="20"/>
                <w:szCs w:val="20"/>
              </w:rPr>
              <w:t xml:space="preserve">This assessment at around 28 weeks, which will be used to determine eligibility for the first continuing treatment, should be conducted within 4 weeks of the </w:t>
            </w:r>
            <w:r w:rsidR="00182F72">
              <w:rPr>
                <w:rFonts w:ascii="Arial Narrow" w:hAnsi="Arial Narrow"/>
                <w:sz w:val="20"/>
                <w:szCs w:val="20"/>
              </w:rPr>
              <w:t>last dose of biological medicine</w:t>
            </w:r>
            <w:r w:rsidRPr="009475AF">
              <w:rPr>
                <w:rFonts w:ascii="Arial Narrow" w:hAnsi="Arial Narrow"/>
                <w:sz w:val="20"/>
                <w:szCs w:val="20"/>
              </w:rPr>
              <w:t xml:space="preserve">.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 </w:t>
            </w:r>
          </w:p>
          <w:p w14:paraId="5FD552D6" w14:textId="77777777" w:rsidR="00DF57AB" w:rsidRPr="009475AF" w:rsidRDefault="00DF57AB" w:rsidP="00DF57AB">
            <w:pPr>
              <w:rPr>
                <w:rFonts w:ascii="Arial Narrow" w:hAnsi="Arial Narrow"/>
                <w:sz w:val="20"/>
                <w:szCs w:val="20"/>
              </w:rPr>
            </w:pPr>
          </w:p>
          <w:p w14:paraId="15D7B8E2" w14:textId="03109342" w:rsidR="00DF57AB" w:rsidRPr="009475AF" w:rsidRDefault="00DF57AB" w:rsidP="00DF57AB">
            <w:pPr>
              <w:rPr>
                <w:rFonts w:ascii="Arial Narrow" w:hAnsi="Arial Narrow"/>
                <w:sz w:val="20"/>
                <w:szCs w:val="20"/>
              </w:rPr>
            </w:pPr>
            <w:r w:rsidRPr="009475AF">
              <w:rPr>
                <w:rFonts w:ascii="Arial Narrow" w:hAnsi="Arial Narrow"/>
                <w:sz w:val="20"/>
                <w:szCs w:val="20"/>
              </w:rPr>
              <w:t xml:space="preserve">A patient who fails to respond to a course of PBS-subsidised treatment </w:t>
            </w:r>
            <w:r w:rsidR="00182F72">
              <w:rPr>
                <w:rFonts w:ascii="Arial Narrow" w:hAnsi="Arial Narrow"/>
                <w:sz w:val="20"/>
                <w:szCs w:val="20"/>
              </w:rPr>
              <w:t xml:space="preserve">with this drug for </w:t>
            </w:r>
            <w:r w:rsidRPr="009475AF">
              <w:rPr>
                <w:rFonts w:ascii="Arial Narrow" w:hAnsi="Arial Narrow"/>
                <w:sz w:val="20"/>
                <w:szCs w:val="20"/>
              </w:rPr>
              <w:t xml:space="preserve">uncontrolled severe asthma will not be eligible to receive further PBS-subsidised treatment with </w:t>
            </w:r>
            <w:r w:rsidR="00182F72">
              <w:rPr>
                <w:rFonts w:ascii="Arial Narrow" w:hAnsi="Arial Narrow"/>
                <w:sz w:val="20"/>
                <w:szCs w:val="20"/>
              </w:rPr>
              <w:t>this drug</w:t>
            </w:r>
            <w:r w:rsidR="00182F72" w:rsidRPr="009475AF">
              <w:rPr>
                <w:rFonts w:ascii="Arial Narrow" w:hAnsi="Arial Narrow"/>
                <w:sz w:val="20"/>
                <w:szCs w:val="20"/>
              </w:rPr>
              <w:t xml:space="preserve"> </w:t>
            </w:r>
            <w:r w:rsidRPr="009475AF">
              <w:rPr>
                <w:rFonts w:ascii="Arial Narrow" w:hAnsi="Arial Narrow"/>
                <w:sz w:val="20"/>
                <w:szCs w:val="20"/>
              </w:rPr>
              <w:t xml:space="preserve">for this condition within </w:t>
            </w:r>
            <w:r w:rsidR="00182F72">
              <w:rPr>
                <w:rFonts w:ascii="Arial Narrow" w:hAnsi="Arial Narrow"/>
                <w:sz w:val="20"/>
                <w:szCs w:val="20"/>
              </w:rPr>
              <w:t>12</w:t>
            </w:r>
            <w:r w:rsidRPr="009475AF">
              <w:rPr>
                <w:rFonts w:ascii="Arial Narrow" w:hAnsi="Arial Narrow"/>
                <w:sz w:val="20"/>
                <w:szCs w:val="20"/>
              </w:rPr>
              <w:t xml:space="preserve"> months of the date on which treatment was ceased. </w:t>
            </w:r>
          </w:p>
          <w:p w14:paraId="0FDC611D" w14:textId="77777777" w:rsidR="00DF57AB" w:rsidRPr="009475AF" w:rsidRDefault="00DF57AB" w:rsidP="00DF57AB">
            <w:pPr>
              <w:rPr>
                <w:rFonts w:ascii="Arial Narrow" w:hAnsi="Arial Narrow"/>
                <w:sz w:val="20"/>
                <w:szCs w:val="20"/>
              </w:rPr>
            </w:pPr>
          </w:p>
          <w:p w14:paraId="1486530E" w14:textId="77777777" w:rsidR="00DF57AB" w:rsidRPr="009475AF" w:rsidRDefault="00DF57AB" w:rsidP="00DF57AB">
            <w:pPr>
              <w:rPr>
                <w:rFonts w:ascii="Arial Narrow" w:hAnsi="Arial Narrow"/>
                <w:sz w:val="20"/>
                <w:szCs w:val="20"/>
              </w:rPr>
            </w:pPr>
            <w:r w:rsidRPr="009475AF">
              <w:rPr>
                <w:rFonts w:ascii="Arial Narrow" w:hAnsi="Arial Narrow"/>
                <w:sz w:val="20"/>
                <w:szCs w:val="20"/>
              </w:rPr>
              <w:t xml:space="preserve">At the time of the authority application, medical practitioners should request the appropriate maximum quantity and number of repeats to provide for an initial course of dupilumab sufficient for up to 32 weeks of therapy. </w:t>
            </w:r>
          </w:p>
        </w:tc>
      </w:tr>
      <w:tr w:rsidR="00182F72" w:rsidRPr="009475AF" w14:paraId="38C8FD4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A41F42" w14:textId="5195258E"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16E894D0" w14:textId="77777777" w:rsidR="00182F72" w:rsidRPr="00B6228A" w:rsidRDefault="00182F72" w:rsidP="00182F72">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73A1A1D6"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The authority application must be made in writing and must include:</w:t>
            </w:r>
          </w:p>
          <w:p w14:paraId="1ACA8A60"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 xml:space="preserve">(a) a completed authority prescription form; and </w:t>
            </w:r>
          </w:p>
          <w:p w14:paraId="2050047D" w14:textId="672B539F" w:rsidR="00182F72" w:rsidRPr="009475AF" w:rsidRDefault="00182F72" w:rsidP="00182F72">
            <w:pPr>
              <w:rPr>
                <w:rFonts w:ascii="Arial Narrow" w:hAnsi="Arial Narrow"/>
                <w:b/>
                <w:bCs/>
                <w:color w:val="333333"/>
                <w:sz w:val="20"/>
                <w:szCs w:val="20"/>
              </w:rPr>
            </w:pPr>
            <w:r w:rsidRPr="00480926">
              <w:rPr>
                <w:rFonts w:ascii="Arial Narrow" w:hAnsi="Arial Narrow"/>
                <w:sz w:val="20"/>
                <w:szCs w:val="20"/>
              </w:rPr>
              <w:t xml:space="preserve">(b) a completed </w:t>
            </w:r>
            <w:r w:rsidRPr="00636F08">
              <w:rPr>
                <w:rFonts w:ascii="Arial Narrow" w:hAnsi="Arial Narrow"/>
                <w:sz w:val="20"/>
                <w:szCs w:val="20"/>
              </w:rPr>
              <w:t>authority application form relevant to the indication and</w:t>
            </w:r>
            <w:r w:rsidRPr="00480926">
              <w:rPr>
                <w:rFonts w:ascii="Arial Narrow" w:hAnsi="Arial Narrow"/>
                <w:i/>
                <w:iCs/>
                <w:sz w:val="20"/>
                <w:szCs w:val="20"/>
              </w:rPr>
              <w:t xml:space="preserve"> </w:t>
            </w:r>
            <w:r w:rsidRPr="00636F08">
              <w:rPr>
                <w:rFonts w:ascii="Arial Narrow" w:hAnsi="Arial Narrow"/>
                <w:sz w:val="20"/>
                <w:szCs w:val="20"/>
              </w:rPr>
              <w:t>treatment phase (the latest version is located on the website specified in the Administrative Advice)</w:t>
            </w:r>
            <w:r>
              <w:rPr>
                <w:rFonts w:ascii="Arial Narrow" w:hAnsi="Arial Narrow"/>
                <w:sz w:val="20"/>
                <w:szCs w:val="20"/>
              </w:rPr>
              <w:t>.</w:t>
            </w:r>
          </w:p>
        </w:tc>
      </w:tr>
      <w:tr w:rsidR="00182F72" w:rsidRPr="009475AF" w14:paraId="69269A1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92E43D" w14:textId="61CE902D"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58A2CDBD" w14:textId="77777777" w:rsidR="00182F72" w:rsidRPr="00B6228A" w:rsidRDefault="00182F72" w:rsidP="00182F72">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78BBAF29" w14:textId="77777777" w:rsidR="00182F72" w:rsidRDefault="00182F72" w:rsidP="00182F72">
            <w:pPr>
              <w:rPr>
                <w:rFonts w:ascii="Arial Narrow" w:hAnsi="Arial Narrow"/>
                <w:color w:val="333333"/>
                <w:sz w:val="20"/>
                <w:szCs w:val="20"/>
              </w:rPr>
            </w:pPr>
            <w:r>
              <w:rPr>
                <w:rFonts w:ascii="Arial Narrow" w:hAnsi="Arial Narrow"/>
                <w:color w:val="333333"/>
                <w:sz w:val="20"/>
                <w:szCs w:val="20"/>
              </w:rPr>
              <w:t>The following must be provided at the time of application and documented in the patient’s medical records:</w:t>
            </w:r>
          </w:p>
          <w:p w14:paraId="533BC07D"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a</w:t>
            </w:r>
            <w:r w:rsidRPr="00480926">
              <w:rPr>
                <w:rFonts w:ascii="Arial Narrow" w:hAnsi="Arial Narrow"/>
                <w:sz w:val="20"/>
                <w:szCs w:val="20"/>
              </w:rPr>
              <w:t>) the IgE,</w:t>
            </w:r>
            <w:r w:rsidRPr="00480926">
              <w:rPr>
                <w:rFonts w:ascii="Arial Narrow" w:hAnsi="Arial Narrow"/>
                <w:i/>
                <w:iCs/>
                <w:sz w:val="20"/>
                <w:szCs w:val="20"/>
              </w:rPr>
              <w:t xml:space="preserve"> </w:t>
            </w:r>
            <w:r w:rsidRPr="00636F08">
              <w:rPr>
                <w:rFonts w:ascii="Arial Narrow" w:hAnsi="Arial Narrow"/>
                <w:sz w:val="20"/>
                <w:szCs w:val="20"/>
              </w:rPr>
              <w:t>blood eosinophil or fractional exhaled nitrous oxide</w:t>
            </w:r>
            <w:r w:rsidRPr="008D5178">
              <w:rPr>
                <w:rFonts w:ascii="Arial Narrow" w:hAnsi="Arial Narrow"/>
                <w:sz w:val="20"/>
                <w:szCs w:val="20"/>
              </w:rPr>
              <w:t xml:space="preserve"> result </w:t>
            </w:r>
            <w:r w:rsidRPr="00636F08">
              <w:rPr>
                <w:rFonts w:ascii="Arial Narrow" w:hAnsi="Arial Narrow"/>
                <w:sz w:val="20"/>
                <w:szCs w:val="20"/>
              </w:rPr>
              <w:t>and date</w:t>
            </w:r>
            <w:r w:rsidRPr="00480926">
              <w:rPr>
                <w:rFonts w:ascii="Arial Narrow" w:hAnsi="Arial Narrow"/>
                <w:sz w:val="20"/>
                <w:szCs w:val="20"/>
              </w:rPr>
              <w:t xml:space="preserve">; and </w:t>
            </w:r>
          </w:p>
          <w:p w14:paraId="36545A58"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b</w:t>
            </w:r>
            <w:r w:rsidRPr="00480926">
              <w:rPr>
                <w:rFonts w:ascii="Arial Narrow" w:hAnsi="Arial Narrow"/>
                <w:sz w:val="20"/>
                <w:szCs w:val="20"/>
              </w:rPr>
              <w:t xml:space="preserve">) Asthma Control Questionnaire (ACQ-5) score; or </w:t>
            </w:r>
          </w:p>
          <w:p w14:paraId="5D1AC120"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c</w:t>
            </w:r>
            <w:r w:rsidRPr="00480926">
              <w:rPr>
                <w:rFonts w:ascii="Arial Narrow" w:hAnsi="Arial Narrow"/>
                <w:sz w:val="20"/>
                <w:szCs w:val="20"/>
              </w:rPr>
              <w:t xml:space="preserve">) Asthma Control Questionnaire interviewer administered version (ACQ-IA) score. </w:t>
            </w:r>
          </w:p>
          <w:p w14:paraId="666FDCB0" w14:textId="77777777" w:rsidR="00182F72" w:rsidRPr="00480926" w:rsidRDefault="00182F72" w:rsidP="00182F72">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d</w:t>
            </w:r>
            <w:r w:rsidRPr="00480926">
              <w:rPr>
                <w:rFonts w:ascii="Arial Narrow" w:hAnsi="Arial Narrow"/>
                <w:sz w:val="20"/>
                <w:szCs w:val="20"/>
              </w:rPr>
              <w:t xml:space="preserve">) the details of prior biological medicine treatment including the details of date and duration of treatment; and </w:t>
            </w:r>
          </w:p>
          <w:p w14:paraId="6D4AC9A4" w14:textId="6C7233A3" w:rsidR="00182F72" w:rsidRPr="009475AF" w:rsidRDefault="00182F72" w:rsidP="00182F72">
            <w:pPr>
              <w:rPr>
                <w:rFonts w:ascii="Arial Narrow" w:hAnsi="Arial Narrow"/>
                <w:b/>
                <w:bCs/>
                <w:color w:val="333333"/>
                <w:sz w:val="20"/>
                <w:szCs w:val="20"/>
              </w:rPr>
            </w:pPr>
            <w:r w:rsidRPr="00480926">
              <w:rPr>
                <w:rFonts w:ascii="Arial Narrow" w:hAnsi="Arial Narrow"/>
                <w:sz w:val="20"/>
                <w:szCs w:val="20"/>
              </w:rPr>
              <w:t>(</w:t>
            </w:r>
            <w:r>
              <w:rPr>
                <w:rFonts w:ascii="Arial Narrow" w:hAnsi="Arial Narrow"/>
                <w:sz w:val="20"/>
                <w:szCs w:val="20"/>
              </w:rPr>
              <w:t>e</w:t>
            </w:r>
            <w:r w:rsidRPr="00480926">
              <w:rPr>
                <w:rFonts w:ascii="Arial Narrow" w:hAnsi="Arial Narrow"/>
                <w:sz w:val="20"/>
                <w:szCs w:val="20"/>
              </w:rPr>
              <w:t xml:space="preserve">) the reason for switching therapy (e.g. failure of prior therapy, partial response to prior therapy, adverse event to prior therapy). </w:t>
            </w:r>
          </w:p>
        </w:tc>
      </w:tr>
      <w:tr w:rsidR="00182F72" w:rsidRPr="009475AF" w14:paraId="4604AD6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438494" w14:textId="4C7DF526"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3141FBD5" w14:textId="77777777" w:rsidR="00182F72" w:rsidRPr="009475AF" w:rsidRDefault="00182F72" w:rsidP="00182F72">
            <w:pPr>
              <w:rPr>
                <w:rFonts w:ascii="Arial Narrow" w:hAnsi="Arial Narrow"/>
                <w:bCs/>
                <w:color w:val="FF0000"/>
                <w:sz w:val="20"/>
                <w:szCs w:val="20"/>
              </w:rPr>
            </w:pPr>
            <w:r w:rsidRPr="009475AF">
              <w:rPr>
                <w:rFonts w:ascii="Arial Narrow" w:hAnsi="Arial Narrow"/>
                <w:b/>
                <w:bCs/>
                <w:color w:val="333333"/>
                <w:sz w:val="20"/>
                <w:szCs w:val="20"/>
              </w:rPr>
              <w:t xml:space="preserve">Administrative Advice: </w:t>
            </w:r>
          </w:p>
          <w:p w14:paraId="4B66E8FA" w14:textId="77777777" w:rsidR="00182F72" w:rsidRPr="009475AF" w:rsidRDefault="00182F72" w:rsidP="00182F72">
            <w:pPr>
              <w:rPr>
                <w:rFonts w:ascii="Arial Narrow" w:hAnsi="Arial Narrow"/>
                <w:sz w:val="20"/>
                <w:szCs w:val="20"/>
              </w:rPr>
            </w:pPr>
            <w:r w:rsidRPr="009475AF">
              <w:rPr>
                <w:rFonts w:ascii="Arial Narrow" w:hAnsi="Arial Narrow"/>
                <w:bCs/>
                <w:sz w:val="20"/>
                <w:szCs w:val="20"/>
              </w:rPr>
              <w:t>The Services Australia website (</w:t>
            </w:r>
            <w:hyperlink r:id="rId19" w:history="1">
              <w:r w:rsidRPr="009475AF">
                <w:rPr>
                  <w:rStyle w:val="Hyperlink"/>
                  <w:rFonts w:ascii="Arial Narrow" w:hAnsi="Arial Narrow"/>
                  <w:bCs/>
                  <w:sz w:val="20"/>
                  <w:szCs w:val="20"/>
                </w:rPr>
                <w:t>www.servicesaustralia.gov.au</w:t>
              </w:r>
            </w:hyperlink>
            <w:r w:rsidRPr="009475AF">
              <w:rPr>
                <w:rFonts w:ascii="Arial Narrow" w:hAnsi="Arial Narrow"/>
                <w:bCs/>
                <w:sz w:val="20"/>
                <w:szCs w:val="20"/>
              </w:rPr>
              <w:t xml:space="preserve">) has details of the accepted toxicities, including severity, which will be accepted for the purposes of exempting a patient from the requirement of treatment with optimised asthma therapy. </w:t>
            </w:r>
          </w:p>
        </w:tc>
      </w:tr>
      <w:tr w:rsidR="00182F72" w:rsidRPr="009475AF" w14:paraId="1129F8E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7D993E" w14:textId="173294BD"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396CC248" w14:textId="77777777" w:rsidR="00182F72" w:rsidRPr="009475AF" w:rsidRDefault="00182F72" w:rsidP="00182F72">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1C660712" w14:textId="77777777" w:rsidR="00182F72" w:rsidRPr="009475AF" w:rsidRDefault="00182F72" w:rsidP="00182F72">
            <w:pPr>
              <w:rPr>
                <w:rFonts w:ascii="Arial Narrow" w:hAnsi="Arial Narrow"/>
                <w:sz w:val="20"/>
                <w:szCs w:val="20"/>
              </w:rPr>
            </w:pPr>
            <w:r w:rsidRPr="009475AF">
              <w:rPr>
                <w:rFonts w:ascii="Arial Narrow" w:hAnsi="Arial Narrow"/>
                <w:color w:val="333333"/>
                <w:sz w:val="20"/>
                <w:szCs w:val="20"/>
              </w:rPr>
              <w:t>For copies of the ACQ and the calculation sheets please contact Sanofi Medical Information on 1800 818 806 or MedInfo.Australia@sanofi.com</w:t>
            </w:r>
          </w:p>
        </w:tc>
      </w:tr>
      <w:tr w:rsidR="00182F72" w:rsidRPr="009475AF" w14:paraId="3E0304B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3DCA8D" w14:textId="0A80D9A6"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67902B88" w14:textId="77777777" w:rsidR="00182F72" w:rsidRPr="009475AF" w:rsidRDefault="00182F72" w:rsidP="00182F72">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20E2F5F9" w14:textId="0E164A87" w:rsidR="00182F72" w:rsidRPr="009475AF" w:rsidRDefault="00182F72" w:rsidP="00182F72">
            <w:pPr>
              <w:rPr>
                <w:rFonts w:ascii="Arial Narrow" w:hAnsi="Arial Narrow"/>
                <w:sz w:val="20"/>
                <w:szCs w:val="20"/>
              </w:rPr>
            </w:pPr>
            <w:r w:rsidRPr="009475AF">
              <w:rPr>
                <w:rFonts w:ascii="Arial Narrow" w:hAnsi="Arial Narrow"/>
                <w:bCs/>
                <w:color w:val="333333"/>
                <w:sz w:val="20"/>
                <w:szCs w:val="20"/>
              </w:rPr>
              <w:t xml:space="preserve">It is recommended that an application for continuing treatment is submitted at the 28-week assessment, to ensure continuity of treatment for those patients who meet the continuation criterion for PBS-subsidised treatment with this drug for this condition. </w:t>
            </w:r>
          </w:p>
        </w:tc>
      </w:tr>
      <w:tr w:rsidR="00182F72" w:rsidRPr="009475AF" w14:paraId="6144F8B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D876E3" w14:textId="0C2A779F"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4F55A1DB" w14:textId="77777777" w:rsidR="00182F72" w:rsidRPr="009475AF" w:rsidRDefault="00182F72" w:rsidP="00182F72">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232F1BA9" w14:textId="3299695D" w:rsidR="00182F72" w:rsidRPr="009475AF" w:rsidRDefault="00182F72" w:rsidP="00182F72">
            <w:pPr>
              <w:rPr>
                <w:rFonts w:ascii="Arial Narrow" w:hAnsi="Arial Narrow"/>
                <w:sz w:val="20"/>
                <w:szCs w:val="20"/>
              </w:rPr>
            </w:pPr>
            <w:r w:rsidRPr="009475AF">
              <w:rPr>
                <w:rFonts w:ascii="Arial Narrow" w:hAnsi="Arial Narrow"/>
                <w:color w:val="333333"/>
                <w:sz w:val="20"/>
                <w:szCs w:val="20"/>
              </w:rPr>
              <w:t xml:space="preserve">Formal assessment and correction of inhaler technique should be performed in accordance with the National Asthma Council (NAC) Information Paper for Health Professionals on Inhaler Technique (available at </w:t>
            </w:r>
            <w:hyperlink r:id="rId20" w:history="1">
              <w:r w:rsidRPr="009475AF">
                <w:rPr>
                  <w:rStyle w:val="Hyperlink"/>
                  <w:rFonts w:ascii="Arial Narrow" w:hAnsi="Arial Narrow"/>
                  <w:sz w:val="20"/>
                  <w:szCs w:val="20"/>
                </w:rPr>
                <w:t>www.nationalasthma.org.au</w:t>
              </w:r>
            </w:hyperlink>
            <w:r w:rsidRPr="009475AF">
              <w:rPr>
                <w:rFonts w:ascii="Arial Narrow" w:hAnsi="Arial Narrow"/>
                <w:color w:val="333333"/>
                <w:sz w:val="20"/>
                <w:szCs w:val="20"/>
              </w:rPr>
              <w:t>); the assessment and adherence to correct technique should be documented in the patient’s medical records. Patients can obtain support with inhaler technique through their local Asthma Foundation (1800 645 130)</w:t>
            </w:r>
            <w:r>
              <w:rPr>
                <w:rFonts w:ascii="Arial Narrow" w:hAnsi="Arial Narrow"/>
                <w:color w:val="333333"/>
                <w:sz w:val="20"/>
                <w:szCs w:val="20"/>
              </w:rPr>
              <w:t xml:space="preserve">. </w:t>
            </w:r>
          </w:p>
        </w:tc>
      </w:tr>
      <w:tr w:rsidR="00182F72" w:rsidRPr="009475AF" w14:paraId="4598CE8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0D731F" w14:textId="7C82E509" w:rsidR="00182F72" w:rsidRPr="009475AF" w:rsidRDefault="00182F72" w:rsidP="00182F72">
            <w:pPr>
              <w:jc w:val="center"/>
              <w:rPr>
                <w:rFonts w:ascii="Arial Narrow" w:hAnsi="Arial Narrow"/>
                <w:color w:val="333333"/>
                <w:sz w:val="20"/>
                <w:szCs w:val="20"/>
              </w:rPr>
            </w:pPr>
          </w:p>
        </w:tc>
        <w:tc>
          <w:tcPr>
            <w:tcW w:w="7745" w:type="dxa"/>
            <w:gridSpan w:val="6"/>
            <w:vAlign w:val="center"/>
          </w:tcPr>
          <w:p w14:paraId="3C064F3E" w14:textId="77777777" w:rsidR="00182F72" w:rsidRPr="009475AF" w:rsidRDefault="00182F72" w:rsidP="00182F72">
            <w:pPr>
              <w:rPr>
                <w:rFonts w:ascii="Arial Narrow" w:hAnsi="Arial Narrow"/>
                <w:bCs/>
                <w:color w:val="333333"/>
                <w:sz w:val="20"/>
                <w:szCs w:val="20"/>
              </w:rPr>
            </w:pPr>
            <w:r w:rsidRPr="009475AF">
              <w:rPr>
                <w:rFonts w:ascii="Arial Narrow" w:hAnsi="Arial Narrow"/>
                <w:b/>
                <w:bCs/>
                <w:color w:val="333333"/>
                <w:sz w:val="20"/>
                <w:szCs w:val="20"/>
              </w:rPr>
              <w:t xml:space="preserve">Administrative Advice: </w:t>
            </w:r>
          </w:p>
          <w:p w14:paraId="591AD557"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 xml:space="preserve">Any queries concerning the arrangements to prescribe may be directed to Services Australia on 1800 700 270 (hours of operation 8 a.m. to 5 p.m. Monday to Friday). </w:t>
            </w:r>
          </w:p>
          <w:p w14:paraId="75773FF2"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21" w:history="1">
              <w:r w:rsidRPr="009475AF">
                <w:rPr>
                  <w:rStyle w:val="Hyperlink"/>
                  <w:rFonts w:ascii="Arial Narrow" w:hAnsi="Arial Narrow"/>
                  <w:bCs/>
                  <w:sz w:val="20"/>
                  <w:szCs w:val="20"/>
                </w:rPr>
                <w:t>www.servicesaustralia.gov.au</w:t>
              </w:r>
            </w:hyperlink>
          </w:p>
          <w:p w14:paraId="7ADD22D8"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22" w:history="1">
              <w:r w:rsidRPr="009475AF">
                <w:rPr>
                  <w:rStyle w:val="Hyperlink"/>
                  <w:rFonts w:ascii="Arial Narrow" w:hAnsi="Arial Narrow"/>
                  <w:bCs/>
                  <w:sz w:val="20"/>
                  <w:szCs w:val="20"/>
                </w:rPr>
                <w:t>www.servicesaustralia.gov.au/hpos</w:t>
              </w:r>
            </w:hyperlink>
          </w:p>
          <w:p w14:paraId="108EA318"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Or mailed to:</w:t>
            </w:r>
          </w:p>
          <w:p w14:paraId="4B13957A"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Services Australia</w:t>
            </w:r>
          </w:p>
          <w:p w14:paraId="495A4748"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 xml:space="preserve">Complex Drugs </w:t>
            </w:r>
          </w:p>
          <w:p w14:paraId="276D6675" w14:textId="77777777" w:rsidR="00182F72" w:rsidRPr="009475AF" w:rsidRDefault="00182F72" w:rsidP="00182F72">
            <w:pPr>
              <w:rPr>
                <w:rFonts w:ascii="Arial Narrow" w:hAnsi="Arial Narrow"/>
                <w:bCs/>
                <w:color w:val="333333"/>
                <w:sz w:val="20"/>
                <w:szCs w:val="20"/>
              </w:rPr>
            </w:pPr>
            <w:r w:rsidRPr="009475AF">
              <w:rPr>
                <w:rFonts w:ascii="Arial Narrow" w:hAnsi="Arial Narrow"/>
                <w:bCs/>
                <w:color w:val="333333"/>
                <w:sz w:val="20"/>
                <w:szCs w:val="20"/>
              </w:rPr>
              <w:t>Reply Paid 9826</w:t>
            </w:r>
          </w:p>
          <w:p w14:paraId="2B004D0E" w14:textId="77777777" w:rsidR="00182F72" w:rsidRPr="009475AF" w:rsidRDefault="00182F72" w:rsidP="00182F72">
            <w:pPr>
              <w:rPr>
                <w:rFonts w:ascii="Arial Narrow" w:hAnsi="Arial Narrow"/>
                <w:sz w:val="20"/>
                <w:szCs w:val="20"/>
              </w:rPr>
            </w:pPr>
            <w:r w:rsidRPr="009475AF">
              <w:rPr>
                <w:rFonts w:ascii="Arial Narrow" w:hAnsi="Arial Narrow"/>
                <w:bCs/>
                <w:color w:val="333333"/>
                <w:sz w:val="20"/>
                <w:szCs w:val="20"/>
              </w:rPr>
              <w:t>HOBART TAS 7001</w:t>
            </w:r>
          </w:p>
        </w:tc>
      </w:tr>
    </w:tbl>
    <w:p w14:paraId="4587C168" w14:textId="77777777" w:rsidR="00CA0F11" w:rsidRPr="009475AF" w:rsidRDefault="00CA0F11" w:rsidP="003A2464">
      <w:pPr>
        <w:jc w:val="lef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1984"/>
        <w:gridCol w:w="1495"/>
        <w:gridCol w:w="812"/>
        <w:gridCol w:w="811"/>
        <w:gridCol w:w="812"/>
        <w:gridCol w:w="1831"/>
      </w:tblGrid>
      <w:tr w:rsidR="00CA0F11" w:rsidRPr="009475AF" w14:paraId="16A76A61" w14:textId="77777777" w:rsidTr="00CA0F11">
        <w:trPr>
          <w:cantSplit/>
          <w:trHeight w:val="20"/>
        </w:trPr>
        <w:tc>
          <w:tcPr>
            <w:tcW w:w="3256" w:type="dxa"/>
            <w:gridSpan w:val="3"/>
            <w:vAlign w:val="center"/>
          </w:tcPr>
          <w:p w14:paraId="2C149DD1" w14:textId="77777777" w:rsidR="00CA0F11" w:rsidRPr="009475AF" w:rsidRDefault="00CA0F11" w:rsidP="00286797">
            <w:pPr>
              <w:keepLines/>
              <w:rPr>
                <w:rFonts w:ascii="Arial Narrow" w:hAnsi="Arial Narrow"/>
                <w:b/>
                <w:bCs/>
                <w:sz w:val="20"/>
                <w:szCs w:val="20"/>
              </w:rPr>
            </w:pPr>
            <w:r w:rsidRPr="009475AF">
              <w:rPr>
                <w:rFonts w:ascii="Arial Narrow" w:hAnsi="Arial Narrow"/>
                <w:b/>
                <w:bCs/>
                <w:sz w:val="20"/>
                <w:szCs w:val="20"/>
              </w:rPr>
              <w:t>MEDICINAL PRODUCT</w:t>
            </w:r>
          </w:p>
          <w:p w14:paraId="2DF72FBF" w14:textId="77777777" w:rsidR="00CA0F11" w:rsidRPr="009475AF" w:rsidRDefault="00CA0F11" w:rsidP="00286797">
            <w:pPr>
              <w:keepLines/>
              <w:rPr>
                <w:rFonts w:ascii="Arial Narrow" w:hAnsi="Arial Narrow"/>
                <w:b/>
                <w:sz w:val="20"/>
                <w:szCs w:val="20"/>
              </w:rPr>
            </w:pPr>
            <w:r w:rsidRPr="009475AF">
              <w:rPr>
                <w:rFonts w:ascii="Arial Narrow" w:hAnsi="Arial Narrow"/>
                <w:b/>
                <w:bCs/>
                <w:sz w:val="20"/>
                <w:szCs w:val="20"/>
              </w:rPr>
              <w:t>medicinal product pack</w:t>
            </w:r>
          </w:p>
        </w:tc>
        <w:tc>
          <w:tcPr>
            <w:tcW w:w="1495" w:type="dxa"/>
            <w:vAlign w:val="center"/>
          </w:tcPr>
          <w:p w14:paraId="7EEF7D89"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PBS item code</w:t>
            </w:r>
          </w:p>
        </w:tc>
        <w:tc>
          <w:tcPr>
            <w:tcW w:w="812" w:type="dxa"/>
            <w:vAlign w:val="center"/>
          </w:tcPr>
          <w:p w14:paraId="44AFF817"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packs</w:t>
            </w:r>
          </w:p>
        </w:tc>
        <w:tc>
          <w:tcPr>
            <w:tcW w:w="811" w:type="dxa"/>
            <w:vAlign w:val="center"/>
          </w:tcPr>
          <w:p w14:paraId="2DCD65FF"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units</w:t>
            </w:r>
          </w:p>
        </w:tc>
        <w:tc>
          <w:tcPr>
            <w:tcW w:w="812" w:type="dxa"/>
            <w:vAlign w:val="center"/>
          </w:tcPr>
          <w:p w14:paraId="3BCEA0BC"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№.of</w:t>
            </w:r>
          </w:p>
          <w:p w14:paraId="00F90F83"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Rpts</w:t>
            </w:r>
          </w:p>
        </w:tc>
        <w:tc>
          <w:tcPr>
            <w:tcW w:w="1831" w:type="dxa"/>
            <w:vAlign w:val="center"/>
          </w:tcPr>
          <w:p w14:paraId="6DD4C571"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Available brands</w:t>
            </w:r>
          </w:p>
        </w:tc>
      </w:tr>
      <w:tr w:rsidR="00CA0F11" w:rsidRPr="009475AF" w14:paraId="77F400C9" w14:textId="77777777" w:rsidTr="00CA0F11">
        <w:trPr>
          <w:cantSplit/>
          <w:trHeight w:val="20"/>
        </w:trPr>
        <w:tc>
          <w:tcPr>
            <w:tcW w:w="9017" w:type="dxa"/>
            <w:gridSpan w:val="8"/>
            <w:vAlign w:val="center"/>
          </w:tcPr>
          <w:p w14:paraId="2FA8C0AA"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w:t>
            </w:r>
          </w:p>
        </w:tc>
      </w:tr>
      <w:tr w:rsidR="00CA0F11" w:rsidRPr="009475AF" w14:paraId="4190F0C0" w14:textId="77777777" w:rsidTr="00CA0F11">
        <w:trPr>
          <w:cantSplit/>
          <w:trHeight w:val="20"/>
        </w:trPr>
        <w:tc>
          <w:tcPr>
            <w:tcW w:w="3256" w:type="dxa"/>
            <w:gridSpan w:val="3"/>
            <w:vAlign w:val="center"/>
          </w:tcPr>
          <w:p w14:paraId="66CF26B6"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200 mg/1.14 mL injection, 2 x 1.14mL </w:t>
            </w:r>
          </w:p>
        </w:tc>
        <w:tc>
          <w:tcPr>
            <w:tcW w:w="1495" w:type="dxa"/>
            <w:vAlign w:val="center"/>
          </w:tcPr>
          <w:p w14:paraId="340D1286"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748C6290"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48AE1DE1"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5ABD2C69"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265D92A9"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0</w:t>
            </w:r>
          </w:p>
        </w:tc>
        <w:tc>
          <w:tcPr>
            <w:tcW w:w="1831" w:type="dxa"/>
            <w:vAlign w:val="center"/>
          </w:tcPr>
          <w:p w14:paraId="6ED0210D" w14:textId="174BC7CB"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3236C9CD" w14:textId="77777777" w:rsidTr="00CA0F11">
        <w:trPr>
          <w:cantSplit/>
          <w:trHeight w:val="20"/>
        </w:trPr>
        <w:tc>
          <w:tcPr>
            <w:tcW w:w="3256" w:type="dxa"/>
            <w:gridSpan w:val="3"/>
            <w:vAlign w:val="center"/>
          </w:tcPr>
          <w:p w14:paraId="7070C77E"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dupilumab 300 mg/2 mL injection, 2 x 2mL syringes</w:t>
            </w:r>
          </w:p>
        </w:tc>
        <w:tc>
          <w:tcPr>
            <w:tcW w:w="1495" w:type="dxa"/>
            <w:vAlign w:val="center"/>
          </w:tcPr>
          <w:p w14:paraId="31A2337F"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369E5964"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73D82B64"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470581E8"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39556E62"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0</w:t>
            </w:r>
          </w:p>
        </w:tc>
        <w:tc>
          <w:tcPr>
            <w:tcW w:w="1831" w:type="dxa"/>
            <w:vAlign w:val="center"/>
          </w:tcPr>
          <w:p w14:paraId="1D787BEC" w14:textId="1A054D5E"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48384747" w14:textId="77777777" w:rsidTr="00CA0F11">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AE898BB" w14:textId="77777777" w:rsidR="00CA0F11" w:rsidRPr="009475AF" w:rsidRDefault="00CA0F11" w:rsidP="00286797">
            <w:pPr>
              <w:rPr>
                <w:rFonts w:ascii="Arial Narrow" w:hAnsi="Arial Narrow"/>
                <w:sz w:val="20"/>
                <w:szCs w:val="20"/>
              </w:rPr>
            </w:pPr>
          </w:p>
        </w:tc>
      </w:tr>
      <w:tr w:rsidR="00CA0F11" w:rsidRPr="009475AF" w14:paraId="288B83E3" w14:textId="77777777" w:rsidTr="00CA0F11">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21346AF" w14:textId="62BFB823"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Restriction Summary / Treatment of Concept: </w:t>
            </w:r>
          </w:p>
        </w:tc>
      </w:tr>
      <w:tr w:rsidR="00CA0F11" w:rsidRPr="009475AF" w14:paraId="2D35E95D" w14:textId="77777777" w:rsidTr="00CA0F11">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0B4F6CEA" w14:textId="77777777" w:rsidR="00CA0F11" w:rsidRPr="009475AF" w:rsidRDefault="00CA0F11" w:rsidP="00286797">
            <w:pPr>
              <w:jc w:val="center"/>
              <w:rPr>
                <w:rFonts w:ascii="Arial Narrow" w:hAnsi="Arial Narrow"/>
                <w:b/>
                <w:sz w:val="20"/>
                <w:szCs w:val="20"/>
              </w:rPr>
            </w:pPr>
            <w:r w:rsidRPr="009475AF">
              <w:rPr>
                <w:rFonts w:ascii="Arial Narrow" w:hAnsi="Arial Narrow"/>
                <w:b/>
                <w:sz w:val="20"/>
                <w:szCs w:val="20"/>
              </w:rPr>
              <w:t xml:space="preserve">Concept ID </w:t>
            </w:r>
            <w:r w:rsidRPr="009475AF">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12117F" w14:textId="77777777" w:rsidR="00CA0F11" w:rsidRPr="009475AF" w:rsidRDefault="00CA0F11" w:rsidP="00286797">
            <w:pPr>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CA0F11" w:rsidRPr="009475AF" w14:paraId="0E10CCD9" w14:textId="77777777" w:rsidTr="00CA0F11">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8465F6B"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C7478E"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CA0F11" w:rsidRPr="009475AF" w14:paraId="20E7F43A" w14:textId="77777777" w:rsidTr="00CA0F11">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358F49C8"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50E4E8A" w14:textId="77777777" w:rsidR="00CA0F11" w:rsidRPr="009475AF" w:rsidRDefault="00CA0F11" w:rsidP="00286797">
            <w:pPr>
              <w:keepLines/>
              <w:rPr>
                <w:rFonts w:ascii="Arial Narrow" w:eastAsia="Calibri" w:hAnsi="Arial Narrow"/>
                <w:color w:val="FF0000"/>
                <w:sz w:val="20"/>
                <w:szCs w:val="20"/>
              </w:rPr>
            </w:pPr>
            <w:r w:rsidRPr="009475AF">
              <w:rPr>
                <w:rFonts w:ascii="Arial Narrow" w:hAnsi="Arial Narrow"/>
                <w:b/>
                <w:sz w:val="20"/>
                <w:szCs w:val="20"/>
              </w:rPr>
              <w:t>Restriction type:</w:t>
            </w:r>
            <w:r w:rsidRPr="009475AF">
              <w:rPr>
                <w:rFonts w:ascii="Arial Narrow" w:eastAsia="Calibri" w:hAnsi="Arial Narrow"/>
                <w:color w:val="FF0000"/>
                <w:sz w:val="20"/>
                <w:szCs w:val="20"/>
              </w:rPr>
              <w:t xml:space="preserv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(telephone/electronic) </w:t>
            </w:r>
          </w:p>
        </w:tc>
      </w:tr>
      <w:tr w:rsidR="00CA0F11" w:rsidRPr="009475AF" w14:paraId="0E75C386" w14:textId="77777777" w:rsidTr="00CA0F11">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7D9124B7" w14:textId="7007F2F3" w:rsidR="00CA0F11" w:rsidRPr="009475AF" w:rsidRDefault="00CA0F11" w:rsidP="00286797">
            <w:pPr>
              <w:jc w:val="center"/>
              <w:rPr>
                <w:rFonts w:ascii="Arial Narrow" w:hAnsi="Arial Narrow"/>
                <w:sz w:val="20"/>
                <w:szCs w:val="20"/>
              </w:rPr>
            </w:pPr>
          </w:p>
        </w:tc>
        <w:tc>
          <w:tcPr>
            <w:tcW w:w="784" w:type="dxa"/>
            <w:vAlign w:val="center"/>
          </w:tcPr>
          <w:p w14:paraId="443A83E8" w14:textId="7C35B5C6"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13E325D7"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0C2F5252"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See overarching administrative note below</w:t>
            </w:r>
          </w:p>
        </w:tc>
      </w:tr>
      <w:tr w:rsidR="00CA0F11" w:rsidRPr="009475AF" w14:paraId="73813629" w14:textId="77777777" w:rsidTr="00CA0F11">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56DA93D7" w14:textId="77777777" w:rsidR="00CA0F11" w:rsidRPr="009475AF" w:rsidRDefault="00CA0F11" w:rsidP="00286797">
            <w:pPr>
              <w:rPr>
                <w:rFonts w:ascii="Arial Narrow" w:hAnsi="Arial Narrow"/>
                <w:sz w:val="20"/>
                <w:szCs w:val="20"/>
              </w:rPr>
            </w:pPr>
          </w:p>
        </w:tc>
        <w:tc>
          <w:tcPr>
            <w:tcW w:w="784" w:type="dxa"/>
            <w:vAlign w:val="center"/>
          </w:tcPr>
          <w:p w14:paraId="6A4B95CA" w14:textId="7781BE8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70BE48C3" w14:textId="77777777" w:rsidR="00CA0F11" w:rsidRPr="009475AF" w:rsidRDefault="00CA0F11" w:rsidP="00286797">
            <w:pPr>
              <w:rPr>
                <w:rFonts w:ascii="Arial Narrow" w:hAnsi="Arial Narrow"/>
                <w:color w:val="333333"/>
                <w:sz w:val="18"/>
                <w:szCs w:val="18"/>
              </w:rPr>
            </w:pPr>
            <w:r w:rsidRPr="009475AF">
              <w:rPr>
                <w:rFonts w:ascii="Arial Narrow" w:hAnsi="Arial Narrow"/>
                <w:b/>
                <w:bCs/>
                <w:color w:val="333333"/>
                <w:sz w:val="18"/>
                <w:szCs w:val="18"/>
              </w:rPr>
              <w:t>Administrative Advice:</w:t>
            </w:r>
          </w:p>
          <w:p w14:paraId="4EFA4DA3" w14:textId="77777777" w:rsidR="00CA0F11" w:rsidRPr="009475AF" w:rsidRDefault="00CA0F11" w:rsidP="00286797">
            <w:pPr>
              <w:rPr>
                <w:rFonts w:ascii="Arial Narrow" w:hAnsi="Arial Narrow"/>
                <w:b/>
                <w:bCs/>
                <w:color w:val="333333"/>
                <w:sz w:val="20"/>
                <w:szCs w:val="20"/>
              </w:rPr>
            </w:pPr>
            <w:r w:rsidRPr="009475AF">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CA0F11" w:rsidRPr="009475AF" w14:paraId="0070AABA" w14:textId="77777777" w:rsidTr="00CA0F11">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3F07BBD4" w14:textId="77777777" w:rsidR="00CA0F11" w:rsidRPr="009475AF" w:rsidRDefault="00CA0F11" w:rsidP="00286797">
            <w:pPr>
              <w:rPr>
                <w:rFonts w:ascii="Arial Narrow" w:hAnsi="Arial Narrow"/>
                <w:sz w:val="20"/>
                <w:szCs w:val="20"/>
              </w:rPr>
            </w:pPr>
          </w:p>
        </w:tc>
        <w:tc>
          <w:tcPr>
            <w:tcW w:w="784" w:type="dxa"/>
            <w:vAlign w:val="center"/>
          </w:tcPr>
          <w:p w14:paraId="26BD9473" w14:textId="47783AFB"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51F4D0D9"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37FD0334"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Special Pricing Arrangements apply.</w:t>
            </w:r>
          </w:p>
        </w:tc>
      </w:tr>
      <w:tr w:rsidR="00CA0F11" w:rsidRPr="009475AF" w14:paraId="7D80EBC3"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5243F6" w14:textId="6A7B9083" w:rsidR="00CA0F11" w:rsidRPr="009475AF" w:rsidRDefault="00CA0F11" w:rsidP="00286797">
            <w:pPr>
              <w:keepLines/>
              <w:jc w:val="center"/>
              <w:rPr>
                <w:rFonts w:ascii="Arial Narrow" w:hAnsi="Arial Narrow"/>
                <w:color w:val="333333"/>
                <w:sz w:val="20"/>
                <w:szCs w:val="20"/>
              </w:rPr>
            </w:pPr>
          </w:p>
        </w:tc>
        <w:tc>
          <w:tcPr>
            <w:tcW w:w="7745" w:type="dxa"/>
            <w:gridSpan w:val="6"/>
            <w:vAlign w:val="center"/>
            <w:hideMark/>
          </w:tcPr>
          <w:p w14:paraId="58061C84" w14:textId="77777777" w:rsidR="00CA0F11" w:rsidRPr="009475AF" w:rsidRDefault="00CA0F11" w:rsidP="00286797">
            <w:pPr>
              <w:keepLines/>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 </w:t>
            </w:r>
          </w:p>
        </w:tc>
      </w:tr>
      <w:tr w:rsidR="00CA0F11" w:rsidRPr="009475AF" w14:paraId="340BE96A"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E182B0"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475F74AD"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 xml:space="preserve">Initial 1 (New patient; or Recommencement of treatment in a new treatment cycle following a break in PBS-subsidised biological medicine therapy), Initial 2 (Change of treatment), Continuing treatment, or transitioning from non-PBS to PBS-subsidised supply - Grandfather arrangements - Balance of Supply </w:t>
            </w:r>
          </w:p>
        </w:tc>
      </w:tr>
      <w:tr w:rsidR="00CA0F11" w:rsidRPr="009475AF" w14:paraId="20C0FD98"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0655CF"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616B8EC"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 xml:space="preserve">Clinical criteria: </w:t>
            </w:r>
          </w:p>
        </w:tc>
      </w:tr>
      <w:tr w:rsidR="00CA0F11" w:rsidRPr="009475AF" w14:paraId="70BB30CE"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CD6B1D" w14:textId="2163EFEC"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1930889"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received insufficient therapy with this drug for this condition under the Initial 1 (New patient; or Recommencement of treatment in a new treatment cycle following a break in PBS-subsidised biological medicine therapy) restriction to complete 32 weeks of treatment; OR </w:t>
            </w:r>
          </w:p>
        </w:tc>
      </w:tr>
      <w:tr w:rsidR="00CA0F11" w:rsidRPr="009475AF" w14:paraId="1342B868"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4C4226" w14:textId="11F7EDA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00929AA1"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received insufficient therapy with this drug for this condition under the Initial 2 (Change of treatment) restriction to complete 32 weeks of treatment; OR </w:t>
            </w:r>
          </w:p>
        </w:tc>
      </w:tr>
      <w:tr w:rsidR="00CA0F11" w:rsidRPr="009475AF" w14:paraId="4C7D98DF"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A91DD1" w14:textId="6F64ECF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4FE98419"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Patient must have received insufficient therapy with this drug for this condition under the Continuing treatment restriction to complete 24 weeks of treatment; OR </w:t>
            </w:r>
          </w:p>
        </w:tc>
      </w:tr>
      <w:tr w:rsidR="00CA0F11" w:rsidRPr="009475AF" w14:paraId="0E81D2C5"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5E9249" w14:textId="0DE4B780"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0C1EA3E2"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Patient must have received insufficient therapy with this drug for this condition under the transitioning from non-PBS to PBS-subsidised supply – Grandfather arrangements restriction to complete 24 weeks of treatment.</w:t>
            </w:r>
          </w:p>
        </w:tc>
      </w:tr>
      <w:tr w:rsidR="00CA0F11" w:rsidRPr="009475AF" w14:paraId="05F06212"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7F95DA"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AA48E35"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1161F3DC"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EF05B5"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79BAE14B"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5594D00B"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D4EAE7" w14:textId="1A605A48"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044491AA"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The treatment must provide no more than the balance of up to 32 weeks treatment available under the Initial 1 and Initial 2 restriction; OR</w:t>
            </w:r>
          </w:p>
        </w:tc>
      </w:tr>
      <w:tr w:rsidR="00CA0F11" w:rsidRPr="009475AF" w14:paraId="3B7DC332"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FE130F" w14:textId="7D743925"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562DF0DA"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The treatment must provide no more than the balance of up to 24 weeks treatment available under the Continuing and transitioning from non-PBS to PBS-subsidised supply-Grandfather arrangements restriction.</w:t>
            </w:r>
          </w:p>
        </w:tc>
      </w:tr>
      <w:tr w:rsidR="00CA0F11" w:rsidRPr="009475AF" w14:paraId="46D30319"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B6337F" w14:textId="3E6F872C" w:rsidR="00CA0F11" w:rsidRPr="009475AF" w:rsidRDefault="00CA0F11" w:rsidP="00286797">
            <w:pPr>
              <w:keepNext/>
              <w:jc w:val="center"/>
              <w:rPr>
                <w:rFonts w:ascii="Arial Narrow" w:hAnsi="Arial Narrow"/>
                <w:color w:val="333333"/>
                <w:sz w:val="20"/>
                <w:szCs w:val="20"/>
              </w:rPr>
            </w:pPr>
          </w:p>
        </w:tc>
        <w:tc>
          <w:tcPr>
            <w:tcW w:w="7745" w:type="dxa"/>
            <w:gridSpan w:val="6"/>
            <w:vAlign w:val="center"/>
            <w:hideMark/>
          </w:tcPr>
          <w:p w14:paraId="02E28348" w14:textId="77777777" w:rsidR="00CA0F11" w:rsidRPr="009475AF" w:rsidRDefault="00CA0F11" w:rsidP="00286797">
            <w:pPr>
              <w:keepNext/>
              <w:rPr>
                <w:rFonts w:ascii="Arial Narrow" w:hAnsi="Arial Narrow"/>
                <w:color w:val="333333"/>
                <w:sz w:val="20"/>
                <w:szCs w:val="20"/>
              </w:rPr>
            </w:pPr>
            <w:r w:rsidRPr="009475AF">
              <w:rPr>
                <w:rFonts w:ascii="Arial Narrow" w:hAnsi="Arial Narrow"/>
                <w:b/>
                <w:bCs/>
                <w:color w:val="333333"/>
                <w:sz w:val="20"/>
                <w:szCs w:val="20"/>
              </w:rPr>
              <w:t>Treatment criteria:</w:t>
            </w:r>
          </w:p>
        </w:tc>
      </w:tr>
      <w:tr w:rsidR="00CA0F11" w:rsidRPr="009475AF" w14:paraId="39A25B9D" w14:textId="77777777" w:rsidTr="00CA0F1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2ABACA" w14:textId="6EC13B19"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0A4CA6A9" w14:textId="0DA9200C" w:rsidR="00CA0F11" w:rsidRPr="009475AF" w:rsidRDefault="00CA0F11" w:rsidP="00286797">
            <w:pPr>
              <w:autoSpaceDE w:val="0"/>
              <w:autoSpaceDN w:val="0"/>
              <w:adjustRightInd w:val="0"/>
              <w:rPr>
                <w:rFonts w:ascii="Arial Narrow" w:hAnsi="Arial Narrow" w:cs="Arial Narrow"/>
                <w:sz w:val="20"/>
                <w:szCs w:val="20"/>
              </w:rPr>
            </w:pPr>
            <w:r w:rsidRPr="009475AF">
              <w:rPr>
                <w:rFonts w:ascii="Arial Narrow" w:hAnsi="Arial Narrow" w:cs="Arial Narrow"/>
                <w:sz w:val="20"/>
                <w:szCs w:val="20"/>
              </w:rPr>
              <w:t xml:space="preserve">Must be treated by a </w:t>
            </w:r>
            <w:r w:rsidR="00182F72">
              <w:rPr>
                <w:rFonts w:ascii="Arial Narrow" w:hAnsi="Arial Narrow" w:cs="Arial Narrow"/>
                <w:sz w:val="20"/>
                <w:szCs w:val="20"/>
              </w:rPr>
              <w:t xml:space="preserve">medical practitioner who is either a: (i) </w:t>
            </w:r>
            <w:r w:rsidRPr="009475AF">
              <w:rPr>
                <w:rFonts w:ascii="Arial Narrow" w:hAnsi="Arial Narrow" w:cs="Arial Narrow"/>
                <w:sz w:val="20"/>
                <w:szCs w:val="20"/>
              </w:rPr>
              <w:t xml:space="preserve">paediatric respiratory physician, </w:t>
            </w:r>
            <w:r w:rsidR="00182F72">
              <w:rPr>
                <w:rFonts w:ascii="Arial Narrow" w:hAnsi="Arial Narrow" w:cs="Arial Narrow"/>
                <w:sz w:val="20"/>
                <w:szCs w:val="20"/>
              </w:rPr>
              <w:t xml:space="preserve">(ii) </w:t>
            </w:r>
            <w:r w:rsidRPr="009475AF">
              <w:rPr>
                <w:rFonts w:ascii="Arial Narrow" w:hAnsi="Arial Narrow" w:cs="Arial Narrow"/>
                <w:sz w:val="20"/>
                <w:szCs w:val="20"/>
              </w:rPr>
              <w:t xml:space="preserve">clinical immunologist, </w:t>
            </w:r>
            <w:r w:rsidR="00182F72">
              <w:rPr>
                <w:rFonts w:ascii="Arial Narrow" w:hAnsi="Arial Narrow" w:cs="Arial Narrow"/>
                <w:sz w:val="20"/>
                <w:szCs w:val="20"/>
              </w:rPr>
              <w:t xml:space="preserve">(iii) </w:t>
            </w:r>
            <w:r w:rsidRPr="009475AF">
              <w:rPr>
                <w:rFonts w:ascii="Arial Narrow" w:hAnsi="Arial Narrow" w:cs="Arial Narrow"/>
                <w:sz w:val="20"/>
                <w:szCs w:val="20"/>
              </w:rPr>
              <w:t xml:space="preserve">allergist; </w:t>
            </w:r>
            <w:r w:rsidR="00182F72">
              <w:rPr>
                <w:rFonts w:ascii="Arial Narrow" w:hAnsi="Arial Narrow" w:cs="Arial Narrow"/>
                <w:sz w:val="20"/>
                <w:szCs w:val="20"/>
              </w:rPr>
              <w:t xml:space="preserve">(iv) </w:t>
            </w:r>
            <w:r w:rsidRPr="009475AF">
              <w:rPr>
                <w:rFonts w:ascii="Arial Narrow" w:hAnsi="Arial Narrow" w:cs="Arial Narrow"/>
                <w:sz w:val="20"/>
                <w:szCs w:val="20"/>
              </w:rPr>
              <w:t>paediatrician or general physician experienced in the management of patients with severe asthma, in consultation with a respiratory physician.</w:t>
            </w:r>
          </w:p>
        </w:tc>
      </w:tr>
    </w:tbl>
    <w:p w14:paraId="61140D1F" w14:textId="77777777" w:rsidR="00CA0F11" w:rsidRPr="009475AF" w:rsidRDefault="00CA0F11" w:rsidP="00CA0F11">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125"/>
        <w:gridCol w:w="1354"/>
        <w:gridCol w:w="812"/>
        <w:gridCol w:w="811"/>
        <w:gridCol w:w="812"/>
        <w:gridCol w:w="1831"/>
      </w:tblGrid>
      <w:tr w:rsidR="00CA0F11" w:rsidRPr="009475AF" w14:paraId="3DE2CB23" w14:textId="77777777" w:rsidTr="00286797">
        <w:trPr>
          <w:cantSplit/>
          <w:trHeight w:val="20"/>
        </w:trPr>
        <w:tc>
          <w:tcPr>
            <w:tcW w:w="3397" w:type="dxa"/>
            <w:gridSpan w:val="3"/>
            <w:vAlign w:val="center"/>
          </w:tcPr>
          <w:p w14:paraId="59484E34" w14:textId="77777777" w:rsidR="00CA0F11" w:rsidRPr="009475AF" w:rsidRDefault="00CA0F11" w:rsidP="00286797">
            <w:pPr>
              <w:keepLines/>
              <w:rPr>
                <w:rFonts w:ascii="Arial Narrow" w:hAnsi="Arial Narrow"/>
                <w:b/>
                <w:bCs/>
                <w:sz w:val="20"/>
                <w:szCs w:val="20"/>
              </w:rPr>
            </w:pPr>
            <w:r w:rsidRPr="009475AF">
              <w:rPr>
                <w:rFonts w:ascii="Arial Narrow" w:hAnsi="Arial Narrow"/>
                <w:b/>
                <w:bCs/>
                <w:sz w:val="20"/>
                <w:szCs w:val="20"/>
              </w:rPr>
              <w:t>MEDICINAL PRODUCT</w:t>
            </w:r>
          </w:p>
          <w:p w14:paraId="45ED08F7" w14:textId="77777777" w:rsidR="00CA0F11" w:rsidRPr="009475AF" w:rsidRDefault="00CA0F11" w:rsidP="00286797">
            <w:pPr>
              <w:keepLines/>
              <w:rPr>
                <w:rFonts w:ascii="Arial Narrow" w:hAnsi="Arial Narrow"/>
                <w:b/>
                <w:sz w:val="20"/>
                <w:szCs w:val="20"/>
              </w:rPr>
            </w:pPr>
            <w:r w:rsidRPr="009475AF">
              <w:rPr>
                <w:rFonts w:ascii="Arial Narrow" w:hAnsi="Arial Narrow"/>
                <w:b/>
                <w:bCs/>
                <w:sz w:val="20"/>
                <w:szCs w:val="20"/>
              </w:rPr>
              <w:t>medicinal product pack</w:t>
            </w:r>
          </w:p>
        </w:tc>
        <w:tc>
          <w:tcPr>
            <w:tcW w:w="1354" w:type="dxa"/>
            <w:vAlign w:val="center"/>
          </w:tcPr>
          <w:p w14:paraId="317DD109"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PBS item code</w:t>
            </w:r>
          </w:p>
        </w:tc>
        <w:tc>
          <w:tcPr>
            <w:tcW w:w="812" w:type="dxa"/>
            <w:vAlign w:val="center"/>
          </w:tcPr>
          <w:p w14:paraId="42C90FED"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packs</w:t>
            </w:r>
          </w:p>
        </w:tc>
        <w:tc>
          <w:tcPr>
            <w:tcW w:w="811" w:type="dxa"/>
            <w:vAlign w:val="center"/>
          </w:tcPr>
          <w:p w14:paraId="3674BFC7"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Max. qty units</w:t>
            </w:r>
          </w:p>
        </w:tc>
        <w:tc>
          <w:tcPr>
            <w:tcW w:w="812" w:type="dxa"/>
            <w:vAlign w:val="center"/>
          </w:tcPr>
          <w:p w14:paraId="37EE167A"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№.of</w:t>
            </w:r>
          </w:p>
          <w:p w14:paraId="43E11059" w14:textId="77777777" w:rsidR="00CA0F11" w:rsidRPr="009475AF" w:rsidRDefault="00CA0F11" w:rsidP="00286797">
            <w:pPr>
              <w:keepLines/>
              <w:jc w:val="center"/>
              <w:rPr>
                <w:rFonts w:ascii="Arial Narrow" w:hAnsi="Arial Narrow"/>
                <w:b/>
                <w:sz w:val="20"/>
                <w:szCs w:val="20"/>
              </w:rPr>
            </w:pPr>
            <w:r w:rsidRPr="009475AF">
              <w:rPr>
                <w:rFonts w:ascii="Arial Narrow" w:hAnsi="Arial Narrow"/>
                <w:b/>
                <w:sz w:val="20"/>
                <w:szCs w:val="20"/>
              </w:rPr>
              <w:t>Rpts</w:t>
            </w:r>
          </w:p>
        </w:tc>
        <w:tc>
          <w:tcPr>
            <w:tcW w:w="1831" w:type="dxa"/>
            <w:vAlign w:val="center"/>
          </w:tcPr>
          <w:p w14:paraId="2C3D11DB"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Available brands</w:t>
            </w:r>
          </w:p>
        </w:tc>
      </w:tr>
      <w:tr w:rsidR="00CA0F11" w:rsidRPr="009475AF" w14:paraId="1A1E8C51" w14:textId="77777777" w:rsidTr="00286797">
        <w:trPr>
          <w:cantSplit/>
          <w:trHeight w:val="20"/>
        </w:trPr>
        <w:tc>
          <w:tcPr>
            <w:tcW w:w="9017" w:type="dxa"/>
            <w:gridSpan w:val="8"/>
            <w:vAlign w:val="center"/>
          </w:tcPr>
          <w:p w14:paraId="4097C99E"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w:t>
            </w:r>
          </w:p>
        </w:tc>
      </w:tr>
      <w:tr w:rsidR="00CA0F11" w:rsidRPr="009475AF" w14:paraId="5E2654A9" w14:textId="77777777" w:rsidTr="00286797">
        <w:trPr>
          <w:cantSplit/>
          <w:trHeight w:val="20"/>
        </w:trPr>
        <w:tc>
          <w:tcPr>
            <w:tcW w:w="3397" w:type="dxa"/>
            <w:gridSpan w:val="3"/>
            <w:vAlign w:val="center"/>
          </w:tcPr>
          <w:p w14:paraId="20F9B1B4"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 xml:space="preserve">dupilumab 200 mg/1.14 mL injection, 2 x 1.14mL </w:t>
            </w:r>
          </w:p>
        </w:tc>
        <w:tc>
          <w:tcPr>
            <w:tcW w:w="1354" w:type="dxa"/>
            <w:vAlign w:val="center"/>
          </w:tcPr>
          <w:p w14:paraId="26231BA9"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2BE8F0FF"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22722EDF"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117CD863"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7D860A5B"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5</w:t>
            </w:r>
          </w:p>
        </w:tc>
        <w:tc>
          <w:tcPr>
            <w:tcW w:w="1831" w:type="dxa"/>
            <w:vAlign w:val="center"/>
          </w:tcPr>
          <w:p w14:paraId="1A482E56"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47B1ADB2" w14:textId="77777777" w:rsidTr="00286797">
        <w:trPr>
          <w:cantSplit/>
          <w:trHeight w:val="20"/>
        </w:trPr>
        <w:tc>
          <w:tcPr>
            <w:tcW w:w="3397" w:type="dxa"/>
            <w:gridSpan w:val="3"/>
            <w:vAlign w:val="center"/>
          </w:tcPr>
          <w:p w14:paraId="7F8AB2CE"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dupilumab 300 mg/2 mL injection, 2 x 2mL syringes</w:t>
            </w:r>
          </w:p>
        </w:tc>
        <w:tc>
          <w:tcPr>
            <w:tcW w:w="1354" w:type="dxa"/>
            <w:vAlign w:val="center"/>
          </w:tcPr>
          <w:p w14:paraId="06FA79C2"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(Public)</w:t>
            </w:r>
          </w:p>
          <w:p w14:paraId="521DB0C3"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NEW (Private)</w:t>
            </w:r>
          </w:p>
        </w:tc>
        <w:tc>
          <w:tcPr>
            <w:tcW w:w="812" w:type="dxa"/>
            <w:vAlign w:val="center"/>
          </w:tcPr>
          <w:p w14:paraId="581305E6"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1</w:t>
            </w:r>
          </w:p>
        </w:tc>
        <w:tc>
          <w:tcPr>
            <w:tcW w:w="811" w:type="dxa"/>
            <w:vAlign w:val="center"/>
          </w:tcPr>
          <w:p w14:paraId="6CD63952"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812" w:type="dxa"/>
            <w:vAlign w:val="center"/>
          </w:tcPr>
          <w:p w14:paraId="7161E6C9" w14:textId="77777777" w:rsidR="00CA0F11" w:rsidRPr="009475AF" w:rsidRDefault="00CA0F11" w:rsidP="00286797">
            <w:pPr>
              <w:keepLines/>
              <w:jc w:val="center"/>
              <w:rPr>
                <w:rFonts w:ascii="Arial Narrow" w:hAnsi="Arial Narrow"/>
                <w:sz w:val="20"/>
                <w:szCs w:val="20"/>
              </w:rPr>
            </w:pPr>
            <w:r w:rsidRPr="009475AF">
              <w:rPr>
                <w:rFonts w:ascii="Arial Narrow" w:hAnsi="Arial Narrow"/>
                <w:sz w:val="20"/>
                <w:szCs w:val="20"/>
              </w:rPr>
              <w:t>2</w:t>
            </w:r>
          </w:p>
        </w:tc>
        <w:tc>
          <w:tcPr>
            <w:tcW w:w="1831" w:type="dxa"/>
            <w:vAlign w:val="center"/>
          </w:tcPr>
          <w:p w14:paraId="53DFB1B7" w14:textId="77777777" w:rsidR="00CA0F11" w:rsidRPr="009475AF" w:rsidRDefault="00CA0F11" w:rsidP="00286797">
            <w:pPr>
              <w:keepLines/>
              <w:rPr>
                <w:rFonts w:ascii="Arial Narrow" w:hAnsi="Arial Narrow"/>
                <w:sz w:val="20"/>
                <w:szCs w:val="20"/>
              </w:rPr>
            </w:pPr>
            <w:r w:rsidRPr="009475AF">
              <w:rPr>
                <w:rFonts w:ascii="Arial Narrow" w:hAnsi="Arial Narrow"/>
                <w:sz w:val="20"/>
                <w:szCs w:val="20"/>
              </w:rPr>
              <w:t>Dupixent</w:t>
            </w:r>
          </w:p>
        </w:tc>
      </w:tr>
      <w:tr w:rsidR="00CA0F11" w:rsidRPr="009475AF" w14:paraId="5F045BC5" w14:textId="77777777" w:rsidTr="0028679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66154F1" w14:textId="77777777" w:rsidR="00CA0F11" w:rsidRPr="009475AF" w:rsidRDefault="00CA0F11" w:rsidP="00286797">
            <w:pPr>
              <w:rPr>
                <w:rFonts w:ascii="Arial Narrow" w:hAnsi="Arial Narrow"/>
                <w:sz w:val="20"/>
                <w:szCs w:val="20"/>
              </w:rPr>
            </w:pPr>
          </w:p>
        </w:tc>
      </w:tr>
      <w:tr w:rsidR="00CA0F11" w:rsidRPr="009475AF" w14:paraId="7AFBB487" w14:textId="77777777" w:rsidTr="00286797">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5417393" w14:textId="3350F132"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Restriction Summary / Treatment of Concept: </w:t>
            </w:r>
          </w:p>
        </w:tc>
      </w:tr>
      <w:tr w:rsidR="00CA0F11" w:rsidRPr="009475AF" w14:paraId="088B15CF"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25498EFD" w14:textId="77777777" w:rsidR="00CA0F11" w:rsidRPr="009475AF" w:rsidRDefault="00CA0F11" w:rsidP="00286797">
            <w:pPr>
              <w:jc w:val="center"/>
              <w:rPr>
                <w:rFonts w:ascii="Arial Narrow" w:hAnsi="Arial Narrow"/>
                <w:b/>
                <w:sz w:val="20"/>
                <w:szCs w:val="20"/>
              </w:rPr>
            </w:pPr>
            <w:r w:rsidRPr="009475AF">
              <w:rPr>
                <w:rFonts w:ascii="Arial Narrow" w:hAnsi="Arial Narrow"/>
                <w:b/>
                <w:sz w:val="20"/>
                <w:szCs w:val="20"/>
              </w:rPr>
              <w:t xml:space="preserve">Concept ID </w:t>
            </w:r>
            <w:r w:rsidRPr="009475AF">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FF41C6" w14:textId="77777777" w:rsidR="00CA0F11" w:rsidRPr="009475AF" w:rsidRDefault="00CA0F11" w:rsidP="00286797">
            <w:pPr>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CA0F11" w:rsidRPr="009475AF" w14:paraId="5DDB9E5E"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AD0679C"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23BB78" w14:textId="77777777" w:rsidR="00CA0F11" w:rsidRPr="009475AF" w:rsidRDefault="00CA0F11" w:rsidP="00286797">
            <w:pPr>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CA0F11" w:rsidRPr="009475AF" w14:paraId="6CFCA2C3" w14:textId="77777777" w:rsidTr="00286797">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4D5769B1" w14:textId="77777777" w:rsidR="00CA0F11" w:rsidRPr="009475AF" w:rsidRDefault="00CA0F11" w:rsidP="00286797">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7E9A92" w14:textId="77777777" w:rsidR="00CA0F11" w:rsidRPr="009475AF" w:rsidRDefault="00CA0F11" w:rsidP="00286797">
            <w:pPr>
              <w:keepLines/>
              <w:rPr>
                <w:rFonts w:ascii="Arial Narrow" w:eastAsia="Calibri" w:hAnsi="Arial Narrow"/>
                <w:color w:val="FF0000"/>
                <w:sz w:val="20"/>
                <w:szCs w:val="20"/>
              </w:rPr>
            </w:pPr>
            <w:r w:rsidRPr="009475AF">
              <w:rPr>
                <w:rFonts w:ascii="Arial Narrow" w:hAnsi="Arial Narrow"/>
                <w:b/>
                <w:sz w:val="20"/>
                <w:szCs w:val="20"/>
              </w:rPr>
              <w:t>Restriction type:</w:t>
            </w:r>
            <w:r w:rsidRPr="009475AF">
              <w:rPr>
                <w:rFonts w:ascii="Arial Narrow" w:eastAsia="Calibri" w:hAnsi="Arial Narrow"/>
                <w:color w:val="FF0000"/>
                <w:sz w:val="20"/>
                <w:szCs w:val="20"/>
              </w:rPr>
              <w:t xml:space="preserv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(in writing only via post/HPOS upload) </w:t>
            </w:r>
          </w:p>
        </w:tc>
      </w:tr>
      <w:tr w:rsidR="00CA0F11" w:rsidRPr="009475AF" w14:paraId="498A4523" w14:textId="77777777" w:rsidTr="00286797">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32FCF6DF" w14:textId="4341CA54" w:rsidR="00CA0F11" w:rsidRPr="009475AF" w:rsidRDefault="00CA0F11" w:rsidP="00286797">
            <w:pPr>
              <w:jc w:val="center"/>
              <w:rPr>
                <w:rFonts w:ascii="Arial Narrow" w:hAnsi="Arial Narrow"/>
                <w:sz w:val="20"/>
                <w:szCs w:val="20"/>
              </w:rPr>
            </w:pPr>
          </w:p>
        </w:tc>
        <w:tc>
          <w:tcPr>
            <w:tcW w:w="784" w:type="dxa"/>
            <w:vAlign w:val="center"/>
          </w:tcPr>
          <w:p w14:paraId="2D978F5F" w14:textId="4DFBD713"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A63F87E"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5840D077"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See overarching administrative note below</w:t>
            </w:r>
          </w:p>
        </w:tc>
      </w:tr>
      <w:tr w:rsidR="00CA0F11" w:rsidRPr="009475AF" w14:paraId="51439BF6" w14:textId="77777777" w:rsidTr="0028679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588B3CBC" w14:textId="77777777" w:rsidR="00CA0F11" w:rsidRPr="009475AF" w:rsidRDefault="00CA0F11" w:rsidP="00286797">
            <w:pPr>
              <w:rPr>
                <w:rFonts w:ascii="Arial Narrow" w:hAnsi="Arial Narrow"/>
                <w:sz w:val="20"/>
                <w:szCs w:val="20"/>
              </w:rPr>
            </w:pPr>
          </w:p>
        </w:tc>
        <w:tc>
          <w:tcPr>
            <w:tcW w:w="784" w:type="dxa"/>
            <w:vAlign w:val="center"/>
          </w:tcPr>
          <w:p w14:paraId="70A5DD26" w14:textId="5176D695"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621E761"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7DB62F5A"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For copies of the ACQ and the calculation sheets please contact Sanofi Medical Information on 1800 818 806 or MedInfo.Australia@sanofi.com</w:t>
            </w:r>
          </w:p>
        </w:tc>
      </w:tr>
      <w:tr w:rsidR="00CA0F11" w:rsidRPr="009475AF" w14:paraId="733928DE" w14:textId="77777777" w:rsidTr="0028679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29C30768" w14:textId="77777777" w:rsidR="00CA0F11" w:rsidRPr="009475AF" w:rsidRDefault="00CA0F11" w:rsidP="00286797">
            <w:pPr>
              <w:rPr>
                <w:rFonts w:ascii="Arial Narrow" w:hAnsi="Arial Narrow"/>
                <w:sz w:val="20"/>
                <w:szCs w:val="20"/>
              </w:rPr>
            </w:pPr>
          </w:p>
        </w:tc>
        <w:tc>
          <w:tcPr>
            <w:tcW w:w="784" w:type="dxa"/>
            <w:vAlign w:val="center"/>
          </w:tcPr>
          <w:p w14:paraId="39FFEEDB" w14:textId="5712F46F"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A7B2BBD"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5249C5E1" w14:textId="6339C746"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Formal assessment and correction of inhaler technique should be performed in accordance with the National Asthma Council (NAC) Information Paper for Health Professionals on Inhaler Technique (available at </w:t>
            </w:r>
            <w:hyperlink r:id="rId23" w:history="1">
              <w:r w:rsidRPr="009475AF">
                <w:rPr>
                  <w:rStyle w:val="Hyperlink"/>
                  <w:rFonts w:ascii="Arial Narrow" w:hAnsi="Arial Narrow"/>
                  <w:sz w:val="20"/>
                  <w:szCs w:val="20"/>
                </w:rPr>
                <w:t>www.nationalasthma.org.au</w:t>
              </w:r>
            </w:hyperlink>
            <w:r w:rsidRPr="009475AF">
              <w:rPr>
                <w:rFonts w:ascii="Arial Narrow" w:hAnsi="Arial Narrow"/>
                <w:color w:val="333333"/>
                <w:sz w:val="20"/>
                <w:szCs w:val="20"/>
              </w:rPr>
              <w:t>); the assessment and adherence to correct technique should be documented in the patient’s medical records. Patients can obtain support with inhaler technique through their local Asthma Foundation (1800 645 130)</w:t>
            </w:r>
            <w:r w:rsidR="009475AF">
              <w:rPr>
                <w:rFonts w:ascii="Arial Narrow" w:hAnsi="Arial Narrow"/>
                <w:color w:val="333333"/>
                <w:sz w:val="20"/>
                <w:szCs w:val="20"/>
              </w:rPr>
              <w:t xml:space="preserve">. </w:t>
            </w:r>
          </w:p>
        </w:tc>
      </w:tr>
      <w:tr w:rsidR="00CA0F11" w:rsidRPr="009475AF" w14:paraId="6BBDF847" w14:textId="77777777" w:rsidTr="0028679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2E1CE92" w14:textId="77777777" w:rsidR="00CA0F11" w:rsidRPr="009475AF" w:rsidRDefault="00CA0F11" w:rsidP="00286797">
            <w:pPr>
              <w:rPr>
                <w:rFonts w:ascii="Arial Narrow" w:hAnsi="Arial Narrow"/>
                <w:sz w:val="20"/>
                <w:szCs w:val="20"/>
              </w:rPr>
            </w:pPr>
          </w:p>
        </w:tc>
        <w:tc>
          <w:tcPr>
            <w:tcW w:w="784" w:type="dxa"/>
            <w:vAlign w:val="center"/>
          </w:tcPr>
          <w:p w14:paraId="3E5A9957" w14:textId="7BB6CCDC"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34B9742D"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49AAA675"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p w14:paraId="32C0B49D" w14:textId="77777777" w:rsidR="00CA0F11" w:rsidRPr="009475AF" w:rsidRDefault="00CA0F11" w:rsidP="00286797">
            <w:pPr>
              <w:rPr>
                <w:rFonts w:ascii="Arial Narrow" w:hAnsi="Arial Narrow"/>
                <w:color w:val="333333"/>
                <w:sz w:val="20"/>
                <w:szCs w:val="20"/>
              </w:rPr>
            </w:pPr>
          </w:p>
          <w:p w14:paraId="25DDCA45"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24" w:history="1">
              <w:r w:rsidRPr="009475AF">
                <w:rPr>
                  <w:rStyle w:val="Hyperlink"/>
                  <w:rFonts w:ascii="Arial Narrow" w:hAnsi="Arial Narrow"/>
                  <w:sz w:val="20"/>
                  <w:szCs w:val="20"/>
                </w:rPr>
                <w:t>www.servicesaustralia.gov.au</w:t>
              </w:r>
            </w:hyperlink>
            <w:r w:rsidRPr="009475AF">
              <w:rPr>
                <w:rFonts w:ascii="Arial Narrow" w:hAnsi="Arial Narrow"/>
                <w:color w:val="333333"/>
                <w:sz w:val="20"/>
                <w:szCs w:val="20"/>
              </w:rPr>
              <w:t xml:space="preserve"> </w:t>
            </w:r>
          </w:p>
          <w:p w14:paraId="48A58DBC" w14:textId="77777777" w:rsidR="00CA0F11" w:rsidRPr="009475AF" w:rsidRDefault="00CA0F11" w:rsidP="00286797">
            <w:pPr>
              <w:rPr>
                <w:rFonts w:ascii="Arial Narrow" w:hAnsi="Arial Narrow"/>
                <w:color w:val="333333"/>
                <w:sz w:val="20"/>
                <w:szCs w:val="20"/>
              </w:rPr>
            </w:pPr>
          </w:p>
          <w:p w14:paraId="123B48E1"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25" w:history="1">
              <w:r w:rsidRPr="009475AF">
                <w:rPr>
                  <w:rStyle w:val="Hyperlink"/>
                  <w:rFonts w:ascii="Arial Narrow" w:hAnsi="Arial Narrow"/>
                  <w:sz w:val="20"/>
                  <w:szCs w:val="20"/>
                </w:rPr>
                <w:t>www.servicesaustralia.gov.au/hpos</w:t>
              </w:r>
            </w:hyperlink>
            <w:r w:rsidRPr="009475AF">
              <w:rPr>
                <w:rFonts w:ascii="Arial Narrow" w:hAnsi="Arial Narrow"/>
                <w:color w:val="333333"/>
                <w:sz w:val="20"/>
                <w:szCs w:val="20"/>
              </w:rPr>
              <w:t xml:space="preserve"> </w:t>
            </w:r>
          </w:p>
          <w:p w14:paraId="0767A294" w14:textId="77777777" w:rsidR="00CA0F11" w:rsidRPr="009475AF" w:rsidRDefault="00CA0F11" w:rsidP="00286797">
            <w:pPr>
              <w:rPr>
                <w:rFonts w:ascii="Arial Narrow" w:hAnsi="Arial Narrow"/>
                <w:color w:val="333333"/>
                <w:sz w:val="20"/>
                <w:szCs w:val="20"/>
              </w:rPr>
            </w:pPr>
          </w:p>
          <w:p w14:paraId="2DD4BC24"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Or mailed to:</w:t>
            </w:r>
          </w:p>
          <w:p w14:paraId="554289A4"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Services Australia </w:t>
            </w:r>
          </w:p>
          <w:p w14:paraId="74A74D3D"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 xml:space="preserve">Complex Drugs </w:t>
            </w:r>
          </w:p>
          <w:p w14:paraId="514B163E"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Reply Paid 9826</w:t>
            </w:r>
          </w:p>
          <w:p w14:paraId="48A136BE"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HOBART TAS 7001</w:t>
            </w:r>
          </w:p>
        </w:tc>
      </w:tr>
      <w:tr w:rsidR="00CA0F11" w:rsidRPr="009475AF" w14:paraId="5D6AD76F" w14:textId="77777777" w:rsidTr="0028679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71EAB327" w14:textId="77777777" w:rsidR="00CA0F11" w:rsidRPr="009475AF" w:rsidRDefault="00CA0F11" w:rsidP="00286797">
            <w:pPr>
              <w:rPr>
                <w:rFonts w:ascii="Arial Narrow" w:hAnsi="Arial Narrow"/>
                <w:sz w:val="20"/>
                <w:szCs w:val="20"/>
              </w:rPr>
            </w:pPr>
          </w:p>
        </w:tc>
        <w:tc>
          <w:tcPr>
            <w:tcW w:w="784" w:type="dxa"/>
            <w:vAlign w:val="center"/>
          </w:tcPr>
          <w:p w14:paraId="53E7C6A5" w14:textId="2EDE120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7DBC7BEF"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42EB716A"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No increase in the maximum number of repeats may be authorised.</w:t>
            </w:r>
          </w:p>
        </w:tc>
      </w:tr>
      <w:tr w:rsidR="00CA0F11" w:rsidRPr="009475AF" w14:paraId="63ACDACF" w14:textId="77777777" w:rsidTr="00286797">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66D794B0" w14:textId="77777777" w:rsidR="00CA0F11" w:rsidRPr="009475AF" w:rsidRDefault="00CA0F11" w:rsidP="00286797">
            <w:pPr>
              <w:rPr>
                <w:rFonts w:ascii="Arial Narrow" w:hAnsi="Arial Narrow"/>
                <w:sz w:val="20"/>
                <w:szCs w:val="20"/>
              </w:rPr>
            </w:pPr>
          </w:p>
        </w:tc>
        <w:tc>
          <w:tcPr>
            <w:tcW w:w="784" w:type="dxa"/>
            <w:vAlign w:val="center"/>
          </w:tcPr>
          <w:p w14:paraId="77701C32" w14:textId="186664FF"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2F69876" w14:textId="77777777" w:rsidR="00CA0F11" w:rsidRPr="009475AF" w:rsidRDefault="00CA0F11" w:rsidP="00286797">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6943A8BA"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Special Pricing Arrangements apply.</w:t>
            </w:r>
          </w:p>
        </w:tc>
      </w:tr>
      <w:tr w:rsidR="00CA0F11" w:rsidRPr="009475AF" w14:paraId="73403F63"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531EF9" w14:textId="2B3D44EF" w:rsidR="00CA0F11" w:rsidRPr="009475AF" w:rsidRDefault="00CA0F11" w:rsidP="00286797">
            <w:pPr>
              <w:keepLines/>
              <w:jc w:val="center"/>
              <w:rPr>
                <w:rFonts w:ascii="Arial Narrow" w:hAnsi="Arial Narrow"/>
                <w:color w:val="333333"/>
                <w:sz w:val="20"/>
                <w:szCs w:val="20"/>
              </w:rPr>
            </w:pPr>
          </w:p>
        </w:tc>
        <w:tc>
          <w:tcPr>
            <w:tcW w:w="7745" w:type="dxa"/>
            <w:gridSpan w:val="6"/>
            <w:vAlign w:val="center"/>
            <w:hideMark/>
          </w:tcPr>
          <w:p w14:paraId="04D82641" w14:textId="77777777" w:rsidR="00CA0F11" w:rsidRPr="009475AF" w:rsidRDefault="00CA0F11" w:rsidP="00286797">
            <w:pPr>
              <w:keepLines/>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 </w:t>
            </w:r>
          </w:p>
        </w:tc>
      </w:tr>
      <w:tr w:rsidR="00CA0F11" w:rsidRPr="009475AF" w14:paraId="68E46F9A"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CCA684"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001CB8A6"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 xml:space="preserve">Continuing treatment </w:t>
            </w:r>
          </w:p>
        </w:tc>
      </w:tr>
      <w:tr w:rsidR="00CA0F11" w:rsidRPr="009475AF" w14:paraId="6B250B8F"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9A59BB"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22712F01" w14:textId="77777777" w:rsidR="00CA0F11" w:rsidRPr="009475AF" w:rsidRDefault="00CA0F11" w:rsidP="00286797">
            <w:pPr>
              <w:rPr>
                <w:rFonts w:ascii="Arial Narrow" w:hAnsi="Arial Narrow"/>
                <w:sz w:val="20"/>
                <w:szCs w:val="20"/>
              </w:rPr>
            </w:pPr>
            <w:r w:rsidRPr="009475AF">
              <w:rPr>
                <w:rFonts w:ascii="Arial Narrow" w:hAnsi="Arial Narrow"/>
                <w:b/>
                <w:bCs/>
                <w:color w:val="333333"/>
                <w:sz w:val="20"/>
                <w:szCs w:val="20"/>
              </w:rPr>
              <w:t xml:space="preserve">Clinical criteria: </w:t>
            </w:r>
          </w:p>
        </w:tc>
      </w:tr>
      <w:tr w:rsidR="00CA0F11" w:rsidRPr="009475AF" w14:paraId="585B46EF"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3950C2" w14:textId="688A4470"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CDBD3DB" w14:textId="77777777" w:rsidR="00CA0F11" w:rsidRPr="009475AF" w:rsidRDefault="00CA0F11" w:rsidP="00286797">
            <w:pPr>
              <w:rPr>
                <w:rFonts w:ascii="Arial Narrow" w:hAnsi="Arial Narrow"/>
                <w:color w:val="333333"/>
                <w:sz w:val="20"/>
                <w:szCs w:val="20"/>
              </w:rPr>
            </w:pPr>
            <w:r w:rsidRPr="009475AF">
              <w:rPr>
                <w:rFonts w:ascii="Arial Narrow" w:hAnsi="Arial Narrow"/>
                <w:sz w:val="20"/>
                <w:szCs w:val="20"/>
              </w:rPr>
              <w:t>Patient must have a documented history of severe asthma</w:t>
            </w:r>
          </w:p>
        </w:tc>
      </w:tr>
      <w:tr w:rsidR="00CA0F11" w:rsidRPr="009475AF" w14:paraId="21CB9892"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BD1883"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316243B1"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07481C9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A8E684" w14:textId="1B705EB2"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5CA028BF"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2A26EBE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7D1089" w14:textId="40ED9C9E"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7CF04F80" w14:textId="2F6A25A7" w:rsidR="00CA0F11" w:rsidRPr="009475AF" w:rsidRDefault="00CA0F11" w:rsidP="00286797">
            <w:pPr>
              <w:rPr>
                <w:rFonts w:ascii="Arial Narrow" w:hAnsi="Arial Narrow"/>
                <w:color w:val="FF0000"/>
                <w:sz w:val="20"/>
                <w:szCs w:val="20"/>
              </w:rPr>
            </w:pPr>
            <w:r w:rsidRPr="009475AF">
              <w:rPr>
                <w:rFonts w:ascii="Arial Narrow" w:hAnsi="Arial Narrow"/>
                <w:sz w:val="20"/>
                <w:szCs w:val="20"/>
              </w:rPr>
              <w:t xml:space="preserve">Patient must have demonstrated or sustained an adequate response to </w:t>
            </w:r>
            <w:r w:rsidR="00952DED">
              <w:rPr>
                <w:rFonts w:ascii="Arial Narrow" w:hAnsi="Arial Narrow"/>
                <w:sz w:val="20"/>
                <w:szCs w:val="20"/>
              </w:rPr>
              <w:t xml:space="preserve">PBS-subsidised </w:t>
            </w:r>
            <w:r w:rsidRPr="009475AF">
              <w:rPr>
                <w:rFonts w:ascii="Arial Narrow" w:hAnsi="Arial Narrow"/>
                <w:sz w:val="20"/>
                <w:szCs w:val="20"/>
              </w:rPr>
              <w:t>treatment with this drug</w:t>
            </w:r>
            <w:r w:rsidR="00952DED">
              <w:rPr>
                <w:rFonts w:ascii="Arial Narrow" w:hAnsi="Arial Narrow"/>
                <w:sz w:val="20"/>
                <w:szCs w:val="20"/>
              </w:rPr>
              <w:t xml:space="preserve"> for this condition</w:t>
            </w:r>
            <w:r w:rsidRPr="009475AF">
              <w:rPr>
                <w:rFonts w:ascii="Arial Narrow" w:hAnsi="Arial Narrow"/>
                <w:sz w:val="20"/>
                <w:szCs w:val="20"/>
              </w:rPr>
              <w:t xml:space="preserve">  </w:t>
            </w:r>
          </w:p>
        </w:tc>
      </w:tr>
      <w:tr w:rsidR="00CA0F11" w:rsidRPr="009475AF" w14:paraId="2F71499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34768D" w14:textId="7777777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1B4C834"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AND</w:t>
            </w:r>
          </w:p>
        </w:tc>
      </w:tr>
      <w:tr w:rsidR="00CA0F11" w:rsidRPr="009475AF" w14:paraId="3EF1AABD"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20B90A" w14:textId="769E3DF3"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0A677B4B"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CA0F11" w:rsidRPr="009475AF" w14:paraId="0BFAF00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2FDADE" w14:textId="2FBB8A57"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3EEC580E" w14:textId="77777777" w:rsidR="00CA0F11" w:rsidRPr="009475AF" w:rsidRDefault="00CA0F11" w:rsidP="00286797">
            <w:pPr>
              <w:rPr>
                <w:rFonts w:ascii="Arial Narrow" w:hAnsi="Arial Narrow"/>
                <w:color w:val="333333"/>
                <w:sz w:val="20"/>
                <w:szCs w:val="20"/>
              </w:rPr>
            </w:pPr>
            <w:r w:rsidRPr="009475AF">
              <w:rPr>
                <w:rFonts w:ascii="Arial Narrow" w:hAnsi="Arial Narrow"/>
                <w:color w:val="333333"/>
                <w:sz w:val="20"/>
                <w:szCs w:val="20"/>
              </w:rPr>
              <w:t>Patient must not receive more than 24 weeks of treatment under this restriction,</w:t>
            </w:r>
          </w:p>
        </w:tc>
      </w:tr>
      <w:tr w:rsidR="00CA0F11" w:rsidRPr="009475AF" w14:paraId="3739480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D6CEFA" w14:textId="3966E510" w:rsidR="00CA0F11" w:rsidRPr="009475AF" w:rsidRDefault="00CA0F11" w:rsidP="00286797">
            <w:pPr>
              <w:keepNext/>
              <w:jc w:val="center"/>
              <w:rPr>
                <w:rFonts w:ascii="Arial Narrow" w:hAnsi="Arial Narrow"/>
                <w:color w:val="333333"/>
                <w:sz w:val="20"/>
                <w:szCs w:val="20"/>
              </w:rPr>
            </w:pPr>
          </w:p>
        </w:tc>
        <w:tc>
          <w:tcPr>
            <w:tcW w:w="7745" w:type="dxa"/>
            <w:gridSpan w:val="6"/>
            <w:vAlign w:val="center"/>
            <w:hideMark/>
          </w:tcPr>
          <w:p w14:paraId="2FCF1A86" w14:textId="77777777" w:rsidR="00CA0F11" w:rsidRPr="009475AF" w:rsidRDefault="00CA0F11" w:rsidP="00286797">
            <w:pPr>
              <w:keepNext/>
              <w:rPr>
                <w:rFonts w:ascii="Arial Narrow" w:hAnsi="Arial Narrow"/>
                <w:color w:val="333333"/>
                <w:sz w:val="20"/>
                <w:szCs w:val="20"/>
              </w:rPr>
            </w:pPr>
            <w:r w:rsidRPr="009475AF">
              <w:rPr>
                <w:rFonts w:ascii="Arial Narrow" w:hAnsi="Arial Narrow"/>
                <w:b/>
                <w:bCs/>
                <w:color w:val="333333"/>
                <w:sz w:val="20"/>
                <w:szCs w:val="20"/>
              </w:rPr>
              <w:t>Treatment criteria:</w:t>
            </w:r>
          </w:p>
        </w:tc>
      </w:tr>
      <w:tr w:rsidR="00CA0F11" w:rsidRPr="009475AF" w14:paraId="50D893E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8CAA48" w14:textId="48B6F735"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4E6D440D" w14:textId="4C7A5F5C" w:rsidR="00CA0F11" w:rsidRPr="009475AF" w:rsidRDefault="00CA0F11" w:rsidP="00286797">
            <w:pPr>
              <w:autoSpaceDE w:val="0"/>
              <w:autoSpaceDN w:val="0"/>
              <w:adjustRightInd w:val="0"/>
              <w:rPr>
                <w:rFonts w:ascii="Arial Narrow" w:hAnsi="Arial Narrow" w:cs="Arial Narrow"/>
                <w:sz w:val="20"/>
                <w:szCs w:val="20"/>
              </w:rPr>
            </w:pPr>
            <w:r w:rsidRPr="009475AF">
              <w:rPr>
                <w:rFonts w:ascii="Arial Narrow" w:hAnsi="Arial Narrow" w:cs="Arial Narrow"/>
                <w:sz w:val="20"/>
                <w:szCs w:val="20"/>
              </w:rPr>
              <w:t xml:space="preserve">Must be treated by a </w:t>
            </w:r>
            <w:r w:rsidR="00952DED">
              <w:rPr>
                <w:rFonts w:ascii="Arial Narrow" w:hAnsi="Arial Narrow" w:cs="Arial Narrow"/>
                <w:sz w:val="20"/>
                <w:szCs w:val="20"/>
              </w:rPr>
              <w:t xml:space="preserve">medical practitioner who is either a: (i) </w:t>
            </w:r>
            <w:r w:rsidRPr="009475AF">
              <w:rPr>
                <w:rFonts w:ascii="Arial Narrow" w:hAnsi="Arial Narrow" w:cs="Arial Narrow"/>
                <w:sz w:val="20"/>
                <w:szCs w:val="20"/>
              </w:rPr>
              <w:t xml:space="preserve">paediatric respiratory physician, </w:t>
            </w:r>
            <w:r w:rsidR="00952DED">
              <w:rPr>
                <w:rFonts w:ascii="Arial Narrow" w:hAnsi="Arial Narrow" w:cs="Arial Narrow"/>
                <w:sz w:val="20"/>
                <w:szCs w:val="20"/>
              </w:rPr>
              <w:t xml:space="preserve">(ii) </w:t>
            </w:r>
            <w:r w:rsidRPr="009475AF">
              <w:rPr>
                <w:rFonts w:ascii="Arial Narrow" w:hAnsi="Arial Narrow" w:cs="Arial Narrow"/>
                <w:sz w:val="20"/>
                <w:szCs w:val="20"/>
              </w:rPr>
              <w:t xml:space="preserve">clinical immunologist, </w:t>
            </w:r>
            <w:r w:rsidR="00952DED">
              <w:rPr>
                <w:rFonts w:ascii="Arial Narrow" w:hAnsi="Arial Narrow" w:cs="Arial Narrow"/>
                <w:sz w:val="20"/>
                <w:szCs w:val="20"/>
              </w:rPr>
              <w:t xml:space="preserve">(iii) </w:t>
            </w:r>
            <w:r w:rsidRPr="009475AF">
              <w:rPr>
                <w:rFonts w:ascii="Arial Narrow" w:hAnsi="Arial Narrow" w:cs="Arial Narrow"/>
                <w:sz w:val="20"/>
                <w:szCs w:val="20"/>
              </w:rPr>
              <w:t xml:space="preserve">allergist; </w:t>
            </w:r>
            <w:r w:rsidR="00952DED">
              <w:rPr>
                <w:rFonts w:ascii="Arial Narrow" w:hAnsi="Arial Narrow" w:cs="Arial Narrow"/>
                <w:sz w:val="20"/>
                <w:szCs w:val="20"/>
              </w:rPr>
              <w:t xml:space="preserve">(iv) </w:t>
            </w:r>
            <w:r w:rsidRPr="009475AF">
              <w:rPr>
                <w:rFonts w:ascii="Arial Narrow" w:hAnsi="Arial Narrow" w:cs="Arial Narrow"/>
                <w:sz w:val="20"/>
                <w:szCs w:val="20"/>
              </w:rPr>
              <w:t>paediatrician or general physician experienced in the management of patients with severe asthma, in consultation with a respiratory physician.</w:t>
            </w:r>
          </w:p>
        </w:tc>
      </w:tr>
      <w:tr w:rsidR="00CA0F11" w:rsidRPr="009475AF" w14:paraId="187112B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AE849F" w14:textId="2E3690A9"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052285BB"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Population criteria:</w:t>
            </w:r>
          </w:p>
        </w:tc>
      </w:tr>
      <w:tr w:rsidR="00CA0F11" w:rsidRPr="009475AF" w14:paraId="0F263E29" w14:textId="77777777" w:rsidTr="00DB5C1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E84176" w14:textId="7E586627"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1D24282E" w14:textId="77777777" w:rsidR="00CA0F11" w:rsidRPr="009475AF" w:rsidRDefault="00CA0F11" w:rsidP="00286797">
            <w:pPr>
              <w:rPr>
                <w:rFonts w:ascii="Arial Narrow" w:hAnsi="Arial Narrow"/>
                <w:color w:val="333333"/>
                <w:sz w:val="20"/>
                <w:szCs w:val="20"/>
              </w:rPr>
            </w:pPr>
            <w:r w:rsidRPr="009475AF">
              <w:rPr>
                <w:rFonts w:ascii="Arial Narrow" w:hAnsi="Arial Narrow"/>
                <w:sz w:val="20"/>
                <w:szCs w:val="20"/>
              </w:rPr>
              <w:t xml:space="preserve">Patient must be aged 6 to less than 12 years. </w:t>
            </w:r>
          </w:p>
        </w:tc>
      </w:tr>
      <w:tr w:rsidR="00CA0F11" w:rsidRPr="009475AF" w14:paraId="6C7DD29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2B6F61" w14:textId="2053E04E" w:rsidR="00CA0F11" w:rsidRPr="009475AF" w:rsidRDefault="00CA0F11" w:rsidP="00286797">
            <w:pPr>
              <w:jc w:val="center"/>
              <w:rPr>
                <w:rFonts w:ascii="Arial Narrow" w:hAnsi="Arial Narrow"/>
                <w:color w:val="333333"/>
                <w:sz w:val="20"/>
                <w:szCs w:val="20"/>
              </w:rPr>
            </w:pPr>
          </w:p>
        </w:tc>
        <w:tc>
          <w:tcPr>
            <w:tcW w:w="7745" w:type="dxa"/>
            <w:gridSpan w:val="6"/>
            <w:vAlign w:val="center"/>
          </w:tcPr>
          <w:p w14:paraId="225CB6D4" w14:textId="77777777" w:rsidR="00CA0F11" w:rsidRPr="009475AF" w:rsidRDefault="00CA0F11"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59DEADA5"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 An adequate response to this biological medicine is defined as:</w:t>
            </w:r>
          </w:p>
          <w:p w14:paraId="4EB8697C"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a reduction in the Asthma Control Questionnaire (ACQ-5) or ACQ-IA score of at least 0.5 from baseline, OR </w:t>
            </w:r>
          </w:p>
          <w:p w14:paraId="13B38C05"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(b) maintenance oral corticosteroid dose reduced by at least 25% from baseline, and no deterioration in ACQ-5 or ACQ-IA score from baseline, OR </w:t>
            </w:r>
          </w:p>
          <w:p w14:paraId="6A0F6AB7"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(c) a reduction in the time-adjusted exacerbation rates compared to the 12 months prior to baseline. </w:t>
            </w:r>
          </w:p>
        </w:tc>
      </w:tr>
      <w:tr w:rsidR="00CA0F11" w:rsidRPr="009475AF" w14:paraId="506B6BFE" w14:textId="77777777" w:rsidTr="00645BAC">
        <w:tblPrEx>
          <w:tblCellMar>
            <w:top w:w="15" w:type="dxa"/>
            <w:bottom w:w="15" w:type="dxa"/>
          </w:tblCellMar>
          <w:tblLook w:val="04A0" w:firstRow="1" w:lastRow="0" w:firstColumn="1" w:lastColumn="0" w:noHBand="0" w:noVBand="1"/>
        </w:tblPrEx>
        <w:trPr>
          <w:trHeight w:val="20"/>
        </w:trPr>
        <w:tc>
          <w:tcPr>
            <w:tcW w:w="1272" w:type="dxa"/>
            <w:gridSpan w:val="2"/>
            <w:vAlign w:val="center"/>
          </w:tcPr>
          <w:p w14:paraId="320491BF" w14:textId="4CD0C6CF" w:rsidR="00CA0F11" w:rsidRPr="009475AF" w:rsidRDefault="00CA0F11" w:rsidP="00286797">
            <w:pPr>
              <w:jc w:val="center"/>
              <w:rPr>
                <w:rFonts w:ascii="Arial Narrow" w:hAnsi="Arial Narrow"/>
                <w:color w:val="333333"/>
                <w:sz w:val="20"/>
                <w:szCs w:val="20"/>
              </w:rPr>
            </w:pPr>
          </w:p>
        </w:tc>
        <w:tc>
          <w:tcPr>
            <w:tcW w:w="7745" w:type="dxa"/>
            <w:gridSpan w:val="6"/>
            <w:vAlign w:val="center"/>
            <w:hideMark/>
          </w:tcPr>
          <w:p w14:paraId="74580A59" w14:textId="77777777" w:rsidR="00CA0F11" w:rsidRPr="009475AF" w:rsidRDefault="00CA0F11" w:rsidP="00286797">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709200D9" w14:textId="21C6BC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All applications for continuing treatment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dose of PBS-subsidised dose of this drug so that there is adequate time for a response to be demonstrated and for the application for continuing therapy to be processed. </w:t>
            </w:r>
          </w:p>
          <w:p w14:paraId="2C37833D" w14:textId="77777777" w:rsidR="00CA0F11" w:rsidRPr="009475AF" w:rsidRDefault="00CA0F11" w:rsidP="00286797">
            <w:pPr>
              <w:rPr>
                <w:rFonts w:ascii="Arial Narrow" w:hAnsi="Arial Narrow"/>
                <w:sz w:val="20"/>
                <w:szCs w:val="20"/>
              </w:rPr>
            </w:pPr>
          </w:p>
          <w:p w14:paraId="68B27F1E"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 for this condition. </w:t>
            </w:r>
          </w:p>
          <w:p w14:paraId="22C39870" w14:textId="77777777" w:rsidR="00CA0F11" w:rsidRPr="009475AF" w:rsidRDefault="00CA0F11" w:rsidP="00286797">
            <w:pPr>
              <w:rPr>
                <w:rFonts w:ascii="Arial Narrow" w:hAnsi="Arial Narrow"/>
                <w:sz w:val="20"/>
                <w:szCs w:val="20"/>
              </w:rPr>
            </w:pPr>
          </w:p>
          <w:p w14:paraId="44BBC1CD"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patient who fails to demonstrate a response to treatment with this drug for this condition will not be eligible to receive further PBS-subsidised treatment with this drug for this condition within the same treatment cycle. </w:t>
            </w:r>
          </w:p>
          <w:p w14:paraId="7206A964" w14:textId="77777777" w:rsidR="00CA0F11" w:rsidRPr="009475AF" w:rsidRDefault="00CA0F11" w:rsidP="00286797">
            <w:pPr>
              <w:rPr>
                <w:rFonts w:ascii="Arial Narrow" w:hAnsi="Arial Narrow"/>
                <w:sz w:val="20"/>
                <w:szCs w:val="20"/>
              </w:rPr>
            </w:pPr>
          </w:p>
          <w:p w14:paraId="61673BBB" w14:textId="472790D3" w:rsidR="00CA0F11" w:rsidRPr="009475AF" w:rsidRDefault="00CA0F11" w:rsidP="00E84671">
            <w:pPr>
              <w:rPr>
                <w:rFonts w:ascii="Arial Narrow" w:hAnsi="Arial Narrow"/>
                <w:sz w:val="20"/>
                <w:szCs w:val="20"/>
              </w:rPr>
            </w:pPr>
            <w:r w:rsidRPr="009475AF">
              <w:rPr>
                <w:rFonts w:ascii="Arial Narrow" w:hAnsi="Arial Narrow"/>
                <w:sz w:val="20"/>
                <w:szCs w:val="20"/>
              </w:rPr>
              <w:t xml:space="preserve">At the time of authority application, medical practitioners should request the appropriate quantity and number of repeats to provide for a continuing course of dupilumab, sufficient for 24 weeks therapy. </w:t>
            </w:r>
          </w:p>
        </w:tc>
      </w:tr>
      <w:tr w:rsidR="00952DED" w:rsidRPr="009475AF" w14:paraId="43F3DC9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0BE8EA" w14:textId="0067CF11"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5EB90F81" w14:textId="77777777" w:rsidR="00952DED" w:rsidRPr="00B6228A" w:rsidRDefault="00952DED" w:rsidP="00952DED">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7C94A692"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The authority application must be made in writing and must include:</w:t>
            </w:r>
          </w:p>
          <w:p w14:paraId="6DC71FA7"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 xml:space="preserve">(a) a completed authority prescription form; and </w:t>
            </w:r>
          </w:p>
          <w:p w14:paraId="4BF2FD7F" w14:textId="0B164A2C" w:rsidR="00952DED" w:rsidRPr="009475AF" w:rsidRDefault="00952DED" w:rsidP="00952DED">
            <w:pPr>
              <w:rPr>
                <w:rFonts w:ascii="Arial Narrow" w:hAnsi="Arial Narrow"/>
                <w:b/>
                <w:bCs/>
                <w:color w:val="333333"/>
                <w:sz w:val="20"/>
                <w:szCs w:val="20"/>
              </w:rPr>
            </w:pPr>
            <w:r w:rsidRPr="00480926">
              <w:rPr>
                <w:rFonts w:ascii="Arial Narrow" w:hAnsi="Arial Narrow"/>
                <w:sz w:val="20"/>
                <w:szCs w:val="20"/>
              </w:rPr>
              <w:t xml:space="preserve">(b) a completed </w:t>
            </w:r>
            <w:r w:rsidRPr="00636F08">
              <w:rPr>
                <w:rFonts w:ascii="Arial Narrow" w:hAnsi="Arial Narrow"/>
                <w:sz w:val="20"/>
                <w:szCs w:val="20"/>
              </w:rPr>
              <w:t>authority application form relevant to the indication and</w:t>
            </w:r>
            <w:r w:rsidRPr="00480926">
              <w:rPr>
                <w:rFonts w:ascii="Arial Narrow" w:hAnsi="Arial Narrow"/>
                <w:i/>
                <w:iCs/>
                <w:sz w:val="20"/>
                <w:szCs w:val="20"/>
              </w:rPr>
              <w:t xml:space="preserve"> </w:t>
            </w:r>
            <w:r w:rsidRPr="00636F08">
              <w:rPr>
                <w:rFonts w:ascii="Arial Narrow" w:hAnsi="Arial Narrow"/>
                <w:sz w:val="20"/>
                <w:szCs w:val="20"/>
              </w:rPr>
              <w:t>treatment phase (the latest version is located on the website specified in the Administrative Advice)</w:t>
            </w:r>
            <w:r>
              <w:rPr>
                <w:rFonts w:ascii="Arial Narrow" w:hAnsi="Arial Narrow"/>
                <w:sz w:val="20"/>
                <w:szCs w:val="20"/>
              </w:rPr>
              <w:t>.</w:t>
            </w:r>
          </w:p>
        </w:tc>
      </w:tr>
      <w:tr w:rsidR="00952DED" w:rsidRPr="009475AF" w14:paraId="34E9E17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9F2222" w14:textId="297F66D1"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05BB766" w14:textId="77777777" w:rsidR="00952DED" w:rsidRPr="00B6228A" w:rsidRDefault="00952DED" w:rsidP="00952DED">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49978FCF" w14:textId="77777777" w:rsidR="00952DED" w:rsidRDefault="00952DED" w:rsidP="00952DED">
            <w:pPr>
              <w:rPr>
                <w:rFonts w:ascii="Arial Narrow" w:hAnsi="Arial Narrow"/>
                <w:color w:val="333333"/>
                <w:sz w:val="20"/>
                <w:szCs w:val="20"/>
              </w:rPr>
            </w:pPr>
            <w:r>
              <w:rPr>
                <w:rFonts w:ascii="Arial Narrow" w:hAnsi="Arial Narrow"/>
                <w:color w:val="333333"/>
                <w:sz w:val="20"/>
                <w:szCs w:val="20"/>
              </w:rPr>
              <w:t>The following must be provided at the time of application and documented in the patient’s medical records:</w:t>
            </w:r>
          </w:p>
          <w:p w14:paraId="5674C42D"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a</w:t>
            </w:r>
            <w:r w:rsidRPr="00480926">
              <w:rPr>
                <w:rFonts w:ascii="Arial Narrow" w:hAnsi="Arial Narrow"/>
                <w:sz w:val="20"/>
                <w:szCs w:val="20"/>
              </w:rPr>
              <w:t xml:space="preserve">) maintenance oral corticosteroid dose; and </w:t>
            </w:r>
          </w:p>
          <w:p w14:paraId="5896D33B"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w:t>
            </w:r>
            <w:r>
              <w:rPr>
                <w:rFonts w:ascii="Arial Narrow" w:hAnsi="Arial Narrow"/>
                <w:sz w:val="20"/>
                <w:szCs w:val="20"/>
              </w:rPr>
              <w:t>b</w:t>
            </w:r>
            <w:r w:rsidRPr="00480926">
              <w:rPr>
                <w:rFonts w:ascii="Arial Narrow" w:hAnsi="Arial Narrow"/>
                <w:sz w:val="20"/>
                <w:szCs w:val="20"/>
              </w:rPr>
              <w:t xml:space="preserve">) Asthma Control Questionnaire (ACQ-5) score; or </w:t>
            </w:r>
          </w:p>
          <w:p w14:paraId="12ED4E84" w14:textId="2D3252F4" w:rsidR="00952DED" w:rsidRPr="009475AF" w:rsidRDefault="00952DED" w:rsidP="00952DED">
            <w:pPr>
              <w:rPr>
                <w:rFonts w:ascii="Arial Narrow" w:hAnsi="Arial Narrow"/>
                <w:b/>
                <w:bCs/>
                <w:color w:val="333333"/>
                <w:sz w:val="20"/>
                <w:szCs w:val="20"/>
              </w:rPr>
            </w:pPr>
            <w:r w:rsidRPr="00480926">
              <w:rPr>
                <w:rFonts w:ascii="Arial Narrow" w:hAnsi="Arial Narrow"/>
                <w:sz w:val="20"/>
                <w:szCs w:val="20"/>
              </w:rPr>
              <w:t>(</w:t>
            </w:r>
            <w:r>
              <w:rPr>
                <w:rFonts w:ascii="Arial Narrow" w:hAnsi="Arial Narrow"/>
                <w:sz w:val="20"/>
                <w:szCs w:val="20"/>
              </w:rPr>
              <w:t>c</w:t>
            </w:r>
            <w:r w:rsidRPr="00480926">
              <w:rPr>
                <w:rFonts w:ascii="Arial Narrow" w:hAnsi="Arial Narrow"/>
                <w:sz w:val="20"/>
                <w:szCs w:val="20"/>
              </w:rPr>
              <w:t>) Asthma Control Questionnaire interviewer administered version (ACQ-IA) score.</w:t>
            </w:r>
          </w:p>
        </w:tc>
      </w:tr>
      <w:tr w:rsidR="00952DED" w:rsidRPr="009475AF" w14:paraId="563CE5B1" w14:textId="77777777" w:rsidTr="0028679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41AE12A" w14:textId="77777777" w:rsidR="00952DED" w:rsidRPr="009475AF" w:rsidRDefault="00952DED" w:rsidP="00952DED">
            <w:pPr>
              <w:rPr>
                <w:rFonts w:ascii="Arial Narrow" w:hAnsi="Arial Narrow"/>
                <w:b/>
                <w:bCs/>
                <w:color w:val="333333"/>
                <w:sz w:val="20"/>
                <w:szCs w:val="20"/>
              </w:rPr>
            </w:pPr>
          </w:p>
        </w:tc>
      </w:tr>
      <w:tr w:rsidR="00952DED" w:rsidRPr="009475AF" w14:paraId="59696241" w14:textId="77777777" w:rsidTr="0028679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7944A48B" w14:textId="77777777" w:rsidR="00952DED" w:rsidRPr="009475AF" w:rsidRDefault="00952DED" w:rsidP="00952DED">
            <w:pPr>
              <w:rPr>
                <w:rFonts w:ascii="Arial Narrow" w:hAnsi="Arial Narrow"/>
                <w:bCs/>
                <w:color w:val="FF0000"/>
                <w:sz w:val="20"/>
                <w:szCs w:val="20"/>
              </w:rPr>
            </w:pPr>
          </w:p>
        </w:tc>
      </w:tr>
      <w:tr w:rsidR="00952DED" w:rsidRPr="009475AF" w14:paraId="6CCC35B0" w14:textId="77777777" w:rsidTr="00286797">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3AEB37E6" w14:textId="40AE90A8" w:rsidR="00952DED" w:rsidRPr="009475AF" w:rsidRDefault="00952DED" w:rsidP="00952DED">
            <w:pPr>
              <w:keepNext/>
              <w:keepLines/>
              <w:rPr>
                <w:rFonts w:ascii="Arial Narrow" w:hAnsi="Arial Narrow"/>
                <w:b/>
                <w:bCs/>
                <w:color w:val="333333"/>
                <w:sz w:val="20"/>
                <w:szCs w:val="20"/>
              </w:rPr>
            </w:pPr>
            <w:r w:rsidRPr="009475AF">
              <w:rPr>
                <w:rFonts w:ascii="Arial Narrow" w:hAnsi="Arial Narrow"/>
                <w:b/>
                <w:bCs/>
                <w:color w:val="333333"/>
                <w:sz w:val="20"/>
                <w:szCs w:val="20"/>
              </w:rPr>
              <w:t xml:space="preserve">Restriction Summary / Treatment of Concept: [ </w:t>
            </w:r>
          </w:p>
        </w:tc>
      </w:tr>
      <w:tr w:rsidR="00952DED" w:rsidRPr="009475AF" w14:paraId="5DC8941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7134978C" w14:textId="77777777" w:rsidR="00952DED" w:rsidRPr="009475AF" w:rsidRDefault="00952DED" w:rsidP="00952DED">
            <w:pPr>
              <w:jc w:val="center"/>
              <w:rPr>
                <w:rFonts w:ascii="Arial Narrow" w:hAnsi="Arial Narrow"/>
                <w:b/>
                <w:sz w:val="20"/>
                <w:szCs w:val="20"/>
              </w:rPr>
            </w:pPr>
            <w:r w:rsidRPr="009475AF">
              <w:rPr>
                <w:rFonts w:ascii="Arial Narrow" w:hAnsi="Arial Narrow"/>
                <w:b/>
                <w:sz w:val="20"/>
                <w:szCs w:val="20"/>
              </w:rPr>
              <w:t>Concept ID</w:t>
            </w:r>
            <w:r w:rsidRPr="009475AF">
              <w:rPr>
                <w:rFonts w:ascii="Arial Narrow" w:hAnsi="Arial Narrow"/>
                <w:b/>
                <w:sz w:val="20"/>
                <w:szCs w:val="20"/>
              </w:rPr>
              <w:br/>
            </w:r>
            <w:r w:rsidRPr="009475AF">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A6C462" w14:textId="77777777" w:rsidR="00952DED" w:rsidRPr="009475AF" w:rsidRDefault="00952DED" w:rsidP="00952DED">
            <w:pPr>
              <w:keepNext/>
              <w:keepLines/>
              <w:rPr>
                <w:rFonts w:ascii="Arial Narrow" w:hAnsi="Arial Narrow"/>
                <w:sz w:val="20"/>
                <w:szCs w:val="20"/>
              </w:rPr>
            </w:pPr>
            <w:r w:rsidRPr="009475AF">
              <w:rPr>
                <w:rFonts w:ascii="Arial Narrow" w:hAnsi="Arial Narrow"/>
                <w:b/>
                <w:sz w:val="20"/>
                <w:szCs w:val="20"/>
              </w:rPr>
              <w:t xml:space="preserve">Category / Program: </w:t>
            </w:r>
            <w:r w:rsidRPr="009475AF">
              <w:rPr>
                <w:rFonts w:ascii="Arial Narrow" w:hAnsi="Arial Narrow"/>
                <w:sz w:val="20"/>
                <w:szCs w:val="20"/>
              </w:rPr>
              <w:t>Section 100 – Highly Specialised Drugs Program (Public/Private)</w:t>
            </w:r>
          </w:p>
        </w:tc>
      </w:tr>
      <w:tr w:rsidR="00952DED" w:rsidRPr="009475AF" w14:paraId="52AF46F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72E5B11C" w14:textId="77777777" w:rsidR="00952DED" w:rsidRPr="009475AF" w:rsidRDefault="00952DED" w:rsidP="00952DED">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0C863F3" w14:textId="77777777" w:rsidR="00952DED" w:rsidRPr="009475AF" w:rsidRDefault="00952DED" w:rsidP="00952DED">
            <w:pPr>
              <w:keepNext/>
              <w:keepLines/>
              <w:rPr>
                <w:rFonts w:ascii="Arial Narrow" w:hAnsi="Arial Narrow"/>
                <w:b/>
                <w:sz w:val="20"/>
                <w:szCs w:val="20"/>
              </w:rPr>
            </w:pPr>
            <w:r w:rsidRPr="009475AF">
              <w:rPr>
                <w:rFonts w:ascii="Arial Narrow" w:hAnsi="Arial Narrow"/>
                <w:b/>
                <w:sz w:val="20"/>
                <w:szCs w:val="20"/>
              </w:rPr>
              <w:t xml:space="preserve">Prescriber type: </w:t>
            </w:r>
            <w:r w:rsidRPr="009475AF">
              <w:rPr>
                <w:rFonts w:ascii="Arial Narrow" w:hAnsi="Arial Narrow"/>
                <w:sz w:val="20"/>
                <w:szCs w:val="20"/>
              </w:rPr>
              <w:fldChar w:fldCharType="begin" w:fldLock="1">
                <w:ffData>
                  <w:name w:val=""/>
                  <w:enabled/>
                  <w:calcOnExit w:val="0"/>
                  <w:checkBox>
                    <w:sizeAuto/>
                    <w:default w:val="1"/>
                  </w:checkBox>
                </w:ffData>
              </w:fldChar>
            </w:r>
            <w:r w:rsidRPr="009475AF">
              <w:rPr>
                <w:rFonts w:ascii="Arial Narrow" w:hAnsi="Arial Narrow"/>
                <w:sz w:val="20"/>
                <w:szCs w:val="20"/>
              </w:rPr>
              <w:instrText xml:space="preserve"> FORMCHECKBOX </w:instrText>
            </w:r>
            <w:r w:rsidR="00696736">
              <w:rPr>
                <w:rFonts w:ascii="Arial Narrow" w:hAnsi="Arial Narrow"/>
                <w:sz w:val="20"/>
                <w:szCs w:val="20"/>
              </w:rPr>
            </w:r>
            <w:r w:rsidR="00696736">
              <w:rPr>
                <w:rFonts w:ascii="Arial Narrow" w:hAnsi="Arial Narrow"/>
                <w:sz w:val="20"/>
                <w:szCs w:val="20"/>
              </w:rPr>
              <w:fldChar w:fldCharType="separate"/>
            </w:r>
            <w:r w:rsidRPr="009475AF">
              <w:rPr>
                <w:rFonts w:ascii="Arial Narrow" w:hAnsi="Arial Narrow"/>
                <w:sz w:val="20"/>
                <w:szCs w:val="20"/>
              </w:rPr>
              <w:fldChar w:fldCharType="end"/>
            </w:r>
            <w:r w:rsidRPr="009475AF">
              <w:rPr>
                <w:rFonts w:ascii="Arial Narrow" w:hAnsi="Arial Narrow"/>
                <w:sz w:val="20"/>
                <w:szCs w:val="20"/>
              </w:rPr>
              <w:t xml:space="preserve">Medical Practitioners </w:t>
            </w:r>
          </w:p>
        </w:tc>
      </w:tr>
      <w:tr w:rsidR="00952DED" w:rsidRPr="009475AF" w14:paraId="72E2BD1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2941EB37" w14:textId="77777777" w:rsidR="00952DED" w:rsidRPr="009475AF" w:rsidRDefault="00952DED" w:rsidP="00952DED">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E95806" w14:textId="77777777" w:rsidR="00952DED" w:rsidRPr="009475AF" w:rsidRDefault="00952DED" w:rsidP="00952DED">
            <w:pPr>
              <w:keepNext/>
              <w:keepLines/>
              <w:rPr>
                <w:rFonts w:ascii="Arial Narrow" w:eastAsia="Calibri" w:hAnsi="Arial Narrow"/>
                <w:sz w:val="20"/>
                <w:szCs w:val="20"/>
              </w:rPr>
            </w:pPr>
            <w:r w:rsidRPr="009475AF">
              <w:rPr>
                <w:rFonts w:ascii="Arial Narrow" w:hAnsi="Arial Narrow"/>
                <w:b/>
                <w:sz w:val="20"/>
                <w:szCs w:val="20"/>
              </w:rPr>
              <w:t xml:space="preserve">Restriction type: </w:t>
            </w:r>
            <w:r w:rsidRPr="009475AF">
              <w:rPr>
                <w:rFonts w:ascii="Arial Narrow" w:eastAsia="Calibri" w:hAnsi="Arial Narrow"/>
                <w:sz w:val="20"/>
                <w:szCs w:val="20"/>
              </w:rPr>
              <w:fldChar w:fldCharType="begin" w:fldLock="1">
                <w:ffData>
                  <w:name w:val=""/>
                  <w:enabled/>
                  <w:calcOnExit w:val="0"/>
                  <w:checkBox>
                    <w:sizeAuto/>
                    <w:default w:val="1"/>
                  </w:checkBox>
                </w:ffData>
              </w:fldChar>
            </w:r>
            <w:r w:rsidRPr="009475AF">
              <w:rPr>
                <w:rFonts w:ascii="Arial Narrow" w:eastAsia="Calibri" w:hAnsi="Arial Narrow"/>
                <w:sz w:val="20"/>
                <w:szCs w:val="20"/>
              </w:rPr>
              <w:instrText xml:space="preserve"> FORMCHECKBOX </w:instrText>
            </w:r>
            <w:r w:rsidR="00696736">
              <w:rPr>
                <w:rFonts w:ascii="Arial Narrow" w:eastAsia="Calibri" w:hAnsi="Arial Narrow"/>
                <w:sz w:val="20"/>
                <w:szCs w:val="20"/>
              </w:rPr>
            </w:r>
            <w:r w:rsidR="00696736">
              <w:rPr>
                <w:rFonts w:ascii="Arial Narrow" w:eastAsia="Calibri" w:hAnsi="Arial Narrow"/>
                <w:sz w:val="20"/>
                <w:szCs w:val="20"/>
              </w:rPr>
              <w:fldChar w:fldCharType="separate"/>
            </w:r>
            <w:r w:rsidRPr="009475AF">
              <w:rPr>
                <w:rFonts w:ascii="Arial Narrow" w:eastAsia="Calibri" w:hAnsi="Arial Narrow"/>
                <w:sz w:val="20"/>
                <w:szCs w:val="20"/>
              </w:rPr>
              <w:fldChar w:fldCharType="end"/>
            </w:r>
            <w:r w:rsidRPr="009475AF">
              <w:rPr>
                <w:rFonts w:ascii="Arial Narrow" w:eastAsia="Calibri" w:hAnsi="Arial Narrow"/>
                <w:sz w:val="20"/>
                <w:szCs w:val="20"/>
              </w:rPr>
              <w:t xml:space="preserve">Authority Required (in writing only via post/HPOS upload) </w:t>
            </w:r>
          </w:p>
        </w:tc>
      </w:tr>
      <w:tr w:rsidR="00952DED" w:rsidRPr="009475AF" w14:paraId="7CC8C94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F7DE0B1"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hideMark/>
          </w:tcPr>
          <w:p w14:paraId="1B21DA84"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Indication:</w:t>
            </w:r>
            <w:r w:rsidRPr="009475AF">
              <w:rPr>
                <w:rFonts w:ascii="Arial Narrow" w:hAnsi="Arial Narrow"/>
                <w:color w:val="333333"/>
                <w:sz w:val="20"/>
                <w:szCs w:val="20"/>
              </w:rPr>
              <w:t xml:space="preserve"> Uncontrolled severe asthma</w:t>
            </w:r>
          </w:p>
        </w:tc>
      </w:tr>
      <w:tr w:rsidR="00952DED" w:rsidRPr="009475AF" w14:paraId="722AD9E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DDF7686"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hideMark/>
          </w:tcPr>
          <w:p w14:paraId="40D2CDB8" w14:textId="77777777" w:rsidR="00952DED" w:rsidRPr="009475AF" w:rsidRDefault="00952DED" w:rsidP="00952DED">
            <w:pPr>
              <w:rPr>
                <w:rFonts w:ascii="Arial Narrow" w:hAnsi="Arial Narrow"/>
                <w:sz w:val="20"/>
                <w:szCs w:val="20"/>
              </w:rPr>
            </w:pPr>
            <w:r w:rsidRPr="009475AF">
              <w:rPr>
                <w:rFonts w:ascii="Arial Narrow" w:hAnsi="Arial Narrow"/>
                <w:b/>
                <w:bCs/>
                <w:color w:val="333333"/>
                <w:sz w:val="20"/>
                <w:szCs w:val="20"/>
              </w:rPr>
              <w:t>Treatment Phase:</w:t>
            </w:r>
            <w:r w:rsidRPr="009475AF">
              <w:rPr>
                <w:rFonts w:ascii="Arial Narrow" w:hAnsi="Arial Narrow"/>
                <w:color w:val="FF0000"/>
                <w:sz w:val="20"/>
                <w:szCs w:val="20"/>
              </w:rPr>
              <w:t xml:space="preserve"> </w:t>
            </w:r>
            <w:r w:rsidRPr="009475AF">
              <w:rPr>
                <w:rFonts w:ascii="Arial Narrow" w:hAnsi="Arial Narrow"/>
                <w:sz w:val="20"/>
                <w:szCs w:val="20"/>
              </w:rPr>
              <w:t>Transitioning from non-PBS to PBS-subsidised supply – Grandfathering arrangements</w:t>
            </w:r>
          </w:p>
        </w:tc>
      </w:tr>
      <w:tr w:rsidR="00952DED" w:rsidRPr="009475AF" w14:paraId="11E7202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F6F08C"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4C772584"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952DED" w:rsidRPr="009475AF" w14:paraId="02BFF5BD"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C87065" w14:textId="03F05800"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68CCDCD" w14:textId="77777777"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Patient must have received non-PBS-subsidised treatment with this drug for this PBS-indication prior to [list date]</w:t>
            </w:r>
          </w:p>
        </w:tc>
      </w:tr>
      <w:tr w:rsidR="00952DED" w:rsidRPr="009475AF" w14:paraId="49D9D0C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42F2FC"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8705E2E" w14:textId="77777777" w:rsidR="00952DED" w:rsidRPr="009475AF" w:rsidRDefault="00952DED" w:rsidP="00952DED">
            <w:pPr>
              <w:rPr>
                <w:rFonts w:ascii="Arial Narrow" w:hAnsi="Arial Narrow"/>
                <w:strike/>
                <w:color w:val="333333"/>
                <w:sz w:val="20"/>
                <w:szCs w:val="20"/>
              </w:rPr>
            </w:pPr>
            <w:r w:rsidRPr="009475AF">
              <w:rPr>
                <w:rFonts w:ascii="Arial Narrow" w:hAnsi="Arial Narrow"/>
                <w:b/>
                <w:bCs/>
                <w:color w:val="333333"/>
                <w:sz w:val="20"/>
                <w:szCs w:val="20"/>
              </w:rPr>
              <w:t>AND</w:t>
            </w:r>
          </w:p>
        </w:tc>
      </w:tr>
      <w:tr w:rsidR="00952DED" w:rsidRPr="009475AF" w14:paraId="178124D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2AE909" w14:textId="22EE3543"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D3AE572" w14:textId="77777777" w:rsidR="00952DED" w:rsidRPr="009475AF" w:rsidRDefault="00952DED" w:rsidP="00952DED">
            <w:pPr>
              <w:rPr>
                <w:rFonts w:ascii="Arial Narrow" w:hAnsi="Arial Narrow"/>
                <w:strike/>
                <w:color w:val="333333"/>
                <w:sz w:val="20"/>
                <w:szCs w:val="20"/>
              </w:rPr>
            </w:pPr>
            <w:r w:rsidRPr="009475AF">
              <w:rPr>
                <w:rFonts w:ascii="Arial Narrow" w:hAnsi="Arial Narrow"/>
                <w:b/>
                <w:bCs/>
                <w:color w:val="333333"/>
                <w:sz w:val="20"/>
                <w:szCs w:val="20"/>
              </w:rPr>
              <w:t>Clinical criteria:</w:t>
            </w:r>
          </w:p>
        </w:tc>
      </w:tr>
      <w:tr w:rsidR="00952DED" w:rsidRPr="009475AF" w14:paraId="17A7C13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6E8765" w14:textId="366C98BF"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B4D183D" w14:textId="17F230CE" w:rsidR="00952DED" w:rsidRPr="009475AF" w:rsidRDefault="00952DED" w:rsidP="00952DED">
            <w:pPr>
              <w:rPr>
                <w:rFonts w:ascii="Arial Narrow" w:hAnsi="Arial Narrow"/>
                <w:color w:val="333333"/>
                <w:sz w:val="20"/>
                <w:szCs w:val="20"/>
              </w:rPr>
            </w:pPr>
            <w:r w:rsidRPr="009475AF">
              <w:rPr>
                <w:rFonts w:ascii="Arial Narrow" w:hAnsi="Arial Narrow"/>
                <w:sz w:val="20"/>
                <w:szCs w:val="20"/>
              </w:rPr>
              <w:t xml:space="preserve">Patient must have a diagnosis of asthma confirmed and documented </w:t>
            </w:r>
            <w:r>
              <w:rPr>
                <w:rFonts w:ascii="Arial Narrow" w:hAnsi="Arial Narrow"/>
                <w:sz w:val="20"/>
                <w:szCs w:val="20"/>
              </w:rPr>
              <w:t xml:space="preserve">in the patient’s medical records </w:t>
            </w:r>
            <w:r w:rsidRPr="009475AF">
              <w:rPr>
                <w:rFonts w:ascii="Arial Narrow" w:hAnsi="Arial Narrow"/>
                <w:sz w:val="20"/>
                <w:szCs w:val="20"/>
              </w:rPr>
              <w:t xml:space="preserve">by </w:t>
            </w:r>
            <w:r>
              <w:rPr>
                <w:rFonts w:ascii="Arial Narrow" w:hAnsi="Arial Narrow"/>
                <w:sz w:val="20"/>
                <w:szCs w:val="20"/>
              </w:rPr>
              <w:t xml:space="preserve">either </w:t>
            </w:r>
            <w:r w:rsidRPr="009475AF">
              <w:rPr>
                <w:rFonts w:ascii="Arial Narrow" w:hAnsi="Arial Narrow"/>
                <w:sz w:val="20"/>
                <w:szCs w:val="20"/>
              </w:rPr>
              <w:t>a</w:t>
            </w:r>
            <w:r>
              <w:rPr>
                <w:rFonts w:ascii="Arial Narrow" w:hAnsi="Arial Narrow"/>
                <w:sz w:val="20"/>
                <w:szCs w:val="20"/>
              </w:rPr>
              <w:t>:</w:t>
            </w:r>
            <w:r w:rsidRPr="009475AF">
              <w:rPr>
                <w:rFonts w:ascii="Arial Narrow" w:hAnsi="Arial Narrow"/>
                <w:sz w:val="20"/>
                <w:szCs w:val="20"/>
              </w:rPr>
              <w:t xml:space="preserve"> </w:t>
            </w:r>
            <w:r>
              <w:rPr>
                <w:rFonts w:ascii="Arial Narrow" w:hAnsi="Arial Narrow"/>
                <w:sz w:val="20"/>
                <w:szCs w:val="20"/>
              </w:rPr>
              <w:t xml:space="preserve">(i) </w:t>
            </w:r>
            <w:r w:rsidRPr="009475AF">
              <w:rPr>
                <w:rFonts w:ascii="Arial Narrow" w:hAnsi="Arial Narrow"/>
                <w:sz w:val="20"/>
                <w:szCs w:val="20"/>
              </w:rPr>
              <w:t xml:space="preserve">paediatric respiratory physician, </w:t>
            </w:r>
            <w:r>
              <w:rPr>
                <w:rFonts w:ascii="Arial Narrow" w:hAnsi="Arial Narrow"/>
                <w:sz w:val="20"/>
                <w:szCs w:val="20"/>
              </w:rPr>
              <w:t xml:space="preserve">(ii) </w:t>
            </w:r>
            <w:r w:rsidRPr="009475AF">
              <w:rPr>
                <w:rFonts w:ascii="Arial Narrow" w:hAnsi="Arial Narrow"/>
                <w:sz w:val="20"/>
                <w:szCs w:val="20"/>
              </w:rPr>
              <w:t xml:space="preserve">clinical immunologist, </w:t>
            </w:r>
            <w:r>
              <w:rPr>
                <w:rFonts w:ascii="Arial Narrow" w:hAnsi="Arial Narrow"/>
                <w:sz w:val="20"/>
                <w:szCs w:val="20"/>
              </w:rPr>
              <w:t xml:space="preserve">(iii) </w:t>
            </w:r>
            <w:r w:rsidRPr="009475AF">
              <w:rPr>
                <w:rFonts w:ascii="Arial Narrow" w:hAnsi="Arial Narrow"/>
                <w:sz w:val="20"/>
                <w:szCs w:val="20"/>
              </w:rPr>
              <w:t xml:space="preserve">allergist; </w:t>
            </w:r>
            <w:r>
              <w:rPr>
                <w:rFonts w:ascii="Arial Narrow" w:hAnsi="Arial Narrow"/>
                <w:sz w:val="20"/>
                <w:szCs w:val="20"/>
              </w:rPr>
              <w:t xml:space="preserve">(iv) </w:t>
            </w:r>
            <w:r w:rsidRPr="009475AF">
              <w:rPr>
                <w:rFonts w:ascii="Arial Narrow" w:hAnsi="Arial Narrow"/>
                <w:sz w:val="20"/>
                <w:szCs w:val="20"/>
              </w:rPr>
              <w:t xml:space="preserve">paediatrician or general physician experienced in the management of patients with severe asthma in consultation with a respiratory physician, defined by </w:t>
            </w:r>
            <w:r>
              <w:rPr>
                <w:rFonts w:ascii="Arial Narrow" w:hAnsi="Arial Narrow"/>
                <w:sz w:val="20"/>
                <w:szCs w:val="20"/>
              </w:rPr>
              <w:t xml:space="preserve">at least one of </w:t>
            </w:r>
            <w:r w:rsidRPr="009475AF">
              <w:rPr>
                <w:rFonts w:ascii="Arial Narrow" w:hAnsi="Arial Narrow"/>
                <w:sz w:val="20"/>
                <w:szCs w:val="20"/>
              </w:rPr>
              <w:t xml:space="preserve">the following standard clinical features: </w:t>
            </w:r>
            <w:r>
              <w:rPr>
                <w:rFonts w:ascii="Arial Narrow" w:hAnsi="Arial Narrow"/>
                <w:sz w:val="20"/>
                <w:szCs w:val="20"/>
              </w:rPr>
              <w:t xml:space="preserve">(i) </w:t>
            </w:r>
            <w:r w:rsidRPr="009475AF">
              <w:rPr>
                <w:rFonts w:ascii="Arial Narrow" w:hAnsi="Arial Narrow"/>
                <w:sz w:val="20"/>
                <w:szCs w:val="20"/>
              </w:rPr>
              <w:t>forced expiratory volume (FEV1) reversibility</w:t>
            </w:r>
            <w:r>
              <w:rPr>
                <w:rFonts w:ascii="Arial Narrow" w:hAnsi="Arial Narrow"/>
                <w:sz w:val="20"/>
                <w:szCs w:val="20"/>
              </w:rPr>
              <w:t>,</w:t>
            </w:r>
            <w:r w:rsidRPr="009475AF">
              <w:rPr>
                <w:rFonts w:ascii="Arial Narrow" w:hAnsi="Arial Narrow"/>
                <w:sz w:val="20"/>
                <w:szCs w:val="20"/>
              </w:rPr>
              <w:t xml:space="preserve">  </w:t>
            </w:r>
            <w:r>
              <w:rPr>
                <w:rFonts w:ascii="Arial Narrow" w:hAnsi="Arial Narrow"/>
                <w:sz w:val="20"/>
                <w:szCs w:val="20"/>
              </w:rPr>
              <w:t xml:space="preserve">(ii) </w:t>
            </w:r>
            <w:r w:rsidRPr="009475AF">
              <w:rPr>
                <w:rFonts w:ascii="Arial Narrow" w:hAnsi="Arial Narrow"/>
                <w:sz w:val="20"/>
                <w:szCs w:val="20"/>
              </w:rPr>
              <w:t>airway hyperresponsiveness</w:t>
            </w:r>
            <w:r>
              <w:rPr>
                <w:rFonts w:ascii="Arial Narrow" w:hAnsi="Arial Narrow"/>
                <w:sz w:val="20"/>
                <w:szCs w:val="20"/>
              </w:rPr>
              <w:t>,</w:t>
            </w:r>
            <w:r w:rsidRPr="009475AF">
              <w:rPr>
                <w:rFonts w:ascii="Arial Narrow" w:hAnsi="Arial Narrow"/>
                <w:sz w:val="20"/>
                <w:szCs w:val="20"/>
              </w:rPr>
              <w:t xml:space="preserve">  </w:t>
            </w:r>
            <w:r>
              <w:rPr>
                <w:rFonts w:ascii="Arial Narrow" w:hAnsi="Arial Narrow"/>
                <w:sz w:val="20"/>
                <w:szCs w:val="20"/>
              </w:rPr>
              <w:t xml:space="preserve">(iii) </w:t>
            </w:r>
            <w:r w:rsidRPr="009475AF">
              <w:rPr>
                <w:rFonts w:ascii="Arial Narrow" w:hAnsi="Arial Narrow"/>
                <w:sz w:val="20"/>
                <w:szCs w:val="20"/>
              </w:rPr>
              <w:t>peak expiratory flow (PEF) variability,</w:t>
            </w:r>
          </w:p>
        </w:tc>
      </w:tr>
      <w:tr w:rsidR="00952DED" w:rsidRPr="009475AF" w14:paraId="435AC80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AD1C47"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1227E7A" w14:textId="77777777" w:rsidR="00952DED" w:rsidRPr="009475AF" w:rsidRDefault="00952DED" w:rsidP="00952DED">
            <w:pPr>
              <w:rPr>
                <w:rFonts w:ascii="Arial Narrow" w:hAnsi="Arial Narrow"/>
                <w:sz w:val="20"/>
                <w:szCs w:val="20"/>
              </w:rPr>
            </w:pPr>
            <w:r w:rsidRPr="009475AF">
              <w:rPr>
                <w:rFonts w:ascii="Arial Narrow" w:hAnsi="Arial Narrow"/>
                <w:b/>
                <w:bCs/>
                <w:color w:val="333333"/>
                <w:sz w:val="20"/>
                <w:szCs w:val="20"/>
              </w:rPr>
              <w:t>AND</w:t>
            </w:r>
          </w:p>
        </w:tc>
      </w:tr>
      <w:tr w:rsidR="00952DED" w:rsidRPr="009475AF" w14:paraId="6B3C656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B8160D" w14:textId="7F2C9952"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0D32A6F9" w14:textId="77777777" w:rsidR="00952DED" w:rsidRPr="009475AF" w:rsidRDefault="00952DED" w:rsidP="00952DED">
            <w:pPr>
              <w:rPr>
                <w:rFonts w:ascii="Arial Narrow" w:hAnsi="Arial Narrow"/>
                <w:sz w:val="20"/>
                <w:szCs w:val="20"/>
              </w:rPr>
            </w:pPr>
            <w:r w:rsidRPr="009475AF">
              <w:rPr>
                <w:rFonts w:ascii="Arial Narrow" w:hAnsi="Arial Narrow"/>
                <w:b/>
                <w:bCs/>
                <w:color w:val="333333"/>
                <w:sz w:val="20"/>
                <w:szCs w:val="20"/>
              </w:rPr>
              <w:t>Clinical criteria:</w:t>
            </w:r>
          </w:p>
        </w:tc>
      </w:tr>
      <w:tr w:rsidR="00952DED" w:rsidRPr="009475AF" w14:paraId="23E1C1B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0B6DE0" w14:textId="6D02D8FF"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5C82E03F"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Patient must have had a duration of asthma of at least 1 year prior to commencement of non-PBS subsidised treatment with this drug</w:t>
            </w:r>
          </w:p>
        </w:tc>
      </w:tr>
      <w:tr w:rsidR="00952DED" w:rsidRPr="009475AF" w14:paraId="3AC90F7C"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D1EB8A"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5E45E758" w14:textId="77777777" w:rsidR="00952DED" w:rsidRPr="009475AF" w:rsidRDefault="00952DED" w:rsidP="00952DED">
            <w:pPr>
              <w:rPr>
                <w:rFonts w:ascii="Arial Narrow" w:hAnsi="Arial Narrow"/>
                <w:sz w:val="20"/>
                <w:szCs w:val="20"/>
              </w:rPr>
            </w:pPr>
            <w:r w:rsidRPr="009475AF">
              <w:rPr>
                <w:rFonts w:ascii="Arial Narrow" w:hAnsi="Arial Narrow"/>
                <w:b/>
                <w:bCs/>
                <w:color w:val="333333"/>
                <w:sz w:val="20"/>
                <w:szCs w:val="20"/>
              </w:rPr>
              <w:t>AND</w:t>
            </w:r>
          </w:p>
        </w:tc>
      </w:tr>
      <w:tr w:rsidR="00952DED" w:rsidRPr="009475AF" w14:paraId="0C1843D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63CCD5"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65B5D77A" w14:textId="77777777" w:rsidR="00952DED" w:rsidRPr="009475AF" w:rsidRDefault="00952DED" w:rsidP="00952DED">
            <w:pPr>
              <w:rPr>
                <w:rFonts w:ascii="Arial Narrow" w:hAnsi="Arial Narrow"/>
                <w:sz w:val="20"/>
                <w:szCs w:val="20"/>
              </w:rPr>
            </w:pPr>
            <w:r w:rsidRPr="009475AF">
              <w:rPr>
                <w:rFonts w:ascii="Arial Narrow" w:hAnsi="Arial Narrow"/>
                <w:b/>
                <w:bCs/>
                <w:color w:val="333333"/>
                <w:sz w:val="20"/>
                <w:szCs w:val="20"/>
              </w:rPr>
              <w:t>Clinical criteria:</w:t>
            </w:r>
          </w:p>
        </w:tc>
      </w:tr>
      <w:tr w:rsidR="00952DED" w:rsidRPr="009475AF" w14:paraId="7CC1577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EEF40F" w14:textId="214B925E"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7F15A755" w14:textId="4146FECA" w:rsidR="00952DED" w:rsidRPr="009475AF" w:rsidRDefault="00952DED" w:rsidP="00952DED">
            <w:pPr>
              <w:rPr>
                <w:rFonts w:ascii="Arial Narrow" w:hAnsi="Arial Narrow"/>
                <w:sz w:val="20"/>
                <w:szCs w:val="20"/>
              </w:rPr>
            </w:pPr>
            <w:r w:rsidRPr="009475AF">
              <w:rPr>
                <w:rFonts w:ascii="Arial Narrow" w:hAnsi="Arial Narrow"/>
                <w:color w:val="333333"/>
                <w:sz w:val="20"/>
                <w:szCs w:val="20"/>
              </w:rPr>
              <w:t xml:space="preserve">Patient must have had a documented total serum human immunoglobulin E </w:t>
            </w:r>
            <w:r>
              <w:rPr>
                <w:rFonts w:ascii="Arial Narrow" w:hAnsi="Arial Narrow"/>
                <w:color w:val="333333"/>
                <w:sz w:val="20"/>
                <w:szCs w:val="20"/>
              </w:rPr>
              <w:t>of at least</w:t>
            </w:r>
            <w:r w:rsidRPr="009475AF">
              <w:rPr>
                <w:rFonts w:ascii="Arial Narrow" w:hAnsi="Arial Narrow"/>
                <w:color w:val="333333"/>
                <w:sz w:val="20"/>
                <w:szCs w:val="20"/>
              </w:rPr>
              <w:t xml:space="preserve"> 30 IU/mL measured no more than 12 months prior to initiation of non-PBS-subsidised treatment with this drug for this condition, with past or current evidence of atopy, documented by skin prick testing or an in vitro measure of specific IgE no more than 12 months prior to initiation of PBS-subsidised treatment with this drug for this condition; OR</w:t>
            </w:r>
          </w:p>
        </w:tc>
      </w:tr>
      <w:tr w:rsidR="00952DED" w:rsidRPr="009475AF" w14:paraId="36AF68C2"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449C17" w14:textId="6B3AF0FE"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0324D296" w14:textId="4E994E95" w:rsidR="00952DED" w:rsidRPr="009475AF" w:rsidRDefault="00952DED" w:rsidP="00952DED">
            <w:pPr>
              <w:rPr>
                <w:rFonts w:ascii="Arial Narrow" w:hAnsi="Arial Narrow"/>
                <w:sz w:val="20"/>
                <w:szCs w:val="20"/>
              </w:rPr>
            </w:pPr>
            <w:r w:rsidRPr="009475AF">
              <w:rPr>
                <w:rFonts w:ascii="Arial Narrow" w:hAnsi="Arial Narrow"/>
                <w:color w:val="333333"/>
                <w:sz w:val="20"/>
                <w:szCs w:val="20"/>
              </w:rPr>
              <w:t xml:space="preserve">Patient must have had a blood eosinophil count </w:t>
            </w:r>
            <w:r>
              <w:rPr>
                <w:rFonts w:ascii="Arial Narrow" w:hAnsi="Arial Narrow"/>
                <w:color w:val="333333"/>
                <w:sz w:val="20"/>
                <w:szCs w:val="20"/>
              </w:rPr>
              <w:t>of at least</w:t>
            </w:r>
            <w:r w:rsidRPr="009475AF">
              <w:rPr>
                <w:rFonts w:ascii="Arial Narrow" w:hAnsi="Arial Narrow"/>
                <w:color w:val="333333"/>
                <w:sz w:val="20"/>
                <w:szCs w:val="20"/>
              </w:rPr>
              <w:t xml:space="preserve"> 150 cells per microlitre in the 12 months prior to initiation of non-PBS-subsidised treatment with this drug for this condition; OR </w:t>
            </w:r>
          </w:p>
        </w:tc>
      </w:tr>
      <w:tr w:rsidR="00952DED" w:rsidRPr="009475AF" w14:paraId="64AB329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52B106" w14:textId="4F3C401A"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95DF5CB" w14:textId="6A68883D" w:rsidR="00952DED" w:rsidRPr="009475AF" w:rsidRDefault="00952DED" w:rsidP="00952DED">
            <w:pPr>
              <w:rPr>
                <w:rFonts w:ascii="Arial Narrow" w:hAnsi="Arial Narrow"/>
                <w:sz w:val="20"/>
                <w:szCs w:val="20"/>
              </w:rPr>
            </w:pPr>
            <w:r w:rsidRPr="009475AF">
              <w:rPr>
                <w:rFonts w:ascii="Arial Narrow" w:hAnsi="Arial Narrow"/>
                <w:color w:val="333333"/>
                <w:sz w:val="20"/>
                <w:szCs w:val="20"/>
              </w:rPr>
              <w:t xml:space="preserve">Patient must have had a fractional exhaled nitrous oxide </w:t>
            </w:r>
            <w:r>
              <w:rPr>
                <w:rFonts w:ascii="Arial Narrow" w:hAnsi="Arial Narrow"/>
                <w:color w:val="333333"/>
                <w:sz w:val="20"/>
                <w:szCs w:val="20"/>
              </w:rPr>
              <w:t>of at least</w:t>
            </w:r>
            <w:r w:rsidRPr="009475AF">
              <w:rPr>
                <w:rFonts w:ascii="Arial Narrow" w:hAnsi="Arial Narrow"/>
                <w:color w:val="333333"/>
                <w:sz w:val="20"/>
                <w:szCs w:val="20"/>
              </w:rPr>
              <w:t xml:space="preserve"> 20 ppb in the 12 months prior to initiation of non-PBS-subsidised treatment with this drug for this condition.</w:t>
            </w:r>
          </w:p>
        </w:tc>
      </w:tr>
      <w:tr w:rsidR="00952DED" w:rsidRPr="009475AF" w14:paraId="202622D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C053B3"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6B57BE23"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AND</w:t>
            </w:r>
          </w:p>
        </w:tc>
      </w:tr>
      <w:tr w:rsidR="00952DED" w:rsidRPr="009475AF" w14:paraId="51D2A01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12D7E2"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57F0F422"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952DED" w:rsidRPr="009475AF" w14:paraId="3E5CCD5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541668" w14:textId="5573FACA"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6CEC3FE9" w14:textId="77777777"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Patient must have documented a failure to achieve adequate control with optimised asthma therapy, despite formal assessment of and adherence to correct inhaler technique, prior to initiating non-PBS-subsidised treatment with this drug for this condition.</w:t>
            </w:r>
          </w:p>
        </w:tc>
      </w:tr>
      <w:tr w:rsidR="00952DED" w:rsidRPr="009475AF" w14:paraId="4D93976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3DB06A"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1EA57C05"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AND</w:t>
            </w:r>
          </w:p>
        </w:tc>
      </w:tr>
      <w:tr w:rsidR="00952DED" w:rsidRPr="009475AF" w14:paraId="2A4F315B"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24C847"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48240E8E"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952DED" w:rsidRPr="009475AF" w14:paraId="4CB8184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254CBF" w14:textId="5D68ECF3"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0FE0950" w14:textId="77777777"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 xml:space="preserve">Patient must have demonstrated or sustained an adequate response to treatment with this drug if the patient has received at least 28 weeks of treatment with this drug for this condition. </w:t>
            </w:r>
          </w:p>
        </w:tc>
      </w:tr>
      <w:tr w:rsidR="00952DED" w:rsidRPr="009475AF" w14:paraId="60A83561"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8944CC"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621257F"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AND</w:t>
            </w:r>
          </w:p>
        </w:tc>
      </w:tr>
      <w:tr w:rsidR="00952DED" w:rsidRPr="009475AF" w14:paraId="3F986A64"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14A594"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320E25A"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Clinical criteria:</w:t>
            </w:r>
          </w:p>
        </w:tc>
      </w:tr>
      <w:tr w:rsidR="00952DED" w:rsidRPr="009475AF" w14:paraId="4A8BC5A6"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36540C" w14:textId="1D5710C1"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0432268" w14:textId="77777777"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Patient must not receive more than 24 weeks of treatment under this restriction.</w:t>
            </w:r>
          </w:p>
        </w:tc>
      </w:tr>
      <w:tr w:rsidR="00952DED" w:rsidRPr="009475AF" w14:paraId="73ACC8F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2A5149" w14:textId="473F6B65"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457D5182"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Treatment criteria:</w:t>
            </w:r>
          </w:p>
        </w:tc>
      </w:tr>
      <w:tr w:rsidR="00952DED" w:rsidRPr="009475AF" w14:paraId="7F9FE05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A64BF3" w14:textId="302A73DC"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74BC874F" w14:textId="1CB8AF42"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 xml:space="preserve">Must be treated by a </w:t>
            </w:r>
            <w:r>
              <w:rPr>
                <w:rFonts w:ascii="Arial Narrow" w:hAnsi="Arial Narrow"/>
                <w:color w:val="333333"/>
                <w:sz w:val="20"/>
                <w:szCs w:val="20"/>
              </w:rPr>
              <w:t xml:space="preserve">medical practitioner who is either a: (i) </w:t>
            </w:r>
            <w:r w:rsidRPr="009475AF">
              <w:rPr>
                <w:rFonts w:ascii="Arial Narrow" w:hAnsi="Arial Narrow"/>
                <w:color w:val="333333"/>
                <w:sz w:val="20"/>
                <w:szCs w:val="20"/>
              </w:rPr>
              <w:t xml:space="preserve">paediatric respiratory physician, </w:t>
            </w:r>
            <w:r>
              <w:rPr>
                <w:rFonts w:ascii="Arial Narrow" w:hAnsi="Arial Narrow"/>
                <w:color w:val="333333"/>
                <w:sz w:val="20"/>
                <w:szCs w:val="20"/>
              </w:rPr>
              <w:t xml:space="preserve">(ii) </w:t>
            </w:r>
            <w:r w:rsidRPr="009475AF">
              <w:rPr>
                <w:rFonts w:ascii="Arial Narrow" w:hAnsi="Arial Narrow"/>
                <w:color w:val="333333"/>
                <w:sz w:val="20"/>
                <w:szCs w:val="20"/>
              </w:rPr>
              <w:t xml:space="preserve">clinical immunologist, </w:t>
            </w:r>
            <w:r>
              <w:rPr>
                <w:rFonts w:ascii="Arial Narrow" w:hAnsi="Arial Narrow"/>
                <w:color w:val="333333"/>
                <w:sz w:val="20"/>
                <w:szCs w:val="20"/>
              </w:rPr>
              <w:t xml:space="preserve">(iii) </w:t>
            </w:r>
            <w:r w:rsidRPr="009475AF">
              <w:rPr>
                <w:rFonts w:ascii="Arial Narrow" w:hAnsi="Arial Narrow"/>
                <w:color w:val="333333"/>
                <w:sz w:val="20"/>
                <w:szCs w:val="20"/>
              </w:rPr>
              <w:t xml:space="preserve">allergist; </w:t>
            </w:r>
            <w:r>
              <w:rPr>
                <w:rFonts w:ascii="Arial Narrow" w:hAnsi="Arial Narrow"/>
                <w:color w:val="333333"/>
                <w:sz w:val="20"/>
                <w:szCs w:val="20"/>
              </w:rPr>
              <w:t xml:space="preserve">(iv) </w:t>
            </w:r>
            <w:r w:rsidRPr="009475AF">
              <w:rPr>
                <w:rFonts w:ascii="Arial Narrow" w:hAnsi="Arial Narrow"/>
                <w:color w:val="333333"/>
                <w:sz w:val="20"/>
                <w:szCs w:val="20"/>
              </w:rPr>
              <w:t>paediatrician or general physician experienced in the management of patients with severe asthma, in consultation with a respiratory physician</w:t>
            </w:r>
          </w:p>
        </w:tc>
      </w:tr>
      <w:tr w:rsidR="00952DED" w:rsidRPr="009475AF" w14:paraId="597B3C81"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6DCF75" w14:textId="67AB9E2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16BC865C" w14:textId="77777777" w:rsidR="00952DED" w:rsidRPr="009475AF" w:rsidRDefault="00952DED" w:rsidP="00952DED">
            <w:pPr>
              <w:rPr>
                <w:rFonts w:ascii="Arial Narrow" w:hAnsi="Arial Narrow"/>
                <w:color w:val="333333"/>
                <w:sz w:val="20"/>
                <w:szCs w:val="20"/>
              </w:rPr>
            </w:pPr>
            <w:r w:rsidRPr="009475AF">
              <w:rPr>
                <w:rFonts w:ascii="Arial Narrow" w:hAnsi="Arial Narrow"/>
                <w:b/>
                <w:bCs/>
                <w:color w:val="333333"/>
                <w:sz w:val="20"/>
                <w:szCs w:val="20"/>
              </w:rPr>
              <w:t>Population criteria:</w:t>
            </w:r>
          </w:p>
        </w:tc>
      </w:tr>
      <w:tr w:rsidR="00952DED" w:rsidRPr="009475AF" w14:paraId="79B861BD"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7CD0CD5" w14:textId="3DDF3933"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40723DC4" w14:textId="77777777" w:rsidR="00952DED" w:rsidRPr="009475AF" w:rsidRDefault="00952DED" w:rsidP="00952DED">
            <w:pPr>
              <w:rPr>
                <w:rFonts w:ascii="Arial Narrow" w:hAnsi="Arial Narrow"/>
                <w:color w:val="333333"/>
                <w:sz w:val="20"/>
                <w:szCs w:val="20"/>
              </w:rPr>
            </w:pPr>
            <w:r w:rsidRPr="009475AF">
              <w:rPr>
                <w:rFonts w:ascii="Arial Narrow" w:hAnsi="Arial Narrow"/>
                <w:sz w:val="20"/>
                <w:szCs w:val="20"/>
              </w:rPr>
              <w:t xml:space="preserve">Patient must be aged 6 to less than 12 years. </w:t>
            </w:r>
          </w:p>
        </w:tc>
      </w:tr>
      <w:tr w:rsidR="00952DED" w:rsidRPr="009475AF" w14:paraId="4FC5E3FE"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8A9230" w14:textId="37A23D1C"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C16FF19" w14:textId="77777777" w:rsidR="00952DED" w:rsidRPr="009475AF" w:rsidRDefault="00952DED" w:rsidP="00952DED">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09453CC0" w14:textId="77777777" w:rsidR="00952DED" w:rsidRPr="009475AF" w:rsidRDefault="00952DED" w:rsidP="00952DED">
            <w:pPr>
              <w:rPr>
                <w:rFonts w:ascii="Arial Narrow" w:hAnsi="Arial Narrow"/>
                <w:bCs/>
                <w:sz w:val="20"/>
                <w:szCs w:val="20"/>
              </w:rPr>
            </w:pPr>
            <w:r w:rsidRPr="009475AF">
              <w:rPr>
                <w:rFonts w:ascii="Arial Narrow" w:hAnsi="Arial Narrow"/>
                <w:bCs/>
                <w:sz w:val="20"/>
                <w:szCs w:val="20"/>
              </w:rPr>
              <w:t>Optimised asthma therapy includes:</w:t>
            </w:r>
          </w:p>
          <w:p w14:paraId="40383CFC" w14:textId="77777777" w:rsidR="00952DED" w:rsidRPr="009475AF" w:rsidRDefault="00952DED" w:rsidP="00952DED">
            <w:pPr>
              <w:rPr>
                <w:rFonts w:ascii="Arial Narrow" w:hAnsi="Arial Narrow"/>
                <w:sz w:val="20"/>
                <w:szCs w:val="20"/>
              </w:rPr>
            </w:pPr>
            <w:r w:rsidRPr="009475AF">
              <w:rPr>
                <w:rFonts w:ascii="Arial Narrow" w:hAnsi="Arial Narrow"/>
                <w:bCs/>
                <w:sz w:val="20"/>
                <w:szCs w:val="20"/>
              </w:rPr>
              <w:t>(</w:t>
            </w:r>
            <w:r w:rsidRPr="009475AF">
              <w:rPr>
                <w:rFonts w:ascii="Arial Narrow" w:hAnsi="Arial Narrow"/>
                <w:sz w:val="20"/>
                <w:szCs w:val="20"/>
              </w:rPr>
              <w:t>i) Adherence to optimal inhaled therapy, including high dose inhaled corticosteroid (ICS) and long-acting beta-2 agonist (LABA) therapy for at least six months. If LABA therapy is contraindicated, not tolerated or not effective, montelukast, cromoglycate or nedocromil may be used as an alternative;</w:t>
            </w:r>
          </w:p>
          <w:p w14:paraId="488861F8"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AND </w:t>
            </w:r>
          </w:p>
          <w:p w14:paraId="33233971" w14:textId="7E1356B8" w:rsidR="00952DED" w:rsidRPr="009475AF" w:rsidRDefault="00952DED" w:rsidP="00952DED">
            <w:pPr>
              <w:rPr>
                <w:rFonts w:ascii="Arial Narrow" w:hAnsi="Arial Narrow"/>
                <w:sz w:val="20"/>
                <w:szCs w:val="20"/>
              </w:rPr>
            </w:pPr>
            <w:r w:rsidRPr="009475AF">
              <w:rPr>
                <w:rFonts w:ascii="Arial Narrow" w:hAnsi="Arial Narrow"/>
                <w:sz w:val="20"/>
                <w:szCs w:val="20"/>
              </w:rPr>
              <w:t xml:space="preserve">(ii) treatment with at least 2 courses of oral or IV corticosteroids (daily or alternate day maintenance treatment courses, or </w:t>
            </w:r>
            <w:r w:rsidR="00E84671" w:rsidRPr="009475AF">
              <w:rPr>
                <w:rFonts w:ascii="Arial Narrow" w:hAnsi="Arial Narrow"/>
                <w:sz w:val="20"/>
                <w:szCs w:val="20"/>
              </w:rPr>
              <w:t>3–5-day</w:t>
            </w:r>
            <w:r w:rsidRPr="009475AF">
              <w:rPr>
                <w:rFonts w:ascii="Arial Narrow" w:hAnsi="Arial Narrow"/>
                <w:sz w:val="20"/>
                <w:szCs w:val="20"/>
              </w:rPr>
              <w:t xml:space="preserve"> exacerbation treatment courses), in the previous 12 months unless contraindicated or not tolerated.</w:t>
            </w:r>
          </w:p>
          <w:p w14:paraId="695F6F6D" w14:textId="77777777" w:rsidR="00952DED" w:rsidRPr="009475AF" w:rsidRDefault="00952DED" w:rsidP="00952DED">
            <w:pPr>
              <w:rPr>
                <w:rFonts w:ascii="Arial Narrow" w:hAnsi="Arial Narrow"/>
                <w:sz w:val="20"/>
                <w:szCs w:val="20"/>
              </w:rPr>
            </w:pPr>
          </w:p>
          <w:p w14:paraId="0D429E77" w14:textId="77777777" w:rsidR="00952DED" w:rsidRPr="009475AF" w:rsidRDefault="00952DED" w:rsidP="00952DED">
            <w:pPr>
              <w:rPr>
                <w:rFonts w:ascii="Arial Narrow" w:hAnsi="Arial Narrow"/>
                <w:b/>
                <w:bCs/>
                <w:color w:val="333333"/>
                <w:sz w:val="20"/>
                <w:szCs w:val="20"/>
              </w:rPr>
            </w:pPr>
            <w:r w:rsidRPr="009475AF">
              <w:rPr>
                <w:rFonts w:ascii="Arial Narrow" w:hAnsi="Arial Narrow"/>
                <w:sz w:val="20"/>
                <w:szCs w:val="20"/>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tc>
      </w:tr>
      <w:tr w:rsidR="00952DED" w:rsidRPr="009475AF" w14:paraId="4B9C6D57"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6DCFF2" w14:textId="660F1E02"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11FB54F3" w14:textId="77777777" w:rsidR="00952DED" w:rsidRPr="00480926" w:rsidRDefault="00952DED" w:rsidP="00952DED">
            <w:pPr>
              <w:rPr>
                <w:rFonts w:ascii="Arial Narrow" w:hAnsi="Arial Narrow"/>
                <w:bCs/>
                <w:color w:val="FF0000"/>
                <w:sz w:val="20"/>
                <w:szCs w:val="20"/>
              </w:rPr>
            </w:pPr>
            <w:r w:rsidRPr="00480926">
              <w:rPr>
                <w:rFonts w:ascii="Arial Narrow" w:hAnsi="Arial Narrow"/>
                <w:b/>
                <w:bCs/>
                <w:color w:val="333333"/>
                <w:sz w:val="20"/>
                <w:szCs w:val="20"/>
              </w:rPr>
              <w:t xml:space="preserve">Prescribing Instructions: </w:t>
            </w:r>
          </w:p>
          <w:p w14:paraId="71F6B635"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 xml:space="preserve"> An adequate response to </w:t>
            </w:r>
            <w:r w:rsidRPr="00636F08">
              <w:rPr>
                <w:rFonts w:ascii="Arial Narrow" w:hAnsi="Arial Narrow"/>
                <w:sz w:val="20"/>
                <w:szCs w:val="20"/>
              </w:rPr>
              <w:t>this biological medicine</w:t>
            </w:r>
            <w:r w:rsidRPr="00480926">
              <w:rPr>
                <w:rFonts w:ascii="Arial Narrow" w:hAnsi="Arial Narrow"/>
                <w:i/>
                <w:iCs/>
                <w:sz w:val="20"/>
                <w:szCs w:val="20"/>
              </w:rPr>
              <w:t xml:space="preserve"> </w:t>
            </w:r>
            <w:r w:rsidRPr="00480926">
              <w:rPr>
                <w:rFonts w:ascii="Arial Narrow" w:hAnsi="Arial Narrow"/>
                <w:sz w:val="20"/>
                <w:szCs w:val="20"/>
              </w:rPr>
              <w:t>is defined as:</w:t>
            </w:r>
          </w:p>
          <w:p w14:paraId="20B8F77B"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 xml:space="preserve">(a)  a reduction in the Asthma Control Questionnaire (ACQ-5) or ACQ-IA score of at least 0.5 from baseline, OR </w:t>
            </w:r>
          </w:p>
          <w:p w14:paraId="72FAF6A2"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 xml:space="preserve">(b) maintenance oral corticosteroid dose reduced by at least 25% from baseline, and no deterioration in ACQ-5 or ACQ-IA score from baseline, OR </w:t>
            </w:r>
          </w:p>
          <w:p w14:paraId="0ACF3E79" w14:textId="20D49399" w:rsidR="00952DED" w:rsidRPr="009475AF" w:rsidRDefault="00952DED" w:rsidP="00952DED">
            <w:pPr>
              <w:rPr>
                <w:rFonts w:ascii="Arial Narrow" w:hAnsi="Arial Narrow"/>
                <w:b/>
                <w:bCs/>
                <w:color w:val="333333"/>
                <w:sz w:val="20"/>
                <w:szCs w:val="20"/>
              </w:rPr>
            </w:pPr>
            <w:r w:rsidRPr="00480926">
              <w:rPr>
                <w:rFonts w:ascii="Arial Narrow" w:hAnsi="Arial Narrow"/>
                <w:sz w:val="20"/>
                <w:szCs w:val="20"/>
              </w:rPr>
              <w:t>(c) a reduction in the time-adjusted exacerbation rates compared to the 12 months prior to baseline.</w:t>
            </w:r>
          </w:p>
        </w:tc>
      </w:tr>
      <w:tr w:rsidR="00952DED" w:rsidRPr="009475AF" w14:paraId="072E7073" w14:textId="77777777" w:rsidTr="003A2464">
        <w:tblPrEx>
          <w:tblCellMar>
            <w:top w:w="15" w:type="dxa"/>
            <w:bottom w:w="15" w:type="dxa"/>
          </w:tblCellMar>
          <w:tblLook w:val="04A0" w:firstRow="1" w:lastRow="0" w:firstColumn="1" w:lastColumn="0" w:noHBand="0" w:noVBand="1"/>
        </w:tblPrEx>
        <w:trPr>
          <w:trHeight w:val="20"/>
        </w:trPr>
        <w:tc>
          <w:tcPr>
            <w:tcW w:w="1272" w:type="dxa"/>
            <w:gridSpan w:val="2"/>
            <w:vAlign w:val="center"/>
          </w:tcPr>
          <w:p w14:paraId="75C859EB" w14:textId="77777777"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222E73A0" w14:textId="77777777" w:rsidR="00952DED" w:rsidRPr="009475AF" w:rsidRDefault="00952DED" w:rsidP="00952DED">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6B16804A"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The following initiation criteria indicate failure to achieve adequate control with optimised asthma therapy and must be demonstrated in all patients at the time of the application:</w:t>
            </w:r>
          </w:p>
          <w:p w14:paraId="59447571"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(a) An Asthma Control Questionnaire (ACQ-5) score of at least 2.0, as assessed prior to non-PBS-subsidised treatment with this drug for this condition (for children aged 6 to 10 years it is recommended that the Interviewer Administered version – the ACQ-IA be used), </w:t>
            </w:r>
          </w:p>
          <w:p w14:paraId="325A52E2"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AND</w:t>
            </w:r>
          </w:p>
          <w:p w14:paraId="4E2A71FB"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(b) while receiving optimised asthma therapy in the prior to non-PBS-subsidised treatment with this drug for this condition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 </w:t>
            </w:r>
          </w:p>
          <w:p w14:paraId="4D6387C5" w14:textId="77777777" w:rsidR="00952DED" w:rsidRPr="009475AF" w:rsidRDefault="00952DED" w:rsidP="00952DED">
            <w:pPr>
              <w:rPr>
                <w:rFonts w:ascii="Arial Narrow" w:hAnsi="Arial Narrow"/>
                <w:strike/>
                <w:sz w:val="20"/>
                <w:szCs w:val="20"/>
              </w:rPr>
            </w:pPr>
          </w:p>
          <w:p w14:paraId="7E5C6562"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The Asthma Control Questionnaire (5 item version) or Asthma Control Questionnaire interviewer administered version (ACQ-IA) assessment, the assessment of systemic corticosteroid dose, and the assessment of time-adjusted exacerbation rate to determine whether the patient has achieved or sustained an adequate response to non-PBS subsidised treatment, must be conducted immediately (no later than 4 weeks after the last dose of non-PBS-subsidised treatment) prior to this application if the treatment duration has been at least 28 weeks.</w:t>
            </w:r>
          </w:p>
          <w:p w14:paraId="39AA521E" w14:textId="77777777" w:rsidR="00952DED" w:rsidRPr="009475AF" w:rsidRDefault="00952DED" w:rsidP="00952DED">
            <w:pPr>
              <w:rPr>
                <w:rFonts w:ascii="Arial Narrow" w:hAnsi="Arial Narrow"/>
                <w:color w:val="333333"/>
                <w:sz w:val="20"/>
                <w:szCs w:val="20"/>
              </w:rPr>
            </w:pPr>
          </w:p>
          <w:p w14:paraId="561D29EE"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dose of PBS-subsidised treatment with this drug under this restriction so that there is adequate time for a response to be demonstrated and for the application for continuing therapy to be processed. </w:t>
            </w:r>
          </w:p>
          <w:p w14:paraId="37DE71EB" w14:textId="77777777" w:rsidR="00952DED" w:rsidRPr="009475AF" w:rsidRDefault="00952DED" w:rsidP="00952DED">
            <w:pPr>
              <w:rPr>
                <w:rFonts w:ascii="Arial Narrow" w:hAnsi="Arial Narrow"/>
                <w:sz w:val="20"/>
                <w:szCs w:val="20"/>
              </w:rPr>
            </w:pPr>
          </w:p>
          <w:p w14:paraId="6BC511C5"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 for this condition. </w:t>
            </w:r>
          </w:p>
          <w:p w14:paraId="0247A4C3" w14:textId="77777777" w:rsidR="00952DED" w:rsidRPr="009475AF" w:rsidRDefault="00952DED" w:rsidP="00952DED">
            <w:pPr>
              <w:rPr>
                <w:rFonts w:ascii="Arial Narrow" w:hAnsi="Arial Narrow"/>
                <w:sz w:val="20"/>
                <w:szCs w:val="20"/>
              </w:rPr>
            </w:pPr>
          </w:p>
          <w:p w14:paraId="1188796D" w14:textId="77777777" w:rsidR="00952DED" w:rsidRPr="009475AF" w:rsidRDefault="00952DED" w:rsidP="00952DED">
            <w:pPr>
              <w:rPr>
                <w:rFonts w:ascii="Arial Narrow" w:hAnsi="Arial Narrow"/>
                <w:sz w:val="20"/>
                <w:szCs w:val="20"/>
              </w:rPr>
            </w:pPr>
            <w:r w:rsidRPr="009475AF">
              <w:rPr>
                <w:rFonts w:ascii="Arial Narrow" w:hAnsi="Arial Narrow"/>
                <w:sz w:val="20"/>
                <w:szCs w:val="20"/>
              </w:rPr>
              <w:t xml:space="preserve">A patient who fails to demonstrate a response to treatment with this drug for this condition will not be eligible to receive further PBS-subsidised treatment with this drug for this condition within the same treatment cycle. </w:t>
            </w:r>
          </w:p>
          <w:p w14:paraId="3BA70100" w14:textId="77777777" w:rsidR="00952DED" w:rsidRPr="009475AF" w:rsidRDefault="00952DED" w:rsidP="00952DED">
            <w:pPr>
              <w:rPr>
                <w:rFonts w:ascii="Arial Narrow" w:hAnsi="Arial Narrow"/>
                <w:color w:val="333333"/>
                <w:sz w:val="20"/>
                <w:szCs w:val="20"/>
              </w:rPr>
            </w:pPr>
          </w:p>
          <w:p w14:paraId="7722A55A" w14:textId="653C118E" w:rsidR="00952DED" w:rsidRPr="009475AF" w:rsidRDefault="00952DED" w:rsidP="00CF25AF">
            <w:pPr>
              <w:rPr>
                <w:rFonts w:ascii="Arial Narrow" w:hAnsi="Arial Narrow"/>
                <w:color w:val="333333"/>
                <w:sz w:val="20"/>
                <w:szCs w:val="20"/>
              </w:rPr>
            </w:pPr>
            <w:r w:rsidRPr="009475AF">
              <w:rPr>
                <w:rFonts w:ascii="Arial Narrow" w:hAnsi="Arial Narrow"/>
                <w:color w:val="333333"/>
                <w:sz w:val="20"/>
                <w:szCs w:val="20"/>
              </w:rPr>
              <w:t>At the time of the authority application, medical practitioners should request the appropriate quantity and number of repeats to provide for a continuing course of dupilumab, sufficient for 24 weeks of therapy.</w:t>
            </w:r>
          </w:p>
        </w:tc>
      </w:tr>
      <w:tr w:rsidR="00952DED" w:rsidRPr="009475AF" w14:paraId="3A00C525"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D5E871" w14:textId="6CFF0D76"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9A9AF2E" w14:textId="77777777" w:rsidR="00952DED" w:rsidRPr="00B6228A" w:rsidRDefault="00952DED" w:rsidP="00952DED">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3DB24E1B"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The authority application must be made in writing and must include:</w:t>
            </w:r>
          </w:p>
          <w:p w14:paraId="7C6B25D7" w14:textId="77777777" w:rsidR="00952DED" w:rsidRPr="00480926" w:rsidRDefault="00952DED" w:rsidP="00952DED">
            <w:pPr>
              <w:rPr>
                <w:rFonts w:ascii="Arial Narrow" w:hAnsi="Arial Narrow"/>
                <w:sz w:val="20"/>
                <w:szCs w:val="20"/>
              </w:rPr>
            </w:pPr>
            <w:r w:rsidRPr="00480926">
              <w:rPr>
                <w:rFonts w:ascii="Arial Narrow" w:hAnsi="Arial Narrow"/>
                <w:sz w:val="20"/>
                <w:szCs w:val="20"/>
              </w:rPr>
              <w:t xml:space="preserve">(a) a completed authority prescription form; and </w:t>
            </w:r>
          </w:p>
          <w:p w14:paraId="0342F013" w14:textId="3597A69C" w:rsidR="00952DED" w:rsidRPr="009475AF" w:rsidRDefault="00952DED" w:rsidP="00952DED">
            <w:pPr>
              <w:rPr>
                <w:rFonts w:ascii="Arial Narrow" w:hAnsi="Arial Narrow"/>
                <w:b/>
                <w:bCs/>
                <w:color w:val="333333"/>
                <w:sz w:val="20"/>
                <w:szCs w:val="20"/>
              </w:rPr>
            </w:pPr>
            <w:r w:rsidRPr="00480926">
              <w:rPr>
                <w:rFonts w:ascii="Arial Narrow" w:hAnsi="Arial Narrow"/>
                <w:sz w:val="20"/>
                <w:szCs w:val="20"/>
              </w:rPr>
              <w:t xml:space="preserve">(b) a completed </w:t>
            </w:r>
            <w:r w:rsidRPr="00636F08">
              <w:rPr>
                <w:rFonts w:ascii="Arial Narrow" w:hAnsi="Arial Narrow"/>
                <w:sz w:val="20"/>
                <w:szCs w:val="20"/>
              </w:rPr>
              <w:t>authority application form relevant to the indication and</w:t>
            </w:r>
            <w:r w:rsidRPr="00480926">
              <w:rPr>
                <w:rFonts w:ascii="Arial Narrow" w:hAnsi="Arial Narrow"/>
                <w:i/>
                <w:iCs/>
                <w:sz w:val="20"/>
                <w:szCs w:val="20"/>
              </w:rPr>
              <w:t xml:space="preserve"> </w:t>
            </w:r>
            <w:r w:rsidRPr="00636F08">
              <w:rPr>
                <w:rFonts w:ascii="Arial Narrow" w:hAnsi="Arial Narrow"/>
                <w:sz w:val="20"/>
                <w:szCs w:val="20"/>
              </w:rPr>
              <w:t>treatment phase (the latest version is located on the website specified in the Administrative Advice)</w:t>
            </w:r>
            <w:r>
              <w:rPr>
                <w:rFonts w:ascii="Arial Narrow" w:hAnsi="Arial Narrow"/>
                <w:sz w:val="20"/>
                <w:szCs w:val="20"/>
              </w:rPr>
              <w:t>.</w:t>
            </w:r>
          </w:p>
        </w:tc>
      </w:tr>
      <w:tr w:rsidR="00952DED" w:rsidRPr="009475AF" w14:paraId="5090591C" w14:textId="77777777" w:rsidTr="00645BAC">
        <w:tblPrEx>
          <w:tblCellMar>
            <w:top w:w="15" w:type="dxa"/>
            <w:bottom w:w="15" w:type="dxa"/>
          </w:tblCellMar>
          <w:tblLook w:val="04A0" w:firstRow="1" w:lastRow="0" w:firstColumn="1" w:lastColumn="0" w:noHBand="0" w:noVBand="1"/>
        </w:tblPrEx>
        <w:trPr>
          <w:trHeight w:val="20"/>
        </w:trPr>
        <w:tc>
          <w:tcPr>
            <w:tcW w:w="1272" w:type="dxa"/>
            <w:gridSpan w:val="2"/>
            <w:vAlign w:val="center"/>
          </w:tcPr>
          <w:p w14:paraId="60A2D183" w14:textId="0FB466CD"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3CF4CAB5" w14:textId="77777777" w:rsidR="00952DED" w:rsidRPr="00B6228A" w:rsidRDefault="00952DED" w:rsidP="00952DED">
            <w:pPr>
              <w:rPr>
                <w:rFonts w:ascii="Arial Narrow" w:hAnsi="Arial Narrow"/>
                <w:sz w:val="20"/>
                <w:szCs w:val="20"/>
              </w:rPr>
            </w:pPr>
            <w:r w:rsidRPr="00480926">
              <w:rPr>
                <w:rFonts w:ascii="Arial Narrow" w:hAnsi="Arial Narrow"/>
                <w:b/>
                <w:bCs/>
                <w:color w:val="333333"/>
                <w:sz w:val="20"/>
                <w:szCs w:val="20"/>
              </w:rPr>
              <w:t xml:space="preserve">Prescribing Instructions: </w:t>
            </w:r>
          </w:p>
          <w:p w14:paraId="161164BD" w14:textId="77777777" w:rsidR="00952DED" w:rsidRDefault="00952DED" w:rsidP="00952DED">
            <w:pPr>
              <w:rPr>
                <w:rFonts w:ascii="Arial Narrow" w:hAnsi="Arial Narrow"/>
                <w:color w:val="333333"/>
                <w:sz w:val="20"/>
                <w:szCs w:val="20"/>
              </w:rPr>
            </w:pPr>
            <w:r>
              <w:rPr>
                <w:rFonts w:ascii="Arial Narrow" w:hAnsi="Arial Narrow"/>
                <w:color w:val="333333"/>
                <w:sz w:val="20"/>
                <w:szCs w:val="20"/>
              </w:rPr>
              <w:t>The following must be provided at the time of application and documented in the patient’s medical records:</w:t>
            </w:r>
          </w:p>
          <w:p w14:paraId="3452581D" w14:textId="77777777" w:rsidR="00952DED" w:rsidRPr="00636F08" w:rsidRDefault="00952DED" w:rsidP="00952DED">
            <w:pPr>
              <w:rPr>
                <w:rFonts w:ascii="Arial Narrow" w:hAnsi="Arial Narrow"/>
                <w:color w:val="333333"/>
                <w:sz w:val="20"/>
                <w:szCs w:val="20"/>
              </w:rPr>
            </w:pPr>
            <w:r w:rsidRPr="00636F08">
              <w:rPr>
                <w:rFonts w:ascii="Arial Narrow" w:hAnsi="Arial Narrow"/>
                <w:color w:val="333333"/>
                <w:sz w:val="20"/>
                <w:szCs w:val="20"/>
              </w:rPr>
              <w:t>(</w:t>
            </w:r>
            <w:r>
              <w:rPr>
                <w:rFonts w:ascii="Arial Narrow" w:hAnsi="Arial Narrow"/>
                <w:color w:val="333333"/>
                <w:sz w:val="20"/>
                <w:szCs w:val="20"/>
              </w:rPr>
              <w:t>a</w:t>
            </w:r>
            <w:r w:rsidRPr="00636F08">
              <w:rPr>
                <w:rFonts w:ascii="Arial Narrow" w:hAnsi="Arial Narrow"/>
                <w:color w:val="333333"/>
                <w:sz w:val="20"/>
                <w:szCs w:val="20"/>
              </w:rPr>
              <w:t xml:space="preserve">) prior optimised asthma drug therapy (date of commencement and duration of therapy); and </w:t>
            </w:r>
          </w:p>
          <w:p w14:paraId="560B25E1" w14:textId="77777777" w:rsidR="00952DED" w:rsidRPr="00636F08" w:rsidRDefault="00952DED" w:rsidP="00952DED">
            <w:r w:rsidRPr="00636F08">
              <w:rPr>
                <w:rFonts w:ascii="Arial Narrow" w:hAnsi="Arial Narrow"/>
                <w:sz w:val="20"/>
                <w:szCs w:val="20"/>
              </w:rPr>
              <w:t>(</w:t>
            </w:r>
            <w:r>
              <w:rPr>
                <w:rFonts w:ascii="Arial Narrow" w:hAnsi="Arial Narrow"/>
                <w:sz w:val="20"/>
                <w:szCs w:val="20"/>
              </w:rPr>
              <w:t>b</w:t>
            </w:r>
            <w:r w:rsidRPr="00636F08">
              <w:rPr>
                <w:rFonts w:ascii="Arial Narrow" w:hAnsi="Arial Narrow"/>
                <w:sz w:val="20"/>
                <w:szCs w:val="20"/>
              </w:rPr>
              <w:t xml:space="preserve">) IgE, blood eosinophils or fractional exhaled nitrous oxide results and date from prior to initiating non-PBS-subsidised treatment with this drug; and </w:t>
            </w:r>
          </w:p>
          <w:p w14:paraId="04B8FE4F" w14:textId="77777777" w:rsidR="00952DED" w:rsidRPr="00636F08" w:rsidRDefault="00952DED" w:rsidP="00952DED">
            <w:pPr>
              <w:rPr>
                <w:rFonts w:ascii="Arial Narrow" w:hAnsi="Arial Narrow"/>
                <w:color w:val="333333"/>
                <w:sz w:val="20"/>
                <w:szCs w:val="20"/>
              </w:rPr>
            </w:pPr>
            <w:r w:rsidRPr="00636F08">
              <w:rPr>
                <w:rFonts w:ascii="Arial Narrow" w:hAnsi="Arial Narrow"/>
                <w:color w:val="333333"/>
                <w:sz w:val="20"/>
                <w:szCs w:val="20"/>
              </w:rPr>
              <w:t>(</w:t>
            </w:r>
            <w:r>
              <w:rPr>
                <w:rFonts w:ascii="Arial Narrow" w:hAnsi="Arial Narrow"/>
                <w:color w:val="333333"/>
                <w:sz w:val="20"/>
                <w:szCs w:val="20"/>
              </w:rPr>
              <w:t>c</w:t>
            </w:r>
            <w:r w:rsidRPr="00636F08">
              <w:rPr>
                <w:rFonts w:ascii="Arial Narrow" w:hAnsi="Arial Narrow"/>
                <w:color w:val="333333"/>
                <w:sz w:val="20"/>
                <w:szCs w:val="20"/>
              </w:rPr>
              <w:t>)</w:t>
            </w:r>
            <w:r w:rsidRPr="00631AC9">
              <w:rPr>
                <w:rFonts w:ascii="Arial Narrow" w:hAnsi="Arial Narrow"/>
                <w:color w:val="333333"/>
                <w:sz w:val="20"/>
                <w:szCs w:val="20"/>
              </w:rPr>
              <w:t xml:space="preserve"> </w:t>
            </w:r>
            <w:r w:rsidRPr="00636F08">
              <w:rPr>
                <w:rFonts w:ascii="Arial Narrow" w:hAnsi="Arial Narrow"/>
                <w:color w:val="333333"/>
                <w:sz w:val="20"/>
                <w:szCs w:val="20"/>
              </w:rPr>
              <w:t>date of commencing non-PBS-subsidised treatment with this drug for this condition.</w:t>
            </w:r>
          </w:p>
          <w:p w14:paraId="4800E0CF" w14:textId="77777777" w:rsidR="00952DED" w:rsidRPr="00631AC9" w:rsidRDefault="00952DED" w:rsidP="00952DED">
            <w:pPr>
              <w:rPr>
                <w:rFonts w:ascii="Arial Narrow" w:hAnsi="Arial Narrow"/>
                <w:color w:val="333333"/>
                <w:sz w:val="20"/>
                <w:szCs w:val="20"/>
              </w:rPr>
            </w:pPr>
            <w:r w:rsidRPr="00636F08">
              <w:rPr>
                <w:rFonts w:ascii="Arial Narrow" w:hAnsi="Arial Narrow"/>
                <w:color w:val="333333"/>
                <w:sz w:val="20"/>
                <w:szCs w:val="20"/>
              </w:rPr>
              <w:t>(</w:t>
            </w:r>
            <w:r>
              <w:rPr>
                <w:rFonts w:ascii="Arial Narrow" w:hAnsi="Arial Narrow"/>
                <w:color w:val="333333"/>
                <w:sz w:val="20"/>
                <w:szCs w:val="20"/>
              </w:rPr>
              <w:t>d</w:t>
            </w:r>
            <w:r w:rsidRPr="00636F08">
              <w:rPr>
                <w:rFonts w:ascii="Arial Narrow" w:hAnsi="Arial Narrow"/>
                <w:color w:val="333333"/>
                <w:sz w:val="20"/>
                <w:szCs w:val="20"/>
              </w:rPr>
              <w:t>) If applicable,</w:t>
            </w:r>
            <w:r w:rsidRPr="00631AC9">
              <w:rPr>
                <w:rFonts w:ascii="Arial Narrow" w:hAnsi="Arial Narrow"/>
                <w:color w:val="333333"/>
                <w:sz w:val="20"/>
                <w:szCs w:val="20"/>
              </w:rPr>
              <w:t xml:space="preserve"> maintenance oral corticosteroid dose; and</w:t>
            </w:r>
          </w:p>
          <w:p w14:paraId="64BD434F" w14:textId="77777777" w:rsidR="00952DED" w:rsidRPr="00480926" w:rsidRDefault="00952DED" w:rsidP="00952DED">
            <w:pPr>
              <w:rPr>
                <w:rFonts w:ascii="Arial Narrow" w:hAnsi="Arial Narrow"/>
                <w:color w:val="333333"/>
                <w:sz w:val="20"/>
                <w:szCs w:val="20"/>
              </w:rPr>
            </w:pPr>
            <w:r w:rsidRPr="00E03571">
              <w:rPr>
                <w:rFonts w:ascii="Arial Narrow" w:hAnsi="Arial Narrow"/>
                <w:color w:val="333333"/>
                <w:sz w:val="20"/>
                <w:szCs w:val="20"/>
              </w:rPr>
              <w:t>(</w:t>
            </w:r>
            <w:r>
              <w:rPr>
                <w:rFonts w:ascii="Arial Narrow" w:hAnsi="Arial Narrow"/>
                <w:color w:val="333333"/>
                <w:sz w:val="20"/>
                <w:szCs w:val="20"/>
              </w:rPr>
              <w:t>e</w:t>
            </w:r>
            <w:r w:rsidRPr="00E03571">
              <w:rPr>
                <w:rFonts w:ascii="Arial Narrow" w:hAnsi="Arial Narrow"/>
                <w:color w:val="333333"/>
                <w:sz w:val="20"/>
                <w:szCs w:val="20"/>
              </w:rPr>
              <w:t xml:space="preserve">) </w:t>
            </w:r>
            <w:r w:rsidRPr="00636F08">
              <w:rPr>
                <w:rFonts w:ascii="Arial Narrow" w:hAnsi="Arial Narrow"/>
                <w:color w:val="333333"/>
                <w:sz w:val="20"/>
                <w:szCs w:val="20"/>
              </w:rPr>
              <w:t>the</w:t>
            </w:r>
            <w:r w:rsidRPr="00480926">
              <w:rPr>
                <w:rFonts w:ascii="Arial Narrow" w:hAnsi="Arial Narrow"/>
                <w:color w:val="333333"/>
                <w:sz w:val="20"/>
                <w:szCs w:val="20"/>
              </w:rPr>
              <w:t xml:space="preserve"> Asthma Control Questionnaire (ACQ-5) scores, including the date of assessment of the patient’s symptoms; or</w:t>
            </w:r>
          </w:p>
          <w:p w14:paraId="614C8B7E" w14:textId="4BCC0CEF" w:rsidR="00952DED" w:rsidRPr="009475AF" w:rsidRDefault="00952DED" w:rsidP="00952DED">
            <w:pPr>
              <w:rPr>
                <w:rFonts w:ascii="Arial Narrow" w:hAnsi="Arial Narrow"/>
                <w:b/>
                <w:bCs/>
                <w:color w:val="333333"/>
                <w:sz w:val="20"/>
                <w:szCs w:val="20"/>
              </w:rPr>
            </w:pPr>
            <w:r w:rsidRPr="00E03571">
              <w:rPr>
                <w:rFonts w:ascii="Arial Narrow" w:hAnsi="Arial Narrow"/>
                <w:color w:val="333333"/>
                <w:sz w:val="20"/>
                <w:szCs w:val="20"/>
              </w:rPr>
              <w:t>(</w:t>
            </w:r>
            <w:r>
              <w:rPr>
                <w:rFonts w:ascii="Arial Narrow" w:hAnsi="Arial Narrow"/>
                <w:color w:val="333333"/>
                <w:sz w:val="20"/>
                <w:szCs w:val="20"/>
              </w:rPr>
              <w:t>f</w:t>
            </w:r>
            <w:r w:rsidRPr="00E03571">
              <w:rPr>
                <w:rFonts w:ascii="Arial Narrow" w:hAnsi="Arial Narrow"/>
                <w:color w:val="333333"/>
                <w:sz w:val="20"/>
                <w:szCs w:val="20"/>
              </w:rPr>
              <w:t xml:space="preserve">) </w:t>
            </w:r>
            <w:r w:rsidRPr="00636F08">
              <w:rPr>
                <w:rFonts w:ascii="Arial Narrow" w:hAnsi="Arial Narrow"/>
                <w:color w:val="333333"/>
                <w:sz w:val="20"/>
                <w:szCs w:val="20"/>
              </w:rPr>
              <w:t>the</w:t>
            </w:r>
            <w:r w:rsidRPr="00480926">
              <w:rPr>
                <w:rFonts w:ascii="Arial Narrow" w:hAnsi="Arial Narrow"/>
                <w:color w:val="333333"/>
                <w:sz w:val="20"/>
                <w:szCs w:val="20"/>
              </w:rPr>
              <w:t xml:space="preserve"> Asthma Control Questionnaire interviewer administered version (ACQ-IA) scores, including the date of assessment of the patient’s symptoms.</w:t>
            </w:r>
          </w:p>
        </w:tc>
      </w:tr>
      <w:tr w:rsidR="00952DED" w:rsidRPr="009475AF" w14:paraId="15308DB3"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ECC487" w14:textId="16D86E90" w:rsidR="00952DED" w:rsidRPr="009475AF" w:rsidRDefault="00952DED" w:rsidP="00952DED">
            <w:pPr>
              <w:jc w:val="center"/>
              <w:rPr>
                <w:rFonts w:ascii="Arial Narrow" w:hAnsi="Arial Narrow"/>
                <w:color w:val="333333"/>
                <w:sz w:val="20"/>
                <w:szCs w:val="20"/>
              </w:rPr>
            </w:pPr>
          </w:p>
        </w:tc>
        <w:tc>
          <w:tcPr>
            <w:tcW w:w="7745" w:type="dxa"/>
            <w:gridSpan w:val="6"/>
            <w:vAlign w:val="center"/>
          </w:tcPr>
          <w:p w14:paraId="053C4AAF" w14:textId="77777777" w:rsidR="00952DED" w:rsidRPr="009475AF" w:rsidRDefault="00952DED" w:rsidP="00952DED">
            <w:pPr>
              <w:rPr>
                <w:rFonts w:ascii="Arial Narrow" w:hAnsi="Arial Narrow"/>
                <w:bCs/>
                <w:color w:val="FF0000"/>
                <w:sz w:val="20"/>
                <w:szCs w:val="20"/>
              </w:rPr>
            </w:pPr>
            <w:r w:rsidRPr="009475AF">
              <w:rPr>
                <w:rFonts w:ascii="Arial Narrow" w:hAnsi="Arial Narrow"/>
                <w:b/>
                <w:bCs/>
                <w:color w:val="333333"/>
                <w:sz w:val="20"/>
                <w:szCs w:val="20"/>
              </w:rPr>
              <w:t xml:space="preserve">Prescribing Instructions: </w:t>
            </w:r>
          </w:p>
          <w:p w14:paraId="7509D4AB" w14:textId="58408879" w:rsidR="00952DED" w:rsidRPr="009475AF" w:rsidRDefault="00952DED" w:rsidP="00952DED">
            <w:pPr>
              <w:rPr>
                <w:rFonts w:ascii="Arial Narrow" w:hAnsi="Arial Narrow"/>
                <w:color w:val="333333"/>
                <w:sz w:val="20"/>
                <w:szCs w:val="20"/>
              </w:rPr>
            </w:pPr>
            <w:r w:rsidRPr="009475AF">
              <w:rPr>
                <w:rFonts w:ascii="Arial Narrow" w:hAnsi="Arial Narrow"/>
                <w:color w:val="333333"/>
                <w:sz w:val="20"/>
                <w:szCs w:val="20"/>
              </w:rPr>
              <w:t>Patients may qualify for PBS-subsidised treatment under this restriction once only. For continuing PBS-subsidised treatment, a ‘Grandfathered’ patient must qualify under the ‘Continuing treatment’ criteria</w:t>
            </w:r>
            <w:r>
              <w:rPr>
                <w:rFonts w:ascii="Arial Narrow" w:hAnsi="Arial Narrow"/>
                <w:color w:val="333333"/>
                <w:sz w:val="20"/>
                <w:szCs w:val="20"/>
              </w:rPr>
              <w:t xml:space="preserve">. </w:t>
            </w:r>
          </w:p>
        </w:tc>
      </w:tr>
      <w:tr w:rsidR="0019072F" w:rsidRPr="009475AF" w14:paraId="08D29B6A"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8F8105" w14:textId="0816449C" w:rsidR="0019072F" w:rsidRPr="009475AF" w:rsidRDefault="0019072F" w:rsidP="0019072F">
            <w:pPr>
              <w:jc w:val="center"/>
              <w:rPr>
                <w:rFonts w:ascii="Arial Narrow" w:hAnsi="Arial Narrow"/>
                <w:color w:val="333333"/>
                <w:sz w:val="20"/>
                <w:szCs w:val="20"/>
              </w:rPr>
            </w:pPr>
          </w:p>
        </w:tc>
        <w:tc>
          <w:tcPr>
            <w:tcW w:w="7745" w:type="dxa"/>
            <w:gridSpan w:val="6"/>
            <w:vAlign w:val="center"/>
          </w:tcPr>
          <w:p w14:paraId="731C7BB4" w14:textId="77777777" w:rsidR="0019072F" w:rsidRPr="00480926" w:rsidRDefault="0019072F" w:rsidP="0019072F">
            <w:pPr>
              <w:rPr>
                <w:rFonts w:ascii="Arial Narrow" w:hAnsi="Arial Narrow"/>
                <w:bCs/>
                <w:color w:val="FF0000"/>
                <w:sz w:val="20"/>
                <w:szCs w:val="20"/>
              </w:rPr>
            </w:pPr>
            <w:r w:rsidRPr="00480926">
              <w:rPr>
                <w:rFonts w:ascii="Arial Narrow" w:hAnsi="Arial Narrow"/>
                <w:b/>
                <w:bCs/>
                <w:color w:val="333333"/>
                <w:sz w:val="20"/>
                <w:szCs w:val="20"/>
              </w:rPr>
              <w:t xml:space="preserve">Administrative Advice: </w:t>
            </w:r>
          </w:p>
          <w:p w14:paraId="2B557768" w14:textId="26C29B1C" w:rsidR="0019072F" w:rsidRPr="009475AF" w:rsidRDefault="0019072F" w:rsidP="0019072F">
            <w:pPr>
              <w:rPr>
                <w:rFonts w:ascii="Arial Narrow" w:hAnsi="Arial Narrow"/>
                <w:b/>
                <w:bCs/>
                <w:color w:val="333333"/>
                <w:sz w:val="20"/>
                <w:szCs w:val="20"/>
              </w:rPr>
            </w:pPr>
            <w:r w:rsidRPr="00636F08">
              <w:rPr>
                <w:rFonts w:ascii="Arial Narrow" w:hAnsi="Arial Narrow"/>
                <w:bCs/>
                <w:sz w:val="20"/>
                <w:szCs w:val="20"/>
              </w:rPr>
              <w:t xml:space="preserve">The Services Australia </w:t>
            </w:r>
            <w:r w:rsidRPr="0019072F">
              <w:rPr>
                <w:rFonts w:ascii="Arial Narrow" w:hAnsi="Arial Narrow"/>
                <w:bCs/>
                <w:sz w:val="20"/>
                <w:szCs w:val="20"/>
              </w:rPr>
              <w:t>website (</w:t>
            </w:r>
            <w:hyperlink r:id="rId26" w:history="1">
              <w:r w:rsidRPr="0019072F">
                <w:rPr>
                  <w:rStyle w:val="Hyperlink"/>
                  <w:rFonts w:ascii="Arial Narrow" w:hAnsi="Arial Narrow"/>
                  <w:bCs/>
                  <w:sz w:val="20"/>
                  <w:szCs w:val="20"/>
                </w:rPr>
                <w:t>www.servicesaustralia.gov.au</w:t>
              </w:r>
            </w:hyperlink>
            <w:r w:rsidRPr="0019072F">
              <w:rPr>
                <w:rFonts w:ascii="Arial Narrow" w:hAnsi="Arial Narrow"/>
                <w:bCs/>
                <w:sz w:val="20"/>
                <w:szCs w:val="20"/>
              </w:rPr>
              <w:t>)</w:t>
            </w:r>
            <w:r w:rsidRPr="00636F08">
              <w:rPr>
                <w:rFonts w:ascii="Arial Narrow" w:hAnsi="Arial Narrow"/>
                <w:bCs/>
                <w:sz w:val="20"/>
                <w:szCs w:val="20"/>
              </w:rPr>
              <w:t xml:space="preserve"> has details of the accepted toxicities, including severity, which will be accepted for the purposes of exempting a patient from the requirement of treatment with optimised asthma therapy. </w:t>
            </w:r>
          </w:p>
        </w:tc>
      </w:tr>
      <w:tr w:rsidR="0019072F" w:rsidRPr="009475AF" w14:paraId="2C963139" w14:textId="77777777" w:rsidTr="0028679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B8BCF6" w14:textId="5952D449" w:rsidR="0019072F" w:rsidRPr="009475AF" w:rsidRDefault="0019072F" w:rsidP="0019072F">
            <w:pPr>
              <w:jc w:val="center"/>
              <w:rPr>
                <w:rFonts w:ascii="Arial Narrow" w:hAnsi="Arial Narrow"/>
                <w:color w:val="333333"/>
                <w:sz w:val="20"/>
                <w:szCs w:val="20"/>
              </w:rPr>
            </w:pPr>
          </w:p>
        </w:tc>
        <w:tc>
          <w:tcPr>
            <w:tcW w:w="7745" w:type="dxa"/>
            <w:gridSpan w:val="6"/>
            <w:vAlign w:val="center"/>
          </w:tcPr>
          <w:p w14:paraId="0435CDF0" w14:textId="77777777" w:rsidR="0019072F" w:rsidRPr="009475AF" w:rsidRDefault="0019072F" w:rsidP="0019072F">
            <w:pPr>
              <w:rPr>
                <w:rFonts w:ascii="Arial Narrow" w:hAnsi="Arial Narrow"/>
                <w:b/>
                <w:bCs/>
                <w:color w:val="333333"/>
                <w:sz w:val="20"/>
                <w:szCs w:val="20"/>
              </w:rPr>
            </w:pPr>
            <w:r w:rsidRPr="009475AF">
              <w:rPr>
                <w:rFonts w:ascii="Arial Narrow" w:hAnsi="Arial Narrow"/>
                <w:b/>
                <w:bCs/>
                <w:color w:val="333333"/>
                <w:sz w:val="20"/>
                <w:szCs w:val="20"/>
              </w:rPr>
              <w:t>Administrative Advice:</w:t>
            </w:r>
          </w:p>
          <w:p w14:paraId="1F2A15E2" w14:textId="77777777" w:rsidR="0019072F" w:rsidRPr="009475AF" w:rsidRDefault="0019072F" w:rsidP="0019072F">
            <w:pPr>
              <w:rPr>
                <w:rFonts w:ascii="Arial Narrow" w:hAnsi="Arial Narrow"/>
                <w:color w:val="333333"/>
                <w:sz w:val="20"/>
                <w:szCs w:val="20"/>
              </w:rPr>
            </w:pPr>
            <w:r w:rsidRPr="009475AF">
              <w:rPr>
                <w:rFonts w:ascii="Arial Narrow" w:hAnsi="Arial Narrow"/>
                <w:color w:val="333333"/>
                <w:sz w:val="20"/>
                <w:szCs w:val="20"/>
              </w:rPr>
              <w:t xml:space="preserve">This grandfather restriction will cease to operate from 12 months after the date specified in the clinical criteria. </w:t>
            </w:r>
          </w:p>
        </w:tc>
      </w:tr>
    </w:tbl>
    <w:p w14:paraId="18EB0FCB" w14:textId="77777777" w:rsidR="00CA0F11" w:rsidRPr="009475AF" w:rsidRDefault="00CA0F11" w:rsidP="00CA0F11">
      <w:pPr>
        <w:rPr>
          <w:b/>
          <w:bCs/>
        </w:rPr>
      </w:pPr>
    </w:p>
    <w:p w14:paraId="0CC9A3CC" w14:textId="77777777" w:rsidR="00CA0F11" w:rsidRPr="009475AF" w:rsidRDefault="00CA0F11" w:rsidP="00CA0F11">
      <w:pPr>
        <w:rPr>
          <w:rFonts w:ascii="Arial Narrow" w:hAnsi="Arial Narrow"/>
        </w:rPr>
      </w:pPr>
      <w:r w:rsidRPr="009475AF">
        <w:rPr>
          <w:rFonts w:ascii="Arial Narrow" w:hAnsi="Arial Narrow"/>
        </w:rPr>
        <w:t>OVERARCHING ADMINISTRATIVE NOTE</w:t>
      </w:r>
    </w:p>
    <w:tbl>
      <w:tblPr>
        <w:tblStyle w:val="TableGrid"/>
        <w:tblW w:w="0" w:type="auto"/>
        <w:tblLook w:val="04A0" w:firstRow="1" w:lastRow="0" w:firstColumn="1" w:lastColumn="0" w:noHBand="0" w:noVBand="1"/>
        <w:tblCaption w:val="OVERARCHING ADMINISTRATIVE NOTE"/>
      </w:tblPr>
      <w:tblGrid>
        <w:gridCol w:w="1271"/>
        <w:gridCol w:w="7745"/>
      </w:tblGrid>
      <w:tr w:rsidR="00CA0F11" w:rsidRPr="009475AF" w14:paraId="57B4A13B" w14:textId="77777777" w:rsidTr="00286797">
        <w:tc>
          <w:tcPr>
            <w:tcW w:w="1271" w:type="dxa"/>
          </w:tcPr>
          <w:p w14:paraId="2E9D780E" w14:textId="59A6D686" w:rsidR="00CA0F11" w:rsidRPr="009475AF" w:rsidRDefault="00CA0F11" w:rsidP="00286797">
            <w:pPr>
              <w:rPr>
                <w:rFonts w:ascii="Arial Narrow" w:hAnsi="Arial Narrow"/>
              </w:rPr>
            </w:pPr>
          </w:p>
        </w:tc>
        <w:tc>
          <w:tcPr>
            <w:tcW w:w="7745" w:type="dxa"/>
            <w:vAlign w:val="center"/>
          </w:tcPr>
          <w:p w14:paraId="6A136FFC" w14:textId="77777777" w:rsidR="00CA0F11" w:rsidRPr="009475AF" w:rsidRDefault="00CA0F11" w:rsidP="00286797">
            <w:pPr>
              <w:rPr>
                <w:rFonts w:ascii="Arial Narrow" w:hAnsi="Arial Narrow"/>
                <w:color w:val="333333"/>
                <w:sz w:val="20"/>
                <w:szCs w:val="20"/>
              </w:rPr>
            </w:pPr>
            <w:r w:rsidRPr="009475AF">
              <w:rPr>
                <w:rFonts w:ascii="Arial Narrow" w:hAnsi="Arial Narrow"/>
                <w:b/>
                <w:bCs/>
                <w:color w:val="333333"/>
                <w:sz w:val="20"/>
                <w:szCs w:val="20"/>
              </w:rPr>
              <w:t>Administrative Advice:</w:t>
            </w:r>
          </w:p>
          <w:p w14:paraId="06BC1644" w14:textId="53EBD2AE" w:rsidR="00CA0F11" w:rsidRPr="009475AF" w:rsidRDefault="00CA0F11" w:rsidP="00286797">
            <w:pPr>
              <w:rPr>
                <w:rFonts w:ascii="Arial Narrow" w:hAnsi="Arial Narrow"/>
                <w:sz w:val="20"/>
                <w:szCs w:val="20"/>
              </w:rPr>
            </w:pPr>
            <w:r w:rsidRPr="009475AF">
              <w:rPr>
                <w:rFonts w:ascii="Arial Narrow" w:hAnsi="Arial Narrow"/>
                <w:sz w:val="20"/>
                <w:szCs w:val="20"/>
              </w:rPr>
              <w:t>TREATMENT OF PAEDIATRIC PATIENTS WITH UNCONTROLLED SEVERE ASTHMA</w:t>
            </w:r>
            <w:r w:rsidR="00585A3D" w:rsidRPr="009475AF">
              <w:rPr>
                <w:rFonts w:ascii="Arial Narrow" w:hAnsi="Arial Narrow"/>
                <w:sz w:val="20"/>
                <w:szCs w:val="20"/>
              </w:rPr>
              <w:t xml:space="preserve"> </w:t>
            </w:r>
            <w:r w:rsidR="0019072F">
              <w:rPr>
                <w:rFonts w:ascii="Arial Narrow" w:hAnsi="Arial Narrow"/>
                <w:sz w:val="20"/>
                <w:szCs w:val="20"/>
              </w:rPr>
              <w:t>AND UNCONTROLLED SEVERE ALLERGIC ASTHMA</w:t>
            </w:r>
          </w:p>
          <w:p w14:paraId="78AEE64C" w14:textId="77777777" w:rsidR="00CA0F11" w:rsidRPr="009475AF" w:rsidRDefault="00CA0F11" w:rsidP="00286797">
            <w:pPr>
              <w:rPr>
                <w:rFonts w:ascii="Arial Narrow" w:hAnsi="Arial Narrow"/>
                <w:sz w:val="20"/>
                <w:szCs w:val="20"/>
              </w:rPr>
            </w:pPr>
          </w:p>
          <w:p w14:paraId="68C5E945" w14:textId="203B5E18"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following information applies to the prescribing under the Pharmaceutical Benefits Scheme (PBS) of the biological medicines </w:t>
            </w:r>
            <w:r w:rsidRPr="00784926">
              <w:rPr>
                <w:rFonts w:ascii="Arial Narrow" w:hAnsi="Arial Narrow"/>
                <w:sz w:val="20"/>
                <w:szCs w:val="20"/>
              </w:rPr>
              <w:t>dupilumab for uncontrolled severe asthma</w:t>
            </w:r>
            <w:r w:rsidR="00585A3D" w:rsidRPr="00784926">
              <w:rPr>
                <w:rFonts w:ascii="Arial Narrow" w:hAnsi="Arial Narrow"/>
                <w:sz w:val="20"/>
                <w:szCs w:val="20"/>
              </w:rPr>
              <w:t xml:space="preserve"> and omalizumab for uncontrolled severe allergic asthma</w:t>
            </w:r>
            <w:r w:rsidRPr="00784926">
              <w:rPr>
                <w:rFonts w:ascii="Arial Narrow" w:hAnsi="Arial Narrow"/>
                <w:sz w:val="20"/>
                <w:szCs w:val="20"/>
              </w:rPr>
              <w:t>.</w:t>
            </w:r>
            <w:r w:rsidRPr="009475AF">
              <w:rPr>
                <w:rFonts w:ascii="Arial Narrow" w:hAnsi="Arial Narrow"/>
                <w:sz w:val="20"/>
                <w:szCs w:val="20"/>
              </w:rPr>
              <w:t xml:space="preserve"> Therefore, where the term ‘biological medicine’ appears in notes and restrictions, it refers to dupilumab and omalizumab only. </w:t>
            </w:r>
          </w:p>
          <w:p w14:paraId="0B92D90E" w14:textId="77777777" w:rsidR="00CA0F11" w:rsidRPr="009475AF" w:rsidRDefault="00CA0F11" w:rsidP="00286797">
            <w:pPr>
              <w:rPr>
                <w:rFonts w:ascii="Arial Narrow" w:hAnsi="Arial Narrow"/>
                <w:sz w:val="20"/>
                <w:szCs w:val="20"/>
              </w:rPr>
            </w:pPr>
          </w:p>
          <w:p w14:paraId="1B9DB186" w14:textId="1CDBA1E2" w:rsidR="00CA0F11" w:rsidRPr="009475AF" w:rsidRDefault="00CA0F11" w:rsidP="00286797">
            <w:pPr>
              <w:rPr>
                <w:rFonts w:ascii="Arial Narrow" w:hAnsi="Arial Narrow"/>
                <w:sz w:val="20"/>
                <w:szCs w:val="20"/>
              </w:rPr>
            </w:pPr>
            <w:r w:rsidRPr="009475AF">
              <w:rPr>
                <w:rFonts w:ascii="Arial Narrow" w:hAnsi="Arial Narrow"/>
                <w:sz w:val="20"/>
                <w:szCs w:val="20"/>
              </w:rPr>
              <w:t>A patient is eligible for PBS-subsidised treatment with only 1 of the above biological medicine at any one time.</w:t>
            </w:r>
          </w:p>
          <w:p w14:paraId="0BB02771" w14:textId="77777777" w:rsidR="00CA0F11" w:rsidRPr="009475AF" w:rsidRDefault="00CA0F11" w:rsidP="00286797">
            <w:pPr>
              <w:rPr>
                <w:rFonts w:ascii="Arial Narrow" w:hAnsi="Arial Narrow"/>
                <w:sz w:val="20"/>
                <w:szCs w:val="20"/>
              </w:rPr>
            </w:pPr>
          </w:p>
          <w:p w14:paraId="7FE5D1A5" w14:textId="32303076"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patient receiving PBS-subsidised treatment for uncontrolled severe asthma </w:t>
            </w:r>
            <w:r w:rsidR="0019072F">
              <w:rPr>
                <w:rFonts w:ascii="Arial Narrow" w:hAnsi="Arial Narrow"/>
                <w:sz w:val="20"/>
                <w:szCs w:val="20"/>
              </w:rPr>
              <w:t xml:space="preserve">or uncontrolled severe allergic asthma </w:t>
            </w:r>
            <w:r w:rsidRPr="009475AF">
              <w:rPr>
                <w:rFonts w:ascii="Arial Narrow" w:hAnsi="Arial Narrow"/>
                <w:sz w:val="20"/>
                <w:szCs w:val="20"/>
              </w:rPr>
              <w:t xml:space="preserve">is able to commence a treatment cycle where they may trial a biological medicine without having to experience a disease flare when swapping to an alternate biological medicine within the same treatment cycle. </w:t>
            </w:r>
          </w:p>
          <w:p w14:paraId="2EA89E9A" w14:textId="77777777" w:rsidR="00CA0F11" w:rsidRPr="009475AF" w:rsidRDefault="00CA0F11" w:rsidP="00286797">
            <w:pPr>
              <w:rPr>
                <w:rFonts w:ascii="Arial Narrow" w:hAnsi="Arial Narrow"/>
                <w:sz w:val="20"/>
                <w:szCs w:val="20"/>
              </w:rPr>
            </w:pPr>
          </w:p>
          <w:p w14:paraId="15D956EF"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Under these arrangements, within a treatment cycle, a patient may receive long-term treatment with a biological medicine as long as they sustain a response to therapy.</w:t>
            </w:r>
          </w:p>
          <w:p w14:paraId="4DE8D242" w14:textId="77777777" w:rsidR="00CA0F11" w:rsidRPr="009475AF" w:rsidRDefault="00CA0F11" w:rsidP="00286797">
            <w:pPr>
              <w:rPr>
                <w:rFonts w:ascii="Arial Narrow" w:hAnsi="Arial Narrow"/>
                <w:sz w:val="20"/>
                <w:szCs w:val="20"/>
              </w:rPr>
            </w:pPr>
          </w:p>
          <w:p w14:paraId="77D71A18"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patient currently receiving PBS-subsidised treatment as of [dupilumab list date] is considered to have started a cycle of treatment. </w:t>
            </w:r>
          </w:p>
          <w:p w14:paraId="12110F0C" w14:textId="77777777" w:rsidR="00CA0F11" w:rsidRPr="009475AF" w:rsidRDefault="00CA0F11" w:rsidP="00286797">
            <w:pPr>
              <w:rPr>
                <w:rFonts w:ascii="Arial Narrow" w:hAnsi="Arial Narrow"/>
                <w:sz w:val="20"/>
                <w:szCs w:val="20"/>
              </w:rPr>
            </w:pPr>
          </w:p>
          <w:p w14:paraId="337AEA72" w14:textId="7EA0EC0D" w:rsidR="00CA0F11" w:rsidRPr="009475AF" w:rsidRDefault="00CA0F11" w:rsidP="00286797">
            <w:pPr>
              <w:rPr>
                <w:rFonts w:ascii="Arial Narrow" w:hAnsi="Arial Narrow"/>
                <w:sz w:val="20"/>
                <w:szCs w:val="20"/>
              </w:rPr>
            </w:pPr>
            <w:r w:rsidRPr="009475AF">
              <w:rPr>
                <w:rFonts w:ascii="Arial Narrow" w:hAnsi="Arial Narrow"/>
                <w:sz w:val="20"/>
                <w:szCs w:val="20"/>
              </w:rPr>
              <w:t>Within the same treatment cycle, a patient cannot trial and fail, or cease to respond to the same PBS-subsidised biological more than once</w:t>
            </w:r>
            <w:r w:rsidR="009475AF">
              <w:rPr>
                <w:rFonts w:ascii="Arial Narrow" w:hAnsi="Arial Narrow"/>
                <w:sz w:val="20"/>
                <w:szCs w:val="20"/>
              </w:rPr>
              <w:t xml:space="preserve">. </w:t>
            </w:r>
          </w:p>
          <w:p w14:paraId="0D80DBE7" w14:textId="77777777" w:rsidR="00CA0F11" w:rsidRPr="009475AF" w:rsidRDefault="00CA0F11" w:rsidP="00286797">
            <w:pPr>
              <w:rPr>
                <w:rFonts w:ascii="Arial Narrow" w:hAnsi="Arial Narrow"/>
                <w:sz w:val="20"/>
                <w:szCs w:val="20"/>
              </w:rPr>
            </w:pPr>
          </w:p>
          <w:p w14:paraId="2380E125"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Therefore, once a patient fails to meet the response criteria for a PBS-subsidised biological medicine, they must change to an alternate biological medicine if they wish to continue PBS-subsidised biological treatment. </w:t>
            </w:r>
          </w:p>
          <w:p w14:paraId="224A1312" w14:textId="77777777" w:rsidR="00CA0F11" w:rsidRPr="009475AF" w:rsidRDefault="00CA0F11" w:rsidP="00286797">
            <w:pPr>
              <w:rPr>
                <w:rFonts w:ascii="Arial Narrow" w:hAnsi="Arial Narrow"/>
                <w:sz w:val="20"/>
                <w:szCs w:val="20"/>
              </w:rPr>
            </w:pPr>
          </w:p>
          <w:p w14:paraId="0ECA7016" w14:textId="20F228CB" w:rsidR="00CA0F11" w:rsidRPr="009475AF" w:rsidRDefault="00CA0F11" w:rsidP="00286797">
            <w:pPr>
              <w:rPr>
                <w:rFonts w:ascii="Arial Narrow" w:hAnsi="Arial Narrow"/>
                <w:sz w:val="20"/>
                <w:szCs w:val="20"/>
              </w:rPr>
            </w:pPr>
            <w:r w:rsidRPr="009475AF">
              <w:rPr>
                <w:rFonts w:ascii="Arial Narrow" w:hAnsi="Arial Narrow"/>
                <w:sz w:val="20"/>
                <w:szCs w:val="20"/>
              </w:rPr>
              <w:t xml:space="preserve">Once a patient has either failed to achieve or sustain a response to treatment 2 times, they are deemed to have completed a single treatment cycle. They must have at least a </w:t>
            </w:r>
            <w:r w:rsidR="0019072F">
              <w:rPr>
                <w:rFonts w:ascii="Arial Narrow" w:hAnsi="Arial Narrow"/>
                <w:sz w:val="20"/>
                <w:szCs w:val="20"/>
              </w:rPr>
              <w:t>12</w:t>
            </w:r>
            <w:r w:rsidRPr="009475AF">
              <w:rPr>
                <w:rFonts w:ascii="Arial Narrow" w:hAnsi="Arial Narrow"/>
                <w:sz w:val="20"/>
                <w:szCs w:val="20"/>
              </w:rPr>
              <w:t xml:space="preserve">-month break in PBS-subsidised biological medicine therapy before they are eligible to recommence another new treatment cycle [further details are under ‘Recommencement of treatment after a break in PBS-subsidised therapy’ below]. </w:t>
            </w:r>
          </w:p>
          <w:p w14:paraId="073AA79B" w14:textId="77777777" w:rsidR="00CA0F11" w:rsidRPr="009475AF" w:rsidRDefault="00CA0F11" w:rsidP="00286797">
            <w:pPr>
              <w:rPr>
                <w:rFonts w:ascii="Arial Narrow" w:hAnsi="Arial Narrow"/>
                <w:sz w:val="20"/>
                <w:szCs w:val="20"/>
              </w:rPr>
            </w:pPr>
          </w:p>
          <w:p w14:paraId="703C8DD8"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The length of the break in therapy is measured from the date the most recent treatment with a PBS-subsidised biological medicine is ceased until the date of the first application for recommencement of treatment with a biological medicine under the new treatment cycle. </w:t>
            </w:r>
          </w:p>
          <w:p w14:paraId="5E1A7B92" w14:textId="77777777" w:rsidR="00CA0F11" w:rsidRPr="009475AF" w:rsidRDefault="00CA0F11" w:rsidP="00286797">
            <w:pPr>
              <w:rPr>
                <w:rFonts w:ascii="Arial Narrow" w:hAnsi="Arial Narrow"/>
                <w:sz w:val="20"/>
                <w:szCs w:val="20"/>
              </w:rPr>
            </w:pPr>
          </w:p>
          <w:p w14:paraId="390383A7"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There is no limit to the number of treatment cycles that a patient may undertake in their lifetime.</w:t>
            </w:r>
          </w:p>
          <w:p w14:paraId="56DE81EC" w14:textId="77777777" w:rsidR="00CA0F11" w:rsidRPr="009475AF" w:rsidRDefault="00CA0F11" w:rsidP="00286797">
            <w:pPr>
              <w:rPr>
                <w:rFonts w:ascii="Arial Narrow" w:hAnsi="Arial Narrow"/>
                <w:sz w:val="20"/>
                <w:szCs w:val="20"/>
              </w:rPr>
            </w:pPr>
          </w:p>
          <w:p w14:paraId="312B15EC" w14:textId="0D197409" w:rsidR="00CA0F11" w:rsidRPr="009475AF" w:rsidRDefault="00CA0F11" w:rsidP="00286797">
            <w:pPr>
              <w:rPr>
                <w:rFonts w:ascii="Arial Narrow" w:hAnsi="Arial Narrow"/>
                <w:sz w:val="20"/>
                <w:szCs w:val="20"/>
              </w:rPr>
            </w:pPr>
            <w:r w:rsidRPr="009475AF">
              <w:rPr>
                <w:rFonts w:ascii="Arial Narrow" w:hAnsi="Arial Narrow"/>
                <w:sz w:val="20"/>
                <w:szCs w:val="20"/>
              </w:rPr>
              <w:t>How to prescribe PBS-subsidised biological medicine treatment for uncontrolled severe</w:t>
            </w:r>
            <w:r w:rsidR="00D567FB" w:rsidRPr="009475AF">
              <w:rPr>
                <w:rFonts w:ascii="Arial Narrow" w:hAnsi="Arial Narrow"/>
                <w:sz w:val="20"/>
                <w:szCs w:val="20"/>
              </w:rPr>
              <w:t xml:space="preserve"> asthma</w:t>
            </w:r>
            <w:r w:rsidR="0019072F">
              <w:rPr>
                <w:rFonts w:ascii="Arial Narrow" w:hAnsi="Arial Narrow"/>
                <w:sz w:val="20"/>
                <w:szCs w:val="20"/>
              </w:rPr>
              <w:t>/uncontrolled severe allergic asthma</w:t>
            </w:r>
            <w:r w:rsidRPr="009475AF">
              <w:rPr>
                <w:rFonts w:ascii="Arial Narrow" w:hAnsi="Arial Narrow"/>
                <w:sz w:val="20"/>
                <w:szCs w:val="20"/>
              </w:rPr>
              <w:t>.</w:t>
            </w:r>
          </w:p>
          <w:p w14:paraId="5CF4DABF" w14:textId="77777777" w:rsidR="00CA0F11" w:rsidRPr="009475AF" w:rsidRDefault="00CA0F11" w:rsidP="00286797">
            <w:pPr>
              <w:rPr>
                <w:rFonts w:ascii="Arial Narrow" w:hAnsi="Arial Narrow"/>
                <w:sz w:val="20"/>
                <w:szCs w:val="20"/>
              </w:rPr>
            </w:pPr>
          </w:p>
          <w:p w14:paraId="3878AD53"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(1) Initial treatment:</w:t>
            </w:r>
          </w:p>
          <w:p w14:paraId="089E1E20"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Applications for initial treatment should be made where:</w:t>
            </w:r>
          </w:p>
          <w:p w14:paraId="34F6645A"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 a patient has not received prior PBS-subsidised biological medicine treatment and wishes to commence such therapy (Initial 1 restriction); or </w:t>
            </w:r>
          </w:p>
          <w:p w14:paraId="6B74A968"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(ii) a patient has received prior PBS-subsidised treatment with a biological medicine and wishes to recommence a new treatment cycle with this biological medicine following a treatment break in PBS-subsidised therapy (Initial 1 restriction); or </w:t>
            </w:r>
          </w:p>
          <w:p w14:paraId="7593FD61"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496C6328" w14:textId="77777777" w:rsidR="00CA0F11" w:rsidRPr="009475AF" w:rsidRDefault="00CA0F11" w:rsidP="00286797">
            <w:pPr>
              <w:rPr>
                <w:rFonts w:ascii="Arial Narrow" w:hAnsi="Arial Narrow"/>
                <w:sz w:val="20"/>
                <w:szCs w:val="20"/>
              </w:rPr>
            </w:pPr>
          </w:p>
          <w:p w14:paraId="5E24C52E" w14:textId="7BAAD358"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All applications for initial treatment will be limited to provide for a maximum of 32 weeks of therapy </w:t>
            </w:r>
            <w:r w:rsidR="00E84671" w:rsidRPr="009475AF">
              <w:rPr>
                <w:rFonts w:ascii="Arial Narrow" w:hAnsi="Arial Narrow"/>
                <w:sz w:val="20"/>
                <w:szCs w:val="20"/>
              </w:rPr>
              <w:t xml:space="preserve">of </w:t>
            </w:r>
            <w:r w:rsidR="00E84671">
              <w:rPr>
                <w:rFonts w:ascii="Arial Narrow" w:hAnsi="Arial Narrow"/>
                <w:sz w:val="20"/>
                <w:szCs w:val="20"/>
              </w:rPr>
              <w:t>dupilumab</w:t>
            </w:r>
            <w:r w:rsidR="0019072F">
              <w:rPr>
                <w:rFonts w:ascii="Arial Narrow" w:hAnsi="Arial Narrow"/>
                <w:sz w:val="20"/>
                <w:szCs w:val="20"/>
              </w:rPr>
              <w:t xml:space="preserve"> and a maximum of 28 weeks of therapy of omalizumab</w:t>
            </w:r>
            <w:r w:rsidRPr="009475AF">
              <w:rPr>
                <w:rFonts w:ascii="Arial Narrow" w:hAnsi="Arial Narrow"/>
                <w:sz w:val="20"/>
                <w:szCs w:val="20"/>
              </w:rPr>
              <w:t xml:space="preserve">. It is recommended that a patient be reviewed in the month prior to completing their course of initial treatment to ensure uninterrupted biological medicine supply. </w:t>
            </w:r>
          </w:p>
          <w:p w14:paraId="43AD52C6" w14:textId="77777777" w:rsidR="00CA0F11" w:rsidRPr="009475AF" w:rsidRDefault="00CA0F11" w:rsidP="00286797">
            <w:pPr>
              <w:rPr>
                <w:rFonts w:ascii="Arial Narrow" w:hAnsi="Arial Narrow"/>
                <w:sz w:val="20"/>
                <w:szCs w:val="20"/>
              </w:rPr>
            </w:pPr>
          </w:p>
          <w:p w14:paraId="6B4D4055"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(2) Continuing treatment:</w:t>
            </w:r>
          </w:p>
          <w:p w14:paraId="0DA9E4E2"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 </w:t>
            </w:r>
          </w:p>
          <w:p w14:paraId="49BE6A13" w14:textId="77777777" w:rsidR="00CA0F11" w:rsidRPr="009475AF" w:rsidRDefault="00CA0F11" w:rsidP="00286797">
            <w:pPr>
              <w:rPr>
                <w:rFonts w:ascii="Arial Narrow" w:hAnsi="Arial Narrow"/>
                <w:sz w:val="20"/>
                <w:szCs w:val="20"/>
              </w:rPr>
            </w:pPr>
          </w:p>
          <w:p w14:paraId="28F828AE"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(3) Baseline measurements to determine response:</w:t>
            </w:r>
          </w:p>
          <w:p w14:paraId="533D6384"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Baseline measurements of the Asthma Control Questionnaire (ACQ, ACQ-IA; 5 item version), systemic corticosteroid dose and time adjusted exacerbation rate, submitted with the Initial authority application for a biological medicine must be used to determine whether an adequate response to treatment has been achieved or sustained. </w:t>
            </w:r>
          </w:p>
          <w:p w14:paraId="751FA3A7"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However, prescribers may provide new baseline measurements when a new Initial treatment authority application is submitted and these new baseline measurements may be used to assess response. </w:t>
            </w:r>
          </w:p>
          <w:p w14:paraId="59D642AA" w14:textId="77777777" w:rsidR="00CA0F11" w:rsidRPr="009475AF" w:rsidRDefault="00CA0F11" w:rsidP="00286797">
            <w:pPr>
              <w:rPr>
                <w:rFonts w:ascii="Arial Narrow" w:hAnsi="Arial Narrow"/>
                <w:sz w:val="20"/>
                <w:szCs w:val="20"/>
              </w:rPr>
            </w:pPr>
          </w:p>
          <w:p w14:paraId="0BC85D7C"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(4) Swapping therapy within the same treatment cycle. </w:t>
            </w:r>
          </w:p>
          <w:p w14:paraId="20B71CD7" w14:textId="6CF47C18" w:rsidR="00CA0F11" w:rsidRPr="009475AF" w:rsidRDefault="00CA0F11" w:rsidP="00286797">
            <w:pPr>
              <w:rPr>
                <w:rFonts w:ascii="Arial Narrow" w:hAnsi="Arial Narrow"/>
                <w:sz w:val="20"/>
                <w:szCs w:val="20"/>
              </w:rPr>
            </w:pPr>
            <w:r w:rsidRPr="009475AF">
              <w:rPr>
                <w:rFonts w:ascii="Arial Narrow" w:hAnsi="Arial Narrow"/>
                <w:sz w:val="20"/>
                <w:szCs w:val="20"/>
              </w:rPr>
              <w:t>Once initial treatment with the first PBS-subsided biological medicine is approved, a patient may swap to an alternate biological medicine at any time by qualifying under an Initial 2 restriction</w:t>
            </w:r>
            <w:r w:rsidR="0019072F">
              <w:rPr>
                <w:rFonts w:ascii="Arial Narrow" w:hAnsi="Arial Narrow"/>
                <w:sz w:val="20"/>
                <w:szCs w:val="20"/>
              </w:rPr>
              <w:t>, provided they meet all of the restriction criteria</w:t>
            </w:r>
            <w:r w:rsidRPr="009475AF">
              <w:rPr>
                <w:rFonts w:ascii="Arial Narrow" w:hAnsi="Arial Narrow"/>
                <w:sz w:val="20"/>
                <w:szCs w:val="20"/>
              </w:rPr>
              <w:t xml:space="preserve">. </w:t>
            </w:r>
          </w:p>
          <w:p w14:paraId="2BDA1FD3" w14:textId="77777777" w:rsidR="00CA0F11" w:rsidRPr="009475AF" w:rsidRDefault="00CA0F11" w:rsidP="00286797">
            <w:pPr>
              <w:rPr>
                <w:rFonts w:ascii="Arial Narrow" w:hAnsi="Arial Narrow"/>
                <w:sz w:val="20"/>
                <w:szCs w:val="20"/>
              </w:rPr>
            </w:pPr>
          </w:p>
          <w:p w14:paraId="6A03B293"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However, they cannot swap to a particular biological medicine if they have failed to respond to prior treatment with that drug with the same treatment cycle. </w:t>
            </w:r>
          </w:p>
          <w:p w14:paraId="2AE691D6" w14:textId="77777777" w:rsidR="00CA0F11" w:rsidRPr="009475AF" w:rsidRDefault="00CA0F11" w:rsidP="00286797">
            <w:pPr>
              <w:rPr>
                <w:rFonts w:ascii="Arial Narrow" w:hAnsi="Arial Narrow"/>
                <w:sz w:val="20"/>
                <w:szCs w:val="20"/>
              </w:rPr>
            </w:pPr>
          </w:p>
          <w:p w14:paraId="6A758FD0"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Within the same treatment cycle a patient may alternate between therapy with either biological medicine of their choice (1 at a time) providing:</w:t>
            </w:r>
          </w:p>
          <w:p w14:paraId="3B1B0CEF"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 they have not received PBS-subsided treatment with that particular biological medicine previously; or </w:t>
            </w:r>
          </w:p>
          <w:p w14:paraId="17CBF5A8"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 xml:space="preserve">(ii) they have demonstrated an adequate response to that particular biological medicine if they have previously trialled it on the PBS; and </w:t>
            </w:r>
          </w:p>
          <w:p w14:paraId="069BF6CA" w14:textId="5B13CFEF" w:rsidR="00CA0F11" w:rsidRPr="009475AF" w:rsidRDefault="00CA0F11" w:rsidP="00286797">
            <w:pPr>
              <w:rPr>
                <w:rFonts w:ascii="Arial Narrow" w:hAnsi="Arial Narrow"/>
                <w:sz w:val="20"/>
                <w:szCs w:val="20"/>
              </w:rPr>
            </w:pPr>
            <w:r w:rsidRPr="009475AF">
              <w:rPr>
                <w:rFonts w:ascii="Arial Narrow" w:hAnsi="Arial Narrow"/>
                <w:sz w:val="20"/>
                <w:szCs w:val="20"/>
              </w:rPr>
              <w:t>(iii) they have not previously failed to respond to treatment with either 2 biological medicines in this treatment cycle</w:t>
            </w:r>
            <w:r w:rsidR="009475AF">
              <w:rPr>
                <w:rFonts w:ascii="Arial Narrow" w:hAnsi="Arial Narrow"/>
                <w:sz w:val="20"/>
                <w:szCs w:val="20"/>
              </w:rPr>
              <w:t xml:space="preserve">. </w:t>
            </w:r>
          </w:p>
          <w:p w14:paraId="2857652C" w14:textId="77777777" w:rsidR="00CA0F11" w:rsidRPr="009475AF" w:rsidRDefault="00CA0F11" w:rsidP="00286797">
            <w:pPr>
              <w:rPr>
                <w:rFonts w:ascii="Arial Narrow" w:hAnsi="Arial Narrow"/>
                <w:sz w:val="20"/>
                <w:szCs w:val="20"/>
              </w:rPr>
            </w:pPr>
          </w:p>
          <w:p w14:paraId="3BD10EE5"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(5) Re-commencement of a new treatment cycle after a treatment break in PBS-subsidised therapy:</w:t>
            </w:r>
          </w:p>
          <w:p w14:paraId="5E352CB9" w14:textId="68923928" w:rsidR="00CA0F11" w:rsidRPr="009475AF" w:rsidRDefault="00CA0F11" w:rsidP="00286797">
            <w:pPr>
              <w:rPr>
                <w:rFonts w:ascii="Arial Narrow" w:hAnsi="Arial Narrow"/>
                <w:sz w:val="20"/>
                <w:szCs w:val="20"/>
              </w:rPr>
            </w:pPr>
            <w:r w:rsidRPr="009475AF">
              <w:rPr>
                <w:rFonts w:ascii="Arial Narrow" w:hAnsi="Arial Narrow"/>
                <w:sz w:val="20"/>
                <w:szCs w:val="20"/>
              </w:rPr>
              <w:t xml:space="preserve">A patient who wishes to trial a second or subsequent new treatment cycle, following a break in PBS-subsidised therapy of at least </w:t>
            </w:r>
            <w:r w:rsidR="0019072F">
              <w:rPr>
                <w:rFonts w:ascii="Arial Narrow" w:hAnsi="Arial Narrow"/>
                <w:sz w:val="20"/>
                <w:szCs w:val="20"/>
              </w:rPr>
              <w:t>12</w:t>
            </w:r>
            <w:r w:rsidRPr="009475AF">
              <w:rPr>
                <w:rFonts w:ascii="Arial Narrow" w:hAnsi="Arial Narrow"/>
                <w:sz w:val="20"/>
                <w:szCs w:val="20"/>
              </w:rPr>
              <w:t xml:space="preserve"> months (in patients who have failed to achieve or ceased to sustain a response to treatment 2 times within a treatment cycle), must re-qualify through an Initial 1 restriction. </w:t>
            </w:r>
          </w:p>
          <w:p w14:paraId="3901A4A0" w14:textId="77777777" w:rsidR="00CA0F11" w:rsidRPr="009475AF" w:rsidRDefault="00CA0F11" w:rsidP="00286797">
            <w:pPr>
              <w:rPr>
                <w:rFonts w:ascii="Arial Narrow" w:hAnsi="Arial Narrow"/>
                <w:sz w:val="20"/>
                <w:szCs w:val="20"/>
              </w:rPr>
            </w:pPr>
          </w:p>
          <w:p w14:paraId="0F156BCA" w14:textId="77777777" w:rsidR="00CA0F11" w:rsidRPr="009475AF" w:rsidRDefault="00CA0F11" w:rsidP="00286797">
            <w:pPr>
              <w:rPr>
                <w:rFonts w:ascii="Arial Narrow" w:hAnsi="Arial Narrow"/>
                <w:sz w:val="20"/>
                <w:szCs w:val="20"/>
              </w:rPr>
            </w:pPr>
            <w:r w:rsidRPr="009475AF">
              <w:rPr>
                <w:rFonts w:ascii="Arial Narrow" w:hAnsi="Arial Narrow"/>
                <w:sz w:val="20"/>
                <w:szCs w:val="20"/>
              </w:rPr>
              <w:t>(6) Monitoring of patients (Omalizumab only):</w:t>
            </w:r>
          </w:p>
          <w:p w14:paraId="43D4D9CF" w14:textId="4CA79995" w:rsidR="00CA0F11" w:rsidRPr="009475AF" w:rsidRDefault="00CA0F11" w:rsidP="00286797">
            <w:pPr>
              <w:rPr>
                <w:b/>
                <w:bCs/>
              </w:rPr>
            </w:pPr>
            <w:r w:rsidRPr="009475AF">
              <w:rPr>
                <w:rFonts w:ascii="Arial Narrow" w:hAnsi="Arial Narrow"/>
                <w:sz w:val="20"/>
                <w:szCs w:val="20"/>
              </w:rPr>
              <w:t>Anaphylaxis and anaphylactoid reactions have been reported following first or subsequent administration of omalizumab (see Product Information). Patients should be monitored post-injection, and medication for the treatment of anaphylactic reactions should be available for immediate use following administration of omalizumab. Patients should be informed that such reactions are possible and prompt medical attention should be sought if allergic reactions occur</w:t>
            </w:r>
            <w:r w:rsidR="009475AF">
              <w:rPr>
                <w:rFonts w:ascii="Arial Narrow" w:hAnsi="Arial Narrow"/>
                <w:sz w:val="20"/>
                <w:szCs w:val="20"/>
              </w:rPr>
              <w:t xml:space="preserve">. </w:t>
            </w:r>
          </w:p>
        </w:tc>
      </w:tr>
    </w:tbl>
    <w:p w14:paraId="479A35C4" w14:textId="77777777" w:rsidR="00CA0F11" w:rsidRPr="009475AF" w:rsidRDefault="00CA0F11" w:rsidP="00645BAC">
      <w:pPr>
        <w:pStyle w:val="3-BodyText"/>
        <w:keepNext/>
        <w:numPr>
          <w:ilvl w:val="0"/>
          <w:numId w:val="0"/>
        </w:numPr>
        <w:spacing w:after="0"/>
        <w:ind w:left="720" w:hanging="720"/>
      </w:pPr>
    </w:p>
    <w:p w14:paraId="7A1983F1" w14:textId="34F949A6" w:rsidR="00BC0976" w:rsidRPr="003A2464" w:rsidRDefault="0042376D" w:rsidP="003A2464">
      <w:pPr>
        <w:pStyle w:val="3-BodyText"/>
        <w:rPr>
          <w:rFonts w:ascii="Times New Roman" w:hAnsi="Times New Roman" w:cs="Times New Roman"/>
          <w:lang w:eastAsia="en-US"/>
        </w:rPr>
      </w:pPr>
      <w:r w:rsidRPr="009475AF">
        <w:rPr>
          <w:lang w:eastAsia="en-US"/>
        </w:rPr>
        <w:t>Flow-on changes to the omalizumab restriction are required to include this Overarching Note, and details to allow for patients to switch between dupilumab and omalizumab as part of a treatment cycle</w:t>
      </w:r>
      <w:r w:rsidR="0019072F">
        <w:rPr>
          <w:lang w:eastAsia="en-US"/>
        </w:rPr>
        <w:t xml:space="preserve"> (including the creation of an initial 2 restriction)</w:t>
      </w:r>
      <w:r w:rsidRPr="009475AF">
        <w:rPr>
          <w:lang w:eastAsia="en-US"/>
        </w:rPr>
        <w:t>.</w:t>
      </w:r>
      <w:bookmarkEnd w:id="58"/>
    </w:p>
    <w:p w14:paraId="4918F44B" w14:textId="69026078" w:rsidR="000B6426" w:rsidRDefault="00CF25AF" w:rsidP="00252C38">
      <w:pPr>
        <w:contextualSpacing/>
        <w:rPr>
          <w:rFonts w:eastAsia="Calibri" w:cs="Times New Roman"/>
          <w:b/>
          <w:bCs/>
          <w:i/>
          <w:szCs w:val="22"/>
          <w:lang w:eastAsia="en-US"/>
        </w:rPr>
      </w:pPr>
      <w:r w:rsidRPr="00CF25AF">
        <w:rPr>
          <w:rFonts w:eastAsia="Calibri" w:cs="Times New Roman"/>
          <w:b/>
          <w:bCs/>
          <w:i/>
          <w:szCs w:val="22"/>
          <w:lang w:eastAsia="en-US"/>
        </w:rPr>
        <w:t xml:space="preserve">This restriction may be subject to further review. Should there be any changes made to the restriction the </w:t>
      </w:r>
      <w:r>
        <w:rPr>
          <w:rFonts w:eastAsia="Calibri" w:cs="Times New Roman"/>
          <w:b/>
          <w:bCs/>
          <w:i/>
          <w:szCs w:val="22"/>
          <w:lang w:eastAsia="en-US"/>
        </w:rPr>
        <w:t>s</w:t>
      </w:r>
      <w:r w:rsidRPr="00CF25AF">
        <w:rPr>
          <w:rFonts w:eastAsia="Calibri" w:cs="Times New Roman"/>
          <w:b/>
          <w:bCs/>
          <w:i/>
          <w:szCs w:val="22"/>
          <w:lang w:eastAsia="en-US"/>
        </w:rPr>
        <w:t>ponsor will be informed.</w:t>
      </w:r>
    </w:p>
    <w:p w14:paraId="0654E66D" w14:textId="2DA6235E" w:rsidR="000B6426" w:rsidRPr="003A2464" w:rsidRDefault="000B6426" w:rsidP="003A2464">
      <w:pPr>
        <w:pStyle w:val="2-SectionHeading"/>
      </w:pPr>
      <w:r w:rsidRPr="003A2464">
        <w:t>Context for Decision</w:t>
      </w:r>
    </w:p>
    <w:p w14:paraId="021896A1" w14:textId="77777777" w:rsidR="000B6426" w:rsidRPr="00061CBE" w:rsidRDefault="000B6426" w:rsidP="000B642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332B674" w14:textId="36819135" w:rsidR="000B6426" w:rsidRPr="00061CBE" w:rsidRDefault="000B6426" w:rsidP="00286934">
      <w:pPr>
        <w:pStyle w:val="2-SectionHeading"/>
        <w:numPr>
          <w:ilvl w:val="0"/>
          <w:numId w:val="0"/>
        </w:numPr>
        <w:ind w:left="720" w:hanging="720"/>
      </w:pPr>
      <w:r w:rsidRPr="00061CBE">
        <w:t>10</w:t>
      </w:r>
      <w:r w:rsidRPr="00061CBE">
        <w:tab/>
        <w:t>Sponsor’s Comment</w:t>
      </w:r>
    </w:p>
    <w:p w14:paraId="62A59BBF" w14:textId="40BDAD0F" w:rsidR="000B6426" w:rsidRPr="000B6426" w:rsidRDefault="000B6426" w:rsidP="000B6426">
      <w:pPr>
        <w:ind w:firstLine="720"/>
        <w:rPr>
          <w:bCs/>
        </w:rPr>
      </w:pPr>
      <w:r w:rsidRPr="00061CBE">
        <w:rPr>
          <w:bCs/>
        </w:rPr>
        <w:t>The sponsor had no comment.</w:t>
      </w:r>
    </w:p>
    <w:sectPr w:rsidR="000B6426" w:rsidRPr="000B6426" w:rsidSect="00AD77B7">
      <w:headerReference w:type="even" r:id="rId27"/>
      <w:headerReference w:type="default" r:id="rId28"/>
      <w:footerReference w:type="even" r:id="rId29"/>
      <w:footerReference w:type="default" r:id="rId30"/>
      <w:headerReference w:type="first" r:id="rId31"/>
      <w:footerReference w:type="first" r:id="rId3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1FB4" w14:textId="77777777" w:rsidR="00EC7D1E" w:rsidRDefault="00EC7D1E" w:rsidP="00124A51">
      <w:r>
        <w:separator/>
      </w:r>
    </w:p>
    <w:p w14:paraId="09CBEC80" w14:textId="77777777" w:rsidR="00EC7D1E" w:rsidRDefault="00EC7D1E"/>
  </w:endnote>
  <w:endnote w:type="continuationSeparator" w:id="0">
    <w:p w14:paraId="014C2B1A" w14:textId="77777777" w:rsidR="00EC7D1E" w:rsidRDefault="00EC7D1E" w:rsidP="00124A51">
      <w:r>
        <w:continuationSeparator/>
      </w:r>
    </w:p>
    <w:p w14:paraId="621E41CF" w14:textId="77777777" w:rsidR="00EC7D1E" w:rsidRDefault="00EC7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DE32" w14:textId="77777777" w:rsidR="00CE7646" w:rsidRDefault="00CE7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4B5C" w14:textId="77777777" w:rsidR="00893E94" w:rsidRDefault="00893E94" w:rsidP="00753B29">
    <w:pPr>
      <w:pStyle w:val="Footer"/>
      <w:jc w:val="center"/>
    </w:pPr>
  </w:p>
  <w:p w14:paraId="4D6BCD0E" w14:textId="484D0B9F" w:rsidR="00893E94" w:rsidRPr="007C1CD9" w:rsidRDefault="00696736" w:rsidP="00753B29">
    <w:pPr>
      <w:pStyle w:val="Footer"/>
      <w:jc w:val="center"/>
    </w:pPr>
    <w:sdt>
      <w:sdtPr>
        <w:id w:val="-801613403"/>
        <w:docPartObj>
          <w:docPartGallery w:val="Page Numbers (Bottom of Page)"/>
          <w:docPartUnique/>
        </w:docPartObj>
      </w:sdtPr>
      <w:sdtEndPr>
        <w:rPr>
          <w:noProof/>
        </w:rPr>
      </w:sdtEndPr>
      <w:sdtContent>
        <w:r w:rsidR="00893E94" w:rsidRPr="00B86233">
          <w:rPr>
            <w:b/>
            <w:bCs/>
          </w:rPr>
          <w:fldChar w:fldCharType="begin"/>
        </w:r>
        <w:r w:rsidR="00893E94" w:rsidRPr="00B86233">
          <w:rPr>
            <w:b/>
            <w:bCs/>
          </w:rPr>
          <w:instrText xml:space="preserve"> PAGE   \* MERGEFORMAT </w:instrText>
        </w:r>
        <w:r w:rsidR="00893E94" w:rsidRPr="00B86233">
          <w:rPr>
            <w:b/>
            <w:bCs/>
          </w:rPr>
          <w:fldChar w:fldCharType="separate"/>
        </w:r>
        <w:r w:rsidR="00893E94" w:rsidRPr="00B86233">
          <w:rPr>
            <w:b/>
            <w:bCs/>
            <w:noProof/>
          </w:rPr>
          <w:t>2</w:t>
        </w:r>
        <w:r w:rsidR="00893E94" w:rsidRPr="00B8623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7319" w14:textId="77777777" w:rsidR="00CE7646" w:rsidRDefault="00CE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2231" w14:textId="77777777" w:rsidR="00EC7D1E" w:rsidRDefault="00EC7D1E" w:rsidP="00124A51">
      <w:r>
        <w:separator/>
      </w:r>
    </w:p>
    <w:p w14:paraId="40459BD3" w14:textId="77777777" w:rsidR="00EC7D1E" w:rsidRDefault="00EC7D1E"/>
  </w:footnote>
  <w:footnote w:type="continuationSeparator" w:id="0">
    <w:p w14:paraId="134C9D07" w14:textId="77777777" w:rsidR="00EC7D1E" w:rsidRDefault="00EC7D1E" w:rsidP="00124A51">
      <w:r>
        <w:continuationSeparator/>
      </w:r>
    </w:p>
    <w:p w14:paraId="7D30C199" w14:textId="77777777" w:rsidR="00EC7D1E" w:rsidRDefault="00EC7D1E"/>
  </w:footnote>
  <w:footnote w:id="1">
    <w:p w14:paraId="53BDC3AF" w14:textId="012C9517" w:rsidR="005A1548" w:rsidRDefault="005A1548" w:rsidP="005A1548">
      <w:pPr>
        <w:pStyle w:val="FootnoteText"/>
      </w:pPr>
    </w:p>
  </w:footnote>
  <w:footnote w:id="2">
    <w:p w14:paraId="2A47F638" w14:textId="77777777" w:rsidR="00A63ED5" w:rsidRDefault="00A63ED5" w:rsidP="00A63ED5">
      <w:pPr>
        <w:pStyle w:val="FootnoteText"/>
      </w:pPr>
      <w:r>
        <w:rPr>
          <w:rStyle w:val="FootnoteReference"/>
        </w:rPr>
        <w:footnoteRef/>
      </w:r>
      <w:r>
        <w:t xml:space="preserve"> Dupilumab PI, para 4.1, p2/71. </w:t>
      </w:r>
    </w:p>
  </w:footnote>
  <w:footnote w:id="3">
    <w:p w14:paraId="5D7FF101" w14:textId="1E6486BF" w:rsidR="00ED1122" w:rsidRDefault="00ED1122">
      <w:pPr>
        <w:pStyle w:val="FootnoteText"/>
      </w:pPr>
      <w:r>
        <w:rPr>
          <w:rStyle w:val="FootnoteReference"/>
        </w:rPr>
        <w:footnoteRef/>
      </w:r>
      <w:r>
        <w:t xml:space="preserve"> Global Initiative for Asthma. Global Strategy for Asthma Management and Prevention, 2023. Updated July 2023, p22. </w:t>
      </w:r>
    </w:p>
  </w:footnote>
  <w:footnote w:id="4">
    <w:p w14:paraId="0601D241" w14:textId="6B02D885" w:rsidR="001021B6" w:rsidRDefault="001021B6">
      <w:pPr>
        <w:pStyle w:val="FootnoteText"/>
      </w:pPr>
      <w:r>
        <w:rPr>
          <w:rStyle w:val="FootnoteReference"/>
        </w:rPr>
        <w:footnoteRef/>
      </w:r>
      <w:r>
        <w:t xml:space="preserve"> </w:t>
      </w:r>
      <w:r w:rsidR="00B74B56">
        <w:t>Global Initiative for Asthma. Global Strategy for Asthma Management and Prevention, 2023. Updated July 2023</w:t>
      </w:r>
      <w:r>
        <w:t>, p42</w:t>
      </w:r>
      <w:r w:rsidR="00E70993">
        <w:t>, p121</w:t>
      </w:r>
      <w:r>
        <w:t xml:space="preserve">. </w:t>
      </w:r>
    </w:p>
  </w:footnote>
  <w:footnote w:id="5">
    <w:p w14:paraId="6081C7CA" w14:textId="661E3AE5" w:rsidR="00A913AE" w:rsidRDefault="00A913AE">
      <w:pPr>
        <w:pStyle w:val="FootnoteText"/>
      </w:pPr>
      <w:r>
        <w:rPr>
          <w:rStyle w:val="FootnoteReference"/>
        </w:rPr>
        <w:footnoteRef/>
      </w:r>
      <w:r>
        <w:t xml:space="preserve"> Humbert M, Bourdin A, Taille C, et al. Real-life omalizumab exposure and discontinuation in a large nationwide population-based study of pediatric and adult asthma patients. </w:t>
      </w:r>
      <w:r w:rsidRPr="00A913AE">
        <w:rPr>
          <w:i/>
          <w:iCs/>
        </w:rPr>
        <w:t>Eur Respir J</w:t>
      </w:r>
      <w:r>
        <w:t xml:space="preserve"> 2022; 60:2103130; DOI 10.1183/13993003.03130-2021. </w:t>
      </w:r>
    </w:p>
  </w:footnote>
  <w:footnote w:id="6">
    <w:p w14:paraId="0348BA2A" w14:textId="0F574759" w:rsidR="003707F2" w:rsidRDefault="003707F2">
      <w:pPr>
        <w:pStyle w:val="FootnoteText"/>
      </w:pPr>
      <w:r>
        <w:rPr>
          <w:rStyle w:val="FootnoteReference"/>
        </w:rPr>
        <w:footnoteRef/>
      </w:r>
      <w:r>
        <w:t xml:space="preserve"> Table 1, p4, Omalizumab PI. </w:t>
      </w:r>
    </w:p>
  </w:footnote>
  <w:footnote w:id="7">
    <w:p w14:paraId="58711050" w14:textId="434D9EE9" w:rsidR="001C36C9" w:rsidRDefault="001C36C9">
      <w:pPr>
        <w:pStyle w:val="FootnoteText"/>
      </w:pPr>
      <w:r>
        <w:rPr>
          <w:rStyle w:val="FootnoteReference"/>
        </w:rPr>
        <w:footnoteRef/>
      </w:r>
      <w:r>
        <w:t xml:space="preserve"> 4.2, p5, Omalizumab PI.</w:t>
      </w:r>
    </w:p>
  </w:footnote>
  <w:footnote w:id="8">
    <w:p w14:paraId="7B8262F5" w14:textId="2E8D37B2" w:rsidR="00B74B56" w:rsidRDefault="00B74B56">
      <w:pPr>
        <w:pStyle w:val="FootnoteText"/>
      </w:pPr>
      <w:r>
        <w:rPr>
          <w:rStyle w:val="FootnoteReference"/>
        </w:rPr>
        <w:footnoteRef/>
      </w:r>
      <w:r>
        <w:t xml:space="preserve"> </w:t>
      </w:r>
      <w:r w:rsidR="00A913AE">
        <w:t>Global Initiative for Asthma. Global Strategy for Asthma Management and Prevention, 2023. Updated July 2023,</w:t>
      </w:r>
      <w:r>
        <w:t xml:space="preserve"> p78. </w:t>
      </w:r>
    </w:p>
  </w:footnote>
  <w:footnote w:id="9">
    <w:p w14:paraId="61C8ECC1" w14:textId="18639197" w:rsidR="00E9220F" w:rsidRDefault="00E9220F">
      <w:pPr>
        <w:pStyle w:val="FootnoteText"/>
      </w:pPr>
      <w:r>
        <w:rPr>
          <w:rStyle w:val="FootnoteReference"/>
        </w:rPr>
        <w:footnoteRef/>
      </w:r>
      <w:r>
        <w:t xml:space="preserve"> No patients taking LAMA or methylxanthines as second controller were enrolled. </w:t>
      </w:r>
      <w:r w:rsidR="00526A80">
        <w:t>Only a few patients enrolled were taking ICS only.</w:t>
      </w:r>
      <w:r w:rsidR="00F42D9F" w:rsidRPr="00F42D9F">
        <w:t xml:space="preserve"> </w:t>
      </w:r>
      <w:r w:rsidR="00F42D9F">
        <w:t>ICS = inhaled corticosteroid; LABA = long-acting beta-agonist, LAMA = long-acting muscarinic antagonist; LTRA = leukotriene receptor antagonist.</w:t>
      </w:r>
    </w:p>
  </w:footnote>
  <w:footnote w:id="10">
    <w:p w14:paraId="230D1166" w14:textId="051A3FD3" w:rsidR="00EA1ED4" w:rsidRDefault="00EA1ED4">
      <w:pPr>
        <w:pStyle w:val="FootnoteText"/>
      </w:pPr>
      <w:r>
        <w:rPr>
          <w:rStyle w:val="FootnoteReference"/>
        </w:rPr>
        <w:footnoteRef/>
      </w:r>
      <w:r>
        <w:t xml:space="preserve"> No reductions in maintenance treatment were allowed in VOYAGE (CSR, p36)</w:t>
      </w:r>
      <w:r w:rsidR="009475AF">
        <w:t xml:space="preserve">. </w:t>
      </w:r>
    </w:p>
  </w:footnote>
  <w:footnote w:id="11">
    <w:p w14:paraId="7D4D60D2" w14:textId="66C5A5DA" w:rsidR="00767D22" w:rsidRPr="00767D22" w:rsidRDefault="00F44843" w:rsidP="00767D22">
      <w:pPr>
        <w:pStyle w:val="FootnoteText"/>
      </w:pPr>
      <w:r>
        <w:rPr>
          <w:rStyle w:val="FootnoteReference"/>
        </w:rPr>
        <w:footnoteRef/>
      </w:r>
      <w:r>
        <w:t xml:space="preserve"> </w:t>
      </w:r>
      <w:r w:rsidR="00767D22" w:rsidRPr="00767D22">
        <w:t>Busse W, Spector S, Ros</w:t>
      </w:r>
      <w:r w:rsidR="00767D22">
        <w:t>e</w:t>
      </w:r>
      <w:r w:rsidR="00767D22" w:rsidRPr="00767D22">
        <w:t>n K, Wang Y, Alpan O</w:t>
      </w:r>
      <w:r w:rsidR="00767D22">
        <w:t xml:space="preserve">. </w:t>
      </w:r>
      <w:r w:rsidR="00767D22" w:rsidRPr="00767D22">
        <w:t>High eosinophil count: a potential biomarker for assessing successful omalizumab treatment effects.</w:t>
      </w:r>
      <w:r w:rsidR="00767D22">
        <w:t xml:space="preserve"> </w:t>
      </w:r>
      <w:r w:rsidR="00767D22" w:rsidRPr="00767D22">
        <w:rPr>
          <w:i/>
          <w:iCs/>
        </w:rPr>
        <w:t>J Allergy Clin Immunol</w:t>
      </w:r>
      <w:r w:rsidR="00767D22" w:rsidRPr="00767D22">
        <w:t xml:space="preserve"> 2013;13</w:t>
      </w:r>
      <w:r w:rsidR="00767D22">
        <w:t>2</w:t>
      </w:r>
      <w:r w:rsidR="00767D22" w:rsidRPr="00767D22">
        <w:t>:485. Epub 2013 Apr 13. </w:t>
      </w:r>
    </w:p>
    <w:p w14:paraId="2B9B1EFC" w14:textId="1C8847DC" w:rsidR="00F44843" w:rsidRDefault="00F44843">
      <w:pPr>
        <w:pStyle w:val="FootnoteText"/>
      </w:pPr>
    </w:p>
  </w:footnote>
  <w:footnote w:id="12">
    <w:p w14:paraId="20BBE4F3" w14:textId="21D3CFE3" w:rsidR="00313247" w:rsidRDefault="00313247" w:rsidP="00313247">
      <w:pPr>
        <w:pStyle w:val="FootnoteText"/>
      </w:pPr>
      <w:r>
        <w:rPr>
          <w:rStyle w:val="FootnoteReference"/>
        </w:rPr>
        <w:footnoteRef/>
      </w:r>
      <w:r>
        <w:t xml:space="preserve"> </w:t>
      </w:r>
      <w:r w:rsidRPr="00313247">
        <w:t xml:space="preserve">Castro M, Corren J, Pavord ID, </w:t>
      </w:r>
      <w:r>
        <w:t xml:space="preserve">et al. </w:t>
      </w:r>
      <w:r w:rsidRPr="00313247">
        <w:t xml:space="preserve">Dupilumab </w:t>
      </w:r>
      <w:r w:rsidR="001C563A">
        <w:t>e</w:t>
      </w:r>
      <w:r w:rsidRPr="00313247">
        <w:t xml:space="preserve">fficacy and </w:t>
      </w:r>
      <w:r w:rsidR="001C563A">
        <w:t>s</w:t>
      </w:r>
      <w:r w:rsidRPr="00313247">
        <w:t xml:space="preserve">afety in </w:t>
      </w:r>
      <w:r w:rsidR="001C563A">
        <w:t>m</w:t>
      </w:r>
      <w:r w:rsidRPr="00313247">
        <w:t>oderate-to-</w:t>
      </w:r>
      <w:r w:rsidR="001C563A">
        <w:t>s</w:t>
      </w:r>
      <w:r w:rsidRPr="00313247">
        <w:t xml:space="preserve">evere </w:t>
      </w:r>
      <w:r w:rsidR="001C563A">
        <w:t>u</w:t>
      </w:r>
      <w:r w:rsidRPr="00313247">
        <w:t xml:space="preserve">ncontrolled </w:t>
      </w:r>
      <w:r w:rsidR="001C563A">
        <w:t>a</w:t>
      </w:r>
      <w:r w:rsidRPr="00313247">
        <w:t>sthma.</w:t>
      </w:r>
      <w:r>
        <w:t xml:space="preserve"> </w:t>
      </w:r>
      <w:r w:rsidRPr="00313247">
        <w:rPr>
          <w:i/>
          <w:iCs/>
        </w:rPr>
        <w:t>N Engl J Med</w:t>
      </w:r>
      <w:r w:rsidRPr="00313247">
        <w:t xml:space="preserve"> 2018;</w:t>
      </w:r>
      <w:r>
        <w:t xml:space="preserve"> </w:t>
      </w:r>
      <w:r w:rsidRPr="00313247">
        <w:t>378:2486</w:t>
      </w:r>
      <w:r>
        <w:t>-2496.</w:t>
      </w:r>
      <w:r w:rsidRPr="00313247">
        <w:t> </w:t>
      </w:r>
    </w:p>
  </w:footnote>
  <w:footnote w:id="13">
    <w:p w14:paraId="02083A87" w14:textId="5611275F" w:rsidR="00166F2B" w:rsidRDefault="00166F2B">
      <w:pPr>
        <w:pStyle w:val="FootnoteText"/>
      </w:pPr>
      <w:r>
        <w:rPr>
          <w:rStyle w:val="FootnoteReference"/>
        </w:rPr>
        <w:footnoteRef/>
      </w:r>
      <w:r>
        <w:t xml:space="preserve"> Dupilumab PI, 4.4, 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852F" w14:textId="77777777" w:rsidR="00CE7646" w:rsidRDefault="00CE7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9873" w14:textId="67C61110" w:rsidR="00E37342" w:rsidRDefault="00E70AEF" w:rsidP="00FD6D85">
    <w:pPr>
      <w:pStyle w:val="Header"/>
      <w:rPr>
        <w:rFonts w:asciiTheme="minorHAnsi" w:hAnsiTheme="minorHAnsi"/>
        <w:i/>
        <w:color w:val="808080"/>
      </w:rPr>
    </w:pPr>
    <w:r>
      <w:rPr>
        <w:rFonts w:asciiTheme="minorHAnsi" w:hAnsiTheme="minorHAnsi"/>
        <w:i/>
        <w:color w:val="808080"/>
      </w:rPr>
      <w:t xml:space="preserve"> Public Summary Document</w:t>
    </w:r>
    <w:r w:rsidR="00B86233">
      <w:rPr>
        <w:rFonts w:asciiTheme="minorHAnsi" w:hAnsiTheme="minorHAnsi"/>
        <w:i/>
        <w:color w:val="808080"/>
      </w:rPr>
      <w:t xml:space="preserve"> </w:t>
    </w:r>
    <w:r w:rsidR="00B86233" w:rsidRPr="00056684">
      <w:rPr>
        <w:rFonts w:asciiTheme="minorHAnsi" w:hAnsiTheme="minorHAnsi"/>
        <w:i/>
        <w:color w:val="808080"/>
      </w:rPr>
      <w:t xml:space="preserve">– </w:t>
    </w:r>
    <w:r w:rsidR="00B86233">
      <w:rPr>
        <w:rFonts w:asciiTheme="minorHAnsi" w:hAnsiTheme="minorHAnsi"/>
        <w:i/>
        <w:color w:val="808080"/>
      </w:rPr>
      <w:t xml:space="preserve">March 2024 </w:t>
    </w:r>
    <w:r w:rsidR="00B86233" w:rsidRPr="00195452">
      <w:rPr>
        <w:rFonts w:asciiTheme="minorHAnsi" w:hAnsiTheme="minorHAnsi"/>
        <w:i/>
        <w:color w:val="808080"/>
      </w:rPr>
      <w:t>PBAC Meeting</w:t>
    </w:r>
  </w:p>
  <w:p w14:paraId="1A83ED07" w14:textId="77777777" w:rsidR="00FD6D85" w:rsidRPr="00FD6D85" w:rsidRDefault="00FD6D85" w:rsidP="00FD6D85">
    <w:pPr>
      <w:pStyle w:val="Head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BF79" w14:textId="77777777" w:rsidR="00CE7646" w:rsidRDefault="00CE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542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FC2D15"/>
    <w:multiLevelType w:val="multilevel"/>
    <w:tmpl w:val="0ABC2E4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bullet"/>
      <w:lvlText w:val=""/>
      <w:lvlJc w:val="left"/>
      <w:pPr>
        <w:ind w:left="720" w:hanging="36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F03F1"/>
    <w:multiLevelType w:val="hybridMultilevel"/>
    <w:tmpl w:val="EA069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F04594"/>
    <w:multiLevelType w:val="hybridMultilevel"/>
    <w:tmpl w:val="9D425D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76F6C"/>
    <w:multiLevelType w:val="hybridMultilevel"/>
    <w:tmpl w:val="BD18CF90"/>
    <w:lvl w:ilvl="0" w:tplc="08090001">
      <w:start w:val="1"/>
      <w:numFmt w:val="bullet"/>
      <w:lvlText w:val=""/>
      <w:lvlJc w:val="left"/>
      <w:pPr>
        <w:ind w:left="1493" w:hanging="360"/>
      </w:pPr>
      <w:rPr>
        <w:rFonts w:ascii="Symbol" w:hAnsi="Symbol" w:hint="default"/>
      </w:rPr>
    </w:lvl>
    <w:lvl w:ilvl="1" w:tplc="08090003">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7"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5AB6722"/>
    <w:multiLevelType w:val="hybridMultilevel"/>
    <w:tmpl w:val="A5E6E0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9A46FA6"/>
    <w:multiLevelType w:val="multilevel"/>
    <w:tmpl w:val="C7CEC92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22796"/>
    <w:multiLevelType w:val="hybridMultilevel"/>
    <w:tmpl w:val="E9064968"/>
    <w:lvl w:ilvl="0" w:tplc="5EDA6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6747C"/>
    <w:multiLevelType w:val="hybridMultilevel"/>
    <w:tmpl w:val="27EAB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F91188"/>
    <w:multiLevelType w:val="hybridMultilevel"/>
    <w:tmpl w:val="949CB9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D0057B"/>
    <w:multiLevelType w:val="hybridMultilevel"/>
    <w:tmpl w:val="06764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BF6ACC"/>
    <w:multiLevelType w:val="hybridMultilevel"/>
    <w:tmpl w:val="60088704"/>
    <w:lvl w:ilvl="0" w:tplc="0C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111C39"/>
    <w:multiLevelType w:val="hybridMultilevel"/>
    <w:tmpl w:val="23E2E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45D9F"/>
    <w:multiLevelType w:val="multilevel"/>
    <w:tmpl w:val="9244CC5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61309"/>
    <w:multiLevelType w:val="hybridMultilevel"/>
    <w:tmpl w:val="C56EC250"/>
    <w:lvl w:ilvl="0" w:tplc="4B1011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1268F"/>
    <w:multiLevelType w:val="hybridMultilevel"/>
    <w:tmpl w:val="F8CA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976330"/>
    <w:multiLevelType w:val="hybridMultilevel"/>
    <w:tmpl w:val="A27E2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BF6830"/>
    <w:multiLevelType w:val="multilevel"/>
    <w:tmpl w:val="3B627A1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1EEB"/>
    <w:multiLevelType w:val="hybridMultilevel"/>
    <w:tmpl w:val="CA5E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40D02A5"/>
    <w:multiLevelType w:val="hybridMultilevel"/>
    <w:tmpl w:val="5C4A0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A185FCB"/>
    <w:multiLevelType w:val="hybridMultilevel"/>
    <w:tmpl w:val="98AC6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A43E7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FF6D82"/>
    <w:multiLevelType w:val="hybridMultilevel"/>
    <w:tmpl w:val="93001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AA11B4"/>
    <w:multiLevelType w:val="hybridMultilevel"/>
    <w:tmpl w:val="BF2A4AF6"/>
    <w:lvl w:ilvl="0" w:tplc="32F2C9F2">
      <w:numFmt w:val="bullet"/>
      <w:lvlText w:val="-"/>
      <w:lvlJc w:val="left"/>
      <w:pPr>
        <w:ind w:left="1080" w:hanging="360"/>
      </w:pPr>
      <w:rPr>
        <w:rFonts w:ascii="Calibri" w:eastAsia="Times New Roman" w:hAnsi="Calibri" w:cs="Calibr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42" w15:restartNumberingAfterBreak="0">
    <w:nsid w:val="7F7B6634"/>
    <w:multiLevelType w:val="hybridMultilevel"/>
    <w:tmpl w:val="BF8C08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3433221">
    <w:abstractNumId w:val="37"/>
  </w:num>
  <w:num w:numId="2" w16cid:durableId="486940062">
    <w:abstractNumId w:val="21"/>
  </w:num>
  <w:num w:numId="3" w16cid:durableId="73675118">
    <w:abstractNumId w:val="22"/>
  </w:num>
  <w:num w:numId="4" w16cid:durableId="453644386">
    <w:abstractNumId w:val="0"/>
  </w:num>
  <w:num w:numId="5" w16cid:durableId="729350386">
    <w:abstractNumId w:val="38"/>
  </w:num>
  <w:num w:numId="6" w16cid:durableId="1643150051">
    <w:abstractNumId w:val="33"/>
  </w:num>
  <w:num w:numId="7" w16cid:durableId="512184388">
    <w:abstractNumId w:val="39"/>
  </w:num>
  <w:num w:numId="8" w16cid:durableId="333460914">
    <w:abstractNumId w:val="13"/>
  </w:num>
  <w:num w:numId="9" w16cid:durableId="548298764">
    <w:abstractNumId w:val="34"/>
  </w:num>
  <w:num w:numId="10" w16cid:durableId="10570353">
    <w:abstractNumId w:val="3"/>
  </w:num>
  <w:num w:numId="11" w16cid:durableId="1514420138">
    <w:abstractNumId w:val="12"/>
  </w:num>
  <w:num w:numId="12" w16cid:durableId="866256046">
    <w:abstractNumId w:val="20"/>
  </w:num>
  <w:num w:numId="13" w16cid:durableId="1094278233">
    <w:abstractNumId w:val="7"/>
  </w:num>
  <w:num w:numId="14" w16cid:durableId="175925184">
    <w:abstractNumId w:val="10"/>
  </w:num>
  <w:num w:numId="15" w16cid:durableId="533495389">
    <w:abstractNumId w:val="6"/>
  </w:num>
  <w:num w:numId="16" w16cid:durableId="697043497">
    <w:abstractNumId w:val="42"/>
  </w:num>
  <w:num w:numId="17" w16cid:durableId="621765215">
    <w:abstractNumId w:val="8"/>
  </w:num>
  <w:num w:numId="18" w16cid:durableId="191459911">
    <w:abstractNumId w:val="11"/>
  </w:num>
  <w:num w:numId="19" w16cid:durableId="73816463">
    <w:abstractNumId w:val="24"/>
  </w:num>
  <w:num w:numId="20" w16cid:durableId="1436098107">
    <w:abstractNumId w:val="4"/>
  </w:num>
  <w:num w:numId="21" w16cid:durableId="62072647">
    <w:abstractNumId w:val="41"/>
  </w:num>
  <w:num w:numId="22" w16cid:durableId="443504690">
    <w:abstractNumId w:val="35"/>
  </w:num>
  <w:num w:numId="23" w16cid:durableId="4080371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58764">
    <w:abstractNumId w:val="40"/>
  </w:num>
  <w:num w:numId="25" w16cid:durableId="751127908">
    <w:abstractNumId w:val="25"/>
  </w:num>
  <w:num w:numId="26" w16cid:durableId="671765193">
    <w:abstractNumId w:val="18"/>
  </w:num>
  <w:num w:numId="27" w16cid:durableId="1050113727">
    <w:abstractNumId w:val="28"/>
  </w:num>
  <w:num w:numId="28" w16cid:durableId="1828394245">
    <w:abstractNumId w:val="16"/>
  </w:num>
  <w:num w:numId="29" w16cid:durableId="255485571">
    <w:abstractNumId w:val="37"/>
  </w:num>
  <w:num w:numId="30" w16cid:durableId="183255964">
    <w:abstractNumId w:val="37"/>
  </w:num>
  <w:num w:numId="31" w16cid:durableId="1832334522">
    <w:abstractNumId w:val="26"/>
  </w:num>
  <w:num w:numId="32" w16cid:durableId="1992097996">
    <w:abstractNumId w:val="27"/>
  </w:num>
  <w:num w:numId="33" w16cid:durableId="1355693565">
    <w:abstractNumId w:val="5"/>
  </w:num>
  <w:num w:numId="34" w16cid:durableId="1454136801">
    <w:abstractNumId w:val="1"/>
  </w:num>
  <w:num w:numId="35" w16cid:durableId="1502117753">
    <w:abstractNumId w:val="15"/>
  </w:num>
  <w:num w:numId="36" w16cid:durableId="322709862">
    <w:abstractNumId w:val="19"/>
  </w:num>
  <w:num w:numId="37" w16cid:durableId="1655335498">
    <w:abstractNumId w:val="14"/>
  </w:num>
  <w:num w:numId="38" w16cid:durableId="129744317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0270659">
    <w:abstractNumId w:val="36"/>
  </w:num>
  <w:num w:numId="40" w16cid:durableId="955216205">
    <w:abstractNumId w:val="30"/>
  </w:num>
  <w:num w:numId="41" w16cid:durableId="1519004352">
    <w:abstractNumId w:val="23"/>
  </w:num>
  <w:num w:numId="42" w16cid:durableId="545335994">
    <w:abstractNumId w:val="32"/>
  </w:num>
  <w:num w:numId="43" w16cid:durableId="2122147709">
    <w:abstractNumId w:val="9"/>
  </w:num>
  <w:num w:numId="44" w16cid:durableId="1328902201">
    <w:abstractNumId w:val="29"/>
  </w:num>
  <w:num w:numId="45" w16cid:durableId="705719873">
    <w:abstractNumId w:val="2"/>
  </w:num>
  <w:num w:numId="46" w16cid:durableId="1902784976">
    <w:abstractNumId w:val="17"/>
  </w:num>
  <w:num w:numId="47" w16cid:durableId="1823808216">
    <w:abstractNumId w:val="37"/>
  </w:num>
  <w:num w:numId="48" w16cid:durableId="961031176">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732"/>
    <w:rsid w:val="00002483"/>
    <w:rsid w:val="00003499"/>
    <w:rsid w:val="00003774"/>
    <w:rsid w:val="000039B7"/>
    <w:rsid w:val="000056B9"/>
    <w:rsid w:val="0000639A"/>
    <w:rsid w:val="00011D53"/>
    <w:rsid w:val="00011EC0"/>
    <w:rsid w:val="00012E0B"/>
    <w:rsid w:val="00012E88"/>
    <w:rsid w:val="00012EE5"/>
    <w:rsid w:val="00013247"/>
    <w:rsid w:val="00015886"/>
    <w:rsid w:val="00015C20"/>
    <w:rsid w:val="000162EF"/>
    <w:rsid w:val="000207C9"/>
    <w:rsid w:val="0002225F"/>
    <w:rsid w:val="00022F15"/>
    <w:rsid w:val="00023352"/>
    <w:rsid w:val="00023763"/>
    <w:rsid w:val="00024EB5"/>
    <w:rsid w:val="00025F9A"/>
    <w:rsid w:val="000274B8"/>
    <w:rsid w:val="00032A01"/>
    <w:rsid w:val="00033863"/>
    <w:rsid w:val="00033CFA"/>
    <w:rsid w:val="00033D7D"/>
    <w:rsid w:val="00035DC0"/>
    <w:rsid w:val="000360B7"/>
    <w:rsid w:val="000364B4"/>
    <w:rsid w:val="00036829"/>
    <w:rsid w:val="000371D8"/>
    <w:rsid w:val="00040895"/>
    <w:rsid w:val="00040CA1"/>
    <w:rsid w:val="000410A0"/>
    <w:rsid w:val="00041C7B"/>
    <w:rsid w:val="00042E09"/>
    <w:rsid w:val="000435EE"/>
    <w:rsid w:val="00043931"/>
    <w:rsid w:val="00043C37"/>
    <w:rsid w:val="00045017"/>
    <w:rsid w:val="00045161"/>
    <w:rsid w:val="00045A2B"/>
    <w:rsid w:val="0004698F"/>
    <w:rsid w:val="00046D64"/>
    <w:rsid w:val="0004787B"/>
    <w:rsid w:val="000502CB"/>
    <w:rsid w:val="000508C2"/>
    <w:rsid w:val="000533D6"/>
    <w:rsid w:val="000539D0"/>
    <w:rsid w:val="00053D77"/>
    <w:rsid w:val="000543FD"/>
    <w:rsid w:val="00054621"/>
    <w:rsid w:val="000546D7"/>
    <w:rsid w:val="00054A8D"/>
    <w:rsid w:val="00056ECF"/>
    <w:rsid w:val="00057EEA"/>
    <w:rsid w:val="000604DF"/>
    <w:rsid w:val="000608DF"/>
    <w:rsid w:val="000609EC"/>
    <w:rsid w:val="00062324"/>
    <w:rsid w:val="000653B5"/>
    <w:rsid w:val="00066360"/>
    <w:rsid w:val="00066AF8"/>
    <w:rsid w:val="0007115F"/>
    <w:rsid w:val="00071248"/>
    <w:rsid w:val="00071E60"/>
    <w:rsid w:val="000720B9"/>
    <w:rsid w:val="000737F7"/>
    <w:rsid w:val="0007491C"/>
    <w:rsid w:val="0007672F"/>
    <w:rsid w:val="00076B54"/>
    <w:rsid w:val="000774F0"/>
    <w:rsid w:val="00077562"/>
    <w:rsid w:val="00080909"/>
    <w:rsid w:val="000812CA"/>
    <w:rsid w:val="00081621"/>
    <w:rsid w:val="00081E63"/>
    <w:rsid w:val="0008258D"/>
    <w:rsid w:val="00083257"/>
    <w:rsid w:val="00083E99"/>
    <w:rsid w:val="00084FA8"/>
    <w:rsid w:val="000856C5"/>
    <w:rsid w:val="00085C31"/>
    <w:rsid w:val="00085D81"/>
    <w:rsid w:val="000902D9"/>
    <w:rsid w:val="00090C7E"/>
    <w:rsid w:val="000911AC"/>
    <w:rsid w:val="000912ED"/>
    <w:rsid w:val="00092600"/>
    <w:rsid w:val="0009262B"/>
    <w:rsid w:val="000926CB"/>
    <w:rsid w:val="00092DF5"/>
    <w:rsid w:val="00092F84"/>
    <w:rsid w:val="00093310"/>
    <w:rsid w:val="00093C1D"/>
    <w:rsid w:val="0009445C"/>
    <w:rsid w:val="00095200"/>
    <w:rsid w:val="00095525"/>
    <w:rsid w:val="00095703"/>
    <w:rsid w:val="00095FE5"/>
    <w:rsid w:val="00096284"/>
    <w:rsid w:val="000A0FCF"/>
    <w:rsid w:val="000A133C"/>
    <w:rsid w:val="000A1B21"/>
    <w:rsid w:val="000A1BC0"/>
    <w:rsid w:val="000A2F9E"/>
    <w:rsid w:val="000A3E47"/>
    <w:rsid w:val="000A522B"/>
    <w:rsid w:val="000A5816"/>
    <w:rsid w:val="000A5CB6"/>
    <w:rsid w:val="000A6039"/>
    <w:rsid w:val="000A646A"/>
    <w:rsid w:val="000A6788"/>
    <w:rsid w:val="000A7453"/>
    <w:rsid w:val="000A7D08"/>
    <w:rsid w:val="000B0121"/>
    <w:rsid w:val="000B057B"/>
    <w:rsid w:val="000B0670"/>
    <w:rsid w:val="000B0E75"/>
    <w:rsid w:val="000B2DCB"/>
    <w:rsid w:val="000B32E2"/>
    <w:rsid w:val="000B3F60"/>
    <w:rsid w:val="000B4995"/>
    <w:rsid w:val="000B4CF5"/>
    <w:rsid w:val="000B5CE0"/>
    <w:rsid w:val="000B6426"/>
    <w:rsid w:val="000B6CAC"/>
    <w:rsid w:val="000B7612"/>
    <w:rsid w:val="000B78AE"/>
    <w:rsid w:val="000C0549"/>
    <w:rsid w:val="000C0773"/>
    <w:rsid w:val="000C30EF"/>
    <w:rsid w:val="000C3DF9"/>
    <w:rsid w:val="000C48AC"/>
    <w:rsid w:val="000C4C48"/>
    <w:rsid w:val="000C4CF2"/>
    <w:rsid w:val="000C6713"/>
    <w:rsid w:val="000C7D39"/>
    <w:rsid w:val="000D1BFC"/>
    <w:rsid w:val="000D1D5D"/>
    <w:rsid w:val="000D281A"/>
    <w:rsid w:val="000D2848"/>
    <w:rsid w:val="000D326A"/>
    <w:rsid w:val="000D344A"/>
    <w:rsid w:val="000D51FB"/>
    <w:rsid w:val="000E0640"/>
    <w:rsid w:val="000E135D"/>
    <w:rsid w:val="000E3371"/>
    <w:rsid w:val="000E3B71"/>
    <w:rsid w:val="000E6440"/>
    <w:rsid w:val="000E75AF"/>
    <w:rsid w:val="000F00BA"/>
    <w:rsid w:val="000F316A"/>
    <w:rsid w:val="000F3C74"/>
    <w:rsid w:val="000F4BB8"/>
    <w:rsid w:val="000F4FA9"/>
    <w:rsid w:val="000F53FB"/>
    <w:rsid w:val="000F6886"/>
    <w:rsid w:val="000F7127"/>
    <w:rsid w:val="000F7888"/>
    <w:rsid w:val="000F7B54"/>
    <w:rsid w:val="001000B3"/>
    <w:rsid w:val="00100F8A"/>
    <w:rsid w:val="00101C46"/>
    <w:rsid w:val="001021B6"/>
    <w:rsid w:val="00103A8B"/>
    <w:rsid w:val="0010452E"/>
    <w:rsid w:val="00104B39"/>
    <w:rsid w:val="00105AE2"/>
    <w:rsid w:val="001060C6"/>
    <w:rsid w:val="00106B80"/>
    <w:rsid w:val="00106DDC"/>
    <w:rsid w:val="00106FB7"/>
    <w:rsid w:val="0011032E"/>
    <w:rsid w:val="0011348B"/>
    <w:rsid w:val="0011450E"/>
    <w:rsid w:val="00114723"/>
    <w:rsid w:val="00114F7A"/>
    <w:rsid w:val="00115982"/>
    <w:rsid w:val="0011605D"/>
    <w:rsid w:val="00116C53"/>
    <w:rsid w:val="00121799"/>
    <w:rsid w:val="001222FC"/>
    <w:rsid w:val="00122A3C"/>
    <w:rsid w:val="00123902"/>
    <w:rsid w:val="00123DAE"/>
    <w:rsid w:val="0012468E"/>
    <w:rsid w:val="00124A51"/>
    <w:rsid w:val="00126621"/>
    <w:rsid w:val="001267CE"/>
    <w:rsid w:val="00126B1D"/>
    <w:rsid w:val="001270CD"/>
    <w:rsid w:val="001301E9"/>
    <w:rsid w:val="00131D82"/>
    <w:rsid w:val="00132B22"/>
    <w:rsid w:val="0013391D"/>
    <w:rsid w:val="00133C64"/>
    <w:rsid w:val="00133D36"/>
    <w:rsid w:val="001363C1"/>
    <w:rsid w:val="00137645"/>
    <w:rsid w:val="0014015A"/>
    <w:rsid w:val="00140E99"/>
    <w:rsid w:val="0014152E"/>
    <w:rsid w:val="001423EE"/>
    <w:rsid w:val="00143E53"/>
    <w:rsid w:val="00143F67"/>
    <w:rsid w:val="0014493F"/>
    <w:rsid w:val="00145234"/>
    <w:rsid w:val="00145540"/>
    <w:rsid w:val="001456B0"/>
    <w:rsid w:val="00147F9A"/>
    <w:rsid w:val="0015150A"/>
    <w:rsid w:val="00152F58"/>
    <w:rsid w:val="00153DE0"/>
    <w:rsid w:val="00154055"/>
    <w:rsid w:val="001547AB"/>
    <w:rsid w:val="001549E9"/>
    <w:rsid w:val="00155442"/>
    <w:rsid w:val="001562C4"/>
    <w:rsid w:val="00156F8F"/>
    <w:rsid w:val="00157130"/>
    <w:rsid w:val="001576B1"/>
    <w:rsid w:val="0016047B"/>
    <w:rsid w:val="00160A4C"/>
    <w:rsid w:val="00160CBF"/>
    <w:rsid w:val="001626CC"/>
    <w:rsid w:val="00162913"/>
    <w:rsid w:val="00163EFF"/>
    <w:rsid w:val="00163F66"/>
    <w:rsid w:val="0016478E"/>
    <w:rsid w:val="00165EC4"/>
    <w:rsid w:val="001661FB"/>
    <w:rsid w:val="00166F2B"/>
    <w:rsid w:val="001671A0"/>
    <w:rsid w:val="0016767F"/>
    <w:rsid w:val="00170C84"/>
    <w:rsid w:val="00172039"/>
    <w:rsid w:val="001726D2"/>
    <w:rsid w:val="00173312"/>
    <w:rsid w:val="00173565"/>
    <w:rsid w:val="00173B07"/>
    <w:rsid w:val="00173CBA"/>
    <w:rsid w:val="00174A38"/>
    <w:rsid w:val="001751FA"/>
    <w:rsid w:val="001753AE"/>
    <w:rsid w:val="00175A9F"/>
    <w:rsid w:val="00181C10"/>
    <w:rsid w:val="00181D9C"/>
    <w:rsid w:val="00182164"/>
    <w:rsid w:val="00182F72"/>
    <w:rsid w:val="0018303D"/>
    <w:rsid w:val="001837FF"/>
    <w:rsid w:val="00184B0E"/>
    <w:rsid w:val="0018752F"/>
    <w:rsid w:val="0019072F"/>
    <w:rsid w:val="0019191D"/>
    <w:rsid w:val="00193838"/>
    <w:rsid w:val="00194AD8"/>
    <w:rsid w:val="00195222"/>
    <w:rsid w:val="00195452"/>
    <w:rsid w:val="001975D8"/>
    <w:rsid w:val="001A04FF"/>
    <w:rsid w:val="001A0B71"/>
    <w:rsid w:val="001A12AD"/>
    <w:rsid w:val="001A1787"/>
    <w:rsid w:val="001A178E"/>
    <w:rsid w:val="001A2457"/>
    <w:rsid w:val="001A296D"/>
    <w:rsid w:val="001A370F"/>
    <w:rsid w:val="001A3A72"/>
    <w:rsid w:val="001A43FA"/>
    <w:rsid w:val="001A47C5"/>
    <w:rsid w:val="001A59FB"/>
    <w:rsid w:val="001A5E9E"/>
    <w:rsid w:val="001A6354"/>
    <w:rsid w:val="001A6366"/>
    <w:rsid w:val="001A6916"/>
    <w:rsid w:val="001A6C56"/>
    <w:rsid w:val="001A73CD"/>
    <w:rsid w:val="001A7AE8"/>
    <w:rsid w:val="001B204E"/>
    <w:rsid w:val="001B2372"/>
    <w:rsid w:val="001B3443"/>
    <w:rsid w:val="001B4D20"/>
    <w:rsid w:val="001B6E09"/>
    <w:rsid w:val="001B7F84"/>
    <w:rsid w:val="001C16B3"/>
    <w:rsid w:val="001C2848"/>
    <w:rsid w:val="001C2A37"/>
    <w:rsid w:val="001C2A9B"/>
    <w:rsid w:val="001C36C9"/>
    <w:rsid w:val="001C3DD6"/>
    <w:rsid w:val="001C3E5E"/>
    <w:rsid w:val="001C4299"/>
    <w:rsid w:val="001C4874"/>
    <w:rsid w:val="001C563A"/>
    <w:rsid w:val="001C5F94"/>
    <w:rsid w:val="001C6652"/>
    <w:rsid w:val="001C6E66"/>
    <w:rsid w:val="001C70F1"/>
    <w:rsid w:val="001D0358"/>
    <w:rsid w:val="001D067B"/>
    <w:rsid w:val="001D1100"/>
    <w:rsid w:val="001D1391"/>
    <w:rsid w:val="001D25D7"/>
    <w:rsid w:val="001D28B6"/>
    <w:rsid w:val="001D29B9"/>
    <w:rsid w:val="001D50B2"/>
    <w:rsid w:val="001D71F4"/>
    <w:rsid w:val="001D7645"/>
    <w:rsid w:val="001E1E86"/>
    <w:rsid w:val="001E2185"/>
    <w:rsid w:val="001E238E"/>
    <w:rsid w:val="001E2483"/>
    <w:rsid w:val="001E2B1E"/>
    <w:rsid w:val="001E2CFF"/>
    <w:rsid w:val="001E2F24"/>
    <w:rsid w:val="001E30D4"/>
    <w:rsid w:val="001E34DF"/>
    <w:rsid w:val="001E52EB"/>
    <w:rsid w:val="001E61D2"/>
    <w:rsid w:val="001E740C"/>
    <w:rsid w:val="001F079E"/>
    <w:rsid w:val="001F0D21"/>
    <w:rsid w:val="001F0DF9"/>
    <w:rsid w:val="001F1235"/>
    <w:rsid w:val="001F1377"/>
    <w:rsid w:val="001F150D"/>
    <w:rsid w:val="001F1CB3"/>
    <w:rsid w:val="001F3174"/>
    <w:rsid w:val="001F38B5"/>
    <w:rsid w:val="001F3E6E"/>
    <w:rsid w:val="001F4081"/>
    <w:rsid w:val="001F554A"/>
    <w:rsid w:val="001F5661"/>
    <w:rsid w:val="001F5851"/>
    <w:rsid w:val="001F731A"/>
    <w:rsid w:val="001F7361"/>
    <w:rsid w:val="001F789F"/>
    <w:rsid w:val="002011B0"/>
    <w:rsid w:val="002013DB"/>
    <w:rsid w:val="00202D65"/>
    <w:rsid w:val="00203181"/>
    <w:rsid w:val="00203783"/>
    <w:rsid w:val="0020385F"/>
    <w:rsid w:val="0020469A"/>
    <w:rsid w:val="00204899"/>
    <w:rsid w:val="00204BEF"/>
    <w:rsid w:val="002068A0"/>
    <w:rsid w:val="00206BD7"/>
    <w:rsid w:val="00207021"/>
    <w:rsid w:val="0020732F"/>
    <w:rsid w:val="00207CAE"/>
    <w:rsid w:val="00207D00"/>
    <w:rsid w:val="002105C1"/>
    <w:rsid w:val="002111EA"/>
    <w:rsid w:val="002116D9"/>
    <w:rsid w:val="002116FD"/>
    <w:rsid w:val="00212193"/>
    <w:rsid w:val="00213940"/>
    <w:rsid w:val="00213EF5"/>
    <w:rsid w:val="00215923"/>
    <w:rsid w:val="00216843"/>
    <w:rsid w:val="00216BF5"/>
    <w:rsid w:val="00217053"/>
    <w:rsid w:val="0022083F"/>
    <w:rsid w:val="00223B49"/>
    <w:rsid w:val="00223D5A"/>
    <w:rsid w:val="00223DA8"/>
    <w:rsid w:val="00224DD4"/>
    <w:rsid w:val="002272CF"/>
    <w:rsid w:val="002278A0"/>
    <w:rsid w:val="002309CC"/>
    <w:rsid w:val="00231110"/>
    <w:rsid w:val="00231BA9"/>
    <w:rsid w:val="0023209F"/>
    <w:rsid w:val="0023239B"/>
    <w:rsid w:val="00233C01"/>
    <w:rsid w:val="0023413C"/>
    <w:rsid w:val="002346F0"/>
    <w:rsid w:val="0023629D"/>
    <w:rsid w:val="00237255"/>
    <w:rsid w:val="002405B2"/>
    <w:rsid w:val="002424AF"/>
    <w:rsid w:val="00242D46"/>
    <w:rsid w:val="002439DC"/>
    <w:rsid w:val="002441D2"/>
    <w:rsid w:val="00244DC8"/>
    <w:rsid w:val="0024520A"/>
    <w:rsid w:val="002458BA"/>
    <w:rsid w:val="00245CE9"/>
    <w:rsid w:val="0024636C"/>
    <w:rsid w:val="00247925"/>
    <w:rsid w:val="00250C88"/>
    <w:rsid w:val="00250C99"/>
    <w:rsid w:val="00250E9B"/>
    <w:rsid w:val="00251006"/>
    <w:rsid w:val="00251800"/>
    <w:rsid w:val="002524D5"/>
    <w:rsid w:val="00252C38"/>
    <w:rsid w:val="00253B1D"/>
    <w:rsid w:val="00254DCF"/>
    <w:rsid w:val="0025534B"/>
    <w:rsid w:val="00255BB7"/>
    <w:rsid w:val="002571E1"/>
    <w:rsid w:val="00257541"/>
    <w:rsid w:val="00257A39"/>
    <w:rsid w:val="00257AC4"/>
    <w:rsid w:val="00257BBE"/>
    <w:rsid w:val="002600D3"/>
    <w:rsid w:val="00260857"/>
    <w:rsid w:val="00261EEF"/>
    <w:rsid w:val="00262A1A"/>
    <w:rsid w:val="00262A87"/>
    <w:rsid w:val="00262AB9"/>
    <w:rsid w:val="00262E6B"/>
    <w:rsid w:val="00264D26"/>
    <w:rsid w:val="00266353"/>
    <w:rsid w:val="00267642"/>
    <w:rsid w:val="00267AEA"/>
    <w:rsid w:val="002700E6"/>
    <w:rsid w:val="002713E3"/>
    <w:rsid w:val="0027294B"/>
    <w:rsid w:val="00273EB4"/>
    <w:rsid w:val="00274682"/>
    <w:rsid w:val="00275158"/>
    <w:rsid w:val="00275487"/>
    <w:rsid w:val="0027576F"/>
    <w:rsid w:val="00275C5A"/>
    <w:rsid w:val="0027670F"/>
    <w:rsid w:val="002806E2"/>
    <w:rsid w:val="00281014"/>
    <w:rsid w:val="0028258E"/>
    <w:rsid w:val="00285BCE"/>
    <w:rsid w:val="0028665D"/>
    <w:rsid w:val="00286934"/>
    <w:rsid w:val="0028721A"/>
    <w:rsid w:val="00290E7A"/>
    <w:rsid w:val="002944B6"/>
    <w:rsid w:val="00297E6E"/>
    <w:rsid w:val="002A0567"/>
    <w:rsid w:val="002A14AB"/>
    <w:rsid w:val="002A1702"/>
    <w:rsid w:val="002A2ADE"/>
    <w:rsid w:val="002A2F50"/>
    <w:rsid w:val="002A307B"/>
    <w:rsid w:val="002A3BC0"/>
    <w:rsid w:val="002A4C44"/>
    <w:rsid w:val="002A4E8E"/>
    <w:rsid w:val="002A5551"/>
    <w:rsid w:val="002A7943"/>
    <w:rsid w:val="002A797D"/>
    <w:rsid w:val="002B0072"/>
    <w:rsid w:val="002B0454"/>
    <w:rsid w:val="002B05A1"/>
    <w:rsid w:val="002B0692"/>
    <w:rsid w:val="002B09A4"/>
    <w:rsid w:val="002B14BB"/>
    <w:rsid w:val="002B1C1F"/>
    <w:rsid w:val="002B293D"/>
    <w:rsid w:val="002B3425"/>
    <w:rsid w:val="002B344E"/>
    <w:rsid w:val="002B432F"/>
    <w:rsid w:val="002B62B3"/>
    <w:rsid w:val="002B6754"/>
    <w:rsid w:val="002B6AF1"/>
    <w:rsid w:val="002B6CCE"/>
    <w:rsid w:val="002C2510"/>
    <w:rsid w:val="002C2775"/>
    <w:rsid w:val="002C27C1"/>
    <w:rsid w:val="002C36E3"/>
    <w:rsid w:val="002C42EE"/>
    <w:rsid w:val="002C4506"/>
    <w:rsid w:val="002C5099"/>
    <w:rsid w:val="002C5889"/>
    <w:rsid w:val="002C71CE"/>
    <w:rsid w:val="002D08F8"/>
    <w:rsid w:val="002D2DFE"/>
    <w:rsid w:val="002D42BD"/>
    <w:rsid w:val="002D577C"/>
    <w:rsid w:val="002D7832"/>
    <w:rsid w:val="002E040B"/>
    <w:rsid w:val="002E05BE"/>
    <w:rsid w:val="002E0904"/>
    <w:rsid w:val="002E1071"/>
    <w:rsid w:val="002E15B9"/>
    <w:rsid w:val="002E2158"/>
    <w:rsid w:val="002E255D"/>
    <w:rsid w:val="002E2750"/>
    <w:rsid w:val="002E4F02"/>
    <w:rsid w:val="002E6DB7"/>
    <w:rsid w:val="002E6FDC"/>
    <w:rsid w:val="002E704E"/>
    <w:rsid w:val="002E7722"/>
    <w:rsid w:val="002F013D"/>
    <w:rsid w:val="002F07BA"/>
    <w:rsid w:val="002F0DA9"/>
    <w:rsid w:val="002F0F9C"/>
    <w:rsid w:val="002F1014"/>
    <w:rsid w:val="002F1E3B"/>
    <w:rsid w:val="002F245E"/>
    <w:rsid w:val="002F315E"/>
    <w:rsid w:val="002F58C7"/>
    <w:rsid w:val="002F643C"/>
    <w:rsid w:val="002F6463"/>
    <w:rsid w:val="002F71C0"/>
    <w:rsid w:val="002F74D4"/>
    <w:rsid w:val="002F74F1"/>
    <w:rsid w:val="00301017"/>
    <w:rsid w:val="0030155F"/>
    <w:rsid w:val="00301E07"/>
    <w:rsid w:val="00302F91"/>
    <w:rsid w:val="0030587B"/>
    <w:rsid w:val="00305D73"/>
    <w:rsid w:val="00306D91"/>
    <w:rsid w:val="00306D98"/>
    <w:rsid w:val="00307861"/>
    <w:rsid w:val="0030786C"/>
    <w:rsid w:val="0031031A"/>
    <w:rsid w:val="00310981"/>
    <w:rsid w:val="00311D9B"/>
    <w:rsid w:val="003124D9"/>
    <w:rsid w:val="00312594"/>
    <w:rsid w:val="00313247"/>
    <w:rsid w:val="003134DE"/>
    <w:rsid w:val="00315498"/>
    <w:rsid w:val="00316474"/>
    <w:rsid w:val="00320030"/>
    <w:rsid w:val="00320F9B"/>
    <w:rsid w:val="003217A0"/>
    <w:rsid w:val="00321B7B"/>
    <w:rsid w:val="00322107"/>
    <w:rsid w:val="00322355"/>
    <w:rsid w:val="00322846"/>
    <w:rsid w:val="00322F31"/>
    <w:rsid w:val="00324B6C"/>
    <w:rsid w:val="003267CC"/>
    <w:rsid w:val="00326DA7"/>
    <w:rsid w:val="003270E4"/>
    <w:rsid w:val="00327894"/>
    <w:rsid w:val="003279A1"/>
    <w:rsid w:val="00330DAA"/>
    <w:rsid w:val="00330F5C"/>
    <w:rsid w:val="0033118F"/>
    <w:rsid w:val="003335FD"/>
    <w:rsid w:val="00334004"/>
    <w:rsid w:val="0033442B"/>
    <w:rsid w:val="00335282"/>
    <w:rsid w:val="00335434"/>
    <w:rsid w:val="003366C9"/>
    <w:rsid w:val="003371B0"/>
    <w:rsid w:val="00340DA5"/>
    <w:rsid w:val="00340DF1"/>
    <w:rsid w:val="003414C1"/>
    <w:rsid w:val="00342F20"/>
    <w:rsid w:val="0034397D"/>
    <w:rsid w:val="00344793"/>
    <w:rsid w:val="00344F1C"/>
    <w:rsid w:val="003517F9"/>
    <w:rsid w:val="00351BA9"/>
    <w:rsid w:val="003528E7"/>
    <w:rsid w:val="00354F64"/>
    <w:rsid w:val="0035620E"/>
    <w:rsid w:val="003575BE"/>
    <w:rsid w:val="00360345"/>
    <w:rsid w:val="00360937"/>
    <w:rsid w:val="00361032"/>
    <w:rsid w:val="00361A05"/>
    <w:rsid w:val="003624C4"/>
    <w:rsid w:val="00363B00"/>
    <w:rsid w:val="003654AC"/>
    <w:rsid w:val="003707F2"/>
    <w:rsid w:val="003710CF"/>
    <w:rsid w:val="003728AD"/>
    <w:rsid w:val="0037358A"/>
    <w:rsid w:val="00374AC5"/>
    <w:rsid w:val="003750F6"/>
    <w:rsid w:val="00375CA7"/>
    <w:rsid w:val="003760FC"/>
    <w:rsid w:val="00376721"/>
    <w:rsid w:val="003774BA"/>
    <w:rsid w:val="0038365C"/>
    <w:rsid w:val="0038369B"/>
    <w:rsid w:val="00383B78"/>
    <w:rsid w:val="00385A9D"/>
    <w:rsid w:val="00386097"/>
    <w:rsid w:val="00387121"/>
    <w:rsid w:val="00387585"/>
    <w:rsid w:val="003902B1"/>
    <w:rsid w:val="0039179C"/>
    <w:rsid w:val="00396896"/>
    <w:rsid w:val="003968E9"/>
    <w:rsid w:val="00396FD0"/>
    <w:rsid w:val="003A1A7A"/>
    <w:rsid w:val="003A2392"/>
    <w:rsid w:val="003A2464"/>
    <w:rsid w:val="003A2831"/>
    <w:rsid w:val="003A3CB6"/>
    <w:rsid w:val="003A3ED1"/>
    <w:rsid w:val="003A44DB"/>
    <w:rsid w:val="003A4C14"/>
    <w:rsid w:val="003B0913"/>
    <w:rsid w:val="003B2544"/>
    <w:rsid w:val="003B2776"/>
    <w:rsid w:val="003B3971"/>
    <w:rsid w:val="003B3F8F"/>
    <w:rsid w:val="003B4E6C"/>
    <w:rsid w:val="003B529E"/>
    <w:rsid w:val="003B55D1"/>
    <w:rsid w:val="003B5B61"/>
    <w:rsid w:val="003C1654"/>
    <w:rsid w:val="003C31A2"/>
    <w:rsid w:val="003C45C9"/>
    <w:rsid w:val="003C5542"/>
    <w:rsid w:val="003C5E72"/>
    <w:rsid w:val="003C6724"/>
    <w:rsid w:val="003C7C15"/>
    <w:rsid w:val="003C7D19"/>
    <w:rsid w:val="003C7D2F"/>
    <w:rsid w:val="003D0C5A"/>
    <w:rsid w:val="003D1267"/>
    <w:rsid w:val="003D1828"/>
    <w:rsid w:val="003D1DE4"/>
    <w:rsid w:val="003D1E9A"/>
    <w:rsid w:val="003D22E2"/>
    <w:rsid w:val="003D2422"/>
    <w:rsid w:val="003D298C"/>
    <w:rsid w:val="003D321A"/>
    <w:rsid w:val="003D363E"/>
    <w:rsid w:val="003D39A1"/>
    <w:rsid w:val="003D3BAA"/>
    <w:rsid w:val="003D3FBF"/>
    <w:rsid w:val="003D4A30"/>
    <w:rsid w:val="003D4E7F"/>
    <w:rsid w:val="003D7452"/>
    <w:rsid w:val="003D79BB"/>
    <w:rsid w:val="003D7C98"/>
    <w:rsid w:val="003D7D9D"/>
    <w:rsid w:val="003E0543"/>
    <w:rsid w:val="003E1699"/>
    <w:rsid w:val="003E2A8F"/>
    <w:rsid w:val="003E49B5"/>
    <w:rsid w:val="003E5603"/>
    <w:rsid w:val="003E749E"/>
    <w:rsid w:val="003F0FAC"/>
    <w:rsid w:val="003F4156"/>
    <w:rsid w:val="003F5ADF"/>
    <w:rsid w:val="003F6E30"/>
    <w:rsid w:val="00400B29"/>
    <w:rsid w:val="00402812"/>
    <w:rsid w:val="004029D0"/>
    <w:rsid w:val="00402BC9"/>
    <w:rsid w:val="0040383E"/>
    <w:rsid w:val="0040504B"/>
    <w:rsid w:val="004059F4"/>
    <w:rsid w:val="0040661D"/>
    <w:rsid w:val="0040664D"/>
    <w:rsid w:val="00407C65"/>
    <w:rsid w:val="00407FE5"/>
    <w:rsid w:val="004101B0"/>
    <w:rsid w:val="00410326"/>
    <w:rsid w:val="00410708"/>
    <w:rsid w:val="00410EC7"/>
    <w:rsid w:val="00411B39"/>
    <w:rsid w:val="004127A7"/>
    <w:rsid w:val="00413A1E"/>
    <w:rsid w:val="00414476"/>
    <w:rsid w:val="00414C2E"/>
    <w:rsid w:val="004151CF"/>
    <w:rsid w:val="0041541A"/>
    <w:rsid w:val="00416364"/>
    <w:rsid w:val="004163E7"/>
    <w:rsid w:val="0042047F"/>
    <w:rsid w:val="00420AA6"/>
    <w:rsid w:val="00420B9F"/>
    <w:rsid w:val="0042192C"/>
    <w:rsid w:val="00421BD2"/>
    <w:rsid w:val="00421EE0"/>
    <w:rsid w:val="00422260"/>
    <w:rsid w:val="00422797"/>
    <w:rsid w:val="0042376D"/>
    <w:rsid w:val="0042413F"/>
    <w:rsid w:val="00427305"/>
    <w:rsid w:val="0042736F"/>
    <w:rsid w:val="004316E2"/>
    <w:rsid w:val="004319F8"/>
    <w:rsid w:val="00431E55"/>
    <w:rsid w:val="004321F6"/>
    <w:rsid w:val="00433044"/>
    <w:rsid w:val="00434088"/>
    <w:rsid w:val="004354F6"/>
    <w:rsid w:val="004355BA"/>
    <w:rsid w:val="004375B9"/>
    <w:rsid w:val="004413C8"/>
    <w:rsid w:val="004421C8"/>
    <w:rsid w:val="004428D0"/>
    <w:rsid w:val="00444185"/>
    <w:rsid w:val="004443A7"/>
    <w:rsid w:val="0044442C"/>
    <w:rsid w:val="00445941"/>
    <w:rsid w:val="00445B91"/>
    <w:rsid w:val="004464EB"/>
    <w:rsid w:val="00446CD3"/>
    <w:rsid w:val="00446E7E"/>
    <w:rsid w:val="00447D26"/>
    <w:rsid w:val="00447DFC"/>
    <w:rsid w:val="00451FA0"/>
    <w:rsid w:val="00454176"/>
    <w:rsid w:val="00454F6D"/>
    <w:rsid w:val="00455D45"/>
    <w:rsid w:val="00464595"/>
    <w:rsid w:val="004648AF"/>
    <w:rsid w:val="00464D04"/>
    <w:rsid w:val="004658B5"/>
    <w:rsid w:val="004679B5"/>
    <w:rsid w:val="00470241"/>
    <w:rsid w:val="0047092D"/>
    <w:rsid w:val="00471EA5"/>
    <w:rsid w:val="00472A79"/>
    <w:rsid w:val="00473F19"/>
    <w:rsid w:val="00474328"/>
    <w:rsid w:val="00475E22"/>
    <w:rsid w:val="00476AA4"/>
    <w:rsid w:val="00477F0A"/>
    <w:rsid w:val="004801BE"/>
    <w:rsid w:val="0048088E"/>
    <w:rsid w:val="00480926"/>
    <w:rsid w:val="00480F2B"/>
    <w:rsid w:val="00482720"/>
    <w:rsid w:val="004835E7"/>
    <w:rsid w:val="004859E1"/>
    <w:rsid w:val="004860AE"/>
    <w:rsid w:val="004864D0"/>
    <w:rsid w:val="004867E2"/>
    <w:rsid w:val="0049070C"/>
    <w:rsid w:val="00490B17"/>
    <w:rsid w:val="00491427"/>
    <w:rsid w:val="004914AD"/>
    <w:rsid w:val="00491B3A"/>
    <w:rsid w:val="00492CFD"/>
    <w:rsid w:val="004941F4"/>
    <w:rsid w:val="00494207"/>
    <w:rsid w:val="00494DD5"/>
    <w:rsid w:val="00494DDC"/>
    <w:rsid w:val="00495651"/>
    <w:rsid w:val="004962D2"/>
    <w:rsid w:val="004A0B11"/>
    <w:rsid w:val="004A0DA1"/>
    <w:rsid w:val="004A13D6"/>
    <w:rsid w:val="004A1837"/>
    <w:rsid w:val="004A1B15"/>
    <w:rsid w:val="004A26D4"/>
    <w:rsid w:val="004A52E9"/>
    <w:rsid w:val="004A530A"/>
    <w:rsid w:val="004A6040"/>
    <w:rsid w:val="004A6597"/>
    <w:rsid w:val="004A7128"/>
    <w:rsid w:val="004A7848"/>
    <w:rsid w:val="004A793B"/>
    <w:rsid w:val="004B1CB4"/>
    <w:rsid w:val="004B2DDF"/>
    <w:rsid w:val="004B2F18"/>
    <w:rsid w:val="004B309C"/>
    <w:rsid w:val="004B3DDB"/>
    <w:rsid w:val="004B44FD"/>
    <w:rsid w:val="004B4619"/>
    <w:rsid w:val="004B47B7"/>
    <w:rsid w:val="004B5CFC"/>
    <w:rsid w:val="004B63E3"/>
    <w:rsid w:val="004B6F79"/>
    <w:rsid w:val="004B774D"/>
    <w:rsid w:val="004C1B31"/>
    <w:rsid w:val="004C2AC2"/>
    <w:rsid w:val="004C4AED"/>
    <w:rsid w:val="004C506A"/>
    <w:rsid w:val="004C5614"/>
    <w:rsid w:val="004D106E"/>
    <w:rsid w:val="004D2C2D"/>
    <w:rsid w:val="004D344E"/>
    <w:rsid w:val="004D41C8"/>
    <w:rsid w:val="004D69B5"/>
    <w:rsid w:val="004D7227"/>
    <w:rsid w:val="004D755C"/>
    <w:rsid w:val="004D7B5E"/>
    <w:rsid w:val="004E0466"/>
    <w:rsid w:val="004E0E7F"/>
    <w:rsid w:val="004E0EB8"/>
    <w:rsid w:val="004E18E9"/>
    <w:rsid w:val="004E2ADC"/>
    <w:rsid w:val="004E2C8E"/>
    <w:rsid w:val="004E2FF1"/>
    <w:rsid w:val="004E407F"/>
    <w:rsid w:val="004E43B2"/>
    <w:rsid w:val="004E4F78"/>
    <w:rsid w:val="004E6542"/>
    <w:rsid w:val="004F12E6"/>
    <w:rsid w:val="004F1751"/>
    <w:rsid w:val="004F1D02"/>
    <w:rsid w:val="004F2176"/>
    <w:rsid w:val="004F2679"/>
    <w:rsid w:val="004F2F21"/>
    <w:rsid w:val="004F3DE5"/>
    <w:rsid w:val="004F5D2C"/>
    <w:rsid w:val="004F6913"/>
    <w:rsid w:val="004F6E23"/>
    <w:rsid w:val="004F7865"/>
    <w:rsid w:val="0050174E"/>
    <w:rsid w:val="00501854"/>
    <w:rsid w:val="0050219B"/>
    <w:rsid w:val="0050337A"/>
    <w:rsid w:val="005035E5"/>
    <w:rsid w:val="00503F17"/>
    <w:rsid w:val="00503F3A"/>
    <w:rsid w:val="00506333"/>
    <w:rsid w:val="00506405"/>
    <w:rsid w:val="00506928"/>
    <w:rsid w:val="00506962"/>
    <w:rsid w:val="005077EF"/>
    <w:rsid w:val="005103AE"/>
    <w:rsid w:val="00511AD5"/>
    <w:rsid w:val="00511DC7"/>
    <w:rsid w:val="0051209E"/>
    <w:rsid w:val="00512FE5"/>
    <w:rsid w:val="005142C5"/>
    <w:rsid w:val="0051501B"/>
    <w:rsid w:val="005152B5"/>
    <w:rsid w:val="00515886"/>
    <w:rsid w:val="0051658C"/>
    <w:rsid w:val="00520354"/>
    <w:rsid w:val="0052123C"/>
    <w:rsid w:val="00521319"/>
    <w:rsid w:val="0052157D"/>
    <w:rsid w:val="00522BC8"/>
    <w:rsid w:val="0052320B"/>
    <w:rsid w:val="005237F1"/>
    <w:rsid w:val="00523970"/>
    <w:rsid w:val="00523C28"/>
    <w:rsid w:val="005248A4"/>
    <w:rsid w:val="005261BA"/>
    <w:rsid w:val="00526A80"/>
    <w:rsid w:val="0053176B"/>
    <w:rsid w:val="005341B3"/>
    <w:rsid w:val="00536F42"/>
    <w:rsid w:val="00537182"/>
    <w:rsid w:val="00541280"/>
    <w:rsid w:val="00541EDD"/>
    <w:rsid w:val="00542743"/>
    <w:rsid w:val="00542C2D"/>
    <w:rsid w:val="00543886"/>
    <w:rsid w:val="005478BD"/>
    <w:rsid w:val="005479E3"/>
    <w:rsid w:val="00550AB6"/>
    <w:rsid w:val="0055165D"/>
    <w:rsid w:val="00551830"/>
    <w:rsid w:val="00551985"/>
    <w:rsid w:val="00552BD3"/>
    <w:rsid w:val="005532A0"/>
    <w:rsid w:val="0055440E"/>
    <w:rsid w:val="00555109"/>
    <w:rsid w:val="00556B35"/>
    <w:rsid w:val="00556DFF"/>
    <w:rsid w:val="005570AF"/>
    <w:rsid w:val="005571B8"/>
    <w:rsid w:val="0055741A"/>
    <w:rsid w:val="00560193"/>
    <w:rsid w:val="005606F8"/>
    <w:rsid w:val="00560745"/>
    <w:rsid w:val="005611B7"/>
    <w:rsid w:val="00561228"/>
    <w:rsid w:val="005618D4"/>
    <w:rsid w:val="00562328"/>
    <w:rsid w:val="00563681"/>
    <w:rsid w:val="00564867"/>
    <w:rsid w:val="00565C79"/>
    <w:rsid w:val="00565DF0"/>
    <w:rsid w:val="0056696F"/>
    <w:rsid w:val="00567823"/>
    <w:rsid w:val="00572269"/>
    <w:rsid w:val="0057244A"/>
    <w:rsid w:val="00572F26"/>
    <w:rsid w:val="005750C5"/>
    <w:rsid w:val="005752DE"/>
    <w:rsid w:val="00575D60"/>
    <w:rsid w:val="00575D8D"/>
    <w:rsid w:val="00576972"/>
    <w:rsid w:val="00577248"/>
    <w:rsid w:val="00580277"/>
    <w:rsid w:val="00583699"/>
    <w:rsid w:val="00584088"/>
    <w:rsid w:val="005858D0"/>
    <w:rsid w:val="00585A3D"/>
    <w:rsid w:val="00585CDD"/>
    <w:rsid w:val="00587058"/>
    <w:rsid w:val="00587AA8"/>
    <w:rsid w:val="00590164"/>
    <w:rsid w:val="00590676"/>
    <w:rsid w:val="00591957"/>
    <w:rsid w:val="005923AB"/>
    <w:rsid w:val="00592F13"/>
    <w:rsid w:val="00593C74"/>
    <w:rsid w:val="00596381"/>
    <w:rsid w:val="00597BF9"/>
    <w:rsid w:val="005A0C11"/>
    <w:rsid w:val="005A1548"/>
    <w:rsid w:val="005A2CBA"/>
    <w:rsid w:val="005A309A"/>
    <w:rsid w:val="005A373D"/>
    <w:rsid w:val="005A396D"/>
    <w:rsid w:val="005A3C9B"/>
    <w:rsid w:val="005A647C"/>
    <w:rsid w:val="005A6B39"/>
    <w:rsid w:val="005A73A0"/>
    <w:rsid w:val="005B0195"/>
    <w:rsid w:val="005B0B58"/>
    <w:rsid w:val="005B23E4"/>
    <w:rsid w:val="005B4E53"/>
    <w:rsid w:val="005B5857"/>
    <w:rsid w:val="005B6B10"/>
    <w:rsid w:val="005C19C4"/>
    <w:rsid w:val="005C1B83"/>
    <w:rsid w:val="005C25FF"/>
    <w:rsid w:val="005C2746"/>
    <w:rsid w:val="005C2D55"/>
    <w:rsid w:val="005C346B"/>
    <w:rsid w:val="005C5ABC"/>
    <w:rsid w:val="005D044D"/>
    <w:rsid w:val="005D0880"/>
    <w:rsid w:val="005D0ABD"/>
    <w:rsid w:val="005D18AD"/>
    <w:rsid w:val="005D26B4"/>
    <w:rsid w:val="005D36A3"/>
    <w:rsid w:val="005E1995"/>
    <w:rsid w:val="005E4B0F"/>
    <w:rsid w:val="005E5B34"/>
    <w:rsid w:val="005E6623"/>
    <w:rsid w:val="005E6CBC"/>
    <w:rsid w:val="005E72FF"/>
    <w:rsid w:val="005E73C0"/>
    <w:rsid w:val="005F07ED"/>
    <w:rsid w:val="005F2706"/>
    <w:rsid w:val="005F36E8"/>
    <w:rsid w:val="005F5003"/>
    <w:rsid w:val="005F6A8F"/>
    <w:rsid w:val="005F6BB7"/>
    <w:rsid w:val="005F7588"/>
    <w:rsid w:val="005F7D63"/>
    <w:rsid w:val="00600F98"/>
    <w:rsid w:val="00601824"/>
    <w:rsid w:val="00603DB9"/>
    <w:rsid w:val="006064BA"/>
    <w:rsid w:val="00606FBA"/>
    <w:rsid w:val="00607669"/>
    <w:rsid w:val="006076F4"/>
    <w:rsid w:val="00607AFD"/>
    <w:rsid w:val="00607B43"/>
    <w:rsid w:val="00610F9D"/>
    <w:rsid w:val="00611B12"/>
    <w:rsid w:val="006122BC"/>
    <w:rsid w:val="00612F97"/>
    <w:rsid w:val="0061345D"/>
    <w:rsid w:val="00613C5E"/>
    <w:rsid w:val="0061549B"/>
    <w:rsid w:val="00616802"/>
    <w:rsid w:val="00617E12"/>
    <w:rsid w:val="00620C25"/>
    <w:rsid w:val="00621477"/>
    <w:rsid w:val="00621ADA"/>
    <w:rsid w:val="00623222"/>
    <w:rsid w:val="00623F7B"/>
    <w:rsid w:val="00624BD4"/>
    <w:rsid w:val="00626DAD"/>
    <w:rsid w:val="00630347"/>
    <w:rsid w:val="0063158F"/>
    <w:rsid w:val="00631D6B"/>
    <w:rsid w:val="00632183"/>
    <w:rsid w:val="00632205"/>
    <w:rsid w:val="00632EA8"/>
    <w:rsid w:val="006330A1"/>
    <w:rsid w:val="006333E7"/>
    <w:rsid w:val="006346BF"/>
    <w:rsid w:val="0063479F"/>
    <w:rsid w:val="006353F0"/>
    <w:rsid w:val="006357B5"/>
    <w:rsid w:val="00636160"/>
    <w:rsid w:val="006364A1"/>
    <w:rsid w:val="0063678E"/>
    <w:rsid w:val="00637087"/>
    <w:rsid w:val="006370F5"/>
    <w:rsid w:val="00637BFD"/>
    <w:rsid w:val="00637C5C"/>
    <w:rsid w:val="00640F9B"/>
    <w:rsid w:val="00641C4E"/>
    <w:rsid w:val="00641FB3"/>
    <w:rsid w:val="0064434C"/>
    <w:rsid w:val="0064581F"/>
    <w:rsid w:val="00645BAC"/>
    <w:rsid w:val="00646579"/>
    <w:rsid w:val="006471CC"/>
    <w:rsid w:val="006472FE"/>
    <w:rsid w:val="00647779"/>
    <w:rsid w:val="00647A29"/>
    <w:rsid w:val="00647F20"/>
    <w:rsid w:val="0065079F"/>
    <w:rsid w:val="00651B5F"/>
    <w:rsid w:val="006526F6"/>
    <w:rsid w:val="00652A28"/>
    <w:rsid w:val="00653502"/>
    <w:rsid w:val="00653520"/>
    <w:rsid w:val="0065379F"/>
    <w:rsid w:val="00653CA9"/>
    <w:rsid w:val="00655251"/>
    <w:rsid w:val="0065565B"/>
    <w:rsid w:val="00656188"/>
    <w:rsid w:val="0065715A"/>
    <w:rsid w:val="00657552"/>
    <w:rsid w:val="0065774A"/>
    <w:rsid w:val="00657AD2"/>
    <w:rsid w:val="00657C34"/>
    <w:rsid w:val="00660AC6"/>
    <w:rsid w:val="00660D73"/>
    <w:rsid w:val="006610F1"/>
    <w:rsid w:val="00661C6B"/>
    <w:rsid w:val="00662D3E"/>
    <w:rsid w:val="00662EE6"/>
    <w:rsid w:val="0066701C"/>
    <w:rsid w:val="00667BE3"/>
    <w:rsid w:val="00671004"/>
    <w:rsid w:val="00671FE3"/>
    <w:rsid w:val="00672646"/>
    <w:rsid w:val="00674E42"/>
    <w:rsid w:val="00676563"/>
    <w:rsid w:val="00680E18"/>
    <w:rsid w:val="006813F8"/>
    <w:rsid w:val="00682112"/>
    <w:rsid w:val="0068293F"/>
    <w:rsid w:val="00682BA6"/>
    <w:rsid w:val="00684F6E"/>
    <w:rsid w:val="00686957"/>
    <w:rsid w:val="006872BA"/>
    <w:rsid w:val="00687807"/>
    <w:rsid w:val="00690795"/>
    <w:rsid w:val="00691648"/>
    <w:rsid w:val="006917D7"/>
    <w:rsid w:val="00693BF3"/>
    <w:rsid w:val="0069434C"/>
    <w:rsid w:val="006945F9"/>
    <w:rsid w:val="00694F44"/>
    <w:rsid w:val="00696736"/>
    <w:rsid w:val="00696BCF"/>
    <w:rsid w:val="00696EF9"/>
    <w:rsid w:val="00696F51"/>
    <w:rsid w:val="006979A5"/>
    <w:rsid w:val="00697F80"/>
    <w:rsid w:val="006A016F"/>
    <w:rsid w:val="006A06E1"/>
    <w:rsid w:val="006A0DF7"/>
    <w:rsid w:val="006A1A44"/>
    <w:rsid w:val="006A4321"/>
    <w:rsid w:val="006A43D9"/>
    <w:rsid w:val="006A4764"/>
    <w:rsid w:val="006A6B99"/>
    <w:rsid w:val="006A7DB8"/>
    <w:rsid w:val="006A7E5F"/>
    <w:rsid w:val="006B261B"/>
    <w:rsid w:val="006B2C90"/>
    <w:rsid w:val="006B35E6"/>
    <w:rsid w:val="006B465A"/>
    <w:rsid w:val="006B56E6"/>
    <w:rsid w:val="006B5C45"/>
    <w:rsid w:val="006B6DD0"/>
    <w:rsid w:val="006B7F3B"/>
    <w:rsid w:val="006C007A"/>
    <w:rsid w:val="006C0399"/>
    <w:rsid w:val="006C06AF"/>
    <w:rsid w:val="006C2A8E"/>
    <w:rsid w:val="006C3255"/>
    <w:rsid w:val="006C3F26"/>
    <w:rsid w:val="006C716D"/>
    <w:rsid w:val="006D020E"/>
    <w:rsid w:val="006D0D17"/>
    <w:rsid w:val="006D2073"/>
    <w:rsid w:val="006D2ADA"/>
    <w:rsid w:val="006D3C7D"/>
    <w:rsid w:val="006D4659"/>
    <w:rsid w:val="006D4BEC"/>
    <w:rsid w:val="006D5910"/>
    <w:rsid w:val="006D5930"/>
    <w:rsid w:val="006D5D5F"/>
    <w:rsid w:val="006D68FB"/>
    <w:rsid w:val="006D6EB2"/>
    <w:rsid w:val="006D77BD"/>
    <w:rsid w:val="006E02A2"/>
    <w:rsid w:val="006E0A54"/>
    <w:rsid w:val="006E0DFA"/>
    <w:rsid w:val="006E0FD3"/>
    <w:rsid w:val="006E23A3"/>
    <w:rsid w:val="006E2868"/>
    <w:rsid w:val="006E4289"/>
    <w:rsid w:val="006E5C6B"/>
    <w:rsid w:val="006F0188"/>
    <w:rsid w:val="006F0AA0"/>
    <w:rsid w:val="006F170B"/>
    <w:rsid w:val="006F306C"/>
    <w:rsid w:val="006F589A"/>
    <w:rsid w:val="006F63A5"/>
    <w:rsid w:val="00700890"/>
    <w:rsid w:val="0070142B"/>
    <w:rsid w:val="00701E77"/>
    <w:rsid w:val="0070276E"/>
    <w:rsid w:val="00702F8F"/>
    <w:rsid w:val="00705B2A"/>
    <w:rsid w:val="007079FC"/>
    <w:rsid w:val="00711A36"/>
    <w:rsid w:val="007125D3"/>
    <w:rsid w:val="00713FCD"/>
    <w:rsid w:val="00714C26"/>
    <w:rsid w:val="0071529C"/>
    <w:rsid w:val="007170DA"/>
    <w:rsid w:val="007172AD"/>
    <w:rsid w:val="00717546"/>
    <w:rsid w:val="00720801"/>
    <w:rsid w:val="007208D9"/>
    <w:rsid w:val="0072133A"/>
    <w:rsid w:val="007216BF"/>
    <w:rsid w:val="00722B1B"/>
    <w:rsid w:val="0072416F"/>
    <w:rsid w:val="007251FA"/>
    <w:rsid w:val="0072594F"/>
    <w:rsid w:val="00727C94"/>
    <w:rsid w:val="00730863"/>
    <w:rsid w:val="00731B0A"/>
    <w:rsid w:val="00731EAE"/>
    <w:rsid w:val="00732005"/>
    <w:rsid w:val="00733073"/>
    <w:rsid w:val="00735033"/>
    <w:rsid w:val="00735328"/>
    <w:rsid w:val="00735F10"/>
    <w:rsid w:val="0073685B"/>
    <w:rsid w:val="00736CFF"/>
    <w:rsid w:val="00740DE2"/>
    <w:rsid w:val="0074106F"/>
    <w:rsid w:val="00743AB4"/>
    <w:rsid w:val="00743B99"/>
    <w:rsid w:val="007449BF"/>
    <w:rsid w:val="007462DE"/>
    <w:rsid w:val="007463FE"/>
    <w:rsid w:val="00746BC0"/>
    <w:rsid w:val="007477FD"/>
    <w:rsid w:val="00747985"/>
    <w:rsid w:val="007510B4"/>
    <w:rsid w:val="00752142"/>
    <w:rsid w:val="007523F9"/>
    <w:rsid w:val="0075357E"/>
    <w:rsid w:val="00753B29"/>
    <w:rsid w:val="007554DC"/>
    <w:rsid w:val="00756600"/>
    <w:rsid w:val="00756C81"/>
    <w:rsid w:val="007573E8"/>
    <w:rsid w:val="00760C4E"/>
    <w:rsid w:val="00760E6F"/>
    <w:rsid w:val="00760F9E"/>
    <w:rsid w:val="00761024"/>
    <w:rsid w:val="007616E6"/>
    <w:rsid w:val="007627BE"/>
    <w:rsid w:val="00764F03"/>
    <w:rsid w:val="00765320"/>
    <w:rsid w:val="0076577B"/>
    <w:rsid w:val="00765A19"/>
    <w:rsid w:val="00765B1A"/>
    <w:rsid w:val="00765DC1"/>
    <w:rsid w:val="00766BA7"/>
    <w:rsid w:val="00767D22"/>
    <w:rsid w:val="0077069E"/>
    <w:rsid w:val="007721B9"/>
    <w:rsid w:val="00772AF4"/>
    <w:rsid w:val="0077353B"/>
    <w:rsid w:val="00775A89"/>
    <w:rsid w:val="00775F97"/>
    <w:rsid w:val="00777335"/>
    <w:rsid w:val="007819D9"/>
    <w:rsid w:val="00781C8C"/>
    <w:rsid w:val="00782D68"/>
    <w:rsid w:val="007831DC"/>
    <w:rsid w:val="00783B27"/>
    <w:rsid w:val="007843F2"/>
    <w:rsid w:val="007846FA"/>
    <w:rsid w:val="00784926"/>
    <w:rsid w:val="00785A9F"/>
    <w:rsid w:val="0079020B"/>
    <w:rsid w:val="007918E4"/>
    <w:rsid w:val="00791FEA"/>
    <w:rsid w:val="00792252"/>
    <w:rsid w:val="007925DF"/>
    <w:rsid w:val="00792622"/>
    <w:rsid w:val="00792874"/>
    <w:rsid w:val="00792BA0"/>
    <w:rsid w:val="007959A9"/>
    <w:rsid w:val="007A08AA"/>
    <w:rsid w:val="007A0A12"/>
    <w:rsid w:val="007A132D"/>
    <w:rsid w:val="007A1345"/>
    <w:rsid w:val="007A1C35"/>
    <w:rsid w:val="007A2DDB"/>
    <w:rsid w:val="007A35D6"/>
    <w:rsid w:val="007A4313"/>
    <w:rsid w:val="007A70BA"/>
    <w:rsid w:val="007B0721"/>
    <w:rsid w:val="007B0D68"/>
    <w:rsid w:val="007B11E1"/>
    <w:rsid w:val="007B16AD"/>
    <w:rsid w:val="007B251D"/>
    <w:rsid w:val="007B3533"/>
    <w:rsid w:val="007B3A47"/>
    <w:rsid w:val="007B41D7"/>
    <w:rsid w:val="007B4F58"/>
    <w:rsid w:val="007B528D"/>
    <w:rsid w:val="007B5C2B"/>
    <w:rsid w:val="007B5EA2"/>
    <w:rsid w:val="007B63CA"/>
    <w:rsid w:val="007B6D60"/>
    <w:rsid w:val="007B77D1"/>
    <w:rsid w:val="007C07C7"/>
    <w:rsid w:val="007C1CD9"/>
    <w:rsid w:val="007C30D5"/>
    <w:rsid w:val="007C32EF"/>
    <w:rsid w:val="007C361D"/>
    <w:rsid w:val="007C4B84"/>
    <w:rsid w:val="007C4C22"/>
    <w:rsid w:val="007C50F6"/>
    <w:rsid w:val="007C61E6"/>
    <w:rsid w:val="007C70FF"/>
    <w:rsid w:val="007C75B1"/>
    <w:rsid w:val="007C7815"/>
    <w:rsid w:val="007C7C25"/>
    <w:rsid w:val="007D004F"/>
    <w:rsid w:val="007D035F"/>
    <w:rsid w:val="007D06B2"/>
    <w:rsid w:val="007D0B38"/>
    <w:rsid w:val="007D39EE"/>
    <w:rsid w:val="007D3A6C"/>
    <w:rsid w:val="007D5440"/>
    <w:rsid w:val="007D69EB"/>
    <w:rsid w:val="007E0205"/>
    <w:rsid w:val="007E128F"/>
    <w:rsid w:val="007E1C6E"/>
    <w:rsid w:val="007E2531"/>
    <w:rsid w:val="007E2FFB"/>
    <w:rsid w:val="007E45E8"/>
    <w:rsid w:val="007E576D"/>
    <w:rsid w:val="007E5F66"/>
    <w:rsid w:val="007F1017"/>
    <w:rsid w:val="007F2B15"/>
    <w:rsid w:val="007F4A3F"/>
    <w:rsid w:val="007F4A61"/>
    <w:rsid w:val="007F5255"/>
    <w:rsid w:val="007F56CC"/>
    <w:rsid w:val="007F5AF5"/>
    <w:rsid w:val="007F61C2"/>
    <w:rsid w:val="007F663A"/>
    <w:rsid w:val="008029D8"/>
    <w:rsid w:val="008040F4"/>
    <w:rsid w:val="00805142"/>
    <w:rsid w:val="0080523D"/>
    <w:rsid w:val="00805A56"/>
    <w:rsid w:val="00805FCE"/>
    <w:rsid w:val="00806986"/>
    <w:rsid w:val="00807A8B"/>
    <w:rsid w:val="00811383"/>
    <w:rsid w:val="00812149"/>
    <w:rsid w:val="00812CAC"/>
    <w:rsid w:val="00815A8F"/>
    <w:rsid w:val="00816361"/>
    <w:rsid w:val="008166EF"/>
    <w:rsid w:val="00816FEF"/>
    <w:rsid w:val="0082081F"/>
    <w:rsid w:val="00820A8C"/>
    <w:rsid w:val="00820AA8"/>
    <w:rsid w:val="008215FB"/>
    <w:rsid w:val="008218F3"/>
    <w:rsid w:val="008220CC"/>
    <w:rsid w:val="00823174"/>
    <w:rsid w:val="00825751"/>
    <w:rsid w:val="008259A9"/>
    <w:rsid w:val="008262CA"/>
    <w:rsid w:val="008264EB"/>
    <w:rsid w:val="00826862"/>
    <w:rsid w:val="008268CE"/>
    <w:rsid w:val="00827C23"/>
    <w:rsid w:val="0083250F"/>
    <w:rsid w:val="00833B05"/>
    <w:rsid w:val="008362B4"/>
    <w:rsid w:val="00840603"/>
    <w:rsid w:val="00840CA2"/>
    <w:rsid w:val="00842765"/>
    <w:rsid w:val="00842B4F"/>
    <w:rsid w:val="0084374F"/>
    <w:rsid w:val="00843FA1"/>
    <w:rsid w:val="008440F5"/>
    <w:rsid w:val="00844A22"/>
    <w:rsid w:val="00847703"/>
    <w:rsid w:val="00847DF5"/>
    <w:rsid w:val="00852F0D"/>
    <w:rsid w:val="0085309D"/>
    <w:rsid w:val="008534A8"/>
    <w:rsid w:val="00854213"/>
    <w:rsid w:val="00856897"/>
    <w:rsid w:val="00856E9A"/>
    <w:rsid w:val="00857749"/>
    <w:rsid w:val="00857F5B"/>
    <w:rsid w:val="0086075D"/>
    <w:rsid w:val="00862502"/>
    <w:rsid w:val="00862CC1"/>
    <w:rsid w:val="00863B7B"/>
    <w:rsid w:val="008642A7"/>
    <w:rsid w:val="008660D4"/>
    <w:rsid w:val="00867914"/>
    <w:rsid w:val="00871FA9"/>
    <w:rsid w:val="008728E9"/>
    <w:rsid w:val="00874AC8"/>
    <w:rsid w:val="0087585D"/>
    <w:rsid w:val="00877C54"/>
    <w:rsid w:val="00877EA4"/>
    <w:rsid w:val="00882874"/>
    <w:rsid w:val="00882E3C"/>
    <w:rsid w:val="0088308A"/>
    <w:rsid w:val="00883787"/>
    <w:rsid w:val="0088412A"/>
    <w:rsid w:val="008855E4"/>
    <w:rsid w:val="00886C2B"/>
    <w:rsid w:val="00886CD2"/>
    <w:rsid w:val="00886D8B"/>
    <w:rsid w:val="00891E6F"/>
    <w:rsid w:val="0089275D"/>
    <w:rsid w:val="00892A36"/>
    <w:rsid w:val="0089313F"/>
    <w:rsid w:val="00893239"/>
    <w:rsid w:val="00893534"/>
    <w:rsid w:val="00893E94"/>
    <w:rsid w:val="00894489"/>
    <w:rsid w:val="00894CD6"/>
    <w:rsid w:val="008963A5"/>
    <w:rsid w:val="008965F7"/>
    <w:rsid w:val="00896D5D"/>
    <w:rsid w:val="00896F7B"/>
    <w:rsid w:val="008A017E"/>
    <w:rsid w:val="008A3054"/>
    <w:rsid w:val="008A3158"/>
    <w:rsid w:val="008A3363"/>
    <w:rsid w:val="008A3371"/>
    <w:rsid w:val="008A34C8"/>
    <w:rsid w:val="008A3C3E"/>
    <w:rsid w:val="008A5850"/>
    <w:rsid w:val="008A6EA1"/>
    <w:rsid w:val="008A76DB"/>
    <w:rsid w:val="008A79DE"/>
    <w:rsid w:val="008B0FDB"/>
    <w:rsid w:val="008B1757"/>
    <w:rsid w:val="008B1C33"/>
    <w:rsid w:val="008B4B6F"/>
    <w:rsid w:val="008B54B1"/>
    <w:rsid w:val="008B578D"/>
    <w:rsid w:val="008B6FCA"/>
    <w:rsid w:val="008B7992"/>
    <w:rsid w:val="008B7D7E"/>
    <w:rsid w:val="008C0332"/>
    <w:rsid w:val="008C47CA"/>
    <w:rsid w:val="008C4919"/>
    <w:rsid w:val="008C5610"/>
    <w:rsid w:val="008C5739"/>
    <w:rsid w:val="008C7073"/>
    <w:rsid w:val="008C7282"/>
    <w:rsid w:val="008C7ECB"/>
    <w:rsid w:val="008D18F0"/>
    <w:rsid w:val="008D2297"/>
    <w:rsid w:val="008D32E3"/>
    <w:rsid w:val="008D3B86"/>
    <w:rsid w:val="008D43FD"/>
    <w:rsid w:val="008D458C"/>
    <w:rsid w:val="008D4755"/>
    <w:rsid w:val="008D4C3D"/>
    <w:rsid w:val="008D5538"/>
    <w:rsid w:val="008D743C"/>
    <w:rsid w:val="008E0D3C"/>
    <w:rsid w:val="008E1B9E"/>
    <w:rsid w:val="008E5203"/>
    <w:rsid w:val="008E55AB"/>
    <w:rsid w:val="008E65EA"/>
    <w:rsid w:val="008E7FAE"/>
    <w:rsid w:val="008F120A"/>
    <w:rsid w:val="008F1925"/>
    <w:rsid w:val="008F27E0"/>
    <w:rsid w:val="008F2C78"/>
    <w:rsid w:val="008F48EB"/>
    <w:rsid w:val="008F4F0B"/>
    <w:rsid w:val="008F60DC"/>
    <w:rsid w:val="009017CE"/>
    <w:rsid w:val="009046C4"/>
    <w:rsid w:val="00905E7E"/>
    <w:rsid w:val="00905EA8"/>
    <w:rsid w:val="009062A5"/>
    <w:rsid w:val="00907699"/>
    <w:rsid w:val="00910F0F"/>
    <w:rsid w:val="00910FA7"/>
    <w:rsid w:val="00911272"/>
    <w:rsid w:val="00911339"/>
    <w:rsid w:val="0091174C"/>
    <w:rsid w:val="009117D2"/>
    <w:rsid w:val="0091256A"/>
    <w:rsid w:val="0091340B"/>
    <w:rsid w:val="009135D6"/>
    <w:rsid w:val="00914C77"/>
    <w:rsid w:val="009209E1"/>
    <w:rsid w:val="0092126A"/>
    <w:rsid w:val="00921ACB"/>
    <w:rsid w:val="00922793"/>
    <w:rsid w:val="0092369B"/>
    <w:rsid w:val="0092543D"/>
    <w:rsid w:val="009255C6"/>
    <w:rsid w:val="00925F08"/>
    <w:rsid w:val="0093009B"/>
    <w:rsid w:val="009326B0"/>
    <w:rsid w:val="0093421F"/>
    <w:rsid w:val="00934988"/>
    <w:rsid w:val="00937089"/>
    <w:rsid w:val="009375CD"/>
    <w:rsid w:val="00941430"/>
    <w:rsid w:val="00942FB2"/>
    <w:rsid w:val="00943F1B"/>
    <w:rsid w:val="00944F8A"/>
    <w:rsid w:val="009475AF"/>
    <w:rsid w:val="009510A2"/>
    <w:rsid w:val="00952DED"/>
    <w:rsid w:val="00953257"/>
    <w:rsid w:val="0095474C"/>
    <w:rsid w:val="009557AC"/>
    <w:rsid w:val="00955AA6"/>
    <w:rsid w:val="00957D67"/>
    <w:rsid w:val="00957D92"/>
    <w:rsid w:val="00961CB9"/>
    <w:rsid w:val="00962CB9"/>
    <w:rsid w:val="00964312"/>
    <w:rsid w:val="009659CD"/>
    <w:rsid w:val="00965B8A"/>
    <w:rsid w:val="00967A1C"/>
    <w:rsid w:val="0097071F"/>
    <w:rsid w:val="009717AC"/>
    <w:rsid w:val="00972575"/>
    <w:rsid w:val="009743B6"/>
    <w:rsid w:val="009751C1"/>
    <w:rsid w:val="0098088D"/>
    <w:rsid w:val="009811F1"/>
    <w:rsid w:val="009816A3"/>
    <w:rsid w:val="00981964"/>
    <w:rsid w:val="00981D4D"/>
    <w:rsid w:val="00983078"/>
    <w:rsid w:val="00983E57"/>
    <w:rsid w:val="00984066"/>
    <w:rsid w:val="00985A84"/>
    <w:rsid w:val="00985DE2"/>
    <w:rsid w:val="0098675D"/>
    <w:rsid w:val="00987BA4"/>
    <w:rsid w:val="00987C90"/>
    <w:rsid w:val="00987FCD"/>
    <w:rsid w:val="0099151D"/>
    <w:rsid w:val="009926E0"/>
    <w:rsid w:val="0099451E"/>
    <w:rsid w:val="00994655"/>
    <w:rsid w:val="00994E8A"/>
    <w:rsid w:val="009963EC"/>
    <w:rsid w:val="00996B1A"/>
    <w:rsid w:val="009A18F6"/>
    <w:rsid w:val="009A2DCC"/>
    <w:rsid w:val="009A2FF7"/>
    <w:rsid w:val="009A43F5"/>
    <w:rsid w:val="009A5ABC"/>
    <w:rsid w:val="009A7F10"/>
    <w:rsid w:val="009B135B"/>
    <w:rsid w:val="009B1A5E"/>
    <w:rsid w:val="009B2217"/>
    <w:rsid w:val="009B26B2"/>
    <w:rsid w:val="009B3E26"/>
    <w:rsid w:val="009B6497"/>
    <w:rsid w:val="009C1271"/>
    <w:rsid w:val="009C1C50"/>
    <w:rsid w:val="009C3706"/>
    <w:rsid w:val="009C3A3A"/>
    <w:rsid w:val="009C6CEA"/>
    <w:rsid w:val="009C7B85"/>
    <w:rsid w:val="009D0254"/>
    <w:rsid w:val="009D0D0F"/>
    <w:rsid w:val="009D1A64"/>
    <w:rsid w:val="009D25EE"/>
    <w:rsid w:val="009D48CF"/>
    <w:rsid w:val="009D4AC5"/>
    <w:rsid w:val="009D5B91"/>
    <w:rsid w:val="009D5C01"/>
    <w:rsid w:val="009D7017"/>
    <w:rsid w:val="009D792E"/>
    <w:rsid w:val="009E0DFE"/>
    <w:rsid w:val="009E160E"/>
    <w:rsid w:val="009E31F6"/>
    <w:rsid w:val="009E3DBB"/>
    <w:rsid w:val="009E4C07"/>
    <w:rsid w:val="009E6A67"/>
    <w:rsid w:val="009E777F"/>
    <w:rsid w:val="009E7C3C"/>
    <w:rsid w:val="009F26D7"/>
    <w:rsid w:val="009F28D4"/>
    <w:rsid w:val="009F6120"/>
    <w:rsid w:val="009F6F3F"/>
    <w:rsid w:val="009F7934"/>
    <w:rsid w:val="009F79C5"/>
    <w:rsid w:val="00A00D76"/>
    <w:rsid w:val="00A01184"/>
    <w:rsid w:val="00A01449"/>
    <w:rsid w:val="00A037C2"/>
    <w:rsid w:val="00A03D43"/>
    <w:rsid w:val="00A04380"/>
    <w:rsid w:val="00A04781"/>
    <w:rsid w:val="00A04786"/>
    <w:rsid w:val="00A05472"/>
    <w:rsid w:val="00A0596B"/>
    <w:rsid w:val="00A05C32"/>
    <w:rsid w:val="00A0653F"/>
    <w:rsid w:val="00A10239"/>
    <w:rsid w:val="00A11CD0"/>
    <w:rsid w:val="00A13948"/>
    <w:rsid w:val="00A1555B"/>
    <w:rsid w:val="00A155C5"/>
    <w:rsid w:val="00A16AD8"/>
    <w:rsid w:val="00A176BC"/>
    <w:rsid w:val="00A2021E"/>
    <w:rsid w:val="00A20345"/>
    <w:rsid w:val="00A21C95"/>
    <w:rsid w:val="00A21CF3"/>
    <w:rsid w:val="00A22003"/>
    <w:rsid w:val="00A22F16"/>
    <w:rsid w:val="00A24813"/>
    <w:rsid w:val="00A26963"/>
    <w:rsid w:val="00A27AEC"/>
    <w:rsid w:val="00A320DB"/>
    <w:rsid w:val="00A3343B"/>
    <w:rsid w:val="00A34500"/>
    <w:rsid w:val="00A34B44"/>
    <w:rsid w:val="00A35D16"/>
    <w:rsid w:val="00A36D19"/>
    <w:rsid w:val="00A36D59"/>
    <w:rsid w:val="00A37BCD"/>
    <w:rsid w:val="00A41689"/>
    <w:rsid w:val="00A42592"/>
    <w:rsid w:val="00A43C59"/>
    <w:rsid w:val="00A446B3"/>
    <w:rsid w:val="00A50ECD"/>
    <w:rsid w:val="00A518F3"/>
    <w:rsid w:val="00A51DC0"/>
    <w:rsid w:val="00A52729"/>
    <w:rsid w:val="00A53386"/>
    <w:rsid w:val="00A53675"/>
    <w:rsid w:val="00A55E62"/>
    <w:rsid w:val="00A564D7"/>
    <w:rsid w:val="00A56B6A"/>
    <w:rsid w:val="00A578DC"/>
    <w:rsid w:val="00A63BE0"/>
    <w:rsid w:val="00A63E32"/>
    <w:rsid w:val="00A63ED5"/>
    <w:rsid w:val="00A640E2"/>
    <w:rsid w:val="00A64308"/>
    <w:rsid w:val="00A64D65"/>
    <w:rsid w:val="00A65597"/>
    <w:rsid w:val="00A6725B"/>
    <w:rsid w:val="00A675A5"/>
    <w:rsid w:val="00A67B54"/>
    <w:rsid w:val="00A70605"/>
    <w:rsid w:val="00A73134"/>
    <w:rsid w:val="00A734D6"/>
    <w:rsid w:val="00A7365A"/>
    <w:rsid w:val="00A76001"/>
    <w:rsid w:val="00A777B2"/>
    <w:rsid w:val="00A81F17"/>
    <w:rsid w:val="00A825D4"/>
    <w:rsid w:val="00A828F6"/>
    <w:rsid w:val="00A82B73"/>
    <w:rsid w:val="00A84BA0"/>
    <w:rsid w:val="00A850C8"/>
    <w:rsid w:val="00A86E8B"/>
    <w:rsid w:val="00A87164"/>
    <w:rsid w:val="00A871A9"/>
    <w:rsid w:val="00A906EA"/>
    <w:rsid w:val="00A908DC"/>
    <w:rsid w:val="00A91222"/>
    <w:rsid w:val="00A913AE"/>
    <w:rsid w:val="00A93072"/>
    <w:rsid w:val="00A938BD"/>
    <w:rsid w:val="00A93953"/>
    <w:rsid w:val="00A959D8"/>
    <w:rsid w:val="00A95CB6"/>
    <w:rsid w:val="00AA113D"/>
    <w:rsid w:val="00AA1CB6"/>
    <w:rsid w:val="00AA39AE"/>
    <w:rsid w:val="00AA5825"/>
    <w:rsid w:val="00AA6BD5"/>
    <w:rsid w:val="00AA6BD8"/>
    <w:rsid w:val="00AA6C7D"/>
    <w:rsid w:val="00AA7FD6"/>
    <w:rsid w:val="00AB042A"/>
    <w:rsid w:val="00AB11AD"/>
    <w:rsid w:val="00AB19EF"/>
    <w:rsid w:val="00AB2495"/>
    <w:rsid w:val="00AB2D34"/>
    <w:rsid w:val="00AB2E89"/>
    <w:rsid w:val="00AB3430"/>
    <w:rsid w:val="00AB37B9"/>
    <w:rsid w:val="00AB38E5"/>
    <w:rsid w:val="00AB4AD1"/>
    <w:rsid w:val="00AB5E07"/>
    <w:rsid w:val="00AB7CFA"/>
    <w:rsid w:val="00AB7FE2"/>
    <w:rsid w:val="00AC1B2E"/>
    <w:rsid w:val="00AC3969"/>
    <w:rsid w:val="00AC5B42"/>
    <w:rsid w:val="00AC5B48"/>
    <w:rsid w:val="00AD0B71"/>
    <w:rsid w:val="00AD1450"/>
    <w:rsid w:val="00AD15E8"/>
    <w:rsid w:val="00AD1FBA"/>
    <w:rsid w:val="00AD356D"/>
    <w:rsid w:val="00AD38C9"/>
    <w:rsid w:val="00AD6502"/>
    <w:rsid w:val="00AD7000"/>
    <w:rsid w:val="00AD76D6"/>
    <w:rsid w:val="00AD77B7"/>
    <w:rsid w:val="00AE0695"/>
    <w:rsid w:val="00AE10A6"/>
    <w:rsid w:val="00AE1131"/>
    <w:rsid w:val="00AE195E"/>
    <w:rsid w:val="00AE3E7E"/>
    <w:rsid w:val="00AE430C"/>
    <w:rsid w:val="00AE5A9C"/>
    <w:rsid w:val="00AE7E53"/>
    <w:rsid w:val="00AF1315"/>
    <w:rsid w:val="00AF19BF"/>
    <w:rsid w:val="00AF2ADB"/>
    <w:rsid w:val="00AF2DC3"/>
    <w:rsid w:val="00AF51D1"/>
    <w:rsid w:val="00AF62D8"/>
    <w:rsid w:val="00B00ECE"/>
    <w:rsid w:val="00B0317B"/>
    <w:rsid w:val="00B033E5"/>
    <w:rsid w:val="00B03A63"/>
    <w:rsid w:val="00B05BAE"/>
    <w:rsid w:val="00B05DBA"/>
    <w:rsid w:val="00B1081B"/>
    <w:rsid w:val="00B11EFB"/>
    <w:rsid w:val="00B11F0D"/>
    <w:rsid w:val="00B1231A"/>
    <w:rsid w:val="00B129A4"/>
    <w:rsid w:val="00B13C09"/>
    <w:rsid w:val="00B16EB9"/>
    <w:rsid w:val="00B17286"/>
    <w:rsid w:val="00B179DC"/>
    <w:rsid w:val="00B201A4"/>
    <w:rsid w:val="00B201D1"/>
    <w:rsid w:val="00B213A6"/>
    <w:rsid w:val="00B21812"/>
    <w:rsid w:val="00B235B0"/>
    <w:rsid w:val="00B2468A"/>
    <w:rsid w:val="00B24B23"/>
    <w:rsid w:val="00B24DF6"/>
    <w:rsid w:val="00B25D2C"/>
    <w:rsid w:val="00B25DDA"/>
    <w:rsid w:val="00B26CFF"/>
    <w:rsid w:val="00B27A61"/>
    <w:rsid w:val="00B27E14"/>
    <w:rsid w:val="00B323D0"/>
    <w:rsid w:val="00B33AB9"/>
    <w:rsid w:val="00B34D15"/>
    <w:rsid w:val="00B34FE2"/>
    <w:rsid w:val="00B35166"/>
    <w:rsid w:val="00B357D8"/>
    <w:rsid w:val="00B360F4"/>
    <w:rsid w:val="00B3679E"/>
    <w:rsid w:val="00B36A00"/>
    <w:rsid w:val="00B3792B"/>
    <w:rsid w:val="00B37BFC"/>
    <w:rsid w:val="00B40358"/>
    <w:rsid w:val="00B40CD6"/>
    <w:rsid w:val="00B41614"/>
    <w:rsid w:val="00B42851"/>
    <w:rsid w:val="00B42F80"/>
    <w:rsid w:val="00B4305E"/>
    <w:rsid w:val="00B435CB"/>
    <w:rsid w:val="00B441A7"/>
    <w:rsid w:val="00B465EC"/>
    <w:rsid w:val="00B4737A"/>
    <w:rsid w:val="00B505C8"/>
    <w:rsid w:val="00B50DB8"/>
    <w:rsid w:val="00B51861"/>
    <w:rsid w:val="00B51AC8"/>
    <w:rsid w:val="00B53654"/>
    <w:rsid w:val="00B53905"/>
    <w:rsid w:val="00B53F1D"/>
    <w:rsid w:val="00B546DB"/>
    <w:rsid w:val="00B54B5B"/>
    <w:rsid w:val="00B54C17"/>
    <w:rsid w:val="00B5562E"/>
    <w:rsid w:val="00B55862"/>
    <w:rsid w:val="00B55D65"/>
    <w:rsid w:val="00B56305"/>
    <w:rsid w:val="00B57000"/>
    <w:rsid w:val="00B60939"/>
    <w:rsid w:val="00B60AFD"/>
    <w:rsid w:val="00B62715"/>
    <w:rsid w:val="00B65611"/>
    <w:rsid w:val="00B70E8E"/>
    <w:rsid w:val="00B723E8"/>
    <w:rsid w:val="00B72DDB"/>
    <w:rsid w:val="00B74B56"/>
    <w:rsid w:val="00B76C92"/>
    <w:rsid w:val="00B778BC"/>
    <w:rsid w:val="00B8099D"/>
    <w:rsid w:val="00B80EFD"/>
    <w:rsid w:val="00B818A4"/>
    <w:rsid w:val="00B81AF2"/>
    <w:rsid w:val="00B82F03"/>
    <w:rsid w:val="00B83098"/>
    <w:rsid w:val="00B83739"/>
    <w:rsid w:val="00B84117"/>
    <w:rsid w:val="00B858F0"/>
    <w:rsid w:val="00B85AA2"/>
    <w:rsid w:val="00B86233"/>
    <w:rsid w:val="00B8649C"/>
    <w:rsid w:val="00B8695D"/>
    <w:rsid w:val="00B87E8A"/>
    <w:rsid w:val="00B87F0A"/>
    <w:rsid w:val="00B92111"/>
    <w:rsid w:val="00B92D0B"/>
    <w:rsid w:val="00B938CB"/>
    <w:rsid w:val="00B93F7A"/>
    <w:rsid w:val="00B94387"/>
    <w:rsid w:val="00B94945"/>
    <w:rsid w:val="00B94DD6"/>
    <w:rsid w:val="00BA03E9"/>
    <w:rsid w:val="00BA0D88"/>
    <w:rsid w:val="00BA322D"/>
    <w:rsid w:val="00BA3CBA"/>
    <w:rsid w:val="00BA595A"/>
    <w:rsid w:val="00BA63FA"/>
    <w:rsid w:val="00BB00B3"/>
    <w:rsid w:val="00BB0BDD"/>
    <w:rsid w:val="00BB176C"/>
    <w:rsid w:val="00BB1F29"/>
    <w:rsid w:val="00BB2A73"/>
    <w:rsid w:val="00BB316A"/>
    <w:rsid w:val="00BB3A45"/>
    <w:rsid w:val="00BB4ACC"/>
    <w:rsid w:val="00BB60DC"/>
    <w:rsid w:val="00BB703E"/>
    <w:rsid w:val="00BB732D"/>
    <w:rsid w:val="00BB7402"/>
    <w:rsid w:val="00BB7405"/>
    <w:rsid w:val="00BB7622"/>
    <w:rsid w:val="00BB76E2"/>
    <w:rsid w:val="00BC0976"/>
    <w:rsid w:val="00BC0E69"/>
    <w:rsid w:val="00BC29F3"/>
    <w:rsid w:val="00BC3631"/>
    <w:rsid w:val="00BC46F9"/>
    <w:rsid w:val="00BC589E"/>
    <w:rsid w:val="00BC591F"/>
    <w:rsid w:val="00BC700D"/>
    <w:rsid w:val="00BC70EF"/>
    <w:rsid w:val="00BC7BAC"/>
    <w:rsid w:val="00BC7D6D"/>
    <w:rsid w:val="00BD2108"/>
    <w:rsid w:val="00BD68A3"/>
    <w:rsid w:val="00BD6938"/>
    <w:rsid w:val="00BD6CF3"/>
    <w:rsid w:val="00BD6ECC"/>
    <w:rsid w:val="00BD7F72"/>
    <w:rsid w:val="00BE0ECA"/>
    <w:rsid w:val="00BE2180"/>
    <w:rsid w:val="00BE21F2"/>
    <w:rsid w:val="00BE2BF5"/>
    <w:rsid w:val="00BE3EAF"/>
    <w:rsid w:val="00BE4275"/>
    <w:rsid w:val="00BE43A0"/>
    <w:rsid w:val="00BE4E62"/>
    <w:rsid w:val="00BE62FA"/>
    <w:rsid w:val="00BE63BA"/>
    <w:rsid w:val="00BF06AE"/>
    <w:rsid w:val="00BF0850"/>
    <w:rsid w:val="00BF0F95"/>
    <w:rsid w:val="00BF2433"/>
    <w:rsid w:val="00BF2E6E"/>
    <w:rsid w:val="00BF3B62"/>
    <w:rsid w:val="00BF5BC4"/>
    <w:rsid w:val="00BF60BD"/>
    <w:rsid w:val="00BF61C9"/>
    <w:rsid w:val="00BF6C94"/>
    <w:rsid w:val="00C00424"/>
    <w:rsid w:val="00C00BB0"/>
    <w:rsid w:val="00C02003"/>
    <w:rsid w:val="00C04340"/>
    <w:rsid w:val="00C06D8B"/>
    <w:rsid w:val="00C105D9"/>
    <w:rsid w:val="00C1179F"/>
    <w:rsid w:val="00C127B9"/>
    <w:rsid w:val="00C128FA"/>
    <w:rsid w:val="00C12C14"/>
    <w:rsid w:val="00C15F04"/>
    <w:rsid w:val="00C179B3"/>
    <w:rsid w:val="00C17E3F"/>
    <w:rsid w:val="00C200AA"/>
    <w:rsid w:val="00C22EE7"/>
    <w:rsid w:val="00C237ED"/>
    <w:rsid w:val="00C24632"/>
    <w:rsid w:val="00C25418"/>
    <w:rsid w:val="00C25D9C"/>
    <w:rsid w:val="00C2778B"/>
    <w:rsid w:val="00C3061F"/>
    <w:rsid w:val="00C31649"/>
    <w:rsid w:val="00C31DE1"/>
    <w:rsid w:val="00C33B9A"/>
    <w:rsid w:val="00C3434C"/>
    <w:rsid w:val="00C34615"/>
    <w:rsid w:val="00C40385"/>
    <w:rsid w:val="00C41768"/>
    <w:rsid w:val="00C4364D"/>
    <w:rsid w:val="00C43819"/>
    <w:rsid w:val="00C443EA"/>
    <w:rsid w:val="00C44B0D"/>
    <w:rsid w:val="00C475AA"/>
    <w:rsid w:val="00C475B4"/>
    <w:rsid w:val="00C476FB"/>
    <w:rsid w:val="00C527C7"/>
    <w:rsid w:val="00C53C98"/>
    <w:rsid w:val="00C55149"/>
    <w:rsid w:val="00C56FCF"/>
    <w:rsid w:val="00C57B6C"/>
    <w:rsid w:val="00C6047C"/>
    <w:rsid w:val="00C60F34"/>
    <w:rsid w:val="00C61A59"/>
    <w:rsid w:val="00C62834"/>
    <w:rsid w:val="00C628A6"/>
    <w:rsid w:val="00C64344"/>
    <w:rsid w:val="00C64A6A"/>
    <w:rsid w:val="00C65108"/>
    <w:rsid w:val="00C65576"/>
    <w:rsid w:val="00C66165"/>
    <w:rsid w:val="00C668DD"/>
    <w:rsid w:val="00C7060A"/>
    <w:rsid w:val="00C71424"/>
    <w:rsid w:val="00C7151A"/>
    <w:rsid w:val="00C717E3"/>
    <w:rsid w:val="00C71F1F"/>
    <w:rsid w:val="00C71F60"/>
    <w:rsid w:val="00C72241"/>
    <w:rsid w:val="00C7246E"/>
    <w:rsid w:val="00C7299B"/>
    <w:rsid w:val="00C734C2"/>
    <w:rsid w:val="00C739E1"/>
    <w:rsid w:val="00C750C8"/>
    <w:rsid w:val="00C7560F"/>
    <w:rsid w:val="00C768AB"/>
    <w:rsid w:val="00C80A0E"/>
    <w:rsid w:val="00C8141C"/>
    <w:rsid w:val="00C8213F"/>
    <w:rsid w:val="00C82411"/>
    <w:rsid w:val="00C8273D"/>
    <w:rsid w:val="00C8303F"/>
    <w:rsid w:val="00C8354B"/>
    <w:rsid w:val="00C85154"/>
    <w:rsid w:val="00C8591E"/>
    <w:rsid w:val="00C85A70"/>
    <w:rsid w:val="00C87901"/>
    <w:rsid w:val="00C8797A"/>
    <w:rsid w:val="00C9000D"/>
    <w:rsid w:val="00C900B8"/>
    <w:rsid w:val="00C90197"/>
    <w:rsid w:val="00C90C71"/>
    <w:rsid w:val="00C90CE9"/>
    <w:rsid w:val="00C91330"/>
    <w:rsid w:val="00C9180B"/>
    <w:rsid w:val="00C91F79"/>
    <w:rsid w:val="00C91FD1"/>
    <w:rsid w:val="00C91FF0"/>
    <w:rsid w:val="00C931CF"/>
    <w:rsid w:val="00C938CF"/>
    <w:rsid w:val="00C94053"/>
    <w:rsid w:val="00C95362"/>
    <w:rsid w:val="00C9624D"/>
    <w:rsid w:val="00C969DA"/>
    <w:rsid w:val="00C97CBD"/>
    <w:rsid w:val="00CA0F11"/>
    <w:rsid w:val="00CA2C77"/>
    <w:rsid w:val="00CA2D66"/>
    <w:rsid w:val="00CA4257"/>
    <w:rsid w:val="00CA444F"/>
    <w:rsid w:val="00CA5245"/>
    <w:rsid w:val="00CA5B6F"/>
    <w:rsid w:val="00CA71F4"/>
    <w:rsid w:val="00CA7ACE"/>
    <w:rsid w:val="00CA7B09"/>
    <w:rsid w:val="00CB12A5"/>
    <w:rsid w:val="00CB1CAC"/>
    <w:rsid w:val="00CB2231"/>
    <w:rsid w:val="00CB2526"/>
    <w:rsid w:val="00CB2CFD"/>
    <w:rsid w:val="00CB2F2A"/>
    <w:rsid w:val="00CB2F61"/>
    <w:rsid w:val="00CB5589"/>
    <w:rsid w:val="00CB5B1A"/>
    <w:rsid w:val="00CB6B22"/>
    <w:rsid w:val="00CB6F4D"/>
    <w:rsid w:val="00CB775A"/>
    <w:rsid w:val="00CB7F5F"/>
    <w:rsid w:val="00CC053E"/>
    <w:rsid w:val="00CC1B39"/>
    <w:rsid w:val="00CC1BFA"/>
    <w:rsid w:val="00CC2E9F"/>
    <w:rsid w:val="00CC3432"/>
    <w:rsid w:val="00CC35EA"/>
    <w:rsid w:val="00CC3848"/>
    <w:rsid w:val="00CC46D2"/>
    <w:rsid w:val="00CC6D5E"/>
    <w:rsid w:val="00CD0200"/>
    <w:rsid w:val="00CD0E9E"/>
    <w:rsid w:val="00CD3E90"/>
    <w:rsid w:val="00CD3F77"/>
    <w:rsid w:val="00CD6522"/>
    <w:rsid w:val="00CD6ADC"/>
    <w:rsid w:val="00CD7193"/>
    <w:rsid w:val="00CD75EA"/>
    <w:rsid w:val="00CD7EB9"/>
    <w:rsid w:val="00CE3790"/>
    <w:rsid w:val="00CE38C8"/>
    <w:rsid w:val="00CE524F"/>
    <w:rsid w:val="00CE5500"/>
    <w:rsid w:val="00CE58CC"/>
    <w:rsid w:val="00CE5CD2"/>
    <w:rsid w:val="00CE5FA2"/>
    <w:rsid w:val="00CE6274"/>
    <w:rsid w:val="00CE7646"/>
    <w:rsid w:val="00CE77B6"/>
    <w:rsid w:val="00CF2492"/>
    <w:rsid w:val="00CF24AE"/>
    <w:rsid w:val="00CF25AF"/>
    <w:rsid w:val="00CF2B8D"/>
    <w:rsid w:val="00CF3A1B"/>
    <w:rsid w:val="00CF3DF4"/>
    <w:rsid w:val="00CF3F63"/>
    <w:rsid w:val="00CF456B"/>
    <w:rsid w:val="00CF5A22"/>
    <w:rsid w:val="00CF5EFC"/>
    <w:rsid w:val="00D02358"/>
    <w:rsid w:val="00D0262E"/>
    <w:rsid w:val="00D03679"/>
    <w:rsid w:val="00D04B18"/>
    <w:rsid w:val="00D05E3D"/>
    <w:rsid w:val="00D06139"/>
    <w:rsid w:val="00D063AF"/>
    <w:rsid w:val="00D07D29"/>
    <w:rsid w:val="00D10753"/>
    <w:rsid w:val="00D110BD"/>
    <w:rsid w:val="00D116B9"/>
    <w:rsid w:val="00D12477"/>
    <w:rsid w:val="00D13675"/>
    <w:rsid w:val="00D141E1"/>
    <w:rsid w:val="00D1440F"/>
    <w:rsid w:val="00D149A9"/>
    <w:rsid w:val="00D14AE0"/>
    <w:rsid w:val="00D15314"/>
    <w:rsid w:val="00D15B48"/>
    <w:rsid w:val="00D17D6C"/>
    <w:rsid w:val="00D17EE1"/>
    <w:rsid w:val="00D2007F"/>
    <w:rsid w:val="00D20692"/>
    <w:rsid w:val="00D21269"/>
    <w:rsid w:val="00D2155B"/>
    <w:rsid w:val="00D22489"/>
    <w:rsid w:val="00D23C5B"/>
    <w:rsid w:val="00D23D11"/>
    <w:rsid w:val="00D244B6"/>
    <w:rsid w:val="00D2754D"/>
    <w:rsid w:val="00D27B27"/>
    <w:rsid w:val="00D30BD9"/>
    <w:rsid w:val="00D30D5B"/>
    <w:rsid w:val="00D30F05"/>
    <w:rsid w:val="00D31F32"/>
    <w:rsid w:val="00D33BE9"/>
    <w:rsid w:val="00D33F93"/>
    <w:rsid w:val="00D34DCE"/>
    <w:rsid w:val="00D357FF"/>
    <w:rsid w:val="00D367BA"/>
    <w:rsid w:val="00D37A76"/>
    <w:rsid w:val="00D37EA1"/>
    <w:rsid w:val="00D40BAE"/>
    <w:rsid w:val="00D40C38"/>
    <w:rsid w:val="00D41019"/>
    <w:rsid w:val="00D4247E"/>
    <w:rsid w:val="00D424C7"/>
    <w:rsid w:val="00D430B4"/>
    <w:rsid w:val="00D43152"/>
    <w:rsid w:val="00D43264"/>
    <w:rsid w:val="00D43B2A"/>
    <w:rsid w:val="00D43CF1"/>
    <w:rsid w:val="00D43D83"/>
    <w:rsid w:val="00D4409C"/>
    <w:rsid w:val="00D44B9E"/>
    <w:rsid w:val="00D4660B"/>
    <w:rsid w:val="00D46AE9"/>
    <w:rsid w:val="00D47575"/>
    <w:rsid w:val="00D511A2"/>
    <w:rsid w:val="00D5243B"/>
    <w:rsid w:val="00D52CB6"/>
    <w:rsid w:val="00D533EC"/>
    <w:rsid w:val="00D534DE"/>
    <w:rsid w:val="00D54036"/>
    <w:rsid w:val="00D567FB"/>
    <w:rsid w:val="00D56A95"/>
    <w:rsid w:val="00D6076E"/>
    <w:rsid w:val="00D60DC0"/>
    <w:rsid w:val="00D66A1F"/>
    <w:rsid w:val="00D70F16"/>
    <w:rsid w:val="00D70FD5"/>
    <w:rsid w:val="00D71632"/>
    <w:rsid w:val="00D71A25"/>
    <w:rsid w:val="00D72617"/>
    <w:rsid w:val="00D72F57"/>
    <w:rsid w:val="00D732F1"/>
    <w:rsid w:val="00D73613"/>
    <w:rsid w:val="00D76A44"/>
    <w:rsid w:val="00D815EF"/>
    <w:rsid w:val="00D81949"/>
    <w:rsid w:val="00D81F26"/>
    <w:rsid w:val="00D822E2"/>
    <w:rsid w:val="00D843F2"/>
    <w:rsid w:val="00D8488F"/>
    <w:rsid w:val="00D859CC"/>
    <w:rsid w:val="00D86231"/>
    <w:rsid w:val="00D8686E"/>
    <w:rsid w:val="00D8696C"/>
    <w:rsid w:val="00D87820"/>
    <w:rsid w:val="00D906AD"/>
    <w:rsid w:val="00D912AB"/>
    <w:rsid w:val="00D91684"/>
    <w:rsid w:val="00D91923"/>
    <w:rsid w:val="00D93753"/>
    <w:rsid w:val="00D94C60"/>
    <w:rsid w:val="00DA17BA"/>
    <w:rsid w:val="00DA2640"/>
    <w:rsid w:val="00DA3167"/>
    <w:rsid w:val="00DA3B97"/>
    <w:rsid w:val="00DA4DC3"/>
    <w:rsid w:val="00DA5354"/>
    <w:rsid w:val="00DA5B84"/>
    <w:rsid w:val="00DA6E1D"/>
    <w:rsid w:val="00DA77A5"/>
    <w:rsid w:val="00DB0047"/>
    <w:rsid w:val="00DB0B29"/>
    <w:rsid w:val="00DB0E36"/>
    <w:rsid w:val="00DB2182"/>
    <w:rsid w:val="00DB25B0"/>
    <w:rsid w:val="00DB327C"/>
    <w:rsid w:val="00DB3DBF"/>
    <w:rsid w:val="00DB484F"/>
    <w:rsid w:val="00DB5C1E"/>
    <w:rsid w:val="00DB727B"/>
    <w:rsid w:val="00DB770E"/>
    <w:rsid w:val="00DC04F6"/>
    <w:rsid w:val="00DC0690"/>
    <w:rsid w:val="00DC154A"/>
    <w:rsid w:val="00DC1D65"/>
    <w:rsid w:val="00DC3C57"/>
    <w:rsid w:val="00DC43C7"/>
    <w:rsid w:val="00DC5501"/>
    <w:rsid w:val="00DC5DE4"/>
    <w:rsid w:val="00DC66EB"/>
    <w:rsid w:val="00DC7154"/>
    <w:rsid w:val="00DC7E8A"/>
    <w:rsid w:val="00DD0F78"/>
    <w:rsid w:val="00DD1171"/>
    <w:rsid w:val="00DD1C62"/>
    <w:rsid w:val="00DD273C"/>
    <w:rsid w:val="00DD3F28"/>
    <w:rsid w:val="00DD4446"/>
    <w:rsid w:val="00DD4537"/>
    <w:rsid w:val="00DD4E15"/>
    <w:rsid w:val="00DD5E10"/>
    <w:rsid w:val="00DD7385"/>
    <w:rsid w:val="00DE2304"/>
    <w:rsid w:val="00DE3138"/>
    <w:rsid w:val="00DE37F8"/>
    <w:rsid w:val="00DE4273"/>
    <w:rsid w:val="00DE4FCB"/>
    <w:rsid w:val="00DE5D07"/>
    <w:rsid w:val="00DE72A7"/>
    <w:rsid w:val="00DE7511"/>
    <w:rsid w:val="00DE7832"/>
    <w:rsid w:val="00DF18FC"/>
    <w:rsid w:val="00DF3773"/>
    <w:rsid w:val="00DF4A4F"/>
    <w:rsid w:val="00DF57AB"/>
    <w:rsid w:val="00DF5D2B"/>
    <w:rsid w:val="00DF6341"/>
    <w:rsid w:val="00E00E8E"/>
    <w:rsid w:val="00E0289B"/>
    <w:rsid w:val="00E02F45"/>
    <w:rsid w:val="00E0520C"/>
    <w:rsid w:val="00E05630"/>
    <w:rsid w:val="00E060D7"/>
    <w:rsid w:val="00E06DBB"/>
    <w:rsid w:val="00E10149"/>
    <w:rsid w:val="00E11329"/>
    <w:rsid w:val="00E11340"/>
    <w:rsid w:val="00E122A1"/>
    <w:rsid w:val="00E14122"/>
    <w:rsid w:val="00E159AB"/>
    <w:rsid w:val="00E16372"/>
    <w:rsid w:val="00E16AD8"/>
    <w:rsid w:val="00E17FFA"/>
    <w:rsid w:val="00E20916"/>
    <w:rsid w:val="00E20E4D"/>
    <w:rsid w:val="00E20ED6"/>
    <w:rsid w:val="00E210AC"/>
    <w:rsid w:val="00E21358"/>
    <w:rsid w:val="00E2249B"/>
    <w:rsid w:val="00E22A0D"/>
    <w:rsid w:val="00E23354"/>
    <w:rsid w:val="00E2389F"/>
    <w:rsid w:val="00E244F6"/>
    <w:rsid w:val="00E2585A"/>
    <w:rsid w:val="00E258DB"/>
    <w:rsid w:val="00E26B99"/>
    <w:rsid w:val="00E2771E"/>
    <w:rsid w:val="00E311EF"/>
    <w:rsid w:val="00E315F4"/>
    <w:rsid w:val="00E32180"/>
    <w:rsid w:val="00E34174"/>
    <w:rsid w:val="00E34948"/>
    <w:rsid w:val="00E369E9"/>
    <w:rsid w:val="00E37342"/>
    <w:rsid w:val="00E37569"/>
    <w:rsid w:val="00E401B2"/>
    <w:rsid w:val="00E40593"/>
    <w:rsid w:val="00E41E30"/>
    <w:rsid w:val="00E4228E"/>
    <w:rsid w:val="00E42F73"/>
    <w:rsid w:val="00E43D70"/>
    <w:rsid w:val="00E4443A"/>
    <w:rsid w:val="00E44D3A"/>
    <w:rsid w:val="00E466F3"/>
    <w:rsid w:val="00E47B2C"/>
    <w:rsid w:val="00E505A9"/>
    <w:rsid w:val="00E51560"/>
    <w:rsid w:val="00E51821"/>
    <w:rsid w:val="00E52220"/>
    <w:rsid w:val="00E531EA"/>
    <w:rsid w:val="00E53891"/>
    <w:rsid w:val="00E53FC8"/>
    <w:rsid w:val="00E54297"/>
    <w:rsid w:val="00E54347"/>
    <w:rsid w:val="00E5498E"/>
    <w:rsid w:val="00E55424"/>
    <w:rsid w:val="00E55915"/>
    <w:rsid w:val="00E55BB5"/>
    <w:rsid w:val="00E55DB1"/>
    <w:rsid w:val="00E56C90"/>
    <w:rsid w:val="00E604F8"/>
    <w:rsid w:val="00E611DF"/>
    <w:rsid w:val="00E622F0"/>
    <w:rsid w:val="00E64ECE"/>
    <w:rsid w:val="00E659DA"/>
    <w:rsid w:val="00E65E79"/>
    <w:rsid w:val="00E66BA2"/>
    <w:rsid w:val="00E67416"/>
    <w:rsid w:val="00E67BD0"/>
    <w:rsid w:val="00E67C1A"/>
    <w:rsid w:val="00E70993"/>
    <w:rsid w:val="00E70AEF"/>
    <w:rsid w:val="00E718B6"/>
    <w:rsid w:val="00E71DD4"/>
    <w:rsid w:val="00E723BA"/>
    <w:rsid w:val="00E73183"/>
    <w:rsid w:val="00E73581"/>
    <w:rsid w:val="00E74F1D"/>
    <w:rsid w:val="00E818A9"/>
    <w:rsid w:val="00E833F7"/>
    <w:rsid w:val="00E83BDF"/>
    <w:rsid w:val="00E84071"/>
    <w:rsid w:val="00E84671"/>
    <w:rsid w:val="00E8600D"/>
    <w:rsid w:val="00E86FCC"/>
    <w:rsid w:val="00E87A1D"/>
    <w:rsid w:val="00E9094A"/>
    <w:rsid w:val="00E91D35"/>
    <w:rsid w:val="00E9220F"/>
    <w:rsid w:val="00E926A5"/>
    <w:rsid w:val="00E9441D"/>
    <w:rsid w:val="00E95321"/>
    <w:rsid w:val="00E955BE"/>
    <w:rsid w:val="00E95A82"/>
    <w:rsid w:val="00E962CC"/>
    <w:rsid w:val="00EA17C3"/>
    <w:rsid w:val="00EA1ED4"/>
    <w:rsid w:val="00EA2CAA"/>
    <w:rsid w:val="00EA3864"/>
    <w:rsid w:val="00EA4DFF"/>
    <w:rsid w:val="00EA6042"/>
    <w:rsid w:val="00EA68B4"/>
    <w:rsid w:val="00EA7F1C"/>
    <w:rsid w:val="00EB0913"/>
    <w:rsid w:val="00EB15B6"/>
    <w:rsid w:val="00EB3D06"/>
    <w:rsid w:val="00EB4916"/>
    <w:rsid w:val="00EB49E8"/>
    <w:rsid w:val="00EB5EE8"/>
    <w:rsid w:val="00EB739F"/>
    <w:rsid w:val="00EC00C9"/>
    <w:rsid w:val="00EC0450"/>
    <w:rsid w:val="00EC0DD9"/>
    <w:rsid w:val="00EC2649"/>
    <w:rsid w:val="00EC2BB3"/>
    <w:rsid w:val="00EC31ED"/>
    <w:rsid w:val="00EC5836"/>
    <w:rsid w:val="00EC688C"/>
    <w:rsid w:val="00EC7D1E"/>
    <w:rsid w:val="00ED089B"/>
    <w:rsid w:val="00ED1122"/>
    <w:rsid w:val="00ED12E3"/>
    <w:rsid w:val="00ED4B04"/>
    <w:rsid w:val="00ED57EA"/>
    <w:rsid w:val="00ED5BD4"/>
    <w:rsid w:val="00EE07D3"/>
    <w:rsid w:val="00EE0D1C"/>
    <w:rsid w:val="00EE1996"/>
    <w:rsid w:val="00EE1C01"/>
    <w:rsid w:val="00EE22AF"/>
    <w:rsid w:val="00EE41A1"/>
    <w:rsid w:val="00EF0171"/>
    <w:rsid w:val="00EF0F5E"/>
    <w:rsid w:val="00EF1B25"/>
    <w:rsid w:val="00EF1DA0"/>
    <w:rsid w:val="00EF2908"/>
    <w:rsid w:val="00EF2EF9"/>
    <w:rsid w:val="00EF44B0"/>
    <w:rsid w:val="00EF4747"/>
    <w:rsid w:val="00EF4BF8"/>
    <w:rsid w:val="00EF5488"/>
    <w:rsid w:val="00EF6950"/>
    <w:rsid w:val="00EF74AE"/>
    <w:rsid w:val="00F01DDA"/>
    <w:rsid w:val="00F02253"/>
    <w:rsid w:val="00F0267C"/>
    <w:rsid w:val="00F03C2E"/>
    <w:rsid w:val="00F04081"/>
    <w:rsid w:val="00F04A66"/>
    <w:rsid w:val="00F04B4B"/>
    <w:rsid w:val="00F0516C"/>
    <w:rsid w:val="00F067A2"/>
    <w:rsid w:val="00F07B9E"/>
    <w:rsid w:val="00F1116F"/>
    <w:rsid w:val="00F121B7"/>
    <w:rsid w:val="00F1263A"/>
    <w:rsid w:val="00F134AE"/>
    <w:rsid w:val="00F139C5"/>
    <w:rsid w:val="00F143EA"/>
    <w:rsid w:val="00F15B77"/>
    <w:rsid w:val="00F15C44"/>
    <w:rsid w:val="00F20254"/>
    <w:rsid w:val="00F21236"/>
    <w:rsid w:val="00F226C1"/>
    <w:rsid w:val="00F228BB"/>
    <w:rsid w:val="00F22D56"/>
    <w:rsid w:val="00F239DF"/>
    <w:rsid w:val="00F246C0"/>
    <w:rsid w:val="00F24837"/>
    <w:rsid w:val="00F2575F"/>
    <w:rsid w:val="00F26A19"/>
    <w:rsid w:val="00F27565"/>
    <w:rsid w:val="00F310D4"/>
    <w:rsid w:val="00F31709"/>
    <w:rsid w:val="00F31D5A"/>
    <w:rsid w:val="00F31ED2"/>
    <w:rsid w:val="00F33975"/>
    <w:rsid w:val="00F33DE9"/>
    <w:rsid w:val="00F3553A"/>
    <w:rsid w:val="00F35E6D"/>
    <w:rsid w:val="00F3619A"/>
    <w:rsid w:val="00F3662E"/>
    <w:rsid w:val="00F4099B"/>
    <w:rsid w:val="00F40AAA"/>
    <w:rsid w:val="00F40BA7"/>
    <w:rsid w:val="00F40F9D"/>
    <w:rsid w:val="00F41117"/>
    <w:rsid w:val="00F41680"/>
    <w:rsid w:val="00F41ACD"/>
    <w:rsid w:val="00F4206D"/>
    <w:rsid w:val="00F42D9F"/>
    <w:rsid w:val="00F44843"/>
    <w:rsid w:val="00F44DED"/>
    <w:rsid w:val="00F45417"/>
    <w:rsid w:val="00F46CB6"/>
    <w:rsid w:val="00F474F1"/>
    <w:rsid w:val="00F4756D"/>
    <w:rsid w:val="00F47A4A"/>
    <w:rsid w:val="00F47DE8"/>
    <w:rsid w:val="00F519AC"/>
    <w:rsid w:val="00F52CBD"/>
    <w:rsid w:val="00F542C1"/>
    <w:rsid w:val="00F54E48"/>
    <w:rsid w:val="00F550E3"/>
    <w:rsid w:val="00F55E73"/>
    <w:rsid w:val="00F55EDA"/>
    <w:rsid w:val="00F56C80"/>
    <w:rsid w:val="00F60092"/>
    <w:rsid w:val="00F60BDF"/>
    <w:rsid w:val="00F616F7"/>
    <w:rsid w:val="00F61B0B"/>
    <w:rsid w:val="00F61C18"/>
    <w:rsid w:val="00F654DE"/>
    <w:rsid w:val="00F65982"/>
    <w:rsid w:val="00F65F4B"/>
    <w:rsid w:val="00F66049"/>
    <w:rsid w:val="00F67A69"/>
    <w:rsid w:val="00F705D9"/>
    <w:rsid w:val="00F70BFF"/>
    <w:rsid w:val="00F70C9D"/>
    <w:rsid w:val="00F70DE8"/>
    <w:rsid w:val="00F7263A"/>
    <w:rsid w:val="00F73E08"/>
    <w:rsid w:val="00F74CD9"/>
    <w:rsid w:val="00F80279"/>
    <w:rsid w:val="00F80A7B"/>
    <w:rsid w:val="00F80D34"/>
    <w:rsid w:val="00F80E5D"/>
    <w:rsid w:val="00F81435"/>
    <w:rsid w:val="00F81E78"/>
    <w:rsid w:val="00F83916"/>
    <w:rsid w:val="00F851CE"/>
    <w:rsid w:val="00F85D26"/>
    <w:rsid w:val="00F866CD"/>
    <w:rsid w:val="00F872EA"/>
    <w:rsid w:val="00F87837"/>
    <w:rsid w:val="00F91219"/>
    <w:rsid w:val="00F92444"/>
    <w:rsid w:val="00F9393E"/>
    <w:rsid w:val="00F93A94"/>
    <w:rsid w:val="00F940DC"/>
    <w:rsid w:val="00F943DF"/>
    <w:rsid w:val="00F94A3B"/>
    <w:rsid w:val="00F95512"/>
    <w:rsid w:val="00F96FD0"/>
    <w:rsid w:val="00F975AB"/>
    <w:rsid w:val="00F97A78"/>
    <w:rsid w:val="00FA0B20"/>
    <w:rsid w:val="00FA24E7"/>
    <w:rsid w:val="00FA5893"/>
    <w:rsid w:val="00FA5EE6"/>
    <w:rsid w:val="00FA7956"/>
    <w:rsid w:val="00FB0824"/>
    <w:rsid w:val="00FB1A8E"/>
    <w:rsid w:val="00FB2FCB"/>
    <w:rsid w:val="00FB4203"/>
    <w:rsid w:val="00FB4C9C"/>
    <w:rsid w:val="00FB7C55"/>
    <w:rsid w:val="00FC0104"/>
    <w:rsid w:val="00FC1074"/>
    <w:rsid w:val="00FC1884"/>
    <w:rsid w:val="00FC22E4"/>
    <w:rsid w:val="00FC371D"/>
    <w:rsid w:val="00FC4A04"/>
    <w:rsid w:val="00FC51CC"/>
    <w:rsid w:val="00FC5F0B"/>
    <w:rsid w:val="00FC7791"/>
    <w:rsid w:val="00FD0AE8"/>
    <w:rsid w:val="00FD2100"/>
    <w:rsid w:val="00FD436C"/>
    <w:rsid w:val="00FD446D"/>
    <w:rsid w:val="00FD4F2C"/>
    <w:rsid w:val="00FD5123"/>
    <w:rsid w:val="00FD528F"/>
    <w:rsid w:val="00FD5557"/>
    <w:rsid w:val="00FD6394"/>
    <w:rsid w:val="00FD6D85"/>
    <w:rsid w:val="00FE0E6C"/>
    <w:rsid w:val="00FE1901"/>
    <w:rsid w:val="00FE1CDC"/>
    <w:rsid w:val="00FE1DA1"/>
    <w:rsid w:val="00FE4020"/>
    <w:rsid w:val="00FE6558"/>
    <w:rsid w:val="00FE65D7"/>
    <w:rsid w:val="00FE66A1"/>
    <w:rsid w:val="00FE70C3"/>
    <w:rsid w:val="00FE74F2"/>
    <w:rsid w:val="00FF1A45"/>
    <w:rsid w:val="00FF1A8B"/>
    <w:rsid w:val="00FF207A"/>
    <w:rsid w:val="00FF2AD9"/>
    <w:rsid w:val="00FF359F"/>
    <w:rsid w:val="00FF3DCF"/>
    <w:rsid w:val="00FF492C"/>
    <w:rsid w:val="00FF4A21"/>
    <w:rsid w:val="00FF5AA3"/>
    <w:rsid w:val="00FF5AD8"/>
    <w:rsid w:val="00FF5F6D"/>
    <w:rsid w:val="00FF64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5D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H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H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Bullet 1,Listenabsatz 2,Bullet List,Lista viñetas,Explanation &amp; guidance,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Bullet 1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8D553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D553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C16B3"/>
    <w:rPr>
      <w:rFonts w:cs="Times New Roman"/>
      <w:sz w:val="20"/>
      <w:szCs w:val="20"/>
      <w:lang w:eastAsia="en-GB"/>
    </w:rPr>
  </w:style>
  <w:style w:type="character" w:customStyle="1" w:styleId="FootnoteTextChar">
    <w:name w:val="Footnote Text Char"/>
    <w:basedOn w:val="DefaultParagraphFont"/>
    <w:link w:val="FootnoteText"/>
    <w:semiHidden/>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character" w:styleId="UnresolvedMention">
    <w:name w:val="Unresolved Mention"/>
    <w:basedOn w:val="DefaultParagraphFont"/>
    <w:uiPriority w:val="99"/>
    <w:semiHidden/>
    <w:unhideWhenUsed/>
    <w:rsid w:val="005858D0"/>
    <w:rPr>
      <w:color w:val="605E5C"/>
      <w:shd w:val="clear" w:color="auto" w:fill="E1DFDD"/>
    </w:rPr>
  </w:style>
  <w:style w:type="paragraph" w:customStyle="1" w:styleId="TableFigNote">
    <w:name w:val="TableFigNote"/>
    <w:basedOn w:val="Normal"/>
    <w:uiPriority w:val="99"/>
    <w:qFormat/>
    <w:rsid w:val="00957D67"/>
    <w:pPr>
      <w:jc w:val="left"/>
    </w:pPr>
    <w:rPr>
      <w:rFonts w:asciiTheme="minorHAnsi" w:eastAsiaTheme="minorHAnsi" w:hAnsiTheme="minorHAnsi" w:cstheme="minorBidi"/>
      <w:sz w:val="16"/>
      <w:szCs w:val="22"/>
      <w:lang w:eastAsia="en-US"/>
    </w:rPr>
  </w:style>
  <w:style w:type="paragraph" w:customStyle="1" w:styleId="BodyText1">
    <w:name w:val="Body Text1"/>
    <w:basedOn w:val="Normal"/>
    <w:link w:val="BodytextChar0"/>
    <w:uiPriority w:val="99"/>
    <w:qFormat/>
    <w:rsid w:val="00957D67"/>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uiPriority w:val="99"/>
    <w:rsid w:val="00957D67"/>
    <w:rPr>
      <w:rFonts w:asciiTheme="minorHAnsi" w:eastAsiaTheme="minorHAnsi" w:hAnsiTheme="minorHAnsi" w:cstheme="minorBidi"/>
      <w:sz w:val="22"/>
      <w:szCs w:val="22"/>
      <w:lang w:eastAsia="en-US"/>
    </w:rPr>
  </w:style>
  <w:style w:type="paragraph" w:customStyle="1" w:styleId="TableNoteBullet">
    <w:name w:val="Table Note Bullet"/>
    <w:basedOn w:val="Normal"/>
    <w:rsid w:val="0065774A"/>
    <w:pPr>
      <w:numPr>
        <w:numId w:val="12"/>
      </w:numPr>
      <w:spacing w:after="60"/>
      <w:ind w:left="357" w:hanging="357"/>
      <w:jc w:val="left"/>
    </w:pPr>
    <w:rPr>
      <w:rFonts w:asciiTheme="minorHAnsi" w:eastAsiaTheme="minorHAnsi" w:hAnsiTheme="minorHAnsi" w:cstheme="minorBidi"/>
      <w:sz w:val="18"/>
      <w:szCs w:val="22"/>
      <w:lang w:eastAsia="en-US"/>
    </w:rPr>
  </w:style>
  <w:style w:type="paragraph" w:customStyle="1" w:styleId="DashEndList">
    <w:name w:val="Dash End List"/>
    <w:basedOn w:val="Normal"/>
    <w:rsid w:val="0065774A"/>
    <w:pPr>
      <w:numPr>
        <w:numId w:val="13"/>
      </w:numPr>
      <w:spacing w:after="240"/>
      <w:ind w:left="714" w:hanging="357"/>
      <w:jc w:val="left"/>
    </w:pPr>
    <w:rPr>
      <w:rFonts w:asciiTheme="minorHAnsi" w:eastAsiaTheme="minorHAnsi" w:hAnsiTheme="minorHAnsi" w:cstheme="minorBidi"/>
      <w:sz w:val="22"/>
      <w:szCs w:val="22"/>
      <w:lang w:eastAsia="en-US"/>
    </w:rPr>
  </w:style>
  <w:style w:type="paragraph" w:customStyle="1" w:styleId="TableBullet">
    <w:name w:val="Table Bullet"/>
    <w:basedOn w:val="TableText0"/>
    <w:rsid w:val="00012EE5"/>
    <w:pPr>
      <w:keepNext w:val="0"/>
      <w:numPr>
        <w:numId w:val="14"/>
      </w:numPr>
      <w:spacing w:before="40" w:after="40"/>
      <w:ind w:left="357" w:hanging="357"/>
    </w:pPr>
    <w:rPr>
      <w:rFonts w:asciiTheme="minorHAnsi" w:eastAsiaTheme="minorHAnsi" w:hAnsiTheme="minorHAnsi" w:cstheme="minorHAnsi"/>
      <w:bCs w:val="0"/>
      <w:sz w:val="18"/>
      <w:szCs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80926"/>
    <w:pPr>
      <w:spacing w:after="160" w:line="240" w:lineRule="exact"/>
      <w:jc w:val="left"/>
    </w:pPr>
    <w:rPr>
      <w:rFonts w:ascii="Verdana" w:eastAsia="MS Mincho" w:hAnsi="Verdana" w:cs="Verdana"/>
      <w:sz w:val="20"/>
      <w:szCs w:val="20"/>
      <w:lang w:val="en-US" w:eastAsia="en-US"/>
    </w:rPr>
  </w:style>
  <w:style w:type="paragraph" w:customStyle="1" w:styleId="3-SubsectionHeading">
    <w:name w:val="3-Subsection Heading"/>
    <w:basedOn w:val="Heading2"/>
    <w:next w:val="Normal"/>
    <w:link w:val="3-SubsectionHeadingChar"/>
    <w:qFormat/>
    <w:rsid w:val="00BC097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C0976"/>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819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0344474">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0264570">
      <w:bodyDiv w:val="1"/>
      <w:marLeft w:val="0"/>
      <w:marRight w:val="0"/>
      <w:marTop w:val="0"/>
      <w:marBottom w:val="0"/>
      <w:divBdr>
        <w:top w:val="none" w:sz="0" w:space="0" w:color="auto"/>
        <w:left w:val="none" w:sz="0" w:space="0" w:color="auto"/>
        <w:bottom w:val="none" w:sz="0" w:space="0" w:color="auto"/>
        <w:right w:val="none" w:sz="0" w:space="0" w:color="auto"/>
      </w:divBdr>
      <w:divsChild>
        <w:div w:id="196815371">
          <w:marLeft w:val="0"/>
          <w:marRight w:val="0"/>
          <w:marTop w:val="0"/>
          <w:marBottom w:val="0"/>
          <w:divBdr>
            <w:top w:val="none" w:sz="0" w:space="0" w:color="auto"/>
            <w:left w:val="none" w:sz="0" w:space="0" w:color="auto"/>
            <w:bottom w:val="none" w:sz="0" w:space="0" w:color="auto"/>
            <w:right w:val="none" w:sz="0" w:space="0" w:color="auto"/>
          </w:divBdr>
          <w:divsChild>
            <w:div w:id="733354743">
              <w:marLeft w:val="0"/>
              <w:marRight w:val="0"/>
              <w:marTop w:val="0"/>
              <w:marBottom w:val="0"/>
              <w:divBdr>
                <w:top w:val="none" w:sz="0" w:space="0" w:color="auto"/>
                <w:left w:val="none" w:sz="0" w:space="0" w:color="auto"/>
                <w:bottom w:val="none" w:sz="0" w:space="0" w:color="auto"/>
                <w:right w:val="none" w:sz="0" w:space="0" w:color="auto"/>
              </w:divBdr>
              <w:divsChild>
                <w:div w:id="16936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1653130">
      <w:bodyDiv w:val="1"/>
      <w:marLeft w:val="0"/>
      <w:marRight w:val="0"/>
      <w:marTop w:val="0"/>
      <w:marBottom w:val="0"/>
      <w:divBdr>
        <w:top w:val="none" w:sz="0" w:space="0" w:color="auto"/>
        <w:left w:val="none" w:sz="0" w:space="0" w:color="auto"/>
        <w:bottom w:val="none" w:sz="0" w:space="0" w:color="auto"/>
        <w:right w:val="none" w:sz="0" w:space="0" w:color="auto"/>
      </w:divBdr>
    </w:div>
    <w:div w:id="507329372">
      <w:bodyDiv w:val="1"/>
      <w:marLeft w:val="0"/>
      <w:marRight w:val="0"/>
      <w:marTop w:val="0"/>
      <w:marBottom w:val="0"/>
      <w:divBdr>
        <w:top w:val="none" w:sz="0" w:space="0" w:color="auto"/>
        <w:left w:val="none" w:sz="0" w:space="0" w:color="auto"/>
        <w:bottom w:val="none" w:sz="0" w:space="0" w:color="auto"/>
        <w:right w:val="none" w:sz="0" w:space="0" w:color="auto"/>
      </w:divBdr>
    </w:div>
    <w:div w:id="608245089">
      <w:bodyDiv w:val="1"/>
      <w:marLeft w:val="0"/>
      <w:marRight w:val="0"/>
      <w:marTop w:val="0"/>
      <w:marBottom w:val="0"/>
      <w:divBdr>
        <w:top w:val="none" w:sz="0" w:space="0" w:color="auto"/>
        <w:left w:val="none" w:sz="0" w:space="0" w:color="auto"/>
        <w:bottom w:val="none" w:sz="0" w:space="0" w:color="auto"/>
        <w:right w:val="none" w:sz="0" w:space="0" w:color="auto"/>
      </w:divBdr>
      <w:divsChild>
        <w:div w:id="1423642769">
          <w:marLeft w:val="0"/>
          <w:marRight w:val="0"/>
          <w:marTop w:val="0"/>
          <w:marBottom w:val="0"/>
          <w:divBdr>
            <w:top w:val="none" w:sz="0" w:space="0" w:color="auto"/>
            <w:left w:val="none" w:sz="0" w:space="0" w:color="auto"/>
            <w:bottom w:val="none" w:sz="0" w:space="0" w:color="auto"/>
            <w:right w:val="none" w:sz="0" w:space="0" w:color="auto"/>
          </w:divBdr>
          <w:divsChild>
            <w:div w:id="1788817981">
              <w:marLeft w:val="0"/>
              <w:marRight w:val="0"/>
              <w:marTop w:val="0"/>
              <w:marBottom w:val="0"/>
              <w:divBdr>
                <w:top w:val="none" w:sz="0" w:space="0" w:color="auto"/>
                <w:left w:val="none" w:sz="0" w:space="0" w:color="auto"/>
                <w:bottom w:val="none" w:sz="0" w:space="0" w:color="auto"/>
                <w:right w:val="none" w:sz="0" w:space="0" w:color="auto"/>
              </w:divBdr>
              <w:divsChild>
                <w:div w:id="11237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9596">
      <w:bodyDiv w:val="1"/>
      <w:marLeft w:val="0"/>
      <w:marRight w:val="0"/>
      <w:marTop w:val="0"/>
      <w:marBottom w:val="0"/>
      <w:divBdr>
        <w:top w:val="none" w:sz="0" w:space="0" w:color="auto"/>
        <w:left w:val="none" w:sz="0" w:space="0" w:color="auto"/>
        <w:bottom w:val="none" w:sz="0" w:space="0" w:color="auto"/>
        <w:right w:val="none" w:sz="0" w:space="0" w:color="auto"/>
      </w:divBdr>
      <w:divsChild>
        <w:div w:id="1371757685">
          <w:marLeft w:val="0"/>
          <w:marRight w:val="0"/>
          <w:marTop w:val="0"/>
          <w:marBottom w:val="0"/>
          <w:divBdr>
            <w:top w:val="none" w:sz="0" w:space="0" w:color="auto"/>
            <w:left w:val="none" w:sz="0" w:space="0" w:color="auto"/>
            <w:bottom w:val="none" w:sz="0" w:space="0" w:color="auto"/>
            <w:right w:val="none" w:sz="0" w:space="0" w:color="auto"/>
          </w:divBdr>
          <w:divsChild>
            <w:div w:id="1542128125">
              <w:marLeft w:val="0"/>
              <w:marRight w:val="0"/>
              <w:marTop w:val="0"/>
              <w:marBottom w:val="0"/>
              <w:divBdr>
                <w:top w:val="none" w:sz="0" w:space="0" w:color="auto"/>
                <w:left w:val="none" w:sz="0" w:space="0" w:color="auto"/>
                <w:bottom w:val="none" w:sz="0" w:space="0" w:color="auto"/>
                <w:right w:val="none" w:sz="0" w:space="0" w:color="auto"/>
              </w:divBdr>
              <w:divsChild>
                <w:div w:id="16962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9406">
      <w:bodyDiv w:val="1"/>
      <w:marLeft w:val="0"/>
      <w:marRight w:val="0"/>
      <w:marTop w:val="0"/>
      <w:marBottom w:val="0"/>
      <w:divBdr>
        <w:top w:val="none" w:sz="0" w:space="0" w:color="auto"/>
        <w:left w:val="none" w:sz="0" w:space="0" w:color="auto"/>
        <w:bottom w:val="none" w:sz="0" w:space="0" w:color="auto"/>
        <w:right w:val="none" w:sz="0" w:space="0" w:color="auto"/>
      </w:divBdr>
      <w:divsChild>
        <w:div w:id="2093962577">
          <w:marLeft w:val="0"/>
          <w:marRight w:val="0"/>
          <w:marTop w:val="0"/>
          <w:marBottom w:val="0"/>
          <w:divBdr>
            <w:top w:val="none" w:sz="0" w:space="0" w:color="auto"/>
            <w:left w:val="none" w:sz="0" w:space="0" w:color="auto"/>
            <w:bottom w:val="none" w:sz="0" w:space="0" w:color="auto"/>
            <w:right w:val="none" w:sz="0" w:space="0" w:color="auto"/>
          </w:divBdr>
          <w:divsChild>
            <w:div w:id="612324972">
              <w:marLeft w:val="0"/>
              <w:marRight w:val="0"/>
              <w:marTop w:val="0"/>
              <w:marBottom w:val="0"/>
              <w:divBdr>
                <w:top w:val="none" w:sz="0" w:space="0" w:color="auto"/>
                <w:left w:val="none" w:sz="0" w:space="0" w:color="auto"/>
                <w:bottom w:val="none" w:sz="0" w:space="0" w:color="auto"/>
                <w:right w:val="none" w:sz="0" w:space="0" w:color="auto"/>
              </w:divBdr>
              <w:divsChild>
                <w:div w:id="2449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4586356">
      <w:bodyDiv w:val="1"/>
      <w:marLeft w:val="0"/>
      <w:marRight w:val="0"/>
      <w:marTop w:val="0"/>
      <w:marBottom w:val="0"/>
      <w:divBdr>
        <w:top w:val="none" w:sz="0" w:space="0" w:color="auto"/>
        <w:left w:val="none" w:sz="0" w:space="0" w:color="auto"/>
        <w:bottom w:val="none" w:sz="0" w:space="0" w:color="auto"/>
        <w:right w:val="none" w:sz="0" w:space="0" w:color="auto"/>
      </w:divBdr>
      <w:divsChild>
        <w:div w:id="2113933404">
          <w:marLeft w:val="0"/>
          <w:marRight w:val="0"/>
          <w:marTop w:val="0"/>
          <w:marBottom w:val="0"/>
          <w:divBdr>
            <w:top w:val="none" w:sz="0" w:space="0" w:color="auto"/>
            <w:left w:val="none" w:sz="0" w:space="0" w:color="auto"/>
            <w:bottom w:val="none" w:sz="0" w:space="0" w:color="auto"/>
            <w:right w:val="none" w:sz="0" w:space="0" w:color="auto"/>
          </w:divBdr>
          <w:divsChild>
            <w:div w:id="98718485">
              <w:marLeft w:val="0"/>
              <w:marRight w:val="0"/>
              <w:marTop w:val="0"/>
              <w:marBottom w:val="0"/>
              <w:divBdr>
                <w:top w:val="none" w:sz="0" w:space="0" w:color="auto"/>
                <w:left w:val="none" w:sz="0" w:space="0" w:color="auto"/>
                <w:bottom w:val="none" w:sz="0" w:space="0" w:color="auto"/>
                <w:right w:val="none" w:sz="0" w:space="0" w:color="auto"/>
              </w:divBdr>
              <w:divsChild>
                <w:div w:id="16167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7501">
      <w:bodyDiv w:val="1"/>
      <w:marLeft w:val="0"/>
      <w:marRight w:val="0"/>
      <w:marTop w:val="0"/>
      <w:marBottom w:val="0"/>
      <w:divBdr>
        <w:top w:val="none" w:sz="0" w:space="0" w:color="auto"/>
        <w:left w:val="none" w:sz="0" w:space="0" w:color="auto"/>
        <w:bottom w:val="none" w:sz="0" w:space="0" w:color="auto"/>
        <w:right w:val="none" w:sz="0" w:space="0" w:color="auto"/>
      </w:divBdr>
    </w:div>
    <w:div w:id="1049380616">
      <w:bodyDiv w:val="1"/>
      <w:marLeft w:val="0"/>
      <w:marRight w:val="0"/>
      <w:marTop w:val="0"/>
      <w:marBottom w:val="0"/>
      <w:divBdr>
        <w:top w:val="none" w:sz="0" w:space="0" w:color="auto"/>
        <w:left w:val="none" w:sz="0" w:space="0" w:color="auto"/>
        <w:bottom w:val="none" w:sz="0" w:space="0" w:color="auto"/>
        <w:right w:val="none" w:sz="0" w:space="0" w:color="auto"/>
      </w:divBdr>
      <w:divsChild>
        <w:div w:id="1467745529">
          <w:marLeft w:val="0"/>
          <w:marRight w:val="0"/>
          <w:marTop w:val="0"/>
          <w:marBottom w:val="0"/>
          <w:divBdr>
            <w:top w:val="none" w:sz="0" w:space="0" w:color="auto"/>
            <w:left w:val="none" w:sz="0" w:space="0" w:color="auto"/>
            <w:bottom w:val="none" w:sz="0" w:space="0" w:color="auto"/>
            <w:right w:val="none" w:sz="0" w:space="0" w:color="auto"/>
          </w:divBdr>
          <w:divsChild>
            <w:div w:id="891423143">
              <w:marLeft w:val="0"/>
              <w:marRight w:val="0"/>
              <w:marTop w:val="0"/>
              <w:marBottom w:val="0"/>
              <w:divBdr>
                <w:top w:val="none" w:sz="0" w:space="0" w:color="auto"/>
                <w:left w:val="none" w:sz="0" w:space="0" w:color="auto"/>
                <w:bottom w:val="none" w:sz="0" w:space="0" w:color="auto"/>
                <w:right w:val="none" w:sz="0" w:space="0" w:color="auto"/>
              </w:divBdr>
              <w:divsChild>
                <w:div w:id="14450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3597579">
      <w:bodyDiv w:val="1"/>
      <w:marLeft w:val="0"/>
      <w:marRight w:val="0"/>
      <w:marTop w:val="0"/>
      <w:marBottom w:val="0"/>
      <w:divBdr>
        <w:top w:val="none" w:sz="0" w:space="0" w:color="auto"/>
        <w:left w:val="none" w:sz="0" w:space="0" w:color="auto"/>
        <w:bottom w:val="none" w:sz="0" w:space="0" w:color="auto"/>
        <w:right w:val="none" w:sz="0" w:space="0" w:color="auto"/>
      </w:divBdr>
      <w:divsChild>
        <w:div w:id="1026756698">
          <w:marLeft w:val="0"/>
          <w:marRight w:val="0"/>
          <w:marTop w:val="0"/>
          <w:marBottom w:val="0"/>
          <w:divBdr>
            <w:top w:val="none" w:sz="0" w:space="0" w:color="auto"/>
            <w:left w:val="none" w:sz="0" w:space="0" w:color="auto"/>
            <w:bottom w:val="none" w:sz="0" w:space="0" w:color="auto"/>
            <w:right w:val="none" w:sz="0" w:space="0" w:color="auto"/>
          </w:divBdr>
          <w:divsChild>
            <w:div w:id="1475216322">
              <w:marLeft w:val="0"/>
              <w:marRight w:val="0"/>
              <w:marTop w:val="0"/>
              <w:marBottom w:val="0"/>
              <w:divBdr>
                <w:top w:val="none" w:sz="0" w:space="0" w:color="auto"/>
                <w:left w:val="none" w:sz="0" w:space="0" w:color="auto"/>
                <w:bottom w:val="none" w:sz="0" w:space="0" w:color="auto"/>
                <w:right w:val="none" w:sz="0" w:space="0" w:color="auto"/>
              </w:divBdr>
              <w:divsChild>
                <w:div w:id="2891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63316045">
      <w:bodyDiv w:val="1"/>
      <w:marLeft w:val="0"/>
      <w:marRight w:val="0"/>
      <w:marTop w:val="0"/>
      <w:marBottom w:val="0"/>
      <w:divBdr>
        <w:top w:val="none" w:sz="0" w:space="0" w:color="auto"/>
        <w:left w:val="none" w:sz="0" w:space="0" w:color="auto"/>
        <w:bottom w:val="none" w:sz="0" w:space="0" w:color="auto"/>
        <w:right w:val="none" w:sz="0" w:space="0" w:color="auto"/>
      </w:divBdr>
    </w:div>
    <w:div w:id="1685470868">
      <w:bodyDiv w:val="1"/>
      <w:marLeft w:val="0"/>
      <w:marRight w:val="0"/>
      <w:marTop w:val="0"/>
      <w:marBottom w:val="0"/>
      <w:divBdr>
        <w:top w:val="none" w:sz="0" w:space="0" w:color="auto"/>
        <w:left w:val="none" w:sz="0" w:space="0" w:color="auto"/>
        <w:bottom w:val="none" w:sz="0" w:space="0" w:color="auto"/>
        <w:right w:val="none" w:sz="0" w:space="0" w:color="auto"/>
      </w:divBdr>
      <w:divsChild>
        <w:div w:id="1783306961">
          <w:marLeft w:val="0"/>
          <w:marRight w:val="0"/>
          <w:marTop w:val="0"/>
          <w:marBottom w:val="0"/>
          <w:divBdr>
            <w:top w:val="none" w:sz="0" w:space="0" w:color="auto"/>
            <w:left w:val="none" w:sz="0" w:space="0" w:color="auto"/>
            <w:bottom w:val="none" w:sz="0" w:space="0" w:color="auto"/>
            <w:right w:val="none" w:sz="0" w:space="0" w:color="auto"/>
          </w:divBdr>
          <w:divsChild>
            <w:div w:id="767193389">
              <w:marLeft w:val="0"/>
              <w:marRight w:val="0"/>
              <w:marTop w:val="0"/>
              <w:marBottom w:val="0"/>
              <w:divBdr>
                <w:top w:val="none" w:sz="0" w:space="0" w:color="auto"/>
                <w:left w:val="none" w:sz="0" w:space="0" w:color="auto"/>
                <w:bottom w:val="none" w:sz="0" w:space="0" w:color="auto"/>
                <w:right w:val="none" w:sz="0" w:space="0" w:color="auto"/>
              </w:divBdr>
              <w:divsChild>
                <w:div w:id="15007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5209">
      <w:bodyDiv w:val="1"/>
      <w:marLeft w:val="0"/>
      <w:marRight w:val="0"/>
      <w:marTop w:val="0"/>
      <w:marBottom w:val="0"/>
      <w:divBdr>
        <w:top w:val="none" w:sz="0" w:space="0" w:color="auto"/>
        <w:left w:val="none" w:sz="0" w:space="0" w:color="auto"/>
        <w:bottom w:val="none" w:sz="0" w:space="0" w:color="auto"/>
        <w:right w:val="none" w:sz="0" w:space="0" w:color="auto"/>
      </w:divBdr>
    </w:div>
    <w:div w:id="1768380923">
      <w:bodyDiv w:val="1"/>
      <w:marLeft w:val="0"/>
      <w:marRight w:val="0"/>
      <w:marTop w:val="0"/>
      <w:marBottom w:val="0"/>
      <w:divBdr>
        <w:top w:val="none" w:sz="0" w:space="0" w:color="auto"/>
        <w:left w:val="none" w:sz="0" w:space="0" w:color="auto"/>
        <w:bottom w:val="none" w:sz="0" w:space="0" w:color="auto"/>
        <w:right w:val="none" w:sz="0" w:space="0" w:color="auto"/>
      </w:divBdr>
    </w:div>
    <w:div w:id="1802961159">
      <w:bodyDiv w:val="1"/>
      <w:marLeft w:val="0"/>
      <w:marRight w:val="0"/>
      <w:marTop w:val="0"/>
      <w:marBottom w:val="0"/>
      <w:divBdr>
        <w:top w:val="none" w:sz="0" w:space="0" w:color="auto"/>
        <w:left w:val="none" w:sz="0" w:space="0" w:color="auto"/>
        <w:bottom w:val="none" w:sz="0" w:space="0" w:color="auto"/>
        <w:right w:val="none" w:sz="0" w:space="0" w:color="auto"/>
      </w:divBdr>
    </w:div>
    <w:div w:id="1828352061">
      <w:bodyDiv w:val="1"/>
      <w:marLeft w:val="0"/>
      <w:marRight w:val="0"/>
      <w:marTop w:val="0"/>
      <w:marBottom w:val="0"/>
      <w:divBdr>
        <w:top w:val="none" w:sz="0" w:space="0" w:color="auto"/>
        <w:left w:val="none" w:sz="0" w:space="0" w:color="auto"/>
        <w:bottom w:val="none" w:sz="0" w:space="0" w:color="auto"/>
        <w:right w:val="none" w:sz="0" w:space="0" w:color="auto"/>
      </w:divBdr>
    </w:div>
    <w:div w:id="1832401810">
      <w:bodyDiv w:val="1"/>
      <w:marLeft w:val="0"/>
      <w:marRight w:val="0"/>
      <w:marTop w:val="0"/>
      <w:marBottom w:val="0"/>
      <w:divBdr>
        <w:top w:val="none" w:sz="0" w:space="0" w:color="auto"/>
        <w:left w:val="none" w:sz="0" w:space="0" w:color="auto"/>
        <w:bottom w:val="none" w:sz="0" w:space="0" w:color="auto"/>
        <w:right w:val="none" w:sz="0" w:space="0" w:color="auto"/>
      </w:divBdr>
    </w:div>
    <w:div w:id="1949002880">
      <w:bodyDiv w:val="1"/>
      <w:marLeft w:val="0"/>
      <w:marRight w:val="0"/>
      <w:marTop w:val="0"/>
      <w:marBottom w:val="0"/>
      <w:divBdr>
        <w:top w:val="none" w:sz="0" w:space="0" w:color="auto"/>
        <w:left w:val="none" w:sz="0" w:space="0" w:color="auto"/>
        <w:bottom w:val="none" w:sz="0" w:space="0" w:color="auto"/>
        <w:right w:val="none" w:sz="0" w:space="0" w:color="auto"/>
      </w:divBdr>
    </w:div>
    <w:div w:id="195004799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7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hyperlink" Target="http://www.servicesaustralia.gov.au/hpos" TargetMode="External"/><Relationship Id="rId26" Type="http://schemas.openxmlformats.org/officeDocument/2006/relationships/hyperlink" Target="http://www.servicesaustralia.gov.au" TargetMode="External"/><Relationship Id="rId3" Type="http://schemas.openxmlformats.org/officeDocument/2006/relationships/styles" Target="styles.xml"/><Relationship Id="rId21" Type="http://schemas.openxmlformats.org/officeDocument/2006/relationships/hyperlink" Target="http://www.servicesaustralia.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hyperlink" Target="http://www.servicesaustralia.gov.au" TargetMode="External"/><Relationship Id="rId25" Type="http://schemas.openxmlformats.org/officeDocument/2006/relationships/hyperlink" Target="http://www.servicesaustralia.gov.au/hp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tionalasthma.org.au" TargetMode="External"/><Relationship Id="rId20" Type="http://schemas.openxmlformats.org/officeDocument/2006/relationships/hyperlink" Target="http://www.nationalasthma.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 TargetMode="External"/><Relationship Id="rId24" Type="http://schemas.openxmlformats.org/officeDocument/2006/relationships/hyperlink" Target="http://www.servicesaustralia.gov.a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ervicesaustralia.gov.au" TargetMode="External"/><Relationship Id="rId23" Type="http://schemas.openxmlformats.org/officeDocument/2006/relationships/hyperlink" Target="http://www.nationalasthma.org.au" TargetMode="External"/><Relationship Id="rId28" Type="http://schemas.openxmlformats.org/officeDocument/2006/relationships/header" Target="header2.xml"/><Relationship Id="rId10" Type="http://schemas.openxmlformats.org/officeDocument/2006/relationships/hyperlink" Target="http://www.nationalasthma.org.au" TargetMode="External"/><Relationship Id="rId19" Type="http://schemas.openxmlformats.org/officeDocument/2006/relationships/hyperlink" Target="http://www.servicesaustralia.gov.a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image" Target="media/image1.jpeg"/><Relationship Id="rId22" Type="http://schemas.openxmlformats.org/officeDocument/2006/relationships/hyperlink" Target="http://www.servicesaustralia.gov.au/hpos"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9A15-E94D-469E-AF17-1E1B58C4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23255</Words>
  <Characters>128167</Characters>
  <Application>Microsoft Office Word</Application>
  <DocSecurity>0</DocSecurity>
  <Lines>3661</Lines>
  <Paragraphs>2074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2024-07-03T04:36:00Z</dcterms:created>
  <dcterms:modified xsi:type="dcterms:W3CDTF">2024-07-03T05:19:00Z</dcterms:modified>
</cp:coreProperties>
</file>