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4E54" w14:textId="1B311A94" w:rsidR="002B1423" w:rsidRPr="00162B20" w:rsidRDefault="00F97756" w:rsidP="002B1423">
      <w:pPr>
        <w:pStyle w:val="1-MainHeading"/>
        <w:spacing w:before="0" w:after="0"/>
      </w:pPr>
      <w:bookmarkStart w:id="0" w:name="_Toc156987033"/>
      <w:r w:rsidRPr="00162B20">
        <w:t>6</w:t>
      </w:r>
      <w:r w:rsidR="00433044" w:rsidRPr="00162B20">
        <w:t>.</w:t>
      </w:r>
      <w:r w:rsidRPr="00162B20">
        <w:t>04</w:t>
      </w:r>
      <w:r w:rsidR="00163F66" w:rsidRPr="00162B20">
        <w:tab/>
      </w:r>
      <w:r w:rsidR="005E0A71" w:rsidRPr="00162B20">
        <w:t>CABOZANTINIB</w:t>
      </w:r>
      <w:r w:rsidR="00163F66" w:rsidRPr="00162B20">
        <w:t>,</w:t>
      </w:r>
      <w:r w:rsidR="00163F66" w:rsidRPr="00162B20">
        <w:br/>
      </w:r>
      <w:r w:rsidR="005827E5" w:rsidRPr="00162B20">
        <w:t>Tablet</w:t>
      </w:r>
      <w:r w:rsidRPr="00162B20">
        <w:t xml:space="preserve"> 20 mg</w:t>
      </w:r>
      <w:r w:rsidR="00D01F4D" w:rsidRPr="00162B20">
        <w:t>,</w:t>
      </w:r>
      <w:r w:rsidRPr="00162B20">
        <w:t xml:space="preserve"> 40 mg, 60 mg</w:t>
      </w:r>
      <w:r w:rsidR="00D01F4D" w:rsidRPr="00162B20">
        <w:t>,</w:t>
      </w:r>
      <w:r w:rsidR="00163F66" w:rsidRPr="00162B20">
        <w:br/>
      </w:r>
      <w:r w:rsidR="005E0A71" w:rsidRPr="00162B20">
        <w:t>Cabometyx</w:t>
      </w:r>
      <w:r w:rsidR="00B60939" w:rsidRPr="00162B20">
        <w:rPr>
          <w:vertAlign w:val="superscript"/>
        </w:rPr>
        <w:t>®</w:t>
      </w:r>
      <w:r w:rsidR="004A6040" w:rsidRPr="00162B20">
        <w:t>,</w:t>
      </w:r>
      <w:bookmarkEnd w:id="0"/>
    </w:p>
    <w:p w14:paraId="51C6701A" w14:textId="0D14C68C" w:rsidR="00B60939" w:rsidRPr="00162B20" w:rsidRDefault="007158DC" w:rsidP="002B1423">
      <w:pPr>
        <w:rPr>
          <w:b/>
          <w:bCs/>
          <w:sz w:val="36"/>
          <w:szCs w:val="36"/>
        </w:rPr>
      </w:pPr>
      <w:r w:rsidRPr="00162B20">
        <w:rPr>
          <w:b/>
          <w:bCs/>
          <w:sz w:val="36"/>
          <w:szCs w:val="36"/>
        </w:rPr>
        <w:t xml:space="preserve"> </w:t>
      </w:r>
      <w:r w:rsidR="002B1423" w:rsidRPr="00162B20">
        <w:rPr>
          <w:b/>
          <w:bCs/>
          <w:sz w:val="36"/>
          <w:szCs w:val="36"/>
        </w:rPr>
        <w:tab/>
      </w:r>
      <w:r w:rsidR="005827E5" w:rsidRPr="00162B20">
        <w:rPr>
          <w:b/>
          <w:bCs/>
          <w:sz w:val="36"/>
          <w:szCs w:val="36"/>
        </w:rPr>
        <w:t>Ipsen Pty Ltd</w:t>
      </w:r>
    </w:p>
    <w:p w14:paraId="11C00795" w14:textId="430F69CA" w:rsidR="00B50DB8" w:rsidRPr="00162B20" w:rsidRDefault="00B50DB8" w:rsidP="004A6040">
      <w:pPr>
        <w:pStyle w:val="2-SectionHeading"/>
      </w:pPr>
      <w:bookmarkStart w:id="1" w:name="_Toc155629388"/>
      <w:bookmarkStart w:id="2" w:name="_Toc156987035"/>
      <w:bookmarkEnd w:id="1"/>
      <w:r w:rsidRPr="00162B20">
        <w:t xml:space="preserve">Purpose of </w:t>
      </w:r>
      <w:r w:rsidR="00CD7193" w:rsidRPr="00162B20">
        <w:t>s</w:t>
      </w:r>
      <w:r w:rsidR="00BB3A45" w:rsidRPr="00162B20">
        <w:t>ubmission</w:t>
      </w:r>
      <w:bookmarkEnd w:id="2"/>
    </w:p>
    <w:p w14:paraId="19414AA1" w14:textId="2F92A6A7" w:rsidR="002C2775" w:rsidRPr="00162B20" w:rsidRDefault="007158DC" w:rsidP="004E18E9">
      <w:pPr>
        <w:pStyle w:val="3-BodyText"/>
      </w:pPr>
      <w:r w:rsidRPr="00162B20">
        <w:t xml:space="preserve">The </w:t>
      </w:r>
      <w:r w:rsidR="00E91138" w:rsidRPr="00162B20">
        <w:t xml:space="preserve">Category 2 </w:t>
      </w:r>
      <w:r w:rsidRPr="00162B20">
        <w:t xml:space="preserve">submission </w:t>
      </w:r>
      <w:r w:rsidR="005C3AE7" w:rsidRPr="00162B20">
        <w:t>request</w:t>
      </w:r>
      <w:r w:rsidRPr="00162B20">
        <w:t>ed</w:t>
      </w:r>
      <w:r w:rsidR="005C3AE7" w:rsidRPr="00162B20">
        <w:t xml:space="preserve"> an amendment to the existing General Schedule Authority Required (STREAMLINED) listing </w:t>
      </w:r>
      <w:r w:rsidRPr="00162B20">
        <w:t xml:space="preserve">for cabozantinib </w:t>
      </w:r>
      <w:r w:rsidR="005C3AE7" w:rsidRPr="00162B20">
        <w:t xml:space="preserve">to remove the ‘clear cell variant’ histology requirement to allow treatment in patients with non-clear cell </w:t>
      </w:r>
      <w:r w:rsidRPr="00162B20">
        <w:t>renal cell carcinoma (</w:t>
      </w:r>
      <w:proofErr w:type="spellStart"/>
      <w:r w:rsidR="00D01F4D" w:rsidRPr="00162B20">
        <w:t>ncc</w:t>
      </w:r>
      <w:r w:rsidRPr="00162B20">
        <w:t>RCC</w:t>
      </w:r>
      <w:proofErr w:type="spellEnd"/>
      <w:r w:rsidRPr="00162B20">
        <w:t>)</w:t>
      </w:r>
      <w:r w:rsidR="005C3AE7" w:rsidRPr="00162B20">
        <w:t>.</w:t>
      </w:r>
    </w:p>
    <w:p w14:paraId="4E9FBCB5" w14:textId="347F37E2" w:rsidR="00C2778B" w:rsidRPr="00162B20" w:rsidRDefault="005750C5" w:rsidP="004E18E9">
      <w:pPr>
        <w:pStyle w:val="3-BodyText"/>
      </w:pPr>
      <w:r w:rsidRPr="00162B20">
        <w:t xml:space="preserve">Listing was requested on the basis of a </w:t>
      </w:r>
      <w:r w:rsidR="00FE091D" w:rsidRPr="00162B20">
        <w:t>‘</w:t>
      </w:r>
      <w:r w:rsidR="00111009" w:rsidRPr="00162B20">
        <w:t>frame of reference</w:t>
      </w:r>
      <w:r w:rsidR="007158DC" w:rsidRPr="00162B20">
        <w:t>’ comparison between cabozantinib versus sunitinib</w:t>
      </w:r>
      <w:r w:rsidR="00D37440" w:rsidRPr="00162B20">
        <w:t xml:space="preserve"> in the </w:t>
      </w:r>
      <w:proofErr w:type="spellStart"/>
      <w:r w:rsidR="00D37440" w:rsidRPr="00162B20">
        <w:t>ccRCC</w:t>
      </w:r>
      <w:proofErr w:type="spellEnd"/>
      <w:r w:rsidR="00D37440" w:rsidRPr="00162B20">
        <w:t xml:space="preserve"> setting, and </w:t>
      </w:r>
      <w:proofErr w:type="spellStart"/>
      <w:r w:rsidR="00D37440" w:rsidRPr="00162B20">
        <w:t>cabozantinib</w:t>
      </w:r>
      <w:proofErr w:type="spellEnd"/>
      <w:r w:rsidR="00D37440" w:rsidRPr="00162B20">
        <w:t xml:space="preserve"> versus sunitinib in the </w:t>
      </w:r>
      <w:proofErr w:type="spellStart"/>
      <w:r w:rsidR="00D37440" w:rsidRPr="00162B20">
        <w:t>nccRCC</w:t>
      </w:r>
      <w:proofErr w:type="spellEnd"/>
      <w:r w:rsidR="00D37440" w:rsidRPr="00162B20">
        <w:t xml:space="preserve"> setting</w:t>
      </w:r>
      <w:r w:rsidR="007158DC" w:rsidRPr="00162B20">
        <w:t xml:space="preserve">. </w:t>
      </w:r>
    </w:p>
    <w:p w14:paraId="24033CF4" w14:textId="50376CAC" w:rsidR="00F55472" w:rsidRPr="00162B20" w:rsidRDefault="00FC1DB1" w:rsidP="004E18E9">
      <w:pPr>
        <w:pStyle w:val="3-BodyText"/>
      </w:pPr>
      <w:r w:rsidRPr="00162B20">
        <w:fldChar w:fldCharType="begin"/>
      </w:r>
      <w:r w:rsidRPr="00162B20">
        <w:instrText xml:space="preserve"> REF _Ref155178223 \h </w:instrText>
      </w:r>
      <w:r w:rsidRPr="00162B20">
        <w:fldChar w:fldCharType="separate"/>
      </w:r>
      <w:r w:rsidR="0030362D" w:rsidRPr="00162B20">
        <w:t xml:space="preserve">Table </w:t>
      </w:r>
      <w:r w:rsidR="0030362D">
        <w:rPr>
          <w:noProof/>
        </w:rPr>
        <w:t>1</w:t>
      </w:r>
      <w:r w:rsidRPr="00162B20">
        <w:fldChar w:fldCharType="end"/>
      </w:r>
      <w:r w:rsidRPr="00162B20">
        <w:t xml:space="preserve"> presents the key components of the clinical issue addressed by the submission.</w:t>
      </w:r>
    </w:p>
    <w:p w14:paraId="59B95652" w14:textId="7484D3E1" w:rsidR="000A1E5E" w:rsidRPr="00162B20" w:rsidRDefault="000A1E5E" w:rsidP="000A1E5E">
      <w:pPr>
        <w:pStyle w:val="Caption"/>
      </w:pPr>
      <w:bookmarkStart w:id="3" w:name="_Ref155178223"/>
      <w:r w:rsidRPr="00162B20">
        <w:t xml:space="preserve">Table </w:t>
      </w:r>
      <w:fldSimple w:instr=" SEQ Table \* ARABIC ">
        <w:r w:rsidR="0030362D">
          <w:rPr>
            <w:noProof/>
          </w:rPr>
          <w:t>1</w:t>
        </w:r>
      </w:fldSimple>
      <w:bookmarkEnd w:id="3"/>
      <w:r w:rsidRPr="00162B20">
        <w:t xml:space="preserve">: </w:t>
      </w:r>
      <w:r w:rsidRPr="00162B20">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5C3AE7" w:rsidRPr="00162B20" w14:paraId="538FEEE2" w14:textId="77777777" w:rsidTr="00934914">
        <w:trPr>
          <w:cantSplit/>
          <w:tblHeader/>
        </w:trPr>
        <w:tc>
          <w:tcPr>
            <w:tcW w:w="924" w:type="pct"/>
            <w:shd w:val="clear" w:color="auto" w:fill="auto"/>
            <w:vAlign w:val="center"/>
          </w:tcPr>
          <w:p w14:paraId="6B749474" w14:textId="77777777" w:rsidR="001E0B67" w:rsidRPr="00162B20" w:rsidRDefault="001E0B67" w:rsidP="00934914">
            <w:pPr>
              <w:pStyle w:val="In-tableHeading"/>
              <w:jc w:val="center"/>
              <w:rPr>
                <w:color w:val="000000" w:themeColor="text1"/>
                <w:szCs w:val="20"/>
                <w:lang w:val="en-AU"/>
              </w:rPr>
            </w:pPr>
            <w:r w:rsidRPr="00162B20">
              <w:rPr>
                <w:color w:val="000000" w:themeColor="text1"/>
                <w:lang w:val="en-AU"/>
              </w:rPr>
              <w:t>Component</w:t>
            </w:r>
          </w:p>
        </w:tc>
        <w:tc>
          <w:tcPr>
            <w:tcW w:w="4076" w:type="pct"/>
            <w:shd w:val="clear" w:color="auto" w:fill="auto"/>
            <w:vAlign w:val="center"/>
          </w:tcPr>
          <w:p w14:paraId="727026DD" w14:textId="77777777" w:rsidR="001E0B67" w:rsidRPr="00162B20" w:rsidRDefault="001E0B67" w:rsidP="00934914">
            <w:pPr>
              <w:pStyle w:val="In-tableHeading"/>
              <w:jc w:val="center"/>
              <w:rPr>
                <w:color w:val="000000" w:themeColor="text1"/>
                <w:lang w:val="en-AU"/>
              </w:rPr>
            </w:pPr>
            <w:r w:rsidRPr="00162B20">
              <w:rPr>
                <w:color w:val="000000" w:themeColor="text1"/>
                <w:lang w:val="en-AU"/>
              </w:rPr>
              <w:t>Description</w:t>
            </w:r>
          </w:p>
        </w:tc>
      </w:tr>
      <w:tr w:rsidR="005C3AE7" w:rsidRPr="00162B20" w14:paraId="0795F26D" w14:textId="77777777" w:rsidTr="002C2905">
        <w:trPr>
          <w:cantSplit/>
        </w:trPr>
        <w:tc>
          <w:tcPr>
            <w:tcW w:w="924" w:type="pct"/>
            <w:shd w:val="clear" w:color="auto" w:fill="auto"/>
          </w:tcPr>
          <w:p w14:paraId="53CC4505" w14:textId="77777777" w:rsidR="001E0B67" w:rsidRPr="00162B20" w:rsidRDefault="001E0B67" w:rsidP="002C2905">
            <w:pPr>
              <w:pStyle w:val="TableText0"/>
              <w:rPr>
                <w:color w:val="000000" w:themeColor="text1"/>
              </w:rPr>
            </w:pPr>
            <w:r w:rsidRPr="00162B20">
              <w:rPr>
                <w:color w:val="000000" w:themeColor="text1"/>
              </w:rPr>
              <w:t>Population</w:t>
            </w:r>
          </w:p>
        </w:tc>
        <w:tc>
          <w:tcPr>
            <w:tcW w:w="4076" w:type="pct"/>
          </w:tcPr>
          <w:p w14:paraId="5E80A064" w14:textId="220B939D" w:rsidR="001E0B67" w:rsidRPr="00162B20" w:rsidRDefault="001E0B67" w:rsidP="002C2905">
            <w:pPr>
              <w:pStyle w:val="TableText0"/>
              <w:rPr>
                <w:color w:val="000000" w:themeColor="text1"/>
                <w:szCs w:val="20"/>
              </w:rPr>
            </w:pPr>
            <w:r w:rsidRPr="00162B20">
              <w:rPr>
                <w:color w:val="000000" w:themeColor="text1"/>
              </w:rPr>
              <w:t xml:space="preserve">Patients with </w:t>
            </w:r>
            <w:r w:rsidR="003B792D" w:rsidRPr="00162B20">
              <w:rPr>
                <w:color w:val="000000" w:themeColor="text1"/>
              </w:rPr>
              <w:t xml:space="preserve">treatment-naïve </w:t>
            </w:r>
            <w:r w:rsidRPr="00162B20">
              <w:rPr>
                <w:color w:val="000000" w:themeColor="text1"/>
              </w:rPr>
              <w:t xml:space="preserve">(Stage IV) </w:t>
            </w:r>
            <w:proofErr w:type="spellStart"/>
            <w:r w:rsidR="003B792D" w:rsidRPr="00162B20">
              <w:rPr>
                <w:color w:val="000000" w:themeColor="text1"/>
              </w:rPr>
              <w:t>ncc</w:t>
            </w:r>
            <w:r w:rsidRPr="00162B20">
              <w:rPr>
                <w:color w:val="000000" w:themeColor="text1"/>
              </w:rPr>
              <w:t>RCC</w:t>
            </w:r>
            <w:proofErr w:type="spellEnd"/>
            <w:r w:rsidRPr="00162B20">
              <w:rPr>
                <w:color w:val="000000" w:themeColor="text1"/>
              </w:rPr>
              <w:t xml:space="preserve"> who are classified as intermediate or poor risk according to the IMDC prognostic criteria</w:t>
            </w:r>
            <w:r w:rsidR="003B792D" w:rsidRPr="00162B20">
              <w:rPr>
                <w:color w:val="000000" w:themeColor="text1"/>
              </w:rPr>
              <w:t xml:space="preserve"> and patients with Stage IV </w:t>
            </w:r>
            <w:proofErr w:type="spellStart"/>
            <w:r w:rsidR="003B792D" w:rsidRPr="00162B20">
              <w:rPr>
                <w:color w:val="000000" w:themeColor="text1"/>
              </w:rPr>
              <w:t>nccRCC</w:t>
            </w:r>
            <w:proofErr w:type="spellEnd"/>
            <w:r w:rsidR="003B792D" w:rsidRPr="00162B20">
              <w:rPr>
                <w:color w:val="000000" w:themeColor="text1"/>
              </w:rPr>
              <w:t xml:space="preserve"> who have received prior treatment with a TKI</w:t>
            </w:r>
            <w:r w:rsidRPr="00162B20">
              <w:rPr>
                <w:color w:val="000000" w:themeColor="text1"/>
              </w:rPr>
              <w:t>.</w:t>
            </w:r>
          </w:p>
        </w:tc>
      </w:tr>
      <w:tr w:rsidR="005C3AE7" w:rsidRPr="00162B20" w14:paraId="68F5F84D" w14:textId="77777777" w:rsidTr="002C2905">
        <w:trPr>
          <w:cantSplit/>
        </w:trPr>
        <w:tc>
          <w:tcPr>
            <w:tcW w:w="924" w:type="pct"/>
            <w:shd w:val="clear" w:color="auto" w:fill="auto"/>
          </w:tcPr>
          <w:p w14:paraId="1E81E7C3" w14:textId="77777777" w:rsidR="001E0B67" w:rsidRPr="00162B20" w:rsidRDefault="001E0B67" w:rsidP="002C2905">
            <w:pPr>
              <w:pStyle w:val="TableText0"/>
              <w:rPr>
                <w:color w:val="000000" w:themeColor="text1"/>
              </w:rPr>
            </w:pPr>
            <w:r w:rsidRPr="00162B20">
              <w:rPr>
                <w:color w:val="000000" w:themeColor="text1"/>
              </w:rPr>
              <w:t>Intervention</w:t>
            </w:r>
          </w:p>
        </w:tc>
        <w:tc>
          <w:tcPr>
            <w:tcW w:w="4076" w:type="pct"/>
          </w:tcPr>
          <w:p w14:paraId="78A4E519" w14:textId="77777777" w:rsidR="001E0B67" w:rsidRPr="00162B20" w:rsidRDefault="001E0B67" w:rsidP="002C2905">
            <w:pPr>
              <w:pStyle w:val="TableText0"/>
              <w:rPr>
                <w:color w:val="000000" w:themeColor="text1"/>
              </w:rPr>
            </w:pPr>
            <w:r w:rsidRPr="00162B20">
              <w:rPr>
                <w:color w:val="000000" w:themeColor="text1"/>
              </w:rPr>
              <w:t xml:space="preserve">Cabozantinib 60mg orally once daily </w:t>
            </w:r>
          </w:p>
        </w:tc>
      </w:tr>
      <w:tr w:rsidR="005C3AE7" w:rsidRPr="00162B20" w14:paraId="3C514E81" w14:textId="77777777" w:rsidTr="002C2905">
        <w:trPr>
          <w:cantSplit/>
        </w:trPr>
        <w:tc>
          <w:tcPr>
            <w:tcW w:w="924" w:type="pct"/>
            <w:shd w:val="clear" w:color="auto" w:fill="auto"/>
          </w:tcPr>
          <w:p w14:paraId="3F438481" w14:textId="77777777" w:rsidR="001E0B67" w:rsidRPr="00162B20" w:rsidRDefault="001E0B67" w:rsidP="002C2905">
            <w:pPr>
              <w:pStyle w:val="TableText0"/>
              <w:rPr>
                <w:color w:val="000000" w:themeColor="text1"/>
              </w:rPr>
            </w:pPr>
            <w:r w:rsidRPr="00162B20">
              <w:rPr>
                <w:color w:val="000000" w:themeColor="text1"/>
              </w:rPr>
              <w:t>Comparator</w:t>
            </w:r>
          </w:p>
        </w:tc>
        <w:tc>
          <w:tcPr>
            <w:tcW w:w="4076" w:type="pct"/>
          </w:tcPr>
          <w:p w14:paraId="1C3F1D3C" w14:textId="77777777" w:rsidR="001E0B67" w:rsidRPr="00162B20" w:rsidRDefault="001E0B67" w:rsidP="002C2905">
            <w:pPr>
              <w:pStyle w:val="TableText0"/>
              <w:rPr>
                <w:color w:val="000000" w:themeColor="text1"/>
              </w:rPr>
            </w:pPr>
            <w:r w:rsidRPr="00162B20">
              <w:rPr>
                <w:color w:val="000000" w:themeColor="text1"/>
              </w:rPr>
              <w:t>Sunitinib 50mg orally once daily</w:t>
            </w:r>
          </w:p>
        </w:tc>
      </w:tr>
      <w:tr w:rsidR="005C3AE7" w:rsidRPr="00162B20" w14:paraId="4378A5B7" w14:textId="77777777" w:rsidTr="002C2905">
        <w:trPr>
          <w:cantSplit/>
        </w:trPr>
        <w:tc>
          <w:tcPr>
            <w:tcW w:w="924" w:type="pct"/>
            <w:tcBorders>
              <w:bottom w:val="single" w:sz="4" w:space="0" w:color="auto"/>
            </w:tcBorders>
            <w:shd w:val="clear" w:color="auto" w:fill="auto"/>
          </w:tcPr>
          <w:p w14:paraId="163D7E30" w14:textId="77777777" w:rsidR="001E0B67" w:rsidRPr="00162B20" w:rsidRDefault="001E0B67" w:rsidP="002C2905">
            <w:pPr>
              <w:pStyle w:val="TableText0"/>
              <w:rPr>
                <w:color w:val="000000" w:themeColor="text1"/>
              </w:rPr>
            </w:pPr>
            <w:r w:rsidRPr="00162B20">
              <w:rPr>
                <w:color w:val="000000" w:themeColor="text1"/>
              </w:rPr>
              <w:t>Outcomes</w:t>
            </w:r>
          </w:p>
        </w:tc>
        <w:tc>
          <w:tcPr>
            <w:tcW w:w="4076" w:type="pct"/>
            <w:tcBorders>
              <w:bottom w:val="single" w:sz="4" w:space="0" w:color="auto"/>
            </w:tcBorders>
          </w:tcPr>
          <w:p w14:paraId="501EAA50" w14:textId="77777777" w:rsidR="001E0B67" w:rsidRPr="00162B20" w:rsidRDefault="001E0B67" w:rsidP="002C2905">
            <w:pPr>
              <w:pStyle w:val="TableText0"/>
              <w:rPr>
                <w:rFonts w:eastAsia="Times New Roman" w:cs="Arial"/>
                <w:bCs w:val="0"/>
                <w:snapToGrid w:val="0"/>
                <w:color w:val="000000" w:themeColor="text1"/>
                <w:szCs w:val="20"/>
              </w:rPr>
            </w:pPr>
            <w:r w:rsidRPr="00162B20">
              <w:rPr>
                <w:color w:val="000000" w:themeColor="text1"/>
              </w:rPr>
              <w:t>PFS, ORR, OS, and safety</w:t>
            </w:r>
          </w:p>
        </w:tc>
      </w:tr>
      <w:tr w:rsidR="005C3AE7" w:rsidRPr="00162B20" w14:paraId="6D5B42C8" w14:textId="77777777" w:rsidTr="002C2905">
        <w:trPr>
          <w:cantSplit/>
        </w:trPr>
        <w:tc>
          <w:tcPr>
            <w:tcW w:w="924" w:type="pct"/>
            <w:tcBorders>
              <w:bottom w:val="single" w:sz="4" w:space="0" w:color="auto"/>
            </w:tcBorders>
            <w:shd w:val="clear" w:color="auto" w:fill="auto"/>
          </w:tcPr>
          <w:p w14:paraId="067A317B" w14:textId="77777777" w:rsidR="001E0B67" w:rsidRPr="00162B20" w:rsidRDefault="001E0B67" w:rsidP="002C2905">
            <w:pPr>
              <w:pStyle w:val="TableText0"/>
              <w:rPr>
                <w:color w:val="000000" w:themeColor="text1"/>
              </w:rPr>
            </w:pPr>
            <w:r w:rsidRPr="00162B20">
              <w:rPr>
                <w:color w:val="000000" w:themeColor="text1"/>
              </w:rPr>
              <w:t>Clinical claim</w:t>
            </w:r>
          </w:p>
        </w:tc>
        <w:tc>
          <w:tcPr>
            <w:tcW w:w="4076" w:type="pct"/>
            <w:tcBorders>
              <w:bottom w:val="single" w:sz="4" w:space="0" w:color="auto"/>
            </w:tcBorders>
            <w:vAlign w:val="center"/>
          </w:tcPr>
          <w:p w14:paraId="0BDB9388" w14:textId="59CE4C79" w:rsidR="001E0B67" w:rsidRPr="00162B20" w:rsidRDefault="001E0B67" w:rsidP="002C2905">
            <w:pPr>
              <w:pStyle w:val="TableText0"/>
              <w:rPr>
                <w:color w:val="000000" w:themeColor="text1"/>
              </w:rPr>
            </w:pPr>
            <w:r w:rsidRPr="00162B20">
              <w:rPr>
                <w:color w:val="000000" w:themeColor="text1"/>
              </w:rPr>
              <w:t xml:space="preserve">In adults with Stage IV </w:t>
            </w:r>
            <w:proofErr w:type="spellStart"/>
            <w:r w:rsidR="003B792D" w:rsidRPr="00162B20">
              <w:rPr>
                <w:color w:val="000000" w:themeColor="text1"/>
              </w:rPr>
              <w:t>ncc</w:t>
            </w:r>
            <w:r w:rsidRPr="00162B20">
              <w:rPr>
                <w:color w:val="000000" w:themeColor="text1"/>
              </w:rPr>
              <w:t>RCC</w:t>
            </w:r>
            <w:proofErr w:type="spellEnd"/>
            <w:r w:rsidRPr="00162B20">
              <w:rPr>
                <w:color w:val="000000" w:themeColor="text1"/>
              </w:rPr>
              <w:t xml:space="preserve">, ECOG status of 0-2, with intermediate to poor risk disease according to IMDC criteria, compared to sunitinib, cabozantinib </w:t>
            </w:r>
            <w:r w:rsidR="007F1BDA" w:rsidRPr="00162B20">
              <w:rPr>
                <w:color w:val="000000" w:themeColor="text1"/>
              </w:rPr>
              <w:t>has:</w:t>
            </w:r>
          </w:p>
          <w:p w14:paraId="6351E5BA" w14:textId="77777777" w:rsidR="007F1BDA" w:rsidRPr="00162B20" w:rsidRDefault="007F1BDA" w:rsidP="005C70A5">
            <w:pPr>
              <w:pStyle w:val="TableText0"/>
              <w:numPr>
                <w:ilvl w:val="0"/>
                <w:numId w:val="7"/>
              </w:numPr>
              <w:rPr>
                <w:snapToGrid w:val="0"/>
                <w:color w:val="000000" w:themeColor="text1"/>
                <w:szCs w:val="20"/>
              </w:rPr>
            </w:pPr>
            <w:r w:rsidRPr="00162B20">
              <w:rPr>
                <w:snapToGrid w:val="0"/>
                <w:color w:val="000000" w:themeColor="text1"/>
                <w:szCs w:val="20"/>
              </w:rPr>
              <w:t xml:space="preserve">Significantly superior PFS and ORR; </w:t>
            </w:r>
          </w:p>
          <w:p w14:paraId="6344C697" w14:textId="77777777" w:rsidR="007F1BDA" w:rsidRPr="00162B20" w:rsidRDefault="007F1BDA" w:rsidP="005C70A5">
            <w:pPr>
              <w:pStyle w:val="TableText0"/>
              <w:numPr>
                <w:ilvl w:val="0"/>
                <w:numId w:val="7"/>
              </w:numPr>
              <w:rPr>
                <w:rFonts w:eastAsia="Times New Roman" w:cs="Arial"/>
                <w:bCs w:val="0"/>
                <w:snapToGrid w:val="0"/>
                <w:color w:val="000000" w:themeColor="text1"/>
                <w:szCs w:val="20"/>
              </w:rPr>
            </w:pPr>
            <w:r w:rsidRPr="00162B20">
              <w:rPr>
                <w:snapToGrid w:val="0"/>
                <w:color w:val="000000" w:themeColor="text1"/>
                <w:szCs w:val="20"/>
              </w:rPr>
              <w:t xml:space="preserve">Similar OS and </w:t>
            </w:r>
          </w:p>
          <w:p w14:paraId="08F24051" w14:textId="77777777" w:rsidR="007F1BDA" w:rsidRPr="00162B20" w:rsidRDefault="007F1BDA" w:rsidP="005C70A5">
            <w:pPr>
              <w:pStyle w:val="TableText0"/>
              <w:numPr>
                <w:ilvl w:val="0"/>
                <w:numId w:val="7"/>
              </w:numPr>
              <w:rPr>
                <w:rFonts w:eastAsia="Times New Roman" w:cs="Arial"/>
                <w:bCs w:val="0"/>
                <w:snapToGrid w:val="0"/>
                <w:color w:val="000000" w:themeColor="text1"/>
                <w:szCs w:val="20"/>
              </w:rPr>
            </w:pPr>
            <w:r w:rsidRPr="00162B20">
              <w:rPr>
                <w:rFonts w:eastAsia="Times New Roman" w:cs="Arial"/>
                <w:bCs w:val="0"/>
                <w:snapToGrid w:val="0"/>
                <w:color w:val="000000" w:themeColor="text1"/>
                <w:szCs w:val="20"/>
              </w:rPr>
              <w:t>Different but broadly comparable safety.</w:t>
            </w:r>
          </w:p>
          <w:p w14:paraId="18C8E08D" w14:textId="1BB77563" w:rsidR="003B792D" w:rsidRPr="00162B20" w:rsidRDefault="003B792D" w:rsidP="003B792D">
            <w:pPr>
              <w:pStyle w:val="TableText0"/>
              <w:rPr>
                <w:rFonts w:eastAsia="Times New Roman" w:cs="Arial"/>
                <w:bCs w:val="0"/>
                <w:snapToGrid w:val="0"/>
                <w:color w:val="000000" w:themeColor="text1"/>
                <w:szCs w:val="20"/>
              </w:rPr>
            </w:pPr>
            <w:r w:rsidRPr="00162B20">
              <w:t xml:space="preserve">The submission also claimed that the relative effectiveness of cabozantinib over sunitinib in PFS and ORR observed in </w:t>
            </w:r>
            <w:proofErr w:type="spellStart"/>
            <w:r w:rsidRPr="00162B20">
              <w:t>nccRCC</w:t>
            </w:r>
            <w:proofErr w:type="spellEnd"/>
            <w:r w:rsidRPr="00162B20">
              <w:t xml:space="preserve"> is similar to that observed in </w:t>
            </w:r>
            <w:proofErr w:type="spellStart"/>
            <w:r w:rsidRPr="00162B20">
              <w:t>ccRCC</w:t>
            </w:r>
            <w:proofErr w:type="spellEnd"/>
            <w:r w:rsidRPr="00162B20">
              <w:t xml:space="preserve">. </w:t>
            </w:r>
          </w:p>
        </w:tc>
      </w:tr>
    </w:tbl>
    <w:p w14:paraId="611DF062" w14:textId="77777777" w:rsidR="001E0B67" w:rsidRPr="00162B20" w:rsidRDefault="001E0B67" w:rsidP="001E0B67">
      <w:pPr>
        <w:pStyle w:val="FooterTableFigure"/>
      </w:pPr>
      <w:r w:rsidRPr="00162B20">
        <w:t>Source: Table 1.1, p12 of the submission.</w:t>
      </w:r>
    </w:p>
    <w:p w14:paraId="549BD803" w14:textId="6CEF3120" w:rsidR="001E0B67" w:rsidRPr="00162B20" w:rsidRDefault="001E0B67" w:rsidP="001E0B67">
      <w:pPr>
        <w:pStyle w:val="FooterTableFigure"/>
        <w:rPr>
          <w:sz w:val="20"/>
        </w:rPr>
      </w:pPr>
      <w:r w:rsidRPr="00162B20">
        <w:t>ECOG = Eastern Cooperative Oncology Group, IMDC = International Metastatic Database Consortium, ORR = objective response rate, OS = overall survival, PFS = progression free survival,</w:t>
      </w:r>
      <w:r w:rsidR="003B792D" w:rsidRPr="00162B20">
        <w:t xml:space="preserve"> </w:t>
      </w:r>
      <w:proofErr w:type="spellStart"/>
      <w:r w:rsidR="003B792D" w:rsidRPr="00162B20">
        <w:t>ccRCC</w:t>
      </w:r>
      <w:proofErr w:type="spellEnd"/>
      <w:r w:rsidR="003B792D" w:rsidRPr="00162B20">
        <w:t xml:space="preserve"> = clear cell renal cell carcinoma,</w:t>
      </w:r>
      <w:r w:rsidRPr="00162B20">
        <w:t xml:space="preserve"> </w:t>
      </w:r>
      <w:proofErr w:type="spellStart"/>
      <w:r w:rsidR="003B792D" w:rsidRPr="00162B20">
        <w:t>ncc</w:t>
      </w:r>
      <w:r w:rsidRPr="00162B20">
        <w:t>RCC</w:t>
      </w:r>
      <w:proofErr w:type="spellEnd"/>
      <w:r w:rsidRPr="00162B20">
        <w:t xml:space="preserve"> = </w:t>
      </w:r>
      <w:r w:rsidR="003B792D" w:rsidRPr="00162B20">
        <w:t xml:space="preserve">non-clear cell </w:t>
      </w:r>
      <w:r w:rsidRPr="00162B20">
        <w:t>renal cell carcinoma</w:t>
      </w:r>
      <w:r w:rsidR="003B792D" w:rsidRPr="00162B20">
        <w:t>, TKI = tyrosine kinase inhibitor</w:t>
      </w:r>
      <w:r w:rsidRPr="00162B20">
        <w:t>.</w:t>
      </w:r>
    </w:p>
    <w:p w14:paraId="6B4AB6C2" w14:textId="7F01D731" w:rsidR="005C25FF" w:rsidRPr="00162B20" w:rsidRDefault="005C25FF" w:rsidP="004A6040">
      <w:pPr>
        <w:pStyle w:val="2-SectionHeading"/>
      </w:pPr>
      <w:bookmarkStart w:id="4" w:name="_Toc156987036"/>
      <w:r w:rsidRPr="00162B20">
        <w:t>Background</w:t>
      </w:r>
      <w:bookmarkEnd w:id="4"/>
    </w:p>
    <w:p w14:paraId="2C521D6D" w14:textId="78CF03EE" w:rsidR="005C25FF" w:rsidRPr="00162B20" w:rsidRDefault="005C25FF" w:rsidP="004A6040">
      <w:pPr>
        <w:pStyle w:val="4-SubsectionHeading"/>
      </w:pPr>
      <w:bookmarkStart w:id="5" w:name="_Toc22897638"/>
      <w:bookmarkStart w:id="6" w:name="_Toc156987037"/>
      <w:r w:rsidRPr="00162B20">
        <w:t>Registration status</w:t>
      </w:r>
      <w:bookmarkEnd w:id="5"/>
      <w:bookmarkEnd w:id="6"/>
    </w:p>
    <w:p w14:paraId="173962B9" w14:textId="071F62FB" w:rsidR="00F55472" w:rsidRPr="00162B20" w:rsidRDefault="007158DC" w:rsidP="0066010B">
      <w:pPr>
        <w:pStyle w:val="3-BodyText"/>
      </w:pPr>
      <w:bookmarkStart w:id="7" w:name="_Hlk155639470"/>
      <w:r w:rsidRPr="00162B20">
        <w:t xml:space="preserve">Cabozantinib was TGA registered on </w:t>
      </w:r>
      <w:r w:rsidR="0066010B" w:rsidRPr="00162B20">
        <w:t xml:space="preserve">31 October 2018 for the following indication: </w:t>
      </w:r>
      <w:r w:rsidR="009E3DA9" w:rsidRPr="00162B20">
        <w:t xml:space="preserve">as monotherapy for the treatment of </w:t>
      </w:r>
      <w:r w:rsidR="00916452" w:rsidRPr="00162B20">
        <w:t>advanced renal cell carcinoma (</w:t>
      </w:r>
      <w:r w:rsidR="009E3DA9" w:rsidRPr="00162B20">
        <w:t>aRCC</w:t>
      </w:r>
      <w:r w:rsidR="00916452" w:rsidRPr="00162B20">
        <w:t>)</w:t>
      </w:r>
      <w:r w:rsidR="009E3DA9" w:rsidRPr="00162B20">
        <w:t xml:space="preserve"> in treatment-naïve adults with intermediate or poor risk and in adults following prior treatment with vascular endothelial growth factor (VEGF) targeted therapy.</w:t>
      </w:r>
    </w:p>
    <w:p w14:paraId="00D25DC2" w14:textId="10C5D6EF" w:rsidR="005C3AE7" w:rsidRPr="00162B20" w:rsidRDefault="0066010B" w:rsidP="0066010B">
      <w:pPr>
        <w:pStyle w:val="3-BodyText"/>
      </w:pPr>
      <w:r w:rsidRPr="00162B20">
        <w:t>Cabozantinib is also indicated, in combination with nivolumab, for the first-line treatment of aRCC.</w:t>
      </w:r>
    </w:p>
    <w:p w14:paraId="03E3D868" w14:textId="4691B5B7" w:rsidR="00E23D0D" w:rsidRPr="00162B20" w:rsidRDefault="00E23D0D" w:rsidP="00E23D0D">
      <w:pPr>
        <w:pStyle w:val="4-SubsectionHeading"/>
      </w:pPr>
      <w:bookmarkStart w:id="8" w:name="_Toc156987038"/>
      <w:bookmarkEnd w:id="7"/>
      <w:r w:rsidRPr="00162B20">
        <w:lastRenderedPageBreak/>
        <w:t>Previous PBAC consideration</w:t>
      </w:r>
      <w:bookmarkEnd w:id="8"/>
    </w:p>
    <w:p w14:paraId="39D773DD" w14:textId="670D1810" w:rsidR="00E23D0D" w:rsidRPr="00162B20" w:rsidRDefault="0066010B" w:rsidP="00E23D0D">
      <w:pPr>
        <w:pStyle w:val="3-BodyText"/>
      </w:pPr>
      <w:r w:rsidRPr="00162B20">
        <w:t>C</w:t>
      </w:r>
      <w:r w:rsidR="00FC1DB1" w:rsidRPr="00162B20">
        <w:t xml:space="preserve">abozantinib </w:t>
      </w:r>
      <w:r w:rsidRPr="00162B20">
        <w:t>is currently PBS listed</w:t>
      </w:r>
      <w:r w:rsidR="00FC1DB1" w:rsidRPr="00162B20" w:rsidDel="00FE091D">
        <w:t xml:space="preserve"> </w:t>
      </w:r>
      <w:r w:rsidR="00FC1DB1" w:rsidRPr="00162B20">
        <w:t xml:space="preserve">for </w:t>
      </w:r>
      <w:r w:rsidR="00FC1DB1" w:rsidRPr="00162B20">
        <w:rPr>
          <w:rFonts w:eastAsiaTheme="majorEastAsia"/>
        </w:rPr>
        <w:t xml:space="preserve">patients with </w:t>
      </w:r>
      <w:r w:rsidRPr="00162B20">
        <w:rPr>
          <w:rFonts w:eastAsiaTheme="majorEastAsia"/>
        </w:rPr>
        <w:t>clear cell a</w:t>
      </w:r>
      <w:r w:rsidR="00FC1DB1" w:rsidRPr="00162B20">
        <w:rPr>
          <w:rFonts w:eastAsiaTheme="majorEastAsia"/>
        </w:rPr>
        <w:t xml:space="preserve">RCC as monotherapy in the first-line treatment setting (intermediate or poor </w:t>
      </w:r>
      <w:r w:rsidR="00D01F4D" w:rsidRPr="00162B20">
        <w:rPr>
          <w:rFonts w:eastAsiaTheme="majorEastAsia"/>
        </w:rPr>
        <w:t>International Metastatic Database Consortium (</w:t>
      </w:r>
      <w:r w:rsidR="00FC1DB1" w:rsidRPr="00162B20">
        <w:rPr>
          <w:rFonts w:eastAsiaTheme="majorEastAsia"/>
        </w:rPr>
        <w:t>IMDC</w:t>
      </w:r>
      <w:r w:rsidR="00D01F4D" w:rsidRPr="00162B20">
        <w:rPr>
          <w:rFonts w:eastAsiaTheme="majorEastAsia"/>
        </w:rPr>
        <w:t>)</w:t>
      </w:r>
      <w:r w:rsidR="00FC1DB1" w:rsidRPr="00162B20">
        <w:rPr>
          <w:rFonts w:eastAsiaTheme="majorEastAsia"/>
        </w:rPr>
        <w:t xml:space="preserve"> risk only) and for patients following </w:t>
      </w:r>
      <w:r w:rsidR="00D01F4D" w:rsidRPr="00162B20">
        <w:rPr>
          <w:rFonts w:eastAsiaTheme="majorEastAsia"/>
        </w:rPr>
        <w:t>tyrosine kinase inhibitor (</w:t>
      </w:r>
      <w:r w:rsidR="00FC1DB1" w:rsidRPr="00162B20">
        <w:rPr>
          <w:rFonts w:eastAsiaTheme="majorEastAsia"/>
        </w:rPr>
        <w:t>TKI</w:t>
      </w:r>
      <w:r w:rsidR="00D01F4D" w:rsidRPr="00162B20">
        <w:rPr>
          <w:rFonts w:eastAsiaTheme="majorEastAsia"/>
        </w:rPr>
        <w:t>)</w:t>
      </w:r>
      <w:r w:rsidR="00FC1DB1" w:rsidRPr="00162B20">
        <w:rPr>
          <w:rFonts w:eastAsiaTheme="majorEastAsia"/>
        </w:rPr>
        <w:t xml:space="preserve"> treatment (regardless of IMDC risk score).</w:t>
      </w:r>
      <w:r w:rsidR="00E23D0D" w:rsidRPr="00162B20">
        <w:rPr>
          <w:rFonts w:eastAsiaTheme="majorEastAsia"/>
          <w:snapToGrid/>
        </w:rPr>
        <w:t xml:space="preserve"> </w:t>
      </w:r>
    </w:p>
    <w:p w14:paraId="635DB66A" w14:textId="77777777" w:rsidR="00CE227A" w:rsidRPr="00162B20" w:rsidRDefault="00DA60A3" w:rsidP="00E23D0D">
      <w:pPr>
        <w:pStyle w:val="3-BodyText"/>
      </w:pPr>
      <w:r w:rsidRPr="00162B20">
        <w:rPr>
          <w:rFonts w:eastAsiaTheme="majorEastAsia"/>
          <w:snapToGrid/>
        </w:rPr>
        <w:t xml:space="preserve">Cabozantinib in combination with nivolumab for the first-line treatment of </w:t>
      </w:r>
      <w:r w:rsidR="00053CC4" w:rsidRPr="00162B20">
        <w:rPr>
          <w:rFonts w:eastAsiaTheme="majorEastAsia"/>
          <w:snapToGrid/>
        </w:rPr>
        <w:t xml:space="preserve">clear cell </w:t>
      </w:r>
      <w:r w:rsidRPr="00162B20">
        <w:rPr>
          <w:rFonts w:eastAsiaTheme="majorEastAsia"/>
          <w:snapToGrid/>
        </w:rPr>
        <w:t>aRCC will be considered at the March 2024 PBAC meeting.</w:t>
      </w:r>
      <w:r w:rsidR="00CE227A" w:rsidRPr="00162B20">
        <w:rPr>
          <w:rFonts w:eastAsiaTheme="majorEastAsia"/>
          <w:snapToGrid/>
        </w:rPr>
        <w:t xml:space="preserve"> </w:t>
      </w:r>
    </w:p>
    <w:p w14:paraId="1D2BF194" w14:textId="77777777" w:rsidR="00CE227A" w:rsidRPr="00162B20" w:rsidRDefault="00CE227A" w:rsidP="00CE227A">
      <w:pPr>
        <w:ind w:left="720"/>
        <w:rPr>
          <w:i/>
          <w:iCs/>
        </w:rPr>
      </w:pPr>
      <w:bookmarkStart w:id="9" w:name="_Hlk76375324"/>
      <w:r w:rsidRPr="00162B20">
        <w:rPr>
          <w:i/>
          <w:iCs/>
        </w:rPr>
        <w:t>For more detail on PBAC’s view, see section 7 PBAC outcome.</w:t>
      </w:r>
    </w:p>
    <w:p w14:paraId="7A355841" w14:textId="6127E837" w:rsidR="008F1E3B" w:rsidRPr="00162B20" w:rsidRDefault="007172C3" w:rsidP="007172C3">
      <w:pPr>
        <w:pStyle w:val="2-SectionHeading"/>
      </w:pPr>
      <w:bookmarkStart w:id="10" w:name="_Toc155629394"/>
      <w:bookmarkStart w:id="11" w:name="_Toc107902078"/>
      <w:bookmarkEnd w:id="9"/>
      <w:bookmarkEnd w:id="10"/>
      <w:bookmarkEnd w:id="11"/>
      <w:r w:rsidRPr="007172C3">
        <w:t>Requested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2121"/>
        <w:gridCol w:w="682"/>
        <w:gridCol w:w="884"/>
        <w:gridCol w:w="1737"/>
        <w:gridCol w:w="1048"/>
      </w:tblGrid>
      <w:tr w:rsidR="002270C2" w:rsidRPr="00162B20" w14:paraId="61F846DE" w14:textId="77777777" w:rsidTr="005D7A66">
        <w:trPr>
          <w:cantSplit/>
          <w:trHeight w:val="20"/>
        </w:trPr>
        <w:tc>
          <w:tcPr>
            <w:tcW w:w="1412" w:type="pct"/>
            <w:vAlign w:val="center"/>
          </w:tcPr>
          <w:p w14:paraId="564A29D2" w14:textId="77777777" w:rsidR="00DA60A3" w:rsidRPr="00162B20" w:rsidRDefault="00DA60A3" w:rsidP="004C395C">
            <w:pPr>
              <w:keepNext/>
              <w:keepLines/>
              <w:rPr>
                <w:rFonts w:ascii="Arial Narrow" w:hAnsi="Arial Narrow"/>
                <w:b/>
                <w:bCs/>
                <w:sz w:val="20"/>
                <w:szCs w:val="20"/>
              </w:rPr>
            </w:pPr>
            <w:bookmarkStart w:id="12" w:name="_Hlk104809055"/>
            <w:r w:rsidRPr="00162B20">
              <w:rPr>
                <w:rFonts w:ascii="Arial Narrow" w:hAnsi="Arial Narrow"/>
                <w:b/>
                <w:bCs/>
                <w:sz w:val="20"/>
                <w:szCs w:val="20"/>
              </w:rPr>
              <w:t>MEDICINAL PRODUCT</w:t>
            </w:r>
          </w:p>
          <w:p w14:paraId="76333840" w14:textId="77777777" w:rsidR="00DA60A3" w:rsidRPr="00162B20" w:rsidRDefault="00DA60A3" w:rsidP="004C395C">
            <w:pPr>
              <w:keepNext/>
              <w:keepLines/>
              <w:rPr>
                <w:rFonts w:ascii="Arial Narrow" w:hAnsi="Arial Narrow"/>
                <w:b/>
                <w:sz w:val="20"/>
                <w:szCs w:val="20"/>
              </w:rPr>
            </w:pPr>
            <w:r w:rsidRPr="00162B20">
              <w:rPr>
                <w:rFonts w:ascii="Arial Narrow" w:hAnsi="Arial Narrow"/>
                <w:b/>
                <w:bCs/>
                <w:sz w:val="20"/>
                <w:szCs w:val="20"/>
              </w:rPr>
              <w:t>medicinal product pack</w:t>
            </w:r>
          </w:p>
        </w:tc>
        <w:tc>
          <w:tcPr>
            <w:tcW w:w="1176" w:type="pct"/>
            <w:vAlign w:val="center"/>
          </w:tcPr>
          <w:p w14:paraId="2601DCB9" w14:textId="3C2A1C8F" w:rsidR="00DA60A3" w:rsidRPr="00162B20" w:rsidRDefault="00DA60A3" w:rsidP="004C395C">
            <w:pPr>
              <w:pStyle w:val="TableText0"/>
              <w:keepLines/>
              <w:jc w:val="center"/>
              <w:rPr>
                <w:b/>
                <w:bCs w:val="0"/>
                <w:szCs w:val="20"/>
              </w:rPr>
            </w:pPr>
            <w:r w:rsidRPr="00162B20">
              <w:rPr>
                <w:b/>
                <w:bCs w:val="0"/>
                <w:snapToGrid w:val="0"/>
              </w:rPr>
              <w:t>Dispensed Price for Max. Qty</w:t>
            </w:r>
          </w:p>
        </w:tc>
        <w:tc>
          <w:tcPr>
            <w:tcW w:w="378" w:type="pct"/>
            <w:vAlign w:val="center"/>
          </w:tcPr>
          <w:p w14:paraId="307D6738" w14:textId="77777777" w:rsidR="00DA60A3" w:rsidRPr="00162B20" w:rsidRDefault="00DA60A3" w:rsidP="004C395C">
            <w:pPr>
              <w:keepNext/>
              <w:keepLines/>
              <w:jc w:val="center"/>
              <w:rPr>
                <w:rFonts w:ascii="Arial Narrow" w:hAnsi="Arial Narrow"/>
                <w:b/>
                <w:sz w:val="20"/>
                <w:szCs w:val="20"/>
              </w:rPr>
            </w:pPr>
            <w:r w:rsidRPr="00162B20">
              <w:rPr>
                <w:rFonts w:ascii="Arial Narrow" w:hAnsi="Arial Narrow"/>
                <w:b/>
                <w:sz w:val="20"/>
                <w:szCs w:val="20"/>
              </w:rPr>
              <w:t>Max. qty packs</w:t>
            </w:r>
          </w:p>
        </w:tc>
        <w:tc>
          <w:tcPr>
            <w:tcW w:w="490" w:type="pct"/>
            <w:vAlign w:val="center"/>
          </w:tcPr>
          <w:p w14:paraId="55EDAA28" w14:textId="77777777" w:rsidR="00DA60A3" w:rsidRPr="00162B20" w:rsidRDefault="00DA60A3" w:rsidP="004C395C">
            <w:pPr>
              <w:keepNext/>
              <w:keepLines/>
              <w:jc w:val="center"/>
              <w:rPr>
                <w:rFonts w:ascii="Arial Narrow" w:hAnsi="Arial Narrow"/>
                <w:b/>
                <w:sz w:val="20"/>
                <w:szCs w:val="20"/>
              </w:rPr>
            </w:pPr>
            <w:r w:rsidRPr="00162B20">
              <w:rPr>
                <w:rFonts w:ascii="Arial Narrow" w:hAnsi="Arial Narrow"/>
                <w:b/>
                <w:sz w:val="20"/>
                <w:szCs w:val="20"/>
              </w:rPr>
              <w:t>Max. qty units</w:t>
            </w:r>
          </w:p>
        </w:tc>
        <w:tc>
          <w:tcPr>
            <w:tcW w:w="963" w:type="pct"/>
            <w:vAlign w:val="center"/>
          </w:tcPr>
          <w:p w14:paraId="19A5A011" w14:textId="77777777" w:rsidR="00DA60A3" w:rsidRPr="00162B20" w:rsidRDefault="00DA60A3" w:rsidP="004C395C">
            <w:pPr>
              <w:keepNext/>
              <w:keepLines/>
              <w:jc w:val="center"/>
              <w:rPr>
                <w:rFonts w:ascii="Arial Narrow" w:hAnsi="Arial Narrow"/>
                <w:b/>
                <w:sz w:val="20"/>
                <w:szCs w:val="20"/>
              </w:rPr>
            </w:pPr>
            <w:r w:rsidRPr="00162B20">
              <w:rPr>
                <w:rFonts w:ascii="Arial Narrow" w:hAnsi="Arial Narrow"/>
                <w:b/>
                <w:sz w:val="20"/>
                <w:szCs w:val="20"/>
              </w:rPr>
              <w:t>№.of</w:t>
            </w:r>
          </w:p>
          <w:p w14:paraId="01FA765C" w14:textId="77777777" w:rsidR="00DA60A3" w:rsidRPr="00162B20" w:rsidRDefault="00DA60A3" w:rsidP="004C395C">
            <w:pPr>
              <w:keepNext/>
              <w:keepLines/>
              <w:jc w:val="center"/>
              <w:rPr>
                <w:rFonts w:ascii="Arial Narrow" w:hAnsi="Arial Narrow"/>
                <w:b/>
                <w:sz w:val="20"/>
                <w:szCs w:val="20"/>
              </w:rPr>
            </w:pPr>
            <w:r w:rsidRPr="00162B20">
              <w:rPr>
                <w:rFonts w:ascii="Arial Narrow" w:hAnsi="Arial Narrow"/>
                <w:b/>
                <w:sz w:val="20"/>
                <w:szCs w:val="20"/>
              </w:rPr>
              <w:t>Rpts</w:t>
            </w:r>
          </w:p>
        </w:tc>
        <w:tc>
          <w:tcPr>
            <w:tcW w:w="581" w:type="pct"/>
            <w:vAlign w:val="center"/>
          </w:tcPr>
          <w:p w14:paraId="009B5429" w14:textId="77777777" w:rsidR="00DA60A3" w:rsidRPr="00162B20" w:rsidRDefault="00DA60A3" w:rsidP="004C395C">
            <w:pPr>
              <w:keepNext/>
              <w:keepLines/>
              <w:rPr>
                <w:rFonts w:ascii="Arial Narrow" w:hAnsi="Arial Narrow"/>
                <w:b/>
                <w:sz w:val="20"/>
                <w:szCs w:val="20"/>
              </w:rPr>
            </w:pPr>
            <w:r w:rsidRPr="00162B20">
              <w:rPr>
                <w:rFonts w:ascii="Arial Narrow" w:hAnsi="Arial Narrow"/>
                <w:b/>
                <w:sz w:val="20"/>
                <w:szCs w:val="20"/>
              </w:rPr>
              <w:t>Available brands</w:t>
            </w:r>
          </w:p>
        </w:tc>
      </w:tr>
      <w:tr w:rsidR="00DA60A3" w:rsidRPr="00162B20" w14:paraId="4669BEAC" w14:textId="77777777" w:rsidTr="003A1D75">
        <w:trPr>
          <w:cantSplit/>
          <w:trHeight w:val="20"/>
        </w:trPr>
        <w:tc>
          <w:tcPr>
            <w:tcW w:w="5000" w:type="pct"/>
            <w:gridSpan w:val="6"/>
            <w:vAlign w:val="center"/>
          </w:tcPr>
          <w:p w14:paraId="0CC3964D" w14:textId="03053F94" w:rsidR="00DA60A3" w:rsidRPr="00162B20" w:rsidRDefault="002270C2" w:rsidP="00E11055">
            <w:pPr>
              <w:pStyle w:val="TableText0"/>
              <w:rPr>
                <w:rFonts w:cs="Arial"/>
                <w:szCs w:val="20"/>
              </w:rPr>
            </w:pPr>
            <w:r w:rsidRPr="00162B20">
              <w:t>CABOZANTINIB</w:t>
            </w:r>
            <w:r w:rsidR="00DA60A3" w:rsidRPr="00162B20">
              <w:rPr>
                <w:rFonts w:cs="Arial"/>
                <w:color w:val="0066FF"/>
                <w:szCs w:val="20"/>
              </w:rPr>
              <w:t xml:space="preserve"> </w:t>
            </w:r>
          </w:p>
        </w:tc>
      </w:tr>
      <w:tr w:rsidR="002270C2" w:rsidRPr="00162B20" w14:paraId="1C277C46" w14:textId="77777777" w:rsidTr="005D7A66">
        <w:trPr>
          <w:cantSplit/>
          <w:trHeight w:val="173"/>
        </w:trPr>
        <w:tc>
          <w:tcPr>
            <w:tcW w:w="1412" w:type="pct"/>
            <w:vAlign w:val="center"/>
          </w:tcPr>
          <w:p w14:paraId="4DDD6A77" w14:textId="30FC77CD" w:rsidR="002270C2" w:rsidRPr="00162B20" w:rsidRDefault="002270C2" w:rsidP="00E11055">
            <w:pPr>
              <w:keepNext/>
              <w:keepLines/>
              <w:rPr>
                <w:rFonts w:ascii="Arial Narrow" w:hAnsi="Arial Narrow"/>
                <w:color w:val="0066FF"/>
                <w:sz w:val="20"/>
                <w:szCs w:val="20"/>
              </w:rPr>
            </w:pPr>
            <w:r w:rsidRPr="00162B20">
              <w:rPr>
                <w:rFonts w:ascii="Arial Narrow" w:eastAsiaTheme="majorEastAsia" w:hAnsi="Arial Narrow" w:cstheme="majorBidi"/>
                <w:bCs/>
                <w:sz w:val="20"/>
              </w:rPr>
              <w:t>Cabozantinib 20 mg tablet, 30</w:t>
            </w:r>
          </w:p>
        </w:tc>
        <w:tc>
          <w:tcPr>
            <w:tcW w:w="1176" w:type="pct"/>
            <w:vMerge w:val="restart"/>
          </w:tcPr>
          <w:p w14:paraId="62C9D4A8" w14:textId="77777777" w:rsidR="009804BC" w:rsidRPr="00162B20" w:rsidRDefault="009804BC" w:rsidP="009804BC">
            <w:pPr>
              <w:pStyle w:val="TableText0"/>
              <w:jc w:val="center"/>
            </w:pPr>
            <w:r w:rsidRPr="00162B20">
              <w:t>$9,962.13 published price</w:t>
            </w:r>
          </w:p>
          <w:p w14:paraId="33F5C974" w14:textId="1B2B8FCE" w:rsidR="002270C2" w:rsidRPr="00162B20" w:rsidRDefault="009804BC" w:rsidP="009804BC">
            <w:pPr>
              <w:pStyle w:val="TableText0"/>
              <w:jc w:val="center"/>
              <w:rPr>
                <w:szCs w:val="20"/>
              </w:rPr>
            </w:pPr>
            <w:r w:rsidRPr="00162B20">
              <w:t>$</w:t>
            </w:r>
            <w:r w:rsidR="0094719F" w:rsidRPr="0094719F">
              <w:rPr>
                <w:color w:val="000000"/>
                <w:spacing w:val="77"/>
                <w:shd w:val="solid" w:color="000000" w:fill="000000"/>
                <w:fitText w:val="163" w:id="-961817088"/>
                <w14:textFill>
                  <w14:solidFill>
                    <w14:srgbClr w14:val="000000">
                      <w14:alpha w14:val="100000"/>
                    </w14:srgbClr>
                  </w14:solidFill>
                </w14:textFill>
              </w:rPr>
              <w:t>|</w:t>
            </w:r>
            <w:r w:rsidR="0094719F" w:rsidRPr="0094719F">
              <w:rPr>
                <w:color w:val="000000"/>
                <w:spacing w:val="1"/>
                <w:shd w:val="solid" w:color="000000" w:fill="000000"/>
                <w:fitText w:val="163" w:id="-961817088"/>
                <w14:textFill>
                  <w14:solidFill>
                    <w14:srgbClr w14:val="000000">
                      <w14:alpha w14:val="100000"/>
                    </w14:srgbClr>
                  </w14:solidFill>
                </w14:textFill>
              </w:rPr>
              <w:t>|</w:t>
            </w:r>
            <w:r w:rsidRPr="00162B20">
              <w:t xml:space="preserve"> effective price</w:t>
            </w:r>
          </w:p>
        </w:tc>
        <w:tc>
          <w:tcPr>
            <w:tcW w:w="378" w:type="pct"/>
            <w:vAlign w:val="center"/>
          </w:tcPr>
          <w:p w14:paraId="773E2F72" w14:textId="7F5D817C" w:rsidR="002270C2" w:rsidRPr="00162B20" w:rsidRDefault="002270C2" w:rsidP="00E11055">
            <w:pPr>
              <w:keepNext/>
              <w:keepLines/>
              <w:jc w:val="center"/>
              <w:rPr>
                <w:rFonts w:ascii="Arial Narrow" w:hAnsi="Arial Narrow"/>
                <w:sz w:val="20"/>
                <w:szCs w:val="20"/>
              </w:rPr>
            </w:pPr>
            <w:r w:rsidRPr="00162B20">
              <w:rPr>
                <w:rFonts w:ascii="Arial Narrow" w:hAnsi="Arial Narrow"/>
                <w:sz w:val="20"/>
              </w:rPr>
              <w:t>1</w:t>
            </w:r>
          </w:p>
        </w:tc>
        <w:tc>
          <w:tcPr>
            <w:tcW w:w="490" w:type="pct"/>
            <w:vAlign w:val="center"/>
          </w:tcPr>
          <w:p w14:paraId="27AF0D1F" w14:textId="25B05F1E" w:rsidR="002270C2" w:rsidRPr="00162B20" w:rsidRDefault="002270C2" w:rsidP="00E11055">
            <w:pPr>
              <w:keepNext/>
              <w:keepLines/>
              <w:jc w:val="center"/>
              <w:rPr>
                <w:rFonts w:ascii="Arial Narrow" w:hAnsi="Arial Narrow"/>
                <w:sz w:val="20"/>
                <w:szCs w:val="20"/>
              </w:rPr>
            </w:pPr>
            <w:r w:rsidRPr="00162B20">
              <w:rPr>
                <w:rFonts w:ascii="Arial Narrow" w:hAnsi="Arial Narrow"/>
                <w:sz w:val="20"/>
              </w:rPr>
              <w:t>30</w:t>
            </w:r>
          </w:p>
        </w:tc>
        <w:tc>
          <w:tcPr>
            <w:tcW w:w="963" w:type="pct"/>
            <w:vMerge w:val="restart"/>
            <w:vAlign w:val="center"/>
          </w:tcPr>
          <w:p w14:paraId="419A0198" w14:textId="25D3AD21" w:rsidR="002270C2" w:rsidRPr="00162B20" w:rsidRDefault="002270C2" w:rsidP="00E11055">
            <w:pPr>
              <w:keepNext/>
              <w:jc w:val="center"/>
              <w:rPr>
                <w:rFonts w:ascii="Arial Narrow" w:hAnsi="Arial Narrow"/>
                <w:sz w:val="20"/>
              </w:rPr>
            </w:pPr>
            <w:r w:rsidRPr="00162B20">
              <w:rPr>
                <w:rFonts w:ascii="Arial Narrow" w:hAnsi="Arial Narrow"/>
                <w:sz w:val="20"/>
              </w:rPr>
              <w:t>2 (initial)</w:t>
            </w:r>
          </w:p>
          <w:p w14:paraId="0572143D" w14:textId="77777777" w:rsidR="002270C2" w:rsidRPr="00162B20" w:rsidRDefault="002270C2" w:rsidP="00E11055">
            <w:pPr>
              <w:keepNext/>
              <w:jc w:val="center"/>
              <w:rPr>
                <w:rFonts w:ascii="Arial Narrow" w:hAnsi="Arial Narrow"/>
                <w:sz w:val="20"/>
              </w:rPr>
            </w:pPr>
            <w:r w:rsidRPr="00162B20">
              <w:rPr>
                <w:rFonts w:ascii="Arial Narrow" w:hAnsi="Arial Narrow"/>
                <w:sz w:val="20"/>
              </w:rPr>
              <w:t>5 (continuing)</w:t>
            </w:r>
          </w:p>
          <w:p w14:paraId="01971689" w14:textId="14ABFE12" w:rsidR="00B95797" w:rsidRPr="00162B20" w:rsidRDefault="00B95797" w:rsidP="00E11055">
            <w:pPr>
              <w:keepNext/>
              <w:jc w:val="center"/>
              <w:rPr>
                <w:rFonts w:ascii="Arial Narrow" w:hAnsi="Arial Narrow"/>
                <w:sz w:val="20"/>
                <w:szCs w:val="20"/>
              </w:rPr>
            </w:pPr>
            <w:r w:rsidRPr="00162B20">
              <w:rPr>
                <w:rFonts w:ascii="Arial Narrow" w:hAnsi="Arial Narrow"/>
                <w:sz w:val="20"/>
                <w:szCs w:val="20"/>
              </w:rPr>
              <w:t>5 (grandfather)</w:t>
            </w:r>
          </w:p>
        </w:tc>
        <w:tc>
          <w:tcPr>
            <w:tcW w:w="581" w:type="pct"/>
            <w:vMerge w:val="restart"/>
          </w:tcPr>
          <w:p w14:paraId="1C48490F" w14:textId="6EFEC0BB" w:rsidR="002270C2" w:rsidRPr="00162B20" w:rsidRDefault="002270C2" w:rsidP="00E11055">
            <w:pPr>
              <w:keepNext/>
              <w:keepLines/>
              <w:rPr>
                <w:rFonts w:ascii="Arial Narrow" w:hAnsi="Arial Narrow"/>
                <w:color w:val="0066FF"/>
                <w:sz w:val="20"/>
                <w:szCs w:val="20"/>
              </w:rPr>
            </w:pPr>
            <w:r w:rsidRPr="00162B20">
              <w:rPr>
                <w:rFonts w:ascii="Arial Narrow" w:hAnsi="Arial Narrow"/>
                <w:sz w:val="20"/>
                <w:szCs w:val="20"/>
              </w:rPr>
              <w:t>Cabometyx</w:t>
            </w:r>
          </w:p>
        </w:tc>
      </w:tr>
      <w:tr w:rsidR="002270C2" w:rsidRPr="00162B20" w14:paraId="6446F351" w14:textId="77777777" w:rsidTr="005D7A66">
        <w:trPr>
          <w:cantSplit/>
          <w:trHeight w:val="219"/>
        </w:trPr>
        <w:tc>
          <w:tcPr>
            <w:tcW w:w="1412" w:type="pct"/>
            <w:vAlign w:val="center"/>
          </w:tcPr>
          <w:p w14:paraId="31D754C5" w14:textId="1E462D1A" w:rsidR="002270C2" w:rsidRPr="00162B20" w:rsidRDefault="002270C2" w:rsidP="00E11055">
            <w:pPr>
              <w:keepNext/>
              <w:keepLines/>
              <w:rPr>
                <w:rFonts w:ascii="Arial Narrow" w:eastAsiaTheme="majorEastAsia" w:hAnsi="Arial Narrow" w:cstheme="majorBidi"/>
                <w:bCs/>
                <w:sz w:val="20"/>
              </w:rPr>
            </w:pPr>
            <w:r w:rsidRPr="00162B20">
              <w:rPr>
                <w:rFonts w:ascii="Arial Narrow" w:eastAsiaTheme="majorEastAsia" w:hAnsi="Arial Narrow" w:cstheme="majorBidi"/>
                <w:bCs/>
                <w:sz w:val="20"/>
              </w:rPr>
              <w:t>Cabozantinib 40 mg tablet, 30</w:t>
            </w:r>
          </w:p>
        </w:tc>
        <w:tc>
          <w:tcPr>
            <w:tcW w:w="1176" w:type="pct"/>
            <w:vMerge/>
          </w:tcPr>
          <w:p w14:paraId="0B7D6536" w14:textId="7E851A54" w:rsidR="002270C2" w:rsidRPr="00162B20" w:rsidRDefault="002270C2" w:rsidP="00E11055">
            <w:pPr>
              <w:pStyle w:val="TableText0"/>
              <w:jc w:val="center"/>
              <w:rPr>
                <w:szCs w:val="20"/>
              </w:rPr>
            </w:pPr>
          </w:p>
        </w:tc>
        <w:tc>
          <w:tcPr>
            <w:tcW w:w="378" w:type="pct"/>
            <w:vAlign w:val="center"/>
          </w:tcPr>
          <w:p w14:paraId="64A074B6" w14:textId="0DAB1582" w:rsidR="002270C2" w:rsidRPr="00162B20" w:rsidRDefault="002270C2" w:rsidP="00E11055">
            <w:pPr>
              <w:keepNext/>
              <w:keepLines/>
              <w:jc w:val="center"/>
              <w:rPr>
                <w:rFonts w:ascii="Arial Narrow" w:hAnsi="Arial Narrow"/>
                <w:sz w:val="20"/>
                <w:szCs w:val="20"/>
              </w:rPr>
            </w:pPr>
            <w:r w:rsidRPr="00162B20">
              <w:rPr>
                <w:rFonts w:ascii="Arial Narrow" w:hAnsi="Arial Narrow"/>
                <w:sz w:val="20"/>
              </w:rPr>
              <w:t>1</w:t>
            </w:r>
          </w:p>
        </w:tc>
        <w:tc>
          <w:tcPr>
            <w:tcW w:w="490" w:type="pct"/>
            <w:vAlign w:val="center"/>
          </w:tcPr>
          <w:p w14:paraId="7AAA5320" w14:textId="0FB8ED1F" w:rsidR="002270C2" w:rsidRPr="00162B20" w:rsidRDefault="002270C2" w:rsidP="00E11055">
            <w:pPr>
              <w:keepNext/>
              <w:keepLines/>
              <w:jc w:val="center"/>
              <w:rPr>
                <w:rFonts w:ascii="Arial Narrow" w:hAnsi="Arial Narrow"/>
                <w:sz w:val="20"/>
                <w:szCs w:val="20"/>
              </w:rPr>
            </w:pPr>
            <w:r w:rsidRPr="00162B20">
              <w:rPr>
                <w:rFonts w:ascii="Arial Narrow" w:hAnsi="Arial Narrow"/>
                <w:sz w:val="20"/>
              </w:rPr>
              <w:t>30</w:t>
            </w:r>
          </w:p>
        </w:tc>
        <w:tc>
          <w:tcPr>
            <w:tcW w:w="963" w:type="pct"/>
            <w:vMerge/>
            <w:vAlign w:val="center"/>
          </w:tcPr>
          <w:p w14:paraId="7343F572" w14:textId="5AF121E0" w:rsidR="002270C2" w:rsidRPr="00162B20" w:rsidRDefault="002270C2" w:rsidP="00E11055">
            <w:pPr>
              <w:keepNext/>
              <w:jc w:val="center"/>
              <w:rPr>
                <w:rFonts w:ascii="Arial Narrow" w:hAnsi="Arial Narrow"/>
                <w:sz w:val="20"/>
                <w:szCs w:val="20"/>
              </w:rPr>
            </w:pPr>
          </w:p>
        </w:tc>
        <w:tc>
          <w:tcPr>
            <w:tcW w:w="581" w:type="pct"/>
            <w:vMerge/>
          </w:tcPr>
          <w:p w14:paraId="112C1C50" w14:textId="73EE30F5" w:rsidR="002270C2" w:rsidRPr="00162B20" w:rsidRDefault="002270C2" w:rsidP="00E11055">
            <w:pPr>
              <w:keepNext/>
              <w:jc w:val="left"/>
              <w:rPr>
                <w:rFonts w:ascii="Arial Narrow" w:hAnsi="Arial Narrow"/>
                <w:color w:val="0066FF"/>
                <w:sz w:val="20"/>
                <w:szCs w:val="20"/>
              </w:rPr>
            </w:pPr>
          </w:p>
        </w:tc>
      </w:tr>
      <w:tr w:rsidR="002270C2" w:rsidRPr="00162B20" w14:paraId="736C3359" w14:textId="77777777" w:rsidTr="005D7A66">
        <w:trPr>
          <w:cantSplit/>
          <w:trHeight w:val="123"/>
        </w:trPr>
        <w:tc>
          <w:tcPr>
            <w:tcW w:w="1412" w:type="pct"/>
            <w:vAlign w:val="center"/>
          </w:tcPr>
          <w:p w14:paraId="10F1447E" w14:textId="6E99EB01" w:rsidR="002270C2" w:rsidRPr="00162B20" w:rsidRDefault="002270C2" w:rsidP="00E11055">
            <w:pPr>
              <w:keepNext/>
              <w:keepLines/>
              <w:rPr>
                <w:rFonts w:ascii="Arial Narrow" w:eastAsiaTheme="majorEastAsia" w:hAnsi="Arial Narrow" w:cstheme="majorBidi"/>
                <w:bCs/>
                <w:sz w:val="20"/>
              </w:rPr>
            </w:pPr>
            <w:r w:rsidRPr="00162B20">
              <w:rPr>
                <w:rFonts w:ascii="Arial Narrow" w:eastAsiaTheme="majorEastAsia" w:hAnsi="Arial Narrow" w:cstheme="majorBidi"/>
                <w:bCs/>
                <w:sz w:val="20"/>
              </w:rPr>
              <w:t>Cabozantinib 60 mg tablet, 30</w:t>
            </w:r>
          </w:p>
        </w:tc>
        <w:tc>
          <w:tcPr>
            <w:tcW w:w="1176" w:type="pct"/>
            <w:vMerge/>
            <w:vAlign w:val="center"/>
          </w:tcPr>
          <w:p w14:paraId="12DD55FD" w14:textId="77777777" w:rsidR="002270C2" w:rsidRPr="00162B20" w:rsidRDefault="002270C2" w:rsidP="00E11055">
            <w:pPr>
              <w:keepNext/>
              <w:jc w:val="center"/>
              <w:rPr>
                <w:rFonts w:ascii="Arial Narrow" w:hAnsi="Arial Narrow"/>
                <w:sz w:val="20"/>
                <w:szCs w:val="20"/>
              </w:rPr>
            </w:pPr>
          </w:p>
        </w:tc>
        <w:tc>
          <w:tcPr>
            <w:tcW w:w="378" w:type="pct"/>
            <w:vAlign w:val="center"/>
          </w:tcPr>
          <w:p w14:paraId="503897F0" w14:textId="7F22DA3F" w:rsidR="002270C2" w:rsidRPr="00162B20" w:rsidRDefault="002270C2" w:rsidP="00E11055">
            <w:pPr>
              <w:keepNext/>
              <w:jc w:val="center"/>
              <w:rPr>
                <w:rFonts w:ascii="Arial Narrow" w:hAnsi="Arial Narrow"/>
                <w:sz w:val="20"/>
                <w:szCs w:val="20"/>
              </w:rPr>
            </w:pPr>
            <w:r w:rsidRPr="00162B20">
              <w:rPr>
                <w:rFonts w:ascii="Arial Narrow" w:hAnsi="Arial Narrow"/>
                <w:sz w:val="20"/>
                <w:szCs w:val="20"/>
              </w:rPr>
              <w:t>1</w:t>
            </w:r>
          </w:p>
        </w:tc>
        <w:tc>
          <w:tcPr>
            <w:tcW w:w="490" w:type="pct"/>
            <w:vAlign w:val="center"/>
          </w:tcPr>
          <w:p w14:paraId="2629A18A" w14:textId="475136CC" w:rsidR="002270C2" w:rsidRPr="00162B20" w:rsidRDefault="002270C2" w:rsidP="00E11055">
            <w:pPr>
              <w:keepNext/>
              <w:jc w:val="center"/>
              <w:rPr>
                <w:rFonts w:ascii="Arial Narrow" w:hAnsi="Arial Narrow"/>
                <w:sz w:val="20"/>
                <w:szCs w:val="20"/>
              </w:rPr>
            </w:pPr>
            <w:r w:rsidRPr="00162B20">
              <w:rPr>
                <w:rFonts w:ascii="Arial Narrow" w:hAnsi="Arial Narrow"/>
                <w:sz w:val="20"/>
                <w:szCs w:val="20"/>
              </w:rPr>
              <w:t>30</w:t>
            </w:r>
          </w:p>
        </w:tc>
        <w:tc>
          <w:tcPr>
            <w:tcW w:w="963" w:type="pct"/>
            <w:vMerge/>
            <w:vAlign w:val="center"/>
          </w:tcPr>
          <w:p w14:paraId="2626EC53" w14:textId="1D303923" w:rsidR="002270C2" w:rsidRPr="00162B20" w:rsidRDefault="002270C2" w:rsidP="00E11055">
            <w:pPr>
              <w:keepNext/>
              <w:jc w:val="center"/>
              <w:rPr>
                <w:rFonts w:ascii="Arial Narrow" w:hAnsi="Arial Narrow"/>
                <w:sz w:val="20"/>
                <w:szCs w:val="20"/>
              </w:rPr>
            </w:pPr>
          </w:p>
        </w:tc>
        <w:tc>
          <w:tcPr>
            <w:tcW w:w="581" w:type="pct"/>
            <w:vMerge/>
          </w:tcPr>
          <w:p w14:paraId="3E44E0AD" w14:textId="305AF7C5" w:rsidR="002270C2" w:rsidRPr="00162B20" w:rsidRDefault="002270C2" w:rsidP="00E11055">
            <w:pPr>
              <w:keepNext/>
              <w:jc w:val="left"/>
              <w:rPr>
                <w:rFonts w:ascii="Arial Narrow" w:hAnsi="Arial Narrow"/>
                <w:sz w:val="20"/>
                <w:szCs w:val="20"/>
              </w:rPr>
            </w:pPr>
          </w:p>
        </w:tc>
      </w:tr>
      <w:tr w:rsidR="00DA60A3" w:rsidRPr="00162B20" w14:paraId="3ACE1DA0"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tcPr>
          <w:p w14:paraId="7A0C094F" w14:textId="57DC7679" w:rsidR="00DA60A3" w:rsidRPr="00162B20" w:rsidRDefault="00DA60A3" w:rsidP="004E5E5E">
            <w:pPr>
              <w:pStyle w:val="TableText0"/>
              <w:keepNext w:val="0"/>
              <w:keepLines/>
            </w:pPr>
            <w:bookmarkStart w:id="13" w:name="_Hlk104809470"/>
            <w:bookmarkEnd w:id="12"/>
            <w:r w:rsidRPr="00162B20">
              <w:rPr>
                <w:b/>
              </w:rPr>
              <w:t xml:space="preserve">Category / Program: </w:t>
            </w:r>
            <w:r w:rsidRPr="00162B20">
              <w:t xml:space="preserve">General Schedule/Section </w:t>
            </w:r>
            <w:r w:rsidR="00E11055" w:rsidRPr="00162B20">
              <w:t>85</w:t>
            </w:r>
          </w:p>
        </w:tc>
      </w:tr>
      <w:tr w:rsidR="00DA60A3" w:rsidRPr="00162B20" w14:paraId="68F44378"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tcPr>
          <w:p w14:paraId="10535BC5" w14:textId="00CEFAE5" w:rsidR="00DA60A3" w:rsidRPr="00162B20" w:rsidRDefault="00DA60A3" w:rsidP="004E5E5E">
            <w:pPr>
              <w:pStyle w:val="TableText0"/>
              <w:keepNext w:val="0"/>
              <w:keepLines/>
              <w:rPr>
                <w:b/>
              </w:rPr>
            </w:pPr>
            <w:r w:rsidRPr="00162B20">
              <w:rPr>
                <w:b/>
              </w:rPr>
              <w:t xml:space="preserve">Prescriber type: </w:t>
            </w:r>
            <w:r w:rsidRPr="00162B20">
              <w:fldChar w:fldCharType="begin">
                <w:ffData>
                  <w:name w:val="Check1"/>
                  <w:enabled/>
                  <w:calcOnExit w:val="0"/>
                  <w:checkBox>
                    <w:sizeAuto/>
                    <w:default w:val="0"/>
                  </w:checkBox>
                </w:ffData>
              </w:fldChar>
            </w:r>
            <w:r w:rsidRPr="00162B20">
              <w:instrText xml:space="preserve"> FORMCHECKBOX </w:instrText>
            </w:r>
            <w:r w:rsidR="002A1754">
              <w:fldChar w:fldCharType="separate"/>
            </w:r>
            <w:r w:rsidRPr="00162B20">
              <w:fldChar w:fldCharType="end"/>
            </w:r>
            <w:r w:rsidRPr="00162B20">
              <w:t xml:space="preserve">Dental </w:t>
            </w:r>
            <w:r w:rsidR="00A640DC" w:rsidRPr="00162B20">
              <w:fldChar w:fldCharType="begin">
                <w:ffData>
                  <w:name w:val=""/>
                  <w:enabled/>
                  <w:calcOnExit w:val="0"/>
                  <w:checkBox>
                    <w:sizeAuto/>
                    <w:default w:val="1"/>
                  </w:checkBox>
                </w:ffData>
              </w:fldChar>
            </w:r>
            <w:r w:rsidR="00A640DC" w:rsidRPr="00162B20">
              <w:instrText xml:space="preserve"> FORMCHECKBOX </w:instrText>
            </w:r>
            <w:r w:rsidR="002A1754">
              <w:fldChar w:fldCharType="separate"/>
            </w:r>
            <w:r w:rsidR="00A640DC" w:rsidRPr="00162B20">
              <w:fldChar w:fldCharType="end"/>
            </w:r>
            <w:r w:rsidRPr="00162B20">
              <w:t xml:space="preserve">Medical Practitioners </w:t>
            </w:r>
            <w:r w:rsidRPr="00162B20">
              <w:fldChar w:fldCharType="begin">
                <w:ffData>
                  <w:name w:val="Check3"/>
                  <w:enabled/>
                  <w:calcOnExit w:val="0"/>
                  <w:checkBox>
                    <w:sizeAuto/>
                    <w:default w:val="0"/>
                  </w:checkBox>
                </w:ffData>
              </w:fldChar>
            </w:r>
            <w:r w:rsidRPr="00162B20">
              <w:instrText xml:space="preserve"> FORMCHECKBOX </w:instrText>
            </w:r>
            <w:r w:rsidR="002A1754">
              <w:fldChar w:fldCharType="separate"/>
            </w:r>
            <w:r w:rsidRPr="00162B20">
              <w:fldChar w:fldCharType="end"/>
            </w:r>
            <w:r w:rsidRPr="00162B20">
              <w:t xml:space="preserve">Nurse practitioners </w:t>
            </w:r>
            <w:r w:rsidRPr="00162B20">
              <w:fldChar w:fldCharType="begin">
                <w:ffData>
                  <w:name w:val=""/>
                  <w:enabled/>
                  <w:calcOnExit w:val="0"/>
                  <w:checkBox>
                    <w:sizeAuto/>
                    <w:default w:val="0"/>
                  </w:checkBox>
                </w:ffData>
              </w:fldChar>
            </w:r>
            <w:r w:rsidRPr="00162B20">
              <w:instrText xml:space="preserve"> FORMCHECKBOX </w:instrText>
            </w:r>
            <w:r w:rsidR="002A1754">
              <w:fldChar w:fldCharType="separate"/>
            </w:r>
            <w:r w:rsidRPr="00162B20">
              <w:fldChar w:fldCharType="end"/>
            </w:r>
            <w:r w:rsidRPr="00162B20">
              <w:t xml:space="preserve">Optometrists </w:t>
            </w:r>
            <w:r w:rsidRPr="00162B20">
              <w:fldChar w:fldCharType="begin">
                <w:ffData>
                  <w:name w:val="Check5"/>
                  <w:enabled/>
                  <w:calcOnExit w:val="0"/>
                  <w:checkBox>
                    <w:sizeAuto/>
                    <w:default w:val="0"/>
                  </w:checkBox>
                </w:ffData>
              </w:fldChar>
            </w:r>
            <w:r w:rsidRPr="00162B20">
              <w:instrText xml:space="preserve"> FORMCHECKBOX </w:instrText>
            </w:r>
            <w:r w:rsidR="002A1754">
              <w:fldChar w:fldCharType="separate"/>
            </w:r>
            <w:r w:rsidRPr="00162B20">
              <w:fldChar w:fldCharType="end"/>
            </w:r>
          </w:p>
        </w:tc>
      </w:tr>
      <w:tr w:rsidR="00DA60A3" w:rsidRPr="00162B20" w14:paraId="473F012E"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tcPr>
          <w:p w14:paraId="7DCD478E" w14:textId="717750AE" w:rsidR="00DA60A3" w:rsidRPr="00162B20" w:rsidRDefault="00DA60A3" w:rsidP="004E5E5E">
            <w:pPr>
              <w:pStyle w:val="TableText0"/>
              <w:keepNext w:val="0"/>
              <w:keepLines/>
              <w:rPr>
                <w:rFonts w:eastAsia="Times New Roman"/>
              </w:rPr>
            </w:pPr>
            <w:r w:rsidRPr="00162B20">
              <w:rPr>
                <w:b/>
              </w:rPr>
              <w:t xml:space="preserve">Restriction type: </w:t>
            </w:r>
            <w:r w:rsidR="00FA49E7" w:rsidRPr="00162B20">
              <w:rPr>
                <w:rFonts w:eastAsia="Times New Roman"/>
              </w:rPr>
              <w:fldChar w:fldCharType="begin">
                <w:ffData>
                  <w:name w:val=""/>
                  <w:enabled/>
                  <w:calcOnExit w:val="0"/>
                  <w:checkBox>
                    <w:sizeAuto/>
                    <w:default w:val="1"/>
                  </w:checkBox>
                </w:ffData>
              </w:fldChar>
            </w:r>
            <w:r w:rsidR="00FA49E7" w:rsidRPr="00162B20">
              <w:rPr>
                <w:rFonts w:eastAsia="Times New Roman"/>
              </w:rPr>
              <w:instrText xml:space="preserve"> FORMCHECKBOX </w:instrText>
            </w:r>
            <w:r w:rsidR="002A1754">
              <w:rPr>
                <w:rFonts w:eastAsia="Times New Roman"/>
              </w:rPr>
            </w:r>
            <w:r w:rsidR="002A1754">
              <w:rPr>
                <w:rFonts w:eastAsia="Times New Roman"/>
              </w:rPr>
              <w:fldChar w:fldCharType="separate"/>
            </w:r>
            <w:r w:rsidR="00FA49E7" w:rsidRPr="00162B20">
              <w:rPr>
                <w:rFonts w:eastAsia="Times New Roman"/>
              </w:rPr>
              <w:fldChar w:fldCharType="end"/>
            </w:r>
            <w:r w:rsidRPr="00162B20">
              <w:rPr>
                <w:rFonts w:eastAsia="Times New Roman"/>
              </w:rPr>
              <w:t xml:space="preserve">Authority Required (STREAMLINED) </w:t>
            </w:r>
          </w:p>
        </w:tc>
      </w:tr>
      <w:tr w:rsidR="00DA60A3" w:rsidRPr="00162B20" w14:paraId="062514C0"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607BBD96" w14:textId="17AA4358" w:rsidR="00DA60A3" w:rsidRPr="00162B20" w:rsidRDefault="00DA60A3" w:rsidP="004E5E5E">
            <w:pPr>
              <w:pStyle w:val="TableText0"/>
              <w:keepNext w:val="0"/>
              <w:keepLines/>
            </w:pPr>
            <w:r w:rsidRPr="00162B20">
              <w:rPr>
                <w:b/>
              </w:rPr>
              <w:t>Indication:</w:t>
            </w:r>
            <w:r w:rsidRPr="00162B20">
              <w:t xml:space="preserve"> </w:t>
            </w:r>
            <w:r w:rsidR="00E11055" w:rsidRPr="00162B20">
              <w:t>Stage IV renal cell carcinoma (RCC)</w:t>
            </w:r>
          </w:p>
        </w:tc>
      </w:tr>
      <w:tr w:rsidR="00DA60A3" w:rsidRPr="00162B20" w14:paraId="40450882"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5799BF19" w14:textId="36AD3D9A" w:rsidR="00DA60A3" w:rsidRPr="00162B20" w:rsidRDefault="00DA60A3" w:rsidP="004E5E5E">
            <w:pPr>
              <w:pStyle w:val="TableText0"/>
              <w:keepNext w:val="0"/>
              <w:keepLines/>
            </w:pPr>
            <w:r w:rsidRPr="00162B20">
              <w:rPr>
                <w:b/>
              </w:rPr>
              <w:t>Treatment Phase:</w:t>
            </w:r>
            <w:r w:rsidRPr="00162B20">
              <w:t xml:space="preserve"> </w:t>
            </w:r>
            <w:r w:rsidR="00E11055" w:rsidRPr="00162B20">
              <w:rPr>
                <w:bCs w:val="0"/>
              </w:rPr>
              <w:t>Initial treatment</w:t>
            </w:r>
          </w:p>
        </w:tc>
      </w:tr>
      <w:tr w:rsidR="00DA60A3" w:rsidRPr="00162B20" w14:paraId="294512CE"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336448AE" w14:textId="77777777" w:rsidR="00DA60A3" w:rsidRPr="00162B20" w:rsidRDefault="00DA60A3" w:rsidP="004E5E5E">
            <w:pPr>
              <w:pStyle w:val="TableText0"/>
              <w:keepNext w:val="0"/>
              <w:keepLines/>
            </w:pPr>
            <w:r w:rsidRPr="00162B20">
              <w:rPr>
                <w:b/>
              </w:rPr>
              <w:t>Clinical criteria:</w:t>
            </w:r>
          </w:p>
        </w:tc>
      </w:tr>
      <w:tr w:rsidR="00DA60A3" w:rsidRPr="00162B20" w14:paraId="470F445C"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59EF2946" w14:textId="08B9F97B" w:rsidR="00DA60A3" w:rsidRPr="00162B20" w:rsidRDefault="00E11055" w:rsidP="004E5E5E">
            <w:pPr>
              <w:pStyle w:val="TableText0"/>
              <w:keepNext w:val="0"/>
              <w:keepLines/>
            </w:pPr>
            <w:r w:rsidRPr="00162B20">
              <w:t>The condition must be each of: (i) classified as having an intermediate to poor survival risk score according to the International Metastatic Renal Cell Carcinoma Database Consortium (IMDC), (ii) untreated with a tyrosine kinase inhibitor</w:t>
            </w:r>
          </w:p>
        </w:tc>
      </w:tr>
      <w:tr w:rsidR="00DA60A3" w:rsidRPr="00162B20" w14:paraId="36797C3E"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2FBE66C6" w14:textId="6DEA5C19" w:rsidR="00DA60A3" w:rsidRPr="00162B20" w:rsidRDefault="00E11055" w:rsidP="004E5E5E">
            <w:pPr>
              <w:pStyle w:val="TableText0"/>
              <w:keepNext w:val="0"/>
              <w:keepLines/>
            </w:pPr>
            <w:r w:rsidRPr="00162B20">
              <w:rPr>
                <w:b/>
              </w:rPr>
              <w:t>OR</w:t>
            </w:r>
          </w:p>
        </w:tc>
      </w:tr>
      <w:tr w:rsidR="00DA60A3" w:rsidRPr="00162B20" w14:paraId="33FF21E2"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6DA026D8" w14:textId="77777777" w:rsidR="00DA60A3" w:rsidRPr="00162B20" w:rsidRDefault="00DA60A3" w:rsidP="004E5E5E">
            <w:pPr>
              <w:pStyle w:val="TableText0"/>
              <w:keepNext w:val="0"/>
              <w:keepLines/>
            </w:pPr>
            <w:r w:rsidRPr="00162B20">
              <w:rPr>
                <w:b/>
              </w:rPr>
              <w:t>Clinical criteria:</w:t>
            </w:r>
          </w:p>
        </w:tc>
      </w:tr>
      <w:tr w:rsidR="00DA60A3" w:rsidRPr="00162B20" w14:paraId="35E4EB89"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5DC3A6DA" w14:textId="4C82982F" w:rsidR="00DA60A3" w:rsidRPr="00162B20" w:rsidRDefault="00E11055" w:rsidP="004E5E5E">
            <w:pPr>
              <w:pStyle w:val="TableText0"/>
              <w:keepNext w:val="0"/>
              <w:keepLines/>
            </w:pPr>
            <w:r w:rsidRPr="00162B20">
              <w:t>Patient must have progressive disease according to the Response Evaluation Criteria in Solid Tumours (RECIST) despite treatment with a tyrosine kinase inhibitor, irrespective of the current IMDC survival risk score</w:t>
            </w:r>
          </w:p>
        </w:tc>
      </w:tr>
      <w:tr w:rsidR="00E11055" w:rsidRPr="00162B20" w14:paraId="036EAB9D"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FC9953A" w14:textId="2104C717" w:rsidR="00E11055" w:rsidRPr="00162B20" w:rsidRDefault="00E11055" w:rsidP="004E5E5E">
            <w:pPr>
              <w:pStyle w:val="TableText0"/>
              <w:keepNext w:val="0"/>
              <w:keepLines/>
            </w:pPr>
            <w:r w:rsidRPr="00162B20">
              <w:rPr>
                <w:b/>
              </w:rPr>
              <w:t>AND</w:t>
            </w:r>
          </w:p>
        </w:tc>
      </w:tr>
      <w:tr w:rsidR="00E11055" w:rsidRPr="00162B20" w14:paraId="7F832C48"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B379CB1" w14:textId="76B09482" w:rsidR="00E11055" w:rsidRPr="00162B20" w:rsidRDefault="00E11055" w:rsidP="004E5E5E">
            <w:pPr>
              <w:pStyle w:val="TableText0"/>
              <w:keepNext w:val="0"/>
              <w:keepLines/>
            </w:pPr>
            <w:r w:rsidRPr="00162B20">
              <w:rPr>
                <w:b/>
              </w:rPr>
              <w:t>Clinical criteria:</w:t>
            </w:r>
          </w:p>
        </w:tc>
      </w:tr>
      <w:tr w:rsidR="00E11055" w:rsidRPr="00162B20" w14:paraId="6240F6DA"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74C395A" w14:textId="7C54D5AF" w:rsidR="00E11055" w:rsidRPr="00162B20" w:rsidRDefault="00E11055" w:rsidP="004E5E5E">
            <w:pPr>
              <w:pStyle w:val="TableText0"/>
              <w:keepNext w:val="0"/>
              <w:keepLines/>
            </w:pPr>
            <w:r w:rsidRPr="00162B20">
              <w:t>Patient must have a WHO performance status of 2 or less</w:t>
            </w:r>
          </w:p>
        </w:tc>
      </w:tr>
      <w:tr w:rsidR="00E11055" w:rsidRPr="00162B20" w14:paraId="7F839350"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60EC40B" w14:textId="103B313A" w:rsidR="00E11055" w:rsidRPr="00162B20" w:rsidRDefault="00E11055" w:rsidP="004E5E5E">
            <w:pPr>
              <w:pStyle w:val="TableText0"/>
              <w:keepNext w:val="0"/>
              <w:keepLines/>
              <w:rPr>
                <w:b/>
                <w:bCs w:val="0"/>
              </w:rPr>
            </w:pPr>
            <w:r w:rsidRPr="00162B20">
              <w:rPr>
                <w:b/>
                <w:bCs w:val="0"/>
              </w:rPr>
              <w:t>AND</w:t>
            </w:r>
          </w:p>
        </w:tc>
      </w:tr>
      <w:tr w:rsidR="00E11055" w:rsidRPr="00162B20" w14:paraId="6D7E5E56"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361E440" w14:textId="1C8418ED" w:rsidR="00E11055" w:rsidRPr="00162B20" w:rsidRDefault="00E11055" w:rsidP="004E5E5E">
            <w:pPr>
              <w:pStyle w:val="TableText0"/>
              <w:keepNext w:val="0"/>
              <w:keepLines/>
            </w:pPr>
            <w:r w:rsidRPr="00162B20">
              <w:rPr>
                <w:b/>
              </w:rPr>
              <w:t>Clinical criteria:</w:t>
            </w:r>
          </w:p>
        </w:tc>
      </w:tr>
      <w:tr w:rsidR="00E11055" w:rsidRPr="00162B20" w14:paraId="7181381E"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26FAE5E" w14:textId="256727B9" w:rsidR="00E11055" w:rsidRPr="00162B20" w:rsidRDefault="00E11055" w:rsidP="004E5E5E">
            <w:pPr>
              <w:pStyle w:val="TableText0"/>
              <w:keepNext w:val="0"/>
              <w:keepLines/>
              <w:rPr>
                <w:bCs w:val="0"/>
              </w:rPr>
            </w:pPr>
            <w:r w:rsidRPr="00162B20">
              <w:rPr>
                <w:bCs w:val="0"/>
              </w:rPr>
              <w:t>The treatment must be the sole PBS-subsidised therapy for this condition.</w:t>
            </w:r>
          </w:p>
        </w:tc>
      </w:tr>
      <w:tr w:rsidR="00DA60A3" w:rsidRPr="00162B20" w14:paraId="12F42631"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2A2CC7A7" w14:textId="77777777" w:rsidR="00DA60A3" w:rsidRPr="00162B20" w:rsidRDefault="00DA60A3" w:rsidP="004E5E5E">
            <w:pPr>
              <w:pStyle w:val="TableText0"/>
              <w:keepNext w:val="0"/>
              <w:keepLines/>
            </w:pPr>
            <w:r w:rsidRPr="00162B20">
              <w:rPr>
                <w:b/>
              </w:rPr>
              <w:t>Treatment criteria:</w:t>
            </w:r>
          </w:p>
        </w:tc>
      </w:tr>
      <w:tr w:rsidR="00DA60A3" w:rsidRPr="00162B20" w14:paraId="662051B4"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3B69D515" w14:textId="2EF63E75" w:rsidR="00DA60A3" w:rsidRPr="00162B20" w:rsidRDefault="00E11055" w:rsidP="004E5E5E">
            <w:pPr>
              <w:pStyle w:val="TableText0"/>
              <w:keepNext w:val="0"/>
              <w:keepLines/>
              <w:rPr>
                <w:i/>
                <w:iCs/>
              </w:rPr>
            </w:pPr>
            <w:r w:rsidRPr="00162B20">
              <w:t>Patient must be undergoing treatment with this drug for the first time at the time of the first PBS prescription.</w:t>
            </w:r>
          </w:p>
        </w:tc>
      </w:tr>
      <w:tr w:rsidR="00A640DC" w:rsidRPr="00162B20" w14:paraId="1F6D54FB"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D7CFFC7" w14:textId="77777777" w:rsidR="00A640DC" w:rsidRPr="00162B20" w:rsidRDefault="00A640DC" w:rsidP="004E5E5E">
            <w:pPr>
              <w:pStyle w:val="TableText0"/>
              <w:keepNext w:val="0"/>
              <w:keepLines/>
              <w:rPr>
                <w:b/>
              </w:rPr>
            </w:pPr>
          </w:p>
        </w:tc>
      </w:tr>
      <w:tr w:rsidR="00A640DC" w:rsidRPr="00162B20" w14:paraId="0C49E8B6"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F1E665E" w14:textId="03580C73" w:rsidR="00A640DC" w:rsidRPr="00162B20" w:rsidRDefault="00A640DC" w:rsidP="004E5E5E">
            <w:pPr>
              <w:pStyle w:val="TableText0"/>
              <w:keepNext w:val="0"/>
              <w:keepLines/>
              <w:rPr>
                <w:b/>
              </w:rPr>
            </w:pPr>
            <w:r w:rsidRPr="00162B20">
              <w:rPr>
                <w:b/>
              </w:rPr>
              <w:t>Treatment Phase:</w:t>
            </w:r>
            <w:r w:rsidRPr="00162B20">
              <w:t xml:space="preserve"> </w:t>
            </w:r>
            <w:r w:rsidR="00E11055" w:rsidRPr="00162B20">
              <w:rPr>
                <w:bCs w:val="0"/>
              </w:rPr>
              <w:t>Continuing treatment</w:t>
            </w:r>
          </w:p>
        </w:tc>
      </w:tr>
      <w:tr w:rsidR="00A640DC" w:rsidRPr="00162B20" w14:paraId="5C4307BD"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0EDC248" w14:textId="128CD7B9" w:rsidR="00A640DC" w:rsidRPr="00162B20" w:rsidRDefault="00A640DC" w:rsidP="004E5E5E">
            <w:pPr>
              <w:pStyle w:val="TableText0"/>
              <w:keepNext w:val="0"/>
              <w:keepLines/>
              <w:rPr>
                <w:b/>
              </w:rPr>
            </w:pPr>
            <w:r w:rsidRPr="00162B20">
              <w:rPr>
                <w:b/>
              </w:rPr>
              <w:t>Clinical criteria:</w:t>
            </w:r>
          </w:p>
        </w:tc>
      </w:tr>
      <w:tr w:rsidR="00A640DC" w:rsidRPr="00162B20" w14:paraId="6AF7884A"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C8FFD5B" w14:textId="3C2A0476" w:rsidR="00A640DC" w:rsidRPr="00162B20" w:rsidRDefault="00E24C31" w:rsidP="00E24C31">
            <w:pPr>
              <w:rPr>
                <w:rFonts w:ascii="Arial Narrow" w:hAnsi="Arial Narrow" w:cs="Times New Roman"/>
                <w:sz w:val="20"/>
                <w:szCs w:val="20"/>
              </w:rPr>
            </w:pPr>
            <w:r w:rsidRPr="00162B20">
              <w:rPr>
                <w:rFonts w:ascii="Arial Narrow" w:hAnsi="Arial Narrow" w:cs="Times New Roman"/>
                <w:sz w:val="20"/>
                <w:szCs w:val="20"/>
              </w:rPr>
              <w:t>Patient must have stable or responding disease according to the Response Evaluation Criteria In Solid Tumours (RECIST)</w:t>
            </w:r>
          </w:p>
        </w:tc>
      </w:tr>
      <w:tr w:rsidR="00A640DC" w:rsidRPr="00162B20" w14:paraId="154F3A24"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F9369D1" w14:textId="1B7627EF" w:rsidR="00A640DC" w:rsidRPr="00162B20" w:rsidRDefault="00A640DC" w:rsidP="004E5E5E">
            <w:pPr>
              <w:pStyle w:val="TableText0"/>
              <w:keepNext w:val="0"/>
              <w:keepLines/>
              <w:rPr>
                <w:color w:val="0066FF"/>
              </w:rPr>
            </w:pPr>
            <w:r w:rsidRPr="00162B20">
              <w:rPr>
                <w:b/>
              </w:rPr>
              <w:t>AND</w:t>
            </w:r>
          </w:p>
        </w:tc>
      </w:tr>
      <w:tr w:rsidR="00A640DC" w:rsidRPr="00162B20" w14:paraId="78560946"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5585232" w14:textId="17AEBCB7" w:rsidR="00A640DC" w:rsidRPr="00162B20" w:rsidRDefault="00A640DC" w:rsidP="004E5E5E">
            <w:pPr>
              <w:pStyle w:val="TableText0"/>
              <w:keepNext w:val="0"/>
              <w:keepLines/>
              <w:rPr>
                <w:b/>
              </w:rPr>
            </w:pPr>
            <w:r w:rsidRPr="00162B20">
              <w:rPr>
                <w:b/>
              </w:rPr>
              <w:t>Clinical criteria:</w:t>
            </w:r>
          </w:p>
        </w:tc>
      </w:tr>
      <w:tr w:rsidR="00A640DC" w:rsidRPr="00162B20" w14:paraId="539ED8BF"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CE04AB5" w14:textId="3B35980B" w:rsidR="00A640DC" w:rsidRPr="00162B20" w:rsidRDefault="00E24C31" w:rsidP="00E24C31">
            <w:pPr>
              <w:rPr>
                <w:b/>
              </w:rPr>
            </w:pPr>
            <w:r w:rsidRPr="00162B20">
              <w:rPr>
                <w:rFonts w:ascii="Arial Narrow" w:hAnsi="Arial Narrow" w:cs="Times New Roman"/>
                <w:sz w:val="20"/>
                <w:szCs w:val="20"/>
              </w:rPr>
              <w:t>The treatment must be the sole PBS-subsidised therapy for this condition.</w:t>
            </w:r>
          </w:p>
        </w:tc>
      </w:tr>
      <w:tr w:rsidR="00E24C31" w:rsidRPr="00162B20" w14:paraId="6BB3280A"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BB862CC" w14:textId="36FB8430" w:rsidR="00E24C31" w:rsidRPr="00162B20" w:rsidRDefault="00E24C31" w:rsidP="00E24C31">
            <w:pPr>
              <w:pStyle w:val="TableText0"/>
              <w:keepNext w:val="0"/>
              <w:keepLines/>
              <w:rPr>
                <w:b/>
              </w:rPr>
            </w:pPr>
            <w:r w:rsidRPr="00162B20">
              <w:rPr>
                <w:b/>
              </w:rPr>
              <w:t>AND</w:t>
            </w:r>
          </w:p>
        </w:tc>
      </w:tr>
      <w:tr w:rsidR="00E24C31" w:rsidRPr="00162B20" w14:paraId="4A04F2CA"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95AC359" w14:textId="6A0AF66F" w:rsidR="00E24C31" w:rsidRPr="00162B20" w:rsidRDefault="00E24C31" w:rsidP="00E24C31">
            <w:pPr>
              <w:pStyle w:val="TableText0"/>
              <w:keepNext w:val="0"/>
              <w:keepLines/>
              <w:rPr>
                <w:b/>
              </w:rPr>
            </w:pPr>
            <w:r w:rsidRPr="00162B20">
              <w:rPr>
                <w:b/>
              </w:rPr>
              <w:lastRenderedPageBreak/>
              <w:t>Clinical criteria:</w:t>
            </w:r>
          </w:p>
        </w:tc>
      </w:tr>
      <w:tr w:rsidR="00E24C31" w:rsidRPr="00162B20" w14:paraId="29EB39D1"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DF061F8" w14:textId="06D904D1" w:rsidR="00E24C31" w:rsidRPr="00162B20" w:rsidRDefault="00E24C31" w:rsidP="00E24C31">
            <w:pPr>
              <w:rPr>
                <w:b/>
              </w:rPr>
            </w:pPr>
            <w:r w:rsidRPr="00162B20">
              <w:rPr>
                <w:rFonts w:ascii="Arial Narrow" w:hAnsi="Arial Narrow" w:cs="Times New Roman"/>
                <w:sz w:val="20"/>
                <w:szCs w:val="20"/>
              </w:rPr>
              <w:t>Patient must not receive PBS-subsidised treatment with this drug if progressive disease develops while on this drug.</w:t>
            </w:r>
          </w:p>
        </w:tc>
      </w:tr>
      <w:tr w:rsidR="00E24C31" w:rsidRPr="00162B20" w14:paraId="527FC5C5"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4CA5DDD" w14:textId="0AD2F248" w:rsidR="00E24C31" w:rsidRPr="00162B20" w:rsidRDefault="00E24C31" w:rsidP="00E24C31">
            <w:pPr>
              <w:pStyle w:val="TableText0"/>
              <w:keepNext w:val="0"/>
              <w:keepLines/>
              <w:rPr>
                <w:color w:val="0066FF"/>
              </w:rPr>
            </w:pPr>
            <w:r w:rsidRPr="00162B20">
              <w:rPr>
                <w:b/>
              </w:rPr>
              <w:t>Treatment criteria:</w:t>
            </w:r>
          </w:p>
        </w:tc>
      </w:tr>
      <w:tr w:rsidR="00E24C31" w:rsidRPr="00162B20" w14:paraId="304902B4"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B686DCC" w14:textId="24845528" w:rsidR="00E24C31" w:rsidRPr="00162B20" w:rsidRDefault="00E24C31" w:rsidP="00E24C31">
            <w:pPr>
              <w:pStyle w:val="TableText0"/>
              <w:keepNext w:val="0"/>
              <w:keepLines/>
              <w:rPr>
                <w:b/>
              </w:rPr>
            </w:pPr>
            <w:r w:rsidRPr="00162B20">
              <w:rPr>
                <w:rFonts w:eastAsia="Times New Roman" w:cs="Calibri"/>
                <w:szCs w:val="20"/>
              </w:rPr>
              <w:t>Patient must have previously received PBS-subsidised treatment with this drug for this condition</w:t>
            </w:r>
          </w:p>
        </w:tc>
      </w:tr>
      <w:tr w:rsidR="00E24C31" w:rsidRPr="00162B20" w14:paraId="08A1724A"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5924D03" w14:textId="77777777" w:rsidR="00E24C31" w:rsidRPr="00162B20" w:rsidRDefault="00E24C31" w:rsidP="00E24C31">
            <w:pPr>
              <w:pStyle w:val="TableText0"/>
              <w:keepNext w:val="0"/>
              <w:keepLines/>
              <w:rPr>
                <w:b/>
              </w:rPr>
            </w:pPr>
          </w:p>
        </w:tc>
      </w:tr>
      <w:tr w:rsidR="00E24C31" w:rsidRPr="00162B20" w14:paraId="59DF6B2D"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27EE9E3" w14:textId="382C4872" w:rsidR="00E24C31" w:rsidRPr="00162B20" w:rsidRDefault="00E24C31" w:rsidP="00E24C31">
            <w:pPr>
              <w:pStyle w:val="TableText0"/>
              <w:keepNext w:val="0"/>
              <w:keepLines/>
              <w:rPr>
                <w:b/>
              </w:rPr>
            </w:pPr>
            <w:r w:rsidRPr="00162B20">
              <w:rPr>
                <w:b/>
              </w:rPr>
              <w:t>Treatment Phase:</w:t>
            </w:r>
            <w:r w:rsidRPr="00162B20">
              <w:t xml:space="preserve"> </w:t>
            </w:r>
            <w:r w:rsidRPr="00162B20">
              <w:rPr>
                <w:rFonts w:eastAsia="Times New Roman" w:cs="Calibri"/>
                <w:szCs w:val="20"/>
              </w:rPr>
              <w:t>Transitioning from non-PBS to PBS-subsidised supply - Grandfather arrangements for maintenance treatment</w:t>
            </w:r>
          </w:p>
        </w:tc>
      </w:tr>
      <w:tr w:rsidR="00E24C31" w:rsidRPr="00162B20" w14:paraId="27037CE8"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65E9EEA" w14:textId="4BDB9A89" w:rsidR="00E24C31" w:rsidRPr="00162B20" w:rsidRDefault="00E24C31" w:rsidP="00E24C31">
            <w:pPr>
              <w:pStyle w:val="TableText0"/>
              <w:keepNext w:val="0"/>
              <w:keepLines/>
              <w:rPr>
                <w:b/>
              </w:rPr>
            </w:pPr>
            <w:r w:rsidRPr="00162B20">
              <w:rPr>
                <w:b/>
              </w:rPr>
              <w:t>Clinical criteria:</w:t>
            </w:r>
          </w:p>
        </w:tc>
      </w:tr>
      <w:tr w:rsidR="00E24C31" w:rsidRPr="00162B20" w14:paraId="6BEB9C07"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0D0F8F6" w14:textId="4092EEBC" w:rsidR="00E24C31" w:rsidRPr="00162B20" w:rsidRDefault="00E24C31" w:rsidP="00E24C31">
            <w:pPr>
              <w:rPr>
                <w:rFonts w:ascii="Arial Narrow" w:hAnsi="Arial Narrow" w:cs="Times New Roman"/>
                <w:sz w:val="20"/>
                <w:szCs w:val="20"/>
              </w:rPr>
            </w:pPr>
            <w:r w:rsidRPr="00162B20">
              <w:rPr>
                <w:rFonts w:ascii="Arial Narrow" w:hAnsi="Arial Narrow" w:cs="Times New Roman"/>
                <w:sz w:val="20"/>
                <w:szCs w:val="20"/>
              </w:rPr>
              <w:t>Patient must have had a prognostic International Metastatic Renal Cell Carcinoma Database Consortium (IMDC) survival risk classification score at treatment initiation with this of either: (i) 1 to 2 (intermediate risk), (ii) 3 to 6 (poor risk); document the IMDC risk classification score in the patient's medical records if not already documented,</w:t>
            </w:r>
          </w:p>
        </w:tc>
      </w:tr>
      <w:tr w:rsidR="00E24C31" w:rsidRPr="00162B20" w14:paraId="2ADA4FFF"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57C411A" w14:textId="143BC367" w:rsidR="00E24C31" w:rsidRPr="00162B20" w:rsidRDefault="00E24C31" w:rsidP="00E24C31">
            <w:pPr>
              <w:pStyle w:val="TableText0"/>
              <w:keepNext w:val="0"/>
              <w:keepLines/>
              <w:rPr>
                <w:color w:val="0066FF"/>
              </w:rPr>
            </w:pPr>
            <w:r w:rsidRPr="00162B20">
              <w:rPr>
                <w:b/>
              </w:rPr>
              <w:t>AND</w:t>
            </w:r>
          </w:p>
        </w:tc>
      </w:tr>
      <w:tr w:rsidR="00E24C31" w:rsidRPr="00162B20" w14:paraId="3E510CC8"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3D1AFC6" w14:textId="466423EE" w:rsidR="00E24C31" w:rsidRPr="00162B20" w:rsidRDefault="00E24C31" w:rsidP="00E24C31">
            <w:pPr>
              <w:pStyle w:val="TableText0"/>
              <w:keepNext w:val="0"/>
              <w:keepLines/>
              <w:rPr>
                <w:b/>
              </w:rPr>
            </w:pPr>
            <w:r w:rsidRPr="00162B20">
              <w:rPr>
                <w:b/>
              </w:rPr>
              <w:t>Clinical criteria:</w:t>
            </w:r>
          </w:p>
        </w:tc>
      </w:tr>
      <w:tr w:rsidR="00E24C31" w:rsidRPr="00162B20" w14:paraId="701A2F7D"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FC97F00" w14:textId="510396B6" w:rsidR="00E24C31" w:rsidRPr="00162B20" w:rsidRDefault="00E24C31" w:rsidP="00E24C31">
            <w:pPr>
              <w:rPr>
                <w:b/>
              </w:rPr>
            </w:pPr>
            <w:r w:rsidRPr="00162B20">
              <w:rPr>
                <w:rFonts w:ascii="Arial Narrow" w:hAnsi="Arial Narrow" w:cs="Times New Roman"/>
                <w:sz w:val="20"/>
                <w:szCs w:val="20"/>
              </w:rPr>
              <w:t>Patient must have stable or responding disease according to the Response Evaluation Criteria In Solid Tumours (RECIST)</w:t>
            </w:r>
          </w:p>
        </w:tc>
      </w:tr>
      <w:tr w:rsidR="00E24C31" w:rsidRPr="00162B20" w14:paraId="2A0B7B37"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73F7F83" w14:textId="4B071393" w:rsidR="00E24C31" w:rsidRPr="00162B20" w:rsidRDefault="00E24C31" w:rsidP="00E24C31">
            <w:pPr>
              <w:pStyle w:val="TableText0"/>
              <w:keepNext w:val="0"/>
              <w:keepLines/>
              <w:rPr>
                <w:b/>
              </w:rPr>
            </w:pPr>
            <w:r w:rsidRPr="00162B20">
              <w:rPr>
                <w:b/>
              </w:rPr>
              <w:t>AND</w:t>
            </w:r>
          </w:p>
        </w:tc>
      </w:tr>
      <w:tr w:rsidR="00E24C31" w:rsidRPr="00162B20" w14:paraId="51B6BEA1"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582B06B" w14:textId="6986BC40" w:rsidR="00E24C31" w:rsidRPr="00162B20" w:rsidRDefault="00E24C31" w:rsidP="00E24C31">
            <w:pPr>
              <w:pStyle w:val="TableText0"/>
              <w:keepNext w:val="0"/>
              <w:keepLines/>
              <w:rPr>
                <w:b/>
              </w:rPr>
            </w:pPr>
            <w:r w:rsidRPr="00162B20">
              <w:rPr>
                <w:b/>
              </w:rPr>
              <w:t>Clinical criteria:</w:t>
            </w:r>
          </w:p>
        </w:tc>
      </w:tr>
      <w:tr w:rsidR="00E24C31" w:rsidRPr="00162B20" w14:paraId="4A038113"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ABC0472" w14:textId="2A153ACF" w:rsidR="00E24C31" w:rsidRPr="00162B20" w:rsidRDefault="00E24C31" w:rsidP="00E24C31">
            <w:pPr>
              <w:rPr>
                <w:rFonts w:ascii="Arial Narrow" w:hAnsi="Arial Narrow" w:cs="Times New Roman"/>
                <w:sz w:val="20"/>
                <w:szCs w:val="20"/>
              </w:rPr>
            </w:pPr>
            <w:r w:rsidRPr="00162B20">
              <w:rPr>
                <w:rFonts w:ascii="Arial Narrow" w:hAnsi="Arial Narrow" w:cs="Times New Roman"/>
                <w:sz w:val="20"/>
                <w:szCs w:val="20"/>
              </w:rPr>
              <w:t>The treatment must be the sole PBS-subsidised therapy for this condition.</w:t>
            </w:r>
          </w:p>
        </w:tc>
      </w:tr>
      <w:tr w:rsidR="00E24C31" w:rsidRPr="00162B20" w14:paraId="36BC1865"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37B92D1" w14:textId="6428B6BD" w:rsidR="00E24C31" w:rsidRPr="00162B20" w:rsidRDefault="00E24C31" w:rsidP="00E24C31">
            <w:pPr>
              <w:pStyle w:val="TableText0"/>
              <w:keepNext w:val="0"/>
              <w:keepLines/>
              <w:rPr>
                <w:b/>
              </w:rPr>
            </w:pPr>
            <w:r w:rsidRPr="00162B20">
              <w:rPr>
                <w:b/>
              </w:rPr>
              <w:t>AND</w:t>
            </w:r>
          </w:p>
        </w:tc>
      </w:tr>
      <w:tr w:rsidR="00E24C31" w:rsidRPr="00162B20" w14:paraId="58B652A0"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900A492" w14:textId="08F75EE2" w:rsidR="00E24C31" w:rsidRPr="00162B20" w:rsidRDefault="00E24C31" w:rsidP="00E24C31">
            <w:pPr>
              <w:pStyle w:val="TableText0"/>
              <w:keepNext w:val="0"/>
              <w:keepLines/>
              <w:rPr>
                <w:b/>
              </w:rPr>
            </w:pPr>
            <w:r w:rsidRPr="00162B20">
              <w:rPr>
                <w:b/>
              </w:rPr>
              <w:t>Clinical criteria:</w:t>
            </w:r>
          </w:p>
        </w:tc>
      </w:tr>
      <w:tr w:rsidR="00E24C31" w:rsidRPr="00162B20" w14:paraId="5DD44711"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58C98F1" w14:textId="3C23E38B" w:rsidR="00E24C31" w:rsidRPr="00162B20" w:rsidRDefault="00E24C31" w:rsidP="00E24C31">
            <w:pPr>
              <w:pStyle w:val="TableText0"/>
              <w:keepNext w:val="0"/>
              <w:keepLines/>
              <w:rPr>
                <w:b/>
              </w:rPr>
            </w:pPr>
            <w:r w:rsidRPr="00162B20">
              <w:rPr>
                <w:rFonts w:eastAsia="Times New Roman" w:cs="Times New Roman"/>
                <w:szCs w:val="20"/>
              </w:rPr>
              <w:t>Patient must not receive PBS-subsidised treatment with this drug if progressive disease develops while on this drug.</w:t>
            </w:r>
          </w:p>
        </w:tc>
      </w:tr>
      <w:tr w:rsidR="00E24C31" w:rsidRPr="00162B20" w14:paraId="3AF1AAC3"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13936A1" w14:textId="6430C072" w:rsidR="00E24C31" w:rsidRPr="00162B20" w:rsidRDefault="00E24C31" w:rsidP="00E24C31">
            <w:pPr>
              <w:pStyle w:val="TableText0"/>
              <w:keepNext w:val="0"/>
              <w:keepLines/>
              <w:rPr>
                <w:color w:val="0066FF"/>
              </w:rPr>
            </w:pPr>
            <w:r w:rsidRPr="00162B20">
              <w:rPr>
                <w:b/>
              </w:rPr>
              <w:t>Treatment criteria:</w:t>
            </w:r>
          </w:p>
        </w:tc>
      </w:tr>
      <w:tr w:rsidR="00E24C31" w:rsidRPr="00162B20" w14:paraId="6A36BC40"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2BE5103" w14:textId="2BC8C6FE" w:rsidR="00E24C31" w:rsidRPr="00162B20" w:rsidRDefault="00E24C31" w:rsidP="00E24C31">
            <w:pPr>
              <w:autoSpaceDE w:val="0"/>
              <w:autoSpaceDN w:val="0"/>
              <w:adjustRightInd w:val="0"/>
              <w:rPr>
                <w:b/>
              </w:rPr>
            </w:pPr>
            <w:r w:rsidRPr="00162B20">
              <w:rPr>
                <w:rFonts w:ascii="Arial Narrow" w:hAnsi="Arial Narrow" w:cs="Calibri"/>
                <w:sz w:val="20"/>
                <w:szCs w:val="20"/>
              </w:rPr>
              <w:t>Patient must have previously received non-PBS-subsidised treatment with this drug for this condition.</w:t>
            </w:r>
          </w:p>
        </w:tc>
      </w:tr>
      <w:tr w:rsidR="00E24C31" w:rsidRPr="00162B20" w14:paraId="6E1B4934" w14:textId="77777777" w:rsidTr="004E5E5E">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0614184" w14:textId="7375E0BE" w:rsidR="00E24C31" w:rsidRPr="00162B20" w:rsidRDefault="00E24C31" w:rsidP="00E24C31">
            <w:pPr>
              <w:pStyle w:val="TableText0"/>
              <w:keepNext w:val="0"/>
              <w:keepLines/>
              <w:rPr>
                <w:b/>
              </w:rPr>
            </w:pPr>
            <w:r w:rsidRPr="00162B20">
              <w:rPr>
                <w:b/>
              </w:rPr>
              <w:t>Notes:</w:t>
            </w:r>
            <w:r w:rsidRPr="00162B20">
              <w:rPr>
                <w:bCs w:val="0"/>
                <w:color w:val="0066FF"/>
              </w:rPr>
              <w:t xml:space="preserve"> </w:t>
            </w:r>
            <w:r w:rsidRPr="00162B20">
              <w:rPr>
                <w:rFonts w:eastAsia="Times New Roman" w:cs="Calibri"/>
                <w:szCs w:val="20"/>
              </w:rPr>
              <w:t>Patients may qualify for PBS-subsidised treatment under this restriction once only. For continuing PBS-subsidised treatment, a 'Grandfathered' patient must qualify under the 'Maintenance treatment' criteria.</w:t>
            </w:r>
            <w:r w:rsidRPr="00162B20">
              <w:t xml:space="preserve"> </w:t>
            </w:r>
            <w:r w:rsidRPr="00162B20">
              <w:rPr>
                <w:rFonts w:eastAsia="Times New Roman" w:cs="Calibri"/>
                <w:szCs w:val="20"/>
              </w:rPr>
              <w:t>This grandfather restriction will cease to operate from 12 months after</w:t>
            </w:r>
            <w:r w:rsidR="00F8687B" w:rsidRPr="00162B20">
              <w:rPr>
                <w:rFonts w:eastAsia="Times New Roman" w:cs="Calibri"/>
                <w:szCs w:val="20"/>
              </w:rPr>
              <w:t xml:space="preserve"> listing</w:t>
            </w:r>
          </w:p>
        </w:tc>
      </w:tr>
    </w:tbl>
    <w:bookmarkEnd w:id="13"/>
    <w:p w14:paraId="5EB82B54" w14:textId="5B7F878B" w:rsidR="009114D8" w:rsidRPr="00162B20" w:rsidRDefault="009114D8" w:rsidP="007518AD">
      <w:pPr>
        <w:pStyle w:val="FooterTableFigure"/>
      </w:pPr>
      <w:r w:rsidRPr="00162B20">
        <w:t>Source: Table 1-10, p34, Table 1-11, p35, Table 1-12, p36 of submission.</w:t>
      </w:r>
    </w:p>
    <w:p w14:paraId="22BAEBD6" w14:textId="14986E1E" w:rsidR="00046D64" w:rsidRPr="00162B20" w:rsidRDefault="00E23D0D" w:rsidP="004E5E5E">
      <w:pPr>
        <w:pStyle w:val="FooterTableFigure"/>
      </w:pPr>
      <w:r w:rsidRPr="00162B20">
        <w:t>IMDC = International Metastatic Renal Cell Carcinoma Database Consortium, PBS = Pharmaceutical Benefits Scheme, RCC = renal cell carcinoma, RECIST = Response Evaluation Criteria in Solid Tumours, WHO = World Health Organization.</w:t>
      </w:r>
    </w:p>
    <w:p w14:paraId="76095018" w14:textId="10D33604" w:rsidR="00FE42EA" w:rsidRPr="00162B20" w:rsidRDefault="008E7A8C" w:rsidP="00227048">
      <w:pPr>
        <w:pStyle w:val="3-BodyText"/>
      </w:pPr>
      <w:r w:rsidRPr="00162B20">
        <w:t xml:space="preserve">The </w:t>
      </w:r>
      <w:r w:rsidR="008F1E3B" w:rsidRPr="00162B20">
        <w:t>submission requested</w:t>
      </w:r>
      <w:r w:rsidR="00B519C3" w:rsidRPr="00162B20">
        <w:t xml:space="preserve"> to remove ‘clear cell variants’ from the current PBS listing</w:t>
      </w:r>
      <w:r w:rsidRPr="00162B20">
        <w:t xml:space="preserve"> </w:t>
      </w:r>
      <w:r w:rsidR="00F8687B" w:rsidRPr="00162B20">
        <w:t xml:space="preserve">indication </w:t>
      </w:r>
      <w:r w:rsidRPr="00162B20">
        <w:t xml:space="preserve">to broaden the listing </w:t>
      </w:r>
      <w:r w:rsidR="008F1E3B" w:rsidRPr="00162B20">
        <w:t>and</w:t>
      </w:r>
      <w:r w:rsidRPr="00162B20">
        <w:t xml:space="preserve"> cover </w:t>
      </w:r>
      <w:r w:rsidR="00F8687B" w:rsidRPr="00162B20">
        <w:t xml:space="preserve">all </w:t>
      </w:r>
      <w:r w:rsidRPr="00162B20">
        <w:t>RCC</w:t>
      </w:r>
      <w:r w:rsidR="00F8687B" w:rsidRPr="00162B20">
        <w:t xml:space="preserve"> subtypes</w:t>
      </w:r>
      <w:r w:rsidR="00B519C3" w:rsidRPr="00162B20">
        <w:t xml:space="preserve">. However, SWOG 1500 (the key clinical trial) only included patients with papillary RCC and </w:t>
      </w:r>
      <w:r w:rsidR="00F8687B" w:rsidRPr="00162B20">
        <w:t xml:space="preserve">there is limited clinical data available in other </w:t>
      </w:r>
      <w:proofErr w:type="spellStart"/>
      <w:r w:rsidR="00F8687B" w:rsidRPr="00162B20">
        <w:t>nccRCC</w:t>
      </w:r>
      <w:proofErr w:type="spellEnd"/>
      <w:r w:rsidR="00F8687B" w:rsidRPr="00162B20">
        <w:t xml:space="preserve"> subtypes</w:t>
      </w:r>
      <w:r w:rsidR="00B519C3" w:rsidRPr="00162B20">
        <w:t xml:space="preserve">. </w:t>
      </w:r>
      <w:r w:rsidR="00747B99" w:rsidRPr="00162B20">
        <w:t>The PBAC considered that the proposed change to the indication was reasonable, and considered that it was preferable to maintain the same circumstances of use across all advanced RCC.</w:t>
      </w:r>
    </w:p>
    <w:p w14:paraId="196B710A" w14:textId="7111ADCA" w:rsidR="00FE42EA" w:rsidRPr="00162B20" w:rsidRDefault="0038646C" w:rsidP="004E5E5E">
      <w:pPr>
        <w:pStyle w:val="3-BodyText"/>
      </w:pPr>
      <w:r w:rsidRPr="00162B20">
        <w:t xml:space="preserve">In </w:t>
      </w:r>
      <w:r w:rsidR="00000C9C" w:rsidRPr="00162B20">
        <w:t>SWOG 1500</w:t>
      </w:r>
      <w:r w:rsidRPr="00162B20">
        <w:t xml:space="preserve">, only 7% of </w:t>
      </w:r>
      <w:r w:rsidR="008E7A8C" w:rsidRPr="00162B20">
        <w:t xml:space="preserve">total </w:t>
      </w:r>
      <w:r w:rsidRPr="00162B20">
        <w:t xml:space="preserve">patients </w:t>
      </w:r>
      <w:r w:rsidR="008E7A8C" w:rsidRPr="00162B20">
        <w:t>and 5% of patients</w:t>
      </w:r>
      <w:r w:rsidR="001031FC" w:rsidRPr="00162B20">
        <w:t xml:space="preserve"> who</w:t>
      </w:r>
      <w:r w:rsidR="008E7A8C" w:rsidRPr="00162B20">
        <w:t xml:space="preserve"> received cabozantinib </w:t>
      </w:r>
      <w:r w:rsidRPr="00162B20">
        <w:t>had previous systemic therapy</w:t>
      </w:r>
      <w:r w:rsidR="008E7A8C" w:rsidRPr="00162B20">
        <w:t xml:space="preserve">. </w:t>
      </w:r>
      <w:r w:rsidR="003329F9" w:rsidRPr="00162B20">
        <w:t xml:space="preserve">SWOG 1500 also included patients with favourable IMDC risk (26% of total patients and 23% in cabozantinib arm). </w:t>
      </w:r>
      <w:r w:rsidR="00376C5C" w:rsidRPr="00162B20">
        <w:t xml:space="preserve">As there are currently no TKIs PBS listed for </w:t>
      </w:r>
      <w:proofErr w:type="spellStart"/>
      <w:r w:rsidR="00376C5C" w:rsidRPr="00162B20">
        <w:t>nccRCC</w:t>
      </w:r>
      <w:proofErr w:type="spellEnd"/>
      <w:r w:rsidR="00376C5C" w:rsidRPr="00162B20">
        <w:t xml:space="preserve"> it would be expected that the majority of PBS patients would be treated in the first line setting</w:t>
      </w:r>
      <w:r w:rsidR="00C346A7" w:rsidRPr="00162B20">
        <w:t>.</w:t>
      </w:r>
      <w:r w:rsidR="00586A67" w:rsidRPr="00162B20">
        <w:t xml:space="preserve"> </w:t>
      </w:r>
      <w:r w:rsidR="00D17068" w:rsidRPr="00162B20">
        <w:t xml:space="preserve">The </w:t>
      </w:r>
      <w:r w:rsidR="00703FAB" w:rsidRPr="00703FAB">
        <w:t>Pre-Sub-Committee Response</w:t>
      </w:r>
      <w:r w:rsidR="00B02848">
        <w:t xml:space="preserve"> </w:t>
      </w:r>
      <w:r w:rsidR="00703FAB">
        <w:t>(</w:t>
      </w:r>
      <w:r w:rsidR="00D17068" w:rsidRPr="00162B20">
        <w:t>PSCR</w:t>
      </w:r>
      <w:r w:rsidR="00703FAB">
        <w:t>)</w:t>
      </w:r>
      <w:r w:rsidR="00D17068" w:rsidRPr="00162B20">
        <w:t xml:space="preserve"> stated that access in the second line setting is essential for patients who have accessed previous systemic therapy through a clinical trial or access program. </w:t>
      </w:r>
      <w:r w:rsidR="00586A67" w:rsidRPr="00162B20">
        <w:t xml:space="preserve">The ESC agreed with the Commentary that, if PBS listed, </w:t>
      </w:r>
      <w:proofErr w:type="spellStart"/>
      <w:r w:rsidR="00586A67" w:rsidRPr="00162B20">
        <w:t>nccRCC</w:t>
      </w:r>
      <w:proofErr w:type="spellEnd"/>
      <w:r w:rsidR="00586A67" w:rsidRPr="00162B20">
        <w:t xml:space="preserve"> patients would be treated with cabozantinib almost exclusively as first line treatment as there are no PBS-listed alternatives.</w:t>
      </w:r>
      <w:r w:rsidR="00D17068" w:rsidRPr="00162B20">
        <w:rPr>
          <w:i/>
          <w:iCs/>
        </w:rPr>
        <w:t xml:space="preserve"> </w:t>
      </w:r>
      <w:r w:rsidR="00D17D09" w:rsidRPr="00162B20">
        <w:t xml:space="preserve">The PBAC considered that cabozantinib would be the preferred first line therapy for patients with </w:t>
      </w:r>
      <w:proofErr w:type="spellStart"/>
      <w:r w:rsidR="00162B20" w:rsidRPr="00162B20">
        <w:t>nccRCC</w:t>
      </w:r>
      <w:proofErr w:type="spellEnd"/>
      <w:r w:rsidR="00162B20" w:rsidRPr="00162B20">
        <w:t xml:space="preserve"> but</w:t>
      </w:r>
      <w:r w:rsidR="00D17D09" w:rsidRPr="00162B20">
        <w:t xml:space="preserve"> considered that it would be reasonable for </w:t>
      </w:r>
      <w:r w:rsidR="00FA27B9" w:rsidRPr="00162B20">
        <w:t xml:space="preserve">the </w:t>
      </w:r>
      <w:r w:rsidR="00FA27B9" w:rsidRPr="00162B20">
        <w:lastRenderedPageBreak/>
        <w:t xml:space="preserve">listing to include </w:t>
      </w:r>
      <w:r w:rsidR="00D17D09" w:rsidRPr="00162B20">
        <w:t>patients whose disease has progressed despite treatment with a prior TKI</w:t>
      </w:r>
      <w:r w:rsidR="00FA27B9" w:rsidRPr="00162B20">
        <w:t xml:space="preserve">, consistent with the existing listing for </w:t>
      </w:r>
      <w:proofErr w:type="spellStart"/>
      <w:r w:rsidR="00FA27B9" w:rsidRPr="00162B20">
        <w:t>nccRCC</w:t>
      </w:r>
      <w:proofErr w:type="spellEnd"/>
      <w:r w:rsidR="00747B99" w:rsidRPr="00162B20">
        <w:t xml:space="preserve">. </w:t>
      </w:r>
    </w:p>
    <w:p w14:paraId="35EA0EAF" w14:textId="0A69C190" w:rsidR="002C56EE" w:rsidRPr="00162B20" w:rsidRDefault="00181E7E" w:rsidP="002C56EE">
      <w:pPr>
        <w:pStyle w:val="3-BodyText"/>
      </w:pPr>
      <w:r w:rsidRPr="00162B20">
        <w:t>The submission proposed that p</w:t>
      </w:r>
      <w:r w:rsidR="002C56EE" w:rsidRPr="00162B20">
        <w:t xml:space="preserve">ricing of </w:t>
      </w:r>
      <w:proofErr w:type="spellStart"/>
      <w:r w:rsidR="002C56EE" w:rsidRPr="00162B20">
        <w:t>cabozantinib</w:t>
      </w:r>
      <w:proofErr w:type="spellEnd"/>
      <w:r w:rsidR="002C56EE" w:rsidRPr="00162B20">
        <w:t xml:space="preserve"> in </w:t>
      </w:r>
      <w:proofErr w:type="spellStart"/>
      <w:r w:rsidR="002C56EE" w:rsidRPr="00162B20">
        <w:t>nccRCC</w:t>
      </w:r>
      <w:proofErr w:type="spellEnd"/>
      <w:r w:rsidR="002C56EE" w:rsidRPr="00162B20">
        <w:t xml:space="preserve"> be </w:t>
      </w:r>
      <w:r w:rsidR="001031FC" w:rsidRPr="00162B20">
        <w:t xml:space="preserve">equal </w:t>
      </w:r>
      <w:r w:rsidR="002C56EE" w:rsidRPr="00162B20">
        <w:t xml:space="preserve">to </w:t>
      </w:r>
      <w:r w:rsidR="00142A40" w:rsidRPr="00162B20">
        <w:t xml:space="preserve">the weighted price of </w:t>
      </w:r>
      <w:proofErr w:type="spellStart"/>
      <w:r w:rsidR="00142A40" w:rsidRPr="00162B20">
        <w:t>cabozantinib</w:t>
      </w:r>
      <w:proofErr w:type="spellEnd"/>
      <w:r w:rsidR="00142A40" w:rsidRPr="00162B20">
        <w:t xml:space="preserve"> for</w:t>
      </w:r>
      <w:r w:rsidR="002C56EE" w:rsidRPr="00162B20">
        <w:t xml:space="preserve"> </w:t>
      </w:r>
      <w:proofErr w:type="spellStart"/>
      <w:r w:rsidR="002C56EE" w:rsidRPr="00162B20">
        <w:t>ccRCC</w:t>
      </w:r>
      <w:proofErr w:type="spellEnd"/>
      <w:r w:rsidRPr="00162B20">
        <w:t>, with flat pricing across all doses (i.e., 60</w:t>
      </w:r>
      <w:r w:rsidR="00544E23">
        <w:t> </w:t>
      </w:r>
      <w:r w:rsidRPr="00162B20">
        <w:t>mg, 40 mg, and 20 mg)</w:t>
      </w:r>
      <w:r w:rsidR="002C17BE" w:rsidRPr="00162B20">
        <w:t>.</w:t>
      </w:r>
      <w:r w:rsidR="002C56EE" w:rsidRPr="00162B20">
        <w:t xml:space="preserve"> The proposed effective </w:t>
      </w:r>
      <w:r w:rsidR="009804BC" w:rsidRPr="00162B20">
        <w:t>approved ex-manufacturer price (AEMP)</w:t>
      </w:r>
      <w:r w:rsidR="002C56EE" w:rsidRPr="00162B20">
        <w:t xml:space="preserve"> for all doses of cabozantinib was $</w:t>
      </w:r>
      <w:r w:rsidR="0094719F" w:rsidRPr="0030362D">
        <w:rPr>
          <w:color w:val="000000"/>
          <w:w w:val="15"/>
          <w:shd w:val="solid" w:color="000000" w:fill="000000"/>
          <w:fitText w:val="-20" w:id="-961817087"/>
          <w14:textFill>
            <w14:solidFill>
              <w14:srgbClr w14:val="000000">
                <w14:alpha w14:val="100000"/>
              </w14:srgbClr>
            </w14:solidFill>
          </w14:textFill>
        </w:rPr>
        <w:t xml:space="preserve">|  </w:t>
      </w:r>
      <w:r w:rsidR="0094719F" w:rsidRPr="0030362D">
        <w:rPr>
          <w:color w:val="000000"/>
          <w:spacing w:val="-69"/>
          <w:w w:val="15"/>
          <w:shd w:val="solid" w:color="000000" w:fill="000000"/>
          <w:fitText w:val="-20" w:id="-961817087"/>
          <w14:textFill>
            <w14:solidFill>
              <w14:srgbClr w14:val="000000">
                <w14:alpha w14:val="100000"/>
              </w14:srgbClr>
            </w14:solidFill>
          </w14:textFill>
        </w:rPr>
        <w:t>|</w:t>
      </w:r>
      <w:r w:rsidR="002C56EE" w:rsidRPr="00162B20">
        <w:t xml:space="preserve">. </w:t>
      </w:r>
      <w:r w:rsidR="00586A67" w:rsidRPr="00162B20">
        <w:t>The ESC noted th</w:t>
      </w:r>
      <w:r w:rsidR="00142A40" w:rsidRPr="00162B20">
        <w:t>e proposed weighted price</w:t>
      </w:r>
      <w:r w:rsidR="00586A67" w:rsidRPr="00162B20">
        <w:t xml:space="preserve"> was higher than the price for first line treatment of </w:t>
      </w:r>
      <w:proofErr w:type="spellStart"/>
      <w:r w:rsidR="00586A67" w:rsidRPr="00162B20">
        <w:t>ccRCC</w:t>
      </w:r>
      <w:proofErr w:type="spellEnd"/>
      <w:r w:rsidR="00586A67" w:rsidRPr="00162B20">
        <w:t>.</w:t>
      </w:r>
      <w:r w:rsidR="00D17068" w:rsidRPr="00162B20">
        <w:t xml:space="preserve"> However, the ESC considered that the </w:t>
      </w:r>
      <w:r w:rsidR="00D378C7" w:rsidRPr="00162B20">
        <w:t>first-line</w:t>
      </w:r>
      <w:r w:rsidR="00876C6B" w:rsidRPr="00162B20">
        <w:t xml:space="preserve"> price</w:t>
      </w:r>
      <w:r w:rsidR="00D17068" w:rsidRPr="00162B20">
        <w:t xml:space="preserve"> </w:t>
      </w:r>
      <w:r w:rsidR="000367E8" w:rsidRPr="00162B20">
        <w:t>would</w:t>
      </w:r>
      <w:r w:rsidR="00D17068" w:rsidRPr="00162B20">
        <w:t xml:space="preserve"> be </w:t>
      </w:r>
      <w:r w:rsidR="000367E8" w:rsidRPr="00162B20">
        <w:t xml:space="preserve">more </w:t>
      </w:r>
      <w:r w:rsidR="00D17068" w:rsidRPr="00162B20">
        <w:t xml:space="preserve">applicable for this population. </w:t>
      </w:r>
    </w:p>
    <w:p w14:paraId="78C1993B" w14:textId="4D542AFF" w:rsidR="00CE227A" w:rsidRPr="00162B20" w:rsidRDefault="00CE227A" w:rsidP="007172C3">
      <w:pPr>
        <w:ind w:left="720"/>
      </w:pPr>
      <w:r w:rsidRPr="00162B20">
        <w:rPr>
          <w:i/>
          <w:iCs/>
        </w:rPr>
        <w:t>For more detail on PBAC’s view, see section 7 PBAC outcome.</w:t>
      </w:r>
    </w:p>
    <w:p w14:paraId="7075B85C" w14:textId="62A47B7B" w:rsidR="00B50DB8" w:rsidRPr="00162B20" w:rsidDel="00195452" w:rsidRDefault="00203181" w:rsidP="004E18E9">
      <w:pPr>
        <w:pStyle w:val="2-SectionHeading"/>
      </w:pPr>
      <w:bookmarkStart w:id="14" w:name="_Toc155629396"/>
      <w:bookmarkStart w:id="15" w:name="_Toc156987040"/>
      <w:bookmarkEnd w:id="14"/>
      <w:r w:rsidRPr="00162B20" w:rsidDel="00195452">
        <w:t xml:space="preserve">Population and </w:t>
      </w:r>
      <w:r w:rsidR="008E0D3C" w:rsidRPr="00162B20" w:rsidDel="00195452">
        <w:t>d</w:t>
      </w:r>
      <w:r w:rsidRPr="00162B20" w:rsidDel="00195452">
        <w:t>isease</w:t>
      </w:r>
      <w:bookmarkEnd w:id="15"/>
    </w:p>
    <w:p w14:paraId="2ADABEEB" w14:textId="304B0C63" w:rsidR="00303F2C" w:rsidRPr="00162B20" w:rsidRDefault="005E1AA0" w:rsidP="0044207C">
      <w:pPr>
        <w:pStyle w:val="3-BodyText"/>
      </w:pPr>
      <w:r w:rsidRPr="00162B20">
        <w:t>In 2022, k</w:t>
      </w:r>
      <w:r w:rsidR="008E7A8C" w:rsidRPr="00162B20">
        <w:t>idney cancer was the seventh most-diagnosed cancer in Australia with 4,552 new cases (3,081 males and 1,471 females)</w:t>
      </w:r>
      <w:r w:rsidR="00124E6D" w:rsidRPr="00162B20">
        <w:t xml:space="preserve"> and</w:t>
      </w:r>
      <w:r w:rsidR="008E7A8C" w:rsidRPr="00162B20">
        <w:t xml:space="preserve"> 912 deaths. </w:t>
      </w:r>
      <w:r w:rsidR="00124E6D" w:rsidRPr="00162B20">
        <w:t xml:space="preserve">The incidence rate for kidney cancer increases with age and is highest in individuals aged 70 to 74 years old. </w:t>
      </w:r>
      <w:r w:rsidR="008E7A8C" w:rsidRPr="00162B20">
        <w:t xml:space="preserve">Approximately 85-90% of kidney cancers </w:t>
      </w:r>
      <w:r w:rsidR="00124E6D" w:rsidRPr="00162B20">
        <w:t>are</w:t>
      </w:r>
      <w:r w:rsidR="00A95AA6" w:rsidRPr="00162B20">
        <w:t xml:space="preserve"> RCC. </w:t>
      </w:r>
      <w:r w:rsidR="00722A47" w:rsidRPr="00162B20">
        <w:t xml:space="preserve">Approximately 20-25% of all RCCs are </w:t>
      </w:r>
      <w:proofErr w:type="spellStart"/>
      <w:r w:rsidR="00722A47" w:rsidRPr="00162B20">
        <w:t>nccRCC</w:t>
      </w:r>
      <w:proofErr w:type="spellEnd"/>
      <w:r w:rsidR="00722A47" w:rsidRPr="00162B20">
        <w:t xml:space="preserve">, </w:t>
      </w:r>
      <w:r w:rsidR="00D025ED" w:rsidRPr="00162B20">
        <w:t>a diverse group of tumours with distinct histological and molecular features.</w:t>
      </w:r>
      <w:r w:rsidR="007E77DC" w:rsidRPr="00162B20">
        <w:t xml:space="preserve"> </w:t>
      </w:r>
      <w:r w:rsidR="00465DB0" w:rsidRPr="00162B20">
        <w:t xml:space="preserve">The subtypes of </w:t>
      </w:r>
      <w:proofErr w:type="spellStart"/>
      <w:r w:rsidR="00465DB0" w:rsidRPr="00162B20">
        <w:t>nccRCC</w:t>
      </w:r>
      <w:proofErr w:type="spellEnd"/>
      <w:r w:rsidR="00465DB0" w:rsidRPr="00162B20">
        <w:t xml:space="preserve"> include papillary RCC (</w:t>
      </w:r>
      <w:r w:rsidR="00181E7E" w:rsidRPr="00162B20">
        <w:t xml:space="preserve">10-15% of all RCC subtypes, approximately half of </w:t>
      </w:r>
      <w:proofErr w:type="spellStart"/>
      <w:r w:rsidR="00181E7E" w:rsidRPr="00162B20">
        <w:t>nccRCC</w:t>
      </w:r>
      <w:proofErr w:type="spellEnd"/>
      <w:r w:rsidR="00465DB0" w:rsidRPr="00162B20">
        <w:t xml:space="preserve">), </w:t>
      </w:r>
      <w:r w:rsidR="00181E7E" w:rsidRPr="00162B20">
        <w:t>c</w:t>
      </w:r>
      <w:r w:rsidR="00465DB0" w:rsidRPr="00162B20">
        <w:t xml:space="preserve">hromophobe RCC, </w:t>
      </w:r>
      <w:r w:rsidR="00181E7E" w:rsidRPr="00162B20">
        <w:t>c</w:t>
      </w:r>
      <w:r w:rsidR="00465DB0" w:rsidRPr="00162B20">
        <w:t>ollecting duct RCC, Microphthalmia Transcription Factor (MiT) family translocation RCC, malignant potential</w:t>
      </w:r>
      <w:r w:rsidR="00181E7E" w:rsidRPr="00162B20">
        <w:t>, and others</w:t>
      </w:r>
      <w:r w:rsidR="00465DB0" w:rsidRPr="00162B20">
        <w:t>.</w:t>
      </w:r>
      <w:r w:rsidR="007E77DC" w:rsidRPr="00162B20">
        <w:t xml:space="preserve"> </w:t>
      </w:r>
    </w:p>
    <w:p w14:paraId="51E26AFD" w14:textId="682E87FD" w:rsidR="00E21A62" w:rsidRPr="00162B20" w:rsidRDefault="00E21A62" w:rsidP="004E18E9">
      <w:pPr>
        <w:pStyle w:val="3-BodyText"/>
        <w:rPr>
          <w:color w:val="000000" w:themeColor="text1"/>
        </w:rPr>
      </w:pPr>
      <w:r w:rsidRPr="00162B20">
        <w:rPr>
          <w:color w:val="000000" w:themeColor="text1"/>
        </w:rPr>
        <w:fldChar w:fldCharType="begin"/>
      </w:r>
      <w:r w:rsidRPr="00162B20">
        <w:rPr>
          <w:color w:val="000000" w:themeColor="text1"/>
        </w:rPr>
        <w:instrText xml:space="preserve"> REF _Ref155509505 \h </w:instrText>
      </w:r>
      <w:r w:rsidRPr="00162B20">
        <w:rPr>
          <w:color w:val="000000" w:themeColor="text1"/>
        </w:rPr>
      </w:r>
      <w:r w:rsidRPr="00162B20">
        <w:rPr>
          <w:color w:val="000000" w:themeColor="text1"/>
        </w:rPr>
        <w:fldChar w:fldCharType="separate"/>
      </w:r>
      <w:r w:rsidR="0030362D" w:rsidRPr="00162B20">
        <w:t xml:space="preserve">Figure </w:t>
      </w:r>
      <w:r w:rsidR="0030362D">
        <w:rPr>
          <w:noProof/>
        </w:rPr>
        <w:t>1</w:t>
      </w:r>
      <w:r w:rsidRPr="00162B20">
        <w:rPr>
          <w:color w:val="000000" w:themeColor="text1"/>
        </w:rPr>
        <w:fldChar w:fldCharType="end"/>
      </w:r>
      <w:r w:rsidRPr="00162B20">
        <w:rPr>
          <w:color w:val="000000" w:themeColor="text1"/>
        </w:rPr>
        <w:t xml:space="preserve"> illustrates the proposed local clinical management algorithm for metastatic </w:t>
      </w:r>
      <w:proofErr w:type="spellStart"/>
      <w:r w:rsidRPr="00162B20">
        <w:rPr>
          <w:color w:val="000000" w:themeColor="text1"/>
        </w:rPr>
        <w:t>nccRCC</w:t>
      </w:r>
      <w:proofErr w:type="spellEnd"/>
      <w:r w:rsidRPr="00162B20">
        <w:rPr>
          <w:color w:val="000000" w:themeColor="text1"/>
        </w:rPr>
        <w:t>.</w:t>
      </w:r>
    </w:p>
    <w:p w14:paraId="337A25AA" w14:textId="38C58C32" w:rsidR="00E21A62" w:rsidRPr="00162B20" w:rsidRDefault="00E21A62" w:rsidP="007172C3">
      <w:pPr>
        <w:pStyle w:val="Caption"/>
        <w:rPr>
          <w:rFonts w:asciiTheme="minorHAnsi" w:hAnsiTheme="minorHAnsi" w:cstheme="minorHAnsi"/>
          <w:szCs w:val="20"/>
          <w:vertAlign w:val="superscript"/>
        </w:rPr>
      </w:pPr>
      <w:bookmarkStart w:id="16" w:name="_Ref155509505"/>
      <w:bookmarkStart w:id="17" w:name="_Ref155509500"/>
      <w:r w:rsidRPr="00162B20">
        <w:lastRenderedPageBreak/>
        <w:t xml:space="preserve">Figure </w:t>
      </w:r>
      <w:fldSimple w:instr=" SEQ Figure \* ARABIC ">
        <w:r w:rsidR="0030362D">
          <w:rPr>
            <w:noProof/>
          </w:rPr>
          <w:t>1</w:t>
        </w:r>
      </w:fldSimple>
      <w:bookmarkEnd w:id="16"/>
      <w:r w:rsidR="00890D0C" w:rsidRPr="00162B20">
        <w:t>:</w:t>
      </w:r>
      <w:r w:rsidRPr="00162B20">
        <w:t xml:space="preserve"> Proposed local clinical management algorithm for metastatic </w:t>
      </w:r>
      <w:proofErr w:type="spellStart"/>
      <w:r w:rsidRPr="00162B20">
        <w:t>nccRCC</w:t>
      </w:r>
      <w:proofErr w:type="spellEnd"/>
      <w:r w:rsidRPr="00162B20">
        <w:rPr>
          <w:rFonts w:asciiTheme="minorHAnsi" w:hAnsiTheme="minorHAnsi" w:cstheme="minorHAnsi"/>
          <w:szCs w:val="20"/>
          <w:vertAlign w:val="superscript"/>
        </w:rPr>
        <w:t>#</w:t>
      </w:r>
      <w:bookmarkEnd w:id="17"/>
    </w:p>
    <w:p w14:paraId="13235C5E" w14:textId="7E956073" w:rsidR="00E21A62" w:rsidRPr="00162B20" w:rsidRDefault="00E21A62" w:rsidP="007172C3">
      <w:pPr>
        <w:pStyle w:val="3-BodyText"/>
        <w:keepNext/>
        <w:keepLines/>
        <w:numPr>
          <w:ilvl w:val="0"/>
          <w:numId w:val="0"/>
        </w:numPr>
        <w:spacing w:after="0"/>
        <w:rPr>
          <w:color w:val="000000" w:themeColor="text1"/>
        </w:rPr>
      </w:pPr>
      <w:r w:rsidRPr="00162B20">
        <w:rPr>
          <w:noProof/>
        </w:rPr>
        <w:drawing>
          <wp:inline distT="0" distB="0" distL="0" distR="0" wp14:anchorId="43A21862" wp14:editId="70F0D60B">
            <wp:extent cx="5732145" cy="2964903"/>
            <wp:effectExtent l="0" t="0" r="1905" b="6985"/>
            <wp:docPr id="1534369625" name="Picture 1534369625" descr="Figure 1: Proposed local clinical management algorithm for metastatic nc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69625" name="Picture 1534369625" descr="Figure 1: Proposed local clinical management algorithm for metastatic nccRCC#"/>
                    <pic:cNvPicPr/>
                  </pic:nvPicPr>
                  <pic:blipFill>
                    <a:blip r:embed="rId8"/>
                    <a:stretch>
                      <a:fillRect/>
                    </a:stretch>
                  </pic:blipFill>
                  <pic:spPr>
                    <a:xfrm>
                      <a:off x="0" y="0"/>
                      <a:ext cx="5732145" cy="2964903"/>
                    </a:xfrm>
                    <a:prstGeom prst="rect">
                      <a:avLst/>
                    </a:prstGeom>
                  </pic:spPr>
                </pic:pic>
              </a:graphicData>
            </a:graphic>
          </wp:inline>
        </w:drawing>
      </w:r>
    </w:p>
    <w:p w14:paraId="499BD23B" w14:textId="77777777" w:rsidR="00E21A62" w:rsidRPr="007172C3" w:rsidRDefault="00E21A62" w:rsidP="007172C3">
      <w:pPr>
        <w:pStyle w:val="TableFooter"/>
        <w:keepNext/>
      </w:pPr>
      <w:r w:rsidRPr="007172C3">
        <w:t>Source: Figure 1-5, p20 of the submission.</w:t>
      </w:r>
    </w:p>
    <w:p w14:paraId="73B0CA77" w14:textId="77777777" w:rsidR="00E21A62" w:rsidRPr="007172C3" w:rsidRDefault="00E21A62" w:rsidP="007172C3">
      <w:pPr>
        <w:pStyle w:val="TableFooter"/>
        <w:keepNext/>
        <w:rPr>
          <w:rFonts w:cstheme="minorHAnsi"/>
          <w:szCs w:val="18"/>
        </w:rPr>
      </w:pPr>
      <w:r w:rsidRPr="007172C3">
        <w:rPr>
          <w:rFonts w:cstheme="minorHAnsi"/>
          <w:szCs w:val="18"/>
        </w:rPr>
        <w:t xml:space="preserve">RCC=Renal cell carcinoma. *Single agent nivolumab or pembrolizumab, and </w:t>
      </w:r>
      <w:proofErr w:type="spellStart"/>
      <w:r w:rsidRPr="007172C3">
        <w:rPr>
          <w:rFonts w:cstheme="minorHAnsi"/>
          <w:szCs w:val="18"/>
        </w:rPr>
        <w:t>everolimus</w:t>
      </w:r>
      <w:proofErr w:type="spellEnd"/>
      <w:r w:rsidRPr="007172C3">
        <w:rPr>
          <w:rFonts w:cstheme="minorHAnsi"/>
          <w:szCs w:val="18"/>
        </w:rPr>
        <w:t xml:space="preserve"> (monotherapy and in combination with </w:t>
      </w:r>
      <w:proofErr w:type="spellStart"/>
      <w:r w:rsidRPr="007172C3">
        <w:rPr>
          <w:rFonts w:cstheme="minorHAnsi"/>
          <w:szCs w:val="18"/>
        </w:rPr>
        <w:t>lenvatinib</w:t>
      </w:r>
      <w:proofErr w:type="spellEnd"/>
      <w:r w:rsidRPr="007172C3">
        <w:rPr>
          <w:rFonts w:cstheme="minorHAnsi"/>
          <w:szCs w:val="18"/>
        </w:rPr>
        <w:t xml:space="preserve">) are not TGA-registered to be used in the first line setting for advanced RCC. </w:t>
      </w:r>
    </w:p>
    <w:p w14:paraId="60542287" w14:textId="77777777" w:rsidR="00E21A62" w:rsidRPr="007172C3" w:rsidRDefault="00E21A62" w:rsidP="007172C3">
      <w:pPr>
        <w:pStyle w:val="TableFooter"/>
        <w:keepNext/>
        <w:rPr>
          <w:rFonts w:cstheme="minorHAnsi"/>
          <w:szCs w:val="18"/>
        </w:rPr>
      </w:pPr>
      <w:r w:rsidRPr="007172C3">
        <w:rPr>
          <w:rFonts w:cstheme="minorHAnsi"/>
          <w:szCs w:val="18"/>
        </w:rPr>
        <w:t># Cabozantinib recommendation on PBS is for use in poor and intermediate risk patients as per proposed restrictions below</w:t>
      </w:r>
    </w:p>
    <w:p w14:paraId="16BD7315" w14:textId="77777777" w:rsidR="00E21A62" w:rsidRPr="007172C3" w:rsidRDefault="00E21A62" w:rsidP="007172C3">
      <w:pPr>
        <w:pStyle w:val="TableFooter"/>
        <w:keepNext/>
        <w:rPr>
          <w:rFonts w:cstheme="minorHAnsi"/>
          <w:szCs w:val="18"/>
        </w:rPr>
      </w:pPr>
      <w:r w:rsidRPr="007172C3">
        <w:rPr>
          <w:rFonts w:cstheme="minorHAnsi"/>
          <w:szCs w:val="18"/>
        </w:rPr>
        <w:t xml:space="preserve">^ Only if cabozantinib has not been use in the first-line setting. </w:t>
      </w:r>
    </w:p>
    <w:p w14:paraId="5D30F9B3" w14:textId="11CBEADB" w:rsidR="007E77DC" w:rsidRPr="00162B20" w:rsidRDefault="00E21A62" w:rsidP="007172C3">
      <w:pPr>
        <w:pStyle w:val="TableFooter"/>
        <w:spacing w:after="120"/>
      </w:pPr>
      <w:r w:rsidRPr="007172C3">
        <w:rPr>
          <w:rFonts w:cstheme="minorHAnsi"/>
          <w:szCs w:val="18"/>
        </w:rPr>
        <w:t>Note: Green text indicates the primary comparator.</w:t>
      </w:r>
      <w:r w:rsidRPr="00162B20">
        <w:rPr>
          <w:rFonts w:asciiTheme="minorHAnsi" w:hAnsiTheme="minorHAnsi" w:cstheme="minorHAnsi"/>
          <w:szCs w:val="18"/>
        </w:rPr>
        <w:t xml:space="preserve"> </w:t>
      </w:r>
    </w:p>
    <w:p w14:paraId="68233168" w14:textId="52FD5D8C" w:rsidR="000D5336" w:rsidRPr="00162B20" w:rsidRDefault="00465DB0" w:rsidP="004E18E9">
      <w:pPr>
        <w:pStyle w:val="3-BodyText"/>
        <w:rPr>
          <w:color w:val="000000" w:themeColor="text1"/>
        </w:rPr>
      </w:pPr>
      <w:r w:rsidRPr="00162B20">
        <w:rPr>
          <w:color w:val="000000" w:themeColor="text1"/>
        </w:rPr>
        <w:t xml:space="preserve">The proposed intervention </w:t>
      </w:r>
      <w:r w:rsidR="008251FA" w:rsidRPr="00162B20">
        <w:rPr>
          <w:color w:val="000000" w:themeColor="text1"/>
        </w:rPr>
        <w:t>is</w:t>
      </w:r>
      <w:r w:rsidRPr="00162B20">
        <w:rPr>
          <w:color w:val="000000" w:themeColor="text1"/>
        </w:rPr>
        <w:t xml:space="preserve"> cabozantinib, a small molecule that inhibits multiple receptor tyrosine kinases (RTKs), including the </w:t>
      </w:r>
      <w:r w:rsidRPr="00162B20">
        <w:t>mesenchymal-epithelial transition (MET) protein</w:t>
      </w:r>
      <w:r w:rsidRPr="00162B20">
        <w:rPr>
          <w:color w:val="000000" w:themeColor="text1"/>
        </w:rPr>
        <w:t xml:space="preserve">, </w:t>
      </w:r>
      <w:r w:rsidRPr="00162B20">
        <w:t>anexelekto (AXL), and vascular endothelial growth factor (VEGF) receptors</w:t>
      </w:r>
      <w:r w:rsidRPr="00162B20">
        <w:rPr>
          <w:color w:val="000000" w:themeColor="text1"/>
        </w:rPr>
        <w:t>.</w:t>
      </w:r>
      <w:r w:rsidR="007E77DC" w:rsidRPr="00162B20">
        <w:rPr>
          <w:color w:val="000000" w:themeColor="text1"/>
        </w:rPr>
        <w:t xml:space="preserve"> </w:t>
      </w:r>
      <w:r w:rsidR="002911BF" w:rsidRPr="00162B20">
        <w:rPr>
          <w:color w:val="000000" w:themeColor="text1"/>
        </w:rPr>
        <w:t>RTKs play critical roles in tumour growth, angiogenesis, bone remodelling, drug resistance, and metastatic progression.</w:t>
      </w:r>
      <w:r w:rsidR="007E77DC" w:rsidRPr="00162B20">
        <w:rPr>
          <w:color w:val="000000" w:themeColor="text1"/>
        </w:rPr>
        <w:t xml:space="preserve"> </w:t>
      </w:r>
    </w:p>
    <w:p w14:paraId="142C47C6" w14:textId="31025865" w:rsidR="007E77DC" w:rsidRPr="00162B20" w:rsidRDefault="002911BF" w:rsidP="004E18E9">
      <w:pPr>
        <w:pStyle w:val="3-BodyText"/>
        <w:rPr>
          <w:color w:val="000000" w:themeColor="text1"/>
        </w:rPr>
      </w:pPr>
      <w:r w:rsidRPr="00162B20">
        <w:rPr>
          <w:color w:val="000000" w:themeColor="text1"/>
        </w:rPr>
        <w:t>The recommended dose of cabozantinib is 60 mg orally once daily until disease progression or unacceptable toxicity is observed.</w:t>
      </w:r>
      <w:r w:rsidR="007E77DC" w:rsidRPr="00162B20">
        <w:rPr>
          <w:color w:val="000000" w:themeColor="text1"/>
        </w:rPr>
        <w:t xml:space="preserve"> </w:t>
      </w:r>
      <w:r w:rsidRPr="00162B20">
        <w:rPr>
          <w:color w:val="000000" w:themeColor="text1"/>
        </w:rPr>
        <w:t>Lower doses of cabozantinib (</w:t>
      </w:r>
      <w:r w:rsidR="00544E23" w:rsidRPr="00162B20">
        <w:rPr>
          <w:color w:val="000000" w:themeColor="text1"/>
        </w:rPr>
        <w:t>40</w:t>
      </w:r>
      <w:r w:rsidR="00544E23">
        <w:rPr>
          <w:color w:val="000000" w:themeColor="text1"/>
        </w:rPr>
        <w:t> </w:t>
      </w:r>
      <w:r w:rsidRPr="00162B20">
        <w:rPr>
          <w:color w:val="000000" w:themeColor="text1"/>
        </w:rPr>
        <w:t>mg and 20 mg) were proposed for the management of toxicity and adverse events.</w:t>
      </w:r>
    </w:p>
    <w:p w14:paraId="5F04A055" w14:textId="77777777" w:rsidR="00CE227A" w:rsidRPr="00162B20" w:rsidRDefault="00CE227A" w:rsidP="00CE227A">
      <w:pPr>
        <w:ind w:left="720"/>
        <w:rPr>
          <w:i/>
          <w:iCs/>
        </w:rPr>
      </w:pPr>
      <w:r w:rsidRPr="00162B20">
        <w:rPr>
          <w:i/>
          <w:iCs/>
        </w:rPr>
        <w:t>For more detail on PBAC’s view, see section 7 PBAC outcome.</w:t>
      </w:r>
    </w:p>
    <w:p w14:paraId="51E5AE96" w14:textId="136A63B1" w:rsidR="00B50DB8" w:rsidRPr="00162B20" w:rsidRDefault="00B50DB8" w:rsidP="004E18E9">
      <w:pPr>
        <w:pStyle w:val="2-SectionHeading"/>
      </w:pPr>
      <w:bookmarkStart w:id="18" w:name="_Toc155629398"/>
      <w:bookmarkStart w:id="19" w:name="_Toc156987041"/>
      <w:bookmarkEnd w:id="18"/>
      <w:r w:rsidRPr="00162B20">
        <w:t>Comparator</w:t>
      </w:r>
      <w:bookmarkEnd w:id="19"/>
    </w:p>
    <w:p w14:paraId="65A93B07" w14:textId="16D3DE71" w:rsidR="00AB4ECF" w:rsidRPr="00162B20" w:rsidRDefault="002911BF" w:rsidP="00AB4ECF">
      <w:pPr>
        <w:pStyle w:val="3-BodyText"/>
        <w:snapToGrid w:val="0"/>
      </w:pPr>
      <w:bookmarkStart w:id="20" w:name="_Hlk155160203"/>
      <w:r w:rsidRPr="00162B20">
        <w:t xml:space="preserve">Currently, there are no medicines </w:t>
      </w:r>
      <w:r w:rsidR="008251FA" w:rsidRPr="00162B20">
        <w:t xml:space="preserve">PBS-listed </w:t>
      </w:r>
      <w:r w:rsidRPr="00162B20">
        <w:t xml:space="preserve">for use in </w:t>
      </w:r>
      <w:proofErr w:type="spellStart"/>
      <w:r w:rsidRPr="00162B20">
        <w:t>nccRCC</w:t>
      </w:r>
      <w:proofErr w:type="spellEnd"/>
      <w:r w:rsidRPr="00162B20">
        <w:t xml:space="preserve"> that can be used as comparators.</w:t>
      </w:r>
      <w:r w:rsidR="00AB4ECF" w:rsidRPr="00162B20">
        <w:t xml:space="preserve"> </w:t>
      </w:r>
      <w:bookmarkEnd w:id="20"/>
      <w:r w:rsidRPr="00162B20">
        <w:t xml:space="preserve">Sunitinib was nominated as the primary comparator because it is among the treatment options for </w:t>
      </w:r>
      <w:proofErr w:type="spellStart"/>
      <w:r w:rsidRPr="00162B20">
        <w:t>nccRCC</w:t>
      </w:r>
      <w:proofErr w:type="spellEnd"/>
      <w:r w:rsidRPr="00162B20">
        <w:t xml:space="preserve"> patients </w:t>
      </w:r>
      <w:r w:rsidR="00CD6D07" w:rsidRPr="00162B20">
        <w:t xml:space="preserve">recommended </w:t>
      </w:r>
      <w:r w:rsidRPr="00162B20">
        <w:t>by the National Comprehensive Cancer Network (NCCN) clinical practice guidelines (version 1.2024).</w:t>
      </w:r>
    </w:p>
    <w:p w14:paraId="431AC266" w14:textId="189DF718" w:rsidR="00CA70AA" w:rsidRPr="00162B20" w:rsidRDefault="00AB4ECF" w:rsidP="00AB4ECF">
      <w:pPr>
        <w:pStyle w:val="3-BodyText"/>
        <w:snapToGrid w:val="0"/>
      </w:pPr>
      <w:r w:rsidRPr="00162B20">
        <w:t xml:space="preserve">The submission did not consider other potential comparators. </w:t>
      </w:r>
      <w:r w:rsidR="002911BF" w:rsidRPr="00162B20">
        <w:t xml:space="preserve">The NCCN Clinical Practice Guidelines (version 1.2024) recommend cabozantinib and clinical trials as a "Preferred Regimen" and list sunitinib, </w:t>
      </w:r>
      <w:proofErr w:type="spellStart"/>
      <w:r w:rsidR="00F842BF" w:rsidRPr="00162B20">
        <w:t>l</w:t>
      </w:r>
      <w:r w:rsidR="00435B05" w:rsidRPr="00162B20">
        <w:t>envatinib</w:t>
      </w:r>
      <w:proofErr w:type="spellEnd"/>
      <w:r w:rsidR="00435B05" w:rsidRPr="00162B20">
        <w:t xml:space="preserve"> </w:t>
      </w:r>
      <w:r w:rsidR="002911BF" w:rsidRPr="00162B20">
        <w:t>+</w:t>
      </w:r>
      <w:r w:rsidR="00435B05" w:rsidRPr="00162B20">
        <w:t xml:space="preserve"> </w:t>
      </w:r>
      <w:proofErr w:type="spellStart"/>
      <w:r w:rsidR="002911BF" w:rsidRPr="00162B20">
        <w:t>everolimus</w:t>
      </w:r>
      <w:proofErr w:type="spellEnd"/>
      <w:r w:rsidR="002911BF" w:rsidRPr="00162B20">
        <w:t>, nivolumab, and cabozantinib</w:t>
      </w:r>
      <w:r w:rsidR="00435B05" w:rsidRPr="00162B20">
        <w:t xml:space="preserve"> </w:t>
      </w:r>
      <w:r w:rsidR="002911BF" w:rsidRPr="00162B20">
        <w:t>+</w:t>
      </w:r>
      <w:r w:rsidR="00435B05" w:rsidRPr="00162B20">
        <w:t xml:space="preserve"> </w:t>
      </w:r>
      <w:r w:rsidR="002911BF" w:rsidRPr="00162B20">
        <w:t>nivolumab as "</w:t>
      </w:r>
      <w:r w:rsidR="00F842BF" w:rsidRPr="00162B20">
        <w:t>o</w:t>
      </w:r>
      <w:r w:rsidR="002911BF" w:rsidRPr="00162B20">
        <w:t xml:space="preserve">ther </w:t>
      </w:r>
      <w:r w:rsidR="00F842BF" w:rsidRPr="00162B20">
        <w:t>r</w:t>
      </w:r>
      <w:r w:rsidR="002911BF" w:rsidRPr="00162B20">
        <w:t xml:space="preserve">ecommended </w:t>
      </w:r>
      <w:r w:rsidR="00F842BF" w:rsidRPr="00162B20">
        <w:t>r</w:t>
      </w:r>
      <w:r w:rsidR="002911BF" w:rsidRPr="00162B20">
        <w:t>egimens"</w:t>
      </w:r>
      <w:r w:rsidR="00CA70AA" w:rsidRPr="00162B20">
        <w:t xml:space="preserve"> for </w:t>
      </w:r>
      <w:proofErr w:type="spellStart"/>
      <w:r w:rsidR="00CA70AA" w:rsidRPr="00162B20">
        <w:t>nccRCC</w:t>
      </w:r>
      <w:proofErr w:type="spellEnd"/>
      <w:r w:rsidR="002911BF" w:rsidRPr="00162B20">
        <w:t>.</w:t>
      </w:r>
      <w:r w:rsidRPr="00162B20">
        <w:t xml:space="preserve"> </w:t>
      </w:r>
      <w:r w:rsidR="00F809CC" w:rsidRPr="00162B20">
        <w:t xml:space="preserve">The ESC noted that clinical trials are not a practical option for many patients with </w:t>
      </w:r>
      <w:proofErr w:type="spellStart"/>
      <w:r w:rsidR="00F809CC" w:rsidRPr="00162B20">
        <w:t>nccRCC</w:t>
      </w:r>
      <w:proofErr w:type="spellEnd"/>
      <w:r w:rsidR="00F809CC" w:rsidRPr="00162B20">
        <w:t>.</w:t>
      </w:r>
    </w:p>
    <w:p w14:paraId="1E3BE0FB" w14:textId="0F63F8ED" w:rsidR="00CA70AA" w:rsidRPr="00162B20" w:rsidRDefault="0026222D" w:rsidP="0026222D">
      <w:pPr>
        <w:pStyle w:val="3-BodyText"/>
        <w:snapToGrid w:val="0"/>
        <w:rPr>
          <w:i/>
          <w:iCs/>
        </w:rPr>
      </w:pPr>
      <w:r w:rsidRPr="00162B20">
        <w:lastRenderedPageBreak/>
        <w:t xml:space="preserve">Although not PBS-subsidised for </w:t>
      </w:r>
      <w:proofErr w:type="spellStart"/>
      <w:r w:rsidRPr="00162B20">
        <w:t>nccRCC</w:t>
      </w:r>
      <w:proofErr w:type="spellEnd"/>
      <w:r w:rsidRPr="00162B20">
        <w:t>, o</w:t>
      </w:r>
      <w:r w:rsidR="008E34C1" w:rsidRPr="00162B20">
        <w:t>ther</w:t>
      </w:r>
      <w:r w:rsidR="00CB4E61" w:rsidRPr="00162B20">
        <w:t xml:space="preserve"> drugs that are PBS listed in advanced </w:t>
      </w:r>
      <w:proofErr w:type="spellStart"/>
      <w:r w:rsidR="00CB4E61" w:rsidRPr="00162B20">
        <w:t>ccRCC</w:t>
      </w:r>
      <w:proofErr w:type="spellEnd"/>
      <w:r w:rsidR="00CB4E61" w:rsidRPr="00162B20">
        <w:t xml:space="preserve"> could be considered potential comparators</w:t>
      </w:r>
      <w:r w:rsidR="008251FA" w:rsidRPr="00162B20">
        <w:t>,</w:t>
      </w:r>
      <w:r w:rsidR="00CB4E61" w:rsidRPr="00162B20">
        <w:t xml:space="preserve"> including immunotherapy such as nivolumab</w:t>
      </w:r>
      <w:r w:rsidR="00FE6595" w:rsidRPr="00162B20">
        <w:t xml:space="preserve"> monotherapy </w:t>
      </w:r>
      <w:r w:rsidR="00CB4E61" w:rsidRPr="00162B20">
        <w:t xml:space="preserve">and combinations including </w:t>
      </w:r>
      <w:r w:rsidR="00CB4E61" w:rsidRPr="00162B20">
        <w:rPr>
          <w:snapToGrid/>
        </w:rPr>
        <w:t>nivolumab</w:t>
      </w:r>
      <w:r w:rsidR="00CD6D07" w:rsidRPr="00162B20">
        <w:rPr>
          <w:snapToGrid/>
        </w:rPr>
        <w:t xml:space="preserve"> </w:t>
      </w:r>
      <w:r w:rsidR="00CB4E61" w:rsidRPr="00162B20">
        <w:rPr>
          <w:snapToGrid/>
        </w:rPr>
        <w:t>+ ipilimumab</w:t>
      </w:r>
      <w:r w:rsidR="00FE6595" w:rsidRPr="00162B20">
        <w:rPr>
          <w:snapToGrid/>
        </w:rPr>
        <w:t xml:space="preserve"> and </w:t>
      </w:r>
      <w:r w:rsidR="002911BF" w:rsidRPr="00162B20">
        <w:t xml:space="preserve">pembrolizumab </w:t>
      </w:r>
      <w:r w:rsidR="00CB4E61" w:rsidRPr="00162B20">
        <w:t xml:space="preserve">+ </w:t>
      </w:r>
      <w:proofErr w:type="spellStart"/>
      <w:r w:rsidR="00FE6595" w:rsidRPr="00162B20">
        <w:t>lenvatinib</w:t>
      </w:r>
      <w:proofErr w:type="spellEnd"/>
      <w:r w:rsidR="00FE6595" w:rsidRPr="00162B20">
        <w:t>.</w:t>
      </w:r>
      <w:r w:rsidR="008E34C1" w:rsidRPr="00162B20">
        <w:t xml:space="preserve"> </w:t>
      </w:r>
      <w:r w:rsidR="00F809CC" w:rsidRPr="00162B20">
        <w:t xml:space="preserve">The ESC </w:t>
      </w:r>
      <w:r w:rsidR="00D17068" w:rsidRPr="00162B20">
        <w:t>agreed with the PSCR</w:t>
      </w:r>
      <w:r w:rsidR="00F809CC" w:rsidRPr="00162B20">
        <w:t xml:space="preserve"> that there is very little evidence for immunotherapies in patients with </w:t>
      </w:r>
      <w:proofErr w:type="spellStart"/>
      <w:r w:rsidR="00F809CC" w:rsidRPr="00162B20">
        <w:t>nccRCC</w:t>
      </w:r>
      <w:proofErr w:type="spellEnd"/>
      <w:r w:rsidR="00F809CC" w:rsidRPr="00162B20">
        <w:t xml:space="preserve"> and considered that sunitinib was the most reasonable comparator for the ‘frame of reference’ </w:t>
      </w:r>
      <w:r w:rsidR="000E34B8" w:rsidRPr="00162B20">
        <w:t>approach presented.</w:t>
      </w:r>
    </w:p>
    <w:p w14:paraId="0755D10C" w14:textId="77777777" w:rsidR="00CE227A" w:rsidRPr="00162B20" w:rsidRDefault="00CE227A" w:rsidP="00CE227A">
      <w:pPr>
        <w:ind w:left="720"/>
        <w:rPr>
          <w:i/>
          <w:iCs/>
        </w:rPr>
      </w:pPr>
      <w:r w:rsidRPr="00162B20">
        <w:rPr>
          <w:i/>
          <w:iCs/>
        </w:rPr>
        <w:t>For more detail on PBAC’s view, see section 7 PBAC outcome.</w:t>
      </w:r>
    </w:p>
    <w:p w14:paraId="56DC30DF" w14:textId="77777777" w:rsidR="00AB4ECF" w:rsidRPr="001042C0" w:rsidRDefault="00AB4ECF" w:rsidP="001042C0">
      <w:pPr>
        <w:pStyle w:val="2-SectionHeading"/>
      </w:pPr>
      <w:bookmarkStart w:id="21" w:name="_Toc155629400"/>
      <w:bookmarkStart w:id="22" w:name="_Toc155629401"/>
      <w:bookmarkStart w:id="23" w:name="_Toc155629402"/>
      <w:bookmarkStart w:id="24" w:name="_Toc156987042"/>
      <w:bookmarkEnd w:id="21"/>
      <w:bookmarkEnd w:id="22"/>
      <w:bookmarkEnd w:id="23"/>
      <w:r w:rsidRPr="001042C0">
        <w:t>Consideration of the evidence</w:t>
      </w:r>
      <w:bookmarkEnd w:id="24"/>
    </w:p>
    <w:p w14:paraId="50A89D5E" w14:textId="77777777" w:rsidR="00CE227A" w:rsidRPr="00162B20" w:rsidRDefault="00CE227A" w:rsidP="00CE227A">
      <w:pPr>
        <w:pStyle w:val="4-SubsectionHeading"/>
      </w:pPr>
      <w:bookmarkStart w:id="25" w:name="_Hlk76375935"/>
      <w:bookmarkStart w:id="26" w:name="_Toc156987043"/>
      <w:r w:rsidRPr="00162B20">
        <w:t>Sponsor hearing</w:t>
      </w:r>
    </w:p>
    <w:p w14:paraId="2CF2544D" w14:textId="3566BAE4" w:rsidR="0058749B" w:rsidRPr="00162B20" w:rsidRDefault="00CE227A" w:rsidP="00CE227A">
      <w:pPr>
        <w:widowControl w:val="0"/>
        <w:numPr>
          <w:ilvl w:val="1"/>
          <w:numId w:val="1"/>
        </w:numPr>
        <w:spacing w:after="120"/>
        <w:rPr>
          <w:rFonts w:asciiTheme="minorHAnsi" w:hAnsiTheme="minorHAnsi"/>
          <w:bCs/>
          <w:snapToGrid w:val="0"/>
        </w:rPr>
      </w:pPr>
      <w:bookmarkStart w:id="27" w:name="_Hlk76382586"/>
      <w:r w:rsidRPr="00162B20">
        <w:rPr>
          <w:rFonts w:asciiTheme="minorHAnsi" w:hAnsiTheme="minorHAnsi"/>
          <w:bCs/>
          <w:snapToGrid w:val="0"/>
        </w:rPr>
        <w:t xml:space="preserve">The sponsor requested a hearing for this item. The clinician presented </w:t>
      </w:r>
      <w:r w:rsidR="00276F2F" w:rsidRPr="00162B20">
        <w:rPr>
          <w:rFonts w:asciiTheme="minorHAnsi" w:hAnsiTheme="minorHAnsi"/>
          <w:bCs/>
          <w:snapToGrid w:val="0"/>
        </w:rPr>
        <w:t xml:space="preserve">a clinical perspective on treatment needs for </w:t>
      </w:r>
      <w:proofErr w:type="spellStart"/>
      <w:r w:rsidR="00276F2F" w:rsidRPr="00162B20">
        <w:rPr>
          <w:rFonts w:asciiTheme="minorHAnsi" w:hAnsiTheme="minorHAnsi"/>
          <w:bCs/>
          <w:snapToGrid w:val="0"/>
        </w:rPr>
        <w:t>nccRCC</w:t>
      </w:r>
      <w:proofErr w:type="spellEnd"/>
      <w:r w:rsidR="00276F2F" w:rsidRPr="00162B20">
        <w:rPr>
          <w:rFonts w:asciiTheme="minorHAnsi" w:hAnsiTheme="minorHAnsi"/>
          <w:bCs/>
          <w:snapToGrid w:val="0"/>
        </w:rPr>
        <w:t xml:space="preserve">. </w:t>
      </w:r>
      <w:r w:rsidR="0058749B" w:rsidRPr="00162B20">
        <w:rPr>
          <w:rFonts w:asciiTheme="minorHAnsi" w:hAnsiTheme="minorHAnsi"/>
          <w:bCs/>
          <w:snapToGrid w:val="0"/>
        </w:rPr>
        <w:t xml:space="preserve">The clinician noted that patients with </w:t>
      </w:r>
      <w:proofErr w:type="spellStart"/>
      <w:r w:rsidR="0058749B" w:rsidRPr="00162B20">
        <w:rPr>
          <w:rFonts w:asciiTheme="minorHAnsi" w:hAnsiTheme="minorHAnsi"/>
          <w:bCs/>
          <w:snapToGrid w:val="0"/>
        </w:rPr>
        <w:t>ccRCC</w:t>
      </w:r>
      <w:proofErr w:type="spellEnd"/>
      <w:r w:rsidR="0058749B" w:rsidRPr="00162B20">
        <w:rPr>
          <w:rFonts w:asciiTheme="minorHAnsi" w:hAnsiTheme="minorHAnsi"/>
          <w:bCs/>
          <w:snapToGrid w:val="0"/>
        </w:rPr>
        <w:t xml:space="preserve"> have several treatment options, however for the small number of patients with </w:t>
      </w:r>
      <w:proofErr w:type="spellStart"/>
      <w:r w:rsidR="0058749B" w:rsidRPr="00162B20">
        <w:rPr>
          <w:rFonts w:asciiTheme="minorHAnsi" w:hAnsiTheme="minorHAnsi"/>
          <w:bCs/>
          <w:snapToGrid w:val="0"/>
        </w:rPr>
        <w:t>nccRCC</w:t>
      </w:r>
      <w:proofErr w:type="spellEnd"/>
      <w:r w:rsidR="0058749B" w:rsidRPr="00162B20">
        <w:rPr>
          <w:rFonts w:asciiTheme="minorHAnsi" w:hAnsiTheme="minorHAnsi"/>
          <w:bCs/>
          <w:snapToGrid w:val="0"/>
        </w:rPr>
        <w:t xml:space="preserve">, there are no targeted treatments available on the PBS, only the </w:t>
      </w:r>
      <w:r w:rsidR="00402244" w:rsidRPr="00162B20">
        <w:rPr>
          <w:rFonts w:asciiTheme="minorHAnsi" w:hAnsiTheme="minorHAnsi"/>
          <w:bCs/>
          <w:snapToGrid w:val="0"/>
        </w:rPr>
        <w:t xml:space="preserve">Ipsen </w:t>
      </w:r>
      <w:r w:rsidR="0058749B" w:rsidRPr="00162B20">
        <w:rPr>
          <w:rFonts w:asciiTheme="minorHAnsi" w:hAnsiTheme="minorHAnsi"/>
          <w:bCs/>
          <w:snapToGrid w:val="0"/>
        </w:rPr>
        <w:t xml:space="preserve">cabozantinib access program and clinical trials. The clinician noted that patients with </w:t>
      </w:r>
      <w:proofErr w:type="spellStart"/>
      <w:r w:rsidR="0058749B" w:rsidRPr="00162B20">
        <w:rPr>
          <w:rFonts w:asciiTheme="minorHAnsi" w:hAnsiTheme="minorHAnsi"/>
          <w:bCs/>
          <w:snapToGrid w:val="0"/>
        </w:rPr>
        <w:t>nccRCC</w:t>
      </w:r>
      <w:proofErr w:type="spellEnd"/>
      <w:r w:rsidR="0058749B" w:rsidRPr="00162B20">
        <w:rPr>
          <w:rFonts w:asciiTheme="minorHAnsi" w:hAnsiTheme="minorHAnsi"/>
          <w:bCs/>
          <w:snapToGrid w:val="0"/>
        </w:rPr>
        <w:t xml:space="preserve"> can often be relatively young and well and it is important for second line treatment to be available for those who have previously received first line treatment through clinical trials.</w:t>
      </w:r>
    </w:p>
    <w:p w14:paraId="6FAA0D5E" w14:textId="030F72B4" w:rsidR="00CE227A" w:rsidRPr="00162B20" w:rsidRDefault="0058749B" w:rsidP="00CE227A">
      <w:pPr>
        <w:widowControl w:val="0"/>
        <w:numPr>
          <w:ilvl w:val="1"/>
          <w:numId w:val="1"/>
        </w:numPr>
        <w:spacing w:after="120"/>
        <w:rPr>
          <w:rFonts w:asciiTheme="minorHAnsi" w:hAnsiTheme="minorHAnsi"/>
          <w:bCs/>
          <w:snapToGrid w:val="0"/>
        </w:rPr>
      </w:pPr>
      <w:r w:rsidRPr="00162B20">
        <w:rPr>
          <w:rFonts w:asciiTheme="minorHAnsi" w:hAnsiTheme="minorHAnsi"/>
          <w:bCs/>
          <w:snapToGrid w:val="0"/>
        </w:rPr>
        <w:t xml:space="preserve">The clinician noted that based on clinical experience with cabozantinib, it is clearly active in patients with </w:t>
      </w:r>
      <w:proofErr w:type="spellStart"/>
      <w:r w:rsidRPr="00162B20">
        <w:rPr>
          <w:rFonts w:asciiTheme="minorHAnsi" w:hAnsiTheme="minorHAnsi"/>
          <w:bCs/>
          <w:snapToGrid w:val="0"/>
        </w:rPr>
        <w:t>nccRCC</w:t>
      </w:r>
      <w:proofErr w:type="spellEnd"/>
      <w:r w:rsidRPr="00162B20">
        <w:rPr>
          <w:rFonts w:asciiTheme="minorHAnsi" w:hAnsiTheme="minorHAnsi"/>
          <w:bCs/>
          <w:snapToGrid w:val="0"/>
        </w:rPr>
        <w:t xml:space="preserve"> and there is no obvious distinction in how patients with different subtypes respond to treatment. In addition, though some </w:t>
      </w:r>
      <w:r w:rsidR="00402244" w:rsidRPr="00162B20">
        <w:rPr>
          <w:rFonts w:asciiTheme="minorHAnsi" w:hAnsiTheme="minorHAnsi"/>
          <w:bCs/>
          <w:snapToGrid w:val="0"/>
        </w:rPr>
        <w:t xml:space="preserve">clinical trial </w:t>
      </w:r>
      <w:r w:rsidRPr="00162B20">
        <w:rPr>
          <w:rFonts w:asciiTheme="minorHAnsi" w:hAnsiTheme="minorHAnsi"/>
          <w:bCs/>
          <w:snapToGrid w:val="0"/>
        </w:rPr>
        <w:t xml:space="preserve">data </w:t>
      </w:r>
      <w:r w:rsidR="00402244" w:rsidRPr="00162B20">
        <w:rPr>
          <w:rFonts w:asciiTheme="minorHAnsi" w:hAnsiTheme="minorHAnsi"/>
          <w:bCs/>
          <w:snapToGrid w:val="0"/>
        </w:rPr>
        <w:t>suggests</w:t>
      </w:r>
      <w:r w:rsidRPr="00162B20">
        <w:rPr>
          <w:rFonts w:asciiTheme="minorHAnsi" w:hAnsiTheme="minorHAnsi"/>
          <w:bCs/>
          <w:snapToGrid w:val="0"/>
        </w:rPr>
        <w:t xml:space="preserve"> that there is a lower response rate for patients with chromophobe subtypes</w:t>
      </w:r>
      <w:r w:rsidR="002960E0" w:rsidRPr="00162B20">
        <w:rPr>
          <w:rFonts w:asciiTheme="minorHAnsi" w:hAnsiTheme="minorHAnsi"/>
          <w:bCs/>
          <w:snapToGrid w:val="0"/>
        </w:rPr>
        <w:t>, the disease control rate appears similar and</w:t>
      </w:r>
      <w:r w:rsidRPr="00162B20">
        <w:rPr>
          <w:rFonts w:asciiTheme="minorHAnsi" w:hAnsiTheme="minorHAnsi"/>
          <w:bCs/>
          <w:snapToGrid w:val="0"/>
        </w:rPr>
        <w:t xml:space="preserve"> the treatment benefit </w:t>
      </w:r>
      <w:r w:rsidR="002960E0" w:rsidRPr="00162B20">
        <w:rPr>
          <w:rFonts w:asciiTheme="minorHAnsi" w:hAnsiTheme="minorHAnsi"/>
          <w:bCs/>
          <w:snapToGrid w:val="0"/>
        </w:rPr>
        <w:t>may be</w:t>
      </w:r>
      <w:r w:rsidRPr="00162B20">
        <w:rPr>
          <w:rFonts w:asciiTheme="minorHAnsi" w:hAnsiTheme="minorHAnsi"/>
          <w:bCs/>
          <w:snapToGrid w:val="0"/>
        </w:rPr>
        <w:t xml:space="preserve"> less clear within the trial duration</w:t>
      </w:r>
      <w:r w:rsidR="002960E0" w:rsidRPr="00162B20">
        <w:rPr>
          <w:rFonts w:asciiTheme="minorHAnsi" w:hAnsiTheme="minorHAnsi"/>
          <w:bCs/>
          <w:snapToGrid w:val="0"/>
        </w:rPr>
        <w:t xml:space="preserve"> because disease tends to be more indolent for this subtype</w:t>
      </w:r>
      <w:r w:rsidRPr="00162B20">
        <w:rPr>
          <w:rFonts w:asciiTheme="minorHAnsi" w:hAnsiTheme="minorHAnsi"/>
          <w:bCs/>
          <w:snapToGrid w:val="0"/>
        </w:rPr>
        <w:t xml:space="preserve">. </w:t>
      </w:r>
    </w:p>
    <w:bookmarkEnd w:id="27"/>
    <w:p w14:paraId="64A6B76F" w14:textId="77777777" w:rsidR="00CE227A" w:rsidRPr="00162B20" w:rsidRDefault="00CE227A" w:rsidP="00CE227A">
      <w:pPr>
        <w:pStyle w:val="4-SubsectionHeading"/>
      </w:pPr>
      <w:r w:rsidRPr="00162B20">
        <w:t>Consumer comments</w:t>
      </w:r>
    </w:p>
    <w:p w14:paraId="6AD80865" w14:textId="1031D7DA" w:rsidR="00CE227A" w:rsidRPr="00162B20" w:rsidRDefault="00CE227A" w:rsidP="00CE227A">
      <w:pPr>
        <w:widowControl w:val="0"/>
        <w:numPr>
          <w:ilvl w:val="1"/>
          <w:numId w:val="1"/>
        </w:numPr>
        <w:spacing w:after="120"/>
        <w:rPr>
          <w:rFonts w:asciiTheme="minorHAnsi" w:hAnsiTheme="minorHAnsi"/>
          <w:bCs/>
          <w:snapToGrid w:val="0"/>
        </w:rPr>
      </w:pPr>
      <w:bookmarkStart w:id="28" w:name="_Hlk76382618"/>
      <w:r w:rsidRPr="00162B20">
        <w:rPr>
          <w:rFonts w:asciiTheme="minorHAnsi" w:hAnsiTheme="minorHAnsi"/>
          <w:bCs/>
          <w:snapToGrid w:val="0"/>
        </w:rPr>
        <w:t>The PBAC noted and welcomed the input from health care professionals (</w:t>
      </w:r>
      <w:r w:rsidR="00AD5104" w:rsidRPr="00162B20">
        <w:rPr>
          <w:rFonts w:asciiTheme="minorHAnsi" w:hAnsiTheme="minorHAnsi"/>
          <w:bCs/>
          <w:snapToGrid w:val="0"/>
        </w:rPr>
        <w:t>8</w:t>
      </w:r>
      <w:r w:rsidRPr="00162B20">
        <w:rPr>
          <w:rFonts w:asciiTheme="minorHAnsi" w:hAnsiTheme="minorHAnsi"/>
          <w:bCs/>
          <w:snapToGrid w:val="0"/>
        </w:rPr>
        <w:t>) and organisations (</w:t>
      </w:r>
      <w:r w:rsidR="00AD5104" w:rsidRPr="00162B20">
        <w:rPr>
          <w:rFonts w:asciiTheme="minorHAnsi" w:hAnsiTheme="minorHAnsi"/>
          <w:bCs/>
          <w:snapToGrid w:val="0"/>
        </w:rPr>
        <w:t>3</w:t>
      </w:r>
      <w:r w:rsidRPr="00162B20">
        <w:rPr>
          <w:rFonts w:asciiTheme="minorHAnsi" w:hAnsiTheme="minorHAnsi"/>
          <w:bCs/>
          <w:snapToGrid w:val="0"/>
        </w:rPr>
        <w:t xml:space="preserve">) via the Consumer Comments facility on the PBS website. The comments </w:t>
      </w:r>
      <w:r w:rsidR="00AD5104" w:rsidRPr="00162B20">
        <w:rPr>
          <w:rFonts w:asciiTheme="minorHAnsi" w:hAnsiTheme="minorHAnsi"/>
          <w:bCs/>
          <w:snapToGrid w:val="0"/>
        </w:rPr>
        <w:t xml:space="preserve">acknowledged that not all individuals with </w:t>
      </w:r>
      <w:proofErr w:type="spellStart"/>
      <w:r w:rsidR="00AD5104" w:rsidRPr="00162B20">
        <w:rPr>
          <w:rFonts w:asciiTheme="minorHAnsi" w:hAnsiTheme="minorHAnsi"/>
          <w:bCs/>
          <w:snapToGrid w:val="0"/>
        </w:rPr>
        <w:t>nccRCC</w:t>
      </w:r>
      <w:proofErr w:type="spellEnd"/>
      <w:r w:rsidR="00AD5104" w:rsidRPr="00162B20">
        <w:rPr>
          <w:rFonts w:asciiTheme="minorHAnsi" w:hAnsiTheme="minorHAnsi"/>
          <w:bCs/>
          <w:snapToGrid w:val="0"/>
        </w:rPr>
        <w:t xml:space="preserve"> will respond to </w:t>
      </w:r>
      <w:r w:rsidR="00162B20" w:rsidRPr="00162B20">
        <w:rPr>
          <w:rFonts w:asciiTheme="minorHAnsi" w:hAnsiTheme="minorHAnsi"/>
          <w:bCs/>
          <w:snapToGrid w:val="0"/>
        </w:rPr>
        <w:t>cabozantinib but</w:t>
      </w:r>
      <w:r w:rsidR="00AD5104" w:rsidRPr="00162B20">
        <w:rPr>
          <w:rFonts w:asciiTheme="minorHAnsi" w:hAnsiTheme="minorHAnsi"/>
          <w:bCs/>
          <w:snapToGrid w:val="0"/>
        </w:rPr>
        <w:t xml:space="preserve"> stated that there is </w:t>
      </w:r>
      <w:r w:rsidR="00265166" w:rsidRPr="00162B20">
        <w:rPr>
          <w:rFonts w:asciiTheme="minorHAnsi" w:hAnsiTheme="minorHAnsi"/>
          <w:bCs/>
          <w:snapToGrid w:val="0"/>
        </w:rPr>
        <w:t xml:space="preserve">increasing evidence that it is active in </w:t>
      </w:r>
      <w:proofErr w:type="spellStart"/>
      <w:r w:rsidR="00265166" w:rsidRPr="00162B20">
        <w:rPr>
          <w:rFonts w:asciiTheme="minorHAnsi" w:hAnsiTheme="minorHAnsi"/>
          <w:bCs/>
          <w:snapToGrid w:val="0"/>
        </w:rPr>
        <w:t>nccRCC</w:t>
      </w:r>
      <w:proofErr w:type="spellEnd"/>
      <w:r w:rsidR="00265166" w:rsidRPr="00162B20">
        <w:rPr>
          <w:rFonts w:asciiTheme="minorHAnsi" w:hAnsiTheme="minorHAnsi"/>
          <w:bCs/>
          <w:snapToGrid w:val="0"/>
        </w:rPr>
        <w:t xml:space="preserve">, particularly papillary and chromophobe sub-types. Health care professionals with clinical experience treating patients with </w:t>
      </w:r>
      <w:proofErr w:type="spellStart"/>
      <w:r w:rsidR="00265166" w:rsidRPr="00162B20">
        <w:rPr>
          <w:rFonts w:asciiTheme="minorHAnsi" w:hAnsiTheme="minorHAnsi"/>
          <w:bCs/>
          <w:snapToGrid w:val="0"/>
        </w:rPr>
        <w:t>nccRCC</w:t>
      </w:r>
      <w:proofErr w:type="spellEnd"/>
      <w:r w:rsidR="00265166" w:rsidRPr="00162B20">
        <w:rPr>
          <w:rFonts w:asciiTheme="minorHAnsi" w:hAnsiTheme="minorHAnsi"/>
          <w:bCs/>
          <w:snapToGrid w:val="0"/>
        </w:rPr>
        <w:t xml:space="preserve"> reported that it was an effective therapy in improving quality of life, cancer-related symptoms, and survival outcomes. Comments noted that cabozantinib has a well-studied range of side effects that are managed commonly by oncologists who use the medicine to treat patients with </w:t>
      </w:r>
      <w:proofErr w:type="spellStart"/>
      <w:r w:rsidR="00265166" w:rsidRPr="00162B20">
        <w:rPr>
          <w:rFonts w:asciiTheme="minorHAnsi" w:hAnsiTheme="minorHAnsi"/>
          <w:bCs/>
          <w:snapToGrid w:val="0"/>
        </w:rPr>
        <w:t>ccRCC</w:t>
      </w:r>
      <w:proofErr w:type="spellEnd"/>
      <w:r w:rsidR="00265166" w:rsidRPr="00162B20">
        <w:rPr>
          <w:rFonts w:asciiTheme="minorHAnsi" w:hAnsiTheme="minorHAnsi"/>
          <w:bCs/>
          <w:snapToGrid w:val="0"/>
        </w:rPr>
        <w:t xml:space="preserve">. Health care providers also noted the major unmet clinical need for access to systemic therapies to treat </w:t>
      </w:r>
      <w:proofErr w:type="spellStart"/>
      <w:r w:rsidR="00265166" w:rsidRPr="00162B20">
        <w:rPr>
          <w:rFonts w:asciiTheme="minorHAnsi" w:hAnsiTheme="minorHAnsi"/>
          <w:bCs/>
          <w:snapToGrid w:val="0"/>
        </w:rPr>
        <w:t>nccRCC</w:t>
      </w:r>
      <w:proofErr w:type="spellEnd"/>
      <w:r w:rsidR="00265166" w:rsidRPr="00162B20">
        <w:rPr>
          <w:rFonts w:asciiTheme="minorHAnsi" w:hAnsiTheme="minorHAnsi"/>
          <w:bCs/>
          <w:snapToGrid w:val="0"/>
        </w:rPr>
        <w:t xml:space="preserve"> as there are no PBS-funded treatments for this </w:t>
      </w:r>
      <w:r w:rsidR="0058749B" w:rsidRPr="00162B20">
        <w:rPr>
          <w:rFonts w:asciiTheme="minorHAnsi" w:hAnsiTheme="minorHAnsi"/>
          <w:bCs/>
          <w:snapToGrid w:val="0"/>
        </w:rPr>
        <w:t>group</w:t>
      </w:r>
      <w:r w:rsidR="00121D8C" w:rsidRPr="00162B20">
        <w:rPr>
          <w:rFonts w:asciiTheme="minorHAnsi" w:hAnsiTheme="minorHAnsi"/>
          <w:bCs/>
          <w:snapToGrid w:val="0"/>
        </w:rPr>
        <w:t xml:space="preserve"> and the cost to privately fund treatment is prohibitive</w:t>
      </w:r>
      <w:r w:rsidR="00265166" w:rsidRPr="00162B20">
        <w:rPr>
          <w:rFonts w:asciiTheme="minorHAnsi" w:hAnsiTheme="minorHAnsi"/>
          <w:bCs/>
          <w:snapToGrid w:val="0"/>
        </w:rPr>
        <w:t>. T</w:t>
      </w:r>
      <w:r w:rsidR="00121D8C" w:rsidRPr="00162B20">
        <w:rPr>
          <w:rFonts w:asciiTheme="minorHAnsi" w:hAnsiTheme="minorHAnsi"/>
          <w:bCs/>
          <w:snapToGrid w:val="0"/>
        </w:rPr>
        <w:t>h</w:t>
      </w:r>
      <w:r w:rsidR="00265166" w:rsidRPr="00162B20">
        <w:rPr>
          <w:rFonts w:asciiTheme="minorHAnsi" w:hAnsiTheme="minorHAnsi"/>
          <w:bCs/>
          <w:snapToGrid w:val="0"/>
        </w:rPr>
        <w:t>e comments noted that compassionate access programs and access to trials are not guaranteed</w:t>
      </w:r>
      <w:r w:rsidR="00121D8C" w:rsidRPr="00162B20">
        <w:rPr>
          <w:rFonts w:asciiTheme="minorHAnsi" w:hAnsiTheme="minorHAnsi"/>
          <w:bCs/>
          <w:snapToGrid w:val="0"/>
        </w:rPr>
        <w:t>, not available to all patients,</w:t>
      </w:r>
      <w:r w:rsidR="00265166" w:rsidRPr="00162B20">
        <w:rPr>
          <w:rFonts w:asciiTheme="minorHAnsi" w:hAnsiTheme="minorHAnsi"/>
          <w:bCs/>
          <w:snapToGrid w:val="0"/>
        </w:rPr>
        <w:t xml:space="preserve"> and many patients progress while awaiting approval.</w:t>
      </w:r>
      <w:r w:rsidR="00121D8C" w:rsidRPr="00162B20">
        <w:rPr>
          <w:rFonts w:asciiTheme="minorHAnsi" w:hAnsiTheme="minorHAnsi"/>
          <w:bCs/>
          <w:snapToGrid w:val="0"/>
        </w:rPr>
        <w:t xml:space="preserve"> </w:t>
      </w:r>
    </w:p>
    <w:p w14:paraId="7CC6FA2E" w14:textId="555FECD8" w:rsidR="00CE227A" w:rsidRPr="00162B20" w:rsidRDefault="00CE227A" w:rsidP="00CE227A">
      <w:pPr>
        <w:widowControl w:val="0"/>
        <w:numPr>
          <w:ilvl w:val="1"/>
          <w:numId w:val="1"/>
        </w:numPr>
        <w:spacing w:after="120"/>
        <w:rPr>
          <w:rFonts w:asciiTheme="minorHAnsi" w:hAnsiTheme="minorHAnsi"/>
          <w:bCs/>
          <w:snapToGrid w:val="0"/>
        </w:rPr>
      </w:pPr>
      <w:r w:rsidRPr="00162B20">
        <w:rPr>
          <w:rFonts w:asciiTheme="minorHAnsi" w:hAnsiTheme="minorHAnsi"/>
          <w:bCs/>
          <w:snapToGrid w:val="0"/>
        </w:rPr>
        <w:lastRenderedPageBreak/>
        <w:t>The PBAC noted the advice received from</w:t>
      </w:r>
      <w:r w:rsidR="00D51F19" w:rsidRPr="00162B20">
        <w:rPr>
          <w:rFonts w:asciiTheme="minorHAnsi" w:hAnsiTheme="minorHAnsi"/>
          <w:bCs/>
          <w:snapToGrid w:val="0"/>
        </w:rPr>
        <w:t xml:space="preserve"> ANZUP Cancer Trials Group, which referenced the UNICAB trial conducted by ANZUP. In this trial patients with </w:t>
      </w:r>
      <w:proofErr w:type="spellStart"/>
      <w:r w:rsidR="00D51F19" w:rsidRPr="00162B20">
        <w:rPr>
          <w:rFonts w:asciiTheme="minorHAnsi" w:hAnsiTheme="minorHAnsi"/>
          <w:bCs/>
          <w:snapToGrid w:val="0"/>
        </w:rPr>
        <w:t>nccRCC</w:t>
      </w:r>
      <w:proofErr w:type="spellEnd"/>
      <w:r w:rsidR="00D51F19" w:rsidRPr="00162B20">
        <w:rPr>
          <w:rFonts w:asciiTheme="minorHAnsi" w:hAnsiTheme="minorHAnsi"/>
          <w:bCs/>
          <w:snapToGrid w:val="0"/>
        </w:rPr>
        <w:t xml:space="preserve">, refractory or intolerant to immunotherapy, were treated with cabozantinib. The comments noted that cabozantinib is clearly active in some </w:t>
      </w:r>
      <w:proofErr w:type="spellStart"/>
      <w:r w:rsidR="00162B20" w:rsidRPr="00162B20">
        <w:rPr>
          <w:rFonts w:asciiTheme="minorHAnsi" w:hAnsiTheme="minorHAnsi"/>
          <w:bCs/>
          <w:snapToGrid w:val="0"/>
        </w:rPr>
        <w:t>nccRCC</w:t>
      </w:r>
      <w:proofErr w:type="spellEnd"/>
      <w:r w:rsidR="00162B20" w:rsidRPr="00162B20">
        <w:rPr>
          <w:rFonts w:asciiTheme="minorHAnsi" w:hAnsiTheme="minorHAnsi"/>
          <w:bCs/>
          <w:snapToGrid w:val="0"/>
        </w:rPr>
        <w:t xml:space="preserve"> and</w:t>
      </w:r>
      <w:r w:rsidR="00D51F19" w:rsidRPr="00162B20">
        <w:rPr>
          <w:rFonts w:asciiTheme="minorHAnsi" w:hAnsiTheme="minorHAnsi"/>
          <w:bCs/>
          <w:snapToGrid w:val="0"/>
        </w:rPr>
        <w:t xml:space="preserve"> can lead to prolonged responses. </w:t>
      </w:r>
      <w:r w:rsidR="00AD5104" w:rsidRPr="00162B20">
        <w:rPr>
          <w:rFonts w:asciiTheme="minorHAnsi" w:hAnsiTheme="minorHAnsi"/>
          <w:bCs/>
          <w:snapToGrid w:val="0"/>
        </w:rPr>
        <w:t>The PBAC also noted advice from Rare Cancers Australia (RCA) regarding the cabozantinib submission. Comments from RCA</w:t>
      </w:r>
      <w:r w:rsidR="00D51F19" w:rsidRPr="00162B20">
        <w:rPr>
          <w:rFonts w:asciiTheme="minorHAnsi" w:hAnsiTheme="minorHAnsi"/>
          <w:bCs/>
          <w:snapToGrid w:val="0"/>
        </w:rPr>
        <w:t xml:space="preserve"> </w:t>
      </w:r>
      <w:r w:rsidR="00AD5104" w:rsidRPr="00162B20">
        <w:rPr>
          <w:rFonts w:asciiTheme="minorHAnsi" w:hAnsiTheme="minorHAnsi"/>
          <w:bCs/>
          <w:snapToGrid w:val="0"/>
        </w:rPr>
        <w:t xml:space="preserve">noted that patients felt there was inequity in excluding </w:t>
      </w:r>
      <w:proofErr w:type="spellStart"/>
      <w:r w:rsidR="00AD5104" w:rsidRPr="00162B20">
        <w:rPr>
          <w:rFonts w:asciiTheme="minorHAnsi" w:hAnsiTheme="minorHAnsi"/>
          <w:bCs/>
          <w:snapToGrid w:val="0"/>
        </w:rPr>
        <w:t>nccRCC</w:t>
      </w:r>
      <w:proofErr w:type="spellEnd"/>
      <w:r w:rsidR="00AD5104" w:rsidRPr="00162B20">
        <w:rPr>
          <w:rFonts w:asciiTheme="minorHAnsi" w:hAnsiTheme="minorHAnsi"/>
          <w:bCs/>
          <w:snapToGrid w:val="0"/>
        </w:rPr>
        <w:t xml:space="preserve"> from the current listings for treatments in </w:t>
      </w:r>
      <w:proofErr w:type="spellStart"/>
      <w:r w:rsidR="00AD5104" w:rsidRPr="00162B20">
        <w:rPr>
          <w:rFonts w:asciiTheme="minorHAnsi" w:hAnsiTheme="minorHAnsi"/>
          <w:bCs/>
          <w:snapToGrid w:val="0"/>
        </w:rPr>
        <w:t>ccRCC</w:t>
      </w:r>
      <w:proofErr w:type="spellEnd"/>
      <w:r w:rsidR="00AD5104" w:rsidRPr="00162B20">
        <w:rPr>
          <w:rFonts w:asciiTheme="minorHAnsi" w:hAnsiTheme="minorHAnsi"/>
          <w:bCs/>
          <w:snapToGrid w:val="0"/>
        </w:rPr>
        <w:t xml:space="preserve"> and noted that cabozantinib was included in the treatment guidelines for </w:t>
      </w:r>
      <w:proofErr w:type="spellStart"/>
      <w:r w:rsidR="00AD5104" w:rsidRPr="00162B20">
        <w:rPr>
          <w:rFonts w:asciiTheme="minorHAnsi" w:hAnsiTheme="minorHAnsi"/>
          <w:bCs/>
          <w:snapToGrid w:val="0"/>
        </w:rPr>
        <w:t>nccRCC</w:t>
      </w:r>
      <w:proofErr w:type="spellEnd"/>
      <w:r w:rsidR="00AD5104" w:rsidRPr="00162B20">
        <w:rPr>
          <w:rFonts w:asciiTheme="minorHAnsi" w:hAnsiTheme="minorHAnsi"/>
          <w:bCs/>
          <w:snapToGrid w:val="0"/>
        </w:rPr>
        <w:t xml:space="preserve"> and is included as the preferred treatment for </w:t>
      </w:r>
      <w:proofErr w:type="spellStart"/>
      <w:r w:rsidR="00AD5104" w:rsidRPr="00162B20">
        <w:rPr>
          <w:rFonts w:asciiTheme="minorHAnsi" w:hAnsiTheme="minorHAnsi"/>
          <w:bCs/>
          <w:snapToGrid w:val="0"/>
        </w:rPr>
        <w:t>nccRCC</w:t>
      </w:r>
      <w:proofErr w:type="spellEnd"/>
      <w:r w:rsidR="00AD5104" w:rsidRPr="00162B20">
        <w:rPr>
          <w:rFonts w:asciiTheme="minorHAnsi" w:hAnsiTheme="minorHAnsi"/>
          <w:bCs/>
          <w:snapToGrid w:val="0"/>
        </w:rPr>
        <w:t xml:space="preserve"> in similar jurisdictions including the UK and Canada. Both the ANZUP and RCA highlighted the unmet clinical need for access to active therapies for </w:t>
      </w:r>
      <w:proofErr w:type="spellStart"/>
      <w:r w:rsidR="00AD5104" w:rsidRPr="00162B20">
        <w:rPr>
          <w:rFonts w:asciiTheme="minorHAnsi" w:hAnsiTheme="minorHAnsi"/>
          <w:bCs/>
          <w:snapToGrid w:val="0"/>
        </w:rPr>
        <w:t>nccRCC</w:t>
      </w:r>
      <w:proofErr w:type="spellEnd"/>
      <w:r w:rsidR="00AD5104" w:rsidRPr="00162B20">
        <w:rPr>
          <w:rFonts w:asciiTheme="minorHAnsi" w:hAnsiTheme="minorHAnsi"/>
          <w:bCs/>
          <w:snapToGrid w:val="0"/>
        </w:rPr>
        <w:t>.</w:t>
      </w:r>
    </w:p>
    <w:bookmarkEnd w:id="25"/>
    <w:bookmarkEnd w:id="28"/>
    <w:p w14:paraId="0BEFEDBD" w14:textId="7475A497" w:rsidR="00CE227A" w:rsidRPr="00162B20" w:rsidRDefault="00CE227A" w:rsidP="00276F2F">
      <w:pPr>
        <w:widowControl w:val="0"/>
        <w:numPr>
          <w:ilvl w:val="1"/>
          <w:numId w:val="1"/>
        </w:numPr>
        <w:spacing w:after="120"/>
        <w:rPr>
          <w:rFonts w:asciiTheme="minorHAnsi" w:hAnsiTheme="minorHAnsi"/>
          <w:bCs/>
          <w:snapToGrid w:val="0"/>
        </w:rPr>
      </w:pPr>
      <w:r w:rsidRPr="00162B20">
        <w:rPr>
          <w:rFonts w:asciiTheme="minorHAnsi" w:hAnsiTheme="minorHAnsi"/>
          <w:bCs/>
          <w:snapToGrid w:val="0"/>
        </w:rPr>
        <w:t xml:space="preserve">The Medical Oncology Group of Australia (MOGA) also expressed its strong support for the </w:t>
      </w:r>
      <w:r w:rsidR="00276F2F" w:rsidRPr="00162B20">
        <w:rPr>
          <w:rFonts w:asciiTheme="minorHAnsi" w:hAnsiTheme="minorHAnsi"/>
          <w:bCs/>
          <w:snapToGrid w:val="0"/>
        </w:rPr>
        <w:t>cabozantinib</w:t>
      </w:r>
      <w:r w:rsidRPr="00162B20">
        <w:rPr>
          <w:rFonts w:asciiTheme="minorHAnsi" w:hAnsiTheme="minorHAnsi"/>
          <w:bCs/>
          <w:snapToGrid w:val="0"/>
        </w:rPr>
        <w:t xml:space="preserve"> submission, categorising it as one of the therapies of “high priority for PBS listing”. The PBAC noted that the MOGA presented a European Society for Medical Oncology Magnitude of Clinical Benefit Scale (ESMO-MCBS) for </w:t>
      </w:r>
      <w:proofErr w:type="spellStart"/>
      <w:r w:rsidR="00276F2F" w:rsidRPr="00162B20">
        <w:rPr>
          <w:rFonts w:asciiTheme="minorHAnsi" w:hAnsiTheme="minorHAnsi"/>
          <w:bCs/>
          <w:snapToGrid w:val="0"/>
        </w:rPr>
        <w:t>cabozantinib</w:t>
      </w:r>
      <w:proofErr w:type="spellEnd"/>
      <w:r w:rsidR="00276F2F" w:rsidRPr="00162B20">
        <w:rPr>
          <w:rFonts w:asciiTheme="minorHAnsi" w:hAnsiTheme="minorHAnsi"/>
          <w:bCs/>
          <w:snapToGrid w:val="0"/>
        </w:rPr>
        <w:t xml:space="preserve"> in </w:t>
      </w:r>
      <w:proofErr w:type="spellStart"/>
      <w:r w:rsidR="00276F2F" w:rsidRPr="00162B20">
        <w:rPr>
          <w:rFonts w:asciiTheme="minorHAnsi" w:hAnsiTheme="minorHAnsi"/>
          <w:bCs/>
          <w:snapToGrid w:val="0"/>
        </w:rPr>
        <w:t>nccRCC</w:t>
      </w:r>
      <w:proofErr w:type="spellEnd"/>
      <w:r w:rsidRPr="00162B20">
        <w:rPr>
          <w:rFonts w:asciiTheme="minorHAnsi" w:hAnsiTheme="minorHAnsi"/>
          <w:bCs/>
          <w:snapToGrid w:val="0"/>
        </w:rPr>
        <w:t xml:space="preserve">, which was limited to </w:t>
      </w:r>
      <w:r w:rsidR="00276F2F" w:rsidRPr="00162B20">
        <w:rPr>
          <w:rFonts w:asciiTheme="minorHAnsi" w:hAnsiTheme="minorHAnsi"/>
          <w:bCs/>
          <w:snapToGrid w:val="0"/>
        </w:rPr>
        <w:t>3</w:t>
      </w:r>
      <w:r w:rsidRPr="00162B20">
        <w:rPr>
          <w:rFonts w:asciiTheme="minorHAnsi" w:hAnsiTheme="minorHAnsi"/>
          <w:bCs/>
          <w:snapToGrid w:val="0"/>
        </w:rPr>
        <w:t xml:space="preserve"> (out of a maximum of 5, where 5 and 4 represent the grades with substantial improvement)</w:t>
      </w:r>
      <w:r w:rsidR="00276F2F" w:rsidRPr="00162B20">
        <w:rPr>
          <w:rStyle w:val="FootnoteReference"/>
          <w:rFonts w:asciiTheme="minorHAnsi" w:hAnsiTheme="minorHAnsi"/>
          <w:bCs/>
          <w:snapToGrid w:val="0"/>
        </w:rPr>
        <w:footnoteReference w:id="2"/>
      </w:r>
      <w:r w:rsidR="00276F2F" w:rsidRPr="00162B20">
        <w:rPr>
          <w:rFonts w:asciiTheme="minorHAnsi" w:hAnsiTheme="minorHAnsi"/>
          <w:bCs/>
          <w:snapToGrid w:val="0"/>
        </w:rPr>
        <w:t xml:space="preserve">. </w:t>
      </w:r>
    </w:p>
    <w:p w14:paraId="584BCFD3" w14:textId="77777777" w:rsidR="00AB4ECF" w:rsidRPr="00162B20" w:rsidRDefault="00AB4ECF" w:rsidP="00AB4ECF">
      <w:pPr>
        <w:pStyle w:val="4-SubsectionHeading"/>
      </w:pPr>
      <w:r w:rsidRPr="00162B20">
        <w:t>Clinical trials</w:t>
      </w:r>
      <w:bookmarkEnd w:id="26"/>
    </w:p>
    <w:p w14:paraId="511F68F7" w14:textId="608ED931" w:rsidR="00C40712" w:rsidRPr="00162B20" w:rsidRDefault="00C40712" w:rsidP="00C40712">
      <w:pPr>
        <w:pStyle w:val="3-BodyText"/>
        <w:numPr>
          <w:ilvl w:val="1"/>
          <w:numId w:val="1"/>
        </w:numPr>
        <w:snapToGrid w:val="0"/>
        <w:rPr>
          <w:color w:val="000000" w:themeColor="text1"/>
        </w:rPr>
      </w:pPr>
      <w:r w:rsidRPr="00162B20">
        <w:rPr>
          <w:color w:val="000000" w:themeColor="text1"/>
        </w:rPr>
        <w:t xml:space="preserve">The submission was based on two head-to-head prospective randomised controlled trials (RCT) comparing cabozantinib and sunitinib for the treatment of advanced </w:t>
      </w:r>
      <w:proofErr w:type="spellStart"/>
      <w:r w:rsidRPr="00162B20">
        <w:rPr>
          <w:color w:val="000000" w:themeColor="text1"/>
        </w:rPr>
        <w:t>nccRCC</w:t>
      </w:r>
      <w:proofErr w:type="spellEnd"/>
      <w:r w:rsidRPr="00162B20">
        <w:rPr>
          <w:color w:val="000000" w:themeColor="text1"/>
        </w:rPr>
        <w:t>:</w:t>
      </w:r>
    </w:p>
    <w:p w14:paraId="3D0A9EAD" w14:textId="4D610EFA" w:rsidR="00C40712" w:rsidRPr="00162B20" w:rsidRDefault="00C40712" w:rsidP="002960E0">
      <w:pPr>
        <w:pStyle w:val="ListParagraph"/>
        <w:ind w:left="1134"/>
      </w:pPr>
      <w:r w:rsidRPr="00162B20">
        <w:t>SWOG 1500 (also known as PAPMET; NCT02761057</w:t>
      </w:r>
      <w:r w:rsidR="002410D7" w:rsidRPr="00162B20">
        <w:t>; N=</w:t>
      </w:r>
      <w:r w:rsidR="0051169F" w:rsidRPr="00162B20">
        <w:t>152</w:t>
      </w:r>
      <w:r w:rsidRPr="00162B20">
        <w:t xml:space="preserve">) was a </w:t>
      </w:r>
      <w:r w:rsidR="002410D7" w:rsidRPr="00162B20">
        <w:t>P</w:t>
      </w:r>
      <w:r w:rsidRPr="00162B20">
        <w:t xml:space="preserve">hase 2, open-label randomised trial that </w:t>
      </w:r>
      <w:r w:rsidR="00CD6D07" w:rsidRPr="00162B20">
        <w:t xml:space="preserve">evaluated </w:t>
      </w:r>
      <w:r w:rsidRPr="00162B20">
        <w:t>the efficacy, effectiveness, and safety of cabozantinib</w:t>
      </w:r>
      <w:r w:rsidR="002410D7" w:rsidRPr="00162B20">
        <w:t xml:space="preserve"> </w:t>
      </w:r>
      <w:r w:rsidRPr="00162B20">
        <w:t>compared with sunitinib</w:t>
      </w:r>
      <w:r w:rsidR="002410D7" w:rsidRPr="00162B20">
        <w:t xml:space="preserve"> </w:t>
      </w:r>
      <w:r w:rsidRPr="00162B20">
        <w:t xml:space="preserve">in the treatment of advanced papillary RCC. </w:t>
      </w:r>
      <w:r w:rsidR="0051169F" w:rsidRPr="00162B20">
        <w:t>Patients were randomly assigned to the control group of sunitinib (n=46) or to one of three investigational groups: cabozantinib (n=44), crizotinib (n=28), and savolitinib (n=29).</w:t>
      </w:r>
      <w:r w:rsidRPr="00162B20">
        <w:t xml:space="preserve"> For this trial, the duration of treatment and follow-up was until death or three years after registration. </w:t>
      </w:r>
    </w:p>
    <w:p w14:paraId="7F4EE5CD" w14:textId="2C7EFAA5" w:rsidR="00F735B3" w:rsidRPr="00162B20" w:rsidRDefault="00C40712" w:rsidP="002960E0">
      <w:pPr>
        <w:pStyle w:val="ListParagraph"/>
        <w:snapToGrid w:val="0"/>
        <w:ind w:left="1134"/>
        <w:rPr>
          <w:color w:val="000000" w:themeColor="text1"/>
        </w:rPr>
      </w:pPr>
      <w:r w:rsidRPr="00162B20">
        <w:t>CABOSUN II (NCT03541902</w:t>
      </w:r>
      <w:r w:rsidR="00976763" w:rsidRPr="00162B20">
        <w:t>; N=32</w:t>
      </w:r>
      <w:r w:rsidRPr="00162B20">
        <w:t xml:space="preserve">) was a phase 2, open-label, multicentre randomised trial that </w:t>
      </w:r>
      <w:r w:rsidR="0089154D" w:rsidRPr="00162B20">
        <w:t>evaluated</w:t>
      </w:r>
      <w:r w:rsidRPr="00162B20">
        <w:t xml:space="preserve"> the effectiveness of cabozantinib </w:t>
      </w:r>
      <w:r w:rsidR="00976763" w:rsidRPr="00162B20">
        <w:t xml:space="preserve">(n=15) </w:t>
      </w:r>
      <w:r w:rsidRPr="00162B20">
        <w:t>compared with sunitinib</w:t>
      </w:r>
      <w:r w:rsidR="00976763" w:rsidRPr="00162B20">
        <w:t xml:space="preserve"> (n=17)</w:t>
      </w:r>
      <w:r w:rsidRPr="00162B20">
        <w:t xml:space="preserve"> in the treatment of advanced </w:t>
      </w:r>
      <w:proofErr w:type="spellStart"/>
      <w:r w:rsidRPr="00162B20">
        <w:t>nccRCC</w:t>
      </w:r>
      <w:proofErr w:type="spellEnd"/>
      <w:r w:rsidRPr="00162B20">
        <w:rPr>
          <w:i/>
          <w:iCs/>
        </w:rPr>
        <w:t xml:space="preserve">. </w:t>
      </w:r>
      <w:r w:rsidR="002410D7" w:rsidRPr="00162B20">
        <w:t xml:space="preserve">CABOSUN II </w:t>
      </w:r>
      <w:r w:rsidRPr="00162B20">
        <w:t>was only available as an abstract</w:t>
      </w:r>
      <w:r w:rsidR="002410D7" w:rsidRPr="00162B20">
        <w:t xml:space="preserve"> and</w:t>
      </w:r>
      <w:r w:rsidRPr="00162B20">
        <w:t xml:space="preserve"> did not provide comprehensive safety </w:t>
      </w:r>
      <w:r w:rsidR="002960E0" w:rsidRPr="00162B20">
        <w:t>outcomes</w:t>
      </w:r>
      <w:r w:rsidRPr="00162B20">
        <w:t xml:space="preserve">. </w:t>
      </w:r>
      <w:r w:rsidR="00976763" w:rsidRPr="00162B20">
        <w:rPr>
          <w:snapToGrid/>
        </w:rPr>
        <w:t xml:space="preserve">Details of the trials presented in the submission are provided in </w:t>
      </w:r>
      <w:r w:rsidR="002911BF" w:rsidRPr="00162B20">
        <w:rPr>
          <w:color w:val="000000" w:themeColor="text1"/>
        </w:rPr>
        <w:fldChar w:fldCharType="begin"/>
      </w:r>
      <w:r w:rsidR="002911BF" w:rsidRPr="00162B20">
        <w:rPr>
          <w:color w:val="000000" w:themeColor="text1"/>
        </w:rPr>
        <w:instrText xml:space="preserve"> REF _Ref155164995 \h </w:instrText>
      </w:r>
      <w:r w:rsidR="002911BF" w:rsidRPr="00162B20">
        <w:rPr>
          <w:color w:val="000000" w:themeColor="text1"/>
        </w:rPr>
      </w:r>
      <w:r w:rsidR="002911BF" w:rsidRPr="00162B20">
        <w:rPr>
          <w:color w:val="000000" w:themeColor="text1"/>
        </w:rPr>
        <w:fldChar w:fldCharType="separate"/>
      </w:r>
      <w:r w:rsidR="0030362D" w:rsidRPr="00162B20">
        <w:t xml:space="preserve">Table </w:t>
      </w:r>
      <w:r w:rsidR="0030362D">
        <w:rPr>
          <w:noProof/>
        </w:rPr>
        <w:t>2</w:t>
      </w:r>
      <w:r w:rsidR="002911BF" w:rsidRPr="00162B20">
        <w:rPr>
          <w:color w:val="000000" w:themeColor="text1"/>
        </w:rPr>
        <w:fldChar w:fldCharType="end"/>
      </w:r>
      <w:r w:rsidR="00976763" w:rsidRPr="00162B20">
        <w:rPr>
          <w:color w:val="000000" w:themeColor="text1"/>
        </w:rPr>
        <w:t xml:space="preserve">. </w:t>
      </w:r>
    </w:p>
    <w:p w14:paraId="5B6E9AB4" w14:textId="6D2D2884" w:rsidR="00F735B3" w:rsidRPr="00162B20" w:rsidRDefault="00F735B3" w:rsidP="00F735B3">
      <w:pPr>
        <w:pStyle w:val="TableFigureHeading"/>
      </w:pPr>
      <w:bookmarkStart w:id="29" w:name="_Ref155164995"/>
      <w:bookmarkStart w:id="30" w:name="_Ref155164992"/>
      <w:r w:rsidRPr="00162B20">
        <w:lastRenderedPageBreak/>
        <w:t xml:space="preserve">Table </w:t>
      </w:r>
      <w:fldSimple w:instr=" SEQ Table \* ARABIC ">
        <w:r w:rsidR="0030362D">
          <w:rPr>
            <w:noProof/>
          </w:rPr>
          <w:t>2</w:t>
        </w:r>
      </w:fldSimple>
      <w:bookmarkEnd w:id="29"/>
      <w:r w:rsidRPr="00162B20">
        <w:t>: Trials presented in the submission</w:t>
      </w:r>
      <w:bookmarkEnd w:id="3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5"/>
        <w:gridCol w:w="5054"/>
        <w:gridCol w:w="2526"/>
      </w:tblGrid>
      <w:tr w:rsidR="00F735B3" w:rsidRPr="00162B20" w14:paraId="76FAA39C" w14:textId="77777777" w:rsidTr="00A52711">
        <w:trPr>
          <w:tblHeader/>
        </w:trPr>
        <w:tc>
          <w:tcPr>
            <w:tcW w:w="796" w:type="pct"/>
            <w:tcBorders>
              <w:top w:val="single" w:sz="4" w:space="0" w:color="auto"/>
              <w:left w:val="single" w:sz="4" w:space="0" w:color="auto"/>
              <w:bottom w:val="single" w:sz="4" w:space="0" w:color="auto"/>
              <w:right w:val="single" w:sz="4" w:space="0" w:color="auto"/>
            </w:tcBorders>
            <w:vAlign w:val="center"/>
            <w:hideMark/>
          </w:tcPr>
          <w:p w14:paraId="3D31CFCC" w14:textId="77777777" w:rsidR="00F735B3" w:rsidRPr="00162B20" w:rsidRDefault="00F735B3" w:rsidP="00F735B3">
            <w:pPr>
              <w:pStyle w:val="TableText0"/>
              <w:jc w:val="center"/>
              <w:rPr>
                <w:b/>
                <w:bCs w:val="0"/>
              </w:rPr>
            </w:pPr>
            <w:r w:rsidRPr="00162B20">
              <w:rPr>
                <w:b/>
                <w:bCs w:val="0"/>
              </w:rPr>
              <w:t>Trial ID</w:t>
            </w:r>
          </w:p>
        </w:tc>
        <w:tc>
          <w:tcPr>
            <w:tcW w:w="2803" w:type="pct"/>
            <w:tcBorders>
              <w:top w:val="single" w:sz="4" w:space="0" w:color="auto"/>
              <w:left w:val="single" w:sz="4" w:space="0" w:color="auto"/>
              <w:bottom w:val="single" w:sz="4" w:space="0" w:color="auto"/>
              <w:right w:val="single" w:sz="4" w:space="0" w:color="auto"/>
            </w:tcBorders>
            <w:vAlign w:val="center"/>
            <w:hideMark/>
          </w:tcPr>
          <w:p w14:paraId="3AFD9356" w14:textId="77777777" w:rsidR="00F735B3" w:rsidRPr="00162B20" w:rsidRDefault="00F735B3" w:rsidP="00F735B3">
            <w:pPr>
              <w:pStyle w:val="TableText0"/>
              <w:jc w:val="center"/>
              <w:rPr>
                <w:b/>
                <w:bCs w:val="0"/>
              </w:rPr>
            </w:pPr>
            <w:r w:rsidRPr="00162B20">
              <w:rPr>
                <w:b/>
                <w:bCs w:val="0"/>
              </w:rPr>
              <w:t>Protocol title/ Publication title</w:t>
            </w:r>
          </w:p>
        </w:tc>
        <w:tc>
          <w:tcPr>
            <w:tcW w:w="1401" w:type="pct"/>
            <w:tcBorders>
              <w:top w:val="single" w:sz="4" w:space="0" w:color="auto"/>
              <w:left w:val="single" w:sz="4" w:space="0" w:color="auto"/>
              <w:bottom w:val="single" w:sz="4" w:space="0" w:color="auto"/>
              <w:right w:val="single" w:sz="4" w:space="0" w:color="auto"/>
            </w:tcBorders>
            <w:vAlign w:val="center"/>
            <w:hideMark/>
          </w:tcPr>
          <w:p w14:paraId="2D0A15FF" w14:textId="77777777" w:rsidR="00F735B3" w:rsidRPr="00162B20" w:rsidRDefault="00F735B3" w:rsidP="00F735B3">
            <w:pPr>
              <w:pStyle w:val="TableText0"/>
              <w:jc w:val="center"/>
              <w:rPr>
                <w:b/>
                <w:bCs w:val="0"/>
              </w:rPr>
            </w:pPr>
            <w:r w:rsidRPr="00162B20">
              <w:rPr>
                <w:b/>
                <w:bCs w:val="0"/>
              </w:rPr>
              <w:t>Publication citation</w:t>
            </w:r>
          </w:p>
        </w:tc>
      </w:tr>
      <w:tr w:rsidR="00F735B3" w:rsidRPr="00162B20" w14:paraId="6A19D175" w14:textId="77777777" w:rsidTr="00A52711">
        <w:tc>
          <w:tcPr>
            <w:tcW w:w="796" w:type="pct"/>
            <w:tcBorders>
              <w:top w:val="single" w:sz="4" w:space="0" w:color="auto"/>
              <w:left w:val="single" w:sz="4" w:space="0" w:color="auto"/>
              <w:bottom w:val="nil"/>
              <w:right w:val="single" w:sz="4" w:space="0" w:color="auto"/>
            </w:tcBorders>
            <w:vAlign w:val="center"/>
            <w:hideMark/>
          </w:tcPr>
          <w:p w14:paraId="08639EEC" w14:textId="77777777" w:rsidR="00F735B3" w:rsidRPr="00162B20" w:rsidRDefault="00F735B3" w:rsidP="00F735B3">
            <w:pPr>
              <w:pStyle w:val="TableText0"/>
            </w:pPr>
            <w:r w:rsidRPr="00162B20">
              <w:t>SWOG 1500</w:t>
            </w:r>
          </w:p>
          <w:p w14:paraId="70D471F6" w14:textId="77777777" w:rsidR="00F735B3" w:rsidRPr="00162B20" w:rsidRDefault="00F735B3" w:rsidP="00F735B3">
            <w:pPr>
              <w:pStyle w:val="TableText0"/>
            </w:pPr>
            <w:r w:rsidRPr="00162B20">
              <w:t>(NCT02761057)</w:t>
            </w:r>
          </w:p>
        </w:tc>
        <w:tc>
          <w:tcPr>
            <w:tcW w:w="2803" w:type="pct"/>
            <w:tcBorders>
              <w:top w:val="single" w:sz="4" w:space="0" w:color="auto"/>
              <w:left w:val="single" w:sz="4" w:space="0" w:color="auto"/>
              <w:bottom w:val="nil"/>
              <w:right w:val="single" w:sz="4" w:space="0" w:color="auto"/>
            </w:tcBorders>
            <w:vAlign w:val="center"/>
            <w:hideMark/>
          </w:tcPr>
          <w:p w14:paraId="2124ED58" w14:textId="77777777" w:rsidR="00F735B3" w:rsidRPr="00162B20" w:rsidRDefault="00F735B3" w:rsidP="00F735B3">
            <w:pPr>
              <w:pStyle w:val="TableText0"/>
            </w:pPr>
            <w:r w:rsidRPr="00162B20">
              <w:t>Testing Cabozantinib, Crizotinib, Savolitinib and Sunitinib in Kidney Cancer Which Has Progressed.</w:t>
            </w:r>
          </w:p>
        </w:tc>
        <w:tc>
          <w:tcPr>
            <w:tcW w:w="1401" w:type="pct"/>
            <w:tcBorders>
              <w:top w:val="single" w:sz="4" w:space="0" w:color="auto"/>
              <w:left w:val="single" w:sz="4" w:space="0" w:color="auto"/>
              <w:bottom w:val="nil"/>
              <w:right w:val="single" w:sz="4" w:space="0" w:color="auto"/>
            </w:tcBorders>
            <w:hideMark/>
          </w:tcPr>
          <w:p w14:paraId="20B20FEE" w14:textId="77777777" w:rsidR="00F735B3" w:rsidRPr="00162B20" w:rsidRDefault="00F735B3" w:rsidP="0097251B">
            <w:pPr>
              <w:pStyle w:val="TableText0"/>
            </w:pPr>
            <w:r w:rsidRPr="00162B20">
              <w:t>September 16, 2021</w:t>
            </w:r>
          </w:p>
        </w:tc>
      </w:tr>
      <w:tr w:rsidR="00F735B3" w:rsidRPr="00162B20" w14:paraId="7A9E7789" w14:textId="77777777" w:rsidTr="00A52711">
        <w:tc>
          <w:tcPr>
            <w:tcW w:w="796" w:type="pct"/>
            <w:tcBorders>
              <w:top w:val="nil"/>
              <w:left w:val="single" w:sz="4" w:space="0" w:color="auto"/>
              <w:bottom w:val="single" w:sz="4" w:space="0" w:color="auto"/>
              <w:right w:val="single" w:sz="4" w:space="0" w:color="auto"/>
            </w:tcBorders>
            <w:vAlign w:val="center"/>
            <w:hideMark/>
          </w:tcPr>
          <w:p w14:paraId="7B8577F3" w14:textId="77777777" w:rsidR="00F735B3" w:rsidRPr="00162B20" w:rsidRDefault="00F735B3" w:rsidP="00F735B3">
            <w:pPr>
              <w:pStyle w:val="TableText0"/>
            </w:pPr>
            <w:r w:rsidRPr="00162B20">
              <w:t>Also known as</w:t>
            </w:r>
          </w:p>
          <w:p w14:paraId="4A57AE8C" w14:textId="77777777" w:rsidR="00F735B3" w:rsidRPr="00162B20" w:rsidRDefault="00F735B3" w:rsidP="00F735B3">
            <w:pPr>
              <w:pStyle w:val="TableText0"/>
            </w:pPr>
            <w:r w:rsidRPr="00162B20">
              <w:t>PAPMET</w:t>
            </w:r>
          </w:p>
        </w:tc>
        <w:tc>
          <w:tcPr>
            <w:tcW w:w="2803" w:type="pct"/>
            <w:tcBorders>
              <w:top w:val="nil"/>
              <w:left w:val="single" w:sz="4" w:space="0" w:color="auto"/>
              <w:bottom w:val="single" w:sz="4" w:space="0" w:color="auto"/>
              <w:right w:val="single" w:sz="4" w:space="0" w:color="auto"/>
            </w:tcBorders>
            <w:vAlign w:val="center"/>
            <w:hideMark/>
          </w:tcPr>
          <w:p w14:paraId="20D001B6" w14:textId="7A86A68B" w:rsidR="00F735B3" w:rsidRPr="00162B20" w:rsidRDefault="00F735B3" w:rsidP="00F735B3">
            <w:pPr>
              <w:pStyle w:val="TableText0"/>
            </w:pPr>
            <w:r w:rsidRPr="00162B20">
              <w:t>Pal, S. K., et al. (2021). A comparison of sunitinib with cabozantinib, crizotinib, and savolitinib for treatment of advanced papillary renal cell carcinoma: a randomised, open-label, phase 2 trial.</w:t>
            </w:r>
          </w:p>
        </w:tc>
        <w:tc>
          <w:tcPr>
            <w:tcW w:w="1401" w:type="pct"/>
            <w:tcBorders>
              <w:top w:val="nil"/>
              <w:left w:val="single" w:sz="4" w:space="0" w:color="auto"/>
              <w:bottom w:val="single" w:sz="4" w:space="0" w:color="auto"/>
              <w:right w:val="single" w:sz="4" w:space="0" w:color="auto"/>
            </w:tcBorders>
            <w:hideMark/>
          </w:tcPr>
          <w:p w14:paraId="66DE5637" w14:textId="77777777" w:rsidR="00F735B3" w:rsidRPr="00162B20" w:rsidRDefault="00F735B3" w:rsidP="0097251B">
            <w:pPr>
              <w:pStyle w:val="TableText0"/>
            </w:pPr>
            <w:r w:rsidRPr="00162B20">
              <w:t>The Lancet 397(10275): 695-703.</w:t>
            </w:r>
          </w:p>
        </w:tc>
      </w:tr>
      <w:tr w:rsidR="005D7A66" w:rsidRPr="00162B20" w14:paraId="137AFC10" w14:textId="77777777" w:rsidTr="00A52711">
        <w:tc>
          <w:tcPr>
            <w:tcW w:w="796" w:type="pct"/>
            <w:vMerge w:val="restart"/>
            <w:tcBorders>
              <w:top w:val="single" w:sz="4" w:space="0" w:color="auto"/>
              <w:left w:val="single" w:sz="4" w:space="0" w:color="auto"/>
              <w:right w:val="single" w:sz="4" w:space="0" w:color="auto"/>
            </w:tcBorders>
            <w:vAlign w:val="center"/>
            <w:hideMark/>
          </w:tcPr>
          <w:p w14:paraId="2C5CB0C4" w14:textId="77777777" w:rsidR="005D7A66" w:rsidRPr="00162B20" w:rsidRDefault="005D7A66" w:rsidP="00F735B3">
            <w:pPr>
              <w:pStyle w:val="TableText0"/>
            </w:pPr>
            <w:r w:rsidRPr="00162B20">
              <w:t>CABOSUN II</w:t>
            </w:r>
          </w:p>
          <w:p w14:paraId="7AF61B8D" w14:textId="77777777" w:rsidR="005D7A66" w:rsidRPr="00162B20" w:rsidRDefault="005D7A66" w:rsidP="00F735B3">
            <w:pPr>
              <w:pStyle w:val="TableText0"/>
            </w:pPr>
            <w:r w:rsidRPr="00162B20">
              <w:t>(NCT03541902)</w:t>
            </w:r>
          </w:p>
        </w:tc>
        <w:tc>
          <w:tcPr>
            <w:tcW w:w="2803" w:type="pct"/>
            <w:tcBorders>
              <w:top w:val="single" w:sz="4" w:space="0" w:color="auto"/>
              <w:left w:val="single" w:sz="4" w:space="0" w:color="auto"/>
              <w:bottom w:val="nil"/>
              <w:right w:val="single" w:sz="4" w:space="0" w:color="auto"/>
            </w:tcBorders>
            <w:vAlign w:val="center"/>
            <w:hideMark/>
          </w:tcPr>
          <w:p w14:paraId="4E8BF3F2" w14:textId="77777777" w:rsidR="005D7A66" w:rsidRPr="00162B20" w:rsidRDefault="005D7A66" w:rsidP="00F735B3">
            <w:pPr>
              <w:pStyle w:val="TableText0"/>
            </w:pPr>
            <w:r w:rsidRPr="00162B20">
              <w:t>Cabozantinib or Sunitinib Malate in Treating Participants With Metastatic Variant Histology Renal Cell Carcinoma.</w:t>
            </w:r>
          </w:p>
        </w:tc>
        <w:tc>
          <w:tcPr>
            <w:tcW w:w="1401" w:type="pct"/>
            <w:tcBorders>
              <w:top w:val="single" w:sz="4" w:space="0" w:color="auto"/>
              <w:left w:val="single" w:sz="4" w:space="0" w:color="auto"/>
              <w:bottom w:val="nil"/>
              <w:right w:val="single" w:sz="4" w:space="0" w:color="auto"/>
            </w:tcBorders>
            <w:hideMark/>
          </w:tcPr>
          <w:p w14:paraId="6A1A7157" w14:textId="77777777" w:rsidR="005D7A66" w:rsidRPr="00162B20" w:rsidRDefault="005D7A66" w:rsidP="0097251B">
            <w:pPr>
              <w:pStyle w:val="TableText0"/>
            </w:pPr>
            <w:r w:rsidRPr="00162B20">
              <w:t>May 31, 2023</w:t>
            </w:r>
          </w:p>
        </w:tc>
      </w:tr>
      <w:tr w:rsidR="005D7A66" w:rsidRPr="00162B20" w14:paraId="7912DFF6" w14:textId="77777777" w:rsidTr="00A52711">
        <w:tc>
          <w:tcPr>
            <w:tcW w:w="796" w:type="pct"/>
            <w:vMerge/>
            <w:tcBorders>
              <w:left w:val="single" w:sz="4" w:space="0" w:color="auto"/>
              <w:bottom w:val="single" w:sz="4" w:space="0" w:color="auto"/>
              <w:right w:val="single" w:sz="4" w:space="0" w:color="auto"/>
            </w:tcBorders>
            <w:vAlign w:val="center"/>
          </w:tcPr>
          <w:p w14:paraId="7024A30A" w14:textId="77777777" w:rsidR="005D7A66" w:rsidRPr="00162B20" w:rsidRDefault="005D7A66" w:rsidP="00F735B3">
            <w:pPr>
              <w:pStyle w:val="TableText0"/>
            </w:pPr>
          </w:p>
        </w:tc>
        <w:tc>
          <w:tcPr>
            <w:tcW w:w="2803" w:type="pct"/>
            <w:tcBorders>
              <w:top w:val="nil"/>
              <w:left w:val="single" w:sz="4" w:space="0" w:color="auto"/>
              <w:bottom w:val="single" w:sz="4" w:space="0" w:color="auto"/>
              <w:right w:val="single" w:sz="4" w:space="0" w:color="auto"/>
            </w:tcBorders>
            <w:vAlign w:val="center"/>
            <w:hideMark/>
          </w:tcPr>
          <w:p w14:paraId="488F9D6F" w14:textId="71F3A190" w:rsidR="005D7A66" w:rsidRPr="00162B20" w:rsidRDefault="005D7A66" w:rsidP="00F735B3">
            <w:pPr>
              <w:pStyle w:val="TableText0"/>
            </w:pPr>
            <w:r w:rsidRPr="00162B20">
              <w:t>Johns, A., et al. (2023). CABOSUN II: Results from a phase 2, open-label, multi-center randomized study of cabozantinib (CABO) vs. sunitinib (SUN) for non-clear cell renal cell carcinoma (NCCRCC).</w:t>
            </w:r>
          </w:p>
        </w:tc>
        <w:tc>
          <w:tcPr>
            <w:tcW w:w="1401" w:type="pct"/>
            <w:tcBorders>
              <w:top w:val="nil"/>
              <w:left w:val="single" w:sz="4" w:space="0" w:color="auto"/>
              <w:bottom w:val="single" w:sz="4" w:space="0" w:color="auto"/>
              <w:right w:val="single" w:sz="4" w:space="0" w:color="auto"/>
            </w:tcBorders>
            <w:hideMark/>
          </w:tcPr>
          <w:p w14:paraId="48978D41" w14:textId="77777777" w:rsidR="005D7A66" w:rsidRPr="00162B20" w:rsidRDefault="005D7A66" w:rsidP="0097251B">
            <w:pPr>
              <w:pStyle w:val="TableText0"/>
            </w:pPr>
            <w:r w:rsidRPr="00162B20">
              <w:t>Journal of Clinical Oncology 41(16_suppl): 4597-4597.</w:t>
            </w:r>
          </w:p>
        </w:tc>
      </w:tr>
    </w:tbl>
    <w:p w14:paraId="6426C90A" w14:textId="77777777" w:rsidR="00F735B3" w:rsidRPr="00162B20" w:rsidRDefault="00F735B3" w:rsidP="00F735B3">
      <w:pPr>
        <w:pStyle w:val="TableFigureFooter"/>
        <w:rPr>
          <w:sz w:val="20"/>
        </w:rPr>
      </w:pPr>
      <w:r w:rsidRPr="00162B20">
        <w:t xml:space="preserve">Source: Table 2-3, p31 of the submission. </w:t>
      </w:r>
    </w:p>
    <w:p w14:paraId="56A4C898" w14:textId="3E168722" w:rsidR="00AB4ECF" w:rsidRPr="00162B20" w:rsidRDefault="00AB4ECF" w:rsidP="00AB4ECF">
      <w:pPr>
        <w:pStyle w:val="3-BodyText"/>
        <w:snapToGrid w:val="0"/>
        <w:rPr>
          <w:color w:val="0066FF"/>
        </w:rPr>
      </w:pPr>
      <w:r w:rsidRPr="00162B20">
        <w:t xml:space="preserve">The key features of the direct randomised trials are summarised in </w:t>
      </w:r>
      <w:r w:rsidR="00F55472" w:rsidRPr="00162B20">
        <w:fldChar w:fldCharType="begin"/>
      </w:r>
      <w:r w:rsidR="00F55472" w:rsidRPr="00162B20">
        <w:instrText xml:space="preserve"> REF _Ref155178338 \h </w:instrText>
      </w:r>
      <w:r w:rsidR="00F55472" w:rsidRPr="00162B20">
        <w:fldChar w:fldCharType="separate"/>
      </w:r>
      <w:r w:rsidR="0030362D" w:rsidRPr="00162B20">
        <w:t xml:space="preserve">Table </w:t>
      </w:r>
      <w:r w:rsidR="0030362D">
        <w:rPr>
          <w:noProof/>
        </w:rPr>
        <w:t>3</w:t>
      </w:r>
      <w:r w:rsidR="00F55472" w:rsidRPr="00162B20">
        <w:fldChar w:fldCharType="end"/>
      </w:r>
      <w:r w:rsidRPr="00162B20">
        <w:t>.</w:t>
      </w:r>
    </w:p>
    <w:p w14:paraId="0AB0592C" w14:textId="11E9E401" w:rsidR="00AB4ECF" w:rsidRPr="00162B20" w:rsidRDefault="00AB4ECF" w:rsidP="007B2B1F">
      <w:pPr>
        <w:pStyle w:val="TableFigureHeading"/>
      </w:pPr>
      <w:bookmarkStart w:id="31" w:name="_Ref155178338"/>
      <w:r w:rsidRPr="00162B20">
        <w:t xml:space="preserve">Table </w:t>
      </w:r>
      <w:fldSimple w:instr=" SEQ Table \* ARABIC ">
        <w:r w:rsidR="0030362D">
          <w:rPr>
            <w:noProof/>
          </w:rPr>
          <w:t>3</w:t>
        </w:r>
      </w:fldSimple>
      <w:bookmarkEnd w:id="31"/>
      <w:r w:rsidRPr="00162B20">
        <w:t>: Key features of the included evidence for cabozantinib vs. sunitinib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for cabozantinib vs. sunitinib"/>
      </w:tblPr>
      <w:tblGrid>
        <w:gridCol w:w="988"/>
        <w:gridCol w:w="1558"/>
        <w:gridCol w:w="1136"/>
        <w:gridCol w:w="831"/>
        <w:gridCol w:w="1151"/>
        <w:gridCol w:w="1277"/>
        <w:gridCol w:w="954"/>
        <w:gridCol w:w="1122"/>
      </w:tblGrid>
      <w:tr w:rsidR="00BB2F46" w:rsidRPr="00162B20" w14:paraId="1867BD8A" w14:textId="77777777" w:rsidTr="005D7A66">
        <w:trPr>
          <w:cantSplit/>
          <w:tblHeader/>
        </w:trPr>
        <w:tc>
          <w:tcPr>
            <w:tcW w:w="548" w:type="pct"/>
            <w:tcBorders>
              <w:top w:val="single" w:sz="4" w:space="0" w:color="auto"/>
              <w:left w:val="single" w:sz="4" w:space="0" w:color="auto"/>
              <w:bottom w:val="single" w:sz="4" w:space="0" w:color="auto"/>
              <w:right w:val="single" w:sz="4" w:space="0" w:color="auto"/>
            </w:tcBorders>
            <w:vAlign w:val="center"/>
            <w:hideMark/>
          </w:tcPr>
          <w:p w14:paraId="2A599A51" w14:textId="77777777" w:rsidR="00911EC3" w:rsidRPr="00162B20" w:rsidRDefault="00911EC3" w:rsidP="007B2B1F">
            <w:pPr>
              <w:pStyle w:val="TableText0"/>
              <w:jc w:val="center"/>
              <w:rPr>
                <w:b/>
                <w:bCs w:val="0"/>
              </w:rPr>
            </w:pPr>
            <w:r w:rsidRPr="00162B20">
              <w:rPr>
                <w:b/>
                <w:bCs w:val="0"/>
              </w:rPr>
              <w:t>Trial</w:t>
            </w:r>
          </w:p>
        </w:tc>
        <w:tc>
          <w:tcPr>
            <w:tcW w:w="864" w:type="pct"/>
            <w:tcBorders>
              <w:top w:val="single" w:sz="4" w:space="0" w:color="auto"/>
              <w:left w:val="single" w:sz="4" w:space="0" w:color="auto"/>
              <w:bottom w:val="single" w:sz="4" w:space="0" w:color="auto"/>
              <w:right w:val="single" w:sz="4" w:space="0" w:color="auto"/>
            </w:tcBorders>
            <w:vAlign w:val="center"/>
            <w:hideMark/>
          </w:tcPr>
          <w:p w14:paraId="4A81EB25" w14:textId="77777777" w:rsidR="00911EC3" w:rsidRPr="00162B20" w:rsidRDefault="00911EC3" w:rsidP="007B2B1F">
            <w:pPr>
              <w:pStyle w:val="TableText0"/>
              <w:jc w:val="center"/>
              <w:rPr>
                <w:b/>
                <w:bCs w:val="0"/>
              </w:rPr>
            </w:pPr>
            <w:r w:rsidRPr="00162B20">
              <w:rPr>
                <w:b/>
                <w:bCs w:val="0"/>
              </w:rPr>
              <w:t>N</w:t>
            </w:r>
          </w:p>
        </w:tc>
        <w:tc>
          <w:tcPr>
            <w:tcW w:w="630" w:type="pct"/>
            <w:tcBorders>
              <w:top w:val="single" w:sz="4" w:space="0" w:color="auto"/>
              <w:left w:val="single" w:sz="4" w:space="0" w:color="auto"/>
              <w:bottom w:val="single" w:sz="4" w:space="0" w:color="auto"/>
              <w:right w:val="single" w:sz="4" w:space="0" w:color="auto"/>
            </w:tcBorders>
            <w:vAlign w:val="center"/>
            <w:hideMark/>
          </w:tcPr>
          <w:p w14:paraId="7526BC7C" w14:textId="77777777" w:rsidR="00911EC3" w:rsidRPr="00162B20" w:rsidRDefault="00911EC3" w:rsidP="007B2B1F">
            <w:pPr>
              <w:pStyle w:val="TableText0"/>
              <w:jc w:val="center"/>
              <w:rPr>
                <w:b/>
                <w:bCs w:val="0"/>
              </w:rPr>
            </w:pPr>
            <w:r w:rsidRPr="00162B20">
              <w:rPr>
                <w:b/>
                <w:bCs w:val="0"/>
              </w:rPr>
              <w:t>Design/ duration</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19DD47" w14:textId="77777777" w:rsidR="00911EC3" w:rsidRPr="00162B20" w:rsidRDefault="00911EC3" w:rsidP="007B2B1F">
            <w:pPr>
              <w:pStyle w:val="TableText0"/>
              <w:jc w:val="center"/>
              <w:rPr>
                <w:b/>
                <w:bCs w:val="0"/>
              </w:rPr>
            </w:pPr>
            <w:r w:rsidRPr="00162B20">
              <w:rPr>
                <w:b/>
                <w:bCs w:val="0"/>
              </w:rPr>
              <w:t>Risk of bias</w:t>
            </w:r>
          </w:p>
        </w:tc>
        <w:tc>
          <w:tcPr>
            <w:tcW w:w="638" w:type="pct"/>
            <w:tcBorders>
              <w:top w:val="single" w:sz="4" w:space="0" w:color="auto"/>
              <w:left w:val="single" w:sz="4" w:space="0" w:color="auto"/>
              <w:bottom w:val="single" w:sz="4" w:space="0" w:color="auto"/>
              <w:right w:val="single" w:sz="4" w:space="0" w:color="auto"/>
            </w:tcBorders>
            <w:vAlign w:val="center"/>
            <w:hideMark/>
          </w:tcPr>
          <w:p w14:paraId="7D4ACCEC" w14:textId="77777777" w:rsidR="00911EC3" w:rsidRPr="00162B20" w:rsidRDefault="00911EC3" w:rsidP="007B2B1F">
            <w:pPr>
              <w:pStyle w:val="TableText0"/>
              <w:jc w:val="center"/>
              <w:rPr>
                <w:b/>
                <w:bCs w:val="0"/>
              </w:rPr>
            </w:pPr>
            <w:r w:rsidRPr="00162B20">
              <w:rPr>
                <w:b/>
                <w:bCs w:val="0"/>
              </w:rPr>
              <w:t>Patient population</w:t>
            </w:r>
          </w:p>
        </w:tc>
        <w:tc>
          <w:tcPr>
            <w:tcW w:w="708" w:type="pct"/>
            <w:tcBorders>
              <w:top w:val="single" w:sz="4" w:space="0" w:color="auto"/>
              <w:left w:val="single" w:sz="4" w:space="0" w:color="auto"/>
              <w:bottom w:val="single" w:sz="4" w:space="0" w:color="auto"/>
              <w:right w:val="single" w:sz="4" w:space="0" w:color="auto"/>
            </w:tcBorders>
          </w:tcPr>
          <w:p w14:paraId="109E1560" w14:textId="1926141C" w:rsidR="00911EC3" w:rsidRPr="00162B20" w:rsidRDefault="00911EC3" w:rsidP="007B2B1F">
            <w:pPr>
              <w:pStyle w:val="TableText0"/>
              <w:jc w:val="center"/>
              <w:rPr>
                <w:b/>
                <w:bCs w:val="0"/>
              </w:rPr>
            </w:pPr>
            <w:r w:rsidRPr="00162B20">
              <w:rPr>
                <w:b/>
                <w:bCs w:val="0"/>
              </w:rPr>
              <w:t>IMDC risk group</w:t>
            </w:r>
          </w:p>
        </w:tc>
        <w:tc>
          <w:tcPr>
            <w:tcW w:w="529" w:type="pct"/>
            <w:tcBorders>
              <w:top w:val="single" w:sz="4" w:space="0" w:color="auto"/>
              <w:left w:val="single" w:sz="4" w:space="0" w:color="auto"/>
              <w:bottom w:val="single" w:sz="4" w:space="0" w:color="auto"/>
              <w:right w:val="single" w:sz="4" w:space="0" w:color="auto"/>
            </w:tcBorders>
          </w:tcPr>
          <w:p w14:paraId="00C1A042" w14:textId="5F0FA1E9" w:rsidR="00911EC3" w:rsidRPr="00162B20" w:rsidRDefault="00911EC3" w:rsidP="007B2B1F">
            <w:pPr>
              <w:pStyle w:val="TableText0"/>
              <w:jc w:val="center"/>
              <w:rPr>
                <w:b/>
                <w:bCs w:val="0"/>
              </w:rPr>
            </w:pPr>
            <w:r w:rsidRPr="00162B20">
              <w:rPr>
                <w:b/>
                <w:bCs w:val="0"/>
              </w:rPr>
              <w:t>Previous treatment</w:t>
            </w:r>
          </w:p>
        </w:tc>
        <w:tc>
          <w:tcPr>
            <w:tcW w:w="622" w:type="pct"/>
            <w:tcBorders>
              <w:top w:val="single" w:sz="4" w:space="0" w:color="auto"/>
              <w:left w:val="single" w:sz="4" w:space="0" w:color="auto"/>
              <w:bottom w:val="single" w:sz="4" w:space="0" w:color="auto"/>
              <w:right w:val="single" w:sz="4" w:space="0" w:color="auto"/>
            </w:tcBorders>
            <w:vAlign w:val="center"/>
            <w:hideMark/>
          </w:tcPr>
          <w:p w14:paraId="39A47BA9" w14:textId="4DDF0B4E" w:rsidR="00911EC3" w:rsidRPr="00162B20" w:rsidRDefault="00911EC3" w:rsidP="007B2B1F">
            <w:pPr>
              <w:pStyle w:val="TableText0"/>
              <w:jc w:val="center"/>
              <w:rPr>
                <w:b/>
                <w:bCs w:val="0"/>
              </w:rPr>
            </w:pPr>
            <w:r w:rsidRPr="00162B20">
              <w:rPr>
                <w:b/>
                <w:bCs w:val="0"/>
              </w:rPr>
              <w:t>Outcome(s)</w:t>
            </w:r>
          </w:p>
        </w:tc>
      </w:tr>
      <w:tr w:rsidR="00BB2F46" w:rsidRPr="00162B20" w14:paraId="5E23A2DF" w14:textId="77777777" w:rsidTr="005D7A66">
        <w:trPr>
          <w:cantSplit/>
        </w:trPr>
        <w:tc>
          <w:tcPr>
            <w:tcW w:w="548" w:type="pct"/>
            <w:tcBorders>
              <w:top w:val="single" w:sz="4" w:space="0" w:color="auto"/>
              <w:left w:val="single" w:sz="4" w:space="0" w:color="auto"/>
              <w:bottom w:val="nil"/>
              <w:right w:val="single" w:sz="4" w:space="0" w:color="auto"/>
            </w:tcBorders>
            <w:vAlign w:val="center"/>
            <w:hideMark/>
          </w:tcPr>
          <w:p w14:paraId="5EDF25E2" w14:textId="77777777" w:rsidR="00911EC3" w:rsidRPr="00162B20" w:rsidRDefault="00911EC3" w:rsidP="007B2B1F">
            <w:pPr>
              <w:pStyle w:val="TableText0"/>
            </w:pPr>
            <w:r w:rsidRPr="00162B20">
              <w:t>SWOG 1500</w:t>
            </w:r>
          </w:p>
        </w:tc>
        <w:tc>
          <w:tcPr>
            <w:tcW w:w="864" w:type="pct"/>
            <w:tcBorders>
              <w:top w:val="single" w:sz="4" w:space="0" w:color="auto"/>
              <w:left w:val="single" w:sz="4" w:space="0" w:color="auto"/>
              <w:bottom w:val="nil"/>
              <w:right w:val="single" w:sz="4" w:space="0" w:color="auto"/>
            </w:tcBorders>
            <w:vAlign w:val="center"/>
            <w:hideMark/>
          </w:tcPr>
          <w:p w14:paraId="6B22C382" w14:textId="43E220D0" w:rsidR="005D7A66" w:rsidRPr="00162B20" w:rsidRDefault="00BB2F46" w:rsidP="007B2B1F">
            <w:pPr>
              <w:pStyle w:val="TableText0"/>
              <w:jc w:val="center"/>
            </w:pPr>
            <w:r w:rsidRPr="00162B20">
              <w:t xml:space="preserve">Sunitinib = 46; cabozantinib = 44; </w:t>
            </w:r>
          </w:p>
          <w:p w14:paraId="31BD2545" w14:textId="12553D71" w:rsidR="00911EC3" w:rsidRPr="00162B20" w:rsidRDefault="00BB2F46" w:rsidP="007B2B1F">
            <w:pPr>
              <w:pStyle w:val="TableText0"/>
              <w:jc w:val="center"/>
            </w:pPr>
            <w:r w:rsidRPr="00162B20">
              <w:t>crizotinib = 28; savolitinib = 29</w:t>
            </w:r>
          </w:p>
        </w:tc>
        <w:tc>
          <w:tcPr>
            <w:tcW w:w="630" w:type="pct"/>
            <w:tcBorders>
              <w:top w:val="single" w:sz="4" w:space="0" w:color="auto"/>
              <w:left w:val="single" w:sz="4" w:space="0" w:color="auto"/>
              <w:bottom w:val="nil"/>
              <w:right w:val="single" w:sz="4" w:space="0" w:color="auto"/>
            </w:tcBorders>
            <w:vAlign w:val="center"/>
            <w:hideMark/>
          </w:tcPr>
          <w:p w14:paraId="404B9D8F" w14:textId="77777777" w:rsidR="00911EC3" w:rsidRPr="00162B20" w:rsidRDefault="00911EC3" w:rsidP="00911EC3">
            <w:pPr>
              <w:pStyle w:val="TableText0"/>
              <w:jc w:val="center"/>
            </w:pPr>
            <w:r w:rsidRPr="00162B20">
              <w:t>R, OL</w:t>
            </w:r>
          </w:p>
          <w:p w14:paraId="2FE85A75" w14:textId="541B3406" w:rsidR="00911EC3" w:rsidRPr="00162B20" w:rsidRDefault="00911EC3" w:rsidP="00911EC3">
            <w:pPr>
              <w:pStyle w:val="TableText0"/>
              <w:jc w:val="center"/>
            </w:pPr>
            <w:r w:rsidRPr="00162B20">
              <w:t>Duration of treatment and follow up until death or 3 years post randomisation</w:t>
            </w:r>
            <w:r w:rsidR="007F3519" w:rsidRPr="00162B20">
              <w:rPr>
                <w:vertAlign w:val="superscript"/>
              </w:rPr>
              <w:t>a</w:t>
            </w:r>
          </w:p>
        </w:tc>
        <w:tc>
          <w:tcPr>
            <w:tcW w:w="461" w:type="pct"/>
            <w:tcBorders>
              <w:top w:val="single" w:sz="4" w:space="0" w:color="auto"/>
              <w:left w:val="single" w:sz="4" w:space="0" w:color="auto"/>
              <w:bottom w:val="nil"/>
              <w:right w:val="single" w:sz="4" w:space="0" w:color="auto"/>
            </w:tcBorders>
            <w:vAlign w:val="center"/>
            <w:hideMark/>
          </w:tcPr>
          <w:p w14:paraId="7FE2F65E" w14:textId="19BD0A85" w:rsidR="00911EC3" w:rsidRPr="00162B20" w:rsidRDefault="007F3519" w:rsidP="00911EC3">
            <w:pPr>
              <w:pStyle w:val="TableText0"/>
              <w:jc w:val="center"/>
              <w:rPr>
                <w:vertAlign w:val="superscript"/>
              </w:rPr>
            </w:pPr>
            <w:r w:rsidRPr="00162B20">
              <w:t>Moderate</w:t>
            </w:r>
            <w:r w:rsidRPr="00162B20">
              <w:rPr>
                <w:vertAlign w:val="superscript"/>
              </w:rPr>
              <w:t>b</w:t>
            </w:r>
          </w:p>
        </w:tc>
        <w:tc>
          <w:tcPr>
            <w:tcW w:w="638" w:type="pct"/>
            <w:tcBorders>
              <w:top w:val="single" w:sz="4" w:space="0" w:color="auto"/>
              <w:left w:val="single" w:sz="4" w:space="0" w:color="auto"/>
              <w:bottom w:val="nil"/>
              <w:right w:val="single" w:sz="4" w:space="0" w:color="auto"/>
            </w:tcBorders>
            <w:vAlign w:val="center"/>
            <w:hideMark/>
          </w:tcPr>
          <w:p w14:paraId="4112795F" w14:textId="77777777" w:rsidR="00911EC3" w:rsidRPr="00162B20" w:rsidRDefault="00911EC3" w:rsidP="00911EC3">
            <w:pPr>
              <w:pStyle w:val="TableText0"/>
              <w:jc w:val="center"/>
            </w:pPr>
            <w:r w:rsidRPr="00162B20">
              <w:t>patients with PRCC only</w:t>
            </w:r>
          </w:p>
        </w:tc>
        <w:tc>
          <w:tcPr>
            <w:tcW w:w="708" w:type="pct"/>
            <w:tcBorders>
              <w:top w:val="single" w:sz="4" w:space="0" w:color="auto"/>
              <w:left w:val="single" w:sz="4" w:space="0" w:color="auto"/>
              <w:bottom w:val="nil"/>
              <w:right w:val="single" w:sz="4" w:space="0" w:color="auto"/>
            </w:tcBorders>
            <w:vAlign w:val="center"/>
          </w:tcPr>
          <w:p w14:paraId="4FF84285" w14:textId="09EE3A79" w:rsidR="00911EC3" w:rsidRPr="00162B20" w:rsidRDefault="00911EC3" w:rsidP="00911EC3">
            <w:pPr>
              <w:pStyle w:val="TableText0"/>
              <w:jc w:val="center"/>
            </w:pPr>
            <w:r w:rsidRPr="00162B20">
              <w:t>Favourable,</w:t>
            </w:r>
          </w:p>
          <w:p w14:paraId="67DD11F5" w14:textId="2BD5599A" w:rsidR="00911EC3" w:rsidRPr="00162B20" w:rsidRDefault="00911EC3" w:rsidP="005D7A66">
            <w:pPr>
              <w:pStyle w:val="TableText0"/>
              <w:jc w:val="center"/>
            </w:pPr>
            <w:r w:rsidRPr="00162B20">
              <w:t>Intermediat</w:t>
            </w:r>
            <w:r w:rsidR="00BB2F46" w:rsidRPr="00162B20">
              <w:t>e</w:t>
            </w:r>
            <w:r w:rsidRPr="00162B20">
              <w:t>, and</w:t>
            </w:r>
            <w:r w:rsidR="005D7A66" w:rsidRPr="00162B20">
              <w:t xml:space="preserve"> </w:t>
            </w:r>
            <w:r w:rsidRPr="00162B20">
              <w:t>high</w:t>
            </w:r>
          </w:p>
        </w:tc>
        <w:tc>
          <w:tcPr>
            <w:tcW w:w="529" w:type="pct"/>
            <w:tcBorders>
              <w:top w:val="single" w:sz="4" w:space="0" w:color="auto"/>
              <w:left w:val="single" w:sz="4" w:space="0" w:color="auto"/>
              <w:bottom w:val="nil"/>
              <w:right w:val="single" w:sz="4" w:space="0" w:color="auto"/>
            </w:tcBorders>
            <w:vAlign w:val="center"/>
          </w:tcPr>
          <w:p w14:paraId="3659E088" w14:textId="4210F0F8" w:rsidR="00911EC3" w:rsidRPr="00162B20" w:rsidRDefault="00911EC3" w:rsidP="00911EC3">
            <w:pPr>
              <w:pStyle w:val="TableText0"/>
              <w:jc w:val="center"/>
            </w:pPr>
            <w:r w:rsidRPr="00162B20">
              <w:t>7%</w:t>
            </w:r>
          </w:p>
        </w:tc>
        <w:tc>
          <w:tcPr>
            <w:tcW w:w="622" w:type="pct"/>
            <w:tcBorders>
              <w:top w:val="single" w:sz="4" w:space="0" w:color="auto"/>
              <w:left w:val="single" w:sz="4" w:space="0" w:color="auto"/>
              <w:bottom w:val="nil"/>
              <w:right w:val="single" w:sz="4" w:space="0" w:color="auto"/>
            </w:tcBorders>
            <w:vAlign w:val="center"/>
            <w:hideMark/>
          </w:tcPr>
          <w:p w14:paraId="7CC709D9" w14:textId="1F2DAD31" w:rsidR="00911EC3" w:rsidRPr="00162B20" w:rsidRDefault="00911EC3" w:rsidP="00911EC3">
            <w:pPr>
              <w:pStyle w:val="TableText0"/>
              <w:jc w:val="center"/>
            </w:pPr>
            <w:r w:rsidRPr="00162B20">
              <w:t>PFS, RR, OS, AE</w:t>
            </w:r>
          </w:p>
        </w:tc>
      </w:tr>
      <w:tr w:rsidR="00BB2F46" w:rsidRPr="00162B20" w14:paraId="0BC4A3E9" w14:textId="77777777" w:rsidTr="005D7A66">
        <w:trPr>
          <w:cantSplit/>
        </w:trPr>
        <w:tc>
          <w:tcPr>
            <w:tcW w:w="548" w:type="pct"/>
            <w:tcBorders>
              <w:top w:val="single" w:sz="4" w:space="0" w:color="auto"/>
              <w:left w:val="single" w:sz="4" w:space="0" w:color="auto"/>
              <w:bottom w:val="single" w:sz="4" w:space="0" w:color="auto"/>
              <w:right w:val="single" w:sz="4" w:space="0" w:color="auto"/>
            </w:tcBorders>
            <w:vAlign w:val="center"/>
            <w:hideMark/>
          </w:tcPr>
          <w:p w14:paraId="182C401F" w14:textId="77777777" w:rsidR="00911EC3" w:rsidRPr="00162B20" w:rsidRDefault="00911EC3" w:rsidP="007B2B1F">
            <w:pPr>
              <w:pStyle w:val="TableText0"/>
            </w:pPr>
            <w:r w:rsidRPr="00162B20">
              <w:t>CABOSUN II</w:t>
            </w:r>
          </w:p>
        </w:tc>
        <w:tc>
          <w:tcPr>
            <w:tcW w:w="864" w:type="pct"/>
            <w:tcBorders>
              <w:top w:val="single" w:sz="4" w:space="0" w:color="auto"/>
              <w:left w:val="single" w:sz="4" w:space="0" w:color="auto"/>
              <w:bottom w:val="single" w:sz="4" w:space="0" w:color="auto"/>
              <w:right w:val="single" w:sz="4" w:space="0" w:color="auto"/>
            </w:tcBorders>
            <w:vAlign w:val="center"/>
            <w:hideMark/>
          </w:tcPr>
          <w:p w14:paraId="1D4D94D6" w14:textId="77777777" w:rsidR="005D7A66" w:rsidRPr="00162B20" w:rsidRDefault="00BB2F46" w:rsidP="007B2B1F">
            <w:pPr>
              <w:pStyle w:val="TableText0"/>
              <w:jc w:val="center"/>
            </w:pPr>
            <w:r w:rsidRPr="00162B20">
              <w:t xml:space="preserve">Cabozantinib = </w:t>
            </w:r>
            <w:r w:rsidR="00911EC3" w:rsidRPr="00162B20">
              <w:t>15</w:t>
            </w:r>
            <w:r w:rsidRPr="00162B20">
              <w:t xml:space="preserve">; </w:t>
            </w:r>
          </w:p>
          <w:p w14:paraId="74A4A972" w14:textId="3122C0DC" w:rsidR="00911EC3" w:rsidRPr="00162B20" w:rsidRDefault="00BB2F46" w:rsidP="007B2B1F">
            <w:pPr>
              <w:pStyle w:val="TableText0"/>
              <w:jc w:val="center"/>
            </w:pPr>
            <w:r w:rsidRPr="00162B20">
              <w:t>sunitinib = 17</w:t>
            </w:r>
          </w:p>
        </w:tc>
        <w:tc>
          <w:tcPr>
            <w:tcW w:w="630" w:type="pct"/>
            <w:tcBorders>
              <w:top w:val="single" w:sz="4" w:space="0" w:color="auto"/>
              <w:left w:val="single" w:sz="4" w:space="0" w:color="auto"/>
              <w:bottom w:val="single" w:sz="4" w:space="0" w:color="auto"/>
              <w:right w:val="single" w:sz="4" w:space="0" w:color="auto"/>
            </w:tcBorders>
            <w:vAlign w:val="center"/>
            <w:hideMark/>
          </w:tcPr>
          <w:p w14:paraId="6C055F7D" w14:textId="77777777" w:rsidR="00911EC3" w:rsidRPr="00162B20" w:rsidRDefault="00911EC3" w:rsidP="00911EC3">
            <w:pPr>
              <w:pStyle w:val="TableText0"/>
              <w:jc w:val="center"/>
            </w:pPr>
            <w:r w:rsidRPr="00162B20">
              <w:t>R, OL</w:t>
            </w:r>
          </w:p>
          <w:p w14:paraId="252D3FF7" w14:textId="77777777" w:rsidR="00911EC3" w:rsidRPr="00162B20" w:rsidRDefault="00911EC3" w:rsidP="00911EC3">
            <w:pPr>
              <w:pStyle w:val="TableText0"/>
              <w:jc w:val="center"/>
            </w:pPr>
            <w:r w:rsidRPr="00162B20">
              <w:t>Median follow up of 33 months</w:t>
            </w:r>
          </w:p>
        </w:tc>
        <w:tc>
          <w:tcPr>
            <w:tcW w:w="461" w:type="pct"/>
            <w:tcBorders>
              <w:top w:val="single" w:sz="4" w:space="0" w:color="auto"/>
              <w:left w:val="single" w:sz="4" w:space="0" w:color="auto"/>
              <w:bottom w:val="single" w:sz="4" w:space="0" w:color="auto"/>
              <w:right w:val="single" w:sz="4" w:space="0" w:color="auto"/>
            </w:tcBorders>
            <w:vAlign w:val="center"/>
            <w:hideMark/>
          </w:tcPr>
          <w:p w14:paraId="53FB9C74" w14:textId="77777777" w:rsidR="00911EC3" w:rsidRPr="00162B20" w:rsidRDefault="00911EC3" w:rsidP="00911EC3">
            <w:pPr>
              <w:pStyle w:val="TableText0"/>
              <w:jc w:val="center"/>
            </w:pPr>
            <w:r w:rsidRPr="00162B20">
              <w:t>High</w:t>
            </w:r>
          </w:p>
        </w:tc>
        <w:tc>
          <w:tcPr>
            <w:tcW w:w="638" w:type="pct"/>
            <w:tcBorders>
              <w:top w:val="single" w:sz="4" w:space="0" w:color="auto"/>
              <w:left w:val="single" w:sz="4" w:space="0" w:color="auto"/>
              <w:bottom w:val="single" w:sz="4" w:space="0" w:color="auto"/>
              <w:right w:val="single" w:sz="4" w:space="0" w:color="auto"/>
            </w:tcBorders>
            <w:vAlign w:val="center"/>
            <w:hideMark/>
          </w:tcPr>
          <w:p w14:paraId="76ADF10B" w14:textId="77777777" w:rsidR="00911EC3" w:rsidRPr="00162B20" w:rsidRDefault="00911EC3" w:rsidP="00911EC3">
            <w:pPr>
              <w:pStyle w:val="TableText0"/>
              <w:jc w:val="center"/>
            </w:pPr>
            <w:r w:rsidRPr="00162B20">
              <w:t xml:space="preserve">patients with metastatic </w:t>
            </w:r>
            <w:proofErr w:type="spellStart"/>
            <w:r w:rsidRPr="00162B20">
              <w:t>nccRCC</w:t>
            </w:r>
            <w:proofErr w:type="spellEnd"/>
            <w:r w:rsidRPr="00162B20">
              <w:t xml:space="preserve"> (both PRCC and non PRCC)</w:t>
            </w:r>
          </w:p>
        </w:tc>
        <w:tc>
          <w:tcPr>
            <w:tcW w:w="708" w:type="pct"/>
            <w:tcBorders>
              <w:top w:val="single" w:sz="4" w:space="0" w:color="auto"/>
              <w:left w:val="single" w:sz="4" w:space="0" w:color="auto"/>
              <w:bottom w:val="single" w:sz="4" w:space="0" w:color="auto"/>
              <w:right w:val="single" w:sz="4" w:space="0" w:color="auto"/>
            </w:tcBorders>
            <w:vAlign w:val="center"/>
          </w:tcPr>
          <w:p w14:paraId="4BCFD50F" w14:textId="2A86BBCB" w:rsidR="00911EC3" w:rsidRPr="00162B20" w:rsidRDefault="00911EC3" w:rsidP="00911EC3">
            <w:pPr>
              <w:pStyle w:val="TableText0"/>
              <w:jc w:val="center"/>
            </w:pPr>
            <w:r w:rsidRPr="00162B20">
              <w:t>Good, intermediate, and high</w:t>
            </w:r>
          </w:p>
        </w:tc>
        <w:tc>
          <w:tcPr>
            <w:tcW w:w="529" w:type="pct"/>
            <w:tcBorders>
              <w:top w:val="single" w:sz="4" w:space="0" w:color="auto"/>
              <w:left w:val="single" w:sz="4" w:space="0" w:color="auto"/>
              <w:bottom w:val="single" w:sz="4" w:space="0" w:color="auto"/>
              <w:right w:val="single" w:sz="4" w:space="0" w:color="auto"/>
            </w:tcBorders>
            <w:vAlign w:val="center"/>
          </w:tcPr>
          <w:p w14:paraId="0BE2C134" w14:textId="4C975ADA" w:rsidR="00911EC3" w:rsidRPr="00162B20" w:rsidRDefault="00911EC3" w:rsidP="00911EC3">
            <w:pPr>
              <w:pStyle w:val="TableText0"/>
              <w:jc w:val="center"/>
            </w:pPr>
            <w:r w:rsidRPr="00162B20">
              <w:t>16.6%</w:t>
            </w:r>
          </w:p>
        </w:tc>
        <w:tc>
          <w:tcPr>
            <w:tcW w:w="622" w:type="pct"/>
            <w:tcBorders>
              <w:top w:val="single" w:sz="4" w:space="0" w:color="auto"/>
              <w:left w:val="single" w:sz="4" w:space="0" w:color="auto"/>
              <w:bottom w:val="single" w:sz="4" w:space="0" w:color="auto"/>
              <w:right w:val="single" w:sz="4" w:space="0" w:color="auto"/>
            </w:tcBorders>
            <w:vAlign w:val="center"/>
            <w:hideMark/>
          </w:tcPr>
          <w:p w14:paraId="0A052A36" w14:textId="31079B6F" w:rsidR="00911EC3" w:rsidRPr="00162B20" w:rsidRDefault="00911EC3" w:rsidP="00911EC3">
            <w:pPr>
              <w:pStyle w:val="TableText0"/>
              <w:jc w:val="center"/>
            </w:pPr>
            <w:r w:rsidRPr="00162B20">
              <w:t>PFS, ORR, OS, AE</w:t>
            </w:r>
          </w:p>
        </w:tc>
      </w:tr>
    </w:tbl>
    <w:p w14:paraId="11D0E529" w14:textId="54FAFB4A" w:rsidR="00AB4ECF" w:rsidRPr="00162B20" w:rsidRDefault="00AB4ECF" w:rsidP="00AB4ECF">
      <w:pPr>
        <w:pStyle w:val="3-BodyText"/>
        <w:numPr>
          <w:ilvl w:val="0"/>
          <w:numId w:val="0"/>
        </w:numPr>
        <w:contextualSpacing/>
      </w:pPr>
      <w:r w:rsidRPr="00162B20">
        <w:rPr>
          <w:rFonts w:ascii="Arial Narrow" w:hAnsi="Arial Narrow"/>
          <w:sz w:val="18"/>
          <w:szCs w:val="22"/>
        </w:rPr>
        <w:t xml:space="preserve">Source: </w:t>
      </w:r>
      <w:r w:rsidR="007B2B1F" w:rsidRPr="00162B20">
        <w:rPr>
          <w:rFonts w:ascii="Arial Narrow" w:hAnsi="Arial Narrow"/>
          <w:sz w:val="18"/>
          <w:szCs w:val="22"/>
        </w:rPr>
        <w:t xml:space="preserve">Table 2-5, pp34-35; </w:t>
      </w:r>
      <w:r w:rsidRPr="00162B20">
        <w:rPr>
          <w:rFonts w:ascii="Arial Narrow" w:hAnsi="Arial Narrow"/>
          <w:sz w:val="18"/>
          <w:szCs w:val="22"/>
        </w:rPr>
        <w:t>Table 2-8, pp40-41; Table 2-9, pp41-42; Table 2-10, p43 of the submission.</w:t>
      </w:r>
      <w:r w:rsidRPr="00162B20">
        <w:t xml:space="preserve"> </w:t>
      </w:r>
    </w:p>
    <w:p w14:paraId="5B5DEEE2" w14:textId="32DB2304" w:rsidR="005D7A66" w:rsidRPr="00162B20" w:rsidRDefault="00AF1F08" w:rsidP="005D7A66">
      <w:pPr>
        <w:pStyle w:val="3-BodyText"/>
        <w:numPr>
          <w:ilvl w:val="0"/>
          <w:numId w:val="0"/>
        </w:numPr>
        <w:spacing w:after="0"/>
        <w:rPr>
          <w:rFonts w:ascii="Arial Narrow" w:hAnsi="Arial Narrow"/>
          <w:sz w:val="18"/>
          <w:szCs w:val="22"/>
        </w:rPr>
      </w:pPr>
      <w:r w:rsidRPr="00162B20">
        <w:rPr>
          <w:rFonts w:ascii="Arial Narrow" w:hAnsi="Arial Narrow"/>
          <w:sz w:val="18"/>
          <w:szCs w:val="22"/>
        </w:rPr>
        <w:t xml:space="preserve">AE = Adverse event rate; IMDC = International Metastatic Renal Cell Carcinoma Database Consortium; </w:t>
      </w:r>
      <w:proofErr w:type="spellStart"/>
      <w:r w:rsidRPr="00162B20">
        <w:rPr>
          <w:rFonts w:ascii="Arial Narrow" w:hAnsi="Arial Narrow"/>
          <w:sz w:val="18"/>
          <w:szCs w:val="22"/>
        </w:rPr>
        <w:t>nccRCC</w:t>
      </w:r>
      <w:proofErr w:type="spellEnd"/>
      <w:r w:rsidRPr="00162B20">
        <w:rPr>
          <w:rFonts w:ascii="Arial Narrow" w:hAnsi="Arial Narrow"/>
          <w:sz w:val="18"/>
          <w:szCs w:val="22"/>
        </w:rPr>
        <w:t xml:space="preserve"> = non-clear cell renal cell carcinoma; OL = open label; ORR = objective response rate; OS = overall survival; PFS = progression-free survival; PRCC = papillary renal cell carcinoma; R = randomised; RR = Response rate.</w:t>
      </w:r>
    </w:p>
    <w:p w14:paraId="53D1FE39" w14:textId="77777777" w:rsidR="00435B05" w:rsidRPr="00162B20" w:rsidRDefault="007F3519" w:rsidP="005D7A66">
      <w:pPr>
        <w:pStyle w:val="3-BodyText"/>
        <w:numPr>
          <w:ilvl w:val="0"/>
          <w:numId w:val="0"/>
        </w:numPr>
        <w:spacing w:after="0"/>
        <w:rPr>
          <w:rFonts w:ascii="Arial Narrow" w:hAnsi="Arial Narrow"/>
          <w:sz w:val="18"/>
          <w:szCs w:val="22"/>
        </w:rPr>
      </w:pPr>
      <w:r w:rsidRPr="00162B20">
        <w:rPr>
          <w:rFonts w:ascii="Arial Narrow" w:hAnsi="Arial Narrow"/>
          <w:sz w:val="18"/>
          <w:szCs w:val="22"/>
          <w:vertAlign w:val="superscript"/>
        </w:rPr>
        <w:t xml:space="preserve">a </w:t>
      </w:r>
      <w:r w:rsidRPr="00162B20">
        <w:rPr>
          <w:rFonts w:ascii="Arial Narrow" w:hAnsi="Arial Narrow"/>
          <w:sz w:val="18"/>
          <w:szCs w:val="22"/>
        </w:rPr>
        <w:t>Median follow up was not reported.</w:t>
      </w:r>
    </w:p>
    <w:p w14:paraId="7BCE27E5" w14:textId="09A95533" w:rsidR="0051169F" w:rsidRPr="00162B20" w:rsidRDefault="007F3519" w:rsidP="007172C3">
      <w:pPr>
        <w:pStyle w:val="3-BodyText"/>
        <w:numPr>
          <w:ilvl w:val="0"/>
          <w:numId w:val="0"/>
        </w:numPr>
        <w:rPr>
          <w:rFonts w:ascii="Arial Narrow" w:hAnsi="Arial Narrow"/>
          <w:sz w:val="18"/>
          <w:szCs w:val="22"/>
        </w:rPr>
      </w:pPr>
      <w:r w:rsidRPr="00162B20">
        <w:rPr>
          <w:rFonts w:ascii="Arial Narrow" w:hAnsi="Arial Narrow"/>
          <w:sz w:val="18"/>
          <w:szCs w:val="22"/>
          <w:vertAlign w:val="superscript"/>
        </w:rPr>
        <w:t xml:space="preserve">b </w:t>
      </w:r>
      <w:r w:rsidR="0051169F" w:rsidRPr="00162B20">
        <w:rPr>
          <w:rFonts w:ascii="Arial Narrow" w:hAnsi="Arial Narrow"/>
          <w:sz w:val="18"/>
          <w:szCs w:val="22"/>
        </w:rPr>
        <w:t>Overall: Medium; Low (Selection, attrition, reporting biases); High (Performance, detection and other sources)</w:t>
      </w:r>
    </w:p>
    <w:p w14:paraId="337DEC91" w14:textId="79194558" w:rsidR="00911EC3" w:rsidRPr="00162B20" w:rsidRDefault="007F3519" w:rsidP="00BD62E6">
      <w:pPr>
        <w:pStyle w:val="3-BodyText"/>
      </w:pPr>
      <w:r w:rsidRPr="00162B20">
        <w:t>T</w:t>
      </w:r>
      <w:r w:rsidR="00640A7C" w:rsidRPr="00162B20">
        <w:t xml:space="preserve">he overall risk of bias for SWOG 1500 was </w:t>
      </w:r>
      <w:r w:rsidR="0051169F" w:rsidRPr="00162B20">
        <w:t>moderate, while the risk of bias for CABOSUN II was high in all domains, especially in reporting bias, since the only available publication from the trial was an abstract (Johns et al., 2023)</w:t>
      </w:r>
      <w:r w:rsidR="00AF1F08" w:rsidRPr="00162B20">
        <w:t>.</w:t>
      </w:r>
      <w:r w:rsidR="00911EC3" w:rsidRPr="00162B20">
        <w:t xml:space="preserve"> </w:t>
      </w:r>
    </w:p>
    <w:p w14:paraId="3800101C" w14:textId="49B5CA6B" w:rsidR="008C4768" w:rsidRPr="00162B20" w:rsidRDefault="008C4768" w:rsidP="008C4768">
      <w:pPr>
        <w:pStyle w:val="3-BodyText"/>
      </w:pPr>
      <w:r w:rsidRPr="00162B20">
        <w:t xml:space="preserve">As SWOG 1500 only included patients with papillary RCC there is limited evidence for efficacy of </w:t>
      </w:r>
      <w:proofErr w:type="spellStart"/>
      <w:r w:rsidRPr="00162B20">
        <w:t>cabozantinib</w:t>
      </w:r>
      <w:proofErr w:type="spellEnd"/>
      <w:r w:rsidRPr="00162B20">
        <w:t xml:space="preserve"> for non-papillary </w:t>
      </w:r>
      <w:proofErr w:type="spellStart"/>
      <w:r w:rsidRPr="00162B20">
        <w:t>nccRCC</w:t>
      </w:r>
      <w:proofErr w:type="spellEnd"/>
      <w:r w:rsidRPr="00162B20">
        <w:t xml:space="preserve">. The ESC noted that </w:t>
      </w:r>
      <w:r w:rsidR="00D9146F" w:rsidRPr="00162B20">
        <w:t xml:space="preserve">papillary RCC was adopted by the submission as a proxy for other subtypes, however </w:t>
      </w:r>
      <w:r w:rsidRPr="00162B20">
        <w:t xml:space="preserve">non-papillary RCC subtypes have different disease characteristics and responses to treatments compared to papillary RCC subtypes. The ESC noted that papillary RCC represents approximately half of </w:t>
      </w:r>
      <w:proofErr w:type="spellStart"/>
      <w:r w:rsidRPr="00162B20">
        <w:t>nccRCC</w:t>
      </w:r>
      <w:proofErr w:type="spellEnd"/>
      <w:r w:rsidRPr="00162B20">
        <w:t xml:space="preserve"> subtypes. The PSCR</w:t>
      </w:r>
      <w:r w:rsidR="00D9146F" w:rsidRPr="00162B20">
        <w:t xml:space="preserve"> </w:t>
      </w:r>
      <w:r w:rsidRPr="00162B20">
        <w:t xml:space="preserve">provided </w:t>
      </w:r>
      <w:r w:rsidR="00D9146F" w:rsidRPr="00162B20">
        <w:t>a summary of</w:t>
      </w:r>
      <w:r w:rsidRPr="00162B20">
        <w:t xml:space="preserve"> studies to demonstrate evidence in other </w:t>
      </w:r>
      <w:proofErr w:type="spellStart"/>
      <w:r w:rsidRPr="00162B20">
        <w:t>nccRCC</w:t>
      </w:r>
      <w:proofErr w:type="spellEnd"/>
      <w:r w:rsidRPr="00162B20">
        <w:t xml:space="preserve"> subtypes. However the ESC noted that these studies were low grade evidence and considered that they did not provide </w:t>
      </w:r>
      <w:r w:rsidR="00D9146F" w:rsidRPr="00162B20">
        <w:t>additional confidence regarding the relative efficacy in papillary and non-papillary sub-types.</w:t>
      </w:r>
    </w:p>
    <w:p w14:paraId="062BCF60" w14:textId="7A7A543C" w:rsidR="008C4768" w:rsidRPr="00162B20" w:rsidRDefault="008C4768" w:rsidP="008C4768">
      <w:pPr>
        <w:pStyle w:val="3-BodyText"/>
      </w:pPr>
      <w:r w:rsidRPr="00162B20">
        <w:lastRenderedPageBreak/>
        <w:t xml:space="preserve">CABOSUN II failed to reach its target patient accrual and was terminated early due to a change in the standard of care for </w:t>
      </w:r>
      <w:proofErr w:type="spellStart"/>
      <w:r w:rsidRPr="00162B20">
        <w:t>nccRCC</w:t>
      </w:r>
      <w:proofErr w:type="spellEnd"/>
      <w:r w:rsidRPr="00162B20">
        <w:t xml:space="preserve"> as </w:t>
      </w:r>
      <w:proofErr w:type="spellStart"/>
      <w:r w:rsidRPr="00162B20">
        <w:t>cabozantinib</w:t>
      </w:r>
      <w:proofErr w:type="spellEnd"/>
      <w:r w:rsidRPr="00162B20">
        <w:t xml:space="preserve"> replaced sunitinib as a preferred treatment option in NCCN clinical guidelines.</w:t>
      </w:r>
    </w:p>
    <w:p w14:paraId="15C404C3" w14:textId="381A6575" w:rsidR="0026559B" w:rsidRPr="00162B20" w:rsidRDefault="0026559B" w:rsidP="009D3F6B">
      <w:pPr>
        <w:pStyle w:val="3-BodyText"/>
      </w:pPr>
      <w:r w:rsidRPr="00162B20">
        <w:t xml:space="preserve">There were major differences in the non-papillary RCC subtypes between the arms of CABOSUN II. More patients with chromophobe histology, an </w:t>
      </w:r>
      <w:r w:rsidR="005350FE" w:rsidRPr="00162B20">
        <w:t>indolent</w:t>
      </w:r>
      <w:r w:rsidRPr="00162B20">
        <w:t xml:space="preserve"> subtype, received sunitinib while all patients with MiT family translocation (an aggressive subtype) received cabozantinib.</w:t>
      </w:r>
      <w:r w:rsidR="00A56917" w:rsidRPr="00162B20">
        <w:t xml:space="preserve"> Th</w:t>
      </w:r>
      <w:r w:rsidR="000E34B8" w:rsidRPr="00162B20">
        <w:t>e ESC considered that imbalances in the subtypes in each treatment arm are likely to have impacted on the relative outcomes, however the direction of bias is unclear.</w:t>
      </w:r>
    </w:p>
    <w:p w14:paraId="20CA885E" w14:textId="14E2A1B5" w:rsidR="009D3F6B" w:rsidRPr="00162B20" w:rsidRDefault="00640A7C" w:rsidP="009D3F6B">
      <w:pPr>
        <w:pStyle w:val="3-BodyText"/>
      </w:pPr>
      <w:r w:rsidRPr="00162B20">
        <w:t xml:space="preserve">SWOG 1500 included </w:t>
      </w:r>
      <w:r w:rsidR="00883A49" w:rsidRPr="00162B20">
        <w:t xml:space="preserve">only </w:t>
      </w:r>
      <w:r w:rsidRPr="00162B20">
        <w:t xml:space="preserve">5% previously </w:t>
      </w:r>
      <w:r w:rsidR="0051169F" w:rsidRPr="00162B20">
        <w:t xml:space="preserve">received systemic therapy </w:t>
      </w:r>
      <w:r w:rsidRPr="00162B20">
        <w:t>treated patients in the cabozantinib arm and 7% of the total patients.</w:t>
      </w:r>
      <w:r w:rsidR="009D3F6B" w:rsidRPr="00162B20">
        <w:t xml:space="preserve"> </w:t>
      </w:r>
    </w:p>
    <w:p w14:paraId="72469617" w14:textId="78EA3A7B" w:rsidR="00911EC3" w:rsidRPr="00162B20" w:rsidRDefault="00640A7C" w:rsidP="003A1375">
      <w:pPr>
        <w:pStyle w:val="3-BodyText"/>
      </w:pPr>
      <w:r w:rsidRPr="00162B20">
        <w:t xml:space="preserve">The duration of treatment for </w:t>
      </w:r>
      <w:proofErr w:type="spellStart"/>
      <w:r w:rsidRPr="00162B20">
        <w:t>nccRCC</w:t>
      </w:r>
      <w:proofErr w:type="spellEnd"/>
      <w:r w:rsidRPr="00162B20">
        <w:t xml:space="preserve"> patients was not presented in either SWOG 1500 or </w:t>
      </w:r>
      <w:r w:rsidR="00000C9C" w:rsidRPr="00162B20">
        <w:t>CABOSUN II</w:t>
      </w:r>
      <w:r w:rsidRPr="00162B20">
        <w:t>.</w:t>
      </w:r>
      <w:r w:rsidR="00F7221C" w:rsidRPr="00162B20">
        <w:t xml:space="preserve"> </w:t>
      </w:r>
      <w:r w:rsidR="00A56917" w:rsidRPr="00162B20">
        <w:t>Furthermore, t</w:t>
      </w:r>
      <w:r w:rsidR="001C12EC" w:rsidRPr="00162B20">
        <w:t xml:space="preserve">here was no evidence of post-progression treatments in </w:t>
      </w:r>
      <w:proofErr w:type="spellStart"/>
      <w:r w:rsidR="001C12EC" w:rsidRPr="00162B20">
        <w:t>nccRCC</w:t>
      </w:r>
      <w:proofErr w:type="spellEnd"/>
      <w:r w:rsidR="001C12EC" w:rsidRPr="00162B20">
        <w:t xml:space="preserve"> patients from the presented clinical trial, which would make the costs, duration, and intensity of post-progression treatment uncertain in </w:t>
      </w:r>
      <w:proofErr w:type="spellStart"/>
      <w:r w:rsidR="001C12EC" w:rsidRPr="00162B20">
        <w:t>nccRCC</w:t>
      </w:r>
      <w:proofErr w:type="spellEnd"/>
      <w:r w:rsidR="001C12EC" w:rsidRPr="00162B20">
        <w:t xml:space="preserve"> patients.</w:t>
      </w:r>
      <w:r w:rsidR="000E34B8" w:rsidRPr="00162B20">
        <w:t xml:space="preserve"> The ESC noted that subsequent treatments in SWOG 1500, including cross-over, may have impacted on OS in the trial.</w:t>
      </w:r>
    </w:p>
    <w:p w14:paraId="09494066" w14:textId="77777777" w:rsidR="00AB4ECF" w:rsidRPr="00162B20" w:rsidRDefault="00AB4ECF" w:rsidP="00AB4ECF">
      <w:pPr>
        <w:pStyle w:val="4-SubsectionHeading"/>
      </w:pPr>
      <w:bookmarkStart w:id="32" w:name="_Toc156987044"/>
      <w:r w:rsidRPr="00162B20">
        <w:t>Comparative effectiveness</w:t>
      </w:r>
      <w:bookmarkEnd w:id="32"/>
    </w:p>
    <w:p w14:paraId="2553E001" w14:textId="64D3D685" w:rsidR="009D2FF5" w:rsidRPr="00162B20" w:rsidRDefault="001C12EC" w:rsidP="00AB4ECF">
      <w:pPr>
        <w:pStyle w:val="3-BodyText"/>
        <w:snapToGrid w:val="0"/>
      </w:pPr>
      <w:r w:rsidRPr="00162B20">
        <w:t xml:space="preserve">The results of progression-free survival (PFS) and overall survival (OS) are shown in </w:t>
      </w:r>
      <w:r w:rsidRPr="00162B20">
        <w:fldChar w:fldCharType="begin"/>
      </w:r>
      <w:r w:rsidRPr="00162B20">
        <w:instrText xml:space="preserve"> REF _Ref155162320 \h </w:instrText>
      </w:r>
      <w:r w:rsidRPr="00162B20">
        <w:fldChar w:fldCharType="separate"/>
      </w:r>
      <w:r w:rsidR="0030362D" w:rsidRPr="00162B20">
        <w:t xml:space="preserve">Table </w:t>
      </w:r>
      <w:r w:rsidR="0030362D">
        <w:rPr>
          <w:noProof/>
        </w:rPr>
        <w:t>4</w:t>
      </w:r>
      <w:r w:rsidRPr="00162B20">
        <w:fldChar w:fldCharType="end"/>
      </w:r>
      <w:r w:rsidRPr="00162B20">
        <w:t>.</w:t>
      </w:r>
      <w:r w:rsidR="00901AC8" w:rsidRPr="00162B20">
        <w:t xml:space="preserve"> </w:t>
      </w:r>
      <w:r w:rsidR="00901AC8" w:rsidRPr="00162B20">
        <w:fldChar w:fldCharType="begin"/>
      </w:r>
      <w:r w:rsidR="00901AC8" w:rsidRPr="00162B20">
        <w:instrText xml:space="preserve"> REF _Ref155162555 \h </w:instrText>
      </w:r>
      <w:r w:rsidR="00901AC8" w:rsidRPr="00162B20">
        <w:fldChar w:fldCharType="separate"/>
      </w:r>
      <w:r w:rsidR="0030362D" w:rsidRPr="00162B20">
        <w:t xml:space="preserve">Figure </w:t>
      </w:r>
      <w:r w:rsidR="0030362D">
        <w:rPr>
          <w:noProof/>
        </w:rPr>
        <w:t>2</w:t>
      </w:r>
      <w:r w:rsidR="00901AC8" w:rsidRPr="00162B20">
        <w:fldChar w:fldCharType="end"/>
      </w:r>
      <w:r w:rsidR="00901AC8" w:rsidRPr="00162B20">
        <w:t xml:space="preserve"> shows the PFS Kaplan-Meier curve and </w:t>
      </w:r>
      <w:r w:rsidR="00901AC8" w:rsidRPr="00162B20">
        <w:fldChar w:fldCharType="begin"/>
      </w:r>
      <w:r w:rsidR="00901AC8" w:rsidRPr="00162B20">
        <w:instrText xml:space="preserve"> REF _Ref155162590 \h </w:instrText>
      </w:r>
      <w:r w:rsidR="00901AC8" w:rsidRPr="00162B20">
        <w:fldChar w:fldCharType="separate"/>
      </w:r>
      <w:r w:rsidR="0030362D" w:rsidRPr="00162B20">
        <w:t xml:space="preserve">Figure </w:t>
      </w:r>
      <w:r w:rsidR="0030362D">
        <w:rPr>
          <w:noProof/>
        </w:rPr>
        <w:t>3</w:t>
      </w:r>
      <w:r w:rsidR="00901AC8" w:rsidRPr="00162B20">
        <w:fldChar w:fldCharType="end"/>
      </w:r>
      <w:r w:rsidR="00901AC8" w:rsidRPr="00162B20">
        <w:t xml:space="preserve"> shows the OS Kaplan-Meier curve from </w:t>
      </w:r>
      <w:r w:rsidR="00000C9C" w:rsidRPr="00162B20">
        <w:t>SWOG 1500</w:t>
      </w:r>
      <w:r w:rsidR="00901AC8" w:rsidRPr="00162B20">
        <w:t xml:space="preserve">. </w:t>
      </w:r>
      <w:r w:rsidR="00000C9C" w:rsidRPr="00162B20">
        <w:t>CABOSUN II</w:t>
      </w:r>
      <w:r w:rsidR="00901AC8" w:rsidRPr="00162B20">
        <w:t xml:space="preserve"> did not present Kaplan-Meier curves.</w:t>
      </w:r>
    </w:p>
    <w:p w14:paraId="1A1970D6" w14:textId="34362886" w:rsidR="009D2FF5" w:rsidRPr="00162B20" w:rsidRDefault="009D2FF5" w:rsidP="007172C3">
      <w:pPr>
        <w:pStyle w:val="TableFigureHeading"/>
        <w:keepLines/>
      </w:pPr>
      <w:bookmarkStart w:id="33" w:name="_Ref155162320"/>
      <w:r w:rsidRPr="00162B20">
        <w:t xml:space="preserve">Table </w:t>
      </w:r>
      <w:fldSimple w:instr=" SEQ Table \* ARABIC ">
        <w:r w:rsidR="0030362D">
          <w:rPr>
            <w:noProof/>
          </w:rPr>
          <w:t>4</w:t>
        </w:r>
      </w:fldSimple>
      <w:bookmarkEnd w:id="33"/>
      <w:r w:rsidRPr="00162B20">
        <w:t>: Results of PFS and OS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Results of PFS and OS across the trials"/>
      </w:tblPr>
      <w:tblGrid>
        <w:gridCol w:w="1045"/>
        <w:gridCol w:w="1217"/>
        <w:gridCol w:w="1419"/>
        <w:gridCol w:w="1133"/>
        <w:gridCol w:w="1419"/>
        <w:gridCol w:w="995"/>
        <w:gridCol w:w="822"/>
        <w:gridCol w:w="967"/>
      </w:tblGrid>
      <w:tr w:rsidR="002858A0" w:rsidRPr="00162B20" w14:paraId="14F9D9F8" w14:textId="77777777" w:rsidTr="00D948CF">
        <w:trPr>
          <w:tblHeader/>
        </w:trPr>
        <w:tc>
          <w:tcPr>
            <w:tcW w:w="579"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0A92BD" w14:textId="77777777" w:rsidR="009D2FF5" w:rsidRPr="00162B20" w:rsidRDefault="009D2FF5" w:rsidP="007172C3">
            <w:pPr>
              <w:pStyle w:val="TableText0"/>
              <w:keepLines/>
              <w:jc w:val="center"/>
              <w:rPr>
                <w:b/>
                <w:bCs w:val="0"/>
              </w:rPr>
            </w:pPr>
            <w:r w:rsidRPr="00162B20">
              <w:rPr>
                <w:b/>
                <w:bCs w:val="0"/>
              </w:rPr>
              <w:t>Trial</w:t>
            </w:r>
          </w:p>
        </w:tc>
        <w:tc>
          <w:tcPr>
            <w:tcW w:w="1462"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AC440F" w14:textId="77777777" w:rsidR="009D2FF5" w:rsidRPr="00162B20" w:rsidRDefault="009D2FF5" w:rsidP="007172C3">
            <w:pPr>
              <w:pStyle w:val="TableText0"/>
              <w:keepLines/>
              <w:jc w:val="center"/>
              <w:rPr>
                <w:b/>
                <w:bCs w:val="0"/>
              </w:rPr>
            </w:pPr>
            <w:r w:rsidRPr="00162B20">
              <w:rPr>
                <w:b/>
                <w:bCs w:val="0"/>
              </w:rPr>
              <w:t>Cabozantinib</w:t>
            </w:r>
          </w:p>
        </w:tc>
        <w:tc>
          <w:tcPr>
            <w:tcW w:w="141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BBE6C3" w14:textId="77777777" w:rsidR="009D2FF5" w:rsidRPr="00162B20" w:rsidRDefault="009D2FF5" w:rsidP="007172C3">
            <w:pPr>
              <w:pStyle w:val="TableText0"/>
              <w:keepLines/>
              <w:jc w:val="center"/>
              <w:rPr>
                <w:b/>
                <w:bCs w:val="0"/>
              </w:rPr>
            </w:pPr>
            <w:r w:rsidRPr="00162B20">
              <w:rPr>
                <w:b/>
                <w:bCs w:val="0"/>
              </w:rPr>
              <w:t>Sunitinib</w:t>
            </w:r>
          </w:p>
        </w:tc>
        <w:tc>
          <w:tcPr>
            <w:tcW w:w="552"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90B5A9" w14:textId="77777777" w:rsidR="009D2FF5" w:rsidRPr="00162B20" w:rsidRDefault="009D2FF5" w:rsidP="007172C3">
            <w:pPr>
              <w:pStyle w:val="TableText0"/>
              <w:keepLines/>
              <w:jc w:val="center"/>
              <w:rPr>
                <w:b/>
                <w:bCs w:val="0"/>
              </w:rPr>
            </w:pPr>
            <w:r w:rsidRPr="00162B20">
              <w:rPr>
                <w:b/>
                <w:bCs w:val="0"/>
              </w:rPr>
              <w:t>Difference in median</w:t>
            </w:r>
          </w:p>
        </w:tc>
        <w:tc>
          <w:tcPr>
            <w:tcW w:w="456"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95E0AD" w14:textId="28FAF1A7" w:rsidR="009D2FF5" w:rsidRPr="00162B20" w:rsidRDefault="005D7A66" w:rsidP="007172C3">
            <w:pPr>
              <w:pStyle w:val="TableText0"/>
              <w:keepLines/>
              <w:jc w:val="center"/>
              <w:rPr>
                <w:b/>
                <w:bCs w:val="0"/>
              </w:rPr>
            </w:pPr>
            <w:r w:rsidRPr="00162B20">
              <w:rPr>
                <w:b/>
                <w:bCs w:val="0"/>
              </w:rPr>
              <w:t>p-</w:t>
            </w:r>
            <w:r w:rsidR="009D2FF5" w:rsidRPr="00162B20">
              <w:rPr>
                <w:b/>
                <w:bCs w:val="0"/>
              </w:rPr>
              <w:t>value</w:t>
            </w:r>
          </w:p>
          <w:p w14:paraId="6DD8FCE0" w14:textId="77777777" w:rsidR="009D2FF5" w:rsidRPr="00162B20" w:rsidRDefault="009D2FF5" w:rsidP="007172C3">
            <w:pPr>
              <w:pStyle w:val="TableText0"/>
              <w:keepLines/>
              <w:jc w:val="center"/>
              <w:rPr>
                <w:b/>
                <w:bCs w:val="0"/>
              </w:rPr>
            </w:pPr>
            <w:r w:rsidRPr="00162B20">
              <w:rPr>
                <w:b/>
                <w:bCs w:val="0"/>
              </w:rPr>
              <w:t>(log rank test)</w:t>
            </w:r>
          </w:p>
        </w:tc>
        <w:tc>
          <w:tcPr>
            <w:tcW w:w="536"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6A07C6" w14:textId="77777777" w:rsidR="009D2FF5" w:rsidRPr="00162B20" w:rsidRDefault="009D2FF5" w:rsidP="007172C3">
            <w:pPr>
              <w:pStyle w:val="TableText0"/>
              <w:keepLines/>
              <w:jc w:val="center"/>
              <w:rPr>
                <w:b/>
                <w:bCs w:val="0"/>
              </w:rPr>
            </w:pPr>
            <w:r w:rsidRPr="00162B20">
              <w:rPr>
                <w:b/>
                <w:bCs w:val="0"/>
              </w:rPr>
              <w:t>Hazard ratio (95% CI)</w:t>
            </w:r>
          </w:p>
        </w:tc>
      </w:tr>
      <w:tr w:rsidR="002858A0" w:rsidRPr="00162B20" w14:paraId="2F202AAB" w14:textId="77777777" w:rsidTr="00D948CF">
        <w:tc>
          <w:tcPr>
            <w:tcW w:w="57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1857FB" w14:textId="77777777" w:rsidR="009D2FF5" w:rsidRPr="00162B20" w:rsidRDefault="009D2FF5" w:rsidP="007172C3">
            <w:pPr>
              <w:pStyle w:val="TableText0"/>
              <w:keepLines/>
              <w:rPr>
                <w:b/>
                <w:bCs w:val="0"/>
              </w:rPr>
            </w:pPr>
          </w:p>
        </w:tc>
        <w:tc>
          <w:tcPr>
            <w:tcW w:w="67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F3F7A6" w14:textId="3BD80545" w:rsidR="009D2FF5" w:rsidRPr="00162B20" w:rsidRDefault="009D2FF5" w:rsidP="007172C3">
            <w:pPr>
              <w:pStyle w:val="TableText0"/>
              <w:keepLines/>
              <w:jc w:val="center"/>
              <w:rPr>
                <w:b/>
                <w:bCs w:val="0"/>
              </w:rPr>
            </w:pPr>
            <w:r w:rsidRPr="00162B20">
              <w:rPr>
                <w:b/>
                <w:bCs w:val="0"/>
              </w:rPr>
              <w:t>n</w:t>
            </w:r>
            <w:r w:rsidR="002858A0" w:rsidRPr="00162B20">
              <w:rPr>
                <w:b/>
                <w:bCs w:val="0"/>
              </w:rPr>
              <w:t>/</w:t>
            </w:r>
            <w:r w:rsidRPr="00162B20">
              <w:rPr>
                <w:b/>
                <w:bCs w:val="0"/>
              </w:rPr>
              <w:t>N with event (%)</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706F60" w14:textId="77777777" w:rsidR="009D2FF5" w:rsidRPr="00162B20" w:rsidRDefault="009D2FF5" w:rsidP="007172C3">
            <w:pPr>
              <w:pStyle w:val="TableText0"/>
              <w:keepLines/>
              <w:jc w:val="center"/>
              <w:rPr>
                <w:b/>
                <w:bCs w:val="0"/>
              </w:rPr>
            </w:pPr>
            <w:r w:rsidRPr="00162B20">
              <w:rPr>
                <w:b/>
                <w:bCs w:val="0"/>
              </w:rPr>
              <w:t>median time to event</w:t>
            </w:r>
          </w:p>
          <w:p w14:paraId="646D8812" w14:textId="77777777" w:rsidR="009D2FF5" w:rsidRPr="00162B20" w:rsidRDefault="009D2FF5" w:rsidP="007172C3">
            <w:pPr>
              <w:pStyle w:val="TableText0"/>
              <w:keepLines/>
              <w:jc w:val="center"/>
              <w:rPr>
                <w:b/>
                <w:bCs w:val="0"/>
              </w:rPr>
            </w:pPr>
            <w:r w:rsidRPr="00162B20">
              <w:rPr>
                <w:b/>
                <w:bCs w:val="0"/>
              </w:rPr>
              <w:t>(95% CI)</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09FE58" w14:textId="1902DC32" w:rsidR="009D2FF5" w:rsidRPr="00162B20" w:rsidRDefault="009D2FF5" w:rsidP="007172C3">
            <w:pPr>
              <w:pStyle w:val="TableText0"/>
              <w:keepLines/>
              <w:jc w:val="center"/>
              <w:rPr>
                <w:b/>
                <w:bCs w:val="0"/>
              </w:rPr>
            </w:pPr>
            <w:r w:rsidRPr="00162B20">
              <w:rPr>
                <w:b/>
                <w:bCs w:val="0"/>
              </w:rPr>
              <w:t>n</w:t>
            </w:r>
            <w:r w:rsidR="002858A0" w:rsidRPr="00162B20">
              <w:rPr>
                <w:b/>
                <w:bCs w:val="0"/>
              </w:rPr>
              <w:t>/</w:t>
            </w:r>
            <w:r w:rsidRPr="00162B20">
              <w:rPr>
                <w:b/>
                <w:bCs w:val="0"/>
              </w:rPr>
              <w:t>N with event (%)</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6F4DB5" w14:textId="77777777" w:rsidR="009D2FF5" w:rsidRPr="00162B20" w:rsidRDefault="009D2FF5" w:rsidP="007172C3">
            <w:pPr>
              <w:pStyle w:val="TableText0"/>
              <w:keepLines/>
              <w:jc w:val="center"/>
              <w:rPr>
                <w:b/>
                <w:bCs w:val="0"/>
              </w:rPr>
            </w:pPr>
            <w:r w:rsidRPr="00162B20">
              <w:rPr>
                <w:b/>
                <w:bCs w:val="0"/>
              </w:rPr>
              <w:t>median time to event</w:t>
            </w:r>
          </w:p>
          <w:p w14:paraId="1C050D7F" w14:textId="77777777" w:rsidR="009D2FF5" w:rsidRPr="00162B20" w:rsidRDefault="009D2FF5" w:rsidP="007172C3">
            <w:pPr>
              <w:pStyle w:val="TableText0"/>
              <w:keepLines/>
              <w:jc w:val="center"/>
              <w:rPr>
                <w:b/>
                <w:bCs w:val="0"/>
              </w:rPr>
            </w:pPr>
            <w:r w:rsidRPr="00162B20">
              <w:rPr>
                <w:b/>
                <w:bCs w:val="0"/>
              </w:rPr>
              <w:t>(95% CI)</w:t>
            </w:r>
          </w:p>
        </w:tc>
        <w:tc>
          <w:tcPr>
            <w:tcW w:w="55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E3749E" w14:textId="77777777" w:rsidR="009D2FF5" w:rsidRPr="00162B20" w:rsidRDefault="009D2FF5" w:rsidP="007172C3">
            <w:pPr>
              <w:pStyle w:val="TableText0"/>
              <w:keepLines/>
              <w:rPr>
                <w:b/>
                <w:bCs w:val="0"/>
              </w:rPr>
            </w:pPr>
          </w:p>
        </w:tc>
        <w:tc>
          <w:tcPr>
            <w:tcW w:w="45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FD7CB6" w14:textId="77777777" w:rsidR="009D2FF5" w:rsidRPr="00162B20" w:rsidRDefault="009D2FF5" w:rsidP="007172C3">
            <w:pPr>
              <w:pStyle w:val="TableText0"/>
              <w:keepLines/>
              <w:rPr>
                <w:b/>
                <w:bCs w:val="0"/>
              </w:rPr>
            </w:pPr>
          </w:p>
        </w:tc>
        <w:tc>
          <w:tcPr>
            <w:tcW w:w="53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A60525" w14:textId="77777777" w:rsidR="009D2FF5" w:rsidRPr="00162B20" w:rsidRDefault="009D2FF5" w:rsidP="007172C3">
            <w:pPr>
              <w:pStyle w:val="TableText0"/>
              <w:keepLines/>
              <w:rPr>
                <w:b/>
                <w:bCs w:val="0"/>
              </w:rPr>
            </w:pPr>
          </w:p>
        </w:tc>
      </w:tr>
      <w:tr w:rsidR="009D2FF5" w:rsidRPr="00162B20" w14:paraId="4148365A" w14:textId="77777777" w:rsidTr="00D948CF">
        <w:tc>
          <w:tcPr>
            <w:tcW w:w="5000" w:type="pct"/>
            <w:gridSpan w:val="8"/>
            <w:tcBorders>
              <w:top w:val="single" w:sz="4" w:space="0" w:color="auto"/>
              <w:left w:val="single" w:sz="4" w:space="0" w:color="auto"/>
              <w:bottom w:val="single" w:sz="4" w:space="0" w:color="auto"/>
              <w:right w:val="single" w:sz="4" w:space="0" w:color="auto"/>
            </w:tcBorders>
            <w:tcMar>
              <w:left w:w="28" w:type="dxa"/>
              <w:right w:w="28" w:type="dxa"/>
            </w:tcMar>
            <w:hideMark/>
          </w:tcPr>
          <w:p w14:paraId="0011ADE1" w14:textId="530094F9" w:rsidR="009D2FF5" w:rsidRPr="00162B20" w:rsidRDefault="009D2FF5" w:rsidP="007172C3">
            <w:pPr>
              <w:pStyle w:val="TableText0"/>
              <w:keepLines/>
              <w:rPr>
                <w:b/>
                <w:bCs w:val="0"/>
              </w:rPr>
            </w:pPr>
            <w:r w:rsidRPr="00162B20">
              <w:rPr>
                <w:b/>
                <w:bCs w:val="0"/>
              </w:rPr>
              <w:t>PFS</w:t>
            </w:r>
          </w:p>
        </w:tc>
      </w:tr>
      <w:tr w:rsidR="002858A0" w:rsidRPr="00162B20" w14:paraId="21776918" w14:textId="77777777" w:rsidTr="00D948CF">
        <w:tc>
          <w:tcPr>
            <w:tcW w:w="57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9FB95" w14:textId="585FF1BE" w:rsidR="009D2FF5" w:rsidRPr="00162B20" w:rsidRDefault="009D2FF5" w:rsidP="007172C3">
            <w:pPr>
              <w:pStyle w:val="TableText0"/>
              <w:keepLines/>
              <w:rPr>
                <w:vertAlign w:val="superscript"/>
              </w:rPr>
            </w:pPr>
            <w:r w:rsidRPr="00162B20">
              <w:t>SWOG 1500</w:t>
            </w:r>
            <w:r w:rsidR="00FB76E1" w:rsidRPr="00162B20">
              <w:rPr>
                <w:vertAlign w:val="superscript"/>
              </w:rPr>
              <w:t>a</w:t>
            </w:r>
          </w:p>
        </w:tc>
        <w:tc>
          <w:tcPr>
            <w:tcW w:w="67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153EEC" w14:textId="54E4A8D1" w:rsidR="009D2FF5" w:rsidRPr="00162B20" w:rsidRDefault="009D2FF5" w:rsidP="007172C3">
            <w:pPr>
              <w:pStyle w:val="TableText0"/>
              <w:keepLines/>
              <w:jc w:val="center"/>
            </w:pPr>
            <w:r w:rsidRPr="00162B20">
              <w:t>32</w:t>
            </w:r>
            <w:r w:rsidR="002858A0" w:rsidRPr="00162B20">
              <w:t>/</w:t>
            </w:r>
            <w:r w:rsidRPr="00162B20">
              <w:t>44 (72.7%)</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F9C56F" w14:textId="585441A5" w:rsidR="009D2FF5" w:rsidRPr="00162B20" w:rsidRDefault="009D2FF5" w:rsidP="007172C3">
            <w:pPr>
              <w:pStyle w:val="TableText0"/>
              <w:keepLines/>
              <w:jc w:val="center"/>
            </w:pPr>
            <w:r w:rsidRPr="00162B20">
              <w:t>9.0</w:t>
            </w:r>
            <w:r w:rsidR="00D948CF" w:rsidRPr="00162B20">
              <w:t xml:space="preserve"> </w:t>
            </w:r>
            <w:r w:rsidRPr="00162B20">
              <w:t>(5.6, 12.4)</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182B23" w14:textId="5AE51851" w:rsidR="009D2FF5" w:rsidRPr="00162B20" w:rsidRDefault="009D2FF5" w:rsidP="007172C3">
            <w:pPr>
              <w:pStyle w:val="TableText0"/>
              <w:keepLines/>
              <w:jc w:val="center"/>
            </w:pPr>
            <w:r w:rsidRPr="00162B20">
              <w:t>38</w:t>
            </w:r>
            <w:r w:rsidR="002858A0" w:rsidRPr="00162B20">
              <w:t>/</w:t>
            </w:r>
            <w:r w:rsidRPr="00162B20">
              <w:t>46 (82.6%)</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CA591E" w14:textId="336744F0" w:rsidR="009D2FF5" w:rsidRPr="00162B20" w:rsidRDefault="009D2FF5" w:rsidP="007172C3">
            <w:pPr>
              <w:pStyle w:val="TableText0"/>
              <w:keepLines/>
              <w:jc w:val="center"/>
            </w:pPr>
            <w:r w:rsidRPr="00162B20">
              <w:t>5.6</w:t>
            </w:r>
            <w:r w:rsidR="00D948CF" w:rsidRPr="00162B20">
              <w:t xml:space="preserve"> </w:t>
            </w:r>
            <w:r w:rsidRPr="00162B20">
              <w:t>(2.9, 6.7)</w:t>
            </w:r>
          </w:p>
        </w:tc>
        <w:tc>
          <w:tcPr>
            <w:tcW w:w="55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C99E87" w14:textId="77777777" w:rsidR="009D2FF5" w:rsidRPr="00162B20" w:rsidRDefault="009D2FF5" w:rsidP="007172C3">
            <w:pPr>
              <w:pStyle w:val="TableText0"/>
              <w:keepLines/>
              <w:jc w:val="center"/>
            </w:pPr>
            <w:r w:rsidRPr="00162B20">
              <w:t>3.4</w:t>
            </w:r>
          </w:p>
        </w:tc>
        <w:tc>
          <w:tcPr>
            <w:tcW w:w="4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D37796" w14:textId="77777777" w:rsidR="009D2FF5" w:rsidRPr="00162B20" w:rsidRDefault="009D2FF5" w:rsidP="007172C3">
            <w:pPr>
              <w:pStyle w:val="TableText0"/>
              <w:keepLines/>
              <w:jc w:val="center"/>
            </w:pPr>
            <w:r w:rsidRPr="00162B20">
              <w:t>0.019</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9F8778" w14:textId="715E7CD0" w:rsidR="009D2FF5" w:rsidRPr="00162B20" w:rsidRDefault="009D2FF5" w:rsidP="007172C3">
            <w:pPr>
              <w:pStyle w:val="TableText0"/>
              <w:keepLines/>
              <w:jc w:val="center"/>
              <w:rPr>
                <w:b/>
                <w:bCs w:val="0"/>
              </w:rPr>
            </w:pPr>
            <w:r w:rsidRPr="00162B20">
              <w:rPr>
                <w:b/>
                <w:bCs w:val="0"/>
              </w:rPr>
              <w:t>0.6</w:t>
            </w:r>
            <w:r w:rsidR="00FB76E1" w:rsidRPr="00162B20">
              <w:rPr>
                <w:b/>
                <w:bCs w:val="0"/>
              </w:rPr>
              <w:t>0</w:t>
            </w:r>
          </w:p>
          <w:p w14:paraId="021CAF22" w14:textId="77777777" w:rsidR="009D2FF5" w:rsidRPr="00162B20" w:rsidRDefault="009D2FF5" w:rsidP="007172C3">
            <w:pPr>
              <w:pStyle w:val="TableText0"/>
              <w:keepLines/>
              <w:jc w:val="center"/>
            </w:pPr>
            <w:r w:rsidRPr="00162B20">
              <w:rPr>
                <w:b/>
                <w:bCs w:val="0"/>
              </w:rPr>
              <w:t>(0.37, 0.97)</w:t>
            </w:r>
          </w:p>
        </w:tc>
      </w:tr>
      <w:tr w:rsidR="002858A0" w:rsidRPr="00162B20" w14:paraId="7F53E325" w14:textId="77777777" w:rsidTr="00D948CF">
        <w:tc>
          <w:tcPr>
            <w:tcW w:w="57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078AF8" w14:textId="73C9E554" w:rsidR="009D2FF5" w:rsidRPr="00162B20" w:rsidRDefault="009D2FF5" w:rsidP="007172C3">
            <w:pPr>
              <w:pStyle w:val="TableText0"/>
              <w:keepLines/>
              <w:rPr>
                <w:vertAlign w:val="superscript"/>
              </w:rPr>
            </w:pPr>
            <w:r w:rsidRPr="00162B20">
              <w:t>CABOSUN II</w:t>
            </w:r>
            <w:r w:rsidR="00FB76E1" w:rsidRPr="00162B20">
              <w:rPr>
                <w:vertAlign w:val="superscript"/>
              </w:rPr>
              <w:t>b</w:t>
            </w:r>
          </w:p>
        </w:tc>
        <w:tc>
          <w:tcPr>
            <w:tcW w:w="67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6B475A" w14:textId="15C8CFE8" w:rsidR="009D2FF5" w:rsidRPr="00162B20" w:rsidRDefault="009D2FF5" w:rsidP="007172C3">
            <w:pPr>
              <w:pStyle w:val="TableText0"/>
              <w:keepLines/>
              <w:jc w:val="center"/>
            </w:pPr>
            <w:r w:rsidRPr="00162B20">
              <w:t>11</w:t>
            </w:r>
            <w:r w:rsidR="002858A0" w:rsidRPr="00162B20">
              <w:t>/</w:t>
            </w:r>
            <w:r w:rsidRPr="00162B20">
              <w:t>15 (73.3%)</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F723A1" w14:textId="1BCC778B" w:rsidR="009D2FF5" w:rsidRPr="00162B20" w:rsidRDefault="009D2FF5" w:rsidP="007172C3">
            <w:pPr>
              <w:pStyle w:val="TableText0"/>
              <w:keepLines/>
              <w:jc w:val="center"/>
            </w:pPr>
            <w:r w:rsidRPr="00162B20">
              <w:t>8.2</w:t>
            </w:r>
            <w:r w:rsidR="00D948CF" w:rsidRPr="00162B20">
              <w:t xml:space="preserve"> </w:t>
            </w:r>
            <w:r w:rsidRPr="00162B20">
              <w:t xml:space="preserve">(4.3, </w:t>
            </w:r>
            <w:r w:rsidR="00443D80" w:rsidRPr="00162B20">
              <w:t>not reached</w:t>
            </w:r>
            <w:r w:rsidRPr="00162B20">
              <w:t>)</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1ED597" w14:textId="54E896A1" w:rsidR="009D2FF5" w:rsidRPr="00162B20" w:rsidRDefault="009D2FF5" w:rsidP="007172C3">
            <w:pPr>
              <w:pStyle w:val="TableText0"/>
              <w:keepLines/>
              <w:jc w:val="center"/>
            </w:pPr>
            <w:r w:rsidRPr="00162B20">
              <w:t>9</w:t>
            </w:r>
            <w:r w:rsidR="002858A0" w:rsidRPr="00162B20">
              <w:t>/</w:t>
            </w:r>
            <w:r w:rsidRPr="00162B20">
              <w:t>17 (52.9%)</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A4FF0F" w14:textId="0E12C67F" w:rsidR="009D2FF5" w:rsidRPr="00162B20" w:rsidRDefault="009D2FF5" w:rsidP="007172C3">
            <w:pPr>
              <w:pStyle w:val="TableText0"/>
              <w:keepLines/>
              <w:jc w:val="center"/>
            </w:pPr>
            <w:r w:rsidRPr="00162B20">
              <w:t>13.8</w:t>
            </w:r>
            <w:r w:rsidR="00D948CF" w:rsidRPr="00162B20">
              <w:t xml:space="preserve"> </w:t>
            </w:r>
            <w:r w:rsidRPr="00162B20">
              <w:t xml:space="preserve">(11, </w:t>
            </w:r>
            <w:r w:rsidR="00443D80" w:rsidRPr="00162B20">
              <w:t>not reached</w:t>
            </w:r>
            <w:r w:rsidRPr="00162B20">
              <w:t>)</w:t>
            </w:r>
          </w:p>
        </w:tc>
        <w:tc>
          <w:tcPr>
            <w:tcW w:w="55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D9B432" w14:textId="77777777" w:rsidR="009D2FF5" w:rsidRPr="00162B20" w:rsidRDefault="009D2FF5" w:rsidP="007172C3">
            <w:pPr>
              <w:pStyle w:val="TableText0"/>
              <w:keepLines/>
              <w:jc w:val="center"/>
            </w:pPr>
            <w:r w:rsidRPr="00162B20">
              <w:t>-5.6</w:t>
            </w:r>
          </w:p>
        </w:tc>
        <w:tc>
          <w:tcPr>
            <w:tcW w:w="4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E2C285" w14:textId="77777777" w:rsidR="009D2FF5" w:rsidRPr="00162B20" w:rsidRDefault="009D2FF5" w:rsidP="007172C3">
            <w:pPr>
              <w:pStyle w:val="TableText0"/>
              <w:keepLines/>
              <w:jc w:val="center"/>
            </w:pPr>
            <w:r w:rsidRPr="00162B20">
              <w:t>0.96</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4D58C9" w14:textId="77777777" w:rsidR="009D2FF5" w:rsidRPr="00162B20" w:rsidRDefault="009D2FF5" w:rsidP="007172C3">
            <w:pPr>
              <w:pStyle w:val="TableText0"/>
              <w:keepLines/>
              <w:jc w:val="center"/>
            </w:pPr>
            <w:r w:rsidRPr="00162B20">
              <w:t>NR</w:t>
            </w:r>
          </w:p>
        </w:tc>
      </w:tr>
      <w:tr w:rsidR="009D2FF5" w:rsidRPr="00162B20" w14:paraId="735D63B0" w14:textId="77777777" w:rsidTr="00D948CF">
        <w:tc>
          <w:tcPr>
            <w:tcW w:w="5000"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3DF142" w14:textId="1FF00197" w:rsidR="009D2FF5" w:rsidRPr="00162B20" w:rsidRDefault="009D2FF5" w:rsidP="007172C3">
            <w:pPr>
              <w:pStyle w:val="TableText0"/>
              <w:keepLines/>
              <w:rPr>
                <w:b/>
                <w:bCs w:val="0"/>
              </w:rPr>
            </w:pPr>
            <w:r w:rsidRPr="00162B20">
              <w:rPr>
                <w:b/>
                <w:bCs w:val="0"/>
              </w:rPr>
              <w:t>OS</w:t>
            </w:r>
          </w:p>
        </w:tc>
      </w:tr>
      <w:tr w:rsidR="002858A0" w:rsidRPr="00162B20" w14:paraId="5C282852" w14:textId="77777777" w:rsidTr="00D948CF">
        <w:tc>
          <w:tcPr>
            <w:tcW w:w="57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C65AA9" w14:textId="5579D0F3" w:rsidR="009D2FF5" w:rsidRPr="00162B20" w:rsidRDefault="009D2FF5" w:rsidP="007172C3">
            <w:pPr>
              <w:pStyle w:val="TableText0"/>
              <w:keepLines/>
              <w:rPr>
                <w:vertAlign w:val="superscript"/>
              </w:rPr>
            </w:pPr>
            <w:r w:rsidRPr="00162B20">
              <w:t>SWOG 1500</w:t>
            </w:r>
            <w:r w:rsidR="00FB76E1" w:rsidRPr="00162B20">
              <w:rPr>
                <w:vertAlign w:val="superscript"/>
              </w:rPr>
              <w:t>a</w:t>
            </w:r>
          </w:p>
        </w:tc>
        <w:tc>
          <w:tcPr>
            <w:tcW w:w="67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B3BCBE" w14:textId="0155B60E" w:rsidR="009D2FF5" w:rsidRPr="00162B20" w:rsidRDefault="009D2FF5" w:rsidP="007172C3">
            <w:pPr>
              <w:pStyle w:val="TableText0"/>
              <w:keepLines/>
              <w:jc w:val="center"/>
            </w:pPr>
            <w:r w:rsidRPr="00162B20">
              <w:t>22</w:t>
            </w:r>
            <w:r w:rsidR="002858A0" w:rsidRPr="00162B20">
              <w:t>/</w:t>
            </w:r>
            <w:r w:rsidRPr="00162B20">
              <w:t>44</w:t>
            </w:r>
            <w:r w:rsidR="00D948CF" w:rsidRPr="00162B20">
              <w:t xml:space="preserve"> </w:t>
            </w:r>
            <w:r w:rsidRPr="00162B20">
              <w:t>(50%)</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F119D7" w14:textId="5035E83D" w:rsidR="009D2FF5" w:rsidRPr="00162B20" w:rsidRDefault="009D2FF5" w:rsidP="007172C3">
            <w:pPr>
              <w:pStyle w:val="TableText0"/>
              <w:keepLines/>
              <w:jc w:val="center"/>
            </w:pPr>
            <w:r w:rsidRPr="00162B20">
              <w:t>20.0</w:t>
            </w:r>
            <w:r w:rsidR="00D948CF" w:rsidRPr="00162B20">
              <w:t xml:space="preserve"> </w:t>
            </w:r>
            <w:r w:rsidRPr="00162B20">
              <w:t>(11.3</w:t>
            </w:r>
            <w:r w:rsidR="002858A0" w:rsidRPr="00162B20">
              <w:t>, not reached</w:t>
            </w:r>
            <w:r w:rsidRPr="00162B20">
              <w:t>)</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4E97D5" w14:textId="3F1B4BFF" w:rsidR="009D2FF5" w:rsidRPr="00162B20" w:rsidRDefault="009D2FF5" w:rsidP="007172C3">
            <w:pPr>
              <w:pStyle w:val="TableText0"/>
              <w:keepLines/>
              <w:jc w:val="center"/>
            </w:pPr>
            <w:r w:rsidRPr="00162B20">
              <w:t>24</w:t>
            </w:r>
            <w:r w:rsidR="002858A0" w:rsidRPr="00162B20">
              <w:t>/</w:t>
            </w:r>
            <w:r w:rsidRPr="00162B20">
              <w:t>46</w:t>
            </w:r>
            <w:r w:rsidR="00D948CF" w:rsidRPr="00162B20">
              <w:t xml:space="preserve"> </w:t>
            </w:r>
            <w:r w:rsidRPr="00162B20">
              <w:t>(52</w:t>
            </w:r>
            <w:r w:rsidR="00FE45BB" w:rsidRPr="00162B20">
              <w:t>.1</w:t>
            </w:r>
            <w:r w:rsidRPr="00162B20">
              <w:t>%)</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FF7C68" w14:textId="153F40CB" w:rsidR="009D2FF5" w:rsidRPr="00162B20" w:rsidRDefault="009D2FF5" w:rsidP="007172C3">
            <w:pPr>
              <w:pStyle w:val="TableText0"/>
              <w:keepLines/>
              <w:jc w:val="center"/>
            </w:pPr>
            <w:r w:rsidRPr="00162B20">
              <w:t>16.4</w:t>
            </w:r>
            <w:r w:rsidR="00D948CF" w:rsidRPr="00162B20">
              <w:t xml:space="preserve"> </w:t>
            </w:r>
            <w:r w:rsidRPr="00162B20">
              <w:t>(12.8</w:t>
            </w:r>
            <w:r w:rsidR="002858A0" w:rsidRPr="00162B20">
              <w:t xml:space="preserve">, </w:t>
            </w:r>
            <w:r w:rsidRPr="00162B20">
              <w:t>21.6)</w:t>
            </w:r>
          </w:p>
        </w:tc>
        <w:tc>
          <w:tcPr>
            <w:tcW w:w="5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549732" w14:textId="3D51E4FA" w:rsidR="009D2FF5" w:rsidRPr="00162B20" w:rsidRDefault="00F84AE6" w:rsidP="007172C3">
            <w:pPr>
              <w:pStyle w:val="TableText0"/>
              <w:keepLines/>
              <w:jc w:val="center"/>
            </w:pPr>
            <w:r w:rsidRPr="00162B20">
              <w:t>3.6</w:t>
            </w:r>
          </w:p>
        </w:tc>
        <w:tc>
          <w:tcPr>
            <w:tcW w:w="4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3924D7" w14:textId="77777777" w:rsidR="009D2FF5" w:rsidRPr="00162B20" w:rsidRDefault="009D2FF5" w:rsidP="007172C3">
            <w:pPr>
              <w:pStyle w:val="TableText0"/>
              <w:keepLines/>
              <w:jc w:val="center"/>
            </w:pPr>
            <w:r w:rsidRPr="00162B20">
              <w:t>NR</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57EEC5" w14:textId="77777777" w:rsidR="00FB76E1" w:rsidRPr="00162B20" w:rsidRDefault="009D2FF5" w:rsidP="007172C3">
            <w:pPr>
              <w:pStyle w:val="TableText0"/>
              <w:keepLines/>
              <w:jc w:val="center"/>
            </w:pPr>
            <w:r w:rsidRPr="00162B20">
              <w:t xml:space="preserve">0.84 </w:t>
            </w:r>
          </w:p>
          <w:p w14:paraId="1947377B" w14:textId="358DADF9" w:rsidR="009D2FF5" w:rsidRPr="00162B20" w:rsidRDefault="009D2FF5" w:rsidP="007172C3">
            <w:pPr>
              <w:pStyle w:val="TableText0"/>
              <w:keepLines/>
              <w:jc w:val="center"/>
            </w:pPr>
            <w:r w:rsidRPr="00162B20">
              <w:t>(0.47</w:t>
            </w:r>
            <w:r w:rsidR="002858A0" w:rsidRPr="00162B20">
              <w:t xml:space="preserve">, </w:t>
            </w:r>
            <w:r w:rsidRPr="00162B20">
              <w:t>1.51)</w:t>
            </w:r>
          </w:p>
        </w:tc>
      </w:tr>
      <w:tr w:rsidR="002858A0" w:rsidRPr="00162B20" w14:paraId="2534B508" w14:textId="77777777" w:rsidTr="00D948CF">
        <w:tc>
          <w:tcPr>
            <w:tcW w:w="57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9FCC4D" w14:textId="09CA177A" w:rsidR="009D2FF5" w:rsidRPr="00162B20" w:rsidRDefault="009D2FF5" w:rsidP="007172C3">
            <w:pPr>
              <w:pStyle w:val="TableText0"/>
              <w:keepLines/>
            </w:pPr>
            <w:r w:rsidRPr="00162B20">
              <w:t>CABOSUN II</w:t>
            </w:r>
            <w:r w:rsidR="00FB76E1" w:rsidRPr="00162B20">
              <w:rPr>
                <w:vertAlign w:val="superscript"/>
              </w:rPr>
              <w:t>b</w:t>
            </w:r>
          </w:p>
        </w:tc>
        <w:tc>
          <w:tcPr>
            <w:tcW w:w="67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6D58C7" w14:textId="6C5B2F4B" w:rsidR="009D2FF5" w:rsidRPr="00162B20" w:rsidRDefault="00C61108" w:rsidP="007172C3">
            <w:pPr>
              <w:pStyle w:val="TableText0"/>
              <w:keepLines/>
              <w:jc w:val="center"/>
            </w:pPr>
            <w:r w:rsidRPr="00162B20">
              <w:t>9</w:t>
            </w:r>
            <w:r w:rsidR="002858A0" w:rsidRPr="00162B20">
              <w:t>/</w:t>
            </w:r>
            <w:r w:rsidRPr="00162B20">
              <w:t>15</w:t>
            </w:r>
            <w:r w:rsidR="009D2FF5" w:rsidRPr="00162B20">
              <w:t xml:space="preserve"> (</w:t>
            </w:r>
            <w:r w:rsidRPr="00162B20">
              <w:t>60</w:t>
            </w:r>
            <w:r w:rsidR="009D2FF5" w:rsidRPr="00162B20">
              <w:t>%)</w:t>
            </w:r>
          </w:p>
        </w:tc>
        <w:tc>
          <w:tcPr>
            <w:tcW w:w="787"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F3839D" w14:textId="36A56657" w:rsidR="009D2FF5" w:rsidRPr="00162B20" w:rsidRDefault="009D2FF5" w:rsidP="007172C3">
            <w:pPr>
              <w:pStyle w:val="TableText0"/>
              <w:keepLines/>
              <w:jc w:val="center"/>
            </w:pPr>
            <w:r w:rsidRPr="00162B20">
              <w:t>2</w:t>
            </w:r>
            <w:r w:rsidR="00C61108" w:rsidRPr="00162B20">
              <w:t>8</w:t>
            </w:r>
            <w:r w:rsidR="00951423" w:rsidRPr="00162B20">
              <w:t>.0</w:t>
            </w:r>
            <w:r w:rsidRPr="00162B20">
              <w:t xml:space="preserve"> (</w:t>
            </w:r>
            <w:r w:rsidR="00C61108" w:rsidRPr="00162B20">
              <w:t>17</w:t>
            </w:r>
            <w:r w:rsidRPr="00162B20">
              <w:t xml:space="preserve">, </w:t>
            </w:r>
            <w:r w:rsidR="00C61108" w:rsidRPr="00162B20">
              <w:t>not reached</w:t>
            </w:r>
            <w:r w:rsidRPr="00162B20">
              <w:t>)</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0CF626" w14:textId="1BD01B11" w:rsidR="009D2FF5" w:rsidRPr="00162B20" w:rsidRDefault="00C61108" w:rsidP="007172C3">
            <w:pPr>
              <w:pStyle w:val="TableText0"/>
              <w:keepLines/>
              <w:jc w:val="center"/>
            </w:pPr>
            <w:r w:rsidRPr="00162B20">
              <w:t>7/17</w:t>
            </w:r>
            <w:r w:rsidR="009D2FF5" w:rsidRPr="00162B20">
              <w:t xml:space="preserve"> (</w:t>
            </w:r>
            <w:r w:rsidRPr="00162B20">
              <w:t>41.1</w:t>
            </w:r>
            <w:r w:rsidR="009D2FF5" w:rsidRPr="00162B20">
              <w:t>%)</w:t>
            </w:r>
          </w:p>
        </w:tc>
        <w:tc>
          <w:tcPr>
            <w:tcW w:w="78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4C0107" w14:textId="0253F319" w:rsidR="009D2FF5" w:rsidRPr="00162B20" w:rsidRDefault="00C61108" w:rsidP="007172C3">
            <w:pPr>
              <w:pStyle w:val="TableText0"/>
              <w:keepLines/>
              <w:jc w:val="center"/>
            </w:pPr>
            <w:r w:rsidRPr="00162B20">
              <w:t>34.9</w:t>
            </w:r>
            <w:r w:rsidR="009D2FF5" w:rsidRPr="00162B20">
              <w:t xml:space="preserve"> (</w:t>
            </w:r>
            <w:r w:rsidRPr="00162B20">
              <w:t>28.6</w:t>
            </w:r>
            <w:r w:rsidR="009D2FF5" w:rsidRPr="00162B20">
              <w:t>,</w:t>
            </w:r>
            <w:r w:rsidRPr="00162B20">
              <w:t xml:space="preserve"> not reached</w:t>
            </w:r>
            <w:r w:rsidR="009D2FF5" w:rsidRPr="00162B20">
              <w:t>)</w:t>
            </w:r>
          </w:p>
        </w:tc>
        <w:tc>
          <w:tcPr>
            <w:tcW w:w="5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D00857" w14:textId="194A4DD0" w:rsidR="009D2FF5" w:rsidRPr="00162B20" w:rsidRDefault="00F84AE6" w:rsidP="007172C3">
            <w:pPr>
              <w:pStyle w:val="TableText0"/>
              <w:keepLines/>
              <w:jc w:val="center"/>
            </w:pPr>
            <w:r w:rsidRPr="00162B20">
              <w:t>-6.9</w:t>
            </w:r>
          </w:p>
        </w:tc>
        <w:tc>
          <w:tcPr>
            <w:tcW w:w="4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DCBE30" w14:textId="5ECC7E91" w:rsidR="009D2FF5" w:rsidRPr="00162B20" w:rsidRDefault="00C61108" w:rsidP="007172C3">
            <w:pPr>
              <w:pStyle w:val="TableText0"/>
              <w:keepLines/>
              <w:jc w:val="center"/>
            </w:pPr>
            <w:r w:rsidRPr="00162B20">
              <w:t>0.67</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78F3FA" w14:textId="0D5A77B1" w:rsidR="009D2FF5" w:rsidRPr="00162B20" w:rsidRDefault="00C61108" w:rsidP="007172C3">
            <w:pPr>
              <w:pStyle w:val="TableText0"/>
              <w:keepLines/>
              <w:jc w:val="center"/>
            </w:pPr>
            <w:r w:rsidRPr="00162B20">
              <w:t>NR</w:t>
            </w:r>
          </w:p>
        </w:tc>
      </w:tr>
    </w:tbl>
    <w:p w14:paraId="7211CD71" w14:textId="144671D5" w:rsidR="009D2FF5" w:rsidRPr="00162B20" w:rsidRDefault="009D2FF5" w:rsidP="007172C3">
      <w:pPr>
        <w:pStyle w:val="TableFooter"/>
        <w:keepNext/>
        <w:keepLines/>
        <w:rPr>
          <w:sz w:val="20"/>
        </w:rPr>
      </w:pPr>
      <w:r w:rsidRPr="00162B20">
        <w:t xml:space="preserve">Source: Table 2-13, p47, Table 2-16, p49 of the submission; </w:t>
      </w:r>
      <w:r w:rsidRPr="00162B20">
        <w:rPr>
          <w:color w:val="000000" w:themeColor="text1"/>
        </w:rPr>
        <w:t>Johns et al. (2023)</w:t>
      </w:r>
      <w:r w:rsidR="001C12EC" w:rsidRPr="00162B20">
        <w:rPr>
          <w:color w:val="000000" w:themeColor="text1"/>
        </w:rPr>
        <w:t>;</w:t>
      </w:r>
      <w:r w:rsidRPr="00162B20">
        <w:rPr>
          <w:color w:val="000000" w:themeColor="text1"/>
        </w:rPr>
        <w:t xml:space="preserve"> Pal et al. (2021).</w:t>
      </w:r>
    </w:p>
    <w:p w14:paraId="30036A94" w14:textId="529F8395" w:rsidR="009D2FF5" w:rsidRPr="00162B20" w:rsidRDefault="009D2FF5" w:rsidP="007172C3">
      <w:pPr>
        <w:pStyle w:val="TableFooter"/>
        <w:keepNext/>
        <w:keepLines/>
        <w:rPr>
          <w:rFonts w:eastAsia="Calibri"/>
        </w:rPr>
      </w:pPr>
      <w:r w:rsidRPr="00162B20">
        <w:rPr>
          <w:rFonts w:eastAsia="Calibri"/>
        </w:rPr>
        <w:t xml:space="preserve">CI = confidence interval; n = number of participants reporting data with events; N = total participants in group; </w:t>
      </w:r>
      <w:r w:rsidR="00FB76E1" w:rsidRPr="00162B20">
        <w:rPr>
          <w:rFonts w:eastAsia="Calibri"/>
        </w:rPr>
        <w:t xml:space="preserve">OS = overall survival; PFS = progression-free survival; </w:t>
      </w:r>
      <w:r w:rsidRPr="00162B20">
        <w:rPr>
          <w:rFonts w:eastAsia="Calibri"/>
        </w:rPr>
        <w:t>NR</w:t>
      </w:r>
      <w:r w:rsidR="00F84AE6" w:rsidRPr="00162B20">
        <w:rPr>
          <w:rFonts w:eastAsia="Calibri"/>
        </w:rPr>
        <w:t xml:space="preserve"> =</w:t>
      </w:r>
      <w:r w:rsidRPr="00162B20">
        <w:rPr>
          <w:rFonts w:eastAsia="Calibri"/>
        </w:rPr>
        <w:t xml:space="preserve"> not reported</w:t>
      </w:r>
      <w:r w:rsidR="00F84AE6" w:rsidRPr="00162B20">
        <w:rPr>
          <w:rFonts w:eastAsia="Calibri"/>
        </w:rPr>
        <w:t>.</w:t>
      </w:r>
    </w:p>
    <w:p w14:paraId="0B32A961" w14:textId="77E2D190" w:rsidR="00443D80" w:rsidRPr="00162B20" w:rsidRDefault="00FB76E1" w:rsidP="007172C3">
      <w:pPr>
        <w:pStyle w:val="FooterTableFigure"/>
        <w:keepNext/>
        <w:keepLines/>
        <w:rPr>
          <w:rFonts w:eastAsia="Calibri"/>
          <w:bCs/>
          <w:color w:val="000000" w:themeColor="text1"/>
        </w:rPr>
      </w:pPr>
      <w:r w:rsidRPr="00162B20">
        <w:rPr>
          <w:rFonts w:eastAsia="Calibri"/>
          <w:bCs/>
          <w:color w:val="000000" w:themeColor="text1"/>
          <w:vertAlign w:val="superscript"/>
        </w:rPr>
        <w:t>a</w:t>
      </w:r>
      <w:r w:rsidR="00CD16B0" w:rsidRPr="00162B20">
        <w:rPr>
          <w:rFonts w:eastAsia="Calibri"/>
          <w:bCs/>
          <w:color w:val="000000" w:themeColor="text1"/>
        </w:rPr>
        <w:t xml:space="preserve"> Cut-off date was 16 October 2020.</w:t>
      </w:r>
      <w:r w:rsidR="00F735B3" w:rsidRPr="00162B20">
        <w:rPr>
          <w:rFonts w:eastAsia="Calibri"/>
          <w:bCs/>
          <w:color w:val="000000" w:themeColor="text1"/>
        </w:rPr>
        <w:t xml:space="preserve"> </w:t>
      </w:r>
      <w:r w:rsidRPr="00162B20">
        <w:rPr>
          <w:bCs/>
          <w:vertAlign w:val="superscript"/>
        </w:rPr>
        <w:t>b</w:t>
      </w:r>
      <w:r w:rsidR="00CD16B0" w:rsidRPr="00162B20">
        <w:rPr>
          <w:bCs/>
          <w:vertAlign w:val="superscript"/>
        </w:rPr>
        <w:t xml:space="preserve"> </w:t>
      </w:r>
      <w:r w:rsidR="00176565" w:rsidRPr="00162B20">
        <w:rPr>
          <w:bCs/>
        </w:rPr>
        <w:t>study was conducted</w:t>
      </w:r>
      <w:r w:rsidR="00176565" w:rsidRPr="00162B20">
        <w:t xml:space="preserve"> </w:t>
      </w:r>
      <w:r w:rsidR="00176565" w:rsidRPr="00162B20">
        <w:rPr>
          <w:bCs/>
        </w:rPr>
        <w:t>between 9/2018 and 6/2021</w:t>
      </w:r>
      <w:r w:rsidR="00CD16B0" w:rsidRPr="00162B20">
        <w:rPr>
          <w:bCs/>
        </w:rPr>
        <w:t>.</w:t>
      </w:r>
    </w:p>
    <w:p w14:paraId="7484F742" w14:textId="0DA89514" w:rsidR="009D2FF5" w:rsidRPr="00162B20" w:rsidRDefault="00CD16B0" w:rsidP="009D2FF5">
      <w:pPr>
        <w:pStyle w:val="FooterTableFigure"/>
        <w:rPr>
          <w:rFonts w:eastAsia="Calibri"/>
        </w:rPr>
      </w:pPr>
      <w:r w:rsidRPr="00162B20">
        <w:rPr>
          <w:rFonts w:eastAsia="Calibri"/>
          <w:bCs/>
          <w:color w:val="000000" w:themeColor="text1"/>
        </w:rPr>
        <w:t>Bold</w:t>
      </w:r>
      <w:r w:rsidRPr="00162B20">
        <w:rPr>
          <w:rFonts w:eastAsia="Calibri"/>
          <w:color w:val="000000" w:themeColor="text1"/>
        </w:rPr>
        <w:t xml:space="preserve"> indicates statistically significant results. </w:t>
      </w:r>
      <w:r w:rsidR="00253709" w:rsidRPr="00162B20">
        <w:rPr>
          <w:rFonts w:eastAsia="Calibri"/>
        </w:rPr>
        <w:t>The p-values were one-sided.</w:t>
      </w:r>
    </w:p>
    <w:p w14:paraId="4A0BF2D8" w14:textId="2E901826" w:rsidR="008E7156" w:rsidRPr="00162B20" w:rsidRDefault="008E7156" w:rsidP="008E7156">
      <w:pPr>
        <w:pStyle w:val="Caption"/>
      </w:pPr>
      <w:bookmarkStart w:id="34" w:name="_Ref155162555"/>
      <w:r w:rsidRPr="00162B20">
        <w:lastRenderedPageBreak/>
        <w:t xml:space="preserve">Figure </w:t>
      </w:r>
      <w:fldSimple w:instr=" SEQ Figure \* ARABIC ">
        <w:r w:rsidR="0030362D">
          <w:rPr>
            <w:noProof/>
          </w:rPr>
          <w:t>2</w:t>
        </w:r>
      </w:fldSimple>
      <w:bookmarkEnd w:id="34"/>
      <w:r w:rsidRPr="00162B20">
        <w:t xml:space="preserve">: Kaplan-Meier analysis of </w:t>
      </w:r>
      <w:r w:rsidR="00FB76E1" w:rsidRPr="00162B20">
        <w:t xml:space="preserve">PFS </w:t>
      </w:r>
      <w:r w:rsidRPr="00162B20">
        <w:t>in SWOG 1500</w:t>
      </w:r>
    </w:p>
    <w:p w14:paraId="47702C33" w14:textId="77777777" w:rsidR="008E7156" w:rsidRPr="00162B20" w:rsidRDefault="008E7156" w:rsidP="008E7156">
      <w:pPr>
        <w:rPr>
          <w:rFonts w:eastAsia="Calibri"/>
        </w:rPr>
      </w:pPr>
      <w:r w:rsidRPr="00162B20">
        <w:rPr>
          <w:rFonts w:eastAsia="Calibri"/>
          <w:noProof/>
        </w:rPr>
        <w:drawing>
          <wp:inline distT="0" distB="0" distL="0" distR="0" wp14:anchorId="04A1F9EA" wp14:editId="465AD875">
            <wp:extent cx="4969510" cy="3235960"/>
            <wp:effectExtent l="0" t="0" r="2540" b="2540"/>
            <wp:docPr id="303328070" name="Picture 2" descr="Figure 2: Kaplan-Meier analysis of PFS in SWOG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28070" name="Picture 2" descr="Figure 2: Kaplan-Meier analysis of PFS in SWOG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9510" cy="3235960"/>
                    </a:xfrm>
                    <a:prstGeom prst="rect">
                      <a:avLst/>
                    </a:prstGeom>
                    <a:noFill/>
                    <a:ln>
                      <a:noFill/>
                    </a:ln>
                  </pic:spPr>
                </pic:pic>
              </a:graphicData>
            </a:graphic>
          </wp:inline>
        </w:drawing>
      </w:r>
    </w:p>
    <w:p w14:paraId="355C714D" w14:textId="77777777" w:rsidR="008E7156" w:rsidRPr="00162B20" w:rsidRDefault="008E7156" w:rsidP="008E7156">
      <w:pPr>
        <w:pStyle w:val="TableFigureFooter"/>
      </w:pPr>
      <w:r w:rsidRPr="00162B20">
        <w:t>Source: Figure 2-3, p48 of the submission.</w:t>
      </w:r>
    </w:p>
    <w:p w14:paraId="36736978" w14:textId="77777777" w:rsidR="008E7156" w:rsidRPr="00162B20" w:rsidRDefault="008E7156" w:rsidP="008E7156">
      <w:pPr>
        <w:pStyle w:val="TableFigureFooter"/>
      </w:pPr>
      <w:r w:rsidRPr="00162B20">
        <w:t>CI = confidence interval</w:t>
      </w:r>
    </w:p>
    <w:p w14:paraId="1CCE9542" w14:textId="4D028050" w:rsidR="008E7156" w:rsidRPr="00162B20" w:rsidRDefault="008E7156" w:rsidP="008E7156">
      <w:pPr>
        <w:pStyle w:val="Caption"/>
      </w:pPr>
      <w:bookmarkStart w:id="35" w:name="_Ref155162590"/>
      <w:r w:rsidRPr="00162B20">
        <w:t xml:space="preserve">Figure </w:t>
      </w:r>
      <w:fldSimple w:instr=" SEQ Figure \* ARABIC ">
        <w:r w:rsidR="0030362D">
          <w:rPr>
            <w:noProof/>
          </w:rPr>
          <w:t>3</w:t>
        </w:r>
      </w:fldSimple>
      <w:bookmarkEnd w:id="35"/>
      <w:r w:rsidRPr="00162B20">
        <w:t xml:space="preserve">: Kaplan-Meier analysis of </w:t>
      </w:r>
      <w:r w:rsidR="00FB76E1" w:rsidRPr="00162B20">
        <w:t xml:space="preserve">OS </w:t>
      </w:r>
      <w:r w:rsidRPr="00162B20">
        <w:t>in SWOG 1500</w:t>
      </w:r>
    </w:p>
    <w:p w14:paraId="3C40BE86" w14:textId="77777777" w:rsidR="008E7156" w:rsidRPr="00162B20" w:rsidRDefault="008E7156" w:rsidP="008E7156">
      <w:pPr>
        <w:rPr>
          <w:rStyle w:val="CommentReference"/>
        </w:rPr>
      </w:pPr>
      <w:r w:rsidRPr="00162B20">
        <w:rPr>
          <w:rFonts w:ascii="Arial Narrow" w:hAnsi="Arial Narrow"/>
          <w:b/>
          <w:noProof/>
          <w:sz w:val="20"/>
          <w:szCs w:val="16"/>
        </w:rPr>
        <w:drawing>
          <wp:inline distT="0" distB="0" distL="0" distR="0" wp14:anchorId="164CD64B" wp14:editId="7F800C63">
            <wp:extent cx="4779010" cy="3235960"/>
            <wp:effectExtent l="0" t="0" r="2540" b="2540"/>
            <wp:docPr id="1103808606" name="Picture 1" descr="Figure 3: Kaplan-Meier analysis of OS in SWOG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08606" name="Picture 1" descr="Figure 3: Kaplan-Meier analysis of OS in SWOG 15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3235960"/>
                    </a:xfrm>
                    <a:prstGeom prst="rect">
                      <a:avLst/>
                    </a:prstGeom>
                    <a:noFill/>
                    <a:ln>
                      <a:noFill/>
                    </a:ln>
                  </pic:spPr>
                </pic:pic>
              </a:graphicData>
            </a:graphic>
          </wp:inline>
        </w:drawing>
      </w:r>
    </w:p>
    <w:p w14:paraId="1AD9E157" w14:textId="77777777" w:rsidR="008E7156" w:rsidRPr="00162B20" w:rsidRDefault="008E7156" w:rsidP="008E7156">
      <w:pPr>
        <w:pStyle w:val="FooterTableFigure"/>
      </w:pPr>
      <w:r w:rsidRPr="00162B20">
        <w:t>Source: Figure 2-4, p50 of the submission.</w:t>
      </w:r>
    </w:p>
    <w:p w14:paraId="33A68519" w14:textId="77777777" w:rsidR="008E7156" w:rsidRPr="00162B20" w:rsidRDefault="008E7156" w:rsidP="008E7156">
      <w:pPr>
        <w:pStyle w:val="FooterTableFigure"/>
      </w:pPr>
      <w:r w:rsidRPr="00162B20">
        <w:t>CI = confidence interval</w:t>
      </w:r>
    </w:p>
    <w:p w14:paraId="458CB21D" w14:textId="3E78093D" w:rsidR="00671B0D" w:rsidRPr="00162B20" w:rsidRDefault="00253709" w:rsidP="008911D1">
      <w:pPr>
        <w:pStyle w:val="3-BodyText"/>
        <w:snapToGrid w:val="0"/>
        <w:rPr>
          <w:i/>
          <w:iCs/>
        </w:rPr>
      </w:pPr>
      <w:r w:rsidRPr="00162B20">
        <w:t xml:space="preserve">In SWOG 1500, the median PFS was </w:t>
      </w:r>
      <w:r w:rsidR="00CC01DE" w:rsidRPr="00162B20">
        <w:t xml:space="preserve">statistically </w:t>
      </w:r>
      <w:r w:rsidRPr="00162B20">
        <w:t xml:space="preserve">significantly higher in the cabozantinib arm than in the sunitinib arm, while </w:t>
      </w:r>
      <w:r w:rsidR="00C133B3" w:rsidRPr="00162B20">
        <w:t xml:space="preserve">the </w:t>
      </w:r>
      <w:r w:rsidRPr="00162B20">
        <w:t>results from CABOSUN II did not show a significant difference.</w:t>
      </w:r>
      <w:r w:rsidR="00E91282" w:rsidRPr="00162B20">
        <w:t xml:space="preserve"> </w:t>
      </w:r>
      <w:r w:rsidR="00C42D0F" w:rsidRPr="00162B20">
        <w:t xml:space="preserve">OS was a secondary endpoint in both SWOG 1500 and </w:t>
      </w:r>
      <w:r w:rsidR="00000C9C" w:rsidRPr="00162B20">
        <w:t xml:space="preserve">CABOSUN </w:t>
      </w:r>
      <w:r w:rsidR="00000C9C" w:rsidRPr="00162B20">
        <w:lastRenderedPageBreak/>
        <w:t>II</w:t>
      </w:r>
      <w:r w:rsidR="00CC01DE" w:rsidRPr="00162B20">
        <w:t>, though the SWOG 1500 trial was not designed to detect differences in OS</w:t>
      </w:r>
      <w:r w:rsidR="00C42D0F" w:rsidRPr="00162B20">
        <w:t>. OS was not significantly different between</w:t>
      </w:r>
      <w:r w:rsidR="00450191" w:rsidRPr="00162B20">
        <w:t xml:space="preserve"> the</w:t>
      </w:r>
      <w:r w:rsidR="00C42D0F" w:rsidRPr="00162B20">
        <w:t xml:space="preserve"> cabozantinib and sunitinib </w:t>
      </w:r>
      <w:r w:rsidR="00450191" w:rsidRPr="00162B20">
        <w:t>arms in</w:t>
      </w:r>
      <w:r w:rsidR="00C42D0F" w:rsidRPr="00162B20">
        <w:t xml:space="preserve"> SWOG 1500 (</w:t>
      </w:r>
      <w:r w:rsidR="00450191" w:rsidRPr="00162B20">
        <w:t>3.6</w:t>
      </w:r>
      <w:r w:rsidR="005107A1" w:rsidRPr="00162B20">
        <w:t xml:space="preserve"> months</w:t>
      </w:r>
      <w:r w:rsidR="00450191" w:rsidRPr="00162B20">
        <w:t xml:space="preserve"> median OS benefit, HR=0.84 (95% CI: 0.47, 1.51)</w:t>
      </w:r>
      <w:r w:rsidR="006D0520" w:rsidRPr="00162B20">
        <w:t xml:space="preserve">, </w:t>
      </w:r>
      <w:r w:rsidR="006D0520" w:rsidRPr="00162B20">
        <w:fldChar w:fldCharType="begin"/>
      </w:r>
      <w:r w:rsidR="006D0520" w:rsidRPr="00162B20">
        <w:instrText xml:space="preserve"> REF _Ref155162320 \h </w:instrText>
      </w:r>
      <w:r w:rsidR="006D0520" w:rsidRPr="00162B20">
        <w:fldChar w:fldCharType="separate"/>
      </w:r>
      <w:r w:rsidR="0030362D" w:rsidRPr="00162B20">
        <w:t xml:space="preserve">Table </w:t>
      </w:r>
      <w:r w:rsidR="0030362D">
        <w:rPr>
          <w:noProof/>
        </w:rPr>
        <w:t>4</w:t>
      </w:r>
      <w:r w:rsidR="006D0520" w:rsidRPr="00162B20">
        <w:fldChar w:fldCharType="end"/>
      </w:r>
      <w:r w:rsidR="00C42D0F" w:rsidRPr="00162B20">
        <w:t>)</w:t>
      </w:r>
      <w:r w:rsidR="00450191" w:rsidRPr="00162B20">
        <w:t xml:space="preserve">, though there was a trend toward improved survival as shown in </w:t>
      </w:r>
      <w:r w:rsidR="00450191" w:rsidRPr="00162B20">
        <w:fldChar w:fldCharType="begin"/>
      </w:r>
      <w:r w:rsidR="00450191" w:rsidRPr="00162B20">
        <w:instrText xml:space="preserve"> REF _Ref155162590 \h  \* MERGEFORMAT </w:instrText>
      </w:r>
      <w:r w:rsidR="00450191" w:rsidRPr="00162B20">
        <w:fldChar w:fldCharType="separate"/>
      </w:r>
      <w:r w:rsidR="0030362D" w:rsidRPr="00162B20">
        <w:t xml:space="preserve">Figure </w:t>
      </w:r>
      <w:r w:rsidR="0030362D">
        <w:t>3</w:t>
      </w:r>
      <w:r w:rsidR="00450191" w:rsidRPr="00162B20">
        <w:fldChar w:fldCharType="end"/>
      </w:r>
      <w:r w:rsidR="00C42D0F" w:rsidRPr="00162B20">
        <w:t xml:space="preserve">. </w:t>
      </w:r>
      <w:r w:rsidR="00450191" w:rsidRPr="00162B20">
        <w:t>However</w:t>
      </w:r>
      <w:r w:rsidR="00C133B3" w:rsidRPr="00162B20">
        <w:t>,</w:t>
      </w:r>
      <w:r w:rsidR="00450191" w:rsidRPr="00162B20">
        <w:t xml:space="preserve"> r</w:t>
      </w:r>
      <w:r w:rsidR="00C42D0F" w:rsidRPr="00162B20">
        <w:t xml:space="preserve">esults from CABOSUN II showed a lower median OS in the cabozantinib </w:t>
      </w:r>
      <w:r w:rsidR="00450191" w:rsidRPr="00162B20">
        <w:t xml:space="preserve">arm </w:t>
      </w:r>
      <w:r w:rsidR="00C42D0F" w:rsidRPr="00162B20">
        <w:t>compared to sunitinib (-6.9 months</w:t>
      </w:r>
      <w:r w:rsidR="00450191" w:rsidRPr="00162B20">
        <w:t xml:space="preserve"> median OS difference</w:t>
      </w:r>
      <w:r w:rsidR="00C42D0F" w:rsidRPr="00162B20">
        <w:t>).</w:t>
      </w:r>
      <w:r w:rsidR="00D9038A" w:rsidRPr="00162B20">
        <w:t xml:space="preserve"> </w:t>
      </w:r>
      <w:r w:rsidR="00C42D0F" w:rsidRPr="00162B20">
        <w:t>Th</w:t>
      </w:r>
      <w:r w:rsidR="00EE5D76" w:rsidRPr="00162B20">
        <w:t xml:space="preserve">e </w:t>
      </w:r>
      <w:r w:rsidR="005A2800" w:rsidRPr="00162B20">
        <w:t>conflicting</w:t>
      </w:r>
      <w:r w:rsidR="00EE5D76" w:rsidRPr="00162B20">
        <w:t xml:space="preserve"> results </w:t>
      </w:r>
      <w:r w:rsidR="005A2800" w:rsidRPr="00162B20">
        <w:t>for cabozantinib PFS and OS benefit</w:t>
      </w:r>
      <w:r w:rsidR="00C42D0F" w:rsidRPr="00162B20">
        <w:t xml:space="preserve"> could be due to the </w:t>
      </w:r>
      <w:r w:rsidR="005A2800" w:rsidRPr="00162B20">
        <w:t xml:space="preserve">differences in </w:t>
      </w:r>
      <w:r w:rsidR="00553B21" w:rsidRPr="00162B20">
        <w:t>patient</w:t>
      </w:r>
      <w:r w:rsidR="00C42D0F" w:rsidRPr="00162B20">
        <w:t xml:space="preserve"> characteristics in the trials</w:t>
      </w:r>
      <w:r w:rsidR="003973A6" w:rsidRPr="00162B20">
        <w:t xml:space="preserve">, previous treatments received, the distribution of </w:t>
      </w:r>
      <w:r w:rsidR="005A2800" w:rsidRPr="00162B20">
        <w:t xml:space="preserve">histology </w:t>
      </w:r>
      <w:r w:rsidR="003973A6" w:rsidRPr="00162B20">
        <w:t xml:space="preserve">subtypes included in each treatment arm, and </w:t>
      </w:r>
      <w:r w:rsidR="005A2800" w:rsidRPr="00162B20">
        <w:t xml:space="preserve">the </w:t>
      </w:r>
      <w:r w:rsidR="003973A6" w:rsidRPr="00162B20">
        <w:t>IMDC risk</w:t>
      </w:r>
      <w:r w:rsidR="00CC01DE" w:rsidRPr="00162B20">
        <w:t xml:space="preserve"> or due to the small sample size in CABOSUN II</w:t>
      </w:r>
      <w:r w:rsidR="00C42D0F" w:rsidRPr="00162B20">
        <w:t>.</w:t>
      </w:r>
      <w:r w:rsidR="009D04F8" w:rsidRPr="00162B20">
        <w:rPr>
          <w:i/>
          <w:iCs/>
        </w:rPr>
        <w:t xml:space="preserve"> </w:t>
      </w:r>
    </w:p>
    <w:p w14:paraId="06E44557" w14:textId="1AE57956" w:rsidR="00684BD7" w:rsidRPr="00162B20" w:rsidRDefault="00C133B3" w:rsidP="00595B14">
      <w:pPr>
        <w:pStyle w:val="3-BodyText"/>
        <w:snapToGrid w:val="0"/>
      </w:pPr>
      <w:r w:rsidRPr="00162B20">
        <w:t>The</w:t>
      </w:r>
      <w:r w:rsidR="00684BD7" w:rsidRPr="00162B20">
        <w:t xml:space="preserve"> significant PFS but non-significant OS benefits </w:t>
      </w:r>
      <w:r w:rsidRPr="00162B20">
        <w:t>were</w:t>
      </w:r>
      <w:r w:rsidR="00684BD7" w:rsidRPr="00162B20">
        <w:t xml:space="preserve"> </w:t>
      </w:r>
      <w:r w:rsidRPr="00162B20">
        <w:t>consistent</w:t>
      </w:r>
      <w:r w:rsidR="00684BD7" w:rsidRPr="00162B20">
        <w:t xml:space="preserve"> with </w:t>
      </w:r>
      <w:r w:rsidRPr="00162B20">
        <w:t xml:space="preserve">the outcomes of </w:t>
      </w:r>
      <w:proofErr w:type="spellStart"/>
      <w:r w:rsidR="00684BD7" w:rsidRPr="00162B20">
        <w:t>cabozantinib</w:t>
      </w:r>
      <w:proofErr w:type="spellEnd"/>
      <w:r w:rsidR="00684BD7" w:rsidRPr="00162B20">
        <w:t xml:space="preserve"> in </w:t>
      </w:r>
      <w:r w:rsidRPr="00162B20">
        <w:t xml:space="preserve">the </w:t>
      </w:r>
      <w:proofErr w:type="spellStart"/>
      <w:r w:rsidR="00684BD7" w:rsidRPr="00162B20">
        <w:t>ccRCC</w:t>
      </w:r>
      <w:proofErr w:type="spellEnd"/>
      <w:r w:rsidR="00684BD7" w:rsidRPr="00162B20">
        <w:t xml:space="preserve"> setting. The PBAC assessment of cabozantinib versus sunitinib in the </w:t>
      </w:r>
      <w:proofErr w:type="spellStart"/>
      <w:r w:rsidR="00684BD7" w:rsidRPr="00162B20">
        <w:t>ccRCC</w:t>
      </w:r>
      <w:proofErr w:type="spellEnd"/>
      <w:r w:rsidR="00684BD7" w:rsidRPr="00162B20">
        <w:t xml:space="preserve"> population noted that “… the difference in OS for cabozantinib versus sunitinib was not statistically significant and appeared to be decreasing with addition</w:t>
      </w:r>
      <w:r w:rsidRPr="00162B20">
        <w:t>al</w:t>
      </w:r>
      <w:r w:rsidR="00684BD7" w:rsidRPr="00162B20">
        <w:t xml:space="preserve"> follow-up” </w:t>
      </w:r>
      <w:r w:rsidR="00FD21BF" w:rsidRPr="00162B20">
        <w:t xml:space="preserve">(paragraph </w:t>
      </w:r>
      <w:r w:rsidR="00684BD7" w:rsidRPr="00162B20">
        <w:t>7.4, Cabozantinib</w:t>
      </w:r>
      <w:r w:rsidR="00FD21BF" w:rsidRPr="00162B20">
        <w:t xml:space="preserve">, </w:t>
      </w:r>
      <w:r w:rsidR="00917425" w:rsidRPr="00162B20">
        <w:t>Public Summary Document (PSD)</w:t>
      </w:r>
      <w:r w:rsidR="00684BD7" w:rsidRPr="00162B20">
        <w:t xml:space="preserve"> November 2020 </w:t>
      </w:r>
      <w:r w:rsidR="00CC01DE" w:rsidRPr="00162B20">
        <w:t>PBAC meeting</w:t>
      </w:r>
      <w:r w:rsidR="00684BD7" w:rsidRPr="00162B20">
        <w:t>).</w:t>
      </w:r>
    </w:p>
    <w:p w14:paraId="3A924B39" w14:textId="405319F3" w:rsidR="009D04F8" w:rsidRPr="00162B20" w:rsidRDefault="00AD76C5" w:rsidP="006166F6">
      <w:pPr>
        <w:pStyle w:val="3-BodyText"/>
        <w:snapToGrid w:val="0"/>
      </w:pPr>
      <w:r w:rsidRPr="00162B20">
        <w:fldChar w:fldCharType="begin"/>
      </w:r>
      <w:r w:rsidRPr="00162B20">
        <w:instrText xml:space="preserve"> REF _Ref155620801 \h </w:instrText>
      </w:r>
      <w:r w:rsidRPr="00162B20">
        <w:fldChar w:fldCharType="separate"/>
      </w:r>
      <w:r w:rsidR="0030362D" w:rsidRPr="00162B20">
        <w:t xml:space="preserve">Table </w:t>
      </w:r>
      <w:r w:rsidR="0030362D">
        <w:rPr>
          <w:noProof/>
        </w:rPr>
        <w:t>5</w:t>
      </w:r>
      <w:r w:rsidRPr="00162B20">
        <w:fldChar w:fldCharType="end"/>
      </w:r>
      <w:r w:rsidRPr="00162B20">
        <w:t xml:space="preserve"> </w:t>
      </w:r>
      <w:r w:rsidR="009D04F8" w:rsidRPr="00162B20">
        <w:t>presents the results of objective response rate</w:t>
      </w:r>
      <w:r w:rsidR="00D9038A" w:rsidRPr="00162B20">
        <w:t xml:space="preserve"> (ORR)</w:t>
      </w:r>
      <w:r w:rsidR="009D04F8" w:rsidRPr="00162B20">
        <w:t xml:space="preserve"> across trials.</w:t>
      </w:r>
    </w:p>
    <w:p w14:paraId="16392AC6" w14:textId="49A541B7" w:rsidR="00D26FA2" w:rsidRPr="00162B20" w:rsidRDefault="00D26FA2" w:rsidP="00D26FA2">
      <w:pPr>
        <w:pStyle w:val="Caption"/>
      </w:pPr>
      <w:bookmarkStart w:id="36" w:name="_Ref155620801"/>
      <w:r w:rsidRPr="00162B20">
        <w:t xml:space="preserve">Table </w:t>
      </w:r>
      <w:fldSimple w:instr=" SEQ Table \* ARABIC ">
        <w:r w:rsidR="0030362D">
          <w:rPr>
            <w:noProof/>
          </w:rPr>
          <w:t>5</w:t>
        </w:r>
      </w:fldSimple>
      <w:bookmarkEnd w:id="36"/>
      <w:r w:rsidR="00AD76C5" w:rsidRPr="00162B20">
        <w:t>: Results of ORR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ORR across the trials"/>
      </w:tblPr>
      <w:tblGrid>
        <w:gridCol w:w="1279"/>
        <w:gridCol w:w="1751"/>
        <w:gridCol w:w="1327"/>
        <w:gridCol w:w="1293"/>
        <w:gridCol w:w="1630"/>
        <w:gridCol w:w="1737"/>
      </w:tblGrid>
      <w:tr w:rsidR="00AB4ECF" w:rsidRPr="00162B20" w14:paraId="5C0B9D9A" w14:textId="77777777" w:rsidTr="00D26FA2">
        <w:trPr>
          <w:tblHeader/>
        </w:trPr>
        <w:tc>
          <w:tcPr>
            <w:tcW w:w="709" w:type="pct"/>
            <w:tcBorders>
              <w:top w:val="single" w:sz="4" w:space="0" w:color="auto"/>
              <w:left w:val="single" w:sz="4" w:space="0" w:color="auto"/>
              <w:bottom w:val="single" w:sz="4" w:space="0" w:color="auto"/>
              <w:right w:val="single" w:sz="4" w:space="0" w:color="auto"/>
            </w:tcBorders>
            <w:vAlign w:val="center"/>
          </w:tcPr>
          <w:p w14:paraId="4327B9F1" w14:textId="4C60D2E0" w:rsidR="00AB4ECF" w:rsidRPr="00162B20" w:rsidRDefault="00DC36F9">
            <w:pPr>
              <w:pStyle w:val="In-tableHeading"/>
              <w:jc w:val="center"/>
              <w:rPr>
                <w:color w:val="000000" w:themeColor="text1"/>
                <w:lang w:val="en-AU"/>
              </w:rPr>
            </w:pPr>
            <w:r w:rsidRPr="00162B20">
              <w:rPr>
                <w:color w:val="000000" w:themeColor="text1"/>
                <w:lang w:val="en-AU"/>
              </w:rPr>
              <w:t>Trial</w:t>
            </w:r>
          </w:p>
        </w:tc>
        <w:tc>
          <w:tcPr>
            <w:tcW w:w="971" w:type="pct"/>
            <w:tcBorders>
              <w:top w:val="single" w:sz="4" w:space="0" w:color="auto"/>
              <w:left w:val="single" w:sz="4" w:space="0" w:color="auto"/>
              <w:bottom w:val="single" w:sz="4" w:space="0" w:color="auto"/>
              <w:right w:val="single" w:sz="4" w:space="0" w:color="auto"/>
            </w:tcBorders>
            <w:vAlign w:val="center"/>
            <w:hideMark/>
          </w:tcPr>
          <w:p w14:paraId="66151ADB" w14:textId="77777777" w:rsidR="00AB4ECF" w:rsidRPr="00162B20" w:rsidRDefault="00AB4ECF">
            <w:pPr>
              <w:pStyle w:val="In-tableHeading"/>
              <w:jc w:val="center"/>
              <w:rPr>
                <w:color w:val="000000" w:themeColor="text1"/>
                <w:lang w:val="en-AU"/>
              </w:rPr>
            </w:pPr>
            <w:r w:rsidRPr="00162B20">
              <w:rPr>
                <w:color w:val="000000" w:themeColor="text1"/>
                <w:lang w:val="en-AU"/>
              </w:rPr>
              <w:t>Response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52B42843" w14:textId="77777777" w:rsidR="00AB4ECF" w:rsidRPr="00162B20" w:rsidRDefault="00AB4ECF">
            <w:pPr>
              <w:pStyle w:val="In-tableHeading"/>
              <w:jc w:val="center"/>
              <w:rPr>
                <w:color w:val="000000" w:themeColor="text1"/>
                <w:lang w:val="en-AU"/>
              </w:rPr>
            </w:pPr>
            <w:r w:rsidRPr="00162B20">
              <w:rPr>
                <w:color w:val="000000" w:themeColor="text1"/>
                <w:lang w:val="en-AU"/>
              </w:rPr>
              <w:t>Cabozantinib</w:t>
            </w:r>
          </w:p>
        </w:tc>
        <w:tc>
          <w:tcPr>
            <w:tcW w:w="717" w:type="pct"/>
            <w:tcBorders>
              <w:top w:val="single" w:sz="4" w:space="0" w:color="auto"/>
              <w:left w:val="single" w:sz="4" w:space="0" w:color="auto"/>
              <w:bottom w:val="single" w:sz="4" w:space="0" w:color="auto"/>
              <w:right w:val="single" w:sz="4" w:space="0" w:color="auto"/>
            </w:tcBorders>
            <w:vAlign w:val="center"/>
            <w:hideMark/>
          </w:tcPr>
          <w:p w14:paraId="647970F9" w14:textId="77777777" w:rsidR="00AB4ECF" w:rsidRPr="00162B20" w:rsidRDefault="00AB4ECF">
            <w:pPr>
              <w:pStyle w:val="In-tableHeading"/>
              <w:jc w:val="center"/>
              <w:rPr>
                <w:color w:val="000000" w:themeColor="text1"/>
                <w:lang w:val="en-AU"/>
              </w:rPr>
            </w:pPr>
            <w:r w:rsidRPr="00162B20">
              <w:rPr>
                <w:color w:val="000000" w:themeColor="text1"/>
                <w:lang w:val="en-AU"/>
              </w:rPr>
              <w:t>Sunitinib</w:t>
            </w:r>
          </w:p>
        </w:tc>
        <w:tc>
          <w:tcPr>
            <w:tcW w:w="904" w:type="pct"/>
            <w:tcBorders>
              <w:top w:val="single" w:sz="4" w:space="0" w:color="auto"/>
              <w:left w:val="single" w:sz="4" w:space="0" w:color="auto"/>
              <w:bottom w:val="single" w:sz="4" w:space="0" w:color="auto"/>
              <w:right w:val="single" w:sz="4" w:space="0" w:color="auto"/>
            </w:tcBorders>
            <w:vAlign w:val="center"/>
            <w:hideMark/>
          </w:tcPr>
          <w:p w14:paraId="21EFEA1C" w14:textId="77777777" w:rsidR="00AB4ECF" w:rsidRPr="00162B20" w:rsidRDefault="00AB4ECF">
            <w:pPr>
              <w:pStyle w:val="In-tableHeading"/>
              <w:jc w:val="center"/>
              <w:rPr>
                <w:color w:val="000000" w:themeColor="text1"/>
                <w:lang w:val="en-AU"/>
              </w:rPr>
            </w:pPr>
            <w:r w:rsidRPr="00162B20">
              <w:rPr>
                <w:color w:val="000000" w:themeColor="text1"/>
                <w:lang w:val="en-AU"/>
              </w:rPr>
              <w:t>Relative risk</w:t>
            </w:r>
          </w:p>
          <w:p w14:paraId="0BF4EBFF" w14:textId="77777777" w:rsidR="00AB4ECF" w:rsidRPr="00162B20" w:rsidRDefault="00AB4ECF">
            <w:pPr>
              <w:pStyle w:val="In-tableHeading"/>
              <w:jc w:val="center"/>
              <w:rPr>
                <w:color w:val="000000" w:themeColor="text1"/>
                <w:lang w:val="en-AU"/>
              </w:rPr>
            </w:pPr>
            <w:r w:rsidRPr="00162B20">
              <w:rPr>
                <w:color w:val="000000" w:themeColor="text1"/>
                <w:lang w:val="en-AU"/>
              </w:rPr>
              <w:t>(95% CI)</w:t>
            </w:r>
          </w:p>
        </w:tc>
        <w:tc>
          <w:tcPr>
            <w:tcW w:w="964" w:type="pct"/>
            <w:tcBorders>
              <w:top w:val="single" w:sz="4" w:space="0" w:color="auto"/>
              <w:left w:val="single" w:sz="4" w:space="0" w:color="auto"/>
              <w:bottom w:val="single" w:sz="4" w:space="0" w:color="auto"/>
              <w:right w:val="single" w:sz="4" w:space="0" w:color="auto"/>
            </w:tcBorders>
            <w:vAlign w:val="center"/>
            <w:hideMark/>
          </w:tcPr>
          <w:p w14:paraId="4E0E557A" w14:textId="77777777" w:rsidR="00AB4ECF" w:rsidRPr="00162B20" w:rsidRDefault="00AB4ECF">
            <w:pPr>
              <w:pStyle w:val="In-tableHeading"/>
              <w:jc w:val="center"/>
              <w:rPr>
                <w:color w:val="000000" w:themeColor="text1"/>
                <w:lang w:val="en-AU"/>
              </w:rPr>
            </w:pPr>
            <w:r w:rsidRPr="00162B20">
              <w:rPr>
                <w:color w:val="000000" w:themeColor="text1"/>
                <w:lang w:val="en-AU"/>
              </w:rPr>
              <w:t>Risk difference</w:t>
            </w:r>
          </w:p>
          <w:p w14:paraId="16F1F9DF" w14:textId="77777777" w:rsidR="00AB4ECF" w:rsidRPr="00162B20" w:rsidRDefault="00AB4ECF">
            <w:pPr>
              <w:pStyle w:val="In-tableHeading"/>
              <w:jc w:val="center"/>
              <w:rPr>
                <w:color w:val="000000" w:themeColor="text1"/>
                <w:lang w:val="en-AU"/>
              </w:rPr>
            </w:pPr>
            <w:r w:rsidRPr="00162B20">
              <w:rPr>
                <w:color w:val="000000" w:themeColor="text1"/>
                <w:lang w:val="en-AU"/>
              </w:rPr>
              <w:t>(95% CI)</w:t>
            </w:r>
          </w:p>
        </w:tc>
      </w:tr>
      <w:tr w:rsidR="00AB4ECF" w:rsidRPr="00162B20" w14:paraId="522B0A47" w14:textId="77777777" w:rsidTr="00D26FA2">
        <w:tc>
          <w:tcPr>
            <w:tcW w:w="709" w:type="pct"/>
            <w:vMerge w:val="restart"/>
            <w:tcBorders>
              <w:top w:val="single" w:sz="4" w:space="0" w:color="auto"/>
              <w:left w:val="single" w:sz="4" w:space="0" w:color="auto"/>
              <w:bottom w:val="single" w:sz="4" w:space="0" w:color="auto"/>
              <w:right w:val="single" w:sz="4" w:space="0" w:color="auto"/>
            </w:tcBorders>
            <w:vAlign w:val="center"/>
            <w:hideMark/>
          </w:tcPr>
          <w:p w14:paraId="44AA029F" w14:textId="1E42F98D" w:rsidR="00AB4ECF" w:rsidRPr="00162B20" w:rsidRDefault="00AB4ECF" w:rsidP="00DC36F9">
            <w:pPr>
              <w:pStyle w:val="TableText0"/>
              <w:rPr>
                <w:b/>
                <w:bCs w:val="0"/>
                <w:vertAlign w:val="superscript"/>
              </w:rPr>
            </w:pPr>
            <w:r w:rsidRPr="00162B20">
              <w:rPr>
                <w:b/>
                <w:bCs w:val="0"/>
              </w:rPr>
              <w:t>SWOG 1500</w:t>
            </w:r>
            <w:r w:rsidR="00D9038A" w:rsidRPr="00162B20">
              <w:rPr>
                <w:b/>
                <w:bCs w:val="0"/>
                <w:vertAlign w:val="superscript"/>
              </w:rPr>
              <w:t>a</w:t>
            </w:r>
          </w:p>
        </w:tc>
        <w:tc>
          <w:tcPr>
            <w:tcW w:w="971" w:type="pct"/>
            <w:tcBorders>
              <w:top w:val="single" w:sz="4" w:space="0" w:color="auto"/>
              <w:left w:val="single" w:sz="4" w:space="0" w:color="auto"/>
              <w:bottom w:val="single" w:sz="4" w:space="0" w:color="auto"/>
              <w:right w:val="single" w:sz="4" w:space="0" w:color="auto"/>
            </w:tcBorders>
            <w:hideMark/>
          </w:tcPr>
          <w:p w14:paraId="49337A42" w14:textId="77777777" w:rsidR="00AB4ECF" w:rsidRPr="00162B20" w:rsidRDefault="00AB4ECF">
            <w:pPr>
              <w:pStyle w:val="TableText0"/>
            </w:pPr>
            <w:r w:rsidRPr="00162B20">
              <w:t>Overall response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56E6106A" w14:textId="15AA3398" w:rsidR="00AB4ECF" w:rsidRPr="00162B20" w:rsidRDefault="00AB4ECF" w:rsidP="00DC36F9">
            <w:pPr>
              <w:pStyle w:val="TableText0"/>
              <w:jc w:val="center"/>
            </w:pPr>
            <w:r w:rsidRPr="00162B20">
              <w:t>10/44 (2</w:t>
            </w:r>
            <w:r w:rsidR="00294212" w:rsidRPr="00162B20">
              <w:t>2.7</w:t>
            </w:r>
            <w:r w:rsidRPr="00162B20">
              <w:t>%)</w:t>
            </w:r>
          </w:p>
        </w:tc>
        <w:tc>
          <w:tcPr>
            <w:tcW w:w="717" w:type="pct"/>
            <w:tcBorders>
              <w:top w:val="single" w:sz="4" w:space="0" w:color="auto"/>
              <w:left w:val="single" w:sz="4" w:space="0" w:color="auto"/>
              <w:bottom w:val="single" w:sz="4" w:space="0" w:color="auto"/>
              <w:right w:val="single" w:sz="4" w:space="0" w:color="auto"/>
            </w:tcBorders>
            <w:vAlign w:val="center"/>
            <w:hideMark/>
          </w:tcPr>
          <w:p w14:paraId="53109590" w14:textId="73F6C9BF" w:rsidR="00AB4ECF" w:rsidRPr="00162B20" w:rsidRDefault="00AB4ECF" w:rsidP="00DC36F9">
            <w:pPr>
              <w:pStyle w:val="TableText0"/>
              <w:jc w:val="center"/>
            </w:pPr>
            <w:r w:rsidRPr="00162B20">
              <w:t>2/46 (4</w:t>
            </w:r>
            <w:r w:rsidR="003B3078" w:rsidRPr="00162B20">
              <w:t>.3</w:t>
            </w:r>
            <w:r w:rsidRPr="00162B20">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3E469419" w14:textId="77777777" w:rsidR="00AB4ECF" w:rsidRPr="00162B20" w:rsidRDefault="00AB4ECF" w:rsidP="00DC36F9">
            <w:pPr>
              <w:pStyle w:val="TableText0"/>
              <w:jc w:val="center"/>
              <w:rPr>
                <w:b/>
                <w:bCs w:val="0"/>
              </w:rPr>
            </w:pPr>
            <w:r w:rsidRPr="00162B20">
              <w:rPr>
                <w:b/>
                <w:bCs w:val="0"/>
              </w:rPr>
              <w:t>5.22 (1.21, 22.53)</w:t>
            </w:r>
          </w:p>
        </w:tc>
        <w:tc>
          <w:tcPr>
            <w:tcW w:w="964" w:type="pct"/>
            <w:tcBorders>
              <w:top w:val="single" w:sz="4" w:space="0" w:color="auto"/>
              <w:left w:val="single" w:sz="4" w:space="0" w:color="auto"/>
              <w:bottom w:val="single" w:sz="4" w:space="0" w:color="auto"/>
              <w:right w:val="single" w:sz="4" w:space="0" w:color="auto"/>
            </w:tcBorders>
            <w:vAlign w:val="center"/>
            <w:hideMark/>
          </w:tcPr>
          <w:p w14:paraId="34AC544E" w14:textId="77777777" w:rsidR="00AB4ECF" w:rsidRPr="00162B20" w:rsidRDefault="00AB4ECF" w:rsidP="00DC36F9">
            <w:pPr>
              <w:pStyle w:val="TableText0"/>
              <w:jc w:val="center"/>
              <w:rPr>
                <w:b/>
                <w:bCs w:val="0"/>
              </w:rPr>
            </w:pPr>
            <w:r w:rsidRPr="00162B20">
              <w:rPr>
                <w:b/>
                <w:bCs w:val="0"/>
              </w:rPr>
              <w:t>18.38 (3.29, 33.47)</w:t>
            </w:r>
          </w:p>
        </w:tc>
      </w:tr>
      <w:tr w:rsidR="00AB4ECF" w:rsidRPr="00162B20" w14:paraId="6D291A18" w14:textId="77777777" w:rsidTr="00D26FA2">
        <w:tc>
          <w:tcPr>
            <w:tcW w:w="709" w:type="pct"/>
            <w:vMerge/>
            <w:tcBorders>
              <w:top w:val="single" w:sz="4" w:space="0" w:color="auto"/>
              <w:left w:val="single" w:sz="4" w:space="0" w:color="auto"/>
              <w:bottom w:val="single" w:sz="4" w:space="0" w:color="auto"/>
              <w:right w:val="single" w:sz="4" w:space="0" w:color="auto"/>
            </w:tcBorders>
            <w:vAlign w:val="center"/>
            <w:hideMark/>
          </w:tcPr>
          <w:p w14:paraId="58362CBE" w14:textId="77777777" w:rsidR="00AB4ECF" w:rsidRPr="00162B20" w:rsidRDefault="00AB4ECF" w:rsidP="00DC36F9">
            <w:pPr>
              <w:jc w:val="left"/>
              <w:rPr>
                <w:rFonts w:ascii="Arial Narrow" w:eastAsiaTheme="majorEastAsia" w:hAnsi="Arial Narrow" w:cstheme="majorBidi"/>
                <w:b/>
                <w:sz w:val="20"/>
              </w:rPr>
            </w:pPr>
          </w:p>
        </w:tc>
        <w:tc>
          <w:tcPr>
            <w:tcW w:w="971" w:type="pct"/>
            <w:tcBorders>
              <w:top w:val="single" w:sz="4" w:space="0" w:color="auto"/>
              <w:left w:val="single" w:sz="4" w:space="0" w:color="auto"/>
              <w:bottom w:val="single" w:sz="4" w:space="0" w:color="auto"/>
              <w:right w:val="single" w:sz="4" w:space="0" w:color="auto"/>
            </w:tcBorders>
            <w:hideMark/>
          </w:tcPr>
          <w:p w14:paraId="315F64E5" w14:textId="77777777" w:rsidR="00AB4ECF" w:rsidRPr="00162B20" w:rsidRDefault="00AB4ECF">
            <w:pPr>
              <w:pStyle w:val="TableText0"/>
            </w:pPr>
            <w:r w:rsidRPr="00162B20">
              <w:t>Partial response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33AE5FF0" w14:textId="29639913" w:rsidR="00AB4ECF" w:rsidRPr="00162B20" w:rsidRDefault="00AB4ECF" w:rsidP="00DC36F9">
            <w:pPr>
              <w:pStyle w:val="TableText0"/>
              <w:jc w:val="center"/>
            </w:pPr>
            <w:r w:rsidRPr="00162B20">
              <w:t>8/44 (1</w:t>
            </w:r>
            <w:r w:rsidR="003B3078" w:rsidRPr="00162B20">
              <w:t>8.2</w:t>
            </w:r>
            <w:r w:rsidRPr="00162B20">
              <w:t>%)</w:t>
            </w:r>
          </w:p>
        </w:tc>
        <w:tc>
          <w:tcPr>
            <w:tcW w:w="717" w:type="pct"/>
            <w:tcBorders>
              <w:top w:val="single" w:sz="4" w:space="0" w:color="auto"/>
              <w:left w:val="single" w:sz="4" w:space="0" w:color="auto"/>
              <w:bottom w:val="single" w:sz="4" w:space="0" w:color="auto"/>
              <w:right w:val="single" w:sz="4" w:space="0" w:color="auto"/>
            </w:tcBorders>
            <w:vAlign w:val="center"/>
            <w:hideMark/>
          </w:tcPr>
          <w:p w14:paraId="43A33D40" w14:textId="6F7A37D6" w:rsidR="00AB4ECF" w:rsidRPr="00162B20" w:rsidRDefault="00AB4ECF" w:rsidP="00DC36F9">
            <w:pPr>
              <w:pStyle w:val="TableText0"/>
              <w:jc w:val="center"/>
            </w:pPr>
            <w:r w:rsidRPr="00162B20">
              <w:t>2/46 (4</w:t>
            </w:r>
            <w:r w:rsidR="003B3078" w:rsidRPr="00162B20">
              <w:t>.3</w:t>
            </w:r>
            <w:r w:rsidRPr="00162B20">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8718987" w14:textId="77777777" w:rsidR="00AB4ECF" w:rsidRPr="00162B20" w:rsidRDefault="00AB4ECF"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66B5F29B" w14:textId="77777777" w:rsidR="00AB4ECF" w:rsidRPr="00162B20" w:rsidRDefault="00AB4ECF" w:rsidP="00DC36F9">
            <w:pPr>
              <w:pStyle w:val="TableText0"/>
              <w:jc w:val="center"/>
            </w:pPr>
            <w:r w:rsidRPr="00162B20">
              <w:t>NR</w:t>
            </w:r>
          </w:p>
        </w:tc>
      </w:tr>
      <w:tr w:rsidR="00AB4ECF" w:rsidRPr="00162B20" w14:paraId="43F7F7D2" w14:textId="77777777" w:rsidTr="00D26FA2">
        <w:tc>
          <w:tcPr>
            <w:tcW w:w="709" w:type="pct"/>
            <w:vMerge/>
            <w:tcBorders>
              <w:top w:val="single" w:sz="4" w:space="0" w:color="auto"/>
              <w:left w:val="single" w:sz="4" w:space="0" w:color="auto"/>
              <w:bottom w:val="single" w:sz="4" w:space="0" w:color="auto"/>
              <w:right w:val="single" w:sz="4" w:space="0" w:color="auto"/>
            </w:tcBorders>
            <w:vAlign w:val="center"/>
            <w:hideMark/>
          </w:tcPr>
          <w:p w14:paraId="5CDAF93D" w14:textId="77777777" w:rsidR="00AB4ECF" w:rsidRPr="00162B20" w:rsidRDefault="00AB4ECF" w:rsidP="00DC36F9">
            <w:pPr>
              <w:jc w:val="left"/>
              <w:rPr>
                <w:rFonts w:ascii="Arial Narrow" w:eastAsiaTheme="majorEastAsia" w:hAnsi="Arial Narrow" w:cstheme="majorBidi"/>
                <w:b/>
                <w:sz w:val="20"/>
              </w:rPr>
            </w:pPr>
          </w:p>
        </w:tc>
        <w:tc>
          <w:tcPr>
            <w:tcW w:w="971" w:type="pct"/>
            <w:tcBorders>
              <w:top w:val="single" w:sz="4" w:space="0" w:color="auto"/>
              <w:left w:val="single" w:sz="4" w:space="0" w:color="auto"/>
              <w:bottom w:val="single" w:sz="4" w:space="0" w:color="auto"/>
              <w:right w:val="single" w:sz="4" w:space="0" w:color="auto"/>
            </w:tcBorders>
            <w:hideMark/>
          </w:tcPr>
          <w:p w14:paraId="57987000" w14:textId="77777777" w:rsidR="00AB4ECF" w:rsidRPr="00162B20" w:rsidRDefault="00AB4ECF">
            <w:pPr>
              <w:pStyle w:val="TableText0"/>
            </w:pPr>
            <w:r w:rsidRPr="00162B20">
              <w:t>Stable disease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0E0D9DD9" w14:textId="0A11ED0E" w:rsidR="00AB4ECF" w:rsidRPr="00162B20" w:rsidRDefault="00AB4ECF" w:rsidP="00DC36F9">
            <w:pPr>
              <w:pStyle w:val="TableText0"/>
              <w:jc w:val="center"/>
            </w:pPr>
            <w:r w:rsidRPr="00162B20">
              <w:t>23/44 (5</w:t>
            </w:r>
            <w:r w:rsidR="003B3078" w:rsidRPr="00162B20">
              <w:t>2.3</w:t>
            </w:r>
            <w:r w:rsidRPr="00162B20">
              <w:t>%)</w:t>
            </w:r>
          </w:p>
        </w:tc>
        <w:tc>
          <w:tcPr>
            <w:tcW w:w="717" w:type="pct"/>
            <w:tcBorders>
              <w:top w:val="single" w:sz="4" w:space="0" w:color="auto"/>
              <w:left w:val="single" w:sz="4" w:space="0" w:color="auto"/>
              <w:bottom w:val="single" w:sz="4" w:space="0" w:color="auto"/>
              <w:right w:val="single" w:sz="4" w:space="0" w:color="auto"/>
            </w:tcBorders>
            <w:vAlign w:val="center"/>
            <w:hideMark/>
          </w:tcPr>
          <w:p w14:paraId="3B6D4C3F" w14:textId="1ADBFFB5" w:rsidR="00AB4ECF" w:rsidRPr="00162B20" w:rsidRDefault="00AB4ECF" w:rsidP="00DC36F9">
            <w:pPr>
              <w:pStyle w:val="TableText0"/>
              <w:jc w:val="center"/>
            </w:pPr>
            <w:r w:rsidRPr="00162B20">
              <w:t>23/46 (50</w:t>
            </w:r>
            <w:r w:rsidR="00AB2E32" w:rsidRPr="00162B20">
              <w:t>.0</w:t>
            </w:r>
            <w:r w:rsidRPr="00162B20">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B12F27D" w14:textId="77777777" w:rsidR="00AB4ECF" w:rsidRPr="00162B20" w:rsidRDefault="00AB4ECF"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50ED8AF0" w14:textId="77777777" w:rsidR="00AB4ECF" w:rsidRPr="00162B20" w:rsidRDefault="00AB4ECF" w:rsidP="00DC36F9">
            <w:pPr>
              <w:pStyle w:val="TableText0"/>
              <w:jc w:val="center"/>
            </w:pPr>
            <w:r w:rsidRPr="00162B20">
              <w:t>NR</w:t>
            </w:r>
          </w:p>
        </w:tc>
      </w:tr>
      <w:tr w:rsidR="00AB4ECF" w:rsidRPr="00162B20" w14:paraId="57B18122" w14:textId="77777777" w:rsidTr="00D26FA2">
        <w:trPr>
          <w:trHeight w:val="183"/>
        </w:trPr>
        <w:tc>
          <w:tcPr>
            <w:tcW w:w="709" w:type="pct"/>
            <w:vMerge/>
            <w:tcBorders>
              <w:top w:val="single" w:sz="4" w:space="0" w:color="auto"/>
              <w:left w:val="single" w:sz="4" w:space="0" w:color="auto"/>
              <w:bottom w:val="single" w:sz="4" w:space="0" w:color="auto"/>
              <w:right w:val="single" w:sz="4" w:space="0" w:color="auto"/>
            </w:tcBorders>
            <w:vAlign w:val="center"/>
            <w:hideMark/>
          </w:tcPr>
          <w:p w14:paraId="1AEB1CF1" w14:textId="77777777" w:rsidR="00AB4ECF" w:rsidRPr="00162B20" w:rsidRDefault="00AB4ECF" w:rsidP="00DC36F9">
            <w:pPr>
              <w:jc w:val="left"/>
              <w:rPr>
                <w:rFonts w:ascii="Arial Narrow" w:eastAsiaTheme="majorEastAsia" w:hAnsi="Arial Narrow" w:cstheme="majorBidi"/>
                <w:b/>
                <w:sz w:val="20"/>
              </w:rPr>
            </w:pPr>
          </w:p>
        </w:tc>
        <w:tc>
          <w:tcPr>
            <w:tcW w:w="971" w:type="pct"/>
            <w:tcBorders>
              <w:top w:val="single" w:sz="4" w:space="0" w:color="auto"/>
              <w:left w:val="single" w:sz="4" w:space="0" w:color="auto"/>
              <w:bottom w:val="single" w:sz="4" w:space="0" w:color="auto"/>
              <w:right w:val="single" w:sz="4" w:space="0" w:color="auto"/>
            </w:tcBorders>
            <w:hideMark/>
          </w:tcPr>
          <w:p w14:paraId="48C2015F" w14:textId="77777777" w:rsidR="00AB4ECF" w:rsidRPr="00162B20" w:rsidRDefault="00AB4ECF">
            <w:pPr>
              <w:pStyle w:val="TableText0"/>
            </w:pPr>
            <w:r w:rsidRPr="00162B20">
              <w:t>Progressive disease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55BB7FB7" w14:textId="28A35BA7" w:rsidR="00AB4ECF" w:rsidRPr="00162B20" w:rsidRDefault="00AB4ECF" w:rsidP="00DC36F9">
            <w:pPr>
              <w:pStyle w:val="TableText0"/>
              <w:jc w:val="center"/>
            </w:pPr>
            <w:r w:rsidRPr="00162B20">
              <w:t>4/44 (9</w:t>
            </w:r>
            <w:r w:rsidR="003B3078" w:rsidRPr="00162B20">
              <w:t>.1</w:t>
            </w:r>
            <w:r w:rsidRPr="00162B20">
              <w:t>%)</w:t>
            </w:r>
          </w:p>
        </w:tc>
        <w:tc>
          <w:tcPr>
            <w:tcW w:w="717" w:type="pct"/>
            <w:tcBorders>
              <w:top w:val="single" w:sz="4" w:space="0" w:color="auto"/>
              <w:left w:val="single" w:sz="4" w:space="0" w:color="auto"/>
              <w:bottom w:val="single" w:sz="4" w:space="0" w:color="auto"/>
              <w:right w:val="single" w:sz="4" w:space="0" w:color="auto"/>
            </w:tcBorders>
            <w:vAlign w:val="center"/>
            <w:hideMark/>
          </w:tcPr>
          <w:p w14:paraId="151F6008" w14:textId="50BE3DD9" w:rsidR="00AB4ECF" w:rsidRPr="00162B20" w:rsidRDefault="00AB4ECF" w:rsidP="00DC36F9">
            <w:pPr>
              <w:pStyle w:val="TableText0"/>
              <w:jc w:val="center"/>
            </w:pPr>
            <w:r w:rsidRPr="00162B20">
              <w:t>11/46 (2</w:t>
            </w:r>
            <w:r w:rsidR="00AB2E32" w:rsidRPr="00162B20">
              <w:t>3.9</w:t>
            </w:r>
            <w:r w:rsidRPr="00162B20">
              <w:t>%)</w:t>
            </w:r>
          </w:p>
        </w:tc>
        <w:tc>
          <w:tcPr>
            <w:tcW w:w="904" w:type="pct"/>
            <w:tcBorders>
              <w:top w:val="single" w:sz="4" w:space="0" w:color="auto"/>
              <w:left w:val="single" w:sz="4" w:space="0" w:color="auto"/>
              <w:bottom w:val="single" w:sz="4" w:space="0" w:color="auto"/>
              <w:right w:val="single" w:sz="4" w:space="0" w:color="auto"/>
            </w:tcBorders>
            <w:vAlign w:val="center"/>
            <w:hideMark/>
          </w:tcPr>
          <w:p w14:paraId="6FB3D07F" w14:textId="77777777" w:rsidR="00AB4ECF" w:rsidRPr="00162B20" w:rsidRDefault="00AB4ECF"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60527DD0" w14:textId="77777777" w:rsidR="00AB4ECF" w:rsidRPr="00162B20" w:rsidRDefault="00AB4ECF" w:rsidP="00DC36F9">
            <w:pPr>
              <w:pStyle w:val="TableText0"/>
              <w:jc w:val="center"/>
            </w:pPr>
            <w:r w:rsidRPr="00162B20">
              <w:t>NR</w:t>
            </w:r>
          </w:p>
        </w:tc>
      </w:tr>
      <w:tr w:rsidR="00DC36F9" w:rsidRPr="00162B20" w14:paraId="4C5EE3A1" w14:textId="77777777" w:rsidTr="00D26FA2">
        <w:tc>
          <w:tcPr>
            <w:tcW w:w="709" w:type="pct"/>
            <w:vMerge w:val="restart"/>
            <w:tcBorders>
              <w:top w:val="single" w:sz="4" w:space="0" w:color="auto"/>
              <w:left w:val="single" w:sz="4" w:space="0" w:color="auto"/>
              <w:right w:val="single" w:sz="4" w:space="0" w:color="auto"/>
            </w:tcBorders>
            <w:vAlign w:val="center"/>
            <w:hideMark/>
          </w:tcPr>
          <w:p w14:paraId="4FB3D6C2" w14:textId="2D578E44" w:rsidR="00DC36F9" w:rsidRPr="00162B20" w:rsidRDefault="00DC36F9" w:rsidP="00DC36F9">
            <w:pPr>
              <w:pStyle w:val="TableText0"/>
              <w:rPr>
                <w:b/>
                <w:bCs w:val="0"/>
                <w:vertAlign w:val="superscript"/>
              </w:rPr>
            </w:pPr>
            <w:r w:rsidRPr="00162B20">
              <w:rPr>
                <w:b/>
                <w:bCs w:val="0"/>
              </w:rPr>
              <w:t>CABOSUN II</w:t>
            </w:r>
            <w:r w:rsidR="00D9038A" w:rsidRPr="00162B20">
              <w:rPr>
                <w:b/>
                <w:bCs w:val="0"/>
                <w:vertAlign w:val="superscript"/>
              </w:rPr>
              <w:t>b</w:t>
            </w:r>
          </w:p>
        </w:tc>
        <w:tc>
          <w:tcPr>
            <w:tcW w:w="971" w:type="pct"/>
            <w:tcBorders>
              <w:top w:val="single" w:sz="4" w:space="0" w:color="auto"/>
              <w:left w:val="single" w:sz="4" w:space="0" w:color="auto"/>
              <w:bottom w:val="single" w:sz="4" w:space="0" w:color="auto"/>
              <w:right w:val="single" w:sz="4" w:space="0" w:color="auto"/>
            </w:tcBorders>
            <w:hideMark/>
          </w:tcPr>
          <w:p w14:paraId="4142AF69" w14:textId="77777777" w:rsidR="00DC36F9" w:rsidRPr="00162B20" w:rsidRDefault="00DC36F9">
            <w:pPr>
              <w:pStyle w:val="TableText0"/>
            </w:pPr>
            <w:r w:rsidRPr="00162B20">
              <w:t>Overall response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36502E4E" w14:textId="77777777" w:rsidR="00DC36F9" w:rsidRPr="00162B20" w:rsidRDefault="00DC36F9" w:rsidP="00DC36F9">
            <w:pPr>
              <w:pStyle w:val="TableText0"/>
              <w:jc w:val="center"/>
            </w:pPr>
            <w:r w:rsidRPr="00162B20">
              <w:t>NR</w:t>
            </w:r>
          </w:p>
        </w:tc>
        <w:tc>
          <w:tcPr>
            <w:tcW w:w="717" w:type="pct"/>
            <w:tcBorders>
              <w:top w:val="single" w:sz="4" w:space="0" w:color="auto"/>
              <w:left w:val="single" w:sz="4" w:space="0" w:color="auto"/>
              <w:bottom w:val="single" w:sz="4" w:space="0" w:color="auto"/>
              <w:right w:val="single" w:sz="4" w:space="0" w:color="auto"/>
            </w:tcBorders>
            <w:vAlign w:val="center"/>
            <w:hideMark/>
          </w:tcPr>
          <w:p w14:paraId="3D0D3409" w14:textId="77777777" w:rsidR="00DC36F9" w:rsidRPr="00162B20" w:rsidRDefault="00DC36F9" w:rsidP="00DC36F9">
            <w:pPr>
              <w:pStyle w:val="TableText0"/>
              <w:jc w:val="center"/>
            </w:pPr>
            <w:r w:rsidRPr="00162B20">
              <w:t>NR</w:t>
            </w:r>
          </w:p>
        </w:tc>
        <w:tc>
          <w:tcPr>
            <w:tcW w:w="904" w:type="pct"/>
            <w:tcBorders>
              <w:top w:val="single" w:sz="4" w:space="0" w:color="auto"/>
              <w:left w:val="single" w:sz="4" w:space="0" w:color="auto"/>
              <w:bottom w:val="single" w:sz="4" w:space="0" w:color="auto"/>
              <w:right w:val="single" w:sz="4" w:space="0" w:color="auto"/>
            </w:tcBorders>
            <w:vAlign w:val="center"/>
            <w:hideMark/>
          </w:tcPr>
          <w:p w14:paraId="3E9224F8" w14:textId="77777777" w:rsidR="00DC36F9" w:rsidRPr="00162B20" w:rsidRDefault="00DC36F9"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07A126EC" w14:textId="77777777" w:rsidR="00DC36F9" w:rsidRPr="00162B20" w:rsidRDefault="00DC36F9" w:rsidP="00DC36F9">
            <w:pPr>
              <w:pStyle w:val="TableText0"/>
              <w:jc w:val="center"/>
            </w:pPr>
            <w:r w:rsidRPr="00162B20">
              <w:t>NR</w:t>
            </w:r>
          </w:p>
        </w:tc>
      </w:tr>
      <w:tr w:rsidR="00DC36F9" w:rsidRPr="00162B20" w14:paraId="7237014C" w14:textId="77777777" w:rsidTr="00D26FA2">
        <w:tc>
          <w:tcPr>
            <w:tcW w:w="709" w:type="pct"/>
            <w:vMerge/>
            <w:tcBorders>
              <w:left w:val="single" w:sz="4" w:space="0" w:color="auto"/>
              <w:right w:val="single" w:sz="4" w:space="0" w:color="auto"/>
            </w:tcBorders>
          </w:tcPr>
          <w:p w14:paraId="6F4F84A8" w14:textId="77777777" w:rsidR="00DC36F9" w:rsidRPr="00162B20" w:rsidRDefault="00DC36F9">
            <w:pPr>
              <w:pStyle w:val="TableText0"/>
              <w:rPr>
                <w:b/>
                <w:bCs w:val="0"/>
              </w:rPr>
            </w:pPr>
          </w:p>
        </w:tc>
        <w:tc>
          <w:tcPr>
            <w:tcW w:w="971" w:type="pct"/>
            <w:tcBorders>
              <w:top w:val="single" w:sz="4" w:space="0" w:color="auto"/>
              <w:left w:val="single" w:sz="4" w:space="0" w:color="auto"/>
              <w:bottom w:val="single" w:sz="4" w:space="0" w:color="auto"/>
              <w:right w:val="single" w:sz="4" w:space="0" w:color="auto"/>
            </w:tcBorders>
            <w:hideMark/>
          </w:tcPr>
          <w:p w14:paraId="58A113D2" w14:textId="77777777" w:rsidR="00DC36F9" w:rsidRPr="00162B20" w:rsidRDefault="00DC36F9">
            <w:pPr>
              <w:pStyle w:val="TableText0"/>
            </w:pPr>
            <w:r w:rsidRPr="00162B20">
              <w:t>Partial response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3682439E" w14:textId="0C40754D" w:rsidR="00DC36F9" w:rsidRPr="00162B20" w:rsidRDefault="00DC36F9" w:rsidP="00DC36F9">
            <w:pPr>
              <w:pStyle w:val="TableText0"/>
              <w:jc w:val="center"/>
            </w:pPr>
            <w:r w:rsidRPr="00162B20">
              <w:t>2/15 (13.3%)</w:t>
            </w:r>
          </w:p>
        </w:tc>
        <w:tc>
          <w:tcPr>
            <w:tcW w:w="717" w:type="pct"/>
            <w:tcBorders>
              <w:top w:val="single" w:sz="4" w:space="0" w:color="auto"/>
              <w:left w:val="single" w:sz="4" w:space="0" w:color="auto"/>
              <w:bottom w:val="single" w:sz="4" w:space="0" w:color="auto"/>
              <w:right w:val="single" w:sz="4" w:space="0" w:color="auto"/>
            </w:tcBorders>
            <w:vAlign w:val="center"/>
            <w:hideMark/>
          </w:tcPr>
          <w:p w14:paraId="3E68E68E" w14:textId="0F2A4E98" w:rsidR="00DC36F9" w:rsidRPr="00162B20" w:rsidRDefault="00DC36F9" w:rsidP="00DC36F9">
            <w:pPr>
              <w:pStyle w:val="TableText0"/>
              <w:jc w:val="center"/>
            </w:pPr>
            <w:r w:rsidRPr="00162B20">
              <w:t>1/17 (5.9%)</w:t>
            </w:r>
          </w:p>
        </w:tc>
        <w:tc>
          <w:tcPr>
            <w:tcW w:w="904" w:type="pct"/>
            <w:tcBorders>
              <w:top w:val="single" w:sz="4" w:space="0" w:color="auto"/>
              <w:left w:val="single" w:sz="4" w:space="0" w:color="auto"/>
              <w:bottom w:val="single" w:sz="4" w:space="0" w:color="auto"/>
              <w:right w:val="single" w:sz="4" w:space="0" w:color="auto"/>
            </w:tcBorders>
            <w:vAlign w:val="center"/>
            <w:hideMark/>
          </w:tcPr>
          <w:p w14:paraId="5961AD7A" w14:textId="77777777" w:rsidR="00DC36F9" w:rsidRPr="00162B20" w:rsidRDefault="00DC36F9" w:rsidP="00DC36F9">
            <w:pPr>
              <w:pStyle w:val="TableText0"/>
              <w:jc w:val="center"/>
            </w:pPr>
            <w:r w:rsidRPr="00162B20">
              <w:t>2.3 (0.12, 133.7)</w:t>
            </w:r>
          </w:p>
        </w:tc>
        <w:tc>
          <w:tcPr>
            <w:tcW w:w="964" w:type="pct"/>
            <w:tcBorders>
              <w:top w:val="single" w:sz="4" w:space="0" w:color="auto"/>
              <w:left w:val="single" w:sz="4" w:space="0" w:color="auto"/>
              <w:bottom w:val="single" w:sz="4" w:space="0" w:color="auto"/>
              <w:right w:val="single" w:sz="4" w:space="0" w:color="auto"/>
            </w:tcBorders>
            <w:vAlign w:val="center"/>
            <w:hideMark/>
          </w:tcPr>
          <w:p w14:paraId="1348FDA3" w14:textId="77777777" w:rsidR="00DC36F9" w:rsidRPr="00162B20" w:rsidRDefault="00DC36F9" w:rsidP="00DC36F9">
            <w:pPr>
              <w:pStyle w:val="TableText0"/>
              <w:jc w:val="center"/>
            </w:pPr>
            <w:r w:rsidRPr="00162B20">
              <w:t>7.5 (-13.8, 28.7)</w:t>
            </w:r>
          </w:p>
        </w:tc>
      </w:tr>
      <w:tr w:rsidR="00DC36F9" w:rsidRPr="00162B20" w14:paraId="1FE2765A" w14:textId="77777777" w:rsidTr="00D26FA2">
        <w:tc>
          <w:tcPr>
            <w:tcW w:w="709" w:type="pct"/>
            <w:vMerge/>
            <w:tcBorders>
              <w:left w:val="single" w:sz="4" w:space="0" w:color="auto"/>
              <w:right w:val="single" w:sz="4" w:space="0" w:color="auto"/>
            </w:tcBorders>
            <w:vAlign w:val="center"/>
            <w:hideMark/>
          </w:tcPr>
          <w:p w14:paraId="4339AB75" w14:textId="77777777" w:rsidR="00DC36F9" w:rsidRPr="00162B20" w:rsidRDefault="00DC36F9">
            <w:pPr>
              <w:jc w:val="left"/>
              <w:rPr>
                <w:rFonts w:ascii="Arial Narrow" w:eastAsiaTheme="majorEastAsia" w:hAnsi="Arial Narrow" w:cstheme="majorBidi"/>
                <w:b/>
                <w:sz w:val="20"/>
              </w:rPr>
            </w:pPr>
          </w:p>
        </w:tc>
        <w:tc>
          <w:tcPr>
            <w:tcW w:w="971" w:type="pct"/>
            <w:tcBorders>
              <w:top w:val="single" w:sz="4" w:space="0" w:color="auto"/>
              <w:left w:val="single" w:sz="4" w:space="0" w:color="auto"/>
              <w:bottom w:val="single" w:sz="4" w:space="0" w:color="auto"/>
              <w:right w:val="single" w:sz="4" w:space="0" w:color="auto"/>
            </w:tcBorders>
            <w:hideMark/>
          </w:tcPr>
          <w:p w14:paraId="1673823F" w14:textId="77777777" w:rsidR="00DC36F9" w:rsidRPr="00162B20" w:rsidRDefault="00DC36F9">
            <w:pPr>
              <w:pStyle w:val="TableText0"/>
            </w:pPr>
            <w:r w:rsidRPr="00162B20">
              <w:t>Stable disease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68585D16" w14:textId="131915A3" w:rsidR="00DC36F9" w:rsidRPr="00162B20" w:rsidRDefault="00DC36F9" w:rsidP="00DC36F9">
            <w:pPr>
              <w:pStyle w:val="TableText0"/>
              <w:jc w:val="center"/>
            </w:pPr>
            <w:r w:rsidRPr="00162B20">
              <w:t>8/15 (57.1%)</w:t>
            </w:r>
          </w:p>
        </w:tc>
        <w:tc>
          <w:tcPr>
            <w:tcW w:w="717" w:type="pct"/>
            <w:tcBorders>
              <w:top w:val="single" w:sz="4" w:space="0" w:color="auto"/>
              <w:left w:val="single" w:sz="4" w:space="0" w:color="auto"/>
              <w:bottom w:val="single" w:sz="4" w:space="0" w:color="auto"/>
              <w:right w:val="single" w:sz="4" w:space="0" w:color="auto"/>
            </w:tcBorders>
            <w:vAlign w:val="center"/>
            <w:hideMark/>
          </w:tcPr>
          <w:p w14:paraId="20F809A8" w14:textId="2B4B35CF" w:rsidR="00DC36F9" w:rsidRPr="00162B20" w:rsidRDefault="00DC36F9" w:rsidP="00DC36F9">
            <w:pPr>
              <w:pStyle w:val="TableText0"/>
              <w:jc w:val="center"/>
            </w:pPr>
            <w:r w:rsidRPr="00162B20">
              <w:t>9/17 (52.9%)</w:t>
            </w:r>
          </w:p>
        </w:tc>
        <w:tc>
          <w:tcPr>
            <w:tcW w:w="904" w:type="pct"/>
            <w:tcBorders>
              <w:top w:val="single" w:sz="4" w:space="0" w:color="auto"/>
              <w:left w:val="single" w:sz="4" w:space="0" w:color="auto"/>
              <w:bottom w:val="single" w:sz="4" w:space="0" w:color="auto"/>
              <w:right w:val="single" w:sz="4" w:space="0" w:color="auto"/>
            </w:tcBorders>
            <w:vAlign w:val="center"/>
            <w:hideMark/>
          </w:tcPr>
          <w:p w14:paraId="669744C0" w14:textId="77777777" w:rsidR="00DC36F9" w:rsidRPr="00162B20" w:rsidRDefault="00DC36F9"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543567F8" w14:textId="77777777" w:rsidR="00DC36F9" w:rsidRPr="00162B20" w:rsidRDefault="00DC36F9" w:rsidP="00DC36F9">
            <w:pPr>
              <w:pStyle w:val="TableText0"/>
              <w:jc w:val="center"/>
            </w:pPr>
            <w:r w:rsidRPr="00162B20">
              <w:t>NR</w:t>
            </w:r>
          </w:p>
        </w:tc>
      </w:tr>
      <w:tr w:rsidR="00DC36F9" w:rsidRPr="00162B20" w14:paraId="1D4EE767" w14:textId="77777777" w:rsidTr="00D26FA2">
        <w:trPr>
          <w:trHeight w:val="129"/>
        </w:trPr>
        <w:tc>
          <w:tcPr>
            <w:tcW w:w="709" w:type="pct"/>
            <w:vMerge/>
            <w:tcBorders>
              <w:left w:val="single" w:sz="4" w:space="0" w:color="auto"/>
              <w:bottom w:val="single" w:sz="4" w:space="0" w:color="auto"/>
              <w:right w:val="single" w:sz="4" w:space="0" w:color="auto"/>
            </w:tcBorders>
            <w:vAlign w:val="center"/>
            <w:hideMark/>
          </w:tcPr>
          <w:p w14:paraId="4DE32BB1" w14:textId="77777777" w:rsidR="00DC36F9" w:rsidRPr="00162B20" w:rsidRDefault="00DC36F9">
            <w:pPr>
              <w:jc w:val="left"/>
              <w:rPr>
                <w:rFonts w:ascii="Arial Narrow" w:eastAsiaTheme="majorEastAsia" w:hAnsi="Arial Narrow" w:cstheme="majorBidi"/>
                <w:b/>
                <w:sz w:val="20"/>
              </w:rPr>
            </w:pPr>
          </w:p>
        </w:tc>
        <w:tc>
          <w:tcPr>
            <w:tcW w:w="971" w:type="pct"/>
            <w:tcBorders>
              <w:top w:val="single" w:sz="4" w:space="0" w:color="auto"/>
              <w:left w:val="single" w:sz="4" w:space="0" w:color="auto"/>
              <w:bottom w:val="single" w:sz="4" w:space="0" w:color="auto"/>
              <w:right w:val="single" w:sz="4" w:space="0" w:color="auto"/>
            </w:tcBorders>
            <w:hideMark/>
          </w:tcPr>
          <w:p w14:paraId="1F100CB4" w14:textId="77777777" w:rsidR="00DC36F9" w:rsidRPr="00162B20" w:rsidRDefault="00DC36F9">
            <w:pPr>
              <w:pStyle w:val="TableText0"/>
            </w:pPr>
            <w:r w:rsidRPr="00162B20">
              <w:t>Progressive disease</w:t>
            </w:r>
          </w:p>
        </w:tc>
        <w:tc>
          <w:tcPr>
            <w:tcW w:w="736" w:type="pct"/>
            <w:tcBorders>
              <w:top w:val="single" w:sz="4" w:space="0" w:color="auto"/>
              <w:left w:val="single" w:sz="4" w:space="0" w:color="auto"/>
              <w:bottom w:val="single" w:sz="4" w:space="0" w:color="auto"/>
              <w:right w:val="single" w:sz="4" w:space="0" w:color="auto"/>
            </w:tcBorders>
            <w:vAlign w:val="center"/>
            <w:hideMark/>
          </w:tcPr>
          <w:p w14:paraId="45C42258" w14:textId="0718CCED" w:rsidR="00DC36F9" w:rsidRPr="00162B20" w:rsidRDefault="00DC36F9" w:rsidP="00DC36F9">
            <w:pPr>
              <w:pStyle w:val="TableText0"/>
              <w:jc w:val="center"/>
            </w:pPr>
            <w:r w:rsidRPr="00162B20">
              <w:t>4/15 (28.6%)</w:t>
            </w:r>
          </w:p>
        </w:tc>
        <w:tc>
          <w:tcPr>
            <w:tcW w:w="717" w:type="pct"/>
            <w:tcBorders>
              <w:top w:val="single" w:sz="4" w:space="0" w:color="auto"/>
              <w:left w:val="single" w:sz="4" w:space="0" w:color="auto"/>
              <w:bottom w:val="single" w:sz="4" w:space="0" w:color="auto"/>
              <w:right w:val="single" w:sz="4" w:space="0" w:color="auto"/>
            </w:tcBorders>
            <w:vAlign w:val="center"/>
            <w:hideMark/>
          </w:tcPr>
          <w:p w14:paraId="1066525A" w14:textId="3BD61E31" w:rsidR="00DC36F9" w:rsidRPr="00162B20" w:rsidRDefault="00DC36F9" w:rsidP="00DC36F9">
            <w:pPr>
              <w:pStyle w:val="TableText0"/>
              <w:jc w:val="center"/>
            </w:pPr>
            <w:r w:rsidRPr="00162B20">
              <w:t>6/17 (35.3%)</w:t>
            </w:r>
          </w:p>
        </w:tc>
        <w:tc>
          <w:tcPr>
            <w:tcW w:w="904" w:type="pct"/>
            <w:tcBorders>
              <w:top w:val="single" w:sz="4" w:space="0" w:color="auto"/>
              <w:left w:val="single" w:sz="4" w:space="0" w:color="auto"/>
              <w:bottom w:val="single" w:sz="4" w:space="0" w:color="auto"/>
              <w:right w:val="single" w:sz="4" w:space="0" w:color="auto"/>
            </w:tcBorders>
            <w:vAlign w:val="center"/>
            <w:hideMark/>
          </w:tcPr>
          <w:p w14:paraId="40720C01" w14:textId="77777777" w:rsidR="00DC36F9" w:rsidRPr="00162B20" w:rsidRDefault="00DC36F9" w:rsidP="00DC36F9">
            <w:pPr>
              <w:pStyle w:val="TableText0"/>
              <w:jc w:val="center"/>
            </w:pPr>
            <w:r w:rsidRPr="00162B20">
              <w:t>NR</w:t>
            </w:r>
          </w:p>
        </w:tc>
        <w:tc>
          <w:tcPr>
            <w:tcW w:w="964" w:type="pct"/>
            <w:tcBorders>
              <w:top w:val="single" w:sz="4" w:space="0" w:color="auto"/>
              <w:left w:val="single" w:sz="4" w:space="0" w:color="auto"/>
              <w:bottom w:val="single" w:sz="4" w:space="0" w:color="auto"/>
              <w:right w:val="single" w:sz="4" w:space="0" w:color="auto"/>
            </w:tcBorders>
            <w:vAlign w:val="center"/>
            <w:hideMark/>
          </w:tcPr>
          <w:p w14:paraId="72435CE0" w14:textId="77777777" w:rsidR="00DC36F9" w:rsidRPr="00162B20" w:rsidRDefault="00DC36F9" w:rsidP="00DC36F9">
            <w:pPr>
              <w:pStyle w:val="TableText0"/>
              <w:jc w:val="center"/>
            </w:pPr>
            <w:r w:rsidRPr="00162B20">
              <w:t>NR</w:t>
            </w:r>
          </w:p>
        </w:tc>
      </w:tr>
    </w:tbl>
    <w:p w14:paraId="2603EB36" w14:textId="7641E97D" w:rsidR="00DC36F9" w:rsidRPr="00162B20" w:rsidRDefault="00DC36F9" w:rsidP="00DC36F9">
      <w:pPr>
        <w:pStyle w:val="TableFooter"/>
        <w:rPr>
          <w:sz w:val="20"/>
        </w:rPr>
      </w:pPr>
      <w:r w:rsidRPr="00162B20">
        <w:t xml:space="preserve">Source: Table 2-14, p48, Table 2-15, p49 of the submission; </w:t>
      </w:r>
      <w:r w:rsidRPr="00162B20">
        <w:rPr>
          <w:color w:val="000000" w:themeColor="text1"/>
        </w:rPr>
        <w:t>Johns et al. (2023); Pal et al. (2021).</w:t>
      </w:r>
    </w:p>
    <w:p w14:paraId="7F634104" w14:textId="2CE9CC6B" w:rsidR="00DC36F9" w:rsidRPr="00162B20" w:rsidRDefault="00DC36F9" w:rsidP="00DC36F9">
      <w:pPr>
        <w:pStyle w:val="TableFooter"/>
        <w:rPr>
          <w:rFonts w:eastAsia="Calibri"/>
        </w:rPr>
      </w:pPr>
      <w:r w:rsidRPr="00162B20">
        <w:rPr>
          <w:rFonts w:eastAsia="Calibri"/>
        </w:rPr>
        <w:t>CI = confidence interval; n = number of participants reporting data with events; N = total participants in group; NR, not reported</w:t>
      </w:r>
      <w:r w:rsidR="00C865F0" w:rsidRPr="00162B20">
        <w:rPr>
          <w:rFonts w:eastAsia="Calibri"/>
        </w:rPr>
        <w:t xml:space="preserve">; ORR = </w:t>
      </w:r>
      <w:r w:rsidR="004D4A3B" w:rsidRPr="00162B20">
        <w:rPr>
          <w:rFonts w:eastAsia="Calibri"/>
        </w:rPr>
        <w:t xml:space="preserve">objective </w:t>
      </w:r>
      <w:r w:rsidR="00C865F0" w:rsidRPr="00162B20">
        <w:rPr>
          <w:rFonts w:eastAsia="Calibri"/>
        </w:rPr>
        <w:t>response rate.</w:t>
      </w:r>
    </w:p>
    <w:p w14:paraId="40D6E443" w14:textId="697291AF" w:rsidR="00DC36F9" w:rsidRPr="00162B20" w:rsidRDefault="00DC36F9" w:rsidP="00DC36F9">
      <w:pPr>
        <w:pStyle w:val="FooterTableFigure"/>
        <w:rPr>
          <w:rFonts w:eastAsia="Calibri"/>
        </w:rPr>
      </w:pPr>
      <w:r w:rsidRPr="00162B20">
        <w:rPr>
          <w:rFonts w:eastAsia="Calibri"/>
          <w:bCs/>
          <w:color w:val="000000" w:themeColor="text1"/>
        </w:rPr>
        <w:t>Bold</w:t>
      </w:r>
      <w:r w:rsidRPr="00162B20">
        <w:rPr>
          <w:rFonts w:eastAsia="Calibri"/>
          <w:color w:val="000000" w:themeColor="text1"/>
        </w:rPr>
        <w:t xml:space="preserve"> indicates statistically significant results</w:t>
      </w:r>
      <w:r w:rsidR="00CC01DE" w:rsidRPr="00162B20">
        <w:rPr>
          <w:rFonts w:eastAsia="Calibri"/>
          <w:i/>
          <w:iCs/>
        </w:rPr>
        <w:t xml:space="preserve">, </w:t>
      </w:r>
      <w:r w:rsidRPr="00162B20">
        <w:rPr>
          <w:rFonts w:eastAsia="Calibri"/>
        </w:rPr>
        <w:t>p-values were one sided.</w:t>
      </w:r>
    </w:p>
    <w:p w14:paraId="10748B8E" w14:textId="6B4E5F64" w:rsidR="00F735B3" w:rsidRPr="00162B20" w:rsidRDefault="00D9038A" w:rsidP="00F735B3">
      <w:pPr>
        <w:pStyle w:val="FooterTableFigure"/>
        <w:rPr>
          <w:rFonts w:eastAsia="Calibri"/>
          <w:bCs/>
          <w:color w:val="000000" w:themeColor="text1"/>
        </w:rPr>
      </w:pPr>
      <w:r w:rsidRPr="00162B20">
        <w:rPr>
          <w:rFonts w:eastAsia="Calibri"/>
          <w:bCs/>
          <w:color w:val="000000" w:themeColor="text1"/>
          <w:vertAlign w:val="superscript"/>
        </w:rPr>
        <w:t>a</w:t>
      </w:r>
      <w:r w:rsidR="00CD16B0" w:rsidRPr="00162B20">
        <w:rPr>
          <w:rFonts w:eastAsia="Calibri"/>
          <w:bCs/>
          <w:color w:val="000000" w:themeColor="text1"/>
        </w:rPr>
        <w:t xml:space="preserve"> Cut-off date was 16 October 2020.</w:t>
      </w:r>
      <w:r w:rsidR="00553B21" w:rsidRPr="00162B20">
        <w:rPr>
          <w:rFonts w:eastAsia="Calibri"/>
          <w:bCs/>
          <w:color w:val="000000" w:themeColor="text1"/>
        </w:rPr>
        <w:t xml:space="preserve"> </w:t>
      </w:r>
      <w:r w:rsidRPr="00162B20">
        <w:rPr>
          <w:bCs/>
          <w:vertAlign w:val="superscript"/>
        </w:rPr>
        <w:t>b</w:t>
      </w:r>
      <w:r w:rsidR="00CD16B0" w:rsidRPr="00162B20">
        <w:rPr>
          <w:bCs/>
          <w:vertAlign w:val="superscript"/>
        </w:rPr>
        <w:t xml:space="preserve"> </w:t>
      </w:r>
      <w:r w:rsidR="005107A1" w:rsidRPr="00162B20">
        <w:rPr>
          <w:bCs/>
        </w:rPr>
        <w:t>study was conducted</w:t>
      </w:r>
      <w:r w:rsidR="005107A1" w:rsidRPr="00162B20">
        <w:t xml:space="preserve"> </w:t>
      </w:r>
      <w:r w:rsidR="005107A1" w:rsidRPr="00162B20">
        <w:rPr>
          <w:bCs/>
        </w:rPr>
        <w:t>between 9/2018 and 6/2021</w:t>
      </w:r>
      <w:r w:rsidR="00CD16B0" w:rsidRPr="00162B20">
        <w:rPr>
          <w:bCs/>
        </w:rPr>
        <w:t>.</w:t>
      </w:r>
    </w:p>
    <w:p w14:paraId="11FE809F" w14:textId="57CA8A05" w:rsidR="009D04F8" w:rsidRPr="00162B20" w:rsidRDefault="009D04F8" w:rsidP="00AB4ECF">
      <w:pPr>
        <w:pStyle w:val="3-BodyText"/>
        <w:snapToGrid w:val="0"/>
      </w:pPr>
      <w:r w:rsidRPr="00162B20">
        <w:t xml:space="preserve">ORR in SWOG 1500 was defined as the combined rate of confirmed and unconfirmed partial response and confirmed and unconfirmed complete response. </w:t>
      </w:r>
      <w:r w:rsidR="005107A1" w:rsidRPr="00162B20">
        <w:t>ORR in CABOSUN II was defined as the best response recorded from the start of treatment until disease progression/recurrence.</w:t>
      </w:r>
    </w:p>
    <w:p w14:paraId="1AE429F8" w14:textId="5F86EFC5" w:rsidR="009D04F8" w:rsidRPr="00162B20" w:rsidRDefault="004D4A3B" w:rsidP="00AB4ECF">
      <w:pPr>
        <w:pStyle w:val="3-BodyText"/>
        <w:snapToGrid w:val="0"/>
      </w:pPr>
      <w:r w:rsidRPr="00162B20">
        <w:t>O</w:t>
      </w:r>
      <w:r w:rsidR="00AB4ECF" w:rsidRPr="00162B20">
        <w:t xml:space="preserve">verall response was significantly higher in </w:t>
      </w:r>
      <w:r w:rsidR="00450191" w:rsidRPr="00162B20">
        <w:t xml:space="preserve">the </w:t>
      </w:r>
      <w:r w:rsidR="00AB4ECF" w:rsidRPr="00162B20">
        <w:t xml:space="preserve">cabozantinib </w:t>
      </w:r>
      <w:r w:rsidR="00450191" w:rsidRPr="00162B20">
        <w:t xml:space="preserve">arm </w:t>
      </w:r>
      <w:r w:rsidR="00AB4ECF" w:rsidRPr="00162B20">
        <w:t xml:space="preserve">than in </w:t>
      </w:r>
      <w:r w:rsidR="00450191" w:rsidRPr="00162B20">
        <w:t xml:space="preserve">the </w:t>
      </w:r>
      <w:r w:rsidR="00AB4ECF" w:rsidRPr="00162B20">
        <w:t>sunitinib</w:t>
      </w:r>
      <w:r w:rsidR="005107A1" w:rsidRPr="00162B20">
        <w:t xml:space="preserve"> </w:t>
      </w:r>
      <w:r w:rsidR="00450191" w:rsidRPr="00162B20">
        <w:t xml:space="preserve">arm </w:t>
      </w:r>
      <w:r w:rsidR="005107A1" w:rsidRPr="00162B20">
        <w:t>in SWOG 1500</w:t>
      </w:r>
      <w:r w:rsidR="00AB4ECF" w:rsidRPr="00162B20">
        <w:t xml:space="preserve">. In </w:t>
      </w:r>
      <w:r w:rsidR="00000C9C" w:rsidRPr="00162B20">
        <w:t>CABOSUN II</w:t>
      </w:r>
      <w:r w:rsidR="00AB4ECF" w:rsidRPr="00162B20">
        <w:t xml:space="preserve">, </w:t>
      </w:r>
      <w:r w:rsidR="005107A1" w:rsidRPr="00162B20">
        <w:t>overall response was not reported.</w:t>
      </w:r>
      <w:r w:rsidR="00AB4ECF" w:rsidRPr="00162B20">
        <w:t xml:space="preserve"> </w:t>
      </w:r>
    </w:p>
    <w:p w14:paraId="63CF3353" w14:textId="4F29BF64" w:rsidR="00267B27" w:rsidRPr="00162B20" w:rsidRDefault="00267B27" w:rsidP="00AB4ECF">
      <w:pPr>
        <w:pStyle w:val="3-BodyText"/>
        <w:snapToGrid w:val="0"/>
      </w:pPr>
      <w:r w:rsidRPr="00162B20">
        <w:t xml:space="preserve">The submission used </w:t>
      </w:r>
      <w:r w:rsidR="009E1094" w:rsidRPr="00162B20">
        <w:t>a ‘</w:t>
      </w:r>
      <w:r w:rsidRPr="00162B20">
        <w:t>frame of reference</w:t>
      </w:r>
      <w:r w:rsidR="009E1094" w:rsidRPr="00162B20">
        <w:t>’</w:t>
      </w:r>
      <w:r w:rsidRPr="00162B20">
        <w:t xml:space="preserve"> approach to inform pricing of </w:t>
      </w:r>
      <w:proofErr w:type="spellStart"/>
      <w:r w:rsidRPr="00162B20">
        <w:t>cabozantinib</w:t>
      </w:r>
      <w:proofErr w:type="spellEnd"/>
      <w:r w:rsidRPr="00162B20">
        <w:t xml:space="preserve"> in </w:t>
      </w:r>
      <w:proofErr w:type="spellStart"/>
      <w:r w:rsidRPr="00162B20">
        <w:t>nccRCC</w:t>
      </w:r>
      <w:proofErr w:type="spellEnd"/>
      <w:r w:rsidRPr="00162B20">
        <w:t xml:space="preserve">. The frame of reference approach was </w:t>
      </w:r>
      <w:r w:rsidR="00C9778A" w:rsidRPr="00162B20">
        <w:t>based on the claim of non-inferior (similar)</w:t>
      </w:r>
      <w:r w:rsidRPr="00162B20">
        <w:t xml:space="preserve"> effectiveness of </w:t>
      </w:r>
      <w:proofErr w:type="spellStart"/>
      <w:r w:rsidRPr="00162B20">
        <w:t>cabozantinib</w:t>
      </w:r>
      <w:proofErr w:type="spellEnd"/>
      <w:r w:rsidRPr="00162B20">
        <w:t xml:space="preserve"> in </w:t>
      </w:r>
      <w:proofErr w:type="spellStart"/>
      <w:r w:rsidRPr="00162B20">
        <w:t>nccRCC</w:t>
      </w:r>
      <w:proofErr w:type="spellEnd"/>
      <w:r w:rsidRPr="00162B20">
        <w:t xml:space="preserve"> and </w:t>
      </w:r>
      <w:proofErr w:type="spellStart"/>
      <w:r w:rsidRPr="00162B20">
        <w:t>ccRCC</w:t>
      </w:r>
      <w:proofErr w:type="spellEnd"/>
      <w:r w:rsidRPr="00162B20">
        <w:t xml:space="preserve">. </w:t>
      </w:r>
      <w:r w:rsidR="00C9778A" w:rsidRPr="00162B20">
        <w:t>Thus,</w:t>
      </w:r>
      <w:r w:rsidRPr="00162B20">
        <w:t xml:space="preserve"> the submission conducted a </w:t>
      </w:r>
      <w:r w:rsidR="00C9778A" w:rsidRPr="00162B20">
        <w:t xml:space="preserve">naïve </w:t>
      </w:r>
      <w:r w:rsidRPr="00162B20">
        <w:t xml:space="preserve">comparison </w:t>
      </w:r>
      <w:r w:rsidR="00C9778A" w:rsidRPr="00162B20">
        <w:t>of the results from</w:t>
      </w:r>
      <w:r w:rsidRPr="00162B20">
        <w:t xml:space="preserve"> SWOG 1500 (</w:t>
      </w:r>
      <w:proofErr w:type="spellStart"/>
      <w:r w:rsidRPr="00162B20">
        <w:t>nccRCC</w:t>
      </w:r>
      <w:proofErr w:type="spellEnd"/>
      <w:r w:rsidRPr="00162B20">
        <w:t>)</w:t>
      </w:r>
      <w:r w:rsidR="00C9778A" w:rsidRPr="00162B20">
        <w:t xml:space="preserve"> with the results from </w:t>
      </w:r>
      <w:r w:rsidRPr="00162B20">
        <w:t xml:space="preserve">CABOSUN and </w:t>
      </w:r>
      <w:r w:rsidR="00000C9C" w:rsidRPr="00162B20">
        <w:t>METEOR</w:t>
      </w:r>
      <w:r w:rsidR="00C9778A" w:rsidRPr="00162B20">
        <w:t xml:space="preserve"> </w:t>
      </w:r>
      <w:r w:rsidRPr="00162B20">
        <w:t>(</w:t>
      </w:r>
      <w:proofErr w:type="spellStart"/>
      <w:r w:rsidRPr="00162B20">
        <w:t>ccRCC</w:t>
      </w:r>
      <w:proofErr w:type="spellEnd"/>
      <w:r w:rsidRPr="00162B20">
        <w:t>).</w:t>
      </w:r>
    </w:p>
    <w:p w14:paraId="5CEA7E6E" w14:textId="525025F4" w:rsidR="003973A6" w:rsidRPr="00162B20" w:rsidRDefault="00C9778A" w:rsidP="00267B27">
      <w:pPr>
        <w:pStyle w:val="3-BodyText"/>
        <w:snapToGrid w:val="0"/>
      </w:pPr>
      <w:r w:rsidRPr="00162B20">
        <w:lastRenderedPageBreak/>
        <w:t xml:space="preserve">For the </w:t>
      </w:r>
      <w:proofErr w:type="spellStart"/>
      <w:r w:rsidRPr="00162B20">
        <w:t>ccRCC</w:t>
      </w:r>
      <w:proofErr w:type="spellEnd"/>
      <w:r w:rsidRPr="00162B20">
        <w:t xml:space="preserve"> setting, t</w:t>
      </w:r>
      <w:r w:rsidR="003973A6" w:rsidRPr="00162B20">
        <w:t xml:space="preserve">he submission presented evidence from </w:t>
      </w:r>
      <w:r w:rsidR="00000C9C" w:rsidRPr="00162B20">
        <w:t>CABOSUN</w:t>
      </w:r>
      <w:r w:rsidRPr="00162B20">
        <w:t xml:space="preserve"> (cabozantinib vs sunitinib) </w:t>
      </w:r>
      <w:r w:rsidR="003973A6" w:rsidRPr="00162B20">
        <w:t xml:space="preserve">for </w:t>
      </w:r>
      <w:r w:rsidRPr="00162B20">
        <w:t xml:space="preserve">the </w:t>
      </w:r>
      <w:r w:rsidR="003973A6" w:rsidRPr="00162B20">
        <w:t>first-line therapy</w:t>
      </w:r>
      <w:r w:rsidRPr="00162B20">
        <w:t>,</w:t>
      </w:r>
      <w:r w:rsidR="003973A6" w:rsidRPr="00162B20">
        <w:t xml:space="preserve"> and </w:t>
      </w:r>
      <w:r w:rsidRPr="00162B20">
        <w:t xml:space="preserve">from </w:t>
      </w:r>
      <w:r w:rsidR="00000C9C" w:rsidRPr="00162B20">
        <w:t>METEOR</w:t>
      </w:r>
      <w:r w:rsidRPr="00162B20">
        <w:t xml:space="preserve"> (</w:t>
      </w:r>
      <w:proofErr w:type="spellStart"/>
      <w:r w:rsidRPr="00162B20">
        <w:t>cabozantinib</w:t>
      </w:r>
      <w:proofErr w:type="spellEnd"/>
      <w:r w:rsidRPr="00162B20">
        <w:t xml:space="preserve"> vs </w:t>
      </w:r>
      <w:proofErr w:type="spellStart"/>
      <w:r w:rsidRPr="00162B20">
        <w:t>everolimus</w:t>
      </w:r>
      <w:proofErr w:type="spellEnd"/>
      <w:r w:rsidRPr="00162B20">
        <w:t xml:space="preserve">) </w:t>
      </w:r>
      <w:r w:rsidR="003973A6" w:rsidRPr="00162B20">
        <w:t xml:space="preserve">for </w:t>
      </w:r>
      <w:r w:rsidRPr="00162B20">
        <w:t>the second -line treatment post-TKI</w:t>
      </w:r>
      <w:r w:rsidR="003973A6" w:rsidRPr="00162B20">
        <w:t>.</w:t>
      </w:r>
      <w:r w:rsidR="004D4A3B" w:rsidRPr="00162B20">
        <w:t xml:space="preserve"> The ESC noted that the METEOR trial had very limited relevance to the submission as </w:t>
      </w:r>
      <w:r w:rsidR="00091505" w:rsidRPr="00162B20">
        <w:t xml:space="preserve">it does not include sunitinib as a comparator and patients had received prior VEGFR-targeted treatment, which is unlikely to be reflective of </w:t>
      </w:r>
      <w:proofErr w:type="spellStart"/>
      <w:r w:rsidR="00091505" w:rsidRPr="00162B20">
        <w:t>nccRCC</w:t>
      </w:r>
      <w:proofErr w:type="spellEnd"/>
      <w:r w:rsidR="00091505" w:rsidRPr="00162B20">
        <w:t xml:space="preserve"> patients treated in Australian clinical practice.</w:t>
      </w:r>
      <w:r w:rsidR="004D4A3B" w:rsidRPr="00162B20">
        <w:t xml:space="preserve"> </w:t>
      </w:r>
    </w:p>
    <w:p w14:paraId="711C55FF" w14:textId="149ECA46" w:rsidR="00631363" w:rsidRPr="00162B20" w:rsidRDefault="00AD76C5" w:rsidP="00B21B77">
      <w:pPr>
        <w:pStyle w:val="3-BodyText"/>
        <w:snapToGrid w:val="0"/>
      </w:pPr>
      <w:r w:rsidRPr="00162B20">
        <w:fldChar w:fldCharType="begin"/>
      </w:r>
      <w:r w:rsidRPr="00162B20">
        <w:instrText xml:space="preserve"> REF _Ref155620846 \h </w:instrText>
      </w:r>
      <w:r w:rsidRPr="00162B20">
        <w:fldChar w:fldCharType="separate"/>
      </w:r>
      <w:r w:rsidR="0030362D" w:rsidRPr="00162B20">
        <w:t xml:space="preserve">Table </w:t>
      </w:r>
      <w:r w:rsidR="0030362D">
        <w:rPr>
          <w:noProof/>
        </w:rPr>
        <w:t>6</w:t>
      </w:r>
      <w:r w:rsidRPr="00162B20">
        <w:fldChar w:fldCharType="end"/>
      </w:r>
      <w:r w:rsidR="004559D9" w:rsidRPr="00162B20">
        <w:t xml:space="preserve"> </w:t>
      </w:r>
      <w:r w:rsidR="00762A72" w:rsidRPr="00162B20">
        <w:t xml:space="preserve">presents key features of </w:t>
      </w:r>
      <w:proofErr w:type="spellStart"/>
      <w:r w:rsidR="001E4115" w:rsidRPr="00162B20">
        <w:t>ccRCC</w:t>
      </w:r>
      <w:proofErr w:type="spellEnd"/>
      <w:r w:rsidR="001E4115" w:rsidRPr="00162B20">
        <w:t xml:space="preserve"> trials used</w:t>
      </w:r>
      <w:r w:rsidR="00762A72" w:rsidRPr="00162B20">
        <w:t xml:space="preserve">. </w:t>
      </w:r>
      <w:bookmarkStart w:id="37" w:name="_Ref155169513"/>
    </w:p>
    <w:p w14:paraId="62760B97" w14:textId="3CB57FAB" w:rsidR="00AD76C5" w:rsidRPr="00162B20" w:rsidRDefault="00AD76C5" w:rsidP="00AD76C5">
      <w:pPr>
        <w:pStyle w:val="TableFigureHeading"/>
      </w:pPr>
      <w:bookmarkStart w:id="38" w:name="_Ref155620846"/>
      <w:bookmarkEnd w:id="37"/>
      <w:r w:rsidRPr="00162B20">
        <w:t xml:space="preserve">Table </w:t>
      </w:r>
      <w:fldSimple w:instr=" SEQ Table \* ARABIC ">
        <w:r w:rsidR="0030362D">
          <w:rPr>
            <w:noProof/>
          </w:rPr>
          <w:t>6</w:t>
        </w:r>
      </w:fldSimple>
      <w:bookmarkEnd w:id="38"/>
      <w:r w:rsidRPr="00162B20">
        <w:t xml:space="preserve">: Key features of </w:t>
      </w:r>
      <w:proofErr w:type="spellStart"/>
      <w:r w:rsidRPr="00162B20">
        <w:t>ccRCC</w:t>
      </w:r>
      <w:proofErr w:type="spellEnd"/>
      <w:r w:rsidRPr="00162B20">
        <w:t xml:space="preserve"> trials</w:t>
      </w:r>
    </w:p>
    <w:tbl>
      <w:tblPr>
        <w:tblStyle w:val="Submissionstandard"/>
        <w:tblW w:w="5000" w:type="pct"/>
        <w:tblLayout w:type="fixed"/>
        <w:tblLook w:val="04A0" w:firstRow="1" w:lastRow="0" w:firstColumn="1" w:lastColumn="0" w:noHBand="0" w:noVBand="1"/>
        <w:tblCaption w:val="Table 6: Key features of ccRCC trials"/>
      </w:tblPr>
      <w:tblGrid>
        <w:gridCol w:w="1135"/>
        <w:gridCol w:w="849"/>
        <w:gridCol w:w="2126"/>
        <w:gridCol w:w="988"/>
        <w:gridCol w:w="1701"/>
        <w:gridCol w:w="1138"/>
        <w:gridCol w:w="1080"/>
      </w:tblGrid>
      <w:tr w:rsidR="00286B1B" w:rsidRPr="00162B20" w14:paraId="3EBB00D8" w14:textId="77777777" w:rsidTr="00286B1B">
        <w:trPr>
          <w:cnfStyle w:val="100000000000" w:firstRow="1" w:lastRow="0" w:firstColumn="0" w:lastColumn="0" w:oddVBand="0" w:evenVBand="0" w:oddHBand="0" w:evenHBand="0" w:firstRowFirstColumn="0" w:firstRowLastColumn="0" w:lastRowFirstColumn="0" w:lastRowLastColumn="0"/>
        </w:trPr>
        <w:tc>
          <w:tcPr>
            <w:tcW w:w="629" w:type="pct"/>
            <w:shd w:val="clear" w:color="auto" w:fill="auto"/>
            <w:vAlign w:val="center"/>
            <w:hideMark/>
          </w:tcPr>
          <w:p w14:paraId="233991CB" w14:textId="77777777" w:rsidR="00762A72" w:rsidRPr="00162B20" w:rsidRDefault="00762A72" w:rsidP="00762A72">
            <w:pPr>
              <w:pStyle w:val="Tabletext"/>
              <w:jc w:val="center"/>
              <w:rPr>
                <w:lang w:val="en-AU"/>
              </w:rPr>
            </w:pPr>
            <w:r w:rsidRPr="00162B20">
              <w:rPr>
                <w:lang w:val="en-AU"/>
              </w:rPr>
              <w:t>Trial</w:t>
            </w:r>
          </w:p>
        </w:tc>
        <w:tc>
          <w:tcPr>
            <w:tcW w:w="471" w:type="pct"/>
            <w:shd w:val="clear" w:color="auto" w:fill="auto"/>
            <w:vAlign w:val="center"/>
            <w:hideMark/>
          </w:tcPr>
          <w:p w14:paraId="729ADB94" w14:textId="77777777" w:rsidR="00762A72" w:rsidRPr="00162B20" w:rsidRDefault="00762A72" w:rsidP="00762A72">
            <w:pPr>
              <w:pStyle w:val="Tabletext"/>
              <w:jc w:val="center"/>
              <w:rPr>
                <w:lang w:val="en-AU"/>
              </w:rPr>
            </w:pPr>
            <w:r w:rsidRPr="00162B20">
              <w:rPr>
                <w:lang w:val="en-AU"/>
              </w:rPr>
              <w:t>N</w:t>
            </w:r>
          </w:p>
        </w:tc>
        <w:tc>
          <w:tcPr>
            <w:tcW w:w="1179" w:type="pct"/>
            <w:shd w:val="clear" w:color="auto" w:fill="auto"/>
            <w:vAlign w:val="center"/>
            <w:hideMark/>
          </w:tcPr>
          <w:p w14:paraId="39E6BDDE" w14:textId="77777777" w:rsidR="00762A72" w:rsidRPr="00162B20" w:rsidRDefault="00762A72" w:rsidP="00762A72">
            <w:pPr>
              <w:pStyle w:val="Tabletext"/>
              <w:jc w:val="center"/>
              <w:rPr>
                <w:lang w:val="en-AU"/>
              </w:rPr>
            </w:pPr>
            <w:r w:rsidRPr="00162B20">
              <w:rPr>
                <w:lang w:val="en-AU"/>
              </w:rPr>
              <w:t>Design/ duration</w:t>
            </w:r>
          </w:p>
        </w:tc>
        <w:tc>
          <w:tcPr>
            <w:tcW w:w="548" w:type="pct"/>
            <w:shd w:val="clear" w:color="auto" w:fill="auto"/>
            <w:vAlign w:val="center"/>
            <w:hideMark/>
          </w:tcPr>
          <w:p w14:paraId="640EC649" w14:textId="77777777" w:rsidR="00762A72" w:rsidRPr="00162B20" w:rsidRDefault="00762A72" w:rsidP="00762A72">
            <w:pPr>
              <w:pStyle w:val="Tabletext"/>
              <w:jc w:val="center"/>
              <w:rPr>
                <w:lang w:val="en-AU"/>
              </w:rPr>
            </w:pPr>
            <w:r w:rsidRPr="00162B20">
              <w:rPr>
                <w:lang w:val="en-AU"/>
              </w:rPr>
              <w:t>Risk of bias</w:t>
            </w:r>
          </w:p>
        </w:tc>
        <w:tc>
          <w:tcPr>
            <w:tcW w:w="943" w:type="pct"/>
            <w:shd w:val="clear" w:color="auto" w:fill="auto"/>
            <w:vAlign w:val="center"/>
            <w:hideMark/>
          </w:tcPr>
          <w:p w14:paraId="25D9DA27" w14:textId="77777777" w:rsidR="00762A72" w:rsidRPr="00162B20" w:rsidRDefault="00762A72" w:rsidP="00762A72">
            <w:pPr>
              <w:pStyle w:val="Tabletext"/>
              <w:jc w:val="center"/>
              <w:rPr>
                <w:lang w:val="en-AU"/>
              </w:rPr>
            </w:pPr>
            <w:r w:rsidRPr="00162B20">
              <w:rPr>
                <w:lang w:val="en-AU"/>
              </w:rPr>
              <w:t>Patient population</w:t>
            </w:r>
          </w:p>
        </w:tc>
        <w:tc>
          <w:tcPr>
            <w:tcW w:w="631" w:type="pct"/>
            <w:shd w:val="clear" w:color="auto" w:fill="auto"/>
            <w:vAlign w:val="center"/>
          </w:tcPr>
          <w:p w14:paraId="33B01620" w14:textId="66EDE35A" w:rsidR="00762A72" w:rsidRPr="00162B20" w:rsidRDefault="00762A72" w:rsidP="00762A72">
            <w:pPr>
              <w:pStyle w:val="Tabletext"/>
              <w:jc w:val="center"/>
              <w:rPr>
                <w:lang w:val="en-AU"/>
              </w:rPr>
            </w:pPr>
            <w:r w:rsidRPr="00162B20">
              <w:rPr>
                <w:lang w:val="en-AU"/>
              </w:rPr>
              <w:t>IMDC</w:t>
            </w:r>
            <w:r w:rsidR="00286B1B" w:rsidRPr="00162B20">
              <w:rPr>
                <w:lang w:val="en-AU"/>
              </w:rPr>
              <w:t>/MSKCC</w:t>
            </w:r>
            <w:r w:rsidRPr="00162B20">
              <w:rPr>
                <w:lang w:val="en-AU"/>
              </w:rPr>
              <w:t xml:space="preserve"> risk</w:t>
            </w:r>
          </w:p>
        </w:tc>
        <w:tc>
          <w:tcPr>
            <w:tcW w:w="599" w:type="pct"/>
            <w:shd w:val="clear" w:color="auto" w:fill="auto"/>
            <w:vAlign w:val="center"/>
            <w:hideMark/>
          </w:tcPr>
          <w:p w14:paraId="3192D8C5" w14:textId="42CFA9C0" w:rsidR="00762A72" w:rsidRPr="00162B20" w:rsidRDefault="00762A72" w:rsidP="00762A72">
            <w:pPr>
              <w:pStyle w:val="Tabletext"/>
              <w:jc w:val="center"/>
              <w:rPr>
                <w:lang w:val="en-AU"/>
              </w:rPr>
            </w:pPr>
            <w:r w:rsidRPr="00162B20">
              <w:rPr>
                <w:lang w:val="en-AU"/>
              </w:rPr>
              <w:t>Outcomes</w:t>
            </w:r>
          </w:p>
        </w:tc>
      </w:tr>
      <w:tr w:rsidR="003623C8" w:rsidRPr="00162B20" w14:paraId="33464BA5" w14:textId="77777777" w:rsidTr="00AB2E32">
        <w:tc>
          <w:tcPr>
            <w:tcW w:w="5000" w:type="pct"/>
            <w:gridSpan w:val="7"/>
            <w:shd w:val="clear" w:color="auto" w:fill="auto"/>
            <w:vAlign w:val="center"/>
          </w:tcPr>
          <w:p w14:paraId="7B9C3911" w14:textId="486D6DFF" w:rsidR="003623C8" w:rsidRPr="00162B20" w:rsidRDefault="003623C8" w:rsidP="003623C8">
            <w:pPr>
              <w:pStyle w:val="Tabletext"/>
              <w:rPr>
                <w:b/>
                <w:bCs/>
                <w:lang w:val="en-AU"/>
              </w:rPr>
            </w:pPr>
            <w:r w:rsidRPr="00162B20">
              <w:rPr>
                <w:b/>
                <w:bCs/>
                <w:lang w:val="en-AU"/>
              </w:rPr>
              <w:t>Cabozantinib versus sunitinib</w:t>
            </w:r>
          </w:p>
        </w:tc>
      </w:tr>
      <w:tr w:rsidR="00286B1B" w:rsidRPr="00162B20" w14:paraId="40D4EE55" w14:textId="77777777" w:rsidTr="00286B1B">
        <w:tc>
          <w:tcPr>
            <w:tcW w:w="629" w:type="pct"/>
            <w:shd w:val="clear" w:color="auto" w:fill="auto"/>
            <w:vAlign w:val="center"/>
            <w:hideMark/>
          </w:tcPr>
          <w:p w14:paraId="271C413A" w14:textId="77777777" w:rsidR="00762A72" w:rsidRPr="00162B20" w:rsidRDefault="00762A72" w:rsidP="00762A72">
            <w:pPr>
              <w:pStyle w:val="Tabletext"/>
              <w:jc w:val="center"/>
              <w:rPr>
                <w:lang w:val="en-AU"/>
              </w:rPr>
            </w:pPr>
            <w:r w:rsidRPr="00162B20">
              <w:rPr>
                <w:lang w:val="en-AU"/>
              </w:rPr>
              <w:t>CABOSUN</w:t>
            </w:r>
          </w:p>
        </w:tc>
        <w:tc>
          <w:tcPr>
            <w:tcW w:w="471" w:type="pct"/>
            <w:shd w:val="clear" w:color="auto" w:fill="auto"/>
            <w:vAlign w:val="center"/>
            <w:hideMark/>
          </w:tcPr>
          <w:p w14:paraId="01FF10FC" w14:textId="77777777" w:rsidR="00762A72" w:rsidRPr="00162B20" w:rsidRDefault="00762A72" w:rsidP="00762A72">
            <w:pPr>
              <w:pStyle w:val="Tabletext"/>
              <w:jc w:val="center"/>
              <w:rPr>
                <w:lang w:val="en-AU"/>
              </w:rPr>
            </w:pPr>
            <w:r w:rsidRPr="00162B20">
              <w:rPr>
                <w:lang w:val="en-AU"/>
              </w:rPr>
              <w:t>157</w:t>
            </w:r>
          </w:p>
        </w:tc>
        <w:tc>
          <w:tcPr>
            <w:tcW w:w="1179" w:type="pct"/>
            <w:shd w:val="clear" w:color="auto" w:fill="auto"/>
            <w:vAlign w:val="center"/>
            <w:hideMark/>
          </w:tcPr>
          <w:p w14:paraId="313B4EE4" w14:textId="77777777" w:rsidR="00762A72" w:rsidRPr="00162B20" w:rsidRDefault="00762A72" w:rsidP="00762A72">
            <w:pPr>
              <w:pStyle w:val="Tabletext"/>
              <w:jc w:val="center"/>
              <w:rPr>
                <w:lang w:val="en-AU"/>
              </w:rPr>
            </w:pPr>
            <w:r w:rsidRPr="00162B20">
              <w:rPr>
                <w:lang w:val="en-AU"/>
              </w:rPr>
              <w:t>R, OL</w:t>
            </w:r>
          </w:p>
          <w:p w14:paraId="4B4E5546" w14:textId="37A9FE1A" w:rsidR="00762A72" w:rsidRPr="00162B20" w:rsidRDefault="00762A72" w:rsidP="00762A72">
            <w:pPr>
              <w:pStyle w:val="Tabletext"/>
              <w:jc w:val="center"/>
              <w:rPr>
                <w:lang w:val="en-AU"/>
              </w:rPr>
            </w:pPr>
            <w:r w:rsidRPr="00162B20">
              <w:rPr>
                <w:lang w:val="en-AU"/>
              </w:rPr>
              <w:t>25 months</w:t>
            </w:r>
            <w:r w:rsidR="00A7068F" w:rsidRPr="00162B20">
              <w:rPr>
                <w:lang w:val="en-AU"/>
              </w:rPr>
              <w:t xml:space="preserve"> (median duration of follow-up)</w:t>
            </w:r>
          </w:p>
        </w:tc>
        <w:tc>
          <w:tcPr>
            <w:tcW w:w="548" w:type="pct"/>
            <w:shd w:val="clear" w:color="auto" w:fill="auto"/>
            <w:vAlign w:val="center"/>
            <w:hideMark/>
          </w:tcPr>
          <w:p w14:paraId="172A441C" w14:textId="54B7F082" w:rsidR="00762A72" w:rsidRPr="00162B20" w:rsidRDefault="00762A72" w:rsidP="00762A72">
            <w:pPr>
              <w:pStyle w:val="Tabletext"/>
              <w:jc w:val="center"/>
              <w:rPr>
                <w:lang w:val="en-AU"/>
              </w:rPr>
            </w:pPr>
            <w:r w:rsidRPr="00162B20">
              <w:rPr>
                <w:lang w:val="en-AU"/>
              </w:rPr>
              <w:t>High</w:t>
            </w:r>
          </w:p>
        </w:tc>
        <w:tc>
          <w:tcPr>
            <w:tcW w:w="943" w:type="pct"/>
            <w:shd w:val="clear" w:color="auto" w:fill="auto"/>
            <w:vAlign w:val="center"/>
            <w:hideMark/>
          </w:tcPr>
          <w:p w14:paraId="4B83AC4E" w14:textId="2F9284D8" w:rsidR="00762A72" w:rsidRPr="00162B20" w:rsidRDefault="00762A72" w:rsidP="00762A72">
            <w:pPr>
              <w:pStyle w:val="Tabletext"/>
              <w:jc w:val="center"/>
              <w:rPr>
                <w:lang w:val="en-AU"/>
              </w:rPr>
            </w:pPr>
            <w:r w:rsidRPr="00162B20">
              <w:rPr>
                <w:lang w:val="en-AU"/>
              </w:rPr>
              <w:t>Previously untreated patients with advanced or metastatic clear cell RCC</w:t>
            </w:r>
          </w:p>
        </w:tc>
        <w:tc>
          <w:tcPr>
            <w:tcW w:w="631" w:type="pct"/>
            <w:vAlign w:val="center"/>
          </w:tcPr>
          <w:p w14:paraId="0A716CDA" w14:textId="431EC2AC" w:rsidR="00762A72" w:rsidRPr="00162B20" w:rsidRDefault="00AD0F49" w:rsidP="00762A72">
            <w:pPr>
              <w:pStyle w:val="Tabletext"/>
              <w:jc w:val="center"/>
              <w:rPr>
                <w:lang w:val="en-AU"/>
              </w:rPr>
            </w:pPr>
            <w:r w:rsidRPr="00162B20">
              <w:rPr>
                <w:lang w:val="en-AU"/>
              </w:rPr>
              <w:t xml:space="preserve">IMDC risk: </w:t>
            </w:r>
            <w:r w:rsidR="00762A72" w:rsidRPr="00162B20">
              <w:rPr>
                <w:lang w:val="en-AU"/>
              </w:rPr>
              <w:t>Poor</w:t>
            </w:r>
            <w:r w:rsidR="00286B1B" w:rsidRPr="00162B20">
              <w:rPr>
                <w:lang w:val="en-AU"/>
              </w:rPr>
              <w:t xml:space="preserve"> (19%)</w:t>
            </w:r>
            <w:r w:rsidR="00762A72" w:rsidRPr="00162B20">
              <w:rPr>
                <w:lang w:val="en-AU"/>
              </w:rPr>
              <w:t>, intermediate</w:t>
            </w:r>
            <w:r w:rsidR="00286B1B" w:rsidRPr="00162B20">
              <w:rPr>
                <w:lang w:val="en-AU"/>
              </w:rPr>
              <w:t xml:space="preserve"> (81%)</w:t>
            </w:r>
          </w:p>
        </w:tc>
        <w:tc>
          <w:tcPr>
            <w:tcW w:w="599" w:type="pct"/>
            <w:shd w:val="clear" w:color="auto" w:fill="auto"/>
            <w:vAlign w:val="center"/>
            <w:hideMark/>
          </w:tcPr>
          <w:p w14:paraId="157606C7" w14:textId="054D8845" w:rsidR="00762A72" w:rsidRPr="00162B20" w:rsidRDefault="00762A72" w:rsidP="00762A72">
            <w:pPr>
              <w:pStyle w:val="Tabletext"/>
              <w:jc w:val="center"/>
              <w:rPr>
                <w:lang w:val="en-AU"/>
              </w:rPr>
            </w:pPr>
            <w:r w:rsidRPr="00162B20">
              <w:rPr>
                <w:lang w:val="en-AU"/>
              </w:rPr>
              <w:t>PFS, OS, ORR, AEs</w:t>
            </w:r>
          </w:p>
        </w:tc>
      </w:tr>
      <w:tr w:rsidR="003623C8" w:rsidRPr="00162B20" w14:paraId="1B2A40D4" w14:textId="77777777" w:rsidTr="00AB2E32">
        <w:tc>
          <w:tcPr>
            <w:tcW w:w="5000" w:type="pct"/>
            <w:gridSpan w:val="7"/>
            <w:shd w:val="clear" w:color="auto" w:fill="auto"/>
            <w:vAlign w:val="center"/>
          </w:tcPr>
          <w:p w14:paraId="29C58FCC" w14:textId="536B207E" w:rsidR="003623C8" w:rsidRPr="00162B20" w:rsidRDefault="003623C8" w:rsidP="003623C8">
            <w:pPr>
              <w:pStyle w:val="Tabletext"/>
              <w:rPr>
                <w:b/>
                <w:bCs/>
                <w:lang w:val="en-AU"/>
              </w:rPr>
            </w:pPr>
            <w:proofErr w:type="spellStart"/>
            <w:r w:rsidRPr="00162B20">
              <w:rPr>
                <w:b/>
                <w:bCs/>
                <w:lang w:val="en-AU"/>
              </w:rPr>
              <w:t>Cabozantinib</w:t>
            </w:r>
            <w:proofErr w:type="spellEnd"/>
            <w:r w:rsidRPr="00162B20">
              <w:rPr>
                <w:b/>
                <w:bCs/>
                <w:lang w:val="en-AU"/>
              </w:rPr>
              <w:t xml:space="preserve"> versus </w:t>
            </w:r>
            <w:proofErr w:type="spellStart"/>
            <w:r w:rsidRPr="00162B20">
              <w:rPr>
                <w:b/>
                <w:bCs/>
                <w:lang w:val="en-AU"/>
              </w:rPr>
              <w:t>everolimus</w:t>
            </w:r>
            <w:proofErr w:type="spellEnd"/>
          </w:p>
        </w:tc>
      </w:tr>
      <w:tr w:rsidR="00286B1B" w:rsidRPr="00162B20" w14:paraId="6F2F436D" w14:textId="77777777" w:rsidTr="00286B1B">
        <w:tc>
          <w:tcPr>
            <w:tcW w:w="629" w:type="pct"/>
            <w:shd w:val="clear" w:color="auto" w:fill="auto"/>
            <w:vAlign w:val="center"/>
          </w:tcPr>
          <w:p w14:paraId="18BDCE2A" w14:textId="1ACB1755" w:rsidR="003623C8" w:rsidRPr="00162B20" w:rsidRDefault="003623C8" w:rsidP="00762A72">
            <w:pPr>
              <w:pStyle w:val="Tabletext"/>
              <w:jc w:val="center"/>
              <w:rPr>
                <w:lang w:val="en-AU"/>
              </w:rPr>
            </w:pPr>
            <w:r w:rsidRPr="00162B20">
              <w:rPr>
                <w:lang w:val="en-AU"/>
              </w:rPr>
              <w:t>METEOR</w:t>
            </w:r>
          </w:p>
        </w:tc>
        <w:tc>
          <w:tcPr>
            <w:tcW w:w="471" w:type="pct"/>
            <w:shd w:val="clear" w:color="auto" w:fill="auto"/>
            <w:vAlign w:val="center"/>
          </w:tcPr>
          <w:p w14:paraId="004253C5" w14:textId="77777777" w:rsidR="003623C8" w:rsidRPr="00162B20" w:rsidRDefault="003623C8" w:rsidP="003623C8">
            <w:pPr>
              <w:pStyle w:val="TableText0"/>
              <w:jc w:val="center"/>
              <w:rPr>
                <w:lang w:val="en-AU"/>
              </w:rPr>
            </w:pPr>
            <w:r w:rsidRPr="00162B20">
              <w:rPr>
                <w:lang w:val="en-AU"/>
              </w:rPr>
              <w:t>ITT: 658</w:t>
            </w:r>
          </w:p>
          <w:p w14:paraId="449AEE5C" w14:textId="0B94654A" w:rsidR="003623C8" w:rsidRPr="00162B20" w:rsidRDefault="003623C8" w:rsidP="003623C8">
            <w:pPr>
              <w:pStyle w:val="Tabletext"/>
              <w:jc w:val="center"/>
              <w:rPr>
                <w:lang w:val="en-AU"/>
              </w:rPr>
            </w:pPr>
            <w:r w:rsidRPr="00162B20">
              <w:rPr>
                <w:lang w:val="en-AU"/>
              </w:rPr>
              <w:t>PITT: 375</w:t>
            </w:r>
          </w:p>
        </w:tc>
        <w:tc>
          <w:tcPr>
            <w:tcW w:w="1179" w:type="pct"/>
            <w:shd w:val="clear" w:color="auto" w:fill="auto"/>
            <w:vAlign w:val="center"/>
          </w:tcPr>
          <w:p w14:paraId="62967BBC" w14:textId="77777777" w:rsidR="003623C8" w:rsidRPr="00162B20" w:rsidRDefault="003623C8" w:rsidP="003623C8">
            <w:pPr>
              <w:pStyle w:val="TableText0"/>
              <w:jc w:val="center"/>
              <w:rPr>
                <w:rFonts w:ascii="Times" w:eastAsia="Times New Roman" w:hAnsi="Times" w:cs="Times New Roman"/>
                <w:vertAlign w:val="superscript"/>
                <w:lang w:val="en-AU"/>
              </w:rPr>
            </w:pPr>
            <w:r w:rsidRPr="00162B20">
              <w:rPr>
                <w:lang w:val="en-AU"/>
              </w:rPr>
              <w:t>R, OL</w:t>
            </w:r>
            <w:r w:rsidRPr="00162B20">
              <w:rPr>
                <w:vertAlign w:val="superscript"/>
                <w:lang w:val="en-AU"/>
              </w:rPr>
              <w:t>a</w:t>
            </w:r>
            <w:r w:rsidRPr="00162B20">
              <w:rPr>
                <w:lang w:val="en-AU"/>
              </w:rPr>
              <w:t>, MC</w:t>
            </w:r>
          </w:p>
          <w:p w14:paraId="4215B5F6" w14:textId="77777777" w:rsidR="003623C8" w:rsidRPr="00162B20" w:rsidRDefault="003623C8" w:rsidP="003623C8">
            <w:pPr>
              <w:pStyle w:val="TableText0"/>
              <w:tabs>
                <w:tab w:val="left" w:pos="830"/>
              </w:tabs>
              <w:jc w:val="center"/>
              <w:rPr>
                <w:lang w:val="en-AU"/>
              </w:rPr>
            </w:pPr>
            <w:r w:rsidRPr="00162B20">
              <w:rPr>
                <w:lang w:val="en-AU"/>
              </w:rPr>
              <w:t xml:space="preserve">May 2015 database lock: </w:t>
            </w:r>
            <w:r w:rsidRPr="00162B20">
              <w:rPr>
                <w:lang w:val="en-AU"/>
              </w:rPr>
              <w:br/>
              <w:t>ITT: 5.9 mths</w:t>
            </w:r>
            <w:r w:rsidRPr="00162B20">
              <w:rPr>
                <w:vertAlign w:val="superscript"/>
                <w:lang w:val="en-AU"/>
              </w:rPr>
              <w:br/>
            </w:r>
            <w:r w:rsidRPr="00162B20">
              <w:rPr>
                <w:lang w:val="en-AU"/>
              </w:rPr>
              <w:t>PITT</w:t>
            </w:r>
            <w:r w:rsidRPr="00162B20">
              <w:rPr>
                <w:vertAlign w:val="superscript"/>
                <w:lang w:val="en-AU"/>
              </w:rPr>
              <w:t>b</w:t>
            </w:r>
            <w:r w:rsidRPr="00162B20">
              <w:rPr>
                <w:lang w:val="en-AU"/>
              </w:rPr>
              <w:t>:10.7 mths</w:t>
            </w:r>
          </w:p>
          <w:p w14:paraId="06B715BE" w14:textId="55F26FF7" w:rsidR="003623C8" w:rsidRPr="00162B20" w:rsidRDefault="003623C8" w:rsidP="003623C8">
            <w:pPr>
              <w:pStyle w:val="Tabletext"/>
              <w:jc w:val="center"/>
              <w:rPr>
                <w:lang w:val="en-AU"/>
              </w:rPr>
            </w:pPr>
            <w:r w:rsidRPr="00162B20">
              <w:rPr>
                <w:lang w:val="en-AU"/>
              </w:rPr>
              <w:t>Dec 2015 database lock:</w:t>
            </w:r>
            <w:r w:rsidRPr="00162B20">
              <w:rPr>
                <w:lang w:val="en-AU"/>
              </w:rPr>
              <w:br/>
              <w:t>ITT: 13.0 mths</w:t>
            </w:r>
          </w:p>
        </w:tc>
        <w:tc>
          <w:tcPr>
            <w:tcW w:w="548" w:type="pct"/>
            <w:shd w:val="clear" w:color="auto" w:fill="auto"/>
            <w:vAlign w:val="center"/>
          </w:tcPr>
          <w:p w14:paraId="38C9D717" w14:textId="293F670B" w:rsidR="003623C8" w:rsidRPr="00162B20" w:rsidRDefault="003623C8" w:rsidP="00762A72">
            <w:pPr>
              <w:pStyle w:val="Tabletext"/>
              <w:jc w:val="center"/>
              <w:rPr>
                <w:lang w:val="en-AU"/>
              </w:rPr>
            </w:pPr>
            <w:r w:rsidRPr="00162B20">
              <w:rPr>
                <w:lang w:val="en-AU"/>
              </w:rPr>
              <w:t>Moderate</w:t>
            </w:r>
          </w:p>
        </w:tc>
        <w:tc>
          <w:tcPr>
            <w:tcW w:w="943" w:type="pct"/>
            <w:shd w:val="clear" w:color="auto" w:fill="auto"/>
            <w:vAlign w:val="center"/>
          </w:tcPr>
          <w:p w14:paraId="324D689F" w14:textId="194AF85C" w:rsidR="003623C8" w:rsidRPr="00162B20" w:rsidRDefault="003623C8" w:rsidP="00762A72">
            <w:pPr>
              <w:pStyle w:val="Tabletext"/>
              <w:jc w:val="center"/>
              <w:rPr>
                <w:lang w:val="en-AU"/>
              </w:rPr>
            </w:pPr>
            <w:r w:rsidRPr="00162B20">
              <w:rPr>
                <w:lang w:val="en-AU"/>
              </w:rPr>
              <w:t>Advanced/metastatic RCC following at least one prior VEGFR-targeted treatment</w:t>
            </w:r>
            <w:r w:rsidR="000C67AB" w:rsidRPr="00162B20">
              <w:rPr>
                <w:lang w:val="en-AU"/>
              </w:rPr>
              <w:t xml:space="preserve">, </w:t>
            </w:r>
            <w:r w:rsidR="00460F5B" w:rsidRPr="00162B20">
              <w:rPr>
                <w:lang w:val="en-AU"/>
              </w:rPr>
              <w:t>Karnofsky</w:t>
            </w:r>
            <w:r w:rsidR="000C67AB" w:rsidRPr="00162B20">
              <w:rPr>
                <w:lang w:val="en-AU"/>
              </w:rPr>
              <w:t xml:space="preserve"> PS of </w:t>
            </w:r>
            <w:r w:rsidR="00460F5B" w:rsidRPr="00162B20">
              <w:rPr>
                <w:lang w:val="en-AU"/>
              </w:rPr>
              <w:t>at least 70%</w:t>
            </w:r>
          </w:p>
        </w:tc>
        <w:tc>
          <w:tcPr>
            <w:tcW w:w="631" w:type="pct"/>
            <w:vAlign w:val="center"/>
          </w:tcPr>
          <w:p w14:paraId="5EB35861" w14:textId="4851674D" w:rsidR="003623C8" w:rsidRPr="00162B20" w:rsidRDefault="00286B1B" w:rsidP="00762A72">
            <w:pPr>
              <w:pStyle w:val="Tabletext"/>
              <w:jc w:val="center"/>
              <w:rPr>
                <w:vertAlign w:val="superscript"/>
                <w:lang w:val="en-AU"/>
              </w:rPr>
            </w:pPr>
            <w:r w:rsidRPr="00162B20">
              <w:rPr>
                <w:lang w:val="en-AU"/>
              </w:rPr>
              <w:t xml:space="preserve"> </w:t>
            </w:r>
            <w:r w:rsidR="00AD0F49" w:rsidRPr="00162B20">
              <w:rPr>
                <w:lang w:val="en-AU"/>
              </w:rPr>
              <w:t xml:space="preserve">MSKCC risk: </w:t>
            </w:r>
            <w:r w:rsidRPr="00162B20">
              <w:rPr>
                <w:lang w:val="en-AU"/>
              </w:rPr>
              <w:t>Poor (14%), intermediate (43%), favourable (43%)</w:t>
            </w:r>
          </w:p>
        </w:tc>
        <w:tc>
          <w:tcPr>
            <w:tcW w:w="599" w:type="pct"/>
            <w:shd w:val="clear" w:color="auto" w:fill="auto"/>
            <w:vAlign w:val="center"/>
          </w:tcPr>
          <w:p w14:paraId="104EE56A" w14:textId="77777777" w:rsidR="003623C8" w:rsidRPr="00162B20" w:rsidRDefault="003623C8" w:rsidP="003623C8">
            <w:pPr>
              <w:pStyle w:val="TableText0"/>
              <w:jc w:val="center"/>
              <w:rPr>
                <w:vertAlign w:val="superscript"/>
                <w:lang w:val="en-AU"/>
              </w:rPr>
            </w:pPr>
            <w:r w:rsidRPr="00162B20">
              <w:rPr>
                <w:lang w:val="en-AU"/>
              </w:rPr>
              <w:t>PFS (primary)</w:t>
            </w:r>
            <w:r w:rsidRPr="00162B20">
              <w:rPr>
                <w:vertAlign w:val="superscript"/>
                <w:lang w:val="en-AU"/>
              </w:rPr>
              <w:t>b</w:t>
            </w:r>
          </w:p>
          <w:p w14:paraId="2152590E" w14:textId="3DC3DEA9" w:rsidR="003623C8" w:rsidRPr="00162B20" w:rsidRDefault="003623C8" w:rsidP="003623C8">
            <w:pPr>
              <w:pStyle w:val="Tabletext"/>
              <w:jc w:val="center"/>
              <w:rPr>
                <w:lang w:val="en-AU"/>
              </w:rPr>
            </w:pPr>
            <w:r w:rsidRPr="00162B20">
              <w:rPr>
                <w:lang w:val="en-AU"/>
              </w:rPr>
              <w:t>OS, ORR, EQ5D</w:t>
            </w:r>
          </w:p>
        </w:tc>
      </w:tr>
    </w:tbl>
    <w:p w14:paraId="31144112" w14:textId="75F4C2D2" w:rsidR="002B7349" w:rsidRPr="00162B20" w:rsidRDefault="008512AE" w:rsidP="002B7349">
      <w:pPr>
        <w:pStyle w:val="TableFigureFooter"/>
      </w:pPr>
      <w:r w:rsidRPr="00162B20">
        <w:t>Source: Table 2-20, p55 of the submission.</w:t>
      </w:r>
      <w:r w:rsidR="006A7617" w:rsidRPr="00162B20">
        <w:t xml:space="preserve"> Table 3, p8 of Cabozantinib</w:t>
      </w:r>
      <w:r w:rsidR="00FD21BF" w:rsidRPr="00162B20">
        <w:t xml:space="preserve">, </w:t>
      </w:r>
      <w:r w:rsidR="00917425" w:rsidRPr="00162B20">
        <w:t>PSD</w:t>
      </w:r>
      <w:r w:rsidR="000C67AB" w:rsidRPr="00162B20">
        <w:t>,</w:t>
      </w:r>
      <w:r w:rsidR="006A7617" w:rsidRPr="00162B20">
        <w:t xml:space="preserve"> December</w:t>
      </w:r>
      <w:r w:rsidR="00682A3A" w:rsidRPr="00162B20">
        <w:t xml:space="preserve"> 2017</w:t>
      </w:r>
      <w:r w:rsidR="000C67AB" w:rsidRPr="00162B20">
        <w:t xml:space="preserve"> PBAC Meeting</w:t>
      </w:r>
      <w:r w:rsidR="002B7349" w:rsidRPr="00162B20">
        <w:t>.</w:t>
      </w:r>
      <w:r w:rsidR="00682A3A" w:rsidRPr="00162B20">
        <w:t xml:space="preserve"> Choueiri et al. (2015), supplementary Figure S4.</w:t>
      </w:r>
    </w:p>
    <w:p w14:paraId="656DC366" w14:textId="49E2E7ED" w:rsidR="002B7349" w:rsidRPr="00162B20" w:rsidRDefault="008512AE" w:rsidP="002B7349">
      <w:pPr>
        <w:pStyle w:val="TableFigureFooter"/>
      </w:pPr>
      <w:r w:rsidRPr="00162B20">
        <w:t xml:space="preserve">AEs = adverse events; </w:t>
      </w:r>
      <w:proofErr w:type="spellStart"/>
      <w:r w:rsidR="00FF21EC" w:rsidRPr="00162B20">
        <w:t>ccRCC</w:t>
      </w:r>
      <w:proofErr w:type="spellEnd"/>
      <w:r w:rsidR="00FF21EC" w:rsidRPr="00162B20">
        <w:t xml:space="preserve"> = clear cell renal cell carcinoma; </w:t>
      </w:r>
      <w:r w:rsidRPr="00162B20">
        <w:t>OL= open label; R = randomised</w:t>
      </w:r>
      <w:r w:rsidR="003623C8" w:rsidRPr="00162B20">
        <w:t>; ITT = intention to treat; MC = multi-centre; mths = months;</w:t>
      </w:r>
      <w:r w:rsidR="00E65D64" w:rsidRPr="00162B20">
        <w:t xml:space="preserve"> MSKCC = Memorial Sloan Kettering Cancer Center criteria;</w:t>
      </w:r>
      <w:r w:rsidR="003623C8" w:rsidRPr="00162B20">
        <w:t xml:space="preserve"> </w:t>
      </w:r>
      <w:r w:rsidR="00AB2E32" w:rsidRPr="00162B20">
        <w:t xml:space="preserve">NR = not reported; </w:t>
      </w:r>
      <w:r w:rsidR="003623C8" w:rsidRPr="00162B20">
        <w:t xml:space="preserve">ORR = objective response rate; OS = overall survival; PFS = progression free survival; PITT= primary intention to treat; </w:t>
      </w:r>
      <w:r w:rsidR="000C67AB" w:rsidRPr="00162B20">
        <w:t xml:space="preserve">PS = performance status; </w:t>
      </w:r>
      <w:r w:rsidR="003623C8" w:rsidRPr="00162B20">
        <w:t>RCC = renal cell carcinoma; VEGFR = vascular endothelial growth factor receptor</w:t>
      </w:r>
      <w:r w:rsidR="00460F5B" w:rsidRPr="00162B20">
        <w:t>.</w:t>
      </w:r>
    </w:p>
    <w:p w14:paraId="5D4E5C4E" w14:textId="77777777" w:rsidR="006D779A" w:rsidRPr="00162B20" w:rsidRDefault="003623C8" w:rsidP="006D779A">
      <w:pPr>
        <w:pStyle w:val="TableFigureFooter"/>
      </w:pPr>
      <w:r w:rsidRPr="00162B20">
        <w:rPr>
          <w:vertAlign w:val="superscript"/>
        </w:rPr>
        <w:t>a</w:t>
      </w:r>
      <w:r w:rsidRPr="00162B20">
        <w:t> Tumour response and progression were assessed by a blinded centralised independent review committee.</w:t>
      </w:r>
    </w:p>
    <w:p w14:paraId="0C756ECF" w14:textId="32574128" w:rsidR="008911D1" w:rsidRPr="00162B20" w:rsidRDefault="003623C8" w:rsidP="008512AE">
      <w:pPr>
        <w:pStyle w:val="TableFigureFooter"/>
      </w:pPr>
      <w:r w:rsidRPr="00162B20">
        <w:rPr>
          <w:vertAlign w:val="superscript"/>
        </w:rPr>
        <w:t>b</w:t>
      </w:r>
      <w:r w:rsidRPr="00162B20">
        <w:t xml:space="preserve"> The primary outcome was PFS in the primary intention to treat (PITT) population, which was defined as the first 375 randomised patients.</w:t>
      </w:r>
    </w:p>
    <w:p w14:paraId="3ED23EA1" w14:textId="381022A3" w:rsidR="006011DB" w:rsidRPr="00162B20" w:rsidRDefault="00762A72" w:rsidP="00322487">
      <w:pPr>
        <w:pStyle w:val="3-BodyText"/>
        <w:snapToGrid w:val="0"/>
      </w:pPr>
      <w:r w:rsidRPr="00162B20">
        <w:t xml:space="preserve">The </w:t>
      </w:r>
      <w:r w:rsidR="001E4115" w:rsidRPr="00162B20">
        <w:t>effectiveness</w:t>
      </w:r>
      <w:r w:rsidRPr="00162B20">
        <w:t xml:space="preserve"> of cabozantinib and sunitinib in </w:t>
      </w:r>
      <w:proofErr w:type="spellStart"/>
      <w:r w:rsidRPr="00162B20">
        <w:t>nccRCC</w:t>
      </w:r>
      <w:proofErr w:type="spellEnd"/>
      <w:r w:rsidRPr="00162B20">
        <w:t xml:space="preserve"> from SWOG 1500 was naively compared with results obtained from </w:t>
      </w:r>
      <w:proofErr w:type="spellStart"/>
      <w:r w:rsidRPr="00162B20">
        <w:t>ccRCC</w:t>
      </w:r>
      <w:proofErr w:type="spellEnd"/>
      <w:r w:rsidRPr="00162B20">
        <w:t xml:space="preserve"> patients from </w:t>
      </w:r>
      <w:r w:rsidR="00000C9C" w:rsidRPr="00162B20">
        <w:t>CABOSUN</w:t>
      </w:r>
      <w:r w:rsidRPr="00162B20">
        <w:t xml:space="preserve">. </w:t>
      </w:r>
      <w:r w:rsidR="00000C9C" w:rsidRPr="00162B20">
        <w:t>CABOSUN</w:t>
      </w:r>
      <w:r w:rsidRPr="00162B20">
        <w:t xml:space="preserve"> was a head-to-head, Phase II, randomised, open-label trial comparing cabozantinib to sunitinib, in previously untreated patients with advanced or metastatic </w:t>
      </w:r>
      <w:proofErr w:type="spellStart"/>
      <w:r w:rsidR="009E1094" w:rsidRPr="00162B20">
        <w:t>cc</w:t>
      </w:r>
      <w:r w:rsidRPr="00162B20">
        <w:t>RCC</w:t>
      </w:r>
      <w:proofErr w:type="spellEnd"/>
      <w:r w:rsidRPr="00162B20">
        <w:t>, with I</w:t>
      </w:r>
      <w:r w:rsidR="00335D9A" w:rsidRPr="00162B20">
        <w:t>MD</w:t>
      </w:r>
      <w:r w:rsidRPr="00162B20">
        <w:t>C intermediate to poor risk disease (n = 157).</w:t>
      </w:r>
      <w:r w:rsidR="00335D9A" w:rsidRPr="00162B20">
        <w:t xml:space="preserve"> </w:t>
      </w:r>
      <w:r w:rsidR="00000C9C" w:rsidRPr="00162B20">
        <w:t>METEOR</w:t>
      </w:r>
      <w:r w:rsidR="00335D9A" w:rsidRPr="00162B20">
        <w:t xml:space="preserve"> was a head-to-head, open-label trial comparing </w:t>
      </w:r>
      <w:proofErr w:type="spellStart"/>
      <w:r w:rsidR="00335D9A" w:rsidRPr="00162B20">
        <w:t>cabozantinib</w:t>
      </w:r>
      <w:proofErr w:type="spellEnd"/>
      <w:r w:rsidR="00335D9A" w:rsidRPr="00162B20">
        <w:t xml:space="preserve"> with </w:t>
      </w:r>
      <w:proofErr w:type="spellStart"/>
      <w:r w:rsidR="00335D9A" w:rsidRPr="00162B20">
        <w:t>everolimus</w:t>
      </w:r>
      <w:proofErr w:type="spellEnd"/>
      <w:r w:rsidR="00335D9A" w:rsidRPr="00162B20">
        <w:t xml:space="preserve"> in patients with advanced or metastatic </w:t>
      </w:r>
      <w:proofErr w:type="spellStart"/>
      <w:r w:rsidR="00335D9A" w:rsidRPr="00162B20">
        <w:t>ccRCC</w:t>
      </w:r>
      <w:proofErr w:type="spellEnd"/>
      <w:r w:rsidR="00335D9A" w:rsidRPr="00162B20">
        <w:t xml:space="preserve"> who had progressed after prior </w:t>
      </w:r>
      <w:r w:rsidR="00FF21EC" w:rsidRPr="00162B20">
        <w:t>vascular endothelial growth factor receptor (</w:t>
      </w:r>
      <w:r w:rsidR="00335D9A" w:rsidRPr="00162B20">
        <w:t>VEGFR</w:t>
      </w:r>
      <w:r w:rsidR="00FF21EC" w:rsidRPr="00162B20">
        <w:t>)</w:t>
      </w:r>
      <w:r w:rsidR="00335D9A" w:rsidRPr="00162B20">
        <w:t xml:space="preserve">-targeting TKI therapy (METEOR; N=658). </w:t>
      </w:r>
    </w:p>
    <w:p w14:paraId="7D08F4A6" w14:textId="56FD9E43" w:rsidR="00E5175F" w:rsidRPr="00162B20" w:rsidRDefault="00EA2D09" w:rsidP="00E5175F">
      <w:pPr>
        <w:pStyle w:val="3-BodyText"/>
      </w:pPr>
      <w:r w:rsidRPr="00162B20">
        <w:t xml:space="preserve">The patient populations included in CABOSUN, METEOR, and SWOG 1500 were heterogeneous. Apart from </w:t>
      </w:r>
      <w:proofErr w:type="spellStart"/>
      <w:r w:rsidRPr="00162B20">
        <w:t>ccRCC</w:t>
      </w:r>
      <w:proofErr w:type="spellEnd"/>
      <w:r w:rsidRPr="00162B20">
        <w:t xml:space="preserve"> (CABOSUN and METEOR) and papillary </w:t>
      </w:r>
      <w:proofErr w:type="spellStart"/>
      <w:r w:rsidRPr="00162B20">
        <w:t>nccRCC</w:t>
      </w:r>
      <w:proofErr w:type="spellEnd"/>
      <w:r w:rsidRPr="00162B20">
        <w:t xml:space="preserve"> (SWOG 1500), the patients included in CABOSUN were previously untreated with any TKI while patients included in METEOR </w:t>
      </w:r>
      <w:r w:rsidR="00C133B3" w:rsidRPr="00162B20">
        <w:t>had</w:t>
      </w:r>
      <w:r w:rsidRPr="00162B20">
        <w:t xml:space="preserve"> at least one prior VEGFR-targeted treatment</w:t>
      </w:r>
      <w:r w:rsidR="002241DE" w:rsidRPr="00162B20">
        <w:t>.</w:t>
      </w:r>
      <w:r w:rsidR="00C007D3" w:rsidRPr="00162B20">
        <w:t xml:space="preserve"> </w:t>
      </w:r>
      <w:r w:rsidR="002241DE" w:rsidRPr="00162B20">
        <w:t>O</w:t>
      </w:r>
      <w:r w:rsidR="00C007D3" w:rsidRPr="00162B20">
        <w:t>nly 7% of SWOG</w:t>
      </w:r>
      <w:r w:rsidR="00C9254B" w:rsidRPr="00162B20">
        <w:t xml:space="preserve"> </w:t>
      </w:r>
      <w:r w:rsidR="00C007D3" w:rsidRPr="00162B20">
        <w:t xml:space="preserve">1500 patients had previous systemic treatment. Furthermore, </w:t>
      </w:r>
      <w:r w:rsidR="00CD2197" w:rsidRPr="00162B20">
        <w:t xml:space="preserve">SWOG 1500 included 26% favourable, 61% intermediate, and 14% poor </w:t>
      </w:r>
      <w:r w:rsidR="00CD2197" w:rsidRPr="00162B20">
        <w:lastRenderedPageBreak/>
        <w:t xml:space="preserve">IMDC risk patients, while CABOSUN included 81% intermediate and 19% poor IMDC risk patients. However, METEOR included 43% favourable, 43% intermediate, and 14% poor risk patients according to the Memorial Sloan Kettering Cancer Center (MSKCC) criteria. </w:t>
      </w:r>
      <w:r w:rsidR="0087487B" w:rsidRPr="00162B20">
        <w:t>T</w:t>
      </w:r>
      <w:r w:rsidR="00CD2197" w:rsidRPr="00162B20">
        <w:t xml:space="preserve">here were more patients with favourable risk in SWOG 1500 compared with CABOSUN, but SWOG 1500 included </w:t>
      </w:r>
      <w:r w:rsidR="0087487B" w:rsidRPr="00162B20">
        <w:t xml:space="preserve">fewer </w:t>
      </w:r>
      <w:r w:rsidR="00CD2197" w:rsidRPr="00162B20">
        <w:t>patients with favourable risk compared to METEOR</w:t>
      </w:r>
      <w:r w:rsidR="0087487B" w:rsidRPr="00162B20">
        <w:t xml:space="preserve">. </w:t>
      </w:r>
      <w:r w:rsidR="00E5175F" w:rsidRPr="00162B20">
        <w:t xml:space="preserve">In addition, SWOG 1500 enrolled patients with a performance status (PS) of ≤1 (Zubrod score), and 62% of them had a score of 0, CABOSUN enrolled patients with a PS of ≤2 (Eastern Cooperative Oncology Group </w:t>
      </w:r>
      <w:r w:rsidR="00435B05" w:rsidRPr="00162B20">
        <w:t>(</w:t>
      </w:r>
      <w:r w:rsidR="00E5175F" w:rsidRPr="00162B20">
        <w:t>ECOG</w:t>
      </w:r>
      <w:r w:rsidR="00435B05" w:rsidRPr="00162B20">
        <w:t>)</w:t>
      </w:r>
      <w:r w:rsidR="00E5175F" w:rsidRPr="00162B20">
        <w:t xml:space="preserve">) and 14% of these patients had a PS of 2, while 46% had a PS of 0. The METEOR study enrolled patients with a PS of ≤1, with 69% having a score of 0, using the ECOG scale. </w:t>
      </w:r>
      <w:r w:rsidR="0087487B" w:rsidRPr="00162B20">
        <w:t xml:space="preserve">Overall, </w:t>
      </w:r>
      <w:r w:rsidR="00E5175F" w:rsidRPr="00162B20">
        <w:t>CABOSUN had patients with worse PS compared with SWOG 1500, while PS in SWOG 1500 and METEOR was comparable.</w:t>
      </w:r>
      <w:r w:rsidR="0087487B" w:rsidRPr="00162B20">
        <w:t xml:space="preserve"> </w:t>
      </w:r>
    </w:p>
    <w:p w14:paraId="20CFFD38" w14:textId="43701BE8" w:rsidR="00631363" w:rsidRPr="00162B20" w:rsidRDefault="004559D9" w:rsidP="00631363">
      <w:pPr>
        <w:pStyle w:val="3-BodyText"/>
        <w:snapToGrid w:val="0"/>
      </w:pPr>
      <w:r w:rsidRPr="00162B20">
        <w:fldChar w:fldCharType="begin"/>
      </w:r>
      <w:r w:rsidRPr="00162B20">
        <w:instrText xml:space="preserve"> REF _Ref155620899 \h </w:instrText>
      </w:r>
      <w:r w:rsidRPr="00162B20">
        <w:fldChar w:fldCharType="separate"/>
      </w:r>
      <w:r w:rsidR="0030362D" w:rsidRPr="00162B20">
        <w:t xml:space="preserve">Table </w:t>
      </w:r>
      <w:r w:rsidR="0030362D">
        <w:rPr>
          <w:noProof/>
        </w:rPr>
        <w:t>7</w:t>
      </w:r>
      <w:r w:rsidRPr="00162B20">
        <w:fldChar w:fldCharType="end"/>
      </w:r>
      <w:r w:rsidR="00631363" w:rsidRPr="00162B20">
        <w:t xml:space="preserve"> presents </w:t>
      </w:r>
      <w:r w:rsidR="0026259B" w:rsidRPr="00162B20">
        <w:t xml:space="preserve">the naïve comparison of </w:t>
      </w:r>
      <w:r w:rsidR="00631363" w:rsidRPr="00162B20">
        <w:t xml:space="preserve">PFS and OS results of </w:t>
      </w:r>
      <w:r w:rsidR="0026259B" w:rsidRPr="00162B20">
        <w:t xml:space="preserve">SWOG 1500 and </w:t>
      </w:r>
      <w:r w:rsidR="00631363" w:rsidRPr="00162B20">
        <w:t>CABOSUN</w:t>
      </w:r>
      <w:r w:rsidR="000C4D58" w:rsidRPr="00162B20">
        <w:t xml:space="preserve"> and </w:t>
      </w:r>
      <w:r w:rsidR="00000C9C" w:rsidRPr="00162B20">
        <w:t>METEOR</w:t>
      </w:r>
      <w:r w:rsidR="00631363" w:rsidRPr="00162B20">
        <w:t>.</w:t>
      </w:r>
    </w:p>
    <w:p w14:paraId="4B203822" w14:textId="10C822AE" w:rsidR="004559D9" w:rsidRPr="00162B20" w:rsidRDefault="004559D9" w:rsidP="00D273BF">
      <w:pPr>
        <w:pStyle w:val="Caption"/>
        <w:widowControl w:val="0"/>
      </w:pPr>
      <w:bookmarkStart w:id="39" w:name="_Ref155620899"/>
      <w:r w:rsidRPr="00162B20">
        <w:lastRenderedPageBreak/>
        <w:t xml:space="preserve">Table </w:t>
      </w:r>
      <w:fldSimple w:instr=" SEQ Table \* ARABIC ">
        <w:r w:rsidR="0030362D">
          <w:rPr>
            <w:noProof/>
          </w:rPr>
          <w:t>7</w:t>
        </w:r>
      </w:fldSimple>
      <w:bookmarkEnd w:id="39"/>
      <w:r w:rsidRPr="00162B20">
        <w:t xml:space="preserve">: Naïve comparison of results of PFS and OS from SWOG 1500, CABOSUN, and </w:t>
      </w:r>
      <w:r w:rsidR="00000C9C" w:rsidRPr="00162B20">
        <w:t>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7: Naïve comparison of results of PFS and OS from SWOG 1500, CABOSUN, and METEOR"/>
      </w:tblPr>
      <w:tblGrid>
        <w:gridCol w:w="1555"/>
        <w:gridCol w:w="1134"/>
        <w:gridCol w:w="992"/>
        <w:gridCol w:w="1134"/>
        <w:gridCol w:w="1134"/>
        <w:gridCol w:w="1134"/>
        <w:gridCol w:w="850"/>
        <w:gridCol w:w="1084"/>
      </w:tblGrid>
      <w:tr w:rsidR="003F1AF6" w:rsidRPr="00162B20" w14:paraId="696BF96F" w14:textId="77777777" w:rsidTr="00544E23">
        <w:trPr>
          <w:tblHeader/>
        </w:trPr>
        <w:tc>
          <w:tcPr>
            <w:tcW w:w="1555" w:type="dxa"/>
            <w:vMerge w:val="restart"/>
            <w:shd w:val="clear" w:color="auto" w:fill="auto"/>
            <w:vAlign w:val="center"/>
            <w:hideMark/>
          </w:tcPr>
          <w:p w14:paraId="5C425AE8" w14:textId="5D43A43F" w:rsidR="00AA2C75" w:rsidRPr="00844EB4" w:rsidRDefault="00AA2C75" w:rsidP="00D273BF">
            <w:pPr>
              <w:pStyle w:val="Tabletext"/>
              <w:keepNext/>
              <w:keepLines/>
              <w:widowControl w:val="0"/>
              <w:rPr>
                <w:b/>
                <w:bCs/>
                <w:szCs w:val="20"/>
              </w:rPr>
            </w:pPr>
            <w:r w:rsidRPr="00844EB4">
              <w:rPr>
                <w:b/>
                <w:bCs/>
                <w:szCs w:val="20"/>
              </w:rPr>
              <w:t> </w:t>
            </w:r>
            <w:r w:rsidR="001440CE" w:rsidRPr="00844EB4">
              <w:rPr>
                <w:b/>
                <w:bCs/>
                <w:szCs w:val="20"/>
              </w:rPr>
              <w:t>Trial</w:t>
            </w:r>
          </w:p>
        </w:tc>
        <w:tc>
          <w:tcPr>
            <w:tcW w:w="2126" w:type="dxa"/>
            <w:gridSpan w:val="2"/>
            <w:shd w:val="clear" w:color="auto" w:fill="auto"/>
            <w:vAlign w:val="center"/>
            <w:hideMark/>
          </w:tcPr>
          <w:p w14:paraId="78A66D7D" w14:textId="77777777" w:rsidR="00AA2C75" w:rsidRPr="00844EB4" w:rsidRDefault="00AA2C75" w:rsidP="00D273BF">
            <w:pPr>
              <w:pStyle w:val="Tabletext"/>
              <w:keepNext/>
              <w:keepLines/>
              <w:widowControl w:val="0"/>
              <w:jc w:val="center"/>
              <w:rPr>
                <w:b/>
                <w:bCs/>
                <w:szCs w:val="20"/>
              </w:rPr>
            </w:pPr>
            <w:r w:rsidRPr="00844EB4">
              <w:rPr>
                <w:b/>
                <w:bCs/>
                <w:szCs w:val="20"/>
              </w:rPr>
              <w:t>Cabozantinib</w:t>
            </w:r>
          </w:p>
        </w:tc>
        <w:tc>
          <w:tcPr>
            <w:tcW w:w="2268" w:type="dxa"/>
            <w:gridSpan w:val="2"/>
            <w:shd w:val="clear" w:color="auto" w:fill="auto"/>
            <w:vAlign w:val="center"/>
            <w:hideMark/>
          </w:tcPr>
          <w:p w14:paraId="23C3543D" w14:textId="2F1C60B1" w:rsidR="00AA2C75" w:rsidRPr="00844EB4" w:rsidRDefault="001B0E8A" w:rsidP="00D273BF">
            <w:pPr>
              <w:pStyle w:val="Tabletext"/>
              <w:keepNext/>
              <w:keepLines/>
              <w:widowControl w:val="0"/>
              <w:jc w:val="center"/>
              <w:rPr>
                <w:b/>
                <w:bCs/>
                <w:szCs w:val="20"/>
              </w:rPr>
            </w:pPr>
            <w:r w:rsidRPr="00844EB4">
              <w:rPr>
                <w:b/>
                <w:bCs/>
                <w:szCs w:val="20"/>
              </w:rPr>
              <w:t>Comparator</w:t>
            </w:r>
          </w:p>
        </w:tc>
        <w:tc>
          <w:tcPr>
            <w:tcW w:w="1134" w:type="dxa"/>
            <w:vMerge w:val="restart"/>
            <w:shd w:val="clear" w:color="auto" w:fill="auto"/>
            <w:vAlign w:val="center"/>
            <w:hideMark/>
          </w:tcPr>
          <w:p w14:paraId="17837D82" w14:textId="77777777" w:rsidR="00AA2C75" w:rsidRPr="00844EB4" w:rsidRDefault="00AA2C75" w:rsidP="00D273BF">
            <w:pPr>
              <w:pStyle w:val="Tabletext"/>
              <w:keepNext/>
              <w:keepLines/>
              <w:widowControl w:val="0"/>
              <w:jc w:val="center"/>
              <w:rPr>
                <w:b/>
                <w:bCs/>
                <w:szCs w:val="20"/>
              </w:rPr>
            </w:pPr>
            <w:r w:rsidRPr="00844EB4">
              <w:rPr>
                <w:b/>
                <w:bCs/>
                <w:szCs w:val="20"/>
              </w:rPr>
              <w:t>Difference in median (months)</w:t>
            </w:r>
          </w:p>
        </w:tc>
        <w:tc>
          <w:tcPr>
            <w:tcW w:w="850" w:type="dxa"/>
            <w:vMerge w:val="restart"/>
            <w:shd w:val="clear" w:color="auto" w:fill="auto"/>
            <w:vAlign w:val="center"/>
            <w:hideMark/>
          </w:tcPr>
          <w:p w14:paraId="2A72936F" w14:textId="77777777" w:rsidR="00AA2C75" w:rsidRPr="00844EB4" w:rsidRDefault="00AA2C75" w:rsidP="00D273BF">
            <w:pPr>
              <w:pStyle w:val="Tabletext"/>
              <w:keepNext/>
              <w:keepLines/>
              <w:widowControl w:val="0"/>
              <w:jc w:val="center"/>
              <w:rPr>
                <w:b/>
                <w:bCs/>
                <w:szCs w:val="20"/>
              </w:rPr>
            </w:pPr>
            <w:r w:rsidRPr="00844EB4">
              <w:rPr>
                <w:b/>
                <w:bCs/>
                <w:szCs w:val="20"/>
              </w:rPr>
              <w:t>p value</w:t>
            </w:r>
            <w:r w:rsidRPr="00844EB4">
              <w:rPr>
                <w:b/>
                <w:bCs/>
                <w:szCs w:val="20"/>
                <w:vertAlign w:val="superscript"/>
              </w:rPr>
              <w:t>a</w:t>
            </w:r>
          </w:p>
        </w:tc>
        <w:tc>
          <w:tcPr>
            <w:tcW w:w="1084" w:type="dxa"/>
            <w:vMerge w:val="restart"/>
            <w:shd w:val="clear" w:color="auto" w:fill="auto"/>
            <w:vAlign w:val="center"/>
            <w:hideMark/>
          </w:tcPr>
          <w:p w14:paraId="088ECD70" w14:textId="3AF04F24" w:rsidR="00AA2C75" w:rsidRPr="00844EB4" w:rsidRDefault="00AA2C75" w:rsidP="00D273BF">
            <w:pPr>
              <w:pStyle w:val="Tabletext"/>
              <w:keepNext/>
              <w:keepLines/>
              <w:widowControl w:val="0"/>
              <w:jc w:val="center"/>
              <w:rPr>
                <w:b/>
                <w:bCs/>
                <w:szCs w:val="20"/>
              </w:rPr>
            </w:pPr>
            <w:r w:rsidRPr="00844EB4">
              <w:rPr>
                <w:b/>
                <w:bCs/>
                <w:szCs w:val="20"/>
              </w:rPr>
              <w:t>HR (95% CI)</w:t>
            </w:r>
          </w:p>
        </w:tc>
      </w:tr>
      <w:tr w:rsidR="009D3F6B" w:rsidRPr="00162B20" w14:paraId="6A57EF94" w14:textId="77777777" w:rsidTr="00544E23">
        <w:trPr>
          <w:tblHeader/>
        </w:trPr>
        <w:tc>
          <w:tcPr>
            <w:tcW w:w="1555" w:type="dxa"/>
            <w:vMerge/>
            <w:vAlign w:val="center"/>
            <w:hideMark/>
          </w:tcPr>
          <w:p w14:paraId="6E4CF68E" w14:textId="77777777" w:rsidR="00AA2C75" w:rsidRPr="00844EB4" w:rsidRDefault="00AA2C75" w:rsidP="00D273BF">
            <w:pPr>
              <w:pStyle w:val="Tabletext"/>
              <w:keepNext/>
              <w:keepLines/>
              <w:widowControl w:val="0"/>
              <w:rPr>
                <w:b/>
                <w:bCs/>
                <w:szCs w:val="20"/>
              </w:rPr>
            </w:pPr>
          </w:p>
        </w:tc>
        <w:tc>
          <w:tcPr>
            <w:tcW w:w="1134" w:type="dxa"/>
            <w:shd w:val="clear" w:color="auto" w:fill="auto"/>
            <w:vAlign w:val="center"/>
            <w:hideMark/>
          </w:tcPr>
          <w:p w14:paraId="199BA09F" w14:textId="77777777" w:rsidR="00AA2C75" w:rsidRPr="00844EB4" w:rsidRDefault="00AA2C75" w:rsidP="00D273BF">
            <w:pPr>
              <w:pStyle w:val="Tabletext"/>
              <w:keepNext/>
              <w:keepLines/>
              <w:widowControl w:val="0"/>
              <w:jc w:val="center"/>
              <w:rPr>
                <w:b/>
                <w:bCs/>
                <w:szCs w:val="20"/>
              </w:rPr>
            </w:pPr>
            <w:r w:rsidRPr="00844EB4">
              <w:rPr>
                <w:b/>
                <w:bCs/>
                <w:szCs w:val="20"/>
              </w:rPr>
              <w:t>n/N with event (%)</w:t>
            </w:r>
          </w:p>
        </w:tc>
        <w:tc>
          <w:tcPr>
            <w:tcW w:w="992" w:type="dxa"/>
            <w:shd w:val="clear" w:color="auto" w:fill="auto"/>
            <w:vAlign w:val="center"/>
            <w:hideMark/>
          </w:tcPr>
          <w:p w14:paraId="026DB122" w14:textId="77777777" w:rsidR="00AA2C75" w:rsidRPr="00844EB4" w:rsidRDefault="00AA2C75" w:rsidP="00D273BF">
            <w:pPr>
              <w:pStyle w:val="Tabletext"/>
              <w:keepNext/>
              <w:keepLines/>
              <w:widowControl w:val="0"/>
              <w:jc w:val="center"/>
              <w:rPr>
                <w:b/>
                <w:bCs/>
                <w:szCs w:val="20"/>
              </w:rPr>
            </w:pPr>
            <w:r w:rsidRPr="00844EB4">
              <w:rPr>
                <w:b/>
                <w:bCs/>
                <w:szCs w:val="20"/>
              </w:rPr>
              <w:t>Median months (95% CI)</w:t>
            </w:r>
          </w:p>
        </w:tc>
        <w:tc>
          <w:tcPr>
            <w:tcW w:w="1134" w:type="dxa"/>
            <w:shd w:val="clear" w:color="auto" w:fill="auto"/>
            <w:vAlign w:val="center"/>
            <w:hideMark/>
          </w:tcPr>
          <w:p w14:paraId="45310FC3" w14:textId="77777777" w:rsidR="00AA2C75" w:rsidRPr="00844EB4" w:rsidRDefault="00AA2C75" w:rsidP="00D273BF">
            <w:pPr>
              <w:pStyle w:val="Tabletext"/>
              <w:keepNext/>
              <w:keepLines/>
              <w:widowControl w:val="0"/>
              <w:jc w:val="center"/>
              <w:rPr>
                <w:b/>
                <w:bCs/>
                <w:szCs w:val="20"/>
              </w:rPr>
            </w:pPr>
            <w:r w:rsidRPr="00844EB4">
              <w:rPr>
                <w:b/>
                <w:bCs/>
                <w:szCs w:val="20"/>
              </w:rPr>
              <w:t>n/N with event (%)</w:t>
            </w:r>
          </w:p>
        </w:tc>
        <w:tc>
          <w:tcPr>
            <w:tcW w:w="1134" w:type="dxa"/>
            <w:shd w:val="clear" w:color="auto" w:fill="auto"/>
            <w:vAlign w:val="center"/>
            <w:hideMark/>
          </w:tcPr>
          <w:p w14:paraId="06367E58" w14:textId="77777777" w:rsidR="00AA2C75" w:rsidRPr="00844EB4" w:rsidRDefault="00AA2C75" w:rsidP="00D273BF">
            <w:pPr>
              <w:pStyle w:val="Tabletext"/>
              <w:keepNext/>
              <w:keepLines/>
              <w:widowControl w:val="0"/>
              <w:jc w:val="center"/>
              <w:rPr>
                <w:b/>
                <w:bCs/>
                <w:szCs w:val="20"/>
              </w:rPr>
            </w:pPr>
            <w:r w:rsidRPr="00844EB4">
              <w:rPr>
                <w:b/>
                <w:bCs/>
                <w:szCs w:val="20"/>
              </w:rPr>
              <w:t>Median months (95% CI)</w:t>
            </w:r>
          </w:p>
        </w:tc>
        <w:tc>
          <w:tcPr>
            <w:tcW w:w="1134" w:type="dxa"/>
            <w:vMerge/>
            <w:vAlign w:val="center"/>
            <w:hideMark/>
          </w:tcPr>
          <w:p w14:paraId="7399998F" w14:textId="77777777" w:rsidR="00AA2C75" w:rsidRPr="00844EB4" w:rsidRDefault="00AA2C75" w:rsidP="00D273BF">
            <w:pPr>
              <w:pStyle w:val="Tabletext"/>
              <w:keepNext/>
              <w:keepLines/>
              <w:widowControl w:val="0"/>
              <w:rPr>
                <w:b/>
                <w:bCs/>
                <w:szCs w:val="20"/>
              </w:rPr>
            </w:pPr>
          </w:p>
        </w:tc>
        <w:tc>
          <w:tcPr>
            <w:tcW w:w="850" w:type="dxa"/>
            <w:vMerge/>
            <w:vAlign w:val="center"/>
            <w:hideMark/>
          </w:tcPr>
          <w:p w14:paraId="66A4E780" w14:textId="77777777" w:rsidR="00AA2C75" w:rsidRPr="00844EB4" w:rsidRDefault="00AA2C75" w:rsidP="00D273BF">
            <w:pPr>
              <w:pStyle w:val="Tabletext"/>
              <w:keepNext/>
              <w:keepLines/>
              <w:widowControl w:val="0"/>
              <w:rPr>
                <w:b/>
                <w:bCs/>
                <w:szCs w:val="20"/>
              </w:rPr>
            </w:pPr>
          </w:p>
        </w:tc>
        <w:tc>
          <w:tcPr>
            <w:tcW w:w="1084" w:type="dxa"/>
            <w:vMerge/>
            <w:vAlign w:val="center"/>
            <w:hideMark/>
          </w:tcPr>
          <w:p w14:paraId="5F5210B6" w14:textId="77777777" w:rsidR="00AA2C75" w:rsidRPr="00844EB4" w:rsidRDefault="00AA2C75" w:rsidP="00D273BF">
            <w:pPr>
              <w:pStyle w:val="Tabletext"/>
              <w:keepNext/>
              <w:keepLines/>
              <w:widowControl w:val="0"/>
              <w:rPr>
                <w:b/>
                <w:bCs/>
                <w:szCs w:val="20"/>
              </w:rPr>
            </w:pPr>
          </w:p>
        </w:tc>
      </w:tr>
      <w:tr w:rsidR="00AA2C75" w:rsidRPr="00162B20" w14:paraId="72840750" w14:textId="77777777" w:rsidTr="00544E23">
        <w:tc>
          <w:tcPr>
            <w:tcW w:w="9017" w:type="dxa"/>
            <w:gridSpan w:val="8"/>
            <w:shd w:val="clear" w:color="auto" w:fill="auto"/>
            <w:vAlign w:val="center"/>
            <w:hideMark/>
          </w:tcPr>
          <w:p w14:paraId="1F2BE885" w14:textId="3C276C34" w:rsidR="00AA2C75" w:rsidRPr="00844EB4" w:rsidRDefault="00AA2C75" w:rsidP="00D273BF">
            <w:pPr>
              <w:pStyle w:val="Tabletext"/>
              <w:keepNext/>
              <w:keepLines/>
              <w:widowControl w:val="0"/>
              <w:rPr>
                <w:b/>
                <w:bCs/>
                <w:szCs w:val="20"/>
              </w:rPr>
            </w:pPr>
            <w:r w:rsidRPr="00844EB4">
              <w:rPr>
                <w:b/>
                <w:bCs/>
                <w:szCs w:val="20"/>
              </w:rPr>
              <w:t>PFS</w:t>
            </w:r>
          </w:p>
        </w:tc>
      </w:tr>
      <w:tr w:rsidR="009D3F6B" w:rsidRPr="00162B20" w14:paraId="19CE5A97" w14:textId="77777777" w:rsidTr="00544E23">
        <w:tc>
          <w:tcPr>
            <w:tcW w:w="1555" w:type="dxa"/>
            <w:shd w:val="clear" w:color="auto" w:fill="auto"/>
          </w:tcPr>
          <w:p w14:paraId="53084F70" w14:textId="1C98EF9A" w:rsidR="005A355B" w:rsidRPr="004748ED" w:rsidRDefault="00AA2C75" w:rsidP="00D273BF">
            <w:pPr>
              <w:pStyle w:val="Tabletext"/>
              <w:keepNext/>
              <w:keepLines/>
              <w:widowControl w:val="0"/>
              <w:rPr>
                <w:szCs w:val="20"/>
                <w:vertAlign w:val="superscript"/>
              </w:rPr>
            </w:pPr>
            <w:r w:rsidRPr="004748ED">
              <w:rPr>
                <w:szCs w:val="20"/>
              </w:rPr>
              <w:t xml:space="preserve">SWOG </w:t>
            </w:r>
            <w:r w:rsidR="00335D9A" w:rsidRPr="004748ED">
              <w:rPr>
                <w:szCs w:val="20"/>
              </w:rPr>
              <w:t>1500</w:t>
            </w:r>
            <w:r w:rsidR="00335D9A" w:rsidRPr="004748ED">
              <w:rPr>
                <w:szCs w:val="20"/>
                <w:vertAlign w:val="superscript"/>
              </w:rPr>
              <w:t>b</w:t>
            </w:r>
          </w:p>
          <w:p w14:paraId="67427F26" w14:textId="1C240B92" w:rsidR="00AA2C75" w:rsidRPr="004748ED" w:rsidRDefault="00623046" w:rsidP="00D273BF">
            <w:pPr>
              <w:pStyle w:val="Tabletext"/>
              <w:keepNext/>
              <w:keepLines/>
              <w:widowControl w:val="0"/>
              <w:rPr>
                <w:szCs w:val="20"/>
              </w:rPr>
            </w:pPr>
            <w:r w:rsidRPr="004748ED">
              <w:rPr>
                <w:szCs w:val="20"/>
              </w:rPr>
              <w:t xml:space="preserve">(cut-off date: </w:t>
            </w:r>
            <w:r w:rsidRPr="004748ED">
              <w:rPr>
                <w:rFonts w:eastAsia="Calibri"/>
                <w:color w:val="000000" w:themeColor="text1"/>
                <w:szCs w:val="20"/>
              </w:rPr>
              <w:t>October 2020)</w:t>
            </w:r>
          </w:p>
        </w:tc>
        <w:tc>
          <w:tcPr>
            <w:tcW w:w="1134" w:type="dxa"/>
            <w:shd w:val="clear" w:color="auto" w:fill="auto"/>
            <w:vAlign w:val="center"/>
          </w:tcPr>
          <w:p w14:paraId="7D14B3A9" w14:textId="2DDC9AB6" w:rsidR="00AA2C75" w:rsidRPr="004748ED" w:rsidRDefault="00AA2C75" w:rsidP="00D273BF">
            <w:pPr>
              <w:pStyle w:val="Tabletext"/>
              <w:keepNext/>
              <w:keepLines/>
              <w:widowControl w:val="0"/>
              <w:jc w:val="center"/>
              <w:rPr>
                <w:szCs w:val="20"/>
              </w:rPr>
            </w:pPr>
            <w:r w:rsidRPr="004748ED">
              <w:rPr>
                <w:szCs w:val="20"/>
              </w:rPr>
              <w:t xml:space="preserve">32/44 </w:t>
            </w:r>
            <w:r w:rsidR="005A355B" w:rsidRPr="004748ED">
              <w:rPr>
                <w:szCs w:val="20"/>
              </w:rPr>
              <w:br/>
              <w:t>(</w:t>
            </w:r>
            <w:r w:rsidRPr="004748ED">
              <w:rPr>
                <w:szCs w:val="20"/>
              </w:rPr>
              <w:t>72.7</w:t>
            </w:r>
            <w:r w:rsidR="00D639CD" w:rsidRPr="004748ED">
              <w:rPr>
                <w:szCs w:val="20"/>
              </w:rPr>
              <w:t>%</w:t>
            </w:r>
            <w:r w:rsidRPr="004748ED">
              <w:rPr>
                <w:szCs w:val="20"/>
              </w:rPr>
              <w:t>)</w:t>
            </w:r>
          </w:p>
        </w:tc>
        <w:tc>
          <w:tcPr>
            <w:tcW w:w="992" w:type="dxa"/>
            <w:shd w:val="clear" w:color="auto" w:fill="auto"/>
            <w:vAlign w:val="center"/>
          </w:tcPr>
          <w:p w14:paraId="1E3D58F3" w14:textId="60D8B5F9" w:rsidR="00AA2C75" w:rsidRPr="004748ED" w:rsidRDefault="00AA2C75" w:rsidP="00D273BF">
            <w:pPr>
              <w:pStyle w:val="Tabletext"/>
              <w:keepNext/>
              <w:keepLines/>
              <w:widowControl w:val="0"/>
              <w:jc w:val="center"/>
              <w:rPr>
                <w:szCs w:val="20"/>
              </w:rPr>
            </w:pPr>
            <w:r w:rsidRPr="004748ED">
              <w:rPr>
                <w:szCs w:val="20"/>
              </w:rPr>
              <w:t xml:space="preserve">9.0 </w:t>
            </w:r>
            <w:r w:rsidR="005A355B" w:rsidRPr="004748ED">
              <w:rPr>
                <w:szCs w:val="20"/>
              </w:rPr>
              <w:br/>
              <w:t>(</w:t>
            </w:r>
            <w:r w:rsidRPr="004748ED">
              <w:rPr>
                <w:szCs w:val="20"/>
              </w:rPr>
              <w:t>5.6, 12.4)</w:t>
            </w:r>
          </w:p>
        </w:tc>
        <w:tc>
          <w:tcPr>
            <w:tcW w:w="1134" w:type="dxa"/>
            <w:shd w:val="clear" w:color="auto" w:fill="auto"/>
            <w:vAlign w:val="center"/>
          </w:tcPr>
          <w:p w14:paraId="328A342D" w14:textId="19918699" w:rsidR="00AA2C75" w:rsidRPr="004748ED" w:rsidRDefault="001B0E8A" w:rsidP="00D273BF">
            <w:pPr>
              <w:pStyle w:val="Tabletext"/>
              <w:keepNext/>
              <w:keepLines/>
              <w:widowControl w:val="0"/>
              <w:jc w:val="center"/>
              <w:rPr>
                <w:szCs w:val="20"/>
              </w:rPr>
            </w:pPr>
            <w:r w:rsidRPr="004748ED">
              <w:rPr>
                <w:szCs w:val="20"/>
              </w:rPr>
              <w:t xml:space="preserve">Sunitinib: </w:t>
            </w:r>
            <w:r w:rsidR="00AA2C75" w:rsidRPr="004748ED">
              <w:rPr>
                <w:szCs w:val="20"/>
              </w:rPr>
              <w:t xml:space="preserve">38/46 </w:t>
            </w:r>
            <w:r w:rsidR="005A355B" w:rsidRPr="004748ED">
              <w:rPr>
                <w:szCs w:val="20"/>
              </w:rPr>
              <w:br/>
              <w:t>(</w:t>
            </w:r>
            <w:r w:rsidR="00AA2C75" w:rsidRPr="004748ED">
              <w:rPr>
                <w:szCs w:val="20"/>
              </w:rPr>
              <w:t>82.6</w:t>
            </w:r>
            <w:r w:rsidR="00D639CD" w:rsidRPr="004748ED">
              <w:rPr>
                <w:szCs w:val="20"/>
              </w:rPr>
              <w:t>%</w:t>
            </w:r>
            <w:r w:rsidR="00AA2C75" w:rsidRPr="004748ED">
              <w:rPr>
                <w:szCs w:val="20"/>
              </w:rPr>
              <w:t>)</w:t>
            </w:r>
          </w:p>
        </w:tc>
        <w:tc>
          <w:tcPr>
            <w:tcW w:w="1134" w:type="dxa"/>
            <w:shd w:val="clear" w:color="auto" w:fill="auto"/>
            <w:vAlign w:val="center"/>
          </w:tcPr>
          <w:p w14:paraId="701B3C13" w14:textId="77777777" w:rsidR="001B0E8A" w:rsidRPr="004748ED" w:rsidRDefault="001B0E8A" w:rsidP="00D273BF">
            <w:pPr>
              <w:pStyle w:val="Tabletext"/>
              <w:keepNext/>
              <w:keepLines/>
              <w:widowControl w:val="0"/>
              <w:jc w:val="center"/>
              <w:rPr>
                <w:szCs w:val="20"/>
              </w:rPr>
            </w:pPr>
            <w:r w:rsidRPr="004748ED">
              <w:rPr>
                <w:szCs w:val="20"/>
              </w:rPr>
              <w:t>Sunitinib:</w:t>
            </w:r>
          </w:p>
          <w:p w14:paraId="7B006A47" w14:textId="034E7D86" w:rsidR="00AA2C75" w:rsidRPr="004748ED" w:rsidRDefault="00AA2C75" w:rsidP="00D273BF">
            <w:pPr>
              <w:pStyle w:val="Tabletext"/>
              <w:keepNext/>
              <w:keepLines/>
              <w:widowControl w:val="0"/>
              <w:jc w:val="center"/>
              <w:rPr>
                <w:szCs w:val="20"/>
              </w:rPr>
            </w:pPr>
            <w:r w:rsidRPr="004748ED">
              <w:rPr>
                <w:szCs w:val="20"/>
              </w:rPr>
              <w:t xml:space="preserve">5.6 </w:t>
            </w:r>
            <w:r w:rsidR="005A355B" w:rsidRPr="004748ED">
              <w:rPr>
                <w:szCs w:val="20"/>
              </w:rPr>
              <w:br/>
              <w:t>(</w:t>
            </w:r>
            <w:r w:rsidRPr="004748ED">
              <w:rPr>
                <w:szCs w:val="20"/>
              </w:rPr>
              <w:t>2.9, 6.7)</w:t>
            </w:r>
          </w:p>
        </w:tc>
        <w:tc>
          <w:tcPr>
            <w:tcW w:w="1134" w:type="dxa"/>
            <w:shd w:val="clear" w:color="auto" w:fill="auto"/>
            <w:vAlign w:val="center"/>
          </w:tcPr>
          <w:p w14:paraId="59FA0E04" w14:textId="6E6444FF" w:rsidR="00AA2C75" w:rsidRPr="004748ED" w:rsidRDefault="00AA2C75" w:rsidP="00D273BF">
            <w:pPr>
              <w:pStyle w:val="Tabletext"/>
              <w:keepNext/>
              <w:keepLines/>
              <w:widowControl w:val="0"/>
              <w:jc w:val="center"/>
              <w:rPr>
                <w:szCs w:val="20"/>
              </w:rPr>
            </w:pPr>
            <w:r w:rsidRPr="004748ED">
              <w:rPr>
                <w:szCs w:val="20"/>
              </w:rPr>
              <w:t>3.4</w:t>
            </w:r>
          </w:p>
        </w:tc>
        <w:tc>
          <w:tcPr>
            <w:tcW w:w="850" w:type="dxa"/>
            <w:shd w:val="clear" w:color="auto" w:fill="auto"/>
            <w:vAlign w:val="center"/>
          </w:tcPr>
          <w:p w14:paraId="68F8A2C4" w14:textId="17B7CD52" w:rsidR="00AA2C75" w:rsidRPr="004748ED" w:rsidRDefault="00AA2C75" w:rsidP="00D273BF">
            <w:pPr>
              <w:pStyle w:val="Tabletext"/>
              <w:keepNext/>
              <w:keepLines/>
              <w:widowControl w:val="0"/>
              <w:jc w:val="center"/>
              <w:rPr>
                <w:szCs w:val="20"/>
              </w:rPr>
            </w:pPr>
            <w:r w:rsidRPr="004748ED">
              <w:rPr>
                <w:szCs w:val="20"/>
              </w:rPr>
              <w:t>0.019</w:t>
            </w:r>
          </w:p>
        </w:tc>
        <w:tc>
          <w:tcPr>
            <w:tcW w:w="1084" w:type="dxa"/>
            <w:shd w:val="clear" w:color="auto" w:fill="auto"/>
            <w:vAlign w:val="center"/>
          </w:tcPr>
          <w:p w14:paraId="258927F3" w14:textId="75323473" w:rsidR="00AA2C75" w:rsidRPr="004748ED" w:rsidRDefault="00AA2C75" w:rsidP="00D273BF">
            <w:pPr>
              <w:pStyle w:val="Tabletext"/>
              <w:keepNext/>
              <w:keepLines/>
              <w:widowControl w:val="0"/>
              <w:jc w:val="center"/>
              <w:rPr>
                <w:b/>
                <w:bCs/>
                <w:szCs w:val="20"/>
              </w:rPr>
            </w:pPr>
            <w:r w:rsidRPr="004748ED">
              <w:rPr>
                <w:b/>
                <w:bCs/>
                <w:szCs w:val="20"/>
              </w:rPr>
              <w:t xml:space="preserve">0.6 </w:t>
            </w:r>
            <w:r w:rsidR="005A355B" w:rsidRPr="004748ED">
              <w:rPr>
                <w:b/>
                <w:bCs/>
                <w:szCs w:val="20"/>
              </w:rPr>
              <w:br/>
              <w:t>(</w:t>
            </w:r>
            <w:r w:rsidRPr="004748ED">
              <w:rPr>
                <w:b/>
                <w:bCs/>
                <w:szCs w:val="20"/>
              </w:rPr>
              <w:t>0.37, 0.97)</w:t>
            </w:r>
          </w:p>
        </w:tc>
      </w:tr>
      <w:tr w:rsidR="009D3F6B" w:rsidRPr="00162B20" w14:paraId="393A8F7A" w14:textId="77777777" w:rsidTr="00544E23">
        <w:tc>
          <w:tcPr>
            <w:tcW w:w="1555" w:type="dxa"/>
            <w:shd w:val="clear" w:color="auto" w:fill="auto"/>
            <w:vAlign w:val="center"/>
            <w:hideMark/>
          </w:tcPr>
          <w:p w14:paraId="4E196F77" w14:textId="112550A6" w:rsidR="00AA2C75" w:rsidRPr="004748ED" w:rsidRDefault="00335D9A" w:rsidP="00D273BF">
            <w:pPr>
              <w:pStyle w:val="Tabletext"/>
              <w:keepNext/>
              <w:keepLines/>
              <w:widowControl w:val="0"/>
              <w:rPr>
                <w:szCs w:val="20"/>
              </w:rPr>
            </w:pPr>
            <w:r w:rsidRPr="004748ED">
              <w:rPr>
                <w:szCs w:val="20"/>
              </w:rPr>
              <w:t>CABOSUN</w:t>
            </w:r>
            <w:r w:rsidRPr="004748ED">
              <w:rPr>
                <w:szCs w:val="20"/>
                <w:vertAlign w:val="superscript"/>
              </w:rPr>
              <w:t>c</w:t>
            </w:r>
            <w:r w:rsidRPr="004748ED">
              <w:rPr>
                <w:szCs w:val="20"/>
              </w:rPr>
              <w:t xml:space="preserve"> </w:t>
            </w:r>
            <w:r w:rsidR="00AA2C75" w:rsidRPr="004748ED">
              <w:rPr>
                <w:szCs w:val="20"/>
              </w:rPr>
              <w:t>(IRC assessed-September 2016 data-cut-off, FDA censoring rules)</w:t>
            </w:r>
          </w:p>
        </w:tc>
        <w:tc>
          <w:tcPr>
            <w:tcW w:w="1134" w:type="dxa"/>
            <w:shd w:val="clear" w:color="auto" w:fill="auto"/>
            <w:vAlign w:val="center"/>
            <w:hideMark/>
          </w:tcPr>
          <w:p w14:paraId="40D5F52F" w14:textId="27BDB5B1" w:rsidR="00AA2C75" w:rsidRPr="004748ED" w:rsidRDefault="00AA2C75" w:rsidP="00D273BF">
            <w:pPr>
              <w:pStyle w:val="Tabletext"/>
              <w:keepNext/>
              <w:keepLines/>
              <w:widowControl w:val="0"/>
              <w:jc w:val="center"/>
              <w:rPr>
                <w:szCs w:val="20"/>
              </w:rPr>
            </w:pPr>
            <w:r w:rsidRPr="004748ED">
              <w:rPr>
                <w:szCs w:val="20"/>
              </w:rPr>
              <w:t xml:space="preserve">43/79 </w:t>
            </w:r>
            <w:r w:rsidR="005A355B" w:rsidRPr="004748ED">
              <w:rPr>
                <w:szCs w:val="20"/>
              </w:rPr>
              <w:br/>
              <w:t>(</w:t>
            </w:r>
            <w:r w:rsidRPr="004748ED">
              <w:rPr>
                <w:szCs w:val="20"/>
              </w:rPr>
              <w:t>54</w:t>
            </w:r>
            <w:r w:rsidR="00E20955" w:rsidRPr="004748ED">
              <w:rPr>
                <w:szCs w:val="20"/>
              </w:rPr>
              <w:t>.4</w:t>
            </w:r>
            <w:r w:rsidR="00D639CD" w:rsidRPr="004748ED">
              <w:rPr>
                <w:szCs w:val="20"/>
              </w:rPr>
              <w:t>%</w:t>
            </w:r>
            <w:r w:rsidRPr="004748ED">
              <w:rPr>
                <w:szCs w:val="20"/>
              </w:rPr>
              <w:t>)</w:t>
            </w:r>
          </w:p>
        </w:tc>
        <w:tc>
          <w:tcPr>
            <w:tcW w:w="992" w:type="dxa"/>
            <w:shd w:val="clear" w:color="auto" w:fill="auto"/>
            <w:vAlign w:val="center"/>
            <w:hideMark/>
          </w:tcPr>
          <w:p w14:paraId="6B2BD474" w14:textId="5179F78C" w:rsidR="00AA2C75" w:rsidRPr="004748ED" w:rsidRDefault="00AA2C75" w:rsidP="00D273BF">
            <w:pPr>
              <w:pStyle w:val="Tabletext"/>
              <w:keepNext/>
              <w:keepLines/>
              <w:widowControl w:val="0"/>
              <w:jc w:val="center"/>
              <w:rPr>
                <w:szCs w:val="20"/>
              </w:rPr>
            </w:pPr>
            <w:r w:rsidRPr="004748ED">
              <w:rPr>
                <w:szCs w:val="20"/>
              </w:rPr>
              <w:t xml:space="preserve">8.6 </w:t>
            </w:r>
            <w:r w:rsidR="005A355B" w:rsidRPr="004748ED">
              <w:rPr>
                <w:szCs w:val="20"/>
              </w:rPr>
              <w:br/>
              <w:t>(</w:t>
            </w:r>
            <w:r w:rsidRPr="004748ED">
              <w:rPr>
                <w:szCs w:val="20"/>
              </w:rPr>
              <w:t>6.8, 14.0)</w:t>
            </w:r>
          </w:p>
        </w:tc>
        <w:tc>
          <w:tcPr>
            <w:tcW w:w="1134" w:type="dxa"/>
            <w:shd w:val="clear" w:color="auto" w:fill="auto"/>
            <w:vAlign w:val="center"/>
            <w:hideMark/>
          </w:tcPr>
          <w:p w14:paraId="0B8251D1" w14:textId="5F93B3E3" w:rsidR="00AA2C75" w:rsidRPr="004748ED" w:rsidRDefault="001B0E8A" w:rsidP="00D273BF">
            <w:pPr>
              <w:pStyle w:val="Tabletext"/>
              <w:keepNext/>
              <w:keepLines/>
              <w:widowControl w:val="0"/>
              <w:jc w:val="center"/>
              <w:rPr>
                <w:szCs w:val="20"/>
              </w:rPr>
            </w:pPr>
            <w:r w:rsidRPr="004748ED">
              <w:rPr>
                <w:szCs w:val="20"/>
              </w:rPr>
              <w:t xml:space="preserve">Sunitinib: </w:t>
            </w:r>
            <w:r w:rsidR="00AA2C75" w:rsidRPr="004748ED">
              <w:rPr>
                <w:szCs w:val="20"/>
              </w:rPr>
              <w:t xml:space="preserve">49/78 </w:t>
            </w:r>
            <w:r w:rsidR="005A355B" w:rsidRPr="004748ED">
              <w:rPr>
                <w:szCs w:val="20"/>
              </w:rPr>
              <w:br/>
              <w:t>(</w:t>
            </w:r>
            <w:r w:rsidR="00AA2C75" w:rsidRPr="004748ED">
              <w:rPr>
                <w:szCs w:val="20"/>
              </w:rPr>
              <w:t>6</w:t>
            </w:r>
            <w:r w:rsidR="0087750E" w:rsidRPr="004748ED">
              <w:rPr>
                <w:szCs w:val="20"/>
              </w:rPr>
              <w:t>2.8</w:t>
            </w:r>
            <w:r w:rsidR="00D639CD" w:rsidRPr="004748ED">
              <w:rPr>
                <w:szCs w:val="20"/>
              </w:rPr>
              <w:t>%</w:t>
            </w:r>
            <w:r w:rsidR="00AA2C75" w:rsidRPr="004748ED">
              <w:rPr>
                <w:szCs w:val="20"/>
              </w:rPr>
              <w:t>)</w:t>
            </w:r>
          </w:p>
        </w:tc>
        <w:tc>
          <w:tcPr>
            <w:tcW w:w="1134" w:type="dxa"/>
            <w:shd w:val="clear" w:color="auto" w:fill="auto"/>
            <w:vAlign w:val="center"/>
            <w:hideMark/>
          </w:tcPr>
          <w:p w14:paraId="605915FD" w14:textId="77777777" w:rsidR="001B0E8A" w:rsidRPr="004748ED" w:rsidRDefault="001B0E8A" w:rsidP="00D273BF">
            <w:pPr>
              <w:pStyle w:val="Tabletext"/>
              <w:keepNext/>
              <w:keepLines/>
              <w:widowControl w:val="0"/>
              <w:jc w:val="center"/>
              <w:rPr>
                <w:szCs w:val="20"/>
              </w:rPr>
            </w:pPr>
            <w:r w:rsidRPr="004748ED">
              <w:rPr>
                <w:szCs w:val="20"/>
              </w:rPr>
              <w:t>Sunitinib:</w:t>
            </w:r>
          </w:p>
          <w:p w14:paraId="21897327" w14:textId="4971F2EA" w:rsidR="00AA2C75" w:rsidRPr="004748ED" w:rsidRDefault="00AA2C75" w:rsidP="00D273BF">
            <w:pPr>
              <w:pStyle w:val="Tabletext"/>
              <w:keepNext/>
              <w:keepLines/>
              <w:widowControl w:val="0"/>
              <w:jc w:val="center"/>
              <w:rPr>
                <w:szCs w:val="20"/>
              </w:rPr>
            </w:pPr>
            <w:r w:rsidRPr="004748ED">
              <w:rPr>
                <w:szCs w:val="20"/>
              </w:rPr>
              <w:t xml:space="preserve">5.3 </w:t>
            </w:r>
            <w:r w:rsidR="005A355B" w:rsidRPr="004748ED">
              <w:rPr>
                <w:szCs w:val="20"/>
              </w:rPr>
              <w:br/>
              <w:t>(</w:t>
            </w:r>
            <w:r w:rsidRPr="004748ED">
              <w:rPr>
                <w:szCs w:val="20"/>
              </w:rPr>
              <w:t>3.0, 8.2)</w:t>
            </w:r>
          </w:p>
        </w:tc>
        <w:tc>
          <w:tcPr>
            <w:tcW w:w="1134" w:type="dxa"/>
            <w:shd w:val="clear" w:color="auto" w:fill="auto"/>
            <w:vAlign w:val="center"/>
            <w:hideMark/>
          </w:tcPr>
          <w:p w14:paraId="311369CC" w14:textId="77777777" w:rsidR="00AA2C75" w:rsidRPr="004748ED" w:rsidRDefault="00AA2C75" w:rsidP="00D273BF">
            <w:pPr>
              <w:pStyle w:val="Tabletext"/>
              <w:keepNext/>
              <w:keepLines/>
              <w:widowControl w:val="0"/>
              <w:jc w:val="center"/>
              <w:rPr>
                <w:szCs w:val="20"/>
              </w:rPr>
            </w:pPr>
            <w:r w:rsidRPr="004748ED">
              <w:rPr>
                <w:szCs w:val="20"/>
              </w:rPr>
              <w:t>3.3</w:t>
            </w:r>
          </w:p>
        </w:tc>
        <w:tc>
          <w:tcPr>
            <w:tcW w:w="850" w:type="dxa"/>
            <w:shd w:val="clear" w:color="auto" w:fill="auto"/>
            <w:vAlign w:val="center"/>
            <w:hideMark/>
          </w:tcPr>
          <w:p w14:paraId="50CE8DA7" w14:textId="77777777" w:rsidR="00AA2C75" w:rsidRPr="004748ED" w:rsidRDefault="00AA2C75" w:rsidP="00D273BF">
            <w:pPr>
              <w:pStyle w:val="Tabletext"/>
              <w:keepNext/>
              <w:keepLines/>
              <w:widowControl w:val="0"/>
              <w:jc w:val="center"/>
              <w:rPr>
                <w:szCs w:val="20"/>
              </w:rPr>
            </w:pPr>
            <w:r w:rsidRPr="004748ED">
              <w:rPr>
                <w:szCs w:val="20"/>
              </w:rPr>
              <w:t>0.0008</w:t>
            </w:r>
          </w:p>
        </w:tc>
        <w:tc>
          <w:tcPr>
            <w:tcW w:w="1084" w:type="dxa"/>
            <w:shd w:val="clear" w:color="auto" w:fill="auto"/>
            <w:vAlign w:val="center"/>
            <w:hideMark/>
          </w:tcPr>
          <w:p w14:paraId="1F1D11A4" w14:textId="3380D55F" w:rsidR="00AA2C75" w:rsidRPr="004748ED" w:rsidRDefault="00AA2C75" w:rsidP="00D273BF">
            <w:pPr>
              <w:pStyle w:val="Tabletext"/>
              <w:keepNext/>
              <w:keepLines/>
              <w:widowControl w:val="0"/>
              <w:jc w:val="center"/>
              <w:rPr>
                <w:b/>
                <w:bCs/>
                <w:szCs w:val="20"/>
              </w:rPr>
            </w:pPr>
            <w:r w:rsidRPr="004748ED">
              <w:rPr>
                <w:b/>
                <w:bCs/>
                <w:szCs w:val="20"/>
              </w:rPr>
              <w:t xml:space="preserve">0.48 </w:t>
            </w:r>
            <w:r w:rsidR="005A355B" w:rsidRPr="004748ED">
              <w:rPr>
                <w:b/>
                <w:bCs/>
                <w:szCs w:val="20"/>
              </w:rPr>
              <w:br/>
              <w:t>(</w:t>
            </w:r>
            <w:r w:rsidRPr="004748ED">
              <w:rPr>
                <w:b/>
                <w:bCs/>
                <w:szCs w:val="20"/>
              </w:rPr>
              <w:t>0.31, 0.74)</w:t>
            </w:r>
          </w:p>
        </w:tc>
      </w:tr>
      <w:tr w:rsidR="009D3F6B" w:rsidRPr="00162B20" w14:paraId="7346D710" w14:textId="77777777" w:rsidTr="00544E23">
        <w:tc>
          <w:tcPr>
            <w:tcW w:w="1555" w:type="dxa"/>
            <w:shd w:val="clear" w:color="auto" w:fill="auto"/>
            <w:vAlign w:val="center"/>
          </w:tcPr>
          <w:p w14:paraId="214A1619" w14:textId="6F375655" w:rsidR="001440CE" w:rsidRPr="004748ED" w:rsidRDefault="00335D9A" w:rsidP="00D273BF">
            <w:pPr>
              <w:pStyle w:val="Tabletext"/>
              <w:keepNext/>
              <w:keepLines/>
              <w:widowControl w:val="0"/>
              <w:rPr>
                <w:szCs w:val="20"/>
              </w:rPr>
            </w:pPr>
            <w:r w:rsidRPr="004748ED">
              <w:rPr>
                <w:rFonts w:cs="Calibri"/>
                <w:color w:val="000000"/>
                <w:szCs w:val="20"/>
              </w:rPr>
              <w:t>METEOR</w:t>
            </w:r>
            <w:r w:rsidRPr="004748ED">
              <w:rPr>
                <w:szCs w:val="20"/>
                <w:vertAlign w:val="superscript"/>
              </w:rPr>
              <w:t>d</w:t>
            </w:r>
            <w:r w:rsidRPr="004748ED">
              <w:rPr>
                <w:rFonts w:cs="Calibri"/>
                <w:color w:val="000000"/>
                <w:szCs w:val="20"/>
              </w:rPr>
              <w:t xml:space="preserve"> </w:t>
            </w:r>
            <w:r w:rsidR="001440CE" w:rsidRPr="004748ED">
              <w:rPr>
                <w:rFonts w:cs="Calibri"/>
                <w:color w:val="000000"/>
                <w:szCs w:val="20"/>
              </w:rPr>
              <w:t>(cut-off date: May 2015)</w:t>
            </w:r>
          </w:p>
        </w:tc>
        <w:tc>
          <w:tcPr>
            <w:tcW w:w="1134" w:type="dxa"/>
            <w:shd w:val="clear" w:color="auto" w:fill="auto"/>
            <w:vAlign w:val="center"/>
          </w:tcPr>
          <w:p w14:paraId="323E841D" w14:textId="38F7DE03" w:rsidR="001440CE" w:rsidRPr="004748ED" w:rsidRDefault="001440CE" w:rsidP="00D273BF">
            <w:pPr>
              <w:pStyle w:val="Tabletext"/>
              <w:keepNext/>
              <w:keepLines/>
              <w:widowControl w:val="0"/>
              <w:jc w:val="center"/>
              <w:rPr>
                <w:szCs w:val="20"/>
              </w:rPr>
            </w:pPr>
            <w:r w:rsidRPr="004748ED">
              <w:rPr>
                <w:rFonts w:cs="Calibri"/>
                <w:color w:val="000000"/>
                <w:szCs w:val="20"/>
              </w:rPr>
              <w:t>121/187 (6</w:t>
            </w:r>
            <w:r w:rsidR="00E20955" w:rsidRPr="004748ED">
              <w:rPr>
                <w:rFonts w:cs="Calibri"/>
                <w:color w:val="000000"/>
                <w:szCs w:val="20"/>
              </w:rPr>
              <w:t>4.7</w:t>
            </w:r>
            <w:r w:rsidRPr="004748ED">
              <w:rPr>
                <w:rFonts w:cs="Calibri"/>
                <w:color w:val="000000"/>
                <w:szCs w:val="20"/>
              </w:rPr>
              <w:t>%)</w:t>
            </w:r>
          </w:p>
        </w:tc>
        <w:tc>
          <w:tcPr>
            <w:tcW w:w="992" w:type="dxa"/>
            <w:shd w:val="clear" w:color="auto" w:fill="auto"/>
            <w:vAlign w:val="center"/>
          </w:tcPr>
          <w:p w14:paraId="2F27AE5B" w14:textId="77777777" w:rsidR="00D639CD" w:rsidRPr="004748ED" w:rsidRDefault="001440CE" w:rsidP="00D273BF">
            <w:pPr>
              <w:pStyle w:val="Tabletext"/>
              <w:keepNext/>
              <w:keepLines/>
              <w:widowControl w:val="0"/>
              <w:jc w:val="center"/>
              <w:rPr>
                <w:rFonts w:cs="Calibri"/>
                <w:color w:val="000000"/>
                <w:szCs w:val="20"/>
              </w:rPr>
            </w:pPr>
            <w:r w:rsidRPr="004748ED">
              <w:rPr>
                <w:rFonts w:cs="Calibri"/>
                <w:color w:val="000000"/>
                <w:szCs w:val="20"/>
              </w:rPr>
              <w:t xml:space="preserve">7.4 </w:t>
            </w:r>
          </w:p>
          <w:p w14:paraId="235F2DDE" w14:textId="26A1FB05" w:rsidR="001440CE" w:rsidRPr="004748ED" w:rsidRDefault="001440CE" w:rsidP="00D273BF">
            <w:pPr>
              <w:pStyle w:val="Tabletext"/>
              <w:keepNext/>
              <w:keepLines/>
              <w:widowControl w:val="0"/>
              <w:jc w:val="center"/>
              <w:rPr>
                <w:szCs w:val="20"/>
              </w:rPr>
            </w:pPr>
            <w:r w:rsidRPr="004748ED">
              <w:rPr>
                <w:rFonts w:cs="Calibri"/>
                <w:color w:val="000000"/>
                <w:szCs w:val="20"/>
              </w:rPr>
              <w:t>(5.6, 9.1)</w:t>
            </w:r>
          </w:p>
        </w:tc>
        <w:tc>
          <w:tcPr>
            <w:tcW w:w="1134" w:type="dxa"/>
            <w:shd w:val="clear" w:color="auto" w:fill="auto"/>
            <w:vAlign w:val="center"/>
          </w:tcPr>
          <w:p w14:paraId="156F759E" w14:textId="180CE632" w:rsidR="001440CE" w:rsidRPr="004748ED" w:rsidRDefault="001440CE" w:rsidP="00D273BF">
            <w:pPr>
              <w:pStyle w:val="Tabletext"/>
              <w:keepNext/>
              <w:keepLines/>
              <w:widowControl w:val="0"/>
              <w:jc w:val="center"/>
              <w:rPr>
                <w:szCs w:val="20"/>
              </w:rPr>
            </w:pPr>
            <w:proofErr w:type="spellStart"/>
            <w:r w:rsidRPr="004748ED">
              <w:rPr>
                <w:rFonts w:cs="Calibri"/>
                <w:color w:val="000000"/>
                <w:szCs w:val="20"/>
              </w:rPr>
              <w:t>Everolimus</w:t>
            </w:r>
            <w:proofErr w:type="spellEnd"/>
            <w:r w:rsidRPr="004748ED">
              <w:rPr>
                <w:rFonts w:cs="Calibri"/>
                <w:color w:val="000000"/>
                <w:szCs w:val="20"/>
              </w:rPr>
              <w:t>: 126/188 (6</w:t>
            </w:r>
            <w:r w:rsidR="009A1D4B" w:rsidRPr="004748ED">
              <w:rPr>
                <w:rFonts w:cs="Calibri"/>
                <w:color w:val="000000"/>
                <w:szCs w:val="20"/>
              </w:rPr>
              <w:t>7.0</w:t>
            </w:r>
            <w:r w:rsidRPr="004748ED">
              <w:rPr>
                <w:rFonts w:cs="Calibri"/>
                <w:color w:val="000000"/>
                <w:szCs w:val="20"/>
              </w:rPr>
              <w:t>%)</w:t>
            </w:r>
          </w:p>
        </w:tc>
        <w:tc>
          <w:tcPr>
            <w:tcW w:w="1134" w:type="dxa"/>
            <w:shd w:val="clear" w:color="auto" w:fill="auto"/>
            <w:vAlign w:val="center"/>
          </w:tcPr>
          <w:p w14:paraId="49EA5CAD" w14:textId="77777777" w:rsidR="00D639CD" w:rsidRPr="004748ED" w:rsidRDefault="001440CE" w:rsidP="00D273BF">
            <w:pPr>
              <w:pStyle w:val="Tabletext"/>
              <w:keepNext/>
              <w:keepLines/>
              <w:widowControl w:val="0"/>
              <w:jc w:val="center"/>
              <w:rPr>
                <w:rFonts w:cs="Calibri"/>
                <w:color w:val="000000"/>
                <w:szCs w:val="20"/>
              </w:rPr>
            </w:pPr>
            <w:proofErr w:type="spellStart"/>
            <w:r w:rsidRPr="004748ED">
              <w:rPr>
                <w:rFonts w:cs="Calibri"/>
                <w:color w:val="000000"/>
                <w:szCs w:val="20"/>
              </w:rPr>
              <w:t>Everolimus</w:t>
            </w:r>
            <w:proofErr w:type="spellEnd"/>
            <w:r w:rsidRPr="004748ED">
              <w:rPr>
                <w:rFonts w:cs="Calibri"/>
                <w:color w:val="000000"/>
                <w:szCs w:val="20"/>
              </w:rPr>
              <w:t xml:space="preserve">: 3.8 </w:t>
            </w:r>
          </w:p>
          <w:p w14:paraId="6FFFEB50" w14:textId="3E547A73" w:rsidR="001440CE" w:rsidRPr="004748ED" w:rsidRDefault="001440CE" w:rsidP="00D273BF">
            <w:pPr>
              <w:pStyle w:val="Tabletext"/>
              <w:keepNext/>
              <w:keepLines/>
              <w:widowControl w:val="0"/>
              <w:jc w:val="center"/>
              <w:rPr>
                <w:szCs w:val="20"/>
              </w:rPr>
            </w:pPr>
            <w:r w:rsidRPr="004748ED">
              <w:rPr>
                <w:rFonts w:cs="Calibri"/>
                <w:color w:val="000000"/>
                <w:szCs w:val="20"/>
              </w:rPr>
              <w:t>(3.7, 5.4)</w:t>
            </w:r>
          </w:p>
        </w:tc>
        <w:tc>
          <w:tcPr>
            <w:tcW w:w="1134" w:type="dxa"/>
            <w:shd w:val="clear" w:color="auto" w:fill="auto"/>
            <w:vAlign w:val="center"/>
          </w:tcPr>
          <w:p w14:paraId="47F34FC0" w14:textId="052C4801" w:rsidR="001440CE" w:rsidRPr="004748ED" w:rsidRDefault="001440CE" w:rsidP="00D273BF">
            <w:pPr>
              <w:pStyle w:val="Tabletext"/>
              <w:keepNext/>
              <w:keepLines/>
              <w:widowControl w:val="0"/>
              <w:jc w:val="center"/>
              <w:rPr>
                <w:szCs w:val="20"/>
              </w:rPr>
            </w:pPr>
            <w:r w:rsidRPr="004748ED">
              <w:rPr>
                <w:rFonts w:cs="Calibri"/>
                <w:i/>
                <w:iCs/>
                <w:color w:val="000000"/>
                <w:szCs w:val="20"/>
              </w:rPr>
              <w:t>3.6</w:t>
            </w:r>
          </w:p>
        </w:tc>
        <w:tc>
          <w:tcPr>
            <w:tcW w:w="850" w:type="dxa"/>
            <w:shd w:val="clear" w:color="auto" w:fill="auto"/>
            <w:vAlign w:val="center"/>
          </w:tcPr>
          <w:p w14:paraId="5C4763F9" w14:textId="0ED2FA20" w:rsidR="001440CE" w:rsidRPr="004748ED" w:rsidRDefault="001440CE" w:rsidP="00D273BF">
            <w:pPr>
              <w:pStyle w:val="Tabletext"/>
              <w:keepNext/>
              <w:keepLines/>
              <w:widowControl w:val="0"/>
              <w:jc w:val="center"/>
              <w:rPr>
                <w:szCs w:val="20"/>
              </w:rPr>
            </w:pPr>
            <w:r w:rsidRPr="004748ED">
              <w:rPr>
                <w:rFonts w:cs="Calibri"/>
                <w:color w:val="000000"/>
                <w:szCs w:val="20"/>
              </w:rPr>
              <w:t>&lt;0.001</w:t>
            </w:r>
          </w:p>
        </w:tc>
        <w:tc>
          <w:tcPr>
            <w:tcW w:w="1084" w:type="dxa"/>
            <w:shd w:val="clear" w:color="auto" w:fill="auto"/>
            <w:vAlign w:val="center"/>
          </w:tcPr>
          <w:p w14:paraId="1427D298" w14:textId="41E7BC1E" w:rsidR="009D3F6B" w:rsidRPr="004748ED" w:rsidRDefault="001440CE" w:rsidP="00D273BF">
            <w:pPr>
              <w:pStyle w:val="Tabletext"/>
              <w:keepNext/>
              <w:keepLines/>
              <w:widowControl w:val="0"/>
              <w:jc w:val="center"/>
              <w:rPr>
                <w:rFonts w:cs="Calibri"/>
                <w:b/>
                <w:bCs/>
                <w:color w:val="000000"/>
                <w:szCs w:val="20"/>
              </w:rPr>
            </w:pPr>
            <w:r w:rsidRPr="004748ED">
              <w:rPr>
                <w:rFonts w:cs="Calibri"/>
                <w:b/>
                <w:bCs/>
                <w:color w:val="000000"/>
                <w:szCs w:val="20"/>
              </w:rPr>
              <w:t>0.59</w:t>
            </w:r>
          </w:p>
          <w:p w14:paraId="39D31E86" w14:textId="5500A0DB" w:rsidR="001440CE" w:rsidRPr="004748ED" w:rsidRDefault="001440CE" w:rsidP="00D273BF">
            <w:pPr>
              <w:pStyle w:val="Tabletext"/>
              <w:keepNext/>
              <w:keepLines/>
              <w:widowControl w:val="0"/>
              <w:jc w:val="center"/>
              <w:rPr>
                <w:szCs w:val="20"/>
              </w:rPr>
            </w:pPr>
            <w:r w:rsidRPr="004748ED">
              <w:rPr>
                <w:rFonts w:cs="Calibri"/>
                <w:b/>
                <w:bCs/>
                <w:color w:val="000000"/>
                <w:szCs w:val="20"/>
              </w:rPr>
              <w:t>(0.46, 0.76)</w:t>
            </w:r>
          </w:p>
        </w:tc>
      </w:tr>
      <w:tr w:rsidR="001440CE" w:rsidRPr="00162B20" w14:paraId="7EBAA298" w14:textId="77777777" w:rsidTr="00544E23">
        <w:tc>
          <w:tcPr>
            <w:tcW w:w="9017" w:type="dxa"/>
            <w:gridSpan w:val="8"/>
            <w:shd w:val="clear" w:color="auto" w:fill="auto"/>
            <w:noWrap/>
            <w:vAlign w:val="bottom"/>
            <w:hideMark/>
          </w:tcPr>
          <w:p w14:paraId="42DEF71B" w14:textId="3B964A74" w:rsidR="001440CE" w:rsidRPr="004748ED" w:rsidRDefault="001440CE" w:rsidP="00D273BF">
            <w:pPr>
              <w:pStyle w:val="Tabletext"/>
              <w:keepNext/>
              <w:keepLines/>
              <w:widowControl w:val="0"/>
              <w:rPr>
                <w:b/>
                <w:bCs/>
                <w:szCs w:val="20"/>
              </w:rPr>
            </w:pPr>
            <w:r w:rsidRPr="004748ED">
              <w:rPr>
                <w:b/>
                <w:bCs/>
                <w:szCs w:val="20"/>
              </w:rPr>
              <w:t>OS</w:t>
            </w:r>
          </w:p>
        </w:tc>
      </w:tr>
      <w:tr w:rsidR="009D3F6B" w:rsidRPr="00162B20" w14:paraId="4FC693DD" w14:textId="77777777" w:rsidTr="00544E23">
        <w:tc>
          <w:tcPr>
            <w:tcW w:w="1555" w:type="dxa"/>
            <w:shd w:val="clear" w:color="auto" w:fill="auto"/>
          </w:tcPr>
          <w:p w14:paraId="6AE937B7" w14:textId="5654BE01" w:rsidR="001440CE" w:rsidRPr="004748ED" w:rsidRDefault="001440CE" w:rsidP="00D273BF">
            <w:pPr>
              <w:pStyle w:val="Tabletext"/>
              <w:keepNext/>
              <w:keepLines/>
              <w:widowControl w:val="0"/>
              <w:rPr>
                <w:szCs w:val="20"/>
              </w:rPr>
            </w:pPr>
            <w:r w:rsidRPr="004748ED">
              <w:rPr>
                <w:szCs w:val="20"/>
              </w:rPr>
              <w:t xml:space="preserve">SWOG </w:t>
            </w:r>
            <w:r w:rsidR="00335D9A" w:rsidRPr="004748ED">
              <w:rPr>
                <w:szCs w:val="20"/>
              </w:rPr>
              <w:t>1500</w:t>
            </w:r>
            <w:r w:rsidR="00335D9A" w:rsidRPr="004748ED">
              <w:rPr>
                <w:szCs w:val="20"/>
                <w:vertAlign w:val="superscript"/>
              </w:rPr>
              <w:t>b</w:t>
            </w:r>
          </w:p>
          <w:p w14:paraId="40F1E9CB" w14:textId="1FE70D60" w:rsidR="001440CE" w:rsidRPr="004748ED" w:rsidRDefault="001440CE" w:rsidP="00D273BF">
            <w:pPr>
              <w:pStyle w:val="Tabletext"/>
              <w:keepNext/>
              <w:keepLines/>
              <w:widowControl w:val="0"/>
              <w:rPr>
                <w:szCs w:val="20"/>
              </w:rPr>
            </w:pPr>
            <w:r w:rsidRPr="004748ED">
              <w:rPr>
                <w:szCs w:val="20"/>
              </w:rPr>
              <w:t>(cut-off date:</w:t>
            </w:r>
            <w:r w:rsidRPr="004748ED">
              <w:rPr>
                <w:rFonts w:eastAsia="Calibri"/>
                <w:color w:val="000000" w:themeColor="text1"/>
                <w:szCs w:val="20"/>
              </w:rPr>
              <w:t xml:space="preserve"> October 2020)</w:t>
            </w:r>
          </w:p>
        </w:tc>
        <w:tc>
          <w:tcPr>
            <w:tcW w:w="1134" w:type="dxa"/>
            <w:shd w:val="clear" w:color="auto" w:fill="auto"/>
            <w:vAlign w:val="center"/>
          </w:tcPr>
          <w:p w14:paraId="478AEC93" w14:textId="77777777" w:rsidR="001440CE" w:rsidRPr="004748ED" w:rsidRDefault="001440CE" w:rsidP="00D273BF">
            <w:pPr>
              <w:pStyle w:val="Tabletext"/>
              <w:keepNext/>
              <w:keepLines/>
              <w:widowControl w:val="0"/>
              <w:jc w:val="center"/>
              <w:rPr>
                <w:szCs w:val="20"/>
              </w:rPr>
            </w:pPr>
            <w:r w:rsidRPr="004748ED">
              <w:rPr>
                <w:szCs w:val="20"/>
              </w:rPr>
              <w:t>22/44</w:t>
            </w:r>
          </w:p>
          <w:p w14:paraId="1BA2E977" w14:textId="23ABF38A" w:rsidR="001440CE" w:rsidRPr="004748ED" w:rsidRDefault="001440CE" w:rsidP="00D273BF">
            <w:pPr>
              <w:pStyle w:val="Tabletext"/>
              <w:keepNext/>
              <w:keepLines/>
              <w:widowControl w:val="0"/>
              <w:jc w:val="center"/>
              <w:rPr>
                <w:szCs w:val="20"/>
              </w:rPr>
            </w:pPr>
            <w:r w:rsidRPr="004748ED">
              <w:rPr>
                <w:szCs w:val="20"/>
              </w:rPr>
              <w:t>(50</w:t>
            </w:r>
            <w:r w:rsidR="00E20955" w:rsidRPr="004748ED">
              <w:rPr>
                <w:szCs w:val="20"/>
              </w:rPr>
              <w:t>.0</w:t>
            </w:r>
            <w:r w:rsidR="00D639CD" w:rsidRPr="004748ED">
              <w:rPr>
                <w:szCs w:val="20"/>
              </w:rPr>
              <w:t>%</w:t>
            </w:r>
            <w:r w:rsidRPr="004748ED">
              <w:rPr>
                <w:szCs w:val="20"/>
              </w:rPr>
              <w:t>)</w:t>
            </w:r>
          </w:p>
        </w:tc>
        <w:tc>
          <w:tcPr>
            <w:tcW w:w="992" w:type="dxa"/>
            <w:shd w:val="clear" w:color="auto" w:fill="auto"/>
            <w:vAlign w:val="center"/>
          </w:tcPr>
          <w:p w14:paraId="75A217BE" w14:textId="77777777" w:rsidR="001440CE" w:rsidRPr="004748ED" w:rsidRDefault="001440CE" w:rsidP="00D273BF">
            <w:pPr>
              <w:pStyle w:val="Tabletext"/>
              <w:keepNext/>
              <w:keepLines/>
              <w:widowControl w:val="0"/>
              <w:jc w:val="center"/>
              <w:rPr>
                <w:szCs w:val="20"/>
              </w:rPr>
            </w:pPr>
            <w:r w:rsidRPr="004748ED">
              <w:rPr>
                <w:szCs w:val="20"/>
              </w:rPr>
              <w:t>20.0</w:t>
            </w:r>
          </w:p>
          <w:p w14:paraId="53E3301A" w14:textId="2EE2F4DE" w:rsidR="001440CE" w:rsidRPr="004748ED" w:rsidRDefault="001440CE" w:rsidP="00D273BF">
            <w:pPr>
              <w:pStyle w:val="Tabletext"/>
              <w:keepNext/>
              <w:keepLines/>
              <w:widowControl w:val="0"/>
              <w:jc w:val="center"/>
              <w:rPr>
                <w:szCs w:val="20"/>
              </w:rPr>
            </w:pPr>
            <w:r w:rsidRPr="004748ED">
              <w:rPr>
                <w:szCs w:val="20"/>
              </w:rPr>
              <w:t>(11.3-NR)</w:t>
            </w:r>
          </w:p>
        </w:tc>
        <w:tc>
          <w:tcPr>
            <w:tcW w:w="1134" w:type="dxa"/>
            <w:shd w:val="clear" w:color="auto" w:fill="auto"/>
            <w:vAlign w:val="center"/>
          </w:tcPr>
          <w:p w14:paraId="504D52F9" w14:textId="38371559" w:rsidR="001440CE" w:rsidRPr="004748ED" w:rsidRDefault="001B0E8A" w:rsidP="00D273BF">
            <w:pPr>
              <w:pStyle w:val="Tabletext"/>
              <w:keepNext/>
              <w:keepLines/>
              <w:widowControl w:val="0"/>
              <w:jc w:val="center"/>
              <w:rPr>
                <w:szCs w:val="20"/>
              </w:rPr>
            </w:pPr>
            <w:r w:rsidRPr="004748ED">
              <w:rPr>
                <w:szCs w:val="20"/>
              </w:rPr>
              <w:t xml:space="preserve">Sunitinib: </w:t>
            </w:r>
            <w:r w:rsidR="001440CE" w:rsidRPr="004748ED">
              <w:rPr>
                <w:szCs w:val="20"/>
              </w:rPr>
              <w:t>24/46</w:t>
            </w:r>
          </w:p>
          <w:p w14:paraId="4DB94649" w14:textId="7DF8EB38" w:rsidR="001440CE" w:rsidRPr="004748ED" w:rsidRDefault="001440CE" w:rsidP="00D273BF">
            <w:pPr>
              <w:pStyle w:val="Tabletext"/>
              <w:keepNext/>
              <w:keepLines/>
              <w:widowControl w:val="0"/>
              <w:jc w:val="center"/>
              <w:rPr>
                <w:szCs w:val="20"/>
              </w:rPr>
            </w:pPr>
            <w:r w:rsidRPr="004748ED">
              <w:rPr>
                <w:szCs w:val="20"/>
              </w:rPr>
              <w:t>(</w:t>
            </w:r>
            <w:r w:rsidR="00B66A97" w:rsidRPr="004748ED">
              <w:rPr>
                <w:szCs w:val="20"/>
              </w:rPr>
              <w:t>52.2%</w:t>
            </w:r>
            <w:r w:rsidRPr="004748ED">
              <w:rPr>
                <w:szCs w:val="20"/>
              </w:rPr>
              <w:t>)</w:t>
            </w:r>
          </w:p>
        </w:tc>
        <w:tc>
          <w:tcPr>
            <w:tcW w:w="1134" w:type="dxa"/>
            <w:shd w:val="clear" w:color="auto" w:fill="auto"/>
            <w:vAlign w:val="center"/>
          </w:tcPr>
          <w:p w14:paraId="4056A790" w14:textId="41BFAA74" w:rsidR="001440CE" w:rsidRPr="004748ED" w:rsidRDefault="001B0E8A" w:rsidP="00D273BF">
            <w:pPr>
              <w:pStyle w:val="Tabletext"/>
              <w:keepNext/>
              <w:keepLines/>
              <w:widowControl w:val="0"/>
              <w:jc w:val="center"/>
              <w:rPr>
                <w:szCs w:val="20"/>
              </w:rPr>
            </w:pPr>
            <w:r w:rsidRPr="004748ED">
              <w:rPr>
                <w:szCs w:val="20"/>
              </w:rPr>
              <w:t xml:space="preserve">Sunitinib: </w:t>
            </w:r>
            <w:r w:rsidR="001440CE" w:rsidRPr="004748ED">
              <w:rPr>
                <w:szCs w:val="20"/>
              </w:rPr>
              <w:t>16.4</w:t>
            </w:r>
          </w:p>
          <w:p w14:paraId="57CA4D7D" w14:textId="05C4E276" w:rsidR="001440CE" w:rsidRPr="004748ED" w:rsidRDefault="001440CE" w:rsidP="00D273BF">
            <w:pPr>
              <w:pStyle w:val="Tabletext"/>
              <w:keepNext/>
              <w:keepLines/>
              <w:widowControl w:val="0"/>
              <w:jc w:val="center"/>
              <w:rPr>
                <w:szCs w:val="20"/>
              </w:rPr>
            </w:pPr>
            <w:r w:rsidRPr="004748ED">
              <w:rPr>
                <w:szCs w:val="20"/>
              </w:rPr>
              <w:t>(12.8-21.6)</w:t>
            </w:r>
          </w:p>
        </w:tc>
        <w:tc>
          <w:tcPr>
            <w:tcW w:w="1134" w:type="dxa"/>
            <w:shd w:val="clear" w:color="auto" w:fill="auto"/>
            <w:vAlign w:val="center"/>
          </w:tcPr>
          <w:p w14:paraId="070B8EA1" w14:textId="18985A86" w:rsidR="001440CE" w:rsidRPr="004748ED" w:rsidRDefault="001440CE" w:rsidP="00D273BF">
            <w:pPr>
              <w:pStyle w:val="Tabletext"/>
              <w:keepNext/>
              <w:keepLines/>
              <w:widowControl w:val="0"/>
              <w:jc w:val="center"/>
              <w:rPr>
                <w:szCs w:val="20"/>
              </w:rPr>
            </w:pPr>
            <w:r w:rsidRPr="004748ED">
              <w:rPr>
                <w:szCs w:val="20"/>
              </w:rPr>
              <w:t>3.6</w:t>
            </w:r>
          </w:p>
        </w:tc>
        <w:tc>
          <w:tcPr>
            <w:tcW w:w="850" w:type="dxa"/>
            <w:shd w:val="clear" w:color="auto" w:fill="auto"/>
            <w:vAlign w:val="center"/>
          </w:tcPr>
          <w:p w14:paraId="616B5E46" w14:textId="7AAD964B" w:rsidR="001440CE" w:rsidRPr="004748ED" w:rsidRDefault="001440CE" w:rsidP="00D273BF">
            <w:pPr>
              <w:pStyle w:val="Tabletext"/>
              <w:keepNext/>
              <w:keepLines/>
              <w:widowControl w:val="0"/>
              <w:jc w:val="center"/>
              <w:rPr>
                <w:szCs w:val="20"/>
              </w:rPr>
            </w:pPr>
            <w:r w:rsidRPr="004748ED">
              <w:rPr>
                <w:szCs w:val="20"/>
              </w:rPr>
              <w:t>NR</w:t>
            </w:r>
          </w:p>
        </w:tc>
        <w:tc>
          <w:tcPr>
            <w:tcW w:w="1084" w:type="dxa"/>
            <w:shd w:val="clear" w:color="auto" w:fill="auto"/>
            <w:vAlign w:val="center"/>
          </w:tcPr>
          <w:p w14:paraId="6F0C8E93" w14:textId="6D306F3A" w:rsidR="001440CE" w:rsidRPr="004748ED" w:rsidRDefault="001440CE" w:rsidP="00D273BF">
            <w:pPr>
              <w:pStyle w:val="Tabletext"/>
              <w:keepNext/>
              <w:keepLines/>
              <w:widowControl w:val="0"/>
              <w:jc w:val="center"/>
              <w:rPr>
                <w:szCs w:val="20"/>
              </w:rPr>
            </w:pPr>
            <w:r w:rsidRPr="004748ED">
              <w:rPr>
                <w:szCs w:val="20"/>
              </w:rPr>
              <w:t xml:space="preserve">0.84 </w:t>
            </w:r>
            <w:r w:rsidRPr="004748ED">
              <w:rPr>
                <w:szCs w:val="20"/>
              </w:rPr>
              <w:br/>
              <w:t>(0.47-1.51)</w:t>
            </w:r>
          </w:p>
        </w:tc>
      </w:tr>
      <w:tr w:rsidR="009D3F6B" w:rsidRPr="00162B20" w14:paraId="508338E6" w14:textId="77777777" w:rsidTr="00544E23">
        <w:tc>
          <w:tcPr>
            <w:tcW w:w="1555" w:type="dxa"/>
            <w:shd w:val="clear" w:color="auto" w:fill="auto"/>
            <w:vAlign w:val="center"/>
          </w:tcPr>
          <w:p w14:paraId="71B75F3A" w14:textId="64AF33C1" w:rsidR="003F1AF6" w:rsidRPr="004748ED" w:rsidRDefault="003F1AF6" w:rsidP="00D273BF">
            <w:pPr>
              <w:pStyle w:val="Tabletext"/>
              <w:keepNext/>
              <w:keepLines/>
              <w:widowControl w:val="0"/>
              <w:rPr>
                <w:szCs w:val="20"/>
              </w:rPr>
            </w:pPr>
            <w:r w:rsidRPr="004748ED">
              <w:rPr>
                <w:szCs w:val="20"/>
              </w:rPr>
              <w:t>CABOSUN</w:t>
            </w:r>
            <w:r w:rsidR="00335D9A" w:rsidRPr="004748ED">
              <w:rPr>
                <w:szCs w:val="20"/>
                <w:vertAlign w:val="superscript"/>
              </w:rPr>
              <w:t>c</w:t>
            </w:r>
          </w:p>
          <w:p w14:paraId="742D5AD8" w14:textId="22CD24FD" w:rsidR="003F1AF6" w:rsidRPr="004748ED" w:rsidRDefault="003F1AF6" w:rsidP="00D273BF">
            <w:pPr>
              <w:pStyle w:val="Tabletext"/>
              <w:keepNext/>
              <w:keepLines/>
              <w:widowControl w:val="0"/>
              <w:rPr>
                <w:szCs w:val="20"/>
              </w:rPr>
            </w:pPr>
            <w:r w:rsidRPr="004748ED">
              <w:rPr>
                <w:szCs w:val="20"/>
              </w:rPr>
              <w:t>(cut-off date: July 2017)</w:t>
            </w:r>
          </w:p>
        </w:tc>
        <w:tc>
          <w:tcPr>
            <w:tcW w:w="1134" w:type="dxa"/>
            <w:shd w:val="clear" w:color="auto" w:fill="auto"/>
            <w:vAlign w:val="center"/>
          </w:tcPr>
          <w:p w14:paraId="0B030789" w14:textId="17BA090F" w:rsidR="003F1AF6" w:rsidRPr="004748ED" w:rsidRDefault="003F1AF6" w:rsidP="00D273BF">
            <w:pPr>
              <w:pStyle w:val="Tabletext"/>
              <w:keepNext/>
              <w:keepLines/>
              <w:widowControl w:val="0"/>
              <w:jc w:val="center"/>
              <w:rPr>
                <w:szCs w:val="20"/>
              </w:rPr>
            </w:pPr>
            <w:r w:rsidRPr="004748ED">
              <w:rPr>
                <w:szCs w:val="20"/>
              </w:rPr>
              <w:t xml:space="preserve">43/79 </w:t>
            </w:r>
            <w:r w:rsidRPr="004748ED">
              <w:rPr>
                <w:szCs w:val="20"/>
              </w:rPr>
              <w:br/>
              <w:t>(54</w:t>
            </w:r>
            <w:r w:rsidR="00AF7072" w:rsidRPr="004748ED">
              <w:rPr>
                <w:szCs w:val="20"/>
              </w:rPr>
              <w:t>.4</w:t>
            </w:r>
            <w:r w:rsidR="00D639CD" w:rsidRPr="004748ED">
              <w:rPr>
                <w:szCs w:val="20"/>
              </w:rPr>
              <w:t>%</w:t>
            </w:r>
            <w:r w:rsidRPr="004748ED">
              <w:rPr>
                <w:szCs w:val="20"/>
              </w:rPr>
              <w:t>)</w:t>
            </w:r>
          </w:p>
        </w:tc>
        <w:tc>
          <w:tcPr>
            <w:tcW w:w="992" w:type="dxa"/>
            <w:shd w:val="clear" w:color="auto" w:fill="auto"/>
            <w:vAlign w:val="center"/>
          </w:tcPr>
          <w:p w14:paraId="0E44B803" w14:textId="26AAC403" w:rsidR="003F1AF6" w:rsidRPr="004748ED" w:rsidRDefault="003F1AF6" w:rsidP="00D273BF">
            <w:pPr>
              <w:pStyle w:val="Tabletext"/>
              <w:keepNext/>
              <w:keepLines/>
              <w:widowControl w:val="0"/>
              <w:jc w:val="center"/>
              <w:rPr>
                <w:szCs w:val="20"/>
              </w:rPr>
            </w:pPr>
            <w:r w:rsidRPr="004748ED">
              <w:rPr>
                <w:szCs w:val="20"/>
              </w:rPr>
              <w:t xml:space="preserve">26.6 </w:t>
            </w:r>
            <w:r w:rsidRPr="004748ED">
              <w:rPr>
                <w:szCs w:val="20"/>
              </w:rPr>
              <w:br/>
              <w:t>(14.6, NE)</w:t>
            </w:r>
          </w:p>
        </w:tc>
        <w:tc>
          <w:tcPr>
            <w:tcW w:w="1134" w:type="dxa"/>
            <w:shd w:val="clear" w:color="auto" w:fill="auto"/>
            <w:vAlign w:val="center"/>
          </w:tcPr>
          <w:p w14:paraId="7D540921" w14:textId="5164D142" w:rsidR="003F1AF6" w:rsidRPr="004748ED" w:rsidRDefault="003F1AF6" w:rsidP="00D273BF">
            <w:pPr>
              <w:pStyle w:val="Tabletext"/>
              <w:keepNext/>
              <w:keepLines/>
              <w:widowControl w:val="0"/>
              <w:jc w:val="center"/>
              <w:rPr>
                <w:szCs w:val="20"/>
              </w:rPr>
            </w:pPr>
            <w:r w:rsidRPr="004748ED">
              <w:rPr>
                <w:szCs w:val="20"/>
              </w:rPr>
              <w:t xml:space="preserve">47/78 </w:t>
            </w:r>
            <w:r w:rsidRPr="004748ED">
              <w:rPr>
                <w:szCs w:val="20"/>
              </w:rPr>
              <w:br/>
              <w:t>(</w:t>
            </w:r>
            <w:r w:rsidR="00AF7072" w:rsidRPr="004748ED">
              <w:rPr>
                <w:szCs w:val="20"/>
              </w:rPr>
              <w:t>60.3</w:t>
            </w:r>
            <w:r w:rsidR="00D639CD" w:rsidRPr="004748ED">
              <w:rPr>
                <w:szCs w:val="20"/>
              </w:rPr>
              <w:t>%</w:t>
            </w:r>
            <w:r w:rsidRPr="004748ED">
              <w:rPr>
                <w:szCs w:val="20"/>
              </w:rPr>
              <w:t>)</w:t>
            </w:r>
          </w:p>
        </w:tc>
        <w:tc>
          <w:tcPr>
            <w:tcW w:w="1134" w:type="dxa"/>
            <w:shd w:val="clear" w:color="auto" w:fill="auto"/>
            <w:vAlign w:val="center"/>
          </w:tcPr>
          <w:p w14:paraId="1BEF201D" w14:textId="10C4D6C7" w:rsidR="003F1AF6" w:rsidRPr="004748ED" w:rsidRDefault="003F1AF6" w:rsidP="00D273BF">
            <w:pPr>
              <w:pStyle w:val="Tabletext"/>
              <w:keepNext/>
              <w:keepLines/>
              <w:widowControl w:val="0"/>
              <w:jc w:val="center"/>
              <w:rPr>
                <w:szCs w:val="20"/>
              </w:rPr>
            </w:pPr>
            <w:r w:rsidRPr="004748ED">
              <w:rPr>
                <w:szCs w:val="20"/>
              </w:rPr>
              <w:t xml:space="preserve">21.2 </w:t>
            </w:r>
            <w:r w:rsidRPr="004748ED">
              <w:rPr>
                <w:szCs w:val="20"/>
              </w:rPr>
              <w:br/>
              <w:t>(16.3, 27.4)</w:t>
            </w:r>
          </w:p>
        </w:tc>
        <w:tc>
          <w:tcPr>
            <w:tcW w:w="1134" w:type="dxa"/>
            <w:shd w:val="clear" w:color="auto" w:fill="auto"/>
            <w:vAlign w:val="center"/>
          </w:tcPr>
          <w:p w14:paraId="3FAFCC61" w14:textId="6A704843" w:rsidR="003F1AF6" w:rsidRPr="004748ED" w:rsidRDefault="003F1AF6" w:rsidP="00D273BF">
            <w:pPr>
              <w:pStyle w:val="Tabletext"/>
              <w:keepNext/>
              <w:keepLines/>
              <w:widowControl w:val="0"/>
              <w:jc w:val="center"/>
              <w:rPr>
                <w:szCs w:val="20"/>
              </w:rPr>
            </w:pPr>
            <w:r w:rsidRPr="004748ED">
              <w:rPr>
                <w:szCs w:val="20"/>
              </w:rPr>
              <w:t>5.4</w:t>
            </w:r>
          </w:p>
        </w:tc>
        <w:tc>
          <w:tcPr>
            <w:tcW w:w="850" w:type="dxa"/>
            <w:shd w:val="clear" w:color="auto" w:fill="auto"/>
            <w:vAlign w:val="center"/>
          </w:tcPr>
          <w:p w14:paraId="564088E4" w14:textId="709134D8" w:rsidR="003F1AF6" w:rsidRPr="004748ED" w:rsidRDefault="003F1AF6" w:rsidP="00D273BF">
            <w:pPr>
              <w:pStyle w:val="Tabletext"/>
              <w:keepNext/>
              <w:keepLines/>
              <w:widowControl w:val="0"/>
              <w:jc w:val="center"/>
              <w:rPr>
                <w:szCs w:val="20"/>
              </w:rPr>
            </w:pPr>
            <w:r w:rsidRPr="004748ED">
              <w:rPr>
                <w:szCs w:val="20"/>
              </w:rPr>
              <w:t>0.29</w:t>
            </w:r>
          </w:p>
        </w:tc>
        <w:tc>
          <w:tcPr>
            <w:tcW w:w="1084" w:type="dxa"/>
            <w:shd w:val="clear" w:color="auto" w:fill="auto"/>
            <w:vAlign w:val="center"/>
          </w:tcPr>
          <w:p w14:paraId="04D08300" w14:textId="71EB71AA" w:rsidR="003F1AF6" w:rsidRPr="004748ED" w:rsidRDefault="003F1AF6" w:rsidP="00D273BF">
            <w:pPr>
              <w:pStyle w:val="Tabletext"/>
              <w:keepNext/>
              <w:keepLines/>
              <w:widowControl w:val="0"/>
              <w:jc w:val="center"/>
              <w:rPr>
                <w:szCs w:val="20"/>
              </w:rPr>
            </w:pPr>
            <w:r w:rsidRPr="004748ED">
              <w:rPr>
                <w:szCs w:val="20"/>
              </w:rPr>
              <w:t>0.8</w:t>
            </w:r>
            <w:r w:rsidR="007724FF" w:rsidRPr="004748ED">
              <w:rPr>
                <w:szCs w:val="20"/>
              </w:rPr>
              <w:t>0</w:t>
            </w:r>
            <w:r w:rsidRPr="004748ED">
              <w:rPr>
                <w:szCs w:val="20"/>
              </w:rPr>
              <w:t xml:space="preserve"> </w:t>
            </w:r>
            <w:r w:rsidRPr="004748ED">
              <w:rPr>
                <w:szCs w:val="20"/>
              </w:rPr>
              <w:br/>
              <w:t>(0.53,1.21)</w:t>
            </w:r>
          </w:p>
        </w:tc>
      </w:tr>
      <w:tr w:rsidR="009D3F6B" w:rsidRPr="00162B20" w14:paraId="64CF6C2A" w14:textId="77777777" w:rsidTr="00544E23">
        <w:trPr>
          <w:trHeight w:val="229"/>
        </w:trPr>
        <w:tc>
          <w:tcPr>
            <w:tcW w:w="1555" w:type="dxa"/>
            <w:vMerge w:val="restart"/>
            <w:shd w:val="clear" w:color="auto" w:fill="auto"/>
            <w:vAlign w:val="center"/>
          </w:tcPr>
          <w:p w14:paraId="499092D4" w14:textId="0E1A54FC" w:rsidR="003F1AF6" w:rsidRPr="004748ED" w:rsidRDefault="003F1AF6" w:rsidP="00544E23">
            <w:pPr>
              <w:pStyle w:val="Tabletext"/>
              <w:keepNext/>
              <w:keepLines/>
              <w:widowControl w:val="0"/>
              <w:rPr>
                <w:szCs w:val="20"/>
              </w:rPr>
            </w:pPr>
            <w:r w:rsidRPr="004748ED">
              <w:rPr>
                <w:rFonts w:cs="Calibri"/>
                <w:color w:val="000000"/>
                <w:szCs w:val="20"/>
              </w:rPr>
              <w:t>METEOR</w:t>
            </w:r>
            <w:r w:rsidR="00335D9A" w:rsidRPr="004748ED">
              <w:rPr>
                <w:szCs w:val="20"/>
                <w:vertAlign w:val="superscript"/>
              </w:rPr>
              <w:t>d</w:t>
            </w:r>
            <w:r w:rsidRPr="004748ED">
              <w:rPr>
                <w:rFonts w:cs="Calibri"/>
                <w:color w:val="000000"/>
                <w:szCs w:val="20"/>
              </w:rPr>
              <w:t xml:space="preserve"> (cut-off date: December 2015)</w:t>
            </w:r>
          </w:p>
        </w:tc>
        <w:tc>
          <w:tcPr>
            <w:tcW w:w="1134" w:type="dxa"/>
            <w:vMerge w:val="restart"/>
            <w:shd w:val="clear" w:color="auto" w:fill="auto"/>
            <w:vAlign w:val="center"/>
          </w:tcPr>
          <w:p w14:paraId="4A5DB3F2" w14:textId="52C822EC" w:rsidR="003F1AF6" w:rsidRPr="004748ED" w:rsidRDefault="003F1AF6" w:rsidP="00544E23">
            <w:pPr>
              <w:pStyle w:val="Tabletext"/>
              <w:keepNext/>
              <w:keepLines/>
              <w:widowControl w:val="0"/>
              <w:jc w:val="center"/>
              <w:rPr>
                <w:szCs w:val="20"/>
              </w:rPr>
            </w:pPr>
            <w:r w:rsidRPr="004748ED">
              <w:rPr>
                <w:szCs w:val="20"/>
              </w:rPr>
              <w:t>140/330 (42</w:t>
            </w:r>
            <w:r w:rsidR="00AF7072" w:rsidRPr="004748ED">
              <w:rPr>
                <w:szCs w:val="20"/>
              </w:rPr>
              <w:t>.4</w:t>
            </w:r>
            <w:r w:rsidRPr="004748ED">
              <w:rPr>
                <w:szCs w:val="20"/>
              </w:rPr>
              <w:t>%)</w:t>
            </w:r>
          </w:p>
        </w:tc>
        <w:tc>
          <w:tcPr>
            <w:tcW w:w="992" w:type="dxa"/>
            <w:vMerge w:val="restart"/>
            <w:shd w:val="clear" w:color="auto" w:fill="auto"/>
            <w:vAlign w:val="center"/>
          </w:tcPr>
          <w:p w14:paraId="07CD1818" w14:textId="551624F6" w:rsidR="003F1AF6" w:rsidRPr="004748ED" w:rsidRDefault="003F1AF6" w:rsidP="00544E23">
            <w:pPr>
              <w:pStyle w:val="Tabletext"/>
              <w:keepNext/>
              <w:keepLines/>
              <w:widowControl w:val="0"/>
              <w:jc w:val="center"/>
              <w:rPr>
                <w:szCs w:val="20"/>
              </w:rPr>
            </w:pPr>
            <w:r w:rsidRPr="004748ED">
              <w:rPr>
                <w:szCs w:val="20"/>
              </w:rPr>
              <w:t>21.4 (18.7, NE)</w:t>
            </w:r>
          </w:p>
        </w:tc>
        <w:tc>
          <w:tcPr>
            <w:tcW w:w="1134" w:type="dxa"/>
            <w:vMerge w:val="restart"/>
            <w:shd w:val="clear" w:color="auto" w:fill="auto"/>
            <w:vAlign w:val="center"/>
          </w:tcPr>
          <w:p w14:paraId="622207A4" w14:textId="3D05E62E" w:rsidR="003F1AF6" w:rsidRPr="004748ED" w:rsidRDefault="003F1AF6" w:rsidP="00544E23">
            <w:pPr>
              <w:pStyle w:val="Tabletext"/>
              <w:keepNext/>
              <w:keepLines/>
              <w:widowControl w:val="0"/>
              <w:jc w:val="center"/>
              <w:rPr>
                <w:szCs w:val="20"/>
              </w:rPr>
            </w:pPr>
            <w:proofErr w:type="spellStart"/>
            <w:r w:rsidRPr="004748ED">
              <w:rPr>
                <w:rFonts w:cs="Calibri"/>
                <w:color w:val="000000"/>
                <w:szCs w:val="20"/>
              </w:rPr>
              <w:t>Everolimus</w:t>
            </w:r>
            <w:proofErr w:type="spellEnd"/>
            <w:r w:rsidRPr="004748ED">
              <w:rPr>
                <w:rFonts w:cs="Calibri"/>
                <w:color w:val="000000"/>
                <w:szCs w:val="20"/>
              </w:rPr>
              <w:t>: 180/328 (5</w:t>
            </w:r>
            <w:r w:rsidR="00AF7072" w:rsidRPr="004748ED">
              <w:rPr>
                <w:rFonts w:cs="Calibri"/>
                <w:color w:val="000000"/>
                <w:szCs w:val="20"/>
              </w:rPr>
              <w:t>4.9</w:t>
            </w:r>
            <w:r w:rsidRPr="004748ED">
              <w:rPr>
                <w:rFonts w:cs="Calibri"/>
                <w:color w:val="000000"/>
                <w:szCs w:val="20"/>
              </w:rPr>
              <w:t>%)</w:t>
            </w:r>
          </w:p>
        </w:tc>
        <w:tc>
          <w:tcPr>
            <w:tcW w:w="1134" w:type="dxa"/>
            <w:vMerge w:val="restart"/>
            <w:shd w:val="clear" w:color="auto" w:fill="auto"/>
            <w:vAlign w:val="center"/>
          </w:tcPr>
          <w:p w14:paraId="358ED494" w14:textId="77777777" w:rsidR="00D639CD" w:rsidRPr="004748ED" w:rsidRDefault="003F1AF6" w:rsidP="00544E23">
            <w:pPr>
              <w:pStyle w:val="Tabletext"/>
              <w:keepNext/>
              <w:keepLines/>
              <w:widowControl w:val="0"/>
              <w:jc w:val="center"/>
              <w:rPr>
                <w:szCs w:val="20"/>
              </w:rPr>
            </w:pPr>
            <w:proofErr w:type="spellStart"/>
            <w:r w:rsidRPr="004748ED">
              <w:rPr>
                <w:rFonts w:cs="Calibri"/>
                <w:color w:val="000000"/>
                <w:szCs w:val="20"/>
              </w:rPr>
              <w:t>Everolimus</w:t>
            </w:r>
            <w:proofErr w:type="spellEnd"/>
            <w:r w:rsidRPr="004748ED">
              <w:rPr>
                <w:rFonts w:cs="Calibri"/>
                <w:color w:val="000000"/>
                <w:szCs w:val="20"/>
              </w:rPr>
              <w:t xml:space="preserve">: </w:t>
            </w:r>
            <w:r w:rsidRPr="004748ED">
              <w:rPr>
                <w:szCs w:val="20"/>
              </w:rPr>
              <w:t xml:space="preserve">16.5 </w:t>
            </w:r>
          </w:p>
          <w:p w14:paraId="4E8BFDE3" w14:textId="7335F873" w:rsidR="003F1AF6" w:rsidRPr="004748ED" w:rsidRDefault="003F1AF6" w:rsidP="00544E23">
            <w:pPr>
              <w:pStyle w:val="Tabletext"/>
              <w:keepNext/>
              <w:keepLines/>
              <w:widowControl w:val="0"/>
              <w:jc w:val="center"/>
              <w:rPr>
                <w:szCs w:val="20"/>
              </w:rPr>
            </w:pPr>
            <w:r w:rsidRPr="004748ED">
              <w:rPr>
                <w:szCs w:val="20"/>
              </w:rPr>
              <w:t>(14.7, 18.8)</w:t>
            </w:r>
          </w:p>
        </w:tc>
        <w:tc>
          <w:tcPr>
            <w:tcW w:w="1134" w:type="dxa"/>
            <w:vMerge w:val="restart"/>
            <w:shd w:val="clear" w:color="auto" w:fill="auto"/>
            <w:vAlign w:val="center"/>
          </w:tcPr>
          <w:p w14:paraId="6B97C91A" w14:textId="49A7B8B2" w:rsidR="003F1AF6" w:rsidRPr="004748ED" w:rsidRDefault="003F1AF6" w:rsidP="00544E23">
            <w:pPr>
              <w:pStyle w:val="Tabletext"/>
              <w:keepNext/>
              <w:keepLines/>
              <w:widowControl w:val="0"/>
              <w:jc w:val="center"/>
              <w:rPr>
                <w:szCs w:val="20"/>
              </w:rPr>
            </w:pPr>
            <w:r w:rsidRPr="004748ED">
              <w:rPr>
                <w:szCs w:val="20"/>
              </w:rPr>
              <w:t>4.9</w:t>
            </w:r>
            <w:r w:rsidR="00D273BF" w:rsidRPr="004748ED">
              <w:rPr>
                <w:szCs w:val="20"/>
                <w:vertAlign w:val="superscript"/>
              </w:rPr>
              <w:t>e</w:t>
            </w:r>
          </w:p>
        </w:tc>
        <w:tc>
          <w:tcPr>
            <w:tcW w:w="850" w:type="dxa"/>
            <w:vMerge w:val="restart"/>
            <w:shd w:val="clear" w:color="auto" w:fill="auto"/>
            <w:vAlign w:val="center"/>
          </w:tcPr>
          <w:p w14:paraId="390AC9E8" w14:textId="485CA314" w:rsidR="003F1AF6" w:rsidRPr="004748ED" w:rsidRDefault="003F1AF6" w:rsidP="00544E23">
            <w:pPr>
              <w:pStyle w:val="Tabletext"/>
              <w:keepNext/>
              <w:keepLines/>
              <w:widowControl w:val="0"/>
              <w:jc w:val="center"/>
              <w:rPr>
                <w:szCs w:val="20"/>
              </w:rPr>
            </w:pPr>
            <w:r w:rsidRPr="004748ED">
              <w:rPr>
                <w:szCs w:val="20"/>
              </w:rPr>
              <w:t>0.0003</w:t>
            </w:r>
          </w:p>
        </w:tc>
        <w:tc>
          <w:tcPr>
            <w:tcW w:w="1084" w:type="dxa"/>
            <w:vMerge w:val="restart"/>
            <w:shd w:val="clear" w:color="auto" w:fill="auto"/>
            <w:vAlign w:val="center"/>
          </w:tcPr>
          <w:p w14:paraId="1F7D260A" w14:textId="77777777" w:rsidR="007724FF" w:rsidRPr="004748ED" w:rsidRDefault="003F1AF6" w:rsidP="00544E23">
            <w:pPr>
              <w:pStyle w:val="Tabletext"/>
              <w:keepNext/>
              <w:keepLines/>
              <w:widowControl w:val="0"/>
              <w:jc w:val="center"/>
              <w:rPr>
                <w:szCs w:val="20"/>
              </w:rPr>
            </w:pPr>
            <w:r w:rsidRPr="004748ED">
              <w:rPr>
                <w:szCs w:val="20"/>
              </w:rPr>
              <w:t xml:space="preserve">0.67 </w:t>
            </w:r>
          </w:p>
          <w:p w14:paraId="6DF08CA4" w14:textId="287FBF67" w:rsidR="003F1AF6" w:rsidRPr="004748ED" w:rsidRDefault="003F1AF6" w:rsidP="00544E23">
            <w:pPr>
              <w:pStyle w:val="Tabletext"/>
              <w:keepNext/>
              <w:keepLines/>
              <w:widowControl w:val="0"/>
              <w:jc w:val="center"/>
              <w:rPr>
                <w:szCs w:val="20"/>
              </w:rPr>
            </w:pPr>
            <w:r w:rsidRPr="004748ED">
              <w:rPr>
                <w:szCs w:val="20"/>
              </w:rPr>
              <w:t>(0.53, 0.83)</w:t>
            </w:r>
          </w:p>
        </w:tc>
      </w:tr>
      <w:tr w:rsidR="009D3F6B" w:rsidRPr="00162B20" w14:paraId="557FB40A" w14:textId="77777777" w:rsidTr="00544E23">
        <w:trPr>
          <w:trHeight w:val="229"/>
        </w:trPr>
        <w:tc>
          <w:tcPr>
            <w:tcW w:w="1555" w:type="dxa"/>
            <w:vMerge/>
            <w:shd w:val="clear" w:color="auto" w:fill="auto"/>
            <w:vAlign w:val="center"/>
          </w:tcPr>
          <w:p w14:paraId="5ACE8E5A" w14:textId="77777777" w:rsidR="003F1AF6" w:rsidRPr="00162B20" w:rsidRDefault="003F1AF6" w:rsidP="00D273BF">
            <w:pPr>
              <w:pStyle w:val="Tabletext"/>
              <w:keepNext/>
              <w:keepLines/>
              <w:widowControl w:val="0"/>
              <w:rPr>
                <w:b/>
                <w:bCs/>
              </w:rPr>
            </w:pPr>
          </w:p>
        </w:tc>
        <w:tc>
          <w:tcPr>
            <w:tcW w:w="1134" w:type="dxa"/>
            <w:vMerge/>
            <w:shd w:val="clear" w:color="auto" w:fill="auto"/>
            <w:vAlign w:val="center"/>
          </w:tcPr>
          <w:p w14:paraId="4137E976" w14:textId="77777777" w:rsidR="003F1AF6" w:rsidRPr="00162B20" w:rsidRDefault="003F1AF6" w:rsidP="00D273BF">
            <w:pPr>
              <w:pStyle w:val="Tabletext"/>
              <w:keepNext/>
              <w:keepLines/>
              <w:widowControl w:val="0"/>
              <w:jc w:val="center"/>
            </w:pPr>
          </w:p>
        </w:tc>
        <w:tc>
          <w:tcPr>
            <w:tcW w:w="992" w:type="dxa"/>
            <w:vMerge/>
            <w:shd w:val="clear" w:color="auto" w:fill="auto"/>
            <w:vAlign w:val="center"/>
          </w:tcPr>
          <w:p w14:paraId="19043ABF"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524E73EC"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26C209F7"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7D050B6A" w14:textId="77777777" w:rsidR="003F1AF6" w:rsidRPr="00162B20" w:rsidRDefault="003F1AF6" w:rsidP="00D273BF">
            <w:pPr>
              <w:pStyle w:val="Tabletext"/>
              <w:keepNext/>
              <w:keepLines/>
              <w:widowControl w:val="0"/>
              <w:jc w:val="center"/>
            </w:pPr>
          </w:p>
        </w:tc>
        <w:tc>
          <w:tcPr>
            <w:tcW w:w="850" w:type="dxa"/>
            <w:vMerge/>
            <w:shd w:val="clear" w:color="auto" w:fill="auto"/>
            <w:vAlign w:val="center"/>
          </w:tcPr>
          <w:p w14:paraId="4593D4AC" w14:textId="77777777" w:rsidR="003F1AF6" w:rsidRPr="00162B20" w:rsidRDefault="003F1AF6" w:rsidP="00D273BF">
            <w:pPr>
              <w:pStyle w:val="Tabletext"/>
              <w:keepNext/>
              <w:keepLines/>
              <w:widowControl w:val="0"/>
              <w:jc w:val="center"/>
            </w:pPr>
          </w:p>
        </w:tc>
        <w:tc>
          <w:tcPr>
            <w:tcW w:w="1084" w:type="dxa"/>
            <w:vMerge/>
            <w:shd w:val="clear" w:color="auto" w:fill="auto"/>
            <w:vAlign w:val="center"/>
          </w:tcPr>
          <w:p w14:paraId="5352AB5E" w14:textId="77777777" w:rsidR="003F1AF6" w:rsidRPr="00162B20" w:rsidRDefault="003F1AF6" w:rsidP="00D273BF">
            <w:pPr>
              <w:pStyle w:val="Tabletext"/>
              <w:keepNext/>
              <w:keepLines/>
              <w:widowControl w:val="0"/>
              <w:jc w:val="center"/>
            </w:pPr>
          </w:p>
        </w:tc>
      </w:tr>
      <w:tr w:rsidR="009D3F6B" w:rsidRPr="00162B20" w14:paraId="571A739A" w14:textId="77777777" w:rsidTr="00544E23">
        <w:trPr>
          <w:trHeight w:val="229"/>
        </w:trPr>
        <w:tc>
          <w:tcPr>
            <w:tcW w:w="1555" w:type="dxa"/>
            <w:vMerge/>
            <w:shd w:val="clear" w:color="auto" w:fill="auto"/>
            <w:vAlign w:val="center"/>
          </w:tcPr>
          <w:p w14:paraId="029DD4D9" w14:textId="77777777" w:rsidR="003F1AF6" w:rsidRPr="00162B20" w:rsidRDefault="003F1AF6" w:rsidP="00D273BF">
            <w:pPr>
              <w:pStyle w:val="Tabletext"/>
              <w:keepNext/>
              <w:keepLines/>
              <w:widowControl w:val="0"/>
              <w:rPr>
                <w:b/>
                <w:bCs/>
              </w:rPr>
            </w:pPr>
          </w:p>
        </w:tc>
        <w:tc>
          <w:tcPr>
            <w:tcW w:w="1134" w:type="dxa"/>
            <w:vMerge/>
            <w:shd w:val="clear" w:color="auto" w:fill="auto"/>
            <w:vAlign w:val="center"/>
          </w:tcPr>
          <w:p w14:paraId="7BFB4838" w14:textId="77777777" w:rsidR="003F1AF6" w:rsidRPr="00162B20" w:rsidRDefault="003F1AF6" w:rsidP="00D273BF">
            <w:pPr>
              <w:pStyle w:val="Tabletext"/>
              <w:keepNext/>
              <w:keepLines/>
              <w:widowControl w:val="0"/>
              <w:jc w:val="center"/>
            </w:pPr>
          </w:p>
        </w:tc>
        <w:tc>
          <w:tcPr>
            <w:tcW w:w="992" w:type="dxa"/>
            <w:vMerge/>
            <w:shd w:val="clear" w:color="auto" w:fill="auto"/>
            <w:vAlign w:val="center"/>
          </w:tcPr>
          <w:p w14:paraId="720E7FCF"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314A1585"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022869C2" w14:textId="77777777" w:rsidR="003F1AF6" w:rsidRPr="00162B20" w:rsidRDefault="003F1AF6" w:rsidP="00D273BF">
            <w:pPr>
              <w:pStyle w:val="Tabletext"/>
              <w:keepNext/>
              <w:keepLines/>
              <w:widowControl w:val="0"/>
              <w:jc w:val="center"/>
            </w:pPr>
          </w:p>
        </w:tc>
        <w:tc>
          <w:tcPr>
            <w:tcW w:w="1134" w:type="dxa"/>
            <w:vMerge/>
            <w:shd w:val="clear" w:color="auto" w:fill="auto"/>
            <w:vAlign w:val="center"/>
          </w:tcPr>
          <w:p w14:paraId="636DF42B" w14:textId="77777777" w:rsidR="003F1AF6" w:rsidRPr="00162B20" w:rsidRDefault="003F1AF6" w:rsidP="00D273BF">
            <w:pPr>
              <w:pStyle w:val="Tabletext"/>
              <w:keepNext/>
              <w:keepLines/>
              <w:widowControl w:val="0"/>
              <w:jc w:val="center"/>
            </w:pPr>
          </w:p>
        </w:tc>
        <w:tc>
          <w:tcPr>
            <w:tcW w:w="850" w:type="dxa"/>
            <w:vMerge/>
            <w:shd w:val="clear" w:color="auto" w:fill="auto"/>
            <w:vAlign w:val="center"/>
          </w:tcPr>
          <w:p w14:paraId="0C3CF469" w14:textId="77777777" w:rsidR="003F1AF6" w:rsidRPr="00162B20" w:rsidRDefault="003F1AF6" w:rsidP="00D273BF">
            <w:pPr>
              <w:pStyle w:val="Tabletext"/>
              <w:keepNext/>
              <w:keepLines/>
              <w:widowControl w:val="0"/>
              <w:jc w:val="center"/>
            </w:pPr>
          </w:p>
        </w:tc>
        <w:tc>
          <w:tcPr>
            <w:tcW w:w="1084" w:type="dxa"/>
            <w:vMerge/>
            <w:shd w:val="clear" w:color="auto" w:fill="auto"/>
            <w:vAlign w:val="center"/>
          </w:tcPr>
          <w:p w14:paraId="19792202" w14:textId="77777777" w:rsidR="003F1AF6" w:rsidRPr="00162B20" w:rsidRDefault="003F1AF6" w:rsidP="00D273BF">
            <w:pPr>
              <w:pStyle w:val="Tabletext"/>
              <w:keepNext/>
              <w:keepLines/>
              <w:widowControl w:val="0"/>
              <w:jc w:val="center"/>
            </w:pPr>
          </w:p>
        </w:tc>
      </w:tr>
      <w:tr w:rsidR="009D3F6B" w:rsidRPr="00162B20" w14:paraId="7F6F19BB" w14:textId="77777777" w:rsidTr="00544E23">
        <w:trPr>
          <w:trHeight w:val="229"/>
        </w:trPr>
        <w:tc>
          <w:tcPr>
            <w:tcW w:w="1555" w:type="dxa"/>
            <w:vMerge/>
            <w:vAlign w:val="center"/>
          </w:tcPr>
          <w:p w14:paraId="0475661F" w14:textId="77777777" w:rsidR="003F1AF6" w:rsidRPr="00162B20" w:rsidRDefault="003F1AF6" w:rsidP="00D273BF">
            <w:pPr>
              <w:pStyle w:val="Tabletext"/>
              <w:keepNext/>
              <w:keepLines/>
              <w:widowControl w:val="0"/>
            </w:pPr>
          </w:p>
        </w:tc>
        <w:tc>
          <w:tcPr>
            <w:tcW w:w="1134" w:type="dxa"/>
            <w:vMerge/>
            <w:vAlign w:val="center"/>
          </w:tcPr>
          <w:p w14:paraId="26DB6517" w14:textId="77777777" w:rsidR="003F1AF6" w:rsidRPr="00162B20" w:rsidRDefault="003F1AF6" w:rsidP="00D273BF">
            <w:pPr>
              <w:pStyle w:val="Tabletext"/>
              <w:keepNext/>
              <w:keepLines/>
              <w:widowControl w:val="0"/>
            </w:pPr>
          </w:p>
        </w:tc>
        <w:tc>
          <w:tcPr>
            <w:tcW w:w="992" w:type="dxa"/>
            <w:vMerge/>
            <w:vAlign w:val="center"/>
          </w:tcPr>
          <w:p w14:paraId="49C1F52D" w14:textId="77777777" w:rsidR="003F1AF6" w:rsidRPr="00162B20" w:rsidRDefault="003F1AF6" w:rsidP="00D273BF">
            <w:pPr>
              <w:pStyle w:val="Tabletext"/>
              <w:keepNext/>
              <w:keepLines/>
              <w:widowControl w:val="0"/>
            </w:pPr>
          </w:p>
        </w:tc>
        <w:tc>
          <w:tcPr>
            <w:tcW w:w="1134" w:type="dxa"/>
            <w:vMerge/>
            <w:vAlign w:val="center"/>
          </w:tcPr>
          <w:p w14:paraId="30E7A6AD" w14:textId="77777777" w:rsidR="003F1AF6" w:rsidRPr="00162B20" w:rsidRDefault="003F1AF6" w:rsidP="00D273BF">
            <w:pPr>
              <w:pStyle w:val="Tabletext"/>
              <w:keepNext/>
              <w:keepLines/>
              <w:widowControl w:val="0"/>
            </w:pPr>
          </w:p>
        </w:tc>
        <w:tc>
          <w:tcPr>
            <w:tcW w:w="1134" w:type="dxa"/>
            <w:vMerge/>
            <w:vAlign w:val="center"/>
          </w:tcPr>
          <w:p w14:paraId="41F200D5" w14:textId="77777777" w:rsidR="003F1AF6" w:rsidRPr="00162B20" w:rsidRDefault="003F1AF6" w:rsidP="00D273BF">
            <w:pPr>
              <w:pStyle w:val="Tabletext"/>
              <w:keepNext/>
              <w:keepLines/>
              <w:widowControl w:val="0"/>
            </w:pPr>
          </w:p>
        </w:tc>
        <w:tc>
          <w:tcPr>
            <w:tcW w:w="1134" w:type="dxa"/>
            <w:vMerge/>
            <w:vAlign w:val="center"/>
          </w:tcPr>
          <w:p w14:paraId="7C16B7E1" w14:textId="77777777" w:rsidR="003F1AF6" w:rsidRPr="00162B20" w:rsidRDefault="003F1AF6" w:rsidP="00D273BF">
            <w:pPr>
              <w:pStyle w:val="Tabletext"/>
              <w:keepNext/>
              <w:keepLines/>
              <w:widowControl w:val="0"/>
            </w:pPr>
          </w:p>
        </w:tc>
        <w:tc>
          <w:tcPr>
            <w:tcW w:w="850" w:type="dxa"/>
            <w:vMerge/>
            <w:vAlign w:val="center"/>
          </w:tcPr>
          <w:p w14:paraId="0E991E0A" w14:textId="77777777" w:rsidR="003F1AF6" w:rsidRPr="00162B20" w:rsidRDefault="003F1AF6" w:rsidP="00D273BF">
            <w:pPr>
              <w:pStyle w:val="Tabletext"/>
              <w:keepNext/>
              <w:keepLines/>
              <w:widowControl w:val="0"/>
            </w:pPr>
          </w:p>
        </w:tc>
        <w:tc>
          <w:tcPr>
            <w:tcW w:w="1084" w:type="dxa"/>
            <w:vMerge/>
            <w:vAlign w:val="center"/>
          </w:tcPr>
          <w:p w14:paraId="23221D4E" w14:textId="77777777" w:rsidR="003F1AF6" w:rsidRPr="00162B20" w:rsidRDefault="003F1AF6" w:rsidP="00D273BF">
            <w:pPr>
              <w:pStyle w:val="Tabletext"/>
              <w:keepNext/>
              <w:keepLines/>
              <w:widowControl w:val="0"/>
            </w:pPr>
          </w:p>
        </w:tc>
      </w:tr>
    </w:tbl>
    <w:p w14:paraId="5A3ABF44" w14:textId="0C409A89" w:rsidR="00631363" w:rsidRPr="00162B20" w:rsidRDefault="00631363" w:rsidP="00D273BF">
      <w:pPr>
        <w:pStyle w:val="TableFigureFooter"/>
        <w:keepNext/>
        <w:keepLines/>
        <w:widowControl w:val="0"/>
      </w:pPr>
      <w:r w:rsidRPr="00162B20">
        <w:t>Source: Table 2-21, p55, Table 2-22, p56</w:t>
      </w:r>
      <w:r w:rsidR="0026259B" w:rsidRPr="00162B20">
        <w:t>, Table 2-25, p58,</w:t>
      </w:r>
      <w:r w:rsidR="00C56C18" w:rsidRPr="00162B20">
        <w:t xml:space="preserve"> Table 2-26, p58,</w:t>
      </w:r>
      <w:r w:rsidR="0026259B" w:rsidRPr="00162B20">
        <w:t xml:space="preserve"> </w:t>
      </w:r>
      <w:r w:rsidR="00C56C18" w:rsidRPr="00162B20">
        <w:t>Table 2-27, p59</w:t>
      </w:r>
      <w:r w:rsidR="001440CE" w:rsidRPr="00162B20">
        <w:t>, Table 3-2, p69, Table 3-4, p71</w:t>
      </w:r>
      <w:r w:rsidRPr="00162B20">
        <w:t xml:space="preserve"> of submission</w:t>
      </w:r>
      <w:r w:rsidR="003F1AF6" w:rsidRPr="00162B20">
        <w:t>; Table 4, p9, Table 5, p11 of cabozantinib</w:t>
      </w:r>
      <w:r w:rsidR="00FD21BF" w:rsidRPr="00162B20">
        <w:t xml:space="preserve">, </w:t>
      </w:r>
      <w:r w:rsidR="00917425" w:rsidRPr="00162B20">
        <w:t>PSD</w:t>
      </w:r>
      <w:r w:rsidR="000C67AB" w:rsidRPr="00162B20">
        <w:t>,</w:t>
      </w:r>
      <w:r w:rsidR="003F1AF6" w:rsidRPr="00162B20">
        <w:t xml:space="preserve"> </w:t>
      </w:r>
      <w:r w:rsidR="000C67AB" w:rsidRPr="00162B20">
        <w:t xml:space="preserve">December 2017 </w:t>
      </w:r>
      <w:r w:rsidR="003F1AF6" w:rsidRPr="00162B20">
        <w:t>PBAC Meeting</w:t>
      </w:r>
      <w:r w:rsidR="00FF21EC" w:rsidRPr="00162B20">
        <w:t>, Table 5, p10 of cabozantinib</w:t>
      </w:r>
      <w:r w:rsidR="00FD21BF" w:rsidRPr="00162B20">
        <w:t xml:space="preserve">, </w:t>
      </w:r>
      <w:r w:rsidR="00917425" w:rsidRPr="00162B20">
        <w:t>PSD</w:t>
      </w:r>
      <w:r w:rsidR="00FF21EC" w:rsidRPr="00162B20">
        <w:t xml:space="preserve"> PBAC Meeting November 2020.</w:t>
      </w:r>
    </w:p>
    <w:p w14:paraId="55855CAC" w14:textId="68FE230B" w:rsidR="00631363" w:rsidRPr="00162B20" w:rsidRDefault="00631363" w:rsidP="00D273BF">
      <w:pPr>
        <w:pStyle w:val="TableFigureFooter"/>
        <w:keepNext/>
        <w:keepLines/>
        <w:widowControl w:val="0"/>
      </w:pPr>
      <w:r w:rsidRPr="00162B20">
        <w:t xml:space="preserve">CI= confidence interval; HR= hazard ratio; IRC = </w:t>
      </w:r>
      <w:bookmarkStart w:id="40" w:name="_Hlk147218104"/>
      <w:r w:rsidRPr="00162B20">
        <w:t>Independent Radiographical Committee</w:t>
      </w:r>
      <w:bookmarkEnd w:id="40"/>
      <w:r w:rsidRPr="00162B20">
        <w:t xml:space="preserve">; n = number of participants with event; N = total participants in group; </w:t>
      </w:r>
      <w:r w:rsidR="00103379" w:rsidRPr="00162B20">
        <w:t xml:space="preserve">NE = not estimable; </w:t>
      </w:r>
      <w:r w:rsidRPr="00162B20">
        <w:t>NR = not reported; PFS = progression free survival.</w:t>
      </w:r>
    </w:p>
    <w:p w14:paraId="31E74E29" w14:textId="7A4E5C7E" w:rsidR="00335D9A" w:rsidRPr="00162B20" w:rsidRDefault="00631363" w:rsidP="00D273BF">
      <w:pPr>
        <w:pStyle w:val="TableFigureFooter"/>
        <w:keepNext/>
        <w:keepLines/>
        <w:widowControl w:val="0"/>
      </w:pPr>
      <w:r w:rsidRPr="00162B20">
        <w:rPr>
          <w:vertAlign w:val="superscript"/>
        </w:rPr>
        <w:t>a</w:t>
      </w:r>
      <w:r w:rsidRPr="00162B20">
        <w:t xml:space="preserve"> Log-rank p-value (stratified) </w:t>
      </w:r>
    </w:p>
    <w:p w14:paraId="531B5C30" w14:textId="02233DF0" w:rsidR="00335D9A" w:rsidRPr="00162B20" w:rsidRDefault="00335D9A" w:rsidP="00D273BF">
      <w:pPr>
        <w:pStyle w:val="TableFigureFooter"/>
        <w:keepNext/>
        <w:keepLines/>
        <w:widowControl w:val="0"/>
      </w:pPr>
      <w:r w:rsidRPr="00162B20">
        <w:rPr>
          <w:vertAlign w:val="superscript"/>
        </w:rPr>
        <w:t xml:space="preserve"> b</w:t>
      </w:r>
      <w:r w:rsidR="00833469" w:rsidRPr="00162B20">
        <w:rPr>
          <w:vertAlign w:val="superscript"/>
        </w:rPr>
        <w:t xml:space="preserve"> </w:t>
      </w:r>
      <w:r w:rsidRPr="00162B20">
        <w:t xml:space="preserve">Only included papillary RCC and patients on first- and second-line therapies. </w:t>
      </w:r>
    </w:p>
    <w:p w14:paraId="5BAC83F0" w14:textId="73868D3D" w:rsidR="00335D9A" w:rsidRPr="00162B20" w:rsidRDefault="00335D9A" w:rsidP="00D273BF">
      <w:pPr>
        <w:pStyle w:val="TableFigureFooter"/>
        <w:keepNext/>
        <w:keepLines/>
        <w:widowControl w:val="0"/>
      </w:pPr>
      <w:r w:rsidRPr="00162B20">
        <w:rPr>
          <w:vertAlign w:val="superscript"/>
        </w:rPr>
        <w:t>c</w:t>
      </w:r>
      <w:r w:rsidR="00833469" w:rsidRPr="00162B20">
        <w:rPr>
          <w:vertAlign w:val="superscript"/>
        </w:rPr>
        <w:t xml:space="preserve"> </w:t>
      </w:r>
      <w:r w:rsidRPr="00162B20">
        <w:t xml:space="preserve">Included </w:t>
      </w:r>
      <w:proofErr w:type="spellStart"/>
      <w:r w:rsidRPr="00162B20">
        <w:t>ccRCC</w:t>
      </w:r>
      <w:proofErr w:type="spellEnd"/>
      <w:r w:rsidRPr="00162B20">
        <w:t xml:space="preserve"> patients who were on first-line therapy. </w:t>
      </w:r>
    </w:p>
    <w:p w14:paraId="044E7A9D" w14:textId="2696A47B" w:rsidR="00335D9A" w:rsidRPr="00162B20" w:rsidRDefault="00335D9A" w:rsidP="00D273BF">
      <w:pPr>
        <w:pStyle w:val="TableFigureFooter"/>
        <w:keepNext/>
        <w:keepLines/>
        <w:widowControl w:val="0"/>
        <w:rPr>
          <w:rFonts w:eastAsia="Calibri"/>
        </w:rPr>
      </w:pPr>
      <w:r w:rsidRPr="00162B20">
        <w:rPr>
          <w:vertAlign w:val="superscript"/>
        </w:rPr>
        <w:t>d</w:t>
      </w:r>
      <w:r w:rsidR="00833469" w:rsidRPr="00162B20">
        <w:rPr>
          <w:vertAlign w:val="superscript"/>
        </w:rPr>
        <w:t xml:space="preserve"> </w:t>
      </w:r>
      <w:r w:rsidRPr="00162B20">
        <w:t xml:space="preserve">Included </w:t>
      </w:r>
      <w:proofErr w:type="spellStart"/>
      <w:r w:rsidRPr="00162B20">
        <w:t>ccRCC</w:t>
      </w:r>
      <w:proofErr w:type="spellEnd"/>
      <w:r w:rsidRPr="00162B20">
        <w:t xml:space="preserve"> patients who were on second-line therapies (post-TKI).</w:t>
      </w:r>
    </w:p>
    <w:p w14:paraId="6892257C" w14:textId="27AA5E34" w:rsidR="00D273BF" w:rsidRPr="00162B20" w:rsidRDefault="00D273BF" w:rsidP="00D273BF">
      <w:pPr>
        <w:pStyle w:val="TableFigureFooter"/>
        <w:keepNext/>
        <w:keepLines/>
        <w:widowControl w:val="0"/>
        <w:rPr>
          <w:rFonts w:eastAsia="Calibri"/>
        </w:rPr>
      </w:pPr>
      <w:r w:rsidRPr="00162B20">
        <w:rPr>
          <w:rFonts w:eastAsia="Calibri"/>
          <w:vertAlign w:val="superscript"/>
        </w:rPr>
        <w:t>e</w:t>
      </w:r>
      <w:r w:rsidRPr="00162B20">
        <w:rPr>
          <w:rFonts w:eastAsia="Calibri"/>
        </w:rPr>
        <w:t xml:space="preserve"> calculated for this submission.</w:t>
      </w:r>
    </w:p>
    <w:p w14:paraId="3CCBBF48" w14:textId="53771063" w:rsidR="00631363" w:rsidRPr="00162B20" w:rsidRDefault="00631363" w:rsidP="00844EB4">
      <w:pPr>
        <w:pStyle w:val="TableFigureFooter"/>
        <w:widowControl w:val="0"/>
        <w:rPr>
          <w:rFonts w:eastAsia="Calibri"/>
        </w:rPr>
      </w:pPr>
      <w:r w:rsidRPr="00162B20">
        <w:t xml:space="preserve">Bold indicates significant statistical difference. </w:t>
      </w:r>
    </w:p>
    <w:p w14:paraId="65617C27" w14:textId="4D840C0B" w:rsidR="001E4115" w:rsidRPr="00162B20" w:rsidRDefault="001E4115" w:rsidP="001E4115">
      <w:pPr>
        <w:pStyle w:val="3-BodyText"/>
      </w:pPr>
      <w:bookmarkStart w:id="41" w:name="_Ref156202296"/>
      <w:bookmarkStart w:id="42" w:name="_Hlk155609333"/>
      <w:r w:rsidRPr="00162B20">
        <w:t xml:space="preserve">The naïve comparison showed that the relative effectiveness of cabozantinib compared to sunitinib </w:t>
      </w:r>
      <w:r w:rsidR="004C3547" w:rsidRPr="00162B20">
        <w:t xml:space="preserve">appears to be </w:t>
      </w:r>
      <w:r w:rsidRPr="00162B20">
        <w:t xml:space="preserve">comparable </w:t>
      </w:r>
      <w:r w:rsidR="00131F16" w:rsidRPr="00162B20">
        <w:t xml:space="preserve">in the first line of treatment </w:t>
      </w:r>
      <w:r w:rsidRPr="00162B20">
        <w:t xml:space="preserve">across the </w:t>
      </w:r>
      <w:proofErr w:type="spellStart"/>
      <w:r w:rsidRPr="00162B20">
        <w:t>ccRCC</w:t>
      </w:r>
      <w:proofErr w:type="spellEnd"/>
      <w:r w:rsidRPr="00162B20">
        <w:t xml:space="preserve"> and </w:t>
      </w:r>
      <w:proofErr w:type="spellStart"/>
      <w:r w:rsidRPr="00162B20">
        <w:t>nccRCC</w:t>
      </w:r>
      <w:proofErr w:type="spellEnd"/>
      <w:r w:rsidRPr="00162B20">
        <w:t>; however, this comparison is affected by the heterogeneity between the trials.</w:t>
      </w:r>
      <w:r w:rsidR="00335D9A" w:rsidRPr="00162B20">
        <w:t xml:space="preserve"> </w:t>
      </w:r>
      <w:bookmarkEnd w:id="41"/>
    </w:p>
    <w:p w14:paraId="50747A51" w14:textId="6A75E7D2" w:rsidR="00335D9A" w:rsidRPr="00162B20" w:rsidRDefault="00131F16" w:rsidP="004D2AF8">
      <w:pPr>
        <w:pStyle w:val="3-BodyText"/>
      </w:pPr>
      <w:bookmarkStart w:id="43" w:name="_Ref156202314"/>
      <w:r w:rsidRPr="00162B20">
        <w:t xml:space="preserve">The comparison in the second-line treatment </w:t>
      </w:r>
      <w:r w:rsidR="0087487B" w:rsidRPr="00162B20">
        <w:t xml:space="preserve">setting </w:t>
      </w:r>
      <w:r w:rsidR="00C9778A" w:rsidRPr="00162B20">
        <w:t xml:space="preserve">is </w:t>
      </w:r>
      <w:r w:rsidRPr="00162B20">
        <w:t xml:space="preserve">uncertain because there is no common comparator between </w:t>
      </w:r>
      <w:r w:rsidR="00000C9C" w:rsidRPr="00162B20">
        <w:t>METEOR</w:t>
      </w:r>
      <w:r w:rsidRPr="00162B20">
        <w:t xml:space="preserve"> and </w:t>
      </w:r>
      <w:r w:rsidR="00000C9C" w:rsidRPr="00162B20">
        <w:t>SWOG 1500</w:t>
      </w:r>
      <w:r w:rsidRPr="00162B20">
        <w:t xml:space="preserve"> (i.e., </w:t>
      </w:r>
      <w:proofErr w:type="spellStart"/>
      <w:r w:rsidRPr="00162B20">
        <w:t>everolimus</w:t>
      </w:r>
      <w:proofErr w:type="spellEnd"/>
      <w:r w:rsidRPr="00162B20">
        <w:t xml:space="preserve"> and sunitinib). Furthermore, only 5% of cabozantinib patients received prior systemic therapy compared to 100% </w:t>
      </w:r>
      <w:r w:rsidR="00C9778A" w:rsidRPr="00162B20">
        <w:t>in</w:t>
      </w:r>
      <w:r w:rsidRPr="00162B20">
        <w:t xml:space="preserve"> </w:t>
      </w:r>
      <w:r w:rsidR="00000C9C" w:rsidRPr="00162B20">
        <w:t>METEOR</w:t>
      </w:r>
      <w:r w:rsidRPr="00162B20">
        <w:t>.</w:t>
      </w:r>
      <w:bookmarkEnd w:id="43"/>
      <w:r w:rsidR="006B5569" w:rsidRPr="00162B20">
        <w:t xml:space="preserve"> However, as there are currently no TKIs PBS listed for </w:t>
      </w:r>
      <w:proofErr w:type="spellStart"/>
      <w:r w:rsidR="006B5569" w:rsidRPr="00162B20">
        <w:t>nccRCC</w:t>
      </w:r>
      <w:proofErr w:type="spellEnd"/>
      <w:r w:rsidR="006B5569" w:rsidRPr="00162B20">
        <w:t xml:space="preserve"> </w:t>
      </w:r>
      <w:r w:rsidR="0087487B" w:rsidRPr="00162B20">
        <w:t xml:space="preserve">the ESC agreed with the Commentary that </w:t>
      </w:r>
      <w:r w:rsidR="006B5569" w:rsidRPr="00162B20">
        <w:t xml:space="preserve">it would be expected that the majority of PBS patients would be treated in the first line setting. Therefore, the results for the second line comparison </w:t>
      </w:r>
      <w:r w:rsidR="0087487B" w:rsidRPr="00162B20">
        <w:t>are</w:t>
      </w:r>
      <w:r w:rsidR="006B5569" w:rsidRPr="00162B20">
        <w:t xml:space="preserve"> of less relevance.</w:t>
      </w:r>
    </w:p>
    <w:p w14:paraId="6252EE1A" w14:textId="77777777" w:rsidR="00AB4ECF" w:rsidRPr="00162B20" w:rsidRDefault="00AB4ECF" w:rsidP="00AB4ECF">
      <w:pPr>
        <w:pStyle w:val="4-SubsectionHeading"/>
      </w:pPr>
      <w:bookmarkStart w:id="44" w:name="_Toc156987045"/>
      <w:bookmarkEnd w:id="42"/>
      <w:r w:rsidRPr="00162B20">
        <w:lastRenderedPageBreak/>
        <w:t>Comparative harms</w:t>
      </w:r>
      <w:bookmarkEnd w:id="44"/>
    </w:p>
    <w:p w14:paraId="5B7910FB" w14:textId="032C5ABB" w:rsidR="006011DB" w:rsidRPr="00162B20" w:rsidRDefault="004559D9" w:rsidP="006011DB">
      <w:pPr>
        <w:pStyle w:val="3-BodyText"/>
        <w:snapToGrid w:val="0"/>
      </w:pPr>
      <w:r w:rsidRPr="00162B20">
        <w:fldChar w:fldCharType="begin"/>
      </w:r>
      <w:r w:rsidRPr="00162B20">
        <w:instrText xml:space="preserve"> REF _Ref155620936 \h </w:instrText>
      </w:r>
      <w:r w:rsidRPr="00162B20">
        <w:fldChar w:fldCharType="separate"/>
      </w:r>
      <w:r w:rsidR="0030362D" w:rsidRPr="00162B20">
        <w:t xml:space="preserve">Table </w:t>
      </w:r>
      <w:r w:rsidR="0030362D">
        <w:rPr>
          <w:noProof/>
        </w:rPr>
        <w:t>8</w:t>
      </w:r>
      <w:r w:rsidRPr="00162B20">
        <w:fldChar w:fldCharType="end"/>
      </w:r>
      <w:r w:rsidRPr="00162B20">
        <w:t xml:space="preserve"> </w:t>
      </w:r>
      <w:r w:rsidR="006011DB" w:rsidRPr="00162B20">
        <w:t>presents adverse effects reported in the SWOG 1500</w:t>
      </w:r>
      <w:r w:rsidR="0087487B" w:rsidRPr="00162B20">
        <w:t xml:space="preserve"> trial</w:t>
      </w:r>
      <w:r w:rsidR="006011DB" w:rsidRPr="00162B20">
        <w:t xml:space="preserve">. </w:t>
      </w:r>
    </w:p>
    <w:p w14:paraId="426B044B" w14:textId="21AEDEDF" w:rsidR="004559D9" w:rsidRPr="00162B20" w:rsidRDefault="004559D9" w:rsidP="00A52711">
      <w:pPr>
        <w:pStyle w:val="Caption"/>
        <w:widowControl w:val="0"/>
      </w:pPr>
      <w:bookmarkStart w:id="45" w:name="_Ref155620936"/>
      <w:r w:rsidRPr="00162B20">
        <w:t xml:space="preserve">Table </w:t>
      </w:r>
      <w:fldSimple w:instr=" SEQ Table \* ARABIC ">
        <w:r w:rsidR="0030362D">
          <w:rPr>
            <w:noProof/>
          </w:rPr>
          <w:t>8</w:t>
        </w:r>
      </w:fldSimple>
      <w:bookmarkEnd w:id="45"/>
      <w:r w:rsidRPr="00162B20">
        <w:t>: Summary of key adverse events in SWOG 1500</w:t>
      </w:r>
      <w:r w:rsidRPr="00162B20">
        <w:rPr>
          <w:vertAlign w:val="superscript"/>
        </w:rPr>
        <w:t>1</w:t>
      </w:r>
    </w:p>
    <w:tbl>
      <w:tblPr>
        <w:tblStyle w:val="Submissionstandard"/>
        <w:tblW w:w="5000" w:type="pct"/>
        <w:tblLook w:val="01E0" w:firstRow="1" w:lastRow="1" w:firstColumn="1" w:lastColumn="1" w:noHBand="0" w:noVBand="0"/>
        <w:tblCaption w:val="Table 8: Summary of key adverse events in SWOG 15001"/>
      </w:tblPr>
      <w:tblGrid>
        <w:gridCol w:w="2406"/>
        <w:gridCol w:w="1277"/>
        <w:gridCol w:w="1416"/>
        <w:gridCol w:w="1417"/>
        <w:gridCol w:w="1417"/>
        <w:gridCol w:w="1084"/>
      </w:tblGrid>
      <w:tr w:rsidR="006011DB" w:rsidRPr="00162B20" w14:paraId="2F04803F" w14:textId="77777777" w:rsidTr="003F0661">
        <w:trPr>
          <w:cnfStyle w:val="100000000000" w:firstRow="1" w:lastRow="0" w:firstColumn="0" w:lastColumn="0" w:oddVBand="0" w:evenVBand="0" w:oddHBand="0" w:evenHBand="0" w:firstRowFirstColumn="0" w:firstRowLastColumn="0" w:lastRowFirstColumn="0" w:lastRowLastColumn="0"/>
          <w:trHeight w:val="266"/>
          <w:tblHeader/>
        </w:trPr>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D5017" w14:textId="77777777" w:rsidR="006011DB" w:rsidRPr="00162B20" w:rsidRDefault="006011DB" w:rsidP="00A52711">
            <w:pPr>
              <w:pStyle w:val="Tabletext"/>
              <w:keepNext/>
              <w:keepLines/>
              <w:widowControl w:val="0"/>
              <w:rPr>
                <w:rStyle w:val="Small"/>
                <w:rFonts w:ascii="Arial Narrow" w:hAnsi="Arial Narrow"/>
                <w:lang w:val="en-AU"/>
              </w:rPr>
            </w:pPr>
            <w:r w:rsidRPr="00162B20">
              <w:rPr>
                <w:rStyle w:val="Small"/>
                <w:rFonts w:ascii="Arial Narrow" w:hAnsi="Arial Narrow"/>
                <w:lang w:val="en-AU"/>
              </w:rPr>
              <w:t>Adverse event</w:t>
            </w:r>
          </w:p>
        </w:tc>
        <w:tc>
          <w:tcPr>
            <w:tcW w:w="14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465335" w14:textId="624D4ACF"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Cabozantinib</w:t>
            </w:r>
            <w:r w:rsidR="006A5D8A" w:rsidRPr="00162B20">
              <w:rPr>
                <w:rStyle w:val="Small"/>
                <w:rFonts w:ascii="Arial Narrow" w:hAnsi="Arial Narrow"/>
                <w:lang w:val="en-AU"/>
              </w:rPr>
              <w:t xml:space="preserve"> (N=43)</w:t>
            </w:r>
          </w:p>
        </w:tc>
        <w:tc>
          <w:tcPr>
            <w:tcW w:w="15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F2CB5C" w14:textId="6836D5B1"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Sunitinib</w:t>
            </w:r>
            <w:r w:rsidR="006A5D8A" w:rsidRPr="00162B20">
              <w:rPr>
                <w:rStyle w:val="Small"/>
                <w:rFonts w:ascii="Arial Narrow" w:hAnsi="Arial Narrow"/>
                <w:lang w:val="en-AU"/>
              </w:rPr>
              <w:t xml:space="preserve"> (N=45)</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03741" w14:textId="77777777" w:rsidR="006011DB" w:rsidRPr="00162B20" w:rsidRDefault="006011DB" w:rsidP="00A52711">
            <w:pPr>
              <w:pStyle w:val="Tabletext"/>
              <w:keepNext/>
              <w:keepLines/>
              <w:widowControl w:val="0"/>
              <w:rPr>
                <w:rStyle w:val="Small"/>
                <w:bCs/>
                <w:szCs w:val="20"/>
                <w:lang w:val="en-AU"/>
              </w:rPr>
            </w:pPr>
            <w:r w:rsidRPr="00162B20">
              <w:rPr>
                <w:lang w:val="en-AU"/>
              </w:rPr>
              <w:t>RR (95% CI)</w:t>
            </w:r>
          </w:p>
        </w:tc>
      </w:tr>
      <w:tr w:rsidR="002E06FC" w:rsidRPr="00162B20" w14:paraId="0F0DE2B4" w14:textId="77777777" w:rsidTr="003F0661">
        <w:trPr>
          <w:cnfStyle w:val="100000000000" w:firstRow="1" w:lastRow="0" w:firstColumn="0" w:lastColumn="0" w:oddVBand="0" w:evenVBand="0" w:oddHBand="0" w:evenHBand="0" w:firstRowFirstColumn="0" w:firstRowLastColumn="0" w:lastRowFirstColumn="0" w:lastRowLastColumn="0"/>
          <w:trHeight w:val="266"/>
          <w:tblHeader/>
        </w:trPr>
        <w:tc>
          <w:tcPr>
            <w:tcW w:w="13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8BD3D" w14:textId="77777777" w:rsidR="006011DB" w:rsidRPr="00162B20" w:rsidRDefault="006011DB" w:rsidP="00A52711">
            <w:pPr>
              <w:pStyle w:val="Tabletext"/>
              <w:keepNext/>
              <w:keepLines/>
              <w:widowControl w:val="0"/>
              <w:rPr>
                <w:rStyle w:val="Small"/>
                <w:lang w:val="en-AU"/>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0AA84" w14:textId="3B405637"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Any grade</w:t>
            </w:r>
            <w:r w:rsidRPr="00162B20">
              <w:rPr>
                <w:rStyle w:val="Small"/>
                <w:rFonts w:ascii="Arial Narrow" w:hAnsi="Arial Narrow"/>
                <w:lang w:val="en-AU"/>
              </w:rPr>
              <w:br/>
              <w:t>n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A9698" w14:textId="2E3846D6"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Grade 3 or 4</w:t>
            </w:r>
            <w:r w:rsidRPr="00162B20">
              <w:rPr>
                <w:rStyle w:val="Small"/>
                <w:rFonts w:ascii="Arial Narrow" w:hAnsi="Arial Narrow"/>
                <w:lang w:val="en-AU"/>
              </w:rPr>
              <w:br/>
              <w:t>n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01CCF" w14:textId="77777777"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Any grade</w:t>
            </w:r>
          </w:p>
          <w:p w14:paraId="05EE1801" w14:textId="400244D4"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n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B99EF" w14:textId="77777777"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Grade 3 or 4</w:t>
            </w:r>
          </w:p>
          <w:p w14:paraId="2FED28D0" w14:textId="32173EA0" w:rsidR="006011DB" w:rsidRPr="00162B20" w:rsidRDefault="006011DB" w:rsidP="00A52711">
            <w:pPr>
              <w:pStyle w:val="Tabletext"/>
              <w:keepNext/>
              <w:keepLines/>
              <w:widowControl w:val="0"/>
              <w:jc w:val="center"/>
              <w:rPr>
                <w:rStyle w:val="Small"/>
                <w:rFonts w:ascii="Arial Narrow" w:hAnsi="Arial Narrow"/>
                <w:lang w:val="en-AU"/>
              </w:rPr>
            </w:pPr>
            <w:r w:rsidRPr="00162B20">
              <w:rPr>
                <w:rStyle w:val="Small"/>
                <w:rFonts w:ascii="Arial Narrow" w:hAnsi="Arial Narrow"/>
                <w:lang w:val="en-AU"/>
              </w:rPr>
              <w:t>n (%)</w:t>
            </w:r>
          </w:p>
        </w:tc>
        <w:tc>
          <w:tcPr>
            <w:tcW w:w="6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375E0" w14:textId="77777777" w:rsidR="006011DB" w:rsidRPr="00162B20" w:rsidRDefault="006011DB" w:rsidP="00A52711">
            <w:pPr>
              <w:pStyle w:val="TableText0"/>
              <w:keepLines/>
              <w:widowControl w:val="0"/>
              <w:rPr>
                <w:rStyle w:val="Small"/>
                <w:lang w:val="en-AU"/>
              </w:rPr>
            </w:pPr>
          </w:p>
        </w:tc>
      </w:tr>
      <w:tr w:rsidR="006011DB" w:rsidRPr="00162B20" w14:paraId="1AC6F107" w14:textId="77777777" w:rsidTr="003F0661">
        <w:trPr>
          <w:trHeight w:val="24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0F589A" w14:textId="14407646" w:rsidR="006011DB" w:rsidRPr="00162B20" w:rsidRDefault="006011DB" w:rsidP="00A52711">
            <w:pPr>
              <w:pStyle w:val="Tabletext"/>
              <w:keepNext/>
              <w:keepLines/>
              <w:widowControl w:val="0"/>
              <w:rPr>
                <w:b/>
                <w:bCs/>
                <w:lang w:val="en-AU"/>
              </w:rPr>
            </w:pPr>
            <w:r w:rsidRPr="00162B20">
              <w:rPr>
                <w:b/>
                <w:bCs/>
                <w:lang w:val="en-AU"/>
              </w:rPr>
              <w:t>Pal et al (2021)</w:t>
            </w:r>
            <w:r w:rsidR="004559D9" w:rsidRPr="00162B20">
              <w:rPr>
                <w:b/>
                <w:bCs/>
                <w:lang w:val="en-AU"/>
              </w:rPr>
              <w:t xml:space="preserve"> </w:t>
            </w:r>
            <w:r w:rsidR="004559D9" w:rsidRPr="00162B20">
              <w:rPr>
                <w:b/>
                <w:bCs/>
                <w:vertAlign w:val="superscript"/>
                <w:lang w:val="en-AU"/>
              </w:rPr>
              <w:t>a</w:t>
            </w:r>
          </w:p>
        </w:tc>
      </w:tr>
      <w:tr w:rsidR="002E06FC" w:rsidRPr="00162B20" w14:paraId="10C0C307" w14:textId="77777777" w:rsidTr="003F0661">
        <w:trPr>
          <w:trHeight w:val="24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706ED" w14:textId="77777777" w:rsidR="006011DB" w:rsidRPr="00162B20" w:rsidRDefault="006011DB" w:rsidP="00A52711">
            <w:pPr>
              <w:pStyle w:val="Tabletext"/>
              <w:keepNext/>
              <w:keepLines/>
              <w:widowControl w:val="0"/>
              <w:rPr>
                <w:lang w:val="en-AU"/>
              </w:rPr>
            </w:pPr>
            <w:r w:rsidRPr="00162B20">
              <w:rPr>
                <w:lang w:val="en-AU"/>
              </w:rPr>
              <w:t>Overall</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170BE" w14:textId="40CA5026" w:rsidR="006011DB" w:rsidRPr="00162B20" w:rsidRDefault="006011DB" w:rsidP="00A52711">
            <w:pPr>
              <w:pStyle w:val="Tabletext"/>
              <w:keepNext/>
              <w:keepLines/>
              <w:widowControl w:val="0"/>
              <w:jc w:val="center"/>
              <w:rPr>
                <w:lang w:val="en-AU"/>
              </w:rPr>
            </w:pPr>
            <w:r w:rsidRPr="00162B20">
              <w:rPr>
                <w:lang w:val="en-AU"/>
              </w:rPr>
              <w:t>42/</w:t>
            </w:r>
            <w:r w:rsidR="000E1356" w:rsidRPr="00162B20">
              <w:rPr>
                <w:lang w:val="en-AU"/>
              </w:rPr>
              <w:t xml:space="preserve"> (</w:t>
            </w:r>
            <w:r w:rsidRPr="00162B20">
              <w:rPr>
                <w:lang w:val="en-AU"/>
              </w:rPr>
              <w:t>98)</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ED6CF" w14:textId="2C719B58" w:rsidR="006011DB" w:rsidRPr="00162B20" w:rsidRDefault="006011DB" w:rsidP="00A52711">
            <w:pPr>
              <w:pStyle w:val="Tabletext"/>
              <w:keepNext/>
              <w:keepLines/>
              <w:widowControl w:val="0"/>
              <w:jc w:val="center"/>
              <w:rPr>
                <w:lang w:val="en-AU"/>
              </w:rPr>
            </w:pPr>
            <w:r w:rsidRPr="00162B20">
              <w:rPr>
                <w:lang w:val="en-AU"/>
              </w:rPr>
              <w:t>32</w:t>
            </w:r>
            <w:r w:rsidR="000E1356" w:rsidRPr="00162B20">
              <w:rPr>
                <w:lang w:val="en-AU"/>
              </w:rPr>
              <w:t xml:space="preserve"> (</w:t>
            </w:r>
            <w:r w:rsidRPr="00162B20">
              <w:rPr>
                <w:lang w:val="en-AU"/>
              </w:rPr>
              <w:t>74)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375FF" w14:textId="1D615B22" w:rsidR="006011DB" w:rsidRPr="00162B20" w:rsidRDefault="006011DB" w:rsidP="00A52711">
            <w:pPr>
              <w:pStyle w:val="Tabletext"/>
              <w:keepNext/>
              <w:keepLines/>
              <w:widowControl w:val="0"/>
              <w:jc w:val="center"/>
              <w:rPr>
                <w:lang w:val="en-AU"/>
              </w:rPr>
            </w:pPr>
            <w:r w:rsidRPr="00162B20">
              <w:rPr>
                <w:lang w:val="en-AU"/>
              </w:rPr>
              <w:t>42</w:t>
            </w:r>
            <w:r w:rsidR="000E1356" w:rsidRPr="00162B20">
              <w:rPr>
                <w:lang w:val="en-AU"/>
              </w:rPr>
              <w:t xml:space="preserve"> (</w:t>
            </w:r>
            <w:r w:rsidRPr="00162B20">
              <w:rPr>
                <w:lang w:val="en-AU"/>
              </w:rPr>
              <w:t>93)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2BDB0" w14:textId="6DCBED02" w:rsidR="006011DB" w:rsidRPr="00162B20" w:rsidRDefault="006011DB" w:rsidP="00A52711">
            <w:pPr>
              <w:pStyle w:val="Tabletext"/>
              <w:keepNext/>
              <w:keepLines/>
              <w:widowControl w:val="0"/>
              <w:jc w:val="center"/>
              <w:rPr>
                <w:lang w:val="en-AU"/>
              </w:rPr>
            </w:pPr>
            <w:r w:rsidRPr="00162B20">
              <w:rPr>
                <w:lang w:val="en-AU"/>
              </w:rPr>
              <w:t>31</w:t>
            </w:r>
            <w:r w:rsidR="002D2AAE" w:rsidRPr="00162B20">
              <w:rPr>
                <w:lang w:val="en-AU"/>
              </w:rPr>
              <w:t xml:space="preserve"> </w:t>
            </w:r>
            <w:r w:rsidR="000E1356" w:rsidRPr="00162B20">
              <w:rPr>
                <w:lang w:val="en-AU"/>
              </w:rPr>
              <w:t>(</w:t>
            </w:r>
            <w:r w:rsidRPr="00162B20">
              <w:rPr>
                <w:lang w:val="en-AU"/>
              </w:rPr>
              <w:t>69)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3BAC4"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24A843D1"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6A481" w14:textId="77777777" w:rsidR="006011DB" w:rsidRPr="00162B20" w:rsidRDefault="006011DB" w:rsidP="00A52711">
            <w:pPr>
              <w:pStyle w:val="Tabletext"/>
              <w:keepNext/>
              <w:keepLines/>
              <w:widowControl w:val="0"/>
              <w:rPr>
                <w:lang w:val="en-AU"/>
              </w:rPr>
            </w:pPr>
            <w:r w:rsidRPr="00162B20">
              <w:rPr>
                <w:lang w:val="en-AU"/>
              </w:rPr>
              <w:t>Fatigue</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1D535" w14:textId="01F2CE3F" w:rsidR="006011DB" w:rsidRPr="00162B20" w:rsidRDefault="006011DB" w:rsidP="00A52711">
            <w:pPr>
              <w:pStyle w:val="Tabletext"/>
              <w:keepNext/>
              <w:keepLines/>
              <w:widowControl w:val="0"/>
              <w:jc w:val="center"/>
              <w:rPr>
                <w:lang w:val="en-AU"/>
              </w:rPr>
            </w:pPr>
            <w:r w:rsidRPr="00162B20">
              <w:rPr>
                <w:lang w:val="en-AU"/>
              </w:rPr>
              <w:t>30</w:t>
            </w:r>
            <w:r w:rsidR="000E1356" w:rsidRPr="00162B20">
              <w:rPr>
                <w:lang w:val="en-AU"/>
              </w:rPr>
              <w:t xml:space="preserve"> (</w:t>
            </w:r>
            <w:r w:rsidRPr="00162B20">
              <w:rPr>
                <w:lang w:val="en-AU"/>
              </w:rPr>
              <w:t>70)</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D451E" w14:textId="3900AA65"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17B46" w14:textId="2EF50D83" w:rsidR="006011DB" w:rsidRPr="00162B20" w:rsidRDefault="006011DB" w:rsidP="00A52711">
            <w:pPr>
              <w:pStyle w:val="Tabletext"/>
              <w:keepNext/>
              <w:keepLines/>
              <w:widowControl w:val="0"/>
              <w:jc w:val="center"/>
              <w:rPr>
                <w:lang w:val="en-AU"/>
              </w:rPr>
            </w:pPr>
            <w:r w:rsidRPr="00162B20">
              <w:rPr>
                <w:lang w:val="en-AU"/>
              </w:rPr>
              <w:t>26</w:t>
            </w:r>
            <w:r w:rsidR="000E1356" w:rsidRPr="00162B20">
              <w:rPr>
                <w:lang w:val="en-AU"/>
              </w:rPr>
              <w:t xml:space="preserve"> (</w:t>
            </w:r>
            <w:r w:rsidRPr="00162B20">
              <w:rPr>
                <w:lang w:val="en-AU"/>
              </w:rPr>
              <w:t>58)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2EB11" w14:textId="43F2B438"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0E5AF"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1F5D18B8"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E6936" w14:textId="77777777" w:rsidR="006011DB" w:rsidRPr="00162B20" w:rsidRDefault="006011DB" w:rsidP="00A52711">
            <w:pPr>
              <w:pStyle w:val="Tabletext"/>
              <w:keepNext/>
              <w:keepLines/>
              <w:widowControl w:val="0"/>
              <w:rPr>
                <w:lang w:val="en-AU"/>
              </w:rPr>
            </w:pPr>
            <w:r w:rsidRPr="00162B20">
              <w:rPr>
                <w:lang w:val="en-AU"/>
              </w:rPr>
              <w:t>Diarrhoea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736FB" w14:textId="6E3BEDB1" w:rsidR="006011DB" w:rsidRPr="00162B20" w:rsidRDefault="006011DB" w:rsidP="00A52711">
            <w:pPr>
              <w:pStyle w:val="Tabletext"/>
              <w:keepNext/>
              <w:keepLines/>
              <w:widowControl w:val="0"/>
              <w:jc w:val="center"/>
              <w:rPr>
                <w:lang w:val="en-AU"/>
              </w:rPr>
            </w:pPr>
            <w:r w:rsidRPr="00162B20">
              <w:rPr>
                <w:lang w:val="en-AU"/>
              </w:rPr>
              <w:t>24</w:t>
            </w:r>
            <w:r w:rsidR="000E1356" w:rsidRPr="00162B20">
              <w:rPr>
                <w:lang w:val="en-AU"/>
              </w:rPr>
              <w:t xml:space="preserve"> (</w:t>
            </w:r>
            <w:r w:rsidRPr="00162B20">
              <w:rPr>
                <w:lang w:val="en-AU"/>
              </w:rPr>
              <w:t>56)</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4E00C" w14:textId="71580CC9" w:rsidR="006011DB" w:rsidRPr="00162B20" w:rsidRDefault="006011DB" w:rsidP="00A52711">
            <w:pPr>
              <w:pStyle w:val="Tabletext"/>
              <w:keepNext/>
              <w:keepLines/>
              <w:widowControl w:val="0"/>
              <w:jc w:val="center"/>
              <w:rPr>
                <w:lang w:val="en-AU"/>
              </w:rPr>
            </w:pPr>
            <w:r w:rsidRPr="00162B20">
              <w:rPr>
                <w:lang w:val="en-AU"/>
              </w:rPr>
              <w:t>2</w:t>
            </w:r>
            <w:r w:rsidR="000E1356" w:rsidRPr="00162B20">
              <w:rPr>
                <w:lang w:val="en-AU"/>
              </w:rPr>
              <w:t xml:space="preserve"> (</w:t>
            </w:r>
            <w:r w:rsidRPr="00162B20">
              <w:rPr>
                <w:lang w:val="en-AU"/>
              </w:rPr>
              <w:t>5)</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41449" w14:textId="4FD35402" w:rsidR="006011DB" w:rsidRPr="00162B20" w:rsidRDefault="006011DB" w:rsidP="00A52711">
            <w:pPr>
              <w:pStyle w:val="Tabletext"/>
              <w:keepNext/>
              <w:keepLines/>
              <w:widowControl w:val="0"/>
              <w:jc w:val="center"/>
              <w:rPr>
                <w:lang w:val="en-AU"/>
              </w:rPr>
            </w:pPr>
            <w:r w:rsidRPr="00162B20">
              <w:rPr>
                <w:lang w:val="en-AU"/>
              </w:rPr>
              <w:t>22</w:t>
            </w:r>
            <w:r w:rsidR="000E1356" w:rsidRPr="00162B20">
              <w:rPr>
                <w:lang w:val="en-AU"/>
              </w:rPr>
              <w:t xml:space="preserve"> (</w:t>
            </w:r>
            <w:r w:rsidRPr="00162B20">
              <w:rPr>
                <w:lang w:val="en-AU"/>
              </w:rPr>
              <w:t>49)</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B0BE4" w14:textId="4058F007"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3D55D"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09199BEA"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A0CB4" w14:textId="77777777" w:rsidR="006011DB" w:rsidRPr="00162B20" w:rsidRDefault="006011DB" w:rsidP="00A52711">
            <w:pPr>
              <w:pStyle w:val="Tabletext"/>
              <w:keepNext/>
              <w:keepLines/>
              <w:widowControl w:val="0"/>
              <w:rPr>
                <w:lang w:val="en-AU"/>
              </w:rPr>
            </w:pPr>
            <w:r w:rsidRPr="00162B20">
              <w:rPr>
                <w:lang w:val="en-AU"/>
              </w:rPr>
              <w:t>Nausea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648A2" w14:textId="4089A5AB" w:rsidR="006011DB" w:rsidRPr="00162B20" w:rsidRDefault="006011DB" w:rsidP="00A52711">
            <w:pPr>
              <w:pStyle w:val="Tabletext"/>
              <w:keepNext/>
              <w:keepLines/>
              <w:widowControl w:val="0"/>
              <w:jc w:val="center"/>
              <w:rPr>
                <w:lang w:val="en-AU"/>
              </w:rPr>
            </w:pPr>
            <w:r w:rsidRPr="00162B20">
              <w:rPr>
                <w:lang w:val="en-AU"/>
              </w:rPr>
              <w:t>15</w:t>
            </w:r>
            <w:r w:rsidR="000E1356" w:rsidRPr="00162B20">
              <w:rPr>
                <w:lang w:val="en-AU"/>
              </w:rPr>
              <w:t xml:space="preserve"> (</w:t>
            </w:r>
            <w:r w:rsidRPr="00162B20">
              <w:rPr>
                <w:lang w:val="en-AU"/>
              </w:rPr>
              <w:t>35)</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D3044"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16A22" w14:textId="126743AA" w:rsidR="006011DB" w:rsidRPr="00162B20" w:rsidRDefault="006011DB" w:rsidP="00A52711">
            <w:pPr>
              <w:pStyle w:val="Tabletext"/>
              <w:keepNext/>
              <w:keepLines/>
              <w:widowControl w:val="0"/>
              <w:jc w:val="center"/>
              <w:rPr>
                <w:lang w:val="en-AU"/>
              </w:rPr>
            </w:pPr>
            <w:r w:rsidRPr="00162B20">
              <w:rPr>
                <w:lang w:val="en-AU"/>
              </w:rPr>
              <w:t>19</w:t>
            </w:r>
            <w:r w:rsidR="000E1356" w:rsidRPr="00162B20">
              <w:rPr>
                <w:lang w:val="en-AU"/>
              </w:rPr>
              <w:t xml:space="preserve"> (</w:t>
            </w:r>
            <w:r w:rsidRPr="00162B20">
              <w:rPr>
                <w:lang w:val="en-AU"/>
              </w:rPr>
              <w:t>42)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1747D" w14:textId="51D324F2" w:rsidR="006011DB" w:rsidRPr="00162B20" w:rsidRDefault="006011DB" w:rsidP="00A52711">
            <w:pPr>
              <w:pStyle w:val="Tabletext"/>
              <w:keepNext/>
              <w:keepLines/>
              <w:widowControl w:val="0"/>
              <w:jc w:val="center"/>
              <w:rPr>
                <w:lang w:val="en-AU"/>
              </w:rPr>
            </w:pPr>
            <w:r w:rsidRPr="00162B20">
              <w:rPr>
                <w:lang w:val="en-AU"/>
              </w:rPr>
              <w:t>4</w:t>
            </w:r>
            <w:r w:rsidR="000E1356" w:rsidRPr="00162B20">
              <w:rPr>
                <w:lang w:val="en-AU"/>
              </w:rPr>
              <w:t xml:space="preserve"> (</w:t>
            </w:r>
            <w:r w:rsidRPr="00162B20">
              <w:rPr>
                <w:lang w:val="en-AU"/>
              </w:rPr>
              <w:t>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ECCF5"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458B5A81"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F095F" w14:textId="77777777" w:rsidR="006011DB" w:rsidRPr="00162B20" w:rsidRDefault="006011DB" w:rsidP="00A52711">
            <w:pPr>
              <w:pStyle w:val="Tabletext"/>
              <w:keepNext/>
              <w:keepLines/>
              <w:widowControl w:val="0"/>
              <w:rPr>
                <w:lang w:val="en-AU"/>
              </w:rPr>
            </w:pPr>
            <w:r w:rsidRPr="00162B20">
              <w:rPr>
                <w:lang w:val="en-AU"/>
              </w:rPr>
              <w:t>Hypertension</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73F2E" w14:textId="4653A0A0" w:rsidR="006011DB" w:rsidRPr="00162B20" w:rsidRDefault="006011DB" w:rsidP="00A52711">
            <w:pPr>
              <w:pStyle w:val="Tabletext"/>
              <w:keepNext/>
              <w:keepLines/>
              <w:widowControl w:val="0"/>
              <w:jc w:val="center"/>
              <w:rPr>
                <w:lang w:val="en-AU"/>
              </w:rPr>
            </w:pPr>
            <w:r w:rsidRPr="00162B20">
              <w:rPr>
                <w:lang w:val="en-AU"/>
              </w:rPr>
              <w:t>28</w:t>
            </w:r>
            <w:r w:rsidR="000E1356" w:rsidRPr="00162B20">
              <w:rPr>
                <w:lang w:val="en-AU"/>
              </w:rPr>
              <w:t xml:space="preserve"> (</w:t>
            </w:r>
            <w:r w:rsidRPr="00162B20">
              <w:rPr>
                <w:lang w:val="en-AU"/>
              </w:rPr>
              <w:t>65)</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F8DFE" w14:textId="437F1E79" w:rsidR="006011DB" w:rsidRPr="00162B20" w:rsidRDefault="006011DB" w:rsidP="00A52711">
            <w:pPr>
              <w:pStyle w:val="Tabletext"/>
              <w:keepNext/>
              <w:keepLines/>
              <w:widowControl w:val="0"/>
              <w:jc w:val="center"/>
              <w:rPr>
                <w:lang w:val="en-AU"/>
              </w:rPr>
            </w:pPr>
            <w:r w:rsidRPr="00162B20">
              <w:rPr>
                <w:lang w:val="en-AU"/>
              </w:rPr>
              <w:t>14</w:t>
            </w:r>
            <w:r w:rsidR="000E1356" w:rsidRPr="00162B20">
              <w:rPr>
                <w:lang w:val="en-AU"/>
              </w:rPr>
              <w:t xml:space="preserve"> (</w:t>
            </w:r>
            <w:r w:rsidRPr="00162B20">
              <w:rPr>
                <w:lang w:val="en-AU"/>
              </w:rPr>
              <w:t>33)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731A6" w14:textId="46F3F42E" w:rsidR="006011DB" w:rsidRPr="00162B20" w:rsidRDefault="006011DB" w:rsidP="00A52711">
            <w:pPr>
              <w:pStyle w:val="Tabletext"/>
              <w:keepNext/>
              <w:keepLines/>
              <w:widowControl w:val="0"/>
              <w:jc w:val="center"/>
              <w:rPr>
                <w:lang w:val="en-AU"/>
              </w:rPr>
            </w:pPr>
            <w:r w:rsidRPr="00162B20">
              <w:rPr>
                <w:lang w:val="en-AU"/>
              </w:rPr>
              <w:t>16</w:t>
            </w:r>
            <w:r w:rsidR="000E1356" w:rsidRPr="00162B20">
              <w:rPr>
                <w:lang w:val="en-AU"/>
              </w:rPr>
              <w:t xml:space="preserve"> (</w:t>
            </w:r>
            <w:r w:rsidRPr="00162B20">
              <w:rPr>
                <w:lang w:val="en-AU"/>
              </w:rPr>
              <w:t>36)</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8881F" w14:textId="3CC6062C" w:rsidR="006011DB" w:rsidRPr="00162B20" w:rsidRDefault="006011DB" w:rsidP="00A52711">
            <w:pPr>
              <w:pStyle w:val="Tabletext"/>
              <w:keepNext/>
              <w:keepLines/>
              <w:widowControl w:val="0"/>
              <w:jc w:val="center"/>
              <w:rPr>
                <w:lang w:val="en-AU"/>
              </w:rPr>
            </w:pPr>
            <w:r w:rsidRPr="00162B20">
              <w:rPr>
                <w:lang w:val="en-AU"/>
              </w:rPr>
              <w:t>8</w:t>
            </w:r>
            <w:r w:rsidR="000E1356" w:rsidRPr="00162B20">
              <w:rPr>
                <w:lang w:val="en-AU"/>
              </w:rPr>
              <w:t xml:space="preserve"> (</w:t>
            </w:r>
            <w:r w:rsidRPr="00162B20">
              <w:rPr>
                <w:lang w:val="en-AU"/>
              </w:rPr>
              <w:t>18)</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AC66F"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1B56ABED"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BD9F6" w14:textId="77777777" w:rsidR="006011DB" w:rsidRPr="00162B20" w:rsidRDefault="006011DB" w:rsidP="00A52711">
            <w:pPr>
              <w:pStyle w:val="Tabletext"/>
              <w:keepNext/>
              <w:keepLines/>
              <w:widowControl w:val="0"/>
              <w:rPr>
                <w:lang w:val="en-AU"/>
              </w:rPr>
            </w:pPr>
            <w:r w:rsidRPr="00162B20">
              <w:rPr>
                <w:lang w:val="en-AU"/>
              </w:rPr>
              <w:t>Anorexia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576B3" w14:textId="347B9AE6" w:rsidR="006011DB" w:rsidRPr="00162B20" w:rsidRDefault="006011DB" w:rsidP="00A52711">
            <w:pPr>
              <w:pStyle w:val="Tabletext"/>
              <w:keepNext/>
              <w:keepLines/>
              <w:widowControl w:val="0"/>
              <w:jc w:val="center"/>
              <w:rPr>
                <w:lang w:val="en-AU"/>
              </w:rPr>
            </w:pPr>
            <w:r w:rsidRPr="00162B20">
              <w:rPr>
                <w:lang w:val="en-AU"/>
              </w:rPr>
              <w:t>19</w:t>
            </w:r>
            <w:r w:rsidR="000E1356" w:rsidRPr="00162B20">
              <w:rPr>
                <w:lang w:val="en-AU"/>
              </w:rPr>
              <w:t xml:space="preserve"> (</w:t>
            </w:r>
            <w:r w:rsidRPr="00162B20">
              <w:rPr>
                <w:lang w:val="en-AU"/>
              </w:rPr>
              <w:t>44)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7A40A" w14:textId="5C4154AC"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0CDD" w14:textId="0E57E5FA" w:rsidR="006011DB" w:rsidRPr="00162B20" w:rsidRDefault="006011DB" w:rsidP="00A52711">
            <w:pPr>
              <w:pStyle w:val="Tabletext"/>
              <w:keepNext/>
              <w:keepLines/>
              <w:widowControl w:val="0"/>
              <w:jc w:val="center"/>
              <w:rPr>
                <w:lang w:val="en-AU"/>
              </w:rPr>
            </w:pPr>
            <w:r w:rsidRPr="00162B20">
              <w:rPr>
                <w:lang w:val="en-AU"/>
              </w:rPr>
              <w:t>14</w:t>
            </w:r>
            <w:r w:rsidR="000E1356" w:rsidRPr="00162B20">
              <w:rPr>
                <w:lang w:val="en-AU"/>
              </w:rPr>
              <w:t xml:space="preserve"> (</w:t>
            </w:r>
            <w:r w:rsidRPr="00162B20">
              <w:rPr>
                <w:lang w:val="en-AU"/>
              </w:rPr>
              <w:t>31)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37671"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3A610"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5502F9C7"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E5D17" w14:textId="77777777" w:rsidR="006011DB" w:rsidRPr="00162B20" w:rsidRDefault="006011DB" w:rsidP="00A52711">
            <w:pPr>
              <w:pStyle w:val="Tabletext"/>
              <w:keepNext/>
              <w:keepLines/>
              <w:widowControl w:val="0"/>
              <w:rPr>
                <w:lang w:val="en-AU"/>
              </w:rPr>
            </w:pPr>
            <w:r w:rsidRPr="00162B20">
              <w:rPr>
                <w:lang w:val="en-AU"/>
              </w:rPr>
              <w:t>Mucositis oral</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62BD3" w14:textId="7205B43E" w:rsidR="006011DB" w:rsidRPr="00162B20" w:rsidRDefault="006011DB" w:rsidP="00A52711">
            <w:pPr>
              <w:pStyle w:val="Tabletext"/>
              <w:keepNext/>
              <w:keepLines/>
              <w:widowControl w:val="0"/>
              <w:jc w:val="center"/>
              <w:rPr>
                <w:lang w:val="en-AU"/>
              </w:rPr>
            </w:pPr>
            <w:r w:rsidRPr="00162B20">
              <w:rPr>
                <w:lang w:val="en-AU"/>
              </w:rPr>
              <w:t>16</w:t>
            </w:r>
            <w:r w:rsidR="000E1356" w:rsidRPr="00162B20">
              <w:rPr>
                <w:lang w:val="en-AU"/>
              </w:rPr>
              <w:t xml:space="preserve"> (</w:t>
            </w:r>
            <w:r w:rsidRPr="00162B20">
              <w:rPr>
                <w:lang w:val="en-AU"/>
              </w:rPr>
              <w:t>37)</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C09C8" w14:textId="47B33D4D"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0061C" w14:textId="36F91CA7" w:rsidR="006011DB" w:rsidRPr="00162B20" w:rsidRDefault="006011DB" w:rsidP="00A52711">
            <w:pPr>
              <w:pStyle w:val="Tabletext"/>
              <w:keepNext/>
              <w:keepLines/>
              <w:widowControl w:val="0"/>
              <w:jc w:val="center"/>
              <w:rPr>
                <w:lang w:val="en-AU"/>
              </w:rPr>
            </w:pPr>
            <w:r w:rsidRPr="00162B20">
              <w:rPr>
                <w:lang w:val="en-AU"/>
              </w:rPr>
              <w:t>13</w:t>
            </w:r>
            <w:r w:rsidR="000E1356" w:rsidRPr="00162B20">
              <w:rPr>
                <w:lang w:val="en-AU"/>
              </w:rPr>
              <w:t xml:space="preserve"> (</w:t>
            </w:r>
            <w:r w:rsidRPr="00162B20">
              <w:rPr>
                <w:lang w:val="en-AU"/>
              </w:rPr>
              <w:t>29)</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752D0"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0CC1C"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60439D18"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53C8E" w14:textId="77777777" w:rsidR="006011DB" w:rsidRPr="00162B20" w:rsidRDefault="006011DB" w:rsidP="00A52711">
            <w:pPr>
              <w:pStyle w:val="Tabletext"/>
              <w:keepNext/>
              <w:keepLines/>
              <w:widowControl w:val="0"/>
              <w:rPr>
                <w:lang w:val="en-AU"/>
              </w:rPr>
            </w:pPr>
            <w:r w:rsidRPr="00162B20">
              <w:rPr>
                <w:lang w:val="en-AU"/>
              </w:rPr>
              <w:t>Hand-foot syndrome</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0F7B2" w14:textId="0FD2B87A" w:rsidR="006011DB" w:rsidRPr="00162B20" w:rsidRDefault="006011DB" w:rsidP="00A52711">
            <w:pPr>
              <w:pStyle w:val="Tabletext"/>
              <w:keepNext/>
              <w:keepLines/>
              <w:widowControl w:val="0"/>
              <w:jc w:val="center"/>
              <w:rPr>
                <w:lang w:val="en-AU"/>
              </w:rPr>
            </w:pPr>
            <w:r w:rsidRPr="00162B20">
              <w:rPr>
                <w:lang w:val="en-AU"/>
              </w:rPr>
              <w:t>21</w:t>
            </w:r>
            <w:r w:rsidR="000E1356" w:rsidRPr="00162B20">
              <w:rPr>
                <w:lang w:val="en-AU"/>
              </w:rPr>
              <w:t xml:space="preserve"> (</w:t>
            </w:r>
            <w:r w:rsidRPr="00162B20">
              <w:rPr>
                <w:lang w:val="en-AU"/>
              </w:rPr>
              <w:t>49)</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B0E8E" w14:textId="56F5D3E4" w:rsidR="006011DB" w:rsidRPr="00162B20" w:rsidRDefault="006011DB" w:rsidP="00A52711">
            <w:pPr>
              <w:pStyle w:val="Tabletext"/>
              <w:keepNext/>
              <w:keepLines/>
              <w:widowControl w:val="0"/>
              <w:jc w:val="center"/>
              <w:rPr>
                <w:lang w:val="en-AU"/>
              </w:rPr>
            </w:pPr>
            <w:r w:rsidRPr="00162B20">
              <w:rPr>
                <w:lang w:val="en-AU"/>
              </w:rPr>
              <w:t>9</w:t>
            </w:r>
            <w:r w:rsidR="000E1356" w:rsidRPr="00162B20">
              <w:rPr>
                <w:lang w:val="en-AU"/>
              </w:rPr>
              <w:t xml:space="preserve"> (</w:t>
            </w:r>
            <w:r w:rsidRPr="00162B20">
              <w:rPr>
                <w:lang w:val="en-AU"/>
              </w:rPr>
              <w:t>21)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1B7B" w14:textId="2677327A" w:rsidR="006011DB" w:rsidRPr="00162B20" w:rsidRDefault="006011DB" w:rsidP="00A52711">
            <w:pPr>
              <w:pStyle w:val="Tabletext"/>
              <w:keepNext/>
              <w:keepLines/>
              <w:widowControl w:val="0"/>
              <w:jc w:val="center"/>
              <w:rPr>
                <w:lang w:val="en-AU"/>
              </w:rPr>
            </w:pPr>
            <w:r w:rsidRPr="00162B20">
              <w:rPr>
                <w:lang w:val="en-AU"/>
              </w:rPr>
              <w:t>11</w:t>
            </w:r>
            <w:r w:rsidR="000E1356" w:rsidRPr="00162B20">
              <w:rPr>
                <w:lang w:val="en-AU"/>
              </w:rPr>
              <w:t xml:space="preserve"> (</w:t>
            </w:r>
            <w:r w:rsidRPr="00162B20">
              <w:rPr>
                <w:lang w:val="en-AU"/>
              </w:rPr>
              <w:t>24)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CF282"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0413E"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5207CE40"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E9D0E" w14:textId="77777777" w:rsidR="006011DB" w:rsidRPr="00162B20" w:rsidRDefault="006011DB" w:rsidP="00A52711">
            <w:pPr>
              <w:pStyle w:val="Tabletext"/>
              <w:keepNext/>
              <w:keepLines/>
              <w:widowControl w:val="0"/>
              <w:rPr>
                <w:lang w:val="en-AU"/>
              </w:rPr>
            </w:pPr>
            <w:r w:rsidRPr="00162B20">
              <w:rPr>
                <w:lang w:val="en-AU"/>
              </w:rPr>
              <w:t>Vomiting</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BD4D1" w14:textId="12651B4F"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00848"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A6809" w14:textId="51CB1087" w:rsidR="006011DB" w:rsidRPr="00162B20" w:rsidRDefault="006011DB" w:rsidP="00A52711">
            <w:pPr>
              <w:pStyle w:val="Tabletext"/>
              <w:keepNext/>
              <w:keepLines/>
              <w:widowControl w:val="0"/>
              <w:jc w:val="center"/>
              <w:rPr>
                <w:lang w:val="en-AU"/>
              </w:rPr>
            </w:pPr>
            <w:r w:rsidRPr="00162B20">
              <w:rPr>
                <w:lang w:val="en-AU"/>
              </w:rPr>
              <w:t>11</w:t>
            </w:r>
            <w:r w:rsidR="000E1356" w:rsidRPr="00162B20">
              <w:rPr>
                <w:lang w:val="en-AU"/>
              </w:rPr>
              <w:t xml:space="preserve"> (</w:t>
            </w:r>
            <w:r w:rsidRPr="00162B20">
              <w:rPr>
                <w:lang w:val="en-AU"/>
              </w:rPr>
              <w:t>24)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5C562" w14:textId="75923F6E"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22F91"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6DEAE07A"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061C4" w14:textId="77777777" w:rsidR="006011DB" w:rsidRPr="00162B20" w:rsidRDefault="006011DB" w:rsidP="00A52711">
            <w:pPr>
              <w:pStyle w:val="Tabletext"/>
              <w:keepNext/>
              <w:keepLines/>
              <w:widowControl w:val="0"/>
              <w:rPr>
                <w:lang w:val="en-AU"/>
              </w:rPr>
            </w:pPr>
            <w:r w:rsidRPr="00162B20">
              <w:rPr>
                <w:lang w:val="en-AU"/>
              </w:rPr>
              <w:t>Dehydration</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360FD" w14:textId="1D682CF1"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C9A02"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D1F3D" w14:textId="0D94FD0A" w:rsidR="006011DB" w:rsidRPr="00162B20" w:rsidRDefault="006011DB" w:rsidP="00A52711">
            <w:pPr>
              <w:pStyle w:val="Tabletext"/>
              <w:keepNext/>
              <w:keepLines/>
              <w:widowControl w:val="0"/>
              <w:jc w:val="center"/>
              <w:rPr>
                <w:lang w:val="en-AU"/>
              </w:rPr>
            </w:pPr>
            <w:r w:rsidRPr="00162B20">
              <w:rPr>
                <w:lang w:val="en-AU"/>
              </w:rPr>
              <w:t>5</w:t>
            </w:r>
            <w:r w:rsidR="000E1356" w:rsidRPr="00162B20">
              <w:rPr>
                <w:lang w:val="en-AU"/>
              </w:rPr>
              <w:t xml:space="preserve"> (</w:t>
            </w:r>
            <w:r w:rsidRPr="00162B20">
              <w:rPr>
                <w:lang w:val="en-AU"/>
              </w:rPr>
              <w:t>11)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418D7" w14:textId="75899B9C"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9B3FE"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011E9344"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293EA" w14:textId="77777777" w:rsidR="006011DB" w:rsidRPr="00162B20" w:rsidRDefault="006011DB" w:rsidP="00A52711">
            <w:pPr>
              <w:pStyle w:val="Tabletext"/>
              <w:keepNext/>
              <w:keepLines/>
              <w:widowControl w:val="0"/>
              <w:rPr>
                <w:lang w:val="en-AU"/>
              </w:rPr>
            </w:pPr>
            <w:r w:rsidRPr="00162B20">
              <w:rPr>
                <w:lang w:val="en-AU"/>
              </w:rPr>
              <w:t>Abdominal pain</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171EA" w14:textId="61C325D8"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C0C27" w14:textId="22619639"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B0E9C" w14:textId="11BA5671"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C335E" w14:textId="02E47F66"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B5592"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63665326"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44749" w14:textId="77777777" w:rsidR="006011DB" w:rsidRPr="00162B20" w:rsidRDefault="006011DB" w:rsidP="00A52711">
            <w:pPr>
              <w:pStyle w:val="Tabletext"/>
              <w:keepNext/>
              <w:keepLines/>
              <w:widowControl w:val="0"/>
              <w:rPr>
                <w:lang w:val="en-AU"/>
              </w:rPr>
            </w:pPr>
            <w:r w:rsidRPr="00162B20">
              <w:rPr>
                <w:lang w:val="en-AU"/>
              </w:rPr>
              <w:t>Dyspnoea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F7C1B" w14:textId="536E5B20" w:rsidR="006011DB" w:rsidRPr="00162B20" w:rsidRDefault="006011DB" w:rsidP="00A52711">
            <w:pPr>
              <w:pStyle w:val="Tabletext"/>
              <w:keepNext/>
              <w:keepLines/>
              <w:widowControl w:val="0"/>
              <w:jc w:val="center"/>
              <w:rPr>
                <w:lang w:val="en-AU"/>
              </w:rPr>
            </w:pPr>
            <w:r w:rsidRPr="00162B20">
              <w:rPr>
                <w:lang w:val="en-AU"/>
              </w:rPr>
              <w:t>5</w:t>
            </w:r>
            <w:r w:rsidR="000E1356" w:rsidRPr="00162B20">
              <w:rPr>
                <w:lang w:val="en-AU"/>
              </w:rPr>
              <w:t xml:space="preserve"> (</w:t>
            </w:r>
            <w:r w:rsidRPr="00162B20">
              <w:rPr>
                <w:lang w:val="en-AU"/>
              </w:rPr>
              <w:t>12)</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9132D"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19537" w14:textId="6D9259A5"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6401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5756C"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4E933D54" w14:textId="77777777" w:rsidTr="003F0661">
        <w:trPr>
          <w:trHeight w:val="191"/>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0CB5E" w14:textId="77777777" w:rsidR="006011DB" w:rsidRPr="00162B20" w:rsidRDefault="006011DB" w:rsidP="00A52711">
            <w:pPr>
              <w:pStyle w:val="Tabletext"/>
              <w:keepNext/>
              <w:keepLines/>
              <w:widowControl w:val="0"/>
              <w:rPr>
                <w:lang w:val="en-AU"/>
              </w:rPr>
            </w:pPr>
            <w:r w:rsidRPr="00162B20">
              <w:rPr>
                <w:lang w:val="en-AU"/>
              </w:rPr>
              <w:t>Gastrointestinal disorders not otherwise specified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6CAF0" w14:textId="079902E3" w:rsidR="006011DB" w:rsidRPr="00162B20" w:rsidRDefault="006011DB" w:rsidP="00A52711">
            <w:pPr>
              <w:pStyle w:val="Tabletext"/>
              <w:keepNext/>
              <w:keepLines/>
              <w:widowControl w:val="0"/>
              <w:jc w:val="center"/>
              <w:rPr>
                <w:lang w:val="en-AU"/>
              </w:rPr>
            </w:pPr>
            <w:r w:rsidRPr="00162B20">
              <w:rPr>
                <w:lang w:val="en-AU"/>
              </w:rPr>
              <w:t>7</w:t>
            </w:r>
            <w:r w:rsidR="000E1356" w:rsidRPr="00162B20">
              <w:rPr>
                <w:lang w:val="en-AU"/>
              </w:rPr>
              <w:t xml:space="preserve"> (</w:t>
            </w:r>
            <w:r w:rsidRPr="00162B20">
              <w:rPr>
                <w:lang w:val="en-AU"/>
              </w:rPr>
              <w:t>16)</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42158" w14:textId="578B09BA"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003BD" w14:textId="20C78A4E"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C2A2D"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AC2E3"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4CA09D8E"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4A892" w14:textId="77777777" w:rsidR="006011DB" w:rsidRPr="00162B20" w:rsidRDefault="006011DB" w:rsidP="00A52711">
            <w:pPr>
              <w:pStyle w:val="Tabletext"/>
              <w:keepNext/>
              <w:keepLines/>
              <w:widowControl w:val="0"/>
              <w:rPr>
                <w:lang w:val="en-AU"/>
              </w:rPr>
            </w:pPr>
            <w:r w:rsidRPr="00162B20">
              <w:rPr>
                <w:lang w:val="en-AU"/>
              </w:rPr>
              <w:t>Pain in extremity</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38F7B" w14:textId="182FCCBE"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41C21" w14:textId="11B47D2F"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7F70B" w14:textId="48B22735"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D2315"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7BE6A"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271E866E"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94181" w14:textId="77777777" w:rsidR="006011DB" w:rsidRPr="00162B20" w:rsidRDefault="006011DB" w:rsidP="00A52711">
            <w:pPr>
              <w:pStyle w:val="Tabletext"/>
              <w:keepNext/>
              <w:keepLines/>
              <w:widowControl w:val="0"/>
              <w:rPr>
                <w:lang w:val="en-AU"/>
              </w:rPr>
            </w:pPr>
            <w:r w:rsidRPr="00162B20">
              <w:rPr>
                <w:lang w:val="en-AU"/>
              </w:rPr>
              <w:t>Rash maculopapular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2C16F" w14:textId="39D39AC1" w:rsidR="006011DB" w:rsidRPr="00162B20" w:rsidRDefault="006011DB" w:rsidP="00A52711">
            <w:pPr>
              <w:pStyle w:val="Tabletext"/>
              <w:keepNext/>
              <w:keepLines/>
              <w:widowControl w:val="0"/>
              <w:jc w:val="center"/>
              <w:rPr>
                <w:lang w:val="en-AU"/>
              </w:rPr>
            </w:pPr>
            <w:r w:rsidRPr="00162B20">
              <w:rPr>
                <w:lang w:val="en-AU"/>
              </w:rPr>
              <w:t>8</w:t>
            </w:r>
            <w:r w:rsidR="000E1356" w:rsidRPr="00162B20">
              <w:rPr>
                <w:lang w:val="en-AU"/>
              </w:rPr>
              <w:t xml:space="preserve"> (</w:t>
            </w:r>
            <w:r w:rsidRPr="00162B20">
              <w:rPr>
                <w:lang w:val="en-AU"/>
              </w:rPr>
              <w:t>19)</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3BBC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7B641" w14:textId="33D64D47"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7CA49"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810F0"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10A54C3C"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7E920" w14:textId="77777777" w:rsidR="006011DB" w:rsidRPr="00162B20" w:rsidRDefault="006011DB" w:rsidP="00A52711">
            <w:pPr>
              <w:pStyle w:val="Tabletext"/>
              <w:keepNext/>
              <w:keepLines/>
              <w:widowControl w:val="0"/>
              <w:rPr>
                <w:lang w:val="en-AU"/>
              </w:rPr>
            </w:pPr>
            <w:r w:rsidRPr="00162B20">
              <w:rPr>
                <w:lang w:val="en-AU"/>
              </w:rPr>
              <w:t>Thromboembolic event</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74F30" w14:textId="4A6E4C82" w:rsidR="006011DB" w:rsidRPr="00162B20" w:rsidRDefault="006011DB" w:rsidP="00A52711">
            <w:pPr>
              <w:pStyle w:val="Tabletext"/>
              <w:keepNext/>
              <w:keepLines/>
              <w:widowControl w:val="0"/>
              <w:jc w:val="center"/>
              <w:rPr>
                <w:lang w:val="en-AU"/>
              </w:rPr>
            </w:pPr>
            <w:r w:rsidRPr="00162B20">
              <w:rPr>
                <w:lang w:val="en-AU"/>
              </w:rPr>
              <w:t>8</w:t>
            </w:r>
            <w:r w:rsidR="000E1356" w:rsidRPr="00162B20">
              <w:rPr>
                <w:lang w:val="en-AU"/>
              </w:rPr>
              <w:t xml:space="preserve"> (</w:t>
            </w:r>
            <w:r w:rsidRPr="00162B20">
              <w:rPr>
                <w:lang w:val="en-AU"/>
              </w:rPr>
              <w:t>19)</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5A0C2" w14:textId="5691DA4B" w:rsidR="006011DB" w:rsidRPr="00162B20" w:rsidRDefault="006011DB" w:rsidP="00A52711">
            <w:pPr>
              <w:pStyle w:val="Tabletext"/>
              <w:keepNext/>
              <w:keepLines/>
              <w:widowControl w:val="0"/>
              <w:jc w:val="center"/>
              <w:rPr>
                <w:lang w:val="en-AU"/>
              </w:rPr>
            </w:pPr>
            <w:r w:rsidRPr="00162B20">
              <w:rPr>
                <w:lang w:val="en-AU"/>
              </w:rPr>
              <w:t>5</w:t>
            </w:r>
            <w:r w:rsidR="000E1356" w:rsidRPr="00162B20">
              <w:rPr>
                <w:lang w:val="en-AU"/>
              </w:rPr>
              <w:t xml:space="preserve"> (</w:t>
            </w:r>
            <w:r w:rsidRPr="00162B20">
              <w:rPr>
                <w:lang w:val="en-AU"/>
              </w:rPr>
              <w:t>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4EE6A" w14:textId="540F52E3"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B64B3"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306B5"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36F1F47A"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A64A7" w14:textId="77777777" w:rsidR="006011DB" w:rsidRPr="00162B20" w:rsidRDefault="006011DB" w:rsidP="00A52711">
            <w:pPr>
              <w:pStyle w:val="Tabletext"/>
              <w:keepNext/>
              <w:keepLines/>
              <w:widowControl w:val="0"/>
              <w:rPr>
                <w:lang w:val="en-AU"/>
              </w:rPr>
            </w:pPr>
            <w:r w:rsidRPr="00162B20">
              <w:rPr>
                <w:lang w:val="en-AU"/>
              </w:rPr>
              <w:t>Platelet count decreased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41FC0" w14:textId="6CF811C4" w:rsidR="006011DB" w:rsidRPr="00162B20" w:rsidRDefault="006011DB" w:rsidP="00A52711">
            <w:pPr>
              <w:pStyle w:val="Tabletext"/>
              <w:keepNext/>
              <w:keepLines/>
              <w:widowControl w:val="0"/>
              <w:jc w:val="center"/>
              <w:rPr>
                <w:lang w:val="en-AU"/>
              </w:rPr>
            </w:pPr>
            <w:r w:rsidRPr="00162B20">
              <w:rPr>
                <w:lang w:val="en-AU"/>
              </w:rPr>
              <w:t>8</w:t>
            </w:r>
            <w:r w:rsidR="000E1356" w:rsidRPr="00162B20">
              <w:rPr>
                <w:lang w:val="en-AU"/>
              </w:rPr>
              <w:t xml:space="preserve"> (</w:t>
            </w:r>
            <w:r w:rsidRPr="00162B20">
              <w:rPr>
                <w:lang w:val="en-AU"/>
              </w:rPr>
              <w:t>19)</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2F4B9"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32D4E" w14:textId="22B168C7" w:rsidR="006011DB" w:rsidRPr="00162B20" w:rsidRDefault="006011DB" w:rsidP="00A52711">
            <w:pPr>
              <w:pStyle w:val="Tabletext"/>
              <w:keepNext/>
              <w:keepLines/>
              <w:widowControl w:val="0"/>
              <w:jc w:val="center"/>
              <w:rPr>
                <w:lang w:val="en-AU"/>
              </w:rPr>
            </w:pPr>
            <w:r w:rsidRPr="00162B20">
              <w:rPr>
                <w:lang w:val="en-AU"/>
              </w:rPr>
              <w:t>18</w:t>
            </w:r>
            <w:r w:rsidR="000E1356" w:rsidRPr="00162B20">
              <w:rPr>
                <w:lang w:val="en-AU"/>
              </w:rPr>
              <w:t xml:space="preserve"> (</w:t>
            </w:r>
            <w:r w:rsidRPr="00162B20">
              <w:rPr>
                <w:lang w:val="en-AU"/>
              </w:rPr>
              <w:t>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E9D8" w14:textId="190B6921" w:rsidR="006011DB" w:rsidRPr="00162B20" w:rsidRDefault="006011DB" w:rsidP="00A52711">
            <w:pPr>
              <w:pStyle w:val="Tabletext"/>
              <w:keepNext/>
              <w:keepLines/>
              <w:widowControl w:val="0"/>
              <w:jc w:val="center"/>
              <w:rPr>
                <w:lang w:val="en-AU"/>
              </w:rPr>
            </w:pPr>
            <w:r w:rsidRPr="00162B20">
              <w:rPr>
                <w:lang w:val="en-AU"/>
              </w:rPr>
              <w:t>2</w:t>
            </w:r>
            <w:r w:rsidR="000E1356" w:rsidRPr="00162B20">
              <w:rPr>
                <w:lang w:val="en-AU"/>
              </w:rPr>
              <w:t xml:space="preserve"> (</w:t>
            </w:r>
            <w:r w:rsidRPr="00162B20">
              <w:rPr>
                <w:lang w:val="en-AU"/>
              </w:rPr>
              <w:t>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0DB83"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559EE3BE"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CB586" w14:textId="77777777" w:rsidR="006011DB" w:rsidRPr="00162B20" w:rsidRDefault="006011DB" w:rsidP="00A52711">
            <w:pPr>
              <w:pStyle w:val="Tabletext"/>
              <w:keepNext/>
              <w:keepLines/>
              <w:widowControl w:val="0"/>
              <w:rPr>
                <w:lang w:val="en-AU"/>
              </w:rPr>
            </w:pPr>
            <w:r w:rsidRPr="00162B20">
              <w:rPr>
                <w:lang w:val="en-AU"/>
              </w:rPr>
              <w:t>Anaemia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CC146" w14:textId="7CF5E399" w:rsidR="006011DB" w:rsidRPr="00162B20" w:rsidRDefault="006011DB" w:rsidP="00A52711">
            <w:pPr>
              <w:pStyle w:val="Tabletext"/>
              <w:keepNext/>
              <w:keepLines/>
              <w:widowControl w:val="0"/>
              <w:jc w:val="center"/>
              <w:rPr>
                <w:lang w:val="en-AU"/>
              </w:rPr>
            </w:pPr>
            <w:r w:rsidRPr="00162B20">
              <w:rPr>
                <w:lang w:val="en-AU"/>
              </w:rPr>
              <w:t>10</w:t>
            </w:r>
            <w:r w:rsidR="000E1356" w:rsidRPr="00162B20">
              <w:rPr>
                <w:lang w:val="en-AU"/>
              </w:rPr>
              <w:t xml:space="preserve"> (</w:t>
            </w:r>
            <w:r w:rsidRPr="00162B20">
              <w:rPr>
                <w:lang w:val="en-AU"/>
              </w:rPr>
              <w:t>23)</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9456"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A9564" w14:textId="4CA80063" w:rsidR="006011DB" w:rsidRPr="00162B20" w:rsidRDefault="006011DB" w:rsidP="00A52711">
            <w:pPr>
              <w:pStyle w:val="Tabletext"/>
              <w:keepNext/>
              <w:keepLines/>
              <w:widowControl w:val="0"/>
              <w:jc w:val="center"/>
              <w:rPr>
                <w:lang w:val="en-AU"/>
              </w:rPr>
            </w:pPr>
            <w:r w:rsidRPr="00162B20">
              <w:rPr>
                <w:lang w:val="en-AU"/>
              </w:rPr>
              <w:t>15</w:t>
            </w:r>
            <w:r w:rsidR="000E1356" w:rsidRPr="00162B20">
              <w:rPr>
                <w:lang w:val="en-AU"/>
              </w:rPr>
              <w:t xml:space="preserve"> (</w:t>
            </w:r>
            <w:r w:rsidRPr="00162B20">
              <w:rPr>
                <w:lang w:val="en-AU"/>
              </w:rPr>
              <w:t>33)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1D168" w14:textId="49726281"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B3F79"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595C9D78"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3C13F" w14:textId="77777777" w:rsidR="006011DB" w:rsidRPr="00162B20" w:rsidRDefault="006011DB" w:rsidP="00A52711">
            <w:pPr>
              <w:pStyle w:val="Tabletext"/>
              <w:keepNext/>
              <w:keepLines/>
              <w:widowControl w:val="0"/>
              <w:rPr>
                <w:lang w:val="en-AU"/>
              </w:rPr>
            </w:pPr>
            <w:r w:rsidRPr="00162B20">
              <w:rPr>
                <w:lang w:val="en-AU"/>
              </w:rPr>
              <w:t>White blood cell decreased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963D3" w14:textId="784B4DC2" w:rsidR="006011DB" w:rsidRPr="00162B20" w:rsidRDefault="006011DB" w:rsidP="00A52711">
            <w:pPr>
              <w:pStyle w:val="Tabletext"/>
              <w:keepNext/>
              <w:keepLines/>
              <w:widowControl w:val="0"/>
              <w:jc w:val="center"/>
              <w:rPr>
                <w:lang w:val="en-AU"/>
              </w:rPr>
            </w:pPr>
            <w:r w:rsidRPr="00162B20">
              <w:rPr>
                <w:lang w:val="en-AU"/>
              </w:rPr>
              <w:t>9</w:t>
            </w:r>
            <w:r w:rsidR="000E1356" w:rsidRPr="00162B20">
              <w:rPr>
                <w:lang w:val="en-AU"/>
              </w:rPr>
              <w:t xml:space="preserve"> (</w:t>
            </w:r>
            <w:r w:rsidRPr="00162B20">
              <w:rPr>
                <w:lang w:val="en-AU"/>
              </w:rPr>
              <w:t>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7A2F8"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3CDC1" w14:textId="33AF9F95" w:rsidR="006011DB" w:rsidRPr="00162B20" w:rsidRDefault="006011DB" w:rsidP="00A52711">
            <w:pPr>
              <w:pStyle w:val="Tabletext"/>
              <w:keepNext/>
              <w:keepLines/>
              <w:widowControl w:val="0"/>
              <w:jc w:val="center"/>
              <w:rPr>
                <w:lang w:val="en-AU"/>
              </w:rPr>
            </w:pPr>
            <w:r w:rsidRPr="00162B20">
              <w:rPr>
                <w:lang w:val="en-AU"/>
              </w:rPr>
              <w:t>13</w:t>
            </w:r>
            <w:r w:rsidR="000E1356" w:rsidRPr="00162B20">
              <w:rPr>
                <w:lang w:val="en-AU"/>
              </w:rPr>
              <w:t xml:space="preserve"> (</w:t>
            </w:r>
            <w:r w:rsidRPr="00162B20">
              <w:rPr>
                <w:lang w:val="en-AU"/>
              </w:rPr>
              <w:t>29)</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9076E" w14:textId="09875E77" w:rsidR="006011DB" w:rsidRPr="00162B20" w:rsidRDefault="006011DB" w:rsidP="00A52711">
            <w:pPr>
              <w:pStyle w:val="Tabletext"/>
              <w:keepNext/>
              <w:keepLines/>
              <w:widowControl w:val="0"/>
              <w:jc w:val="center"/>
              <w:rPr>
                <w:lang w:val="en-AU"/>
              </w:rPr>
            </w:pPr>
            <w:r w:rsidRPr="00162B20">
              <w:rPr>
                <w:lang w:val="en-AU"/>
              </w:rPr>
              <w:t>5</w:t>
            </w:r>
            <w:r w:rsidR="000E1356" w:rsidRPr="00162B20">
              <w:rPr>
                <w:lang w:val="en-AU"/>
              </w:rPr>
              <w:t xml:space="preserve"> (</w:t>
            </w:r>
            <w:r w:rsidRPr="00162B20">
              <w:rPr>
                <w:lang w:val="en-AU"/>
              </w:rPr>
              <w:t>11)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EE826"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161AF569"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1F01D" w14:textId="77777777" w:rsidR="006011DB" w:rsidRPr="00162B20" w:rsidRDefault="006011DB" w:rsidP="00A52711">
            <w:pPr>
              <w:pStyle w:val="Tabletext"/>
              <w:keepNext/>
              <w:keepLines/>
              <w:widowControl w:val="0"/>
              <w:rPr>
                <w:lang w:val="en-AU"/>
              </w:rPr>
            </w:pPr>
            <w:r w:rsidRPr="00162B20">
              <w:rPr>
                <w:lang w:val="en-AU"/>
              </w:rPr>
              <w:t>Neutrophil count decreased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7B7A" w14:textId="0BB3A0B4" w:rsidR="006011DB" w:rsidRPr="00162B20" w:rsidRDefault="006011DB" w:rsidP="00A52711">
            <w:pPr>
              <w:pStyle w:val="Tabletext"/>
              <w:keepNext/>
              <w:keepLines/>
              <w:widowControl w:val="0"/>
              <w:jc w:val="center"/>
              <w:rPr>
                <w:lang w:val="en-AU"/>
              </w:rPr>
            </w:pPr>
            <w:r w:rsidRPr="00162B20">
              <w:rPr>
                <w:lang w:val="en-AU"/>
              </w:rPr>
              <w:t>7</w:t>
            </w:r>
            <w:r w:rsidR="000E1356" w:rsidRPr="00162B20">
              <w:rPr>
                <w:lang w:val="en-AU"/>
              </w:rPr>
              <w:t xml:space="preserve"> (</w:t>
            </w:r>
            <w:r w:rsidRPr="00162B20">
              <w:rPr>
                <w:lang w:val="en-AU"/>
              </w:rPr>
              <w:t>16)</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EC338"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43B9E" w14:textId="0B9857AF" w:rsidR="006011DB" w:rsidRPr="00162B20" w:rsidRDefault="006011DB" w:rsidP="00A52711">
            <w:pPr>
              <w:pStyle w:val="Tabletext"/>
              <w:keepNext/>
              <w:keepLines/>
              <w:widowControl w:val="0"/>
              <w:jc w:val="center"/>
              <w:rPr>
                <w:lang w:val="en-AU"/>
              </w:rPr>
            </w:pPr>
            <w:r w:rsidRPr="00162B20">
              <w:rPr>
                <w:lang w:val="en-AU"/>
              </w:rPr>
              <w:t>11</w:t>
            </w:r>
            <w:r w:rsidR="000E1356" w:rsidRPr="00162B20">
              <w:rPr>
                <w:lang w:val="en-AU"/>
              </w:rPr>
              <w:t xml:space="preserve"> (</w:t>
            </w:r>
            <w:r w:rsidRPr="00162B20">
              <w:rPr>
                <w:lang w:val="en-AU"/>
              </w:rPr>
              <w:t>24)</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01B68" w14:textId="3A6935B5" w:rsidR="006011DB" w:rsidRPr="00162B20" w:rsidRDefault="006011DB" w:rsidP="00A52711">
            <w:pPr>
              <w:pStyle w:val="Tabletext"/>
              <w:keepNext/>
              <w:keepLines/>
              <w:widowControl w:val="0"/>
              <w:jc w:val="center"/>
              <w:rPr>
                <w:lang w:val="en-AU"/>
              </w:rPr>
            </w:pPr>
            <w:r w:rsidRPr="00162B20">
              <w:rPr>
                <w:lang w:val="en-AU"/>
              </w:rPr>
              <w:t>4</w:t>
            </w:r>
            <w:r w:rsidR="000E1356" w:rsidRPr="00162B20">
              <w:rPr>
                <w:lang w:val="en-AU"/>
              </w:rPr>
              <w:t xml:space="preserve"> (</w:t>
            </w:r>
            <w:r w:rsidRPr="00162B20">
              <w:rPr>
                <w:lang w:val="en-AU"/>
              </w:rPr>
              <w:t>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813C3"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7BB5DA0F"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58142" w14:textId="77777777" w:rsidR="006011DB" w:rsidRPr="00162B20" w:rsidRDefault="006011DB" w:rsidP="00A52711">
            <w:pPr>
              <w:pStyle w:val="Tabletext"/>
              <w:keepNext/>
              <w:keepLines/>
              <w:widowControl w:val="0"/>
              <w:rPr>
                <w:lang w:val="en-AU"/>
              </w:rPr>
            </w:pPr>
            <w:r w:rsidRPr="00162B20">
              <w:rPr>
                <w:lang w:val="en-AU"/>
              </w:rPr>
              <w:t>Lymphocyte count decreased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C78B9" w14:textId="79C83CFE"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03072"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33B8" w14:textId="47BD03FF" w:rsidR="006011DB" w:rsidRPr="00162B20" w:rsidRDefault="006011DB" w:rsidP="00A52711">
            <w:pPr>
              <w:pStyle w:val="Tabletext"/>
              <w:keepNext/>
              <w:keepLines/>
              <w:widowControl w:val="0"/>
              <w:jc w:val="center"/>
              <w:rPr>
                <w:lang w:val="en-AU"/>
              </w:rPr>
            </w:pPr>
            <w:r w:rsidRPr="00162B20">
              <w:rPr>
                <w:lang w:val="en-AU"/>
              </w:rPr>
              <w:t>10</w:t>
            </w:r>
            <w:r w:rsidR="000E1356" w:rsidRPr="00162B20">
              <w:rPr>
                <w:lang w:val="en-AU"/>
              </w:rPr>
              <w:t xml:space="preserve"> (</w:t>
            </w:r>
            <w:r w:rsidRPr="00162B20">
              <w:rPr>
                <w:lang w:val="en-AU"/>
              </w:rPr>
              <w:t>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FFD6C" w14:textId="2F42471F" w:rsidR="006011DB" w:rsidRPr="00162B20" w:rsidRDefault="006011DB" w:rsidP="00A52711">
            <w:pPr>
              <w:pStyle w:val="Tabletext"/>
              <w:keepNext/>
              <w:keepLines/>
              <w:widowControl w:val="0"/>
              <w:jc w:val="center"/>
              <w:rPr>
                <w:lang w:val="en-AU"/>
              </w:rPr>
            </w:pPr>
            <w:r w:rsidRPr="00162B20">
              <w:rPr>
                <w:lang w:val="en-AU"/>
              </w:rPr>
              <w:t>2</w:t>
            </w:r>
            <w:r w:rsidR="000E1356" w:rsidRPr="00162B20">
              <w:rPr>
                <w:lang w:val="en-AU"/>
              </w:rPr>
              <w:t xml:space="preserve"> (</w:t>
            </w:r>
            <w:r w:rsidRPr="00162B20">
              <w:rPr>
                <w:lang w:val="en-AU"/>
              </w:rPr>
              <w:t>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A016F"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70ADFEA1"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B7062" w14:textId="77777777" w:rsidR="006011DB" w:rsidRPr="00162B20" w:rsidRDefault="006011DB" w:rsidP="00A52711">
            <w:pPr>
              <w:pStyle w:val="Tabletext"/>
              <w:keepNext/>
              <w:keepLines/>
              <w:widowControl w:val="0"/>
              <w:rPr>
                <w:lang w:val="en-AU"/>
              </w:rPr>
            </w:pPr>
            <w:r w:rsidRPr="00162B20">
              <w:rPr>
                <w:lang w:val="en-AU"/>
              </w:rPr>
              <w:t>AST increased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307B0" w14:textId="06FAAFD3" w:rsidR="006011DB" w:rsidRPr="00162B20" w:rsidRDefault="006011DB" w:rsidP="00A52711">
            <w:pPr>
              <w:pStyle w:val="Tabletext"/>
              <w:keepNext/>
              <w:keepLines/>
              <w:widowControl w:val="0"/>
              <w:jc w:val="center"/>
              <w:rPr>
                <w:lang w:val="en-AU"/>
              </w:rPr>
            </w:pPr>
            <w:r w:rsidRPr="00162B20">
              <w:rPr>
                <w:lang w:val="en-AU"/>
              </w:rPr>
              <w:t>14</w:t>
            </w:r>
            <w:r w:rsidR="000E1356" w:rsidRPr="00162B20">
              <w:rPr>
                <w:lang w:val="en-AU"/>
              </w:rPr>
              <w:t xml:space="preserve"> (</w:t>
            </w:r>
            <w:r w:rsidRPr="00162B20">
              <w:rPr>
                <w:lang w:val="en-AU"/>
              </w:rPr>
              <w:t>33)</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ACB98"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16C33" w14:textId="2FD37857" w:rsidR="006011DB" w:rsidRPr="00162B20" w:rsidRDefault="006011DB" w:rsidP="00A52711">
            <w:pPr>
              <w:pStyle w:val="Tabletext"/>
              <w:keepNext/>
              <w:keepLines/>
              <w:widowControl w:val="0"/>
              <w:jc w:val="center"/>
              <w:rPr>
                <w:lang w:val="en-AU"/>
              </w:rPr>
            </w:pPr>
            <w:r w:rsidRPr="00162B20">
              <w:rPr>
                <w:lang w:val="en-AU"/>
              </w:rPr>
              <w:t>8</w:t>
            </w:r>
            <w:r w:rsidR="000E1356" w:rsidRPr="00162B20">
              <w:rPr>
                <w:lang w:val="en-AU"/>
              </w:rPr>
              <w:t xml:space="preserve"> (</w:t>
            </w:r>
            <w:r w:rsidRPr="00162B20">
              <w:rPr>
                <w:lang w:val="en-AU"/>
              </w:rPr>
              <w:t>18)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09C3F" w14:textId="7CC219A6"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6EDD0"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3336FD2A"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E5DEC" w14:textId="77777777" w:rsidR="006011DB" w:rsidRPr="00162B20" w:rsidRDefault="006011DB" w:rsidP="00A52711">
            <w:pPr>
              <w:pStyle w:val="Tabletext"/>
              <w:keepNext/>
              <w:keepLines/>
              <w:widowControl w:val="0"/>
              <w:rPr>
                <w:lang w:val="en-AU"/>
              </w:rPr>
            </w:pPr>
            <w:r w:rsidRPr="00162B20">
              <w:rPr>
                <w:lang w:val="en-AU"/>
              </w:rPr>
              <w:t>Proteinuria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61540" w14:textId="7C488D36" w:rsidR="006011DB" w:rsidRPr="00162B20" w:rsidRDefault="006011DB" w:rsidP="00A52711">
            <w:pPr>
              <w:pStyle w:val="Tabletext"/>
              <w:keepNext/>
              <w:keepLines/>
              <w:widowControl w:val="0"/>
              <w:jc w:val="center"/>
              <w:rPr>
                <w:lang w:val="en-AU"/>
              </w:rPr>
            </w:pPr>
            <w:r w:rsidRPr="00162B20">
              <w:rPr>
                <w:lang w:val="en-AU"/>
              </w:rPr>
              <w:t>7</w:t>
            </w:r>
            <w:r w:rsidR="000E1356" w:rsidRPr="00162B20">
              <w:rPr>
                <w:lang w:val="en-AU"/>
              </w:rPr>
              <w:t xml:space="preserve"> (</w:t>
            </w:r>
            <w:r w:rsidRPr="00162B20">
              <w:rPr>
                <w:lang w:val="en-AU"/>
              </w:rPr>
              <w:t>16)</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A3560" w14:textId="6CB0EA34"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EB11E" w14:textId="0C763C94" w:rsidR="006011DB" w:rsidRPr="00162B20" w:rsidRDefault="006011DB" w:rsidP="00A52711">
            <w:pPr>
              <w:pStyle w:val="Tabletext"/>
              <w:keepNext/>
              <w:keepLines/>
              <w:widowControl w:val="0"/>
              <w:jc w:val="center"/>
              <w:rPr>
                <w:lang w:val="en-AU"/>
              </w:rPr>
            </w:pPr>
            <w:r w:rsidRPr="00162B20">
              <w:rPr>
                <w:lang w:val="en-AU"/>
              </w:rPr>
              <w:t>7</w:t>
            </w:r>
            <w:r w:rsidR="000E1356" w:rsidRPr="00162B20">
              <w:rPr>
                <w:lang w:val="en-AU"/>
              </w:rPr>
              <w:t xml:space="preserve"> (</w:t>
            </w:r>
            <w:r w:rsidRPr="00162B20">
              <w:rPr>
                <w:lang w:val="en-AU"/>
              </w:rPr>
              <w:t>16)</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D8E82" w14:textId="79B3A76D"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0FD6D"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7BBB9E52"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B016F" w14:textId="77777777" w:rsidR="006011DB" w:rsidRPr="00162B20" w:rsidRDefault="006011DB" w:rsidP="00A52711">
            <w:pPr>
              <w:pStyle w:val="Tabletext"/>
              <w:keepNext/>
              <w:keepLines/>
              <w:widowControl w:val="0"/>
              <w:rPr>
                <w:lang w:val="en-AU"/>
              </w:rPr>
            </w:pPr>
            <w:r w:rsidRPr="00162B20">
              <w:rPr>
                <w:lang w:val="en-AU"/>
              </w:rPr>
              <w:t>ALT increased</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2DC9C" w14:textId="1990E139" w:rsidR="006011DB" w:rsidRPr="00162B20" w:rsidRDefault="006011DB" w:rsidP="00A52711">
            <w:pPr>
              <w:pStyle w:val="Tabletext"/>
              <w:keepNext/>
              <w:keepLines/>
              <w:widowControl w:val="0"/>
              <w:jc w:val="center"/>
              <w:rPr>
                <w:lang w:val="en-AU"/>
              </w:rPr>
            </w:pPr>
            <w:r w:rsidRPr="00162B20">
              <w:rPr>
                <w:lang w:val="en-AU"/>
              </w:rPr>
              <w:t>13</w:t>
            </w:r>
            <w:r w:rsidR="000E1356" w:rsidRPr="00162B20">
              <w:rPr>
                <w:lang w:val="en-AU"/>
              </w:rPr>
              <w:t xml:space="preserve"> (</w:t>
            </w:r>
            <w:r w:rsidRPr="00162B20">
              <w:rPr>
                <w:lang w:val="en-AU"/>
              </w:rPr>
              <w:t>30)</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62BFC" w14:textId="042FE578"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217D1" w14:textId="04F4978A"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8B2BF" w14:textId="0DD65FD4"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E331C"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6DD66BF2"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5B83B" w14:textId="77777777" w:rsidR="006011DB" w:rsidRPr="00162B20" w:rsidRDefault="006011DB" w:rsidP="00A52711">
            <w:pPr>
              <w:pStyle w:val="Tabletext"/>
              <w:keepNext/>
              <w:keepLines/>
              <w:widowControl w:val="0"/>
              <w:rPr>
                <w:lang w:val="en-AU"/>
              </w:rPr>
            </w:pPr>
            <w:r w:rsidRPr="00162B20">
              <w:rPr>
                <w:lang w:val="en-AU"/>
              </w:rPr>
              <w:t>Hypoalbuminaemia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9A6CB" w14:textId="14743A81"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0A12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2FBC2" w14:textId="5AD24F58" w:rsidR="006011DB" w:rsidRPr="00162B20" w:rsidRDefault="006011DB" w:rsidP="00A52711">
            <w:pPr>
              <w:pStyle w:val="Tabletext"/>
              <w:keepNext/>
              <w:keepLines/>
              <w:widowControl w:val="0"/>
              <w:jc w:val="center"/>
              <w:rPr>
                <w:lang w:val="en-AU"/>
              </w:rPr>
            </w:pPr>
            <w:r w:rsidRPr="00162B20">
              <w:rPr>
                <w:lang w:val="en-AU"/>
              </w:rPr>
              <w:t>6</w:t>
            </w:r>
            <w:r w:rsidR="000E1356" w:rsidRPr="00162B20">
              <w:rPr>
                <w:lang w:val="en-AU"/>
              </w:rPr>
              <w:t xml:space="preserve"> (</w:t>
            </w:r>
            <w:r w:rsidRPr="00162B20">
              <w:rPr>
                <w:lang w:val="en-AU"/>
              </w:rPr>
              <w:t>13)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109DC" w14:textId="597AB40E"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4023C"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4C94EB5D"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80CF0" w14:textId="77777777" w:rsidR="006011DB" w:rsidRPr="00162B20" w:rsidRDefault="006011DB" w:rsidP="00A52711">
            <w:pPr>
              <w:pStyle w:val="Tabletext"/>
              <w:keepNext/>
              <w:keepLines/>
              <w:widowControl w:val="0"/>
              <w:rPr>
                <w:lang w:val="en-AU"/>
              </w:rPr>
            </w:pPr>
            <w:r w:rsidRPr="00162B20">
              <w:rPr>
                <w:lang w:val="en-AU"/>
              </w:rPr>
              <w:t>Hypophosphataemia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52DED" w14:textId="4C5B0D0B" w:rsidR="006011DB" w:rsidRPr="00162B20" w:rsidRDefault="006011DB" w:rsidP="00A52711">
            <w:pPr>
              <w:pStyle w:val="Tabletext"/>
              <w:keepNext/>
              <w:keepLines/>
              <w:widowControl w:val="0"/>
              <w:jc w:val="center"/>
              <w:rPr>
                <w:lang w:val="en-AU"/>
              </w:rPr>
            </w:pPr>
            <w:r w:rsidRPr="00162B20">
              <w:rPr>
                <w:lang w:val="en-AU"/>
              </w:rPr>
              <w:t>11</w:t>
            </w:r>
            <w:r w:rsidR="000E1356" w:rsidRPr="00162B20">
              <w:rPr>
                <w:lang w:val="en-AU"/>
              </w:rPr>
              <w:t xml:space="preserve"> (</w:t>
            </w:r>
            <w:r w:rsidRPr="00162B20">
              <w:rPr>
                <w:lang w:val="en-AU"/>
              </w:rPr>
              <w:t>26)</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FB5AA" w14:textId="77B160C5" w:rsidR="006011DB" w:rsidRPr="00162B20" w:rsidRDefault="006011DB" w:rsidP="00A52711">
            <w:pPr>
              <w:pStyle w:val="Tabletext"/>
              <w:keepNext/>
              <w:keepLines/>
              <w:widowControl w:val="0"/>
              <w:jc w:val="center"/>
              <w:rPr>
                <w:lang w:val="en-AU"/>
              </w:rPr>
            </w:pPr>
            <w:r w:rsidRPr="00162B20">
              <w:rPr>
                <w:lang w:val="en-AU"/>
              </w:rPr>
              <w:t>4</w:t>
            </w:r>
            <w:r w:rsidR="000E1356" w:rsidRPr="00162B20">
              <w:rPr>
                <w:lang w:val="en-AU"/>
              </w:rPr>
              <w:t xml:space="preserve"> (</w:t>
            </w:r>
            <w:r w:rsidRPr="00162B20">
              <w:rPr>
                <w:lang w:val="en-AU"/>
              </w:rPr>
              <w:t>9)</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9090F" w14:textId="56B011A0" w:rsidR="006011DB" w:rsidRPr="00162B20" w:rsidRDefault="006011DB" w:rsidP="00A52711">
            <w:pPr>
              <w:pStyle w:val="Tabletext"/>
              <w:keepNext/>
              <w:keepLines/>
              <w:widowControl w:val="0"/>
              <w:jc w:val="center"/>
              <w:rPr>
                <w:lang w:val="en-AU"/>
              </w:rPr>
            </w:pPr>
            <w:r w:rsidRPr="00162B20">
              <w:rPr>
                <w:lang w:val="en-AU"/>
              </w:rPr>
              <w:t>3</w:t>
            </w:r>
            <w:r w:rsidR="000E1356" w:rsidRPr="00162B20">
              <w:rPr>
                <w:lang w:val="en-AU"/>
              </w:rPr>
              <w:t xml:space="preserve"> (</w:t>
            </w:r>
            <w:r w:rsidRPr="00162B20">
              <w:rPr>
                <w:lang w:val="en-AU"/>
              </w:rPr>
              <w:t>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D572C"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5FAD6"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502A6640"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1FF0" w14:textId="77777777" w:rsidR="006011DB" w:rsidRPr="00162B20" w:rsidRDefault="006011DB" w:rsidP="00A52711">
            <w:pPr>
              <w:pStyle w:val="Tabletext"/>
              <w:keepNext/>
              <w:keepLines/>
              <w:widowControl w:val="0"/>
              <w:rPr>
                <w:lang w:val="en-AU"/>
              </w:rPr>
            </w:pPr>
            <w:r w:rsidRPr="00162B20">
              <w:rPr>
                <w:lang w:val="en-AU"/>
              </w:rPr>
              <w:t>Hypocalcaemia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3E2CC" w14:textId="2A24DB9D" w:rsidR="006011DB" w:rsidRPr="00162B20" w:rsidRDefault="006011DB" w:rsidP="00A52711">
            <w:pPr>
              <w:pStyle w:val="Tabletext"/>
              <w:keepNext/>
              <w:keepLines/>
              <w:widowControl w:val="0"/>
              <w:jc w:val="center"/>
              <w:rPr>
                <w:lang w:val="en-AU"/>
              </w:rPr>
            </w:pPr>
            <w:r w:rsidRPr="00162B20">
              <w:rPr>
                <w:lang w:val="en-AU"/>
              </w:rPr>
              <w:t>10</w:t>
            </w:r>
            <w:r w:rsidR="000E1356" w:rsidRPr="00162B20">
              <w:rPr>
                <w:lang w:val="en-AU"/>
              </w:rPr>
              <w:t xml:space="preserve"> (</w:t>
            </w:r>
            <w:r w:rsidRPr="00162B20">
              <w:rPr>
                <w:lang w:val="en-AU"/>
              </w:rPr>
              <w:t>23)</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09730" w14:textId="0A592EB2"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4AF34" w14:textId="19D4B22B" w:rsidR="006011DB" w:rsidRPr="00162B20" w:rsidRDefault="006011DB" w:rsidP="00A52711">
            <w:pPr>
              <w:pStyle w:val="Tabletext"/>
              <w:keepNext/>
              <w:keepLines/>
              <w:widowControl w:val="0"/>
              <w:jc w:val="center"/>
              <w:rPr>
                <w:lang w:val="en-AU"/>
              </w:rPr>
            </w:pPr>
            <w:r w:rsidRPr="00162B20">
              <w:rPr>
                <w:lang w:val="en-AU"/>
              </w:rPr>
              <w:t>1</w:t>
            </w:r>
            <w:r w:rsidR="000E1356" w:rsidRPr="00162B20">
              <w:rPr>
                <w:lang w:val="en-AU"/>
              </w:rPr>
              <w:t xml:space="preserve"> (</w:t>
            </w:r>
            <w:r w:rsidRPr="00162B20">
              <w:rPr>
                <w:lang w:val="en-AU"/>
              </w:rPr>
              <w:t>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2428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ED6FD"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0FFE2B88"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183E3" w14:textId="77777777" w:rsidR="006011DB" w:rsidRPr="00162B20" w:rsidRDefault="006011DB" w:rsidP="00A52711">
            <w:pPr>
              <w:pStyle w:val="Tabletext"/>
              <w:keepNext/>
              <w:keepLines/>
              <w:widowControl w:val="0"/>
              <w:rPr>
                <w:lang w:val="en-AU"/>
              </w:rPr>
            </w:pPr>
            <w:r w:rsidRPr="00162B20">
              <w:rPr>
                <w:lang w:val="en-AU"/>
              </w:rPr>
              <w:t>Hypomagnesaemia</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D5EC1" w14:textId="65010E5B" w:rsidR="006011DB" w:rsidRPr="00162B20" w:rsidRDefault="006011DB" w:rsidP="00A52711">
            <w:pPr>
              <w:pStyle w:val="Tabletext"/>
              <w:keepNext/>
              <w:keepLines/>
              <w:widowControl w:val="0"/>
              <w:jc w:val="center"/>
              <w:rPr>
                <w:lang w:val="en-AU"/>
              </w:rPr>
            </w:pPr>
            <w:r w:rsidRPr="00162B20">
              <w:rPr>
                <w:lang w:val="en-AU"/>
              </w:rPr>
              <w:t>9</w:t>
            </w:r>
            <w:r w:rsidR="000E1356" w:rsidRPr="00162B20">
              <w:rPr>
                <w:lang w:val="en-AU"/>
              </w:rPr>
              <w:t xml:space="preserve"> (</w:t>
            </w:r>
            <w:r w:rsidRPr="00162B20">
              <w:rPr>
                <w:lang w:val="en-AU"/>
              </w:rPr>
              <w:t>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8C9EF" w14:textId="6DF51E76" w:rsidR="006011DB" w:rsidRPr="00162B20" w:rsidRDefault="006011DB" w:rsidP="00A52711">
            <w:pPr>
              <w:pStyle w:val="Tabletext"/>
              <w:keepNext/>
              <w:keepLines/>
              <w:widowControl w:val="0"/>
              <w:jc w:val="center"/>
              <w:rPr>
                <w:lang w:val="en-AU"/>
              </w:rPr>
            </w:pPr>
            <w:r w:rsidRPr="00162B20">
              <w:rPr>
                <w:lang w:val="en-AU"/>
              </w:rPr>
              <w:t>2</w:t>
            </w:r>
            <w:r w:rsidR="000E1356" w:rsidRPr="00162B20">
              <w:rPr>
                <w:lang w:val="en-AU"/>
              </w:rPr>
              <w:t xml:space="preserve"> (</w:t>
            </w:r>
            <w:r w:rsidRPr="00162B20">
              <w:rPr>
                <w:lang w:val="en-AU"/>
              </w:rPr>
              <w:t>5)</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7BC0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52917" w14:textId="77777777" w:rsidR="006011DB" w:rsidRPr="00162B20" w:rsidRDefault="006011DB" w:rsidP="00A52711">
            <w:pPr>
              <w:pStyle w:val="Tabletext"/>
              <w:keepNext/>
              <w:keepLines/>
              <w:widowControl w:val="0"/>
              <w:jc w:val="center"/>
              <w:rPr>
                <w:lang w:val="en-AU"/>
              </w:rPr>
            </w:pPr>
            <w:r w:rsidRPr="00162B20">
              <w:rPr>
                <w:lang w:val="en-AU"/>
              </w:rPr>
              <w:t>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63B4E" w14:textId="77777777" w:rsidR="006011DB" w:rsidRPr="00162B20" w:rsidRDefault="006011DB" w:rsidP="00A52711">
            <w:pPr>
              <w:pStyle w:val="Tabletext"/>
              <w:keepNext/>
              <w:keepLines/>
              <w:widowControl w:val="0"/>
              <w:rPr>
                <w:lang w:val="en-AU"/>
              </w:rPr>
            </w:pPr>
            <w:r w:rsidRPr="00162B20">
              <w:rPr>
                <w:lang w:val="en-AU"/>
              </w:rPr>
              <w:t>NR</w:t>
            </w:r>
          </w:p>
        </w:tc>
      </w:tr>
      <w:tr w:rsidR="006011DB" w:rsidRPr="00162B20" w14:paraId="279F409B" w14:textId="77777777" w:rsidTr="003F0661">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D8AE30" w14:textId="2F535152" w:rsidR="006011DB" w:rsidRPr="00162B20" w:rsidRDefault="006011DB" w:rsidP="00A52711">
            <w:pPr>
              <w:pStyle w:val="Tabletext"/>
              <w:keepNext/>
              <w:keepLines/>
              <w:widowControl w:val="0"/>
              <w:rPr>
                <w:b/>
                <w:bCs/>
                <w:lang w:val="en-AU"/>
              </w:rPr>
            </w:pPr>
            <w:bookmarkStart w:id="46" w:name="_Hlk155628664"/>
            <w:r w:rsidRPr="00162B20">
              <w:rPr>
                <w:b/>
                <w:bCs/>
                <w:lang w:val="en-AU"/>
              </w:rPr>
              <w:t>From US trial Register</w:t>
            </w:r>
            <w:r w:rsidR="004559D9" w:rsidRPr="00162B20">
              <w:rPr>
                <w:b/>
                <w:bCs/>
                <w:lang w:val="en-AU"/>
              </w:rPr>
              <w:t xml:space="preserve"> </w:t>
            </w:r>
            <w:r w:rsidR="004559D9" w:rsidRPr="00162B20">
              <w:rPr>
                <w:b/>
                <w:bCs/>
                <w:vertAlign w:val="superscript"/>
                <w:lang w:val="en-AU"/>
              </w:rPr>
              <w:t>b</w:t>
            </w:r>
          </w:p>
        </w:tc>
      </w:tr>
      <w:tr w:rsidR="002E06FC" w:rsidRPr="00162B20" w14:paraId="1E185CED"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E33A1" w14:textId="435065EE" w:rsidR="006011DB" w:rsidRPr="00162B20" w:rsidRDefault="006011DB" w:rsidP="00A52711">
            <w:pPr>
              <w:pStyle w:val="Tabletext"/>
              <w:keepNext/>
              <w:keepLines/>
              <w:widowControl w:val="0"/>
              <w:rPr>
                <w:lang w:val="en-AU"/>
              </w:rPr>
            </w:pPr>
            <w:r w:rsidRPr="00162B20">
              <w:rPr>
                <w:lang w:val="en-AU"/>
              </w:rPr>
              <w:t>All deaths</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F7F9B" w14:textId="107DDA7B" w:rsidR="006011DB" w:rsidRPr="00162B20" w:rsidRDefault="006011DB" w:rsidP="00A52711">
            <w:pPr>
              <w:pStyle w:val="Tabletext"/>
              <w:keepNext/>
              <w:keepLines/>
              <w:widowControl w:val="0"/>
              <w:jc w:val="center"/>
              <w:rPr>
                <w:lang w:val="en-AU"/>
              </w:rPr>
            </w:pPr>
            <w:r w:rsidRPr="00162B20">
              <w:rPr>
                <w:lang w:val="en-AU"/>
              </w:rPr>
              <w:t>22/44</w:t>
            </w:r>
            <w:r w:rsidR="000E1356" w:rsidRPr="00162B20">
              <w:rPr>
                <w:lang w:val="en-AU"/>
              </w:rPr>
              <w:t xml:space="preserve"> (</w:t>
            </w:r>
            <w:r w:rsidRPr="00162B20">
              <w:rPr>
                <w:lang w:val="en-AU"/>
              </w:rPr>
              <w:t>50)</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F282A" w14:textId="77777777" w:rsidR="006011DB" w:rsidRPr="00162B20" w:rsidRDefault="006011DB" w:rsidP="00A52711">
            <w:pPr>
              <w:pStyle w:val="Tabletext"/>
              <w:keepNext/>
              <w:keepLines/>
              <w:widowControl w:val="0"/>
              <w:jc w:val="center"/>
              <w:rPr>
                <w:lang w:val="en-AU"/>
              </w:rPr>
            </w:pPr>
            <w:r w:rsidRPr="00162B20">
              <w:rPr>
                <w:lang w:val="en-AU"/>
              </w:rPr>
              <w:t>NR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49857" w14:textId="1AAE7259" w:rsidR="006011DB" w:rsidRPr="00162B20" w:rsidRDefault="006011DB" w:rsidP="00A52711">
            <w:pPr>
              <w:pStyle w:val="Tabletext"/>
              <w:keepNext/>
              <w:keepLines/>
              <w:widowControl w:val="0"/>
              <w:jc w:val="center"/>
              <w:rPr>
                <w:lang w:val="en-AU"/>
              </w:rPr>
            </w:pPr>
            <w:r w:rsidRPr="00162B20">
              <w:rPr>
                <w:lang w:val="en-AU"/>
              </w:rPr>
              <w:t>24/46</w:t>
            </w:r>
            <w:r w:rsidR="000E1356" w:rsidRPr="00162B20">
              <w:rPr>
                <w:lang w:val="en-AU"/>
              </w:rPr>
              <w:t xml:space="preserve"> (</w:t>
            </w:r>
            <w:r w:rsidRPr="00162B20">
              <w:rPr>
                <w:lang w:val="en-AU"/>
              </w:rPr>
              <w:t>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52D93" w14:textId="77777777" w:rsidR="006011DB" w:rsidRPr="00162B20" w:rsidRDefault="006011DB" w:rsidP="00A52711">
            <w:pPr>
              <w:pStyle w:val="Tabletext"/>
              <w:keepNext/>
              <w:keepLines/>
              <w:widowControl w:val="0"/>
              <w:jc w:val="center"/>
              <w:rPr>
                <w:lang w:val="en-AU"/>
              </w:rPr>
            </w:pPr>
            <w:r w:rsidRPr="00162B20">
              <w:rPr>
                <w:lang w:val="en-AU"/>
              </w:rPr>
              <w:t>NR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256CB"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67F5C1DA" w14:textId="77777777" w:rsidTr="003F0661">
        <w:trPr>
          <w:trHeight w:val="620"/>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1A5E6" w14:textId="7E632D34" w:rsidR="006011DB" w:rsidRPr="00162B20" w:rsidRDefault="006011DB" w:rsidP="00A52711">
            <w:pPr>
              <w:pStyle w:val="Tabletext"/>
              <w:keepNext/>
              <w:keepLines/>
              <w:widowControl w:val="0"/>
              <w:rPr>
                <w:lang w:val="en-AU"/>
              </w:rPr>
            </w:pPr>
            <w:r w:rsidRPr="00162B20">
              <w:rPr>
                <w:lang w:val="en-AU"/>
              </w:rPr>
              <w:t>Any AEs (not including Serious AEs)</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62C10" w14:textId="1F6E5777" w:rsidR="006011DB" w:rsidRPr="00162B20" w:rsidRDefault="006011DB" w:rsidP="00A52711">
            <w:pPr>
              <w:pStyle w:val="Tabletext"/>
              <w:keepNext/>
              <w:keepLines/>
              <w:widowControl w:val="0"/>
              <w:jc w:val="center"/>
              <w:rPr>
                <w:lang w:val="en-AU"/>
              </w:rPr>
            </w:pPr>
            <w:r w:rsidRPr="00162B20">
              <w:rPr>
                <w:lang w:val="en-AU"/>
              </w:rPr>
              <w:t>41/43</w:t>
            </w:r>
            <w:r w:rsidR="000E1356" w:rsidRPr="00162B20">
              <w:rPr>
                <w:lang w:val="en-AU"/>
              </w:rPr>
              <w:t xml:space="preserve"> (</w:t>
            </w:r>
            <w:r w:rsidRPr="00162B20">
              <w:rPr>
                <w:lang w:val="en-AU"/>
              </w:rPr>
              <w:t>95)</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554E6" w14:textId="77777777" w:rsidR="006011DB" w:rsidRPr="00162B20" w:rsidRDefault="006011DB" w:rsidP="00A52711">
            <w:pPr>
              <w:pStyle w:val="Tabletext"/>
              <w:keepNext/>
              <w:keepLines/>
              <w:widowControl w:val="0"/>
              <w:jc w:val="center"/>
              <w:rPr>
                <w:lang w:val="en-AU"/>
              </w:rPr>
            </w:pPr>
            <w:r w:rsidRPr="00162B20">
              <w:rPr>
                <w:lang w:val="en-AU"/>
              </w:rPr>
              <w:t>NR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6FBC3" w14:textId="0AC842DE" w:rsidR="006011DB" w:rsidRPr="00162B20" w:rsidRDefault="006011DB" w:rsidP="00A52711">
            <w:pPr>
              <w:pStyle w:val="Tabletext"/>
              <w:keepNext/>
              <w:keepLines/>
              <w:widowControl w:val="0"/>
              <w:jc w:val="center"/>
              <w:rPr>
                <w:lang w:val="en-AU"/>
              </w:rPr>
            </w:pPr>
            <w:r w:rsidRPr="00162B20">
              <w:rPr>
                <w:lang w:val="en-AU"/>
              </w:rPr>
              <w:t>44/45</w:t>
            </w:r>
            <w:r w:rsidR="000E1356" w:rsidRPr="00162B20">
              <w:rPr>
                <w:lang w:val="en-AU"/>
              </w:rPr>
              <w:t xml:space="preserve"> (</w:t>
            </w:r>
            <w:r w:rsidRPr="00162B20">
              <w:rPr>
                <w:lang w:val="en-AU"/>
              </w:rPr>
              <w:t>98)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51326" w14:textId="77777777" w:rsidR="006011DB" w:rsidRPr="00162B20" w:rsidRDefault="006011DB" w:rsidP="00A52711">
            <w:pPr>
              <w:pStyle w:val="Tabletext"/>
              <w:keepNext/>
              <w:keepLines/>
              <w:widowControl w:val="0"/>
              <w:jc w:val="center"/>
              <w:rPr>
                <w:lang w:val="en-AU"/>
              </w:rPr>
            </w:pPr>
            <w:r w:rsidRPr="00162B20">
              <w:rPr>
                <w:lang w:val="en-AU"/>
              </w:rPr>
              <w:t>NR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C7232" w14:textId="77777777" w:rsidR="006011DB" w:rsidRPr="00162B20" w:rsidRDefault="006011DB" w:rsidP="00A52711">
            <w:pPr>
              <w:pStyle w:val="Tabletext"/>
              <w:keepNext/>
              <w:keepLines/>
              <w:widowControl w:val="0"/>
              <w:rPr>
                <w:lang w:val="en-AU"/>
              </w:rPr>
            </w:pPr>
            <w:r w:rsidRPr="00162B20">
              <w:rPr>
                <w:lang w:val="en-AU"/>
              </w:rPr>
              <w:t>NR</w:t>
            </w:r>
          </w:p>
        </w:tc>
      </w:tr>
      <w:tr w:rsidR="002E06FC" w:rsidRPr="00162B20" w14:paraId="4B580CA4" w14:textId="77777777" w:rsidTr="003F0661">
        <w:trPr>
          <w:trHeight w:val="225"/>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AB24B" w14:textId="3DCA2A9D" w:rsidR="006011DB" w:rsidRPr="00162B20" w:rsidRDefault="006011DB" w:rsidP="00A52711">
            <w:pPr>
              <w:pStyle w:val="Tabletext"/>
              <w:keepNext/>
              <w:keepLines/>
              <w:widowControl w:val="0"/>
              <w:rPr>
                <w:lang w:val="en-AU"/>
              </w:rPr>
            </w:pPr>
            <w:r w:rsidRPr="00162B20">
              <w:rPr>
                <w:lang w:val="en-AU"/>
              </w:rPr>
              <w:t>Serious AEs</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6C8E1" w14:textId="5DA9CEDA" w:rsidR="006011DB" w:rsidRPr="00162B20" w:rsidRDefault="006011DB" w:rsidP="00A52711">
            <w:pPr>
              <w:pStyle w:val="Tabletext"/>
              <w:keepNext/>
              <w:keepLines/>
              <w:widowControl w:val="0"/>
              <w:jc w:val="center"/>
              <w:rPr>
                <w:lang w:val="en-AU"/>
              </w:rPr>
            </w:pPr>
            <w:r w:rsidRPr="00162B20">
              <w:rPr>
                <w:lang w:val="en-AU"/>
              </w:rPr>
              <w:t>19/43</w:t>
            </w:r>
            <w:r w:rsidR="000E1356" w:rsidRPr="00162B20">
              <w:rPr>
                <w:lang w:val="en-AU"/>
              </w:rPr>
              <w:t xml:space="preserve"> (</w:t>
            </w:r>
            <w:r w:rsidRPr="00162B20">
              <w:rPr>
                <w:lang w:val="en-AU"/>
              </w:rPr>
              <w:t>44)</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52D37" w14:textId="77777777" w:rsidR="006011DB" w:rsidRPr="00162B20" w:rsidRDefault="006011DB" w:rsidP="00A52711">
            <w:pPr>
              <w:pStyle w:val="Tabletext"/>
              <w:keepNext/>
              <w:keepLines/>
              <w:widowControl w:val="0"/>
              <w:jc w:val="center"/>
              <w:rPr>
                <w:lang w:val="en-AU"/>
              </w:rPr>
            </w:pPr>
            <w:r w:rsidRPr="00162B20">
              <w:rPr>
                <w:lang w:val="en-AU"/>
              </w:rPr>
              <w:t>NR</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469C7" w14:textId="59AF2C8C" w:rsidR="006011DB" w:rsidRPr="00162B20" w:rsidRDefault="006011DB" w:rsidP="00A52711">
            <w:pPr>
              <w:pStyle w:val="Tabletext"/>
              <w:keepNext/>
              <w:keepLines/>
              <w:widowControl w:val="0"/>
              <w:jc w:val="center"/>
              <w:rPr>
                <w:lang w:val="en-AU"/>
              </w:rPr>
            </w:pPr>
            <w:r w:rsidRPr="00162B20">
              <w:rPr>
                <w:lang w:val="en-AU"/>
              </w:rPr>
              <w:t>15/45</w:t>
            </w:r>
            <w:r w:rsidR="000E1356" w:rsidRPr="00162B20">
              <w:rPr>
                <w:lang w:val="en-AU"/>
              </w:rPr>
              <w:t xml:space="preserve"> (</w:t>
            </w:r>
            <w:r w:rsidRPr="00162B20">
              <w:rPr>
                <w:lang w:val="en-AU"/>
              </w:rPr>
              <w:t>33)</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33AC61F" w14:textId="100BAC14" w:rsidR="006011DB" w:rsidRPr="00162B20" w:rsidRDefault="000E1356" w:rsidP="00A52711">
            <w:pPr>
              <w:pStyle w:val="Tabletext"/>
              <w:keepNext/>
              <w:keepLines/>
              <w:widowControl w:val="0"/>
              <w:jc w:val="center"/>
              <w:rPr>
                <w:lang w:val="en-AU"/>
              </w:rPr>
            </w:pPr>
            <w:r w:rsidRPr="00162B20">
              <w:rPr>
                <w:lang w:val="en-AU"/>
              </w:rPr>
              <w:t>NR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F4A09" w14:textId="77777777" w:rsidR="006011DB" w:rsidRPr="00162B20" w:rsidRDefault="006011DB" w:rsidP="00A52711">
            <w:pPr>
              <w:pStyle w:val="Tabletext"/>
              <w:keepNext/>
              <w:keepLines/>
              <w:widowControl w:val="0"/>
              <w:rPr>
                <w:lang w:val="en-AU"/>
              </w:rPr>
            </w:pPr>
            <w:r w:rsidRPr="00162B20">
              <w:rPr>
                <w:lang w:val="en-AU"/>
              </w:rPr>
              <w:t>NR</w:t>
            </w:r>
          </w:p>
        </w:tc>
      </w:tr>
    </w:tbl>
    <w:bookmarkEnd w:id="46"/>
    <w:p w14:paraId="0BE9D376" w14:textId="77777777" w:rsidR="006011DB" w:rsidRPr="00162B20" w:rsidRDefault="006011DB" w:rsidP="006011DB">
      <w:pPr>
        <w:pStyle w:val="TableFigureFooter"/>
      </w:pPr>
      <w:r w:rsidRPr="00162B20">
        <w:t>Source: Table 2-17, p51, and Table 2-18, p52 of the submission.</w:t>
      </w:r>
    </w:p>
    <w:p w14:paraId="24620E37" w14:textId="77777777" w:rsidR="006011DB" w:rsidRPr="00162B20" w:rsidRDefault="006011DB" w:rsidP="006011DB">
      <w:pPr>
        <w:pStyle w:val="TableFigureFooter"/>
      </w:pPr>
      <w:r w:rsidRPr="00162B20">
        <w:t xml:space="preserve">ALT = alanine aminotransferase; AST = aspartate aminotransferase; </w:t>
      </w:r>
      <w:r w:rsidRPr="00162B20">
        <w:rPr>
          <w:rFonts w:eastAsia="Calibri"/>
        </w:rPr>
        <w:t>CI = confidence interval; n = number of participants reporting data; N = total participants in group; NR = not reported, RR = relative risk.</w:t>
      </w:r>
    </w:p>
    <w:p w14:paraId="783CBDDC" w14:textId="69009DA1" w:rsidR="006011DB" w:rsidRPr="00162B20" w:rsidRDefault="004559D9" w:rsidP="006011DB">
      <w:pPr>
        <w:pStyle w:val="TableFigureFooter"/>
      </w:pPr>
      <w:r w:rsidRPr="00162B20">
        <w:rPr>
          <w:vertAlign w:val="superscript"/>
        </w:rPr>
        <w:t>a</w:t>
      </w:r>
      <w:r w:rsidR="006011DB" w:rsidRPr="00162B20">
        <w:t xml:space="preserve"> Pal et al (2021) reported adverse events that occurred in at least 10% of patients in the cabozantinib or sunitinib groups. CABOSUN II did not report any adverse events. </w:t>
      </w:r>
      <w:r w:rsidRPr="00162B20">
        <w:rPr>
          <w:vertAlign w:val="superscript"/>
        </w:rPr>
        <w:t>b</w:t>
      </w:r>
      <w:r w:rsidR="006011DB" w:rsidRPr="00162B20">
        <w:t xml:space="preserve"> Posted in US trial Register, 2</w:t>
      </w:r>
      <w:r w:rsidR="006011DB" w:rsidRPr="00162B20">
        <w:rPr>
          <w:vertAlign w:val="superscript"/>
        </w:rPr>
        <w:t>nd</w:t>
      </w:r>
      <w:r w:rsidR="006011DB" w:rsidRPr="00162B20">
        <w:t xml:space="preserve"> September 2022</w:t>
      </w:r>
    </w:p>
    <w:p w14:paraId="39543BA4" w14:textId="484B4585" w:rsidR="00223978" w:rsidRPr="00162B20" w:rsidRDefault="00223978" w:rsidP="00223978">
      <w:pPr>
        <w:pStyle w:val="3-BodyText"/>
        <w:snapToGrid w:val="0"/>
      </w:pPr>
      <w:r w:rsidRPr="00162B20">
        <w:t xml:space="preserve">Only SWOG 1500 reported adverse </w:t>
      </w:r>
      <w:r w:rsidR="006C5AE5" w:rsidRPr="00162B20">
        <w:t>events (AEs)</w:t>
      </w:r>
      <w:r w:rsidRPr="00162B20">
        <w:t xml:space="preserve"> </w:t>
      </w:r>
      <w:r w:rsidR="0087487B" w:rsidRPr="00162B20">
        <w:t>for</w:t>
      </w:r>
      <w:r w:rsidRPr="00162B20">
        <w:t xml:space="preserve"> cabozantinib compared with sunitinib</w:t>
      </w:r>
      <w:r w:rsidR="00C9778A" w:rsidRPr="00162B20">
        <w:t xml:space="preserve">. </w:t>
      </w:r>
      <w:r w:rsidR="00000C9C" w:rsidRPr="00162B20">
        <w:t>CABOSUN II</w:t>
      </w:r>
      <w:r w:rsidRPr="00162B20">
        <w:t xml:space="preserve"> did not report any </w:t>
      </w:r>
      <w:r w:rsidR="006C5AE5" w:rsidRPr="00162B20">
        <w:t>AEs</w:t>
      </w:r>
      <w:r w:rsidRPr="00162B20">
        <w:t xml:space="preserve"> in the published abstract or trial registry.</w:t>
      </w:r>
    </w:p>
    <w:p w14:paraId="6F80C5A3" w14:textId="238840D1" w:rsidR="00223978" w:rsidRPr="00162B20" w:rsidRDefault="00223978" w:rsidP="00223978">
      <w:pPr>
        <w:pStyle w:val="3-BodyText"/>
      </w:pPr>
      <w:r w:rsidRPr="00162B20">
        <w:lastRenderedPageBreak/>
        <w:t xml:space="preserve">Safety data for SWOG 1500 were available from two publicly available sources, the peer reviewed published results in </w:t>
      </w:r>
      <w:r w:rsidR="001900C6" w:rsidRPr="00162B20">
        <w:t>(Pal et al, 2021)</w:t>
      </w:r>
      <w:r w:rsidRPr="00162B20">
        <w:t xml:space="preserve"> and the results posted to the US clinical trials registry</w:t>
      </w:r>
      <w:r w:rsidR="00C9778A" w:rsidRPr="00162B20">
        <w:t xml:space="preserve">. </w:t>
      </w:r>
      <w:r w:rsidRPr="00162B20">
        <w:t xml:space="preserve">There were inconsistencies between the </w:t>
      </w:r>
      <w:r w:rsidR="00322B99" w:rsidRPr="00162B20">
        <w:t xml:space="preserve">published </w:t>
      </w:r>
      <w:r w:rsidRPr="00162B20">
        <w:t>safety data and that posted to the US Registry for the SWOG 1500 study, possibly due to different data cut-offs</w:t>
      </w:r>
      <w:r w:rsidR="00322B99" w:rsidRPr="00162B20">
        <w:t>.</w:t>
      </w:r>
    </w:p>
    <w:p w14:paraId="0C826C38" w14:textId="4245A3AB" w:rsidR="00AB4ECF" w:rsidRPr="00162B20" w:rsidRDefault="00000C9C" w:rsidP="006011DB">
      <w:pPr>
        <w:pStyle w:val="3-BodyText"/>
      </w:pPr>
      <w:r w:rsidRPr="00162B20">
        <w:t>SWOG 1500</w:t>
      </w:r>
      <w:r w:rsidR="00AB4ECF" w:rsidRPr="00162B20">
        <w:t xml:space="preserve">'s safety results showed that 74% of cabozantinib-treated patients and 69% of patients treated with sunitinib experienced at least one grade 3 or 4 </w:t>
      </w:r>
      <w:r w:rsidR="006C5AE5" w:rsidRPr="00162B20">
        <w:t>AE</w:t>
      </w:r>
      <w:r w:rsidR="00AB4ECF" w:rsidRPr="00162B20">
        <w:t xml:space="preserve">. </w:t>
      </w:r>
      <w:r w:rsidR="004C3547" w:rsidRPr="00162B20">
        <w:t>Patients treated with c</w:t>
      </w:r>
      <w:r w:rsidR="00AB4ECF" w:rsidRPr="00162B20">
        <w:t>abozantinib experience</w:t>
      </w:r>
      <w:r w:rsidR="004C3547" w:rsidRPr="00162B20">
        <w:t>d</w:t>
      </w:r>
      <w:r w:rsidR="00AB4ECF" w:rsidRPr="00162B20">
        <w:t xml:space="preserve"> </w:t>
      </w:r>
      <w:r w:rsidR="001C554C" w:rsidRPr="00162B20">
        <w:t>grades</w:t>
      </w:r>
      <w:r w:rsidR="00AB4ECF" w:rsidRPr="00162B20">
        <w:t xml:space="preserve"> 3 or 4 hand-foot syndrome (21%) and thromboembolic events (12%)</w:t>
      </w:r>
      <w:r w:rsidR="004C3547" w:rsidRPr="00162B20">
        <w:t>, whereas no patients in the sunitinib arm experienced grade 3/4 events for these AEs</w:t>
      </w:r>
      <w:r w:rsidR="00AB4ECF" w:rsidRPr="00162B20">
        <w:t>.</w:t>
      </w:r>
    </w:p>
    <w:p w14:paraId="7C9386D9" w14:textId="6B440DD2" w:rsidR="001C554C" w:rsidRPr="00162B20" w:rsidRDefault="001C554C" w:rsidP="001C554C">
      <w:pPr>
        <w:pStyle w:val="3-BodyText"/>
      </w:pPr>
      <w:r w:rsidRPr="00162B20">
        <w:t xml:space="preserve">The most common grade 3 or 4 </w:t>
      </w:r>
      <w:r w:rsidR="006C5AE5" w:rsidRPr="00162B20">
        <w:t>AEs</w:t>
      </w:r>
      <w:r w:rsidRPr="00162B20">
        <w:t xml:space="preserve"> with sunitinib were hypertension</w:t>
      </w:r>
      <w:r w:rsidR="00620AA1" w:rsidRPr="00162B20">
        <w:t xml:space="preserve"> (18%)</w:t>
      </w:r>
      <w:r w:rsidRPr="00162B20">
        <w:t>, anaemia</w:t>
      </w:r>
      <w:r w:rsidR="00620AA1" w:rsidRPr="00162B20">
        <w:t xml:space="preserve"> (13%)</w:t>
      </w:r>
      <w:r w:rsidRPr="00162B20">
        <w:t>, and decrease in white blood cell count</w:t>
      </w:r>
      <w:r w:rsidR="00620AA1" w:rsidRPr="00162B20">
        <w:t xml:space="preserve"> (11%)</w:t>
      </w:r>
      <w:r w:rsidRPr="00162B20">
        <w:t>. The most common grade 3 or 4 adverse events with cabozantinib were hypertension, hand-foot syndrome, and fatigue. One grade 5 adverse event (</w:t>
      </w:r>
      <w:r w:rsidR="009D3F6B" w:rsidRPr="00162B20">
        <w:t>i.e.</w:t>
      </w:r>
      <w:r w:rsidRPr="00162B20">
        <w:t>, death) within 30 days of the last dose of study medication was reported in one patient receiving cabozantinib, secondary to a thromboembolic event.</w:t>
      </w:r>
    </w:p>
    <w:p w14:paraId="5BB58ED8" w14:textId="77777777" w:rsidR="00171FAF" w:rsidRPr="00162B20" w:rsidRDefault="001C554C" w:rsidP="001C554C">
      <w:pPr>
        <w:pStyle w:val="3-BodyText"/>
        <w:rPr>
          <w:i/>
          <w:iCs/>
        </w:rPr>
      </w:pPr>
      <w:r w:rsidRPr="00162B20">
        <w:t>In the US registry</w:t>
      </w:r>
      <w:r w:rsidR="00CC2BC1" w:rsidRPr="00162B20">
        <w:t>, m</w:t>
      </w:r>
      <w:r w:rsidRPr="00162B20">
        <w:t xml:space="preserve">ore patients in the cabozantinib group reported serious AEs (44%) compared to the sunitinib group (33%). Thromboembolic events were the most common SAE in the cabozantinib group (11.63%). Three patients (6.98%) in the cabozantinib group reported a SAE of neoplasm benign, malignant and unspecified. </w:t>
      </w:r>
    </w:p>
    <w:p w14:paraId="44F91FEB" w14:textId="00A7186E" w:rsidR="00AB4ECF" w:rsidRPr="00162B20" w:rsidRDefault="00AB4ECF" w:rsidP="00AB4ECF">
      <w:pPr>
        <w:pStyle w:val="4-SubsectionHeading"/>
      </w:pPr>
      <w:bookmarkStart w:id="47" w:name="_Toc156987046"/>
      <w:r w:rsidRPr="00162B20">
        <w:t>Benefits/harms</w:t>
      </w:r>
      <w:bookmarkEnd w:id="47"/>
    </w:p>
    <w:p w14:paraId="752A7F39" w14:textId="13D7D719" w:rsidR="009F5B01" w:rsidRDefault="009F5B01" w:rsidP="009F5B01">
      <w:pPr>
        <w:pStyle w:val="3-BodyText"/>
      </w:pPr>
      <w:r>
        <w:t xml:space="preserve">No benefit/harms table is presented as there are no active comparators PBS listed for </w:t>
      </w:r>
      <w:proofErr w:type="spellStart"/>
      <w:r>
        <w:t>nccRCC</w:t>
      </w:r>
      <w:proofErr w:type="spellEnd"/>
      <w:r>
        <w:t xml:space="preserve"> and evidence presented in the submission was based on a comparison with sunitinib.</w:t>
      </w:r>
      <w:r w:rsidRPr="00162B20" w:rsidDel="009F5B01">
        <w:t xml:space="preserve"> </w:t>
      </w:r>
    </w:p>
    <w:p w14:paraId="454B0656" w14:textId="77777777" w:rsidR="00AB4ECF" w:rsidRPr="00162B20" w:rsidRDefault="00AB4ECF" w:rsidP="00AB4ECF">
      <w:pPr>
        <w:pStyle w:val="4-SubsectionHeading"/>
      </w:pPr>
      <w:bookmarkStart w:id="48" w:name="_Toc156987047"/>
      <w:r w:rsidRPr="00162B20">
        <w:t>Clinical claim</w:t>
      </w:r>
      <w:bookmarkEnd w:id="48"/>
    </w:p>
    <w:p w14:paraId="6A3EDD5E" w14:textId="5BC6B625" w:rsidR="00AB4ECF" w:rsidRPr="00162B20" w:rsidRDefault="00AB4ECF" w:rsidP="00AB4ECF">
      <w:pPr>
        <w:pStyle w:val="3-BodyText"/>
        <w:snapToGrid w:val="0"/>
        <w:rPr>
          <w:rFonts w:eastAsia="Calibri"/>
        </w:rPr>
      </w:pPr>
      <w:r w:rsidRPr="00162B20">
        <w:rPr>
          <w:rFonts w:eastAsia="Calibri"/>
        </w:rPr>
        <w:t xml:space="preserve">The submission described cabozantinib as superior in terms of effectiveness </w:t>
      </w:r>
      <w:r w:rsidR="00322B99" w:rsidRPr="00162B20">
        <w:rPr>
          <w:rFonts w:eastAsia="Calibri"/>
        </w:rPr>
        <w:t>in</w:t>
      </w:r>
      <w:r w:rsidRPr="00162B20">
        <w:rPr>
          <w:rFonts w:eastAsia="Calibri"/>
        </w:rPr>
        <w:t xml:space="preserve"> PFS and ORR compared to sunitinib. Th</w:t>
      </w:r>
      <w:r w:rsidR="00DF703A" w:rsidRPr="00162B20">
        <w:rPr>
          <w:rFonts w:eastAsia="Calibri"/>
        </w:rPr>
        <w:t>e ESC agreed with the Commentary that this</w:t>
      </w:r>
      <w:r w:rsidRPr="00162B20">
        <w:rPr>
          <w:rFonts w:eastAsia="Calibri"/>
        </w:rPr>
        <w:t xml:space="preserve"> claim was adequately supported in the papillary RCC population, but uncertain in other subtypes of </w:t>
      </w:r>
      <w:proofErr w:type="spellStart"/>
      <w:r w:rsidRPr="00162B20">
        <w:rPr>
          <w:rFonts w:eastAsia="Calibri"/>
        </w:rPr>
        <w:t>nccRCC</w:t>
      </w:r>
      <w:proofErr w:type="spellEnd"/>
      <w:r w:rsidRPr="00162B20">
        <w:rPr>
          <w:rFonts w:eastAsia="Calibri"/>
        </w:rPr>
        <w:t>.</w:t>
      </w:r>
    </w:p>
    <w:p w14:paraId="6B2931D9" w14:textId="474D27E3" w:rsidR="0060659F" w:rsidRPr="00162B20" w:rsidRDefault="0060659F" w:rsidP="00AB4ECF">
      <w:pPr>
        <w:pStyle w:val="3-BodyText"/>
        <w:snapToGrid w:val="0"/>
        <w:rPr>
          <w:rFonts w:eastAsia="Calibri"/>
        </w:rPr>
      </w:pPr>
      <w:r w:rsidRPr="00162B20">
        <w:rPr>
          <w:rFonts w:eastAsia="Calibri"/>
        </w:rPr>
        <w:t xml:space="preserve">The effectiveness of cabozantinib compared to sunitinib in post-TKI remained uncertain since </w:t>
      </w:r>
      <w:r w:rsidR="00CD4015" w:rsidRPr="00162B20">
        <w:rPr>
          <w:rFonts w:eastAsia="Calibri"/>
        </w:rPr>
        <w:t>only 5% of cabozantinib patients in SWOG 1500 received prior systemic treatment</w:t>
      </w:r>
      <w:r w:rsidRPr="00162B20">
        <w:rPr>
          <w:rFonts w:eastAsia="Calibri"/>
        </w:rPr>
        <w:t>.</w:t>
      </w:r>
    </w:p>
    <w:p w14:paraId="65DA616A" w14:textId="24AD5CD4" w:rsidR="00C708E8" w:rsidRPr="00162B20" w:rsidRDefault="00C708E8" w:rsidP="00976822">
      <w:pPr>
        <w:pStyle w:val="3-BodyText"/>
      </w:pPr>
      <w:r w:rsidRPr="00162B20">
        <w:t xml:space="preserve">In November 2020, the PBAC considered that the claim of non-inferior (different but broadly comparable) comparative safety versus sunitinib was reasonable in patients with </w:t>
      </w:r>
      <w:proofErr w:type="spellStart"/>
      <w:r w:rsidRPr="00162B20">
        <w:t>ccRCC</w:t>
      </w:r>
      <w:proofErr w:type="spellEnd"/>
      <w:r w:rsidRPr="00162B20">
        <w:t xml:space="preserve"> (paragraph 7.6, </w:t>
      </w:r>
      <w:proofErr w:type="spellStart"/>
      <w:r w:rsidRPr="00162B20">
        <w:t>cabozantinib</w:t>
      </w:r>
      <w:proofErr w:type="spellEnd"/>
      <w:r w:rsidRPr="00162B20">
        <w:t xml:space="preserve">, PSD, November 2020 PBAC Meeting). The ESC noted that, while not statistically significant, cabozantinib showed higher rates of adverse events than sunitinib </w:t>
      </w:r>
      <w:r w:rsidR="001F3604" w:rsidRPr="00162B20">
        <w:t>for</w:t>
      </w:r>
      <w:r w:rsidRPr="00162B20">
        <w:t xml:space="preserve"> many </w:t>
      </w:r>
      <w:r w:rsidR="00B439CB" w:rsidRPr="00162B20">
        <w:t xml:space="preserve">clinically significant </w:t>
      </w:r>
      <w:r w:rsidR="001F3604" w:rsidRPr="00162B20">
        <w:t>events</w:t>
      </w:r>
      <w:r w:rsidRPr="00162B20">
        <w:t xml:space="preserve"> in SWOG 1500 (including fatigue, hypertension, hand-foot syndrome, </w:t>
      </w:r>
      <w:r w:rsidR="00C908A6" w:rsidRPr="00162B20">
        <w:t xml:space="preserve">and </w:t>
      </w:r>
      <w:r w:rsidRPr="00162B20">
        <w:t xml:space="preserve">elevated liver enzymes). </w:t>
      </w:r>
      <w:r w:rsidR="001F3604" w:rsidRPr="00162B20">
        <w:t xml:space="preserve">The ESC considered that AEs for cabozantinib are generally manageable with dose </w:t>
      </w:r>
      <w:r w:rsidR="001F3604" w:rsidRPr="00162B20">
        <w:lastRenderedPageBreak/>
        <w:t xml:space="preserve">reductions and are not usually clinically limiting. </w:t>
      </w:r>
      <w:r w:rsidRPr="00162B20">
        <w:t xml:space="preserve">The ESC noted </w:t>
      </w:r>
      <w:r w:rsidR="00C908A6" w:rsidRPr="00162B20">
        <w:t>PBAC’s previous advice that comparative safety for cabozantinib and sunitinib was “</w:t>
      </w:r>
      <w:r w:rsidR="001F3604" w:rsidRPr="00162B20">
        <w:t xml:space="preserve">different but </w:t>
      </w:r>
      <w:r w:rsidR="00C908A6" w:rsidRPr="00162B20">
        <w:t>broadly comparable”</w:t>
      </w:r>
      <w:r w:rsidR="001F3604" w:rsidRPr="00162B20">
        <w:t xml:space="preserve"> but</w:t>
      </w:r>
      <w:r w:rsidR="00C908A6" w:rsidRPr="00162B20">
        <w:t xml:space="preserve"> the </w:t>
      </w:r>
      <w:r w:rsidR="001F3604" w:rsidRPr="00162B20">
        <w:t>ESC</w:t>
      </w:r>
      <w:r w:rsidR="00C908A6" w:rsidRPr="00162B20">
        <w:t xml:space="preserve"> considered t</w:t>
      </w:r>
      <w:r w:rsidRPr="00162B20">
        <w:t>he claim of comparable safety is uncertain</w:t>
      </w:r>
      <w:r w:rsidR="001F3604" w:rsidRPr="00162B20">
        <w:t xml:space="preserve">. </w:t>
      </w:r>
    </w:p>
    <w:p w14:paraId="12B69FBA" w14:textId="5E233413" w:rsidR="00CD4015" w:rsidRPr="00162B20" w:rsidRDefault="003E7A36" w:rsidP="00CD4015">
      <w:pPr>
        <w:pStyle w:val="3-BodyText"/>
        <w:rPr>
          <w:rFonts w:eastAsia="Calibri"/>
        </w:rPr>
      </w:pPr>
      <w:r w:rsidRPr="00162B20">
        <w:rPr>
          <w:rFonts w:eastAsia="Calibri"/>
        </w:rPr>
        <w:t xml:space="preserve">The submission also described the effectiveness (in terms of PFS and ORR) of cabozantinib compared to sunitinib in patients with </w:t>
      </w:r>
      <w:proofErr w:type="spellStart"/>
      <w:r w:rsidRPr="00162B20">
        <w:rPr>
          <w:rFonts w:eastAsia="Calibri"/>
        </w:rPr>
        <w:t>nccRCC</w:t>
      </w:r>
      <w:proofErr w:type="spellEnd"/>
      <w:r w:rsidRPr="00162B20">
        <w:rPr>
          <w:rFonts w:eastAsia="Calibri"/>
        </w:rPr>
        <w:t xml:space="preserve"> as essentially similar to that observed in patients with </w:t>
      </w:r>
      <w:proofErr w:type="spellStart"/>
      <w:r w:rsidR="00F02E5F" w:rsidRPr="00162B20">
        <w:rPr>
          <w:rFonts w:eastAsia="Calibri"/>
        </w:rPr>
        <w:t>ccRCC</w:t>
      </w:r>
      <w:proofErr w:type="spellEnd"/>
      <w:r w:rsidRPr="00162B20">
        <w:rPr>
          <w:rFonts w:eastAsia="Calibri"/>
        </w:rPr>
        <w:t xml:space="preserve">. </w:t>
      </w:r>
      <w:r w:rsidR="00CD4015" w:rsidRPr="00162B20">
        <w:rPr>
          <w:rFonts w:eastAsia="Calibri"/>
        </w:rPr>
        <w:t xml:space="preserve">The relative effectiveness of cabozantinib compared to sunitinib </w:t>
      </w:r>
      <w:r w:rsidRPr="00162B20">
        <w:rPr>
          <w:rFonts w:eastAsia="Calibri"/>
        </w:rPr>
        <w:t>appears to be</w:t>
      </w:r>
      <w:r w:rsidR="00CD4015" w:rsidRPr="00162B20">
        <w:rPr>
          <w:rFonts w:eastAsia="Calibri"/>
        </w:rPr>
        <w:t xml:space="preserve"> comparable in the first line of treatment across </w:t>
      </w:r>
      <w:proofErr w:type="spellStart"/>
      <w:r w:rsidR="00CD4015" w:rsidRPr="00162B20">
        <w:rPr>
          <w:rFonts w:eastAsia="Calibri"/>
        </w:rPr>
        <w:t>ccRCC</w:t>
      </w:r>
      <w:proofErr w:type="spellEnd"/>
      <w:r w:rsidR="00CD4015" w:rsidRPr="00162B20">
        <w:rPr>
          <w:rFonts w:eastAsia="Calibri"/>
        </w:rPr>
        <w:t xml:space="preserve"> and </w:t>
      </w:r>
      <w:proofErr w:type="spellStart"/>
      <w:r w:rsidR="00CD4015" w:rsidRPr="00162B20">
        <w:rPr>
          <w:rFonts w:eastAsia="Calibri"/>
        </w:rPr>
        <w:t>nccRCC</w:t>
      </w:r>
      <w:proofErr w:type="spellEnd"/>
      <w:r w:rsidR="00CD4015" w:rsidRPr="00162B20">
        <w:rPr>
          <w:rFonts w:eastAsia="Calibri"/>
        </w:rPr>
        <w:t xml:space="preserve">; however, this </w:t>
      </w:r>
      <w:r w:rsidR="00C9341B" w:rsidRPr="00162B20">
        <w:rPr>
          <w:rFonts w:eastAsia="Calibri"/>
        </w:rPr>
        <w:t xml:space="preserve">was based on a </w:t>
      </w:r>
      <w:r w:rsidR="00322B99" w:rsidRPr="00162B20">
        <w:rPr>
          <w:rFonts w:eastAsia="Calibri"/>
        </w:rPr>
        <w:t xml:space="preserve">naïve </w:t>
      </w:r>
      <w:r w:rsidR="00CD4015" w:rsidRPr="00162B20">
        <w:rPr>
          <w:rFonts w:eastAsia="Calibri"/>
        </w:rPr>
        <w:t xml:space="preserve">comparison </w:t>
      </w:r>
      <w:r w:rsidR="00C9341B" w:rsidRPr="00162B20">
        <w:rPr>
          <w:rFonts w:eastAsia="Calibri"/>
        </w:rPr>
        <w:t xml:space="preserve">and </w:t>
      </w:r>
      <w:r w:rsidR="00CD4015" w:rsidRPr="00162B20">
        <w:rPr>
          <w:rFonts w:eastAsia="Calibri"/>
        </w:rPr>
        <w:t xml:space="preserve">is affected by heterogeneity between the trials. </w:t>
      </w:r>
      <w:r w:rsidR="00D9146F" w:rsidRPr="00162B20">
        <w:rPr>
          <w:rFonts w:eastAsia="Calibri"/>
        </w:rPr>
        <w:t xml:space="preserve">The PSCR </w:t>
      </w:r>
      <w:r w:rsidR="00D9146F" w:rsidRPr="00162B20">
        <w:rPr>
          <w:szCs w:val="20"/>
        </w:rPr>
        <w:t>noted this is a limitation of the paucity of available evidence within the identified population, and the best evidence available is used as a basis for the submission.</w:t>
      </w:r>
      <w:r w:rsidR="00D9146F" w:rsidRPr="00162B20">
        <w:rPr>
          <w:rFonts w:eastAsia="Calibri"/>
        </w:rPr>
        <w:t xml:space="preserve"> </w:t>
      </w:r>
      <w:r w:rsidR="00E72A0B" w:rsidRPr="00162B20">
        <w:rPr>
          <w:rFonts w:eastAsia="Calibri"/>
        </w:rPr>
        <w:t xml:space="preserve">The ESC considered that there </w:t>
      </w:r>
      <w:r w:rsidR="00D9146F" w:rsidRPr="00162B20">
        <w:rPr>
          <w:rFonts w:eastAsia="Calibri"/>
        </w:rPr>
        <w:t>remained</w:t>
      </w:r>
      <w:r w:rsidR="00E72A0B" w:rsidRPr="00162B20">
        <w:rPr>
          <w:rFonts w:eastAsia="Calibri"/>
        </w:rPr>
        <w:t xml:space="preserve"> a high level of uncertainty in </w:t>
      </w:r>
      <w:r w:rsidR="000367E8" w:rsidRPr="00162B20">
        <w:rPr>
          <w:rFonts w:eastAsia="Calibri"/>
        </w:rPr>
        <w:t>the effectiveness claim</w:t>
      </w:r>
      <w:r w:rsidR="00D9146F" w:rsidRPr="00162B20">
        <w:rPr>
          <w:rFonts w:eastAsia="Calibri"/>
        </w:rPr>
        <w:t xml:space="preserve"> due to the paucity of evidence available</w:t>
      </w:r>
      <w:r w:rsidR="00E72A0B" w:rsidRPr="00162B20">
        <w:rPr>
          <w:rFonts w:eastAsia="Calibri"/>
        </w:rPr>
        <w:t xml:space="preserve">. </w:t>
      </w:r>
    </w:p>
    <w:p w14:paraId="031A60B1" w14:textId="7A6AFD49" w:rsidR="00CD4015" w:rsidRPr="00162B20" w:rsidRDefault="00CD4015" w:rsidP="00CD4015">
      <w:pPr>
        <w:pStyle w:val="3-BodyText"/>
        <w:rPr>
          <w:rFonts w:eastAsiaTheme="majorEastAsia" w:cstheme="majorBidi"/>
          <w:b/>
          <w:i/>
          <w:snapToGrid/>
          <w:spacing w:val="5"/>
          <w:kern w:val="28"/>
          <w:sz w:val="28"/>
          <w:szCs w:val="36"/>
        </w:rPr>
      </w:pPr>
      <w:r w:rsidRPr="00162B20">
        <w:rPr>
          <w:rFonts w:eastAsia="Calibri"/>
        </w:rPr>
        <w:t xml:space="preserve">The comparability of </w:t>
      </w:r>
      <w:proofErr w:type="spellStart"/>
      <w:r w:rsidRPr="00162B20">
        <w:rPr>
          <w:rFonts w:eastAsia="Calibri"/>
        </w:rPr>
        <w:t>cabozantinib</w:t>
      </w:r>
      <w:proofErr w:type="spellEnd"/>
      <w:r w:rsidRPr="00162B20">
        <w:rPr>
          <w:rFonts w:eastAsia="Calibri"/>
        </w:rPr>
        <w:t xml:space="preserve"> performance across </w:t>
      </w:r>
      <w:proofErr w:type="spellStart"/>
      <w:r w:rsidRPr="00162B20">
        <w:rPr>
          <w:rFonts w:eastAsia="Calibri"/>
        </w:rPr>
        <w:t>nccRCC</w:t>
      </w:r>
      <w:proofErr w:type="spellEnd"/>
      <w:r w:rsidRPr="00162B20">
        <w:rPr>
          <w:rFonts w:eastAsia="Calibri"/>
        </w:rPr>
        <w:t xml:space="preserve"> and </w:t>
      </w:r>
      <w:proofErr w:type="spellStart"/>
      <w:r w:rsidRPr="00162B20">
        <w:rPr>
          <w:rFonts w:eastAsia="Calibri"/>
        </w:rPr>
        <w:t>ccRCC</w:t>
      </w:r>
      <w:proofErr w:type="spellEnd"/>
      <w:r w:rsidRPr="00162B20">
        <w:rPr>
          <w:rFonts w:eastAsia="Calibri"/>
        </w:rPr>
        <w:t xml:space="preserve"> in </w:t>
      </w:r>
      <w:r w:rsidR="00322B99" w:rsidRPr="00162B20">
        <w:rPr>
          <w:rFonts w:eastAsia="Calibri"/>
        </w:rPr>
        <w:t>pos</w:t>
      </w:r>
      <w:r w:rsidR="00C4284D" w:rsidRPr="00162B20">
        <w:rPr>
          <w:rFonts w:eastAsia="Calibri"/>
        </w:rPr>
        <w:t>t</w:t>
      </w:r>
      <w:r w:rsidR="00322B99" w:rsidRPr="00162B20">
        <w:rPr>
          <w:rFonts w:eastAsia="Calibri"/>
        </w:rPr>
        <w:t>-TKI treatment</w:t>
      </w:r>
      <w:r w:rsidRPr="00162B20">
        <w:rPr>
          <w:rFonts w:eastAsia="Calibri"/>
        </w:rPr>
        <w:t xml:space="preserve"> </w:t>
      </w:r>
      <w:r w:rsidR="00196CE5" w:rsidRPr="00162B20">
        <w:rPr>
          <w:rFonts w:eastAsia="Calibri"/>
        </w:rPr>
        <w:t>is uncertain</w:t>
      </w:r>
      <w:r w:rsidRPr="00162B20">
        <w:rPr>
          <w:rFonts w:eastAsia="Calibri"/>
        </w:rPr>
        <w:t xml:space="preserve"> because there is no common comparator between </w:t>
      </w:r>
      <w:r w:rsidR="00000C9C" w:rsidRPr="00162B20">
        <w:rPr>
          <w:rFonts w:eastAsia="Calibri"/>
        </w:rPr>
        <w:t>METEOR</w:t>
      </w:r>
      <w:r w:rsidRPr="00162B20">
        <w:rPr>
          <w:rFonts w:eastAsia="Calibri"/>
        </w:rPr>
        <w:t xml:space="preserve"> and </w:t>
      </w:r>
      <w:r w:rsidR="00000C9C" w:rsidRPr="00162B20">
        <w:rPr>
          <w:rFonts w:eastAsia="Calibri"/>
        </w:rPr>
        <w:t>SWOG 1500</w:t>
      </w:r>
      <w:r w:rsidRPr="00162B20">
        <w:rPr>
          <w:rFonts w:eastAsia="Calibri"/>
        </w:rPr>
        <w:t xml:space="preserve"> (i.e., </w:t>
      </w:r>
      <w:proofErr w:type="spellStart"/>
      <w:r w:rsidRPr="00162B20">
        <w:rPr>
          <w:rFonts w:eastAsia="Calibri"/>
        </w:rPr>
        <w:t>everolimus</w:t>
      </w:r>
      <w:proofErr w:type="spellEnd"/>
      <w:r w:rsidRPr="00162B20">
        <w:rPr>
          <w:rFonts w:eastAsia="Calibri"/>
        </w:rPr>
        <w:t xml:space="preserve"> and sunitinib)</w:t>
      </w:r>
      <w:r w:rsidR="00E72A0B" w:rsidRPr="00162B20">
        <w:rPr>
          <w:rFonts w:eastAsia="Calibri"/>
        </w:rPr>
        <w:t xml:space="preserve"> and </w:t>
      </w:r>
      <w:r w:rsidRPr="00162B20">
        <w:rPr>
          <w:rFonts w:eastAsia="Calibri"/>
        </w:rPr>
        <w:t>only 5% of cabozantinib patients received prior systemic therapy.</w:t>
      </w:r>
      <w:r w:rsidR="006B5569" w:rsidRPr="00162B20">
        <w:rPr>
          <w:rFonts w:eastAsia="Calibri"/>
        </w:rPr>
        <w:t xml:space="preserve"> </w:t>
      </w:r>
      <w:r w:rsidR="006B5569" w:rsidRPr="00162B20">
        <w:t xml:space="preserve">However, </w:t>
      </w:r>
      <w:r w:rsidR="00E72A0B" w:rsidRPr="00162B20">
        <w:t xml:space="preserve">the ESC considered the second line comparison was of little relevance </w:t>
      </w:r>
      <w:r w:rsidR="008E0958" w:rsidRPr="00162B20">
        <w:t>for the submission as there are no other TKIs PBS</w:t>
      </w:r>
      <w:r w:rsidR="008E0958" w:rsidRPr="00162B20">
        <w:noBreakHyphen/>
        <w:t xml:space="preserve">listed for </w:t>
      </w:r>
      <w:proofErr w:type="spellStart"/>
      <w:r w:rsidR="008E0958" w:rsidRPr="00162B20">
        <w:t>nccRCC</w:t>
      </w:r>
      <w:proofErr w:type="spellEnd"/>
      <w:r w:rsidR="006B5569" w:rsidRPr="00162B20">
        <w:t>.</w:t>
      </w:r>
      <w:r w:rsidR="006B5569" w:rsidRPr="00162B20">
        <w:rPr>
          <w:i/>
          <w:iCs/>
        </w:rPr>
        <w:t xml:space="preserve"> </w:t>
      </w:r>
    </w:p>
    <w:p w14:paraId="0338A9A2" w14:textId="30D55709" w:rsidR="00CE227A" w:rsidRPr="00162B20" w:rsidRDefault="00CE227A" w:rsidP="001310A7">
      <w:pPr>
        <w:widowControl w:val="0"/>
        <w:numPr>
          <w:ilvl w:val="1"/>
          <w:numId w:val="1"/>
        </w:numPr>
        <w:spacing w:after="120"/>
        <w:rPr>
          <w:rFonts w:asciiTheme="minorHAnsi" w:hAnsiTheme="minorHAnsi"/>
          <w:snapToGrid w:val="0"/>
        </w:rPr>
      </w:pPr>
      <w:bookmarkStart w:id="49" w:name="_Hlk76376200"/>
      <w:r w:rsidRPr="00162B20">
        <w:rPr>
          <w:iCs/>
        </w:rPr>
        <w:t>The</w:t>
      </w:r>
      <w:r w:rsidRPr="00162B20">
        <w:t xml:space="preserve"> PBAC considered that the claim of </w:t>
      </w:r>
      <w:r w:rsidR="00AA784D" w:rsidRPr="00162B20">
        <w:t xml:space="preserve">superior </w:t>
      </w:r>
      <w:r w:rsidR="008E2FB1" w:rsidRPr="00162B20">
        <w:t xml:space="preserve">comparative effectiveness </w:t>
      </w:r>
      <w:r w:rsidR="001310A7" w:rsidRPr="00162B20">
        <w:t xml:space="preserve">compared with sunitinib </w:t>
      </w:r>
      <w:r w:rsidR="008E2FB1" w:rsidRPr="00162B20">
        <w:t xml:space="preserve">was reasonable for PFS and ORR and the claim of non-inferior OS </w:t>
      </w:r>
      <w:r w:rsidR="001310A7" w:rsidRPr="00162B20">
        <w:t xml:space="preserve">with sunitinib </w:t>
      </w:r>
      <w:r w:rsidR="008E2FB1" w:rsidRPr="00162B20">
        <w:t xml:space="preserve">was reasonable. </w:t>
      </w:r>
      <w:r w:rsidR="001310A7" w:rsidRPr="00162B20">
        <w:t xml:space="preserve">The PBAC also noted the limitations of the evidence </w:t>
      </w:r>
      <w:r w:rsidR="00343A85" w:rsidRPr="00162B20">
        <w:t xml:space="preserve">in less common RCC subtypes </w:t>
      </w:r>
      <w:r w:rsidR="001310A7" w:rsidRPr="00162B20">
        <w:t xml:space="preserve">but </w:t>
      </w:r>
      <w:r w:rsidR="001310A7" w:rsidRPr="00162B20">
        <w:rPr>
          <w:rFonts w:asciiTheme="minorHAnsi" w:hAnsiTheme="minorHAnsi"/>
          <w:snapToGrid w:val="0"/>
        </w:rPr>
        <w:t xml:space="preserve">considered that it was reasonable to conclude, on the basis of the available evidence, that there is comparable efficacy for </w:t>
      </w:r>
      <w:proofErr w:type="spellStart"/>
      <w:r w:rsidR="001310A7" w:rsidRPr="00162B20">
        <w:rPr>
          <w:rFonts w:asciiTheme="minorHAnsi" w:hAnsiTheme="minorHAnsi"/>
          <w:snapToGrid w:val="0"/>
        </w:rPr>
        <w:t>cabozantinib</w:t>
      </w:r>
      <w:proofErr w:type="spellEnd"/>
      <w:r w:rsidR="001310A7" w:rsidRPr="00162B20">
        <w:rPr>
          <w:rFonts w:asciiTheme="minorHAnsi" w:hAnsiTheme="minorHAnsi"/>
          <w:snapToGrid w:val="0"/>
        </w:rPr>
        <w:t xml:space="preserve"> in </w:t>
      </w:r>
      <w:proofErr w:type="spellStart"/>
      <w:r w:rsidR="001310A7" w:rsidRPr="00162B20">
        <w:rPr>
          <w:rFonts w:asciiTheme="minorHAnsi" w:hAnsiTheme="minorHAnsi"/>
          <w:snapToGrid w:val="0"/>
        </w:rPr>
        <w:t>nccRCC</w:t>
      </w:r>
      <w:proofErr w:type="spellEnd"/>
      <w:r w:rsidR="001310A7" w:rsidRPr="00162B20">
        <w:rPr>
          <w:rFonts w:asciiTheme="minorHAnsi" w:hAnsiTheme="minorHAnsi"/>
          <w:snapToGrid w:val="0"/>
        </w:rPr>
        <w:t xml:space="preserve"> and </w:t>
      </w:r>
      <w:proofErr w:type="spellStart"/>
      <w:r w:rsidR="001310A7" w:rsidRPr="00162B20">
        <w:rPr>
          <w:rFonts w:asciiTheme="minorHAnsi" w:hAnsiTheme="minorHAnsi"/>
          <w:snapToGrid w:val="0"/>
        </w:rPr>
        <w:t>ccRCC</w:t>
      </w:r>
      <w:proofErr w:type="spellEnd"/>
      <w:r w:rsidR="001310A7" w:rsidRPr="00162B20">
        <w:rPr>
          <w:rFonts w:asciiTheme="minorHAnsi" w:hAnsiTheme="minorHAnsi"/>
          <w:snapToGrid w:val="0"/>
        </w:rPr>
        <w:t>, particularly in the first line setting.</w:t>
      </w:r>
    </w:p>
    <w:p w14:paraId="2FD051D7" w14:textId="7CF2041A" w:rsidR="00CE227A" w:rsidRPr="00162B20" w:rsidRDefault="00CE227A" w:rsidP="00CE227A">
      <w:pPr>
        <w:pStyle w:val="3-BodyText"/>
      </w:pPr>
      <w:r w:rsidRPr="00162B20">
        <w:t xml:space="preserve">The PBAC considered that the claim of non-inferior comparative safety was </w:t>
      </w:r>
      <w:r w:rsidR="001310A7" w:rsidRPr="00162B20">
        <w:t xml:space="preserve">uncertain based on the limited evidence available, however considered that there are unlikely to be differences in comparative safety in patients with </w:t>
      </w:r>
      <w:proofErr w:type="spellStart"/>
      <w:r w:rsidR="001310A7" w:rsidRPr="00162B20">
        <w:t>nccRCC</w:t>
      </w:r>
      <w:proofErr w:type="spellEnd"/>
      <w:r w:rsidR="001310A7" w:rsidRPr="00162B20">
        <w:t xml:space="preserve"> compared with </w:t>
      </w:r>
      <w:proofErr w:type="spellStart"/>
      <w:r w:rsidR="001310A7" w:rsidRPr="00162B20">
        <w:t>ccRCC</w:t>
      </w:r>
      <w:proofErr w:type="spellEnd"/>
      <w:r w:rsidR="001310A7" w:rsidRPr="00162B20">
        <w:t xml:space="preserve">. </w:t>
      </w:r>
    </w:p>
    <w:p w14:paraId="74A1172E" w14:textId="128C170E" w:rsidR="00B60939" w:rsidRPr="00162B20" w:rsidRDefault="00B60939" w:rsidP="00E9094A">
      <w:pPr>
        <w:pStyle w:val="4-SubsectionHeading"/>
      </w:pPr>
      <w:bookmarkStart w:id="50" w:name="_Toc22897645"/>
      <w:bookmarkStart w:id="51" w:name="_Toc156987048"/>
      <w:bookmarkEnd w:id="49"/>
      <w:r w:rsidRPr="00162B20">
        <w:t>Economic analysis</w:t>
      </w:r>
      <w:bookmarkEnd w:id="50"/>
      <w:bookmarkEnd w:id="51"/>
      <w:r w:rsidR="00491B3A" w:rsidRPr="00162B20">
        <w:t xml:space="preserve"> </w:t>
      </w:r>
    </w:p>
    <w:p w14:paraId="2CE75FD4" w14:textId="027DB0E5" w:rsidR="00B74DAB" w:rsidRPr="00162B20" w:rsidRDefault="00B74DAB" w:rsidP="00B74DAB">
      <w:pPr>
        <w:pStyle w:val="3-BodyText"/>
        <w:snapToGrid w:val="0"/>
      </w:pPr>
      <w:r w:rsidRPr="00162B20">
        <w:t xml:space="preserve">The submission claimed that conducting a cost-effectiveness analysis was not feasible since the available clinical evidence was not derived from a company sponsored clinical trial, and therefore, a full clinical study report and individual patient data were not available (e.g., duration of treatment and utility data). Additionally, the submission noted that the PBAC had not assessed the cost-effectiveness of sunitinib, the comparator. </w:t>
      </w:r>
      <w:r w:rsidR="001F3604" w:rsidRPr="00162B20">
        <w:t>The ESC noted a</w:t>
      </w:r>
      <w:r w:rsidRPr="00162B20">
        <w:t xml:space="preserve"> modelled cost-effectiveness analysis </w:t>
      </w:r>
      <w:r w:rsidR="008E0958" w:rsidRPr="00162B20">
        <w:t xml:space="preserve">compared with BSC </w:t>
      </w:r>
      <w:r w:rsidRPr="00162B20">
        <w:t>could have been conducted using published data</w:t>
      </w:r>
      <w:r w:rsidR="008E0958" w:rsidRPr="00162B20">
        <w:t>,</w:t>
      </w:r>
      <w:r w:rsidRPr="00162B20">
        <w:t xml:space="preserve"> such as the survival curves (OS and PFS) from </w:t>
      </w:r>
      <w:r w:rsidR="00000C9C" w:rsidRPr="00162B20">
        <w:t>SWOG 1500</w:t>
      </w:r>
      <w:r w:rsidRPr="00162B20">
        <w:t xml:space="preserve"> </w:t>
      </w:r>
      <w:r w:rsidR="008E0958" w:rsidRPr="00162B20">
        <w:t xml:space="preserve">for cabozantinib </w:t>
      </w:r>
      <w:r w:rsidRPr="00162B20">
        <w:t xml:space="preserve">and utility scores </w:t>
      </w:r>
      <w:r w:rsidR="008E0958" w:rsidRPr="00162B20">
        <w:t xml:space="preserve">and other natural history data </w:t>
      </w:r>
      <w:r w:rsidRPr="00162B20">
        <w:t xml:space="preserve">from studies </w:t>
      </w:r>
      <w:r w:rsidR="00C4284D" w:rsidRPr="00162B20">
        <w:t>i</w:t>
      </w:r>
      <w:r w:rsidRPr="00162B20">
        <w:t>n advanced RCC.</w:t>
      </w:r>
    </w:p>
    <w:p w14:paraId="43540E26" w14:textId="0791A881" w:rsidR="00B74DAB" w:rsidRPr="00162B20" w:rsidRDefault="00B74DAB" w:rsidP="00B74DAB">
      <w:pPr>
        <w:pStyle w:val="3-BodyText"/>
        <w:snapToGrid w:val="0"/>
      </w:pPr>
      <w:r w:rsidRPr="00162B20">
        <w:t>The submission considered that conducting a cost-comparison analysis</w:t>
      </w:r>
      <w:r w:rsidR="001F3604" w:rsidRPr="00162B20">
        <w:t xml:space="preserve"> specific to </w:t>
      </w:r>
      <w:proofErr w:type="spellStart"/>
      <w:r w:rsidR="001F3604" w:rsidRPr="00162B20">
        <w:t>nccRCC</w:t>
      </w:r>
      <w:proofErr w:type="spellEnd"/>
      <w:r w:rsidRPr="00162B20">
        <w:t xml:space="preserve">, </w:t>
      </w:r>
      <w:r w:rsidR="001F3604" w:rsidRPr="00162B20">
        <w:t xml:space="preserve">but </w:t>
      </w:r>
      <w:r w:rsidRPr="00162B20">
        <w:t>similar to the analysis utilised to derive the current price for cabozantinib in the first</w:t>
      </w:r>
      <w:r w:rsidR="00364A62" w:rsidRPr="00162B20">
        <w:t>-</w:t>
      </w:r>
      <w:r w:rsidRPr="00162B20">
        <w:t xml:space="preserve">line treatment of </w:t>
      </w:r>
      <w:proofErr w:type="spellStart"/>
      <w:r w:rsidRPr="00162B20">
        <w:t>ccRCC</w:t>
      </w:r>
      <w:proofErr w:type="spellEnd"/>
      <w:r w:rsidRPr="00162B20">
        <w:t xml:space="preserve"> in reference to sunitinib, was not feasible because </w:t>
      </w:r>
      <w:r w:rsidRPr="00162B20">
        <w:lastRenderedPageBreak/>
        <w:t xml:space="preserve">the duration of treatment data is not available for the </w:t>
      </w:r>
      <w:proofErr w:type="spellStart"/>
      <w:r w:rsidRPr="00162B20">
        <w:t>nccRCC</w:t>
      </w:r>
      <w:proofErr w:type="spellEnd"/>
      <w:r w:rsidRPr="00162B20">
        <w:t xml:space="preserve"> population. Th</w:t>
      </w:r>
      <w:r w:rsidR="00364A62" w:rsidRPr="00162B20">
        <w:t>e</w:t>
      </w:r>
      <w:r w:rsidRPr="00162B20">
        <w:t xml:space="preserve"> cost-comparison analysis </w:t>
      </w:r>
      <w:r w:rsidR="000F0F03" w:rsidRPr="00162B20">
        <w:t xml:space="preserve">for </w:t>
      </w:r>
      <w:proofErr w:type="spellStart"/>
      <w:r w:rsidR="000F0F03" w:rsidRPr="00162B20">
        <w:t>ccRCC</w:t>
      </w:r>
      <w:proofErr w:type="spellEnd"/>
      <w:r w:rsidR="000F0F03" w:rsidRPr="00162B20">
        <w:t xml:space="preserve"> accepted by the PBAC in November 2020 </w:t>
      </w:r>
      <w:r w:rsidRPr="00162B20">
        <w:t>was based on pre</w:t>
      </w:r>
      <w:r w:rsidR="00364A62" w:rsidRPr="00162B20">
        <w:t>-</w:t>
      </w:r>
      <w:r w:rsidRPr="00162B20">
        <w:t xml:space="preserve"> and post</w:t>
      </w:r>
      <w:r w:rsidR="00364A62" w:rsidRPr="00162B20">
        <w:t>-</w:t>
      </w:r>
      <w:r w:rsidRPr="00162B20">
        <w:t xml:space="preserve">progression costs of treatment </w:t>
      </w:r>
      <w:r w:rsidR="000F0F03" w:rsidRPr="00162B20">
        <w:t xml:space="preserve">with cabozantinib compared with sunitinib, </w:t>
      </w:r>
      <w:r w:rsidRPr="00162B20">
        <w:t xml:space="preserve">assuming the same duration of OS. </w:t>
      </w:r>
      <w:r w:rsidR="000F0F03" w:rsidRPr="00162B20">
        <w:t xml:space="preserve">The PBAC </w:t>
      </w:r>
      <w:r w:rsidR="00A4481F" w:rsidRPr="00162B20">
        <w:t xml:space="preserve">previously </w:t>
      </w:r>
      <w:r w:rsidR="000F0F03" w:rsidRPr="00162B20">
        <w:t>accepted that the analysis adequately demonstrated that cabozantinib is cost-effective if the cost per day for cabozantinib that is no higher than the average cost per day for sunitinib</w:t>
      </w:r>
      <w:r w:rsidR="00F13D6A" w:rsidRPr="00162B20">
        <w:t xml:space="preserve"> </w:t>
      </w:r>
      <w:r w:rsidR="00FD21BF" w:rsidRPr="00162B20">
        <w:t>(paragraph</w:t>
      </w:r>
      <w:r w:rsidR="00F13D6A" w:rsidRPr="00162B20">
        <w:t xml:space="preserve"> 7.7, cabozantinib</w:t>
      </w:r>
      <w:r w:rsidR="00917425" w:rsidRPr="00162B20">
        <w:t>,</w:t>
      </w:r>
      <w:r w:rsidR="00F13D6A" w:rsidRPr="00162B20">
        <w:t xml:space="preserve"> PS</w:t>
      </w:r>
      <w:r w:rsidR="00585F88" w:rsidRPr="00162B20">
        <w:t>D</w:t>
      </w:r>
      <w:r w:rsidR="00F13D6A" w:rsidRPr="00162B20">
        <w:t xml:space="preserve">, November 2020 PBAC </w:t>
      </w:r>
      <w:r w:rsidR="00585F88" w:rsidRPr="00162B20">
        <w:t>M</w:t>
      </w:r>
      <w:r w:rsidR="00F13D6A" w:rsidRPr="00162B20">
        <w:t>eeting)</w:t>
      </w:r>
      <w:r w:rsidR="000F0F03" w:rsidRPr="00162B20">
        <w:t xml:space="preserve">. In this comparison patients treated with cabozantinib stayed on treatment for longer than patients on sunitinib (12.6 months for cabozantinib vs 7.2 months for sunitinib). </w:t>
      </w:r>
      <w:r w:rsidR="0097562E" w:rsidRPr="00162B20">
        <w:t>A</w:t>
      </w:r>
      <w:r w:rsidR="000F0F03" w:rsidRPr="00162B20">
        <w:t>lthough this resulted in a higher total estimated drug cost per patient</w:t>
      </w:r>
      <w:r w:rsidR="00F13D6A" w:rsidRPr="00162B20">
        <w:t xml:space="preserve"> for cabozantinib, this was offset by lower post-progression costs </w:t>
      </w:r>
      <w:r w:rsidR="00FD21BF" w:rsidRPr="00162B20">
        <w:t>(paragraph</w:t>
      </w:r>
      <w:r w:rsidR="00F13D6A" w:rsidRPr="00162B20">
        <w:t xml:space="preserve"> 7.9</w:t>
      </w:r>
      <w:r w:rsidR="00585F88" w:rsidRPr="00162B20">
        <w:t>,</w:t>
      </w:r>
      <w:r w:rsidR="00F13D6A" w:rsidRPr="00162B20">
        <w:t xml:space="preserve"> cabozantinib</w:t>
      </w:r>
      <w:r w:rsidR="00FD21BF" w:rsidRPr="00162B20">
        <w:t xml:space="preserve">, </w:t>
      </w:r>
      <w:r w:rsidR="00917425" w:rsidRPr="00162B20">
        <w:t>PSD</w:t>
      </w:r>
      <w:r w:rsidR="00F13D6A" w:rsidRPr="00162B20">
        <w:t>, November</w:t>
      </w:r>
      <w:r w:rsidR="00844EB4">
        <w:t> </w:t>
      </w:r>
      <w:r w:rsidR="00F13D6A" w:rsidRPr="00162B20">
        <w:t xml:space="preserve">2020 PBAC </w:t>
      </w:r>
      <w:r w:rsidR="00585F88" w:rsidRPr="00162B20">
        <w:t>M</w:t>
      </w:r>
      <w:r w:rsidR="00F13D6A" w:rsidRPr="00162B20">
        <w:t xml:space="preserve">eeting). </w:t>
      </w:r>
      <w:r w:rsidR="00A4481F" w:rsidRPr="00162B20">
        <w:t xml:space="preserve">The Commentary noted that </w:t>
      </w:r>
      <w:r w:rsidRPr="00162B20">
        <w:t>PFS could have been used to inform duration on treatment</w:t>
      </w:r>
      <w:r w:rsidR="0097562E" w:rsidRPr="00162B20">
        <w:t xml:space="preserve"> for </w:t>
      </w:r>
      <w:proofErr w:type="spellStart"/>
      <w:r w:rsidR="0097562E" w:rsidRPr="00162B20">
        <w:t>nccRCC</w:t>
      </w:r>
      <w:proofErr w:type="spellEnd"/>
      <w:r w:rsidR="00A4481F" w:rsidRPr="00162B20">
        <w:t xml:space="preserve">, however there was </w:t>
      </w:r>
      <w:r w:rsidR="00C90825" w:rsidRPr="00162B20">
        <w:t xml:space="preserve">also </w:t>
      </w:r>
      <w:r w:rsidR="00A4481F" w:rsidRPr="00162B20">
        <w:t xml:space="preserve">no information regarding post-progression treatments in </w:t>
      </w:r>
      <w:r w:rsidR="001A60BA" w:rsidRPr="00162B20">
        <w:t xml:space="preserve">the trials for </w:t>
      </w:r>
      <w:proofErr w:type="spellStart"/>
      <w:r w:rsidR="001A60BA" w:rsidRPr="00162B20">
        <w:t>nccRCC</w:t>
      </w:r>
      <w:proofErr w:type="spellEnd"/>
      <w:r w:rsidRPr="00162B20">
        <w:t xml:space="preserve">. </w:t>
      </w:r>
    </w:p>
    <w:p w14:paraId="0AAFA23F" w14:textId="77777777" w:rsidR="00B74DAB" w:rsidRPr="00162B20" w:rsidRDefault="00B74DAB" w:rsidP="00B74DAB">
      <w:pPr>
        <w:pStyle w:val="3-BodyText"/>
        <w:snapToGrid w:val="0"/>
      </w:pPr>
      <w:r w:rsidRPr="00162B20">
        <w:t xml:space="preserve">The submission proposed a ‘frame of reference’ approach to inform a suitable price for </w:t>
      </w:r>
      <w:proofErr w:type="spellStart"/>
      <w:r w:rsidRPr="00162B20">
        <w:t>cabozantinib</w:t>
      </w:r>
      <w:proofErr w:type="spellEnd"/>
      <w:r w:rsidRPr="00162B20">
        <w:t xml:space="preserve"> in advanced </w:t>
      </w:r>
      <w:proofErr w:type="spellStart"/>
      <w:r w:rsidRPr="00162B20">
        <w:t>nccRCC</w:t>
      </w:r>
      <w:proofErr w:type="spellEnd"/>
      <w:r w:rsidRPr="00162B20">
        <w:t>. The premise of this approach is:</w:t>
      </w:r>
    </w:p>
    <w:p w14:paraId="0EF00795" w14:textId="5C5E385F" w:rsidR="00B74DAB" w:rsidRPr="00162B20" w:rsidRDefault="00E37658" w:rsidP="00844EB4">
      <w:pPr>
        <w:pStyle w:val="3-BodyText"/>
        <w:numPr>
          <w:ilvl w:val="0"/>
          <w:numId w:val="8"/>
        </w:numPr>
        <w:ind w:left="1134"/>
      </w:pPr>
      <w:r w:rsidRPr="00162B20">
        <w:t>C</w:t>
      </w:r>
      <w:r w:rsidR="00B74DAB" w:rsidRPr="00162B20">
        <w:t xml:space="preserve">abozantinib is superior to sunitinib with respect to PFS and ORR, and non-inferior with respect to OS and safety in advanced </w:t>
      </w:r>
      <w:proofErr w:type="spellStart"/>
      <w:r w:rsidR="00B74DAB" w:rsidRPr="00162B20">
        <w:t>nccRCC</w:t>
      </w:r>
      <w:proofErr w:type="spellEnd"/>
      <w:r w:rsidR="00643921" w:rsidRPr="00162B20">
        <w:t>.</w:t>
      </w:r>
    </w:p>
    <w:p w14:paraId="295F978D" w14:textId="1DAC9EFA" w:rsidR="00B74DAB" w:rsidRPr="00162B20" w:rsidRDefault="00E37658" w:rsidP="00844EB4">
      <w:pPr>
        <w:pStyle w:val="3-BodyText"/>
        <w:numPr>
          <w:ilvl w:val="0"/>
          <w:numId w:val="8"/>
        </w:numPr>
        <w:ind w:left="1134"/>
      </w:pPr>
      <w:r w:rsidRPr="00162B20">
        <w:t>T</w:t>
      </w:r>
      <w:r w:rsidR="00B74DAB" w:rsidRPr="00162B20">
        <w:t xml:space="preserve">he effectiveness of cabozantinib in terms of PFS and ORR compared to sunitinib in patients with </w:t>
      </w:r>
      <w:proofErr w:type="spellStart"/>
      <w:r w:rsidR="00B74DAB" w:rsidRPr="00162B20">
        <w:t>nccRCC</w:t>
      </w:r>
      <w:proofErr w:type="spellEnd"/>
      <w:r w:rsidR="00B74DAB" w:rsidRPr="00162B20">
        <w:t xml:space="preserve"> is similar to that observed in </w:t>
      </w:r>
      <w:proofErr w:type="spellStart"/>
      <w:r w:rsidR="00B74DAB" w:rsidRPr="00162B20">
        <w:t>ccRCC</w:t>
      </w:r>
      <w:proofErr w:type="spellEnd"/>
      <w:r w:rsidR="0097562E" w:rsidRPr="00162B20">
        <w:t>.</w:t>
      </w:r>
    </w:p>
    <w:p w14:paraId="5345CD72" w14:textId="7C5D66ED" w:rsidR="00B74DAB" w:rsidRPr="00162B20" w:rsidRDefault="0097562E" w:rsidP="0097562E">
      <w:pPr>
        <w:pStyle w:val="3-BodyText"/>
        <w:numPr>
          <w:ilvl w:val="0"/>
          <w:numId w:val="0"/>
        </w:numPr>
        <w:ind w:left="720" w:hanging="11"/>
      </w:pPr>
      <w:r w:rsidRPr="00162B20">
        <w:t>The submission argued, on this basis, i</w:t>
      </w:r>
      <w:r w:rsidR="00B74DAB" w:rsidRPr="00162B20">
        <w:t xml:space="preserve">t is reasonable to apply the same price of </w:t>
      </w:r>
      <w:proofErr w:type="spellStart"/>
      <w:r w:rsidR="00B74DAB" w:rsidRPr="00162B20">
        <w:t>cabozantinib</w:t>
      </w:r>
      <w:proofErr w:type="spellEnd"/>
      <w:r w:rsidR="00B74DAB" w:rsidRPr="00162B20">
        <w:t xml:space="preserve"> accepted for </w:t>
      </w:r>
      <w:proofErr w:type="spellStart"/>
      <w:r w:rsidR="00B74DAB" w:rsidRPr="00162B20">
        <w:t>ccRCC</w:t>
      </w:r>
      <w:proofErr w:type="spellEnd"/>
      <w:r w:rsidR="00B74DAB" w:rsidRPr="00162B20">
        <w:t xml:space="preserve"> in the November 2020 to </w:t>
      </w:r>
      <w:proofErr w:type="spellStart"/>
      <w:r w:rsidR="00B74DAB" w:rsidRPr="00162B20">
        <w:t>nccRCC</w:t>
      </w:r>
      <w:proofErr w:type="spellEnd"/>
      <w:r w:rsidR="00B74DAB" w:rsidRPr="00162B20">
        <w:t>.</w:t>
      </w:r>
    </w:p>
    <w:p w14:paraId="37E7645C" w14:textId="4D0FCA26" w:rsidR="00B74DAB" w:rsidRPr="00162B20" w:rsidRDefault="00B74DAB" w:rsidP="00B74DAB">
      <w:pPr>
        <w:pStyle w:val="3-BodyText"/>
        <w:snapToGrid w:val="0"/>
      </w:pPr>
      <w:r w:rsidRPr="00162B20">
        <w:t xml:space="preserve">The current pricing of </w:t>
      </w:r>
      <w:proofErr w:type="spellStart"/>
      <w:r w:rsidRPr="00162B20">
        <w:t>cabozantinib</w:t>
      </w:r>
      <w:proofErr w:type="spellEnd"/>
      <w:r w:rsidRPr="00162B20">
        <w:t xml:space="preserve"> in </w:t>
      </w:r>
      <w:proofErr w:type="spellStart"/>
      <w:r w:rsidRPr="00162B20">
        <w:t>ccRCC</w:t>
      </w:r>
      <w:proofErr w:type="spellEnd"/>
      <w:r w:rsidRPr="00162B20">
        <w:t xml:space="preserve"> is a weighted price across first-line (i.e., patients untreated by TKIs) and post-TKI patients</w:t>
      </w:r>
      <w:r w:rsidR="00C30126">
        <w:t>. The PBAC noted that the prices and weighting as stated in the submission were incorrect</w:t>
      </w:r>
      <w:r w:rsidR="009700FB">
        <w:t>. T</w:t>
      </w:r>
      <w:r w:rsidR="00C30126">
        <w:t xml:space="preserve">he agreed prices and weighting are </w:t>
      </w:r>
      <w:r w:rsidRPr="00162B20">
        <w:t>as follows:</w:t>
      </w:r>
    </w:p>
    <w:p w14:paraId="4301DE03" w14:textId="488D30A2" w:rsidR="00B74DAB" w:rsidRPr="00162B20" w:rsidRDefault="00B74DAB" w:rsidP="00844EB4">
      <w:pPr>
        <w:pStyle w:val="3-BodyText"/>
        <w:numPr>
          <w:ilvl w:val="0"/>
          <w:numId w:val="9"/>
        </w:numPr>
        <w:ind w:left="1134"/>
      </w:pPr>
      <w:r w:rsidRPr="00162B20">
        <w:t xml:space="preserve">The first-line price was established based on a cost-analysis with sunitinib (effective price </w:t>
      </w:r>
      <w:r w:rsidR="00C30126">
        <w:t>$</w:t>
      </w:r>
      <w:r w:rsidR="0094719F" w:rsidRPr="002A1754">
        <w:rPr>
          <w:color w:val="000000"/>
          <w:w w:val="15"/>
          <w:shd w:val="solid" w:color="000000" w:fill="000000"/>
          <w:fitText w:val="-20" w:id="-961817086"/>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7086"/>
          <w14:textFill>
            <w14:solidFill>
              <w14:srgbClr w14:val="000000">
                <w14:alpha w14:val="100000"/>
              </w14:srgbClr>
            </w14:solidFill>
          </w14:textFill>
        </w:rPr>
        <w:t>|</w:t>
      </w:r>
      <w:r w:rsidRPr="00162B20">
        <w:t>). The term ‘cost-</w:t>
      </w:r>
      <w:proofErr w:type="gramStart"/>
      <w:r w:rsidRPr="00162B20">
        <w:t>analysis’</w:t>
      </w:r>
      <w:proofErr w:type="gramEnd"/>
      <w:r w:rsidRPr="00162B20">
        <w:t xml:space="preserve"> was used instead of cost-minimisation since the analysis relied on the difference in PFS and associated differences in treatment duration and time on post-progression therapy</w:t>
      </w:r>
      <w:r w:rsidR="001C554C" w:rsidRPr="00162B20">
        <w:t xml:space="preserve"> </w:t>
      </w:r>
      <w:r w:rsidR="00FD21BF" w:rsidRPr="00162B20">
        <w:t>(paragraph</w:t>
      </w:r>
      <w:r w:rsidR="00364A62" w:rsidRPr="00162B20">
        <w:t xml:space="preserve"> 6.19, cabozantinib</w:t>
      </w:r>
      <w:r w:rsidR="00FD21BF" w:rsidRPr="00162B20">
        <w:t>,</w:t>
      </w:r>
      <w:r w:rsidR="00364A62" w:rsidRPr="00162B20">
        <w:t xml:space="preserve"> </w:t>
      </w:r>
      <w:r w:rsidR="00917425" w:rsidRPr="00162B20">
        <w:t>PSD</w:t>
      </w:r>
      <w:r w:rsidR="00364A62" w:rsidRPr="00162B20">
        <w:t xml:space="preserve">, November 2020 PBAC </w:t>
      </w:r>
      <w:r w:rsidR="005B341A" w:rsidRPr="00162B20">
        <w:t>M</w:t>
      </w:r>
      <w:r w:rsidR="00364A62" w:rsidRPr="00162B20">
        <w:t>eeting</w:t>
      </w:r>
      <w:r w:rsidR="001C554C" w:rsidRPr="00162B20">
        <w:t>)</w:t>
      </w:r>
      <w:r w:rsidRPr="00162B20">
        <w:t>.</w:t>
      </w:r>
    </w:p>
    <w:p w14:paraId="39AEE298" w14:textId="3D30AD70" w:rsidR="00B74DAB" w:rsidRPr="00162B20" w:rsidRDefault="00B74DAB" w:rsidP="00844EB4">
      <w:pPr>
        <w:pStyle w:val="ListParagraph"/>
        <w:numPr>
          <w:ilvl w:val="0"/>
          <w:numId w:val="9"/>
        </w:numPr>
        <w:ind w:left="1134"/>
      </w:pPr>
      <w:r w:rsidRPr="00162B20">
        <w:t xml:space="preserve">The post-TKI price was established </w:t>
      </w:r>
      <w:r w:rsidR="00322B99" w:rsidRPr="00162B20">
        <w:t>based on</w:t>
      </w:r>
      <w:r w:rsidRPr="00162B20">
        <w:t xml:space="preserve"> cost-minimisation with nivolumab (effective price </w:t>
      </w:r>
      <w:r w:rsidR="001A2580" w:rsidRPr="00162B20">
        <w:t>$</w:t>
      </w:r>
      <w:r w:rsidR="0094719F" w:rsidRPr="002A1754">
        <w:rPr>
          <w:color w:val="000000"/>
          <w:w w:val="15"/>
          <w:shd w:val="solid" w:color="000000" w:fill="000000"/>
          <w:fitText w:val="-20" w:id="-961817085"/>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7085"/>
          <w14:textFill>
            <w14:solidFill>
              <w14:srgbClr w14:val="000000">
                <w14:alpha w14:val="100000"/>
              </w14:srgbClr>
            </w14:solidFill>
          </w14:textFill>
        </w:rPr>
        <w:t>|</w:t>
      </w:r>
      <w:r w:rsidRPr="00162B20">
        <w:t xml:space="preserve">). </w:t>
      </w:r>
      <w:r w:rsidR="005C4EF2" w:rsidRPr="00162B20">
        <w:t>That</w:t>
      </w:r>
      <w:r w:rsidR="00191E11" w:rsidRPr="00162B20">
        <w:t xml:space="preserve"> cost-minimisation </w:t>
      </w:r>
      <w:r w:rsidR="0097562E" w:rsidRPr="00162B20">
        <w:t xml:space="preserve">approach </w:t>
      </w:r>
      <w:r w:rsidR="00191E11" w:rsidRPr="00162B20">
        <w:t xml:space="preserve">was based on the equi-effective doses </w:t>
      </w:r>
      <w:r w:rsidR="005C4EF2" w:rsidRPr="00162B20">
        <w:t>of</w:t>
      </w:r>
      <w:r w:rsidR="00191E11" w:rsidRPr="00162B20">
        <w:t xml:space="preserve"> cabozantinib 45.15</w:t>
      </w:r>
      <w:r w:rsidR="0063526C">
        <w:t> </w:t>
      </w:r>
      <w:r w:rsidR="00191E11" w:rsidRPr="00162B20">
        <w:t>mg daily and nivolumab 240.6</w:t>
      </w:r>
      <w:r w:rsidR="0063526C">
        <w:t> </w:t>
      </w:r>
      <w:r w:rsidR="00191E11" w:rsidRPr="00162B20">
        <w:t>mg (80.2</w:t>
      </w:r>
      <w:r w:rsidR="0063526C">
        <w:t> </w:t>
      </w:r>
      <w:r w:rsidR="00191E11" w:rsidRPr="00162B20">
        <w:t>kg x 3</w:t>
      </w:r>
      <w:r w:rsidR="0063526C">
        <w:t> </w:t>
      </w:r>
      <w:r w:rsidR="00191E11" w:rsidRPr="00162B20">
        <w:t xml:space="preserve">mg/kg) every 14 days, assuming equal treatment durations </w:t>
      </w:r>
      <w:r w:rsidR="00FD21BF" w:rsidRPr="00162B20">
        <w:t>(paragraph</w:t>
      </w:r>
      <w:r w:rsidR="007E3D9E" w:rsidRPr="00162B20">
        <w:t xml:space="preserve"> 6.49, cabozantinib</w:t>
      </w:r>
      <w:r w:rsidR="00640116" w:rsidRPr="00162B20">
        <w:t xml:space="preserve"> </w:t>
      </w:r>
      <w:r w:rsidR="00917425" w:rsidRPr="00162B20">
        <w:t>PSD</w:t>
      </w:r>
      <w:r w:rsidR="00640116" w:rsidRPr="00162B20">
        <w:t>,</w:t>
      </w:r>
      <w:r w:rsidR="007E3D9E" w:rsidRPr="00162B20">
        <w:t xml:space="preserve"> December 2017 PBAC Meeting). </w:t>
      </w:r>
      <w:r w:rsidR="00C30126">
        <w:t>N</w:t>
      </w:r>
      <w:r w:rsidRPr="00162B20">
        <w:t xml:space="preserve">ivolumab was recommended by the PBAC following a cost-effectiveness analysis compared to </w:t>
      </w:r>
      <w:proofErr w:type="spellStart"/>
      <w:r w:rsidRPr="00162B20">
        <w:t>everolimus</w:t>
      </w:r>
      <w:proofErr w:type="spellEnd"/>
      <w:r w:rsidR="001C554C" w:rsidRPr="00162B20">
        <w:t xml:space="preserve"> </w:t>
      </w:r>
      <w:r w:rsidR="00FD21BF" w:rsidRPr="00162B20">
        <w:t>(paragraph</w:t>
      </w:r>
      <w:r w:rsidR="007E3D9E" w:rsidRPr="00162B20">
        <w:t xml:space="preserve"> 7.1, </w:t>
      </w:r>
      <w:proofErr w:type="spellStart"/>
      <w:r w:rsidR="007E3D9E" w:rsidRPr="00162B20">
        <w:t>cabozantinib</w:t>
      </w:r>
      <w:proofErr w:type="spellEnd"/>
      <w:r w:rsidR="007E3D9E" w:rsidRPr="00162B20">
        <w:t xml:space="preserve"> </w:t>
      </w:r>
      <w:r w:rsidR="00917425" w:rsidRPr="00162B20">
        <w:t>PSD</w:t>
      </w:r>
      <w:r w:rsidR="007E3D9E" w:rsidRPr="00162B20">
        <w:t xml:space="preserve">, </w:t>
      </w:r>
      <w:r w:rsidR="0063526C" w:rsidRPr="00162B20">
        <w:t>December</w:t>
      </w:r>
      <w:r w:rsidR="0063526C">
        <w:t> </w:t>
      </w:r>
      <w:r w:rsidR="007E3D9E" w:rsidRPr="00162B20">
        <w:t>2017 PBAC Meeting)</w:t>
      </w:r>
      <w:r w:rsidRPr="00162B20">
        <w:t xml:space="preserve">. </w:t>
      </w:r>
    </w:p>
    <w:p w14:paraId="0537C254" w14:textId="6295D5C5" w:rsidR="00B74DAB" w:rsidRPr="00162B20" w:rsidRDefault="00B74DAB" w:rsidP="00844EB4">
      <w:pPr>
        <w:pStyle w:val="3-BodyText"/>
        <w:numPr>
          <w:ilvl w:val="0"/>
          <w:numId w:val="9"/>
        </w:numPr>
        <w:ind w:left="1134"/>
      </w:pPr>
      <w:r w:rsidRPr="00162B20">
        <w:t>The weighted net effective price ($</w:t>
      </w:r>
      <w:r w:rsidR="0094719F" w:rsidRPr="002A1754">
        <w:rPr>
          <w:color w:val="000000"/>
          <w:w w:val="15"/>
          <w:shd w:val="solid" w:color="000000" w:fill="000000"/>
          <w:fitText w:val="-20" w:id="-961817084"/>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7084"/>
          <w14:textFill>
            <w14:solidFill>
              <w14:srgbClr w14:val="000000">
                <w14:alpha w14:val="100000"/>
              </w14:srgbClr>
            </w14:solidFill>
          </w14:textFill>
        </w:rPr>
        <w:t>|</w:t>
      </w:r>
      <w:r w:rsidRPr="00162B20">
        <w:t xml:space="preserve">) </w:t>
      </w:r>
      <w:r w:rsidR="00364A62" w:rsidRPr="00162B20">
        <w:t>was</w:t>
      </w:r>
      <w:r w:rsidRPr="00162B20">
        <w:t xml:space="preserve"> based on a weighting of </w:t>
      </w:r>
      <w:r w:rsidR="00C30126">
        <w:t>74</w:t>
      </w:r>
      <w:r w:rsidRPr="00162B20">
        <w:t xml:space="preserve">% </w:t>
      </w:r>
      <w:proofErr w:type="gramStart"/>
      <w:r w:rsidRPr="00162B20">
        <w:t>first-line</w:t>
      </w:r>
      <w:proofErr w:type="gramEnd"/>
      <w:r w:rsidRPr="00162B20">
        <w:t xml:space="preserve"> and </w:t>
      </w:r>
      <w:r w:rsidR="00C30126">
        <w:t>26</w:t>
      </w:r>
      <w:r w:rsidRPr="00162B20">
        <w:t xml:space="preserve">% </w:t>
      </w:r>
      <w:r w:rsidR="005C4EF2" w:rsidRPr="00162B20">
        <w:t>second</w:t>
      </w:r>
      <w:r w:rsidR="009700FB">
        <w:t>-</w:t>
      </w:r>
      <w:r w:rsidR="005C4EF2" w:rsidRPr="00162B20">
        <w:t>line (</w:t>
      </w:r>
      <w:r w:rsidRPr="00162B20">
        <w:t>post-TKI</w:t>
      </w:r>
      <w:r w:rsidR="005C4EF2" w:rsidRPr="00162B20">
        <w:t>)</w:t>
      </w:r>
      <w:r w:rsidR="009700FB">
        <w:t xml:space="preserve"> scripts</w:t>
      </w:r>
      <w:r w:rsidRPr="00162B20">
        <w:t xml:space="preserve">. </w:t>
      </w:r>
    </w:p>
    <w:p w14:paraId="2FF1CBD8" w14:textId="1C71ABA3" w:rsidR="009F5B01" w:rsidRPr="009F5B01" w:rsidRDefault="000D59C0" w:rsidP="009F5B01">
      <w:pPr>
        <w:pStyle w:val="3-BodyText"/>
      </w:pPr>
      <w:r w:rsidRPr="00162B20">
        <w:lastRenderedPageBreak/>
        <w:t xml:space="preserve">The price using 95% </w:t>
      </w:r>
      <w:proofErr w:type="gramStart"/>
      <w:r w:rsidRPr="00162B20">
        <w:t>first-line</w:t>
      </w:r>
      <w:proofErr w:type="gramEnd"/>
      <w:r w:rsidRPr="00162B20">
        <w:t xml:space="preserve"> and 5% second-line therapy (as in SWOG 1500) would be $</w:t>
      </w:r>
      <w:r w:rsidR="0094719F" w:rsidRPr="002A1754">
        <w:rPr>
          <w:color w:val="000000"/>
          <w:w w:val="15"/>
          <w:shd w:val="solid" w:color="000000" w:fill="000000"/>
          <w:fitText w:val="-20" w:id="-961817083"/>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7083"/>
          <w14:textFill>
            <w14:solidFill>
              <w14:srgbClr w14:val="000000">
                <w14:alpha w14:val="100000"/>
              </w14:srgbClr>
            </w14:solidFill>
          </w14:textFill>
        </w:rPr>
        <w:t>|</w:t>
      </w:r>
      <w:r w:rsidRPr="00162B20">
        <w:t xml:space="preserve">, which is about </w:t>
      </w:r>
      <w:r w:rsidR="00C30126">
        <w:t>17</w:t>
      </w:r>
      <w:r w:rsidRPr="00162B20">
        <w:t xml:space="preserve">% lower than the proposed effective price. </w:t>
      </w:r>
      <w:r w:rsidR="001A60BA" w:rsidRPr="00162B20">
        <w:t xml:space="preserve">The PSCR argued that there is no evidence that using a weighted price based on lines of treatment in SWOG 1500 would reflect the actual weighting of use across lines of treatment within </w:t>
      </w:r>
      <w:proofErr w:type="spellStart"/>
      <w:r w:rsidR="001A60BA" w:rsidRPr="00162B20">
        <w:t>nccRCC</w:t>
      </w:r>
      <w:proofErr w:type="spellEnd"/>
      <w:r w:rsidR="001A60BA" w:rsidRPr="00162B20">
        <w:t xml:space="preserve"> patients on the PBS and alternative clinical trial report higher rates of previous systemic treatments. The ESC considered that in the </w:t>
      </w:r>
      <w:proofErr w:type="spellStart"/>
      <w:r w:rsidR="001A60BA" w:rsidRPr="00162B20">
        <w:t>nccRCC</w:t>
      </w:r>
      <w:proofErr w:type="spellEnd"/>
      <w:r w:rsidR="001A60BA" w:rsidRPr="00162B20">
        <w:t xml:space="preserve"> setting patients would be treated almost exclusively in the first line setting as there are no PBS-listed alternatives, and </w:t>
      </w:r>
      <w:r w:rsidR="00F6793C" w:rsidRPr="00162B20">
        <w:t xml:space="preserve">therefore the first-line price would be more applicable for this population. </w:t>
      </w:r>
      <w:r w:rsidR="001A4FCD" w:rsidRPr="00162B20">
        <w:t>The pre-PBAC response</w:t>
      </w:r>
      <w:r w:rsidR="009700FB">
        <w:t xml:space="preserve"> </w:t>
      </w:r>
      <w:r w:rsidR="001A4FCD" w:rsidRPr="00162B20">
        <w:t xml:space="preserve">disagreed with the ESC advice that patients would be treated almost exclusively in the first line setting and stated that </w:t>
      </w:r>
      <w:r w:rsidR="00A27767" w:rsidRPr="002D001B">
        <w:t>&lt; 500</w:t>
      </w:r>
      <w:r w:rsidR="001A4FCD" w:rsidRPr="002D001B">
        <w:t>/</w:t>
      </w:r>
      <w:r w:rsidR="00A27767" w:rsidRPr="002D001B">
        <w:t>&lt; 500</w:t>
      </w:r>
      <w:r w:rsidR="001A4FCD" w:rsidRPr="002D001B">
        <w:t xml:space="preserve"> (27.4%) of patients enrolled in the compassionate access program wer</w:t>
      </w:r>
      <w:r w:rsidR="001A4FCD" w:rsidRPr="00162B20">
        <w:t xml:space="preserve">e not treatment naïve, with the majority of these having accessed clinical trials. </w:t>
      </w:r>
      <w:bookmarkStart w:id="52" w:name="_Hlk162510887"/>
      <w:r w:rsidR="009F5B01">
        <w:t xml:space="preserve">The PBAC considered that there may be a small number of patients who receive cabozantinib as second-line treatment in the first year of listing, however the agreed first-line price for </w:t>
      </w:r>
      <w:proofErr w:type="spellStart"/>
      <w:r w:rsidR="009F5B01">
        <w:t>ccRCC</w:t>
      </w:r>
      <w:proofErr w:type="spellEnd"/>
      <w:r w:rsidR="009F5B01">
        <w:t xml:space="preserve"> should apply in the </w:t>
      </w:r>
      <w:proofErr w:type="spellStart"/>
      <w:r w:rsidR="009F5B01">
        <w:t>nccRCC</w:t>
      </w:r>
      <w:proofErr w:type="spellEnd"/>
      <w:r w:rsidR="009F5B01">
        <w:t xml:space="preserve"> setting as it would be expected that, after listing on the PBS, cabozantinib is the preferred first-line treatment for these patients. </w:t>
      </w:r>
      <w:r w:rsidR="009F5B01" w:rsidRPr="009F5B01">
        <w:t xml:space="preserve">The PBAC considered that the weighted price </w:t>
      </w:r>
      <w:r w:rsidR="009F5B01">
        <w:t xml:space="preserve">for RCC </w:t>
      </w:r>
      <w:r w:rsidR="009F5B01" w:rsidRPr="009F5B01">
        <w:t xml:space="preserve">should assume 25% of use in the </w:t>
      </w:r>
      <w:proofErr w:type="spellStart"/>
      <w:r w:rsidR="009F5B01" w:rsidRPr="009F5B01">
        <w:t>nccRCC</w:t>
      </w:r>
      <w:proofErr w:type="spellEnd"/>
      <w:r w:rsidR="009F5B01" w:rsidRPr="009F5B01">
        <w:t xml:space="preserve"> population</w:t>
      </w:r>
      <w:r w:rsidR="009F5B01">
        <w:t xml:space="preserve"> and 75% in the </w:t>
      </w:r>
      <w:proofErr w:type="spellStart"/>
      <w:r w:rsidR="009F5B01">
        <w:t>ccRCC</w:t>
      </w:r>
      <w:proofErr w:type="spellEnd"/>
      <w:r w:rsidR="009F5B01">
        <w:t xml:space="preserve"> population</w:t>
      </w:r>
      <w:r w:rsidR="009F5B01" w:rsidRPr="009F5B01">
        <w:t>.</w:t>
      </w:r>
      <w:bookmarkEnd w:id="52"/>
    </w:p>
    <w:p w14:paraId="4140DE6C" w14:textId="190659DF" w:rsidR="00687C67" w:rsidRPr="00162B20" w:rsidRDefault="00890D0C" w:rsidP="00AC0934">
      <w:pPr>
        <w:pStyle w:val="3-BodyText"/>
      </w:pPr>
      <w:r w:rsidRPr="00162B20">
        <w:fldChar w:fldCharType="begin"/>
      </w:r>
      <w:r w:rsidRPr="00162B20">
        <w:instrText xml:space="preserve"> REF _Ref155620899 \h </w:instrText>
      </w:r>
      <w:r w:rsidRPr="00162B20">
        <w:fldChar w:fldCharType="separate"/>
      </w:r>
      <w:r w:rsidR="0030362D" w:rsidRPr="00162B20">
        <w:t xml:space="preserve">Table </w:t>
      </w:r>
      <w:r w:rsidR="0030362D">
        <w:rPr>
          <w:noProof/>
        </w:rPr>
        <w:t>7</w:t>
      </w:r>
      <w:r w:rsidRPr="00162B20">
        <w:fldChar w:fldCharType="end"/>
      </w:r>
      <w:r w:rsidR="007C4298" w:rsidRPr="00162B20">
        <w:t xml:space="preserve"> </w:t>
      </w:r>
      <w:r w:rsidR="0097562E" w:rsidRPr="00162B20">
        <w:t xml:space="preserve">(above) provides </w:t>
      </w:r>
      <w:r w:rsidR="00B80EC9" w:rsidRPr="00162B20">
        <w:t xml:space="preserve">a naïve comparison of PFS results for trials that included </w:t>
      </w:r>
      <w:proofErr w:type="spellStart"/>
      <w:r w:rsidR="00B80EC9" w:rsidRPr="00162B20">
        <w:t>nccRCC</w:t>
      </w:r>
      <w:proofErr w:type="spellEnd"/>
      <w:r w:rsidR="00B80EC9" w:rsidRPr="00162B20">
        <w:t xml:space="preserve"> (SWOG 1500) and </w:t>
      </w:r>
      <w:proofErr w:type="spellStart"/>
      <w:r w:rsidR="00B80EC9" w:rsidRPr="00162B20">
        <w:t>ccRCC</w:t>
      </w:r>
      <w:proofErr w:type="spellEnd"/>
      <w:r w:rsidR="00B80EC9" w:rsidRPr="00162B20">
        <w:t xml:space="preserve"> (CABOSUN and METEOR) patients</w:t>
      </w:r>
      <w:r w:rsidR="001A4FCD" w:rsidRPr="00162B20">
        <w:t>, to inform the frame of reference approach</w:t>
      </w:r>
      <w:r w:rsidR="00B80EC9" w:rsidRPr="00162B20">
        <w:t>.</w:t>
      </w:r>
      <w:r w:rsidR="005C4EF2" w:rsidRPr="00162B20">
        <w:t xml:space="preserve"> </w:t>
      </w:r>
      <w:r w:rsidR="00687C67" w:rsidRPr="00162B20">
        <w:t>The frame of reference approach has the following limitations:</w:t>
      </w:r>
    </w:p>
    <w:p w14:paraId="088D83F5" w14:textId="149DBC2C" w:rsidR="005C4EF2" w:rsidRPr="00162B20" w:rsidRDefault="005C4EF2" w:rsidP="00844EB4">
      <w:pPr>
        <w:pStyle w:val="3-BodyText"/>
        <w:numPr>
          <w:ilvl w:val="0"/>
          <w:numId w:val="10"/>
        </w:numPr>
        <w:ind w:left="1134"/>
      </w:pPr>
      <w:r w:rsidRPr="00162B20">
        <w:t xml:space="preserve">The applicability issues related to </w:t>
      </w:r>
      <w:r w:rsidR="009036E6" w:rsidRPr="00162B20">
        <w:t>SWOG 1500</w:t>
      </w:r>
      <w:r w:rsidRPr="00162B20">
        <w:t>, mainly including only patients with papillary RCC.</w:t>
      </w:r>
    </w:p>
    <w:p w14:paraId="3FAA3CF8" w14:textId="609B1B4F" w:rsidR="005C4EF2" w:rsidRPr="00162B20" w:rsidRDefault="005C4EF2" w:rsidP="00844EB4">
      <w:pPr>
        <w:pStyle w:val="3-BodyText"/>
        <w:numPr>
          <w:ilvl w:val="0"/>
          <w:numId w:val="10"/>
        </w:numPr>
        <w:ind w:left="1134"/>
      </w:pPr>
      <w:r w:rsidRPr="00162B20">
        <w:t xml:space="preserve">Issues regarding the naïve comparisons of </w:t>
      </w:r>
      <w:proofErr w:type="spellStart"/>
      <w:r w:rsidRPr="00162B20">
        <w:t>nccRCC</w:t>
      </w:r>
      <w:proofErr w:type="spellEnd"/>
      <w:r w:rsidRPr="00162B20">
        <w:t xml:space="preserve"> and </w:t>
      </w:r>
      <w:proofErr w:type="spellStart"/>
      <w:r w:rsidRPr="00162B20">
        <w:t>ccRCC</w:t>
      </w:r>
      <w:proofErr w:type="spellEnd"/>
      <w:r w:rsidRPr="00162B20">
        <w:t xml:space="preserve"> trials as outlined above in </w:t>
      </w:r>
      <w:r w:rsidR="00322B99" w:rsidRPr="00162B20">
        <w:t>paragraphs</w:t>
      </w:r>
      <w:r w:rsidR="00A96F44" w:rsidRPr="00162B20">
        <w:t xml:space="preserve"> </w:t>
      </w:r>
      <w:r w:rsidR="00A96F44" w:rsidRPr="00162B20">
        <w:fldChar w:fldCharType="begin"/>
      </w:r>
      <w:r w:rsidR="00A96F44" w:rsidRPr="00162B20">
        <w:instrText xml:space="preserve"> REF _Ref156202296 \r \h </w:instrText>
      </w:r>
      <w:r w:rsidR="00197920" w:rsidRPr="00162B20">
        <w:instrText xml:space="preserve"> \* MERGEFORMAT </w:instrText>
      </w:r>
      <w:r w:rsidR="00A96F44" w:rsidRPr="00162B20">
        <w:fldChar w:fldCharType="separate"/>
      </w:r>
      <w:r w:rsidR="0030362D">
        <w:t>6.26</w:t>
      </w:r>
      <w:r w:rsidR="00A96F44" w:rsidRPr="00162B20">
        <w:fldChar w:fldCharType="end"/>
      </w:r>
      <w:r w:rsidR="00A96F44" w:rsidRPr="00162B20">
        <w:t xml:space="preserve"> and </w:t>
      </w:r>
      <w:r w:rsidR="00A96F44" w:rsidRPr="00162B20">
        <w:fldChar w:fldCharType="begin"/>
      </w:r>
      <w:r w:rsidR="00A96F44" w:rsidRPr="00162B20">
        <w:instrText xml:space="preserve"> REF _Ref156202314 \r \h </w:instrText>
      </w:r>
      <w:r w:rsidR="00197920" w:rsidRPr="00162B20">
        <w:instrText xml:space="preserve"> \* MERGEFORMAT </w:instrText>
      </w:r>
      <w:r w:rsidR="00A96F44" w:rsidRPr="00162B20">
        <w:fldChar w:fldCharType="separate"/>
      </w:r>
      <w:r w:rsidR="0030362D">
        <w:t>6.27</w:t>
      </w:r>
      <w:r w:rsidR="00A96F44" w:rsidRPr="00162B20">
        <w:fldChar w:fldCharType="end"/>
      </w:r>
      <w:r w:rsidRPr="00162B20">
        <w:t>.</w:t>
      </w:r>
    </w:p>
    <w:p w14:paraId="7A048DA2" w14:textId="3E9D1092" w:rsidR="0001626D" w:rsidRPr="00162B20" w:rsidRDefault="0001626D" w:rsidP="00844EB4">
      <w:pPr>
        <w:pStyle w:val="3-BodyText"/>
        <w:numPr>
          <w:ilvl w:val="0"/>
          <w:numId w:val="10"/>
        </w:numPr>
        <w:snapToGrid w:val="0"/>
        <w:ind w:left="1134"/>
      </w:pPr>
      <w:r w:rsidRPr="00162B20">
        <w:t xml:space="preserve">In the context of </w:t>
      </w:r>
      <w:proofErr w:type="spellStart"/>
      <w:r w:rsidRPr="00162B20">
        <w:t>nccRCC</w:t>
      </w:r>
      <w:proofErr w:type="spellEnd"/>
      <w:r w:rsidRPr="00162B20">
        <w:t xml:space="preserve">, evidence was limited pertaining to the duration of treatment and the associated costs post disease progression. Consequently, the applicability of the cost derived from the duration of treatment and offsets from post-progression treatment costs in </w:t>
      </w:r>
      <w:proofErr w:type="spellStart"/>
      <w:r w:rsidRPr="00162B20">
        <w:t>ccRCC</w:t>
      </w:r>
      <w:proofErr w:type="spellEnd"/>
      <w:r w:rsidRPr="00162B20">
        <w:t xml:space="preserve"> to </w:t>
      </w:r>
      <w:proofErr w:type="spellStart"/>
      <w:r w:rsidRPr="00162B20">
        <w:t>nccRCC</w:t>
      </w:r>
      <w:proofErr w:type="spellEnd"/>
      <w:r w:rsidRPr="00162B20">
        <w:t xml:space="preserve"> </w:t>
      </w:r>
      <w:bookmarkStart w:id="53" w:name="_Hlk155176591"/>
      <w:r w:rsidR="002C17BE" w:rsidRPr="00162B20">
        <w:t xml:space="preserve">is </w:t>
      </w:r>
      <w:r w:rsidR="001A2580" w:rsidRPr="00162B20">
        <w:t>uncertain.</w:t>
      </w:r>
    </w:p>
    <w:p w14:paraId="738043DA" w14:textId="3AC6156A" w:rsidR="00B74DAB" w:rsidRPr="00162B20" w:rsidRDefault="00B74DAB" w:rsidP="00B74DAB">
      <w:pPr>
        <w:pStyle w:val="4-SubsectionHeading"/>
      </w:pPr>
      <w:bookmarkStart w:id="54" w:name="_Toc156987049"/>
      <w:bookmarkEnd w:id="53"/>
      <w:r w:rsidRPr="00162B20">
        <w:t>Drug cost/patient/</w:t>
      </w:r>
      <w:bookmarkEnd w:id="54"/>
      <w:r w:rsidR="003355E7" w:rsidRPr="00162B20">
        <w:t>month</w:t>
      </w:r>
    </w:p>
    <w:p w14:paraId="5553F2A6" w14:textId="6B04F642" w:rsidR="005D6546" w:rsidRPr="00162B20" w:rsidRDefault="005D6546" w:rsidP="00D64676">
      <w:pPr>
        <w:pStyle w:val="3-BodyText"/>
        <w:snapToGrid w:val="0"/>
      </w:pPr>
      <w:r w:rsidRPr="00162B20">
        <w:t xml:space="preserve">The cost </w:t>
      </w:r>
      <w:r w:rsidR="006F5A88" w:rsidRPr="00162B20">
        <w:t xml:space="preserve">per patient per month for cabozantinib was </w:t>
      </w:r>
      <w:r w:rsidR="00D76823" w:rsidRPr="00162B20">
        <w:t>based on the price of</w:t>
      </w:r>
      <w:r w:rsidR="006F5A88" w:rsidRPr="00162B20">
        <w:t xml:space="preserve"> </w:t>
      </w:r>
      <w:proofErr w:type="spellStart"/>
      <w:r w:rsidR="006F5A88" w:rsidRPr="00162B20">
        <w:t>cabozantinib</w:t>
      </w:r>
      <w:proofErr w:type="spellEnd"/>
      <w:r w:rsidR="006F5A88" w:rsidRPr="00162B20">
        <w:t xml:space="preserve"> in </w:t>
      </w:r>
      <w:proofErr w:type="spellStart"/>
      <w:r w:rsidR="006F5A88" w:rsidRPr="00162B20">
        <w:t>ccRCC</w:t>
      </w:r>
      <w:proofErr w:type="spellEnd"/>
      <w:r w:rsidR="006F5A88" w:rsidRPr="00162B20">
        <w:t xml:space="preserve"> patients</w:t>
      </w:r>
      <w:r w:rsidR="00ED24CC" w:rsidRPr="00162B20">
        <w:t xml:space="preserve">, i.e., </w:t>
      </w:r>
      <w:r w:rsidR="00D76823" w:rsidRPr="00162B20">
        <w:t xml:space="preserve">effective </w:t>
      </w:r>
      <w:r w:rsidR="00386C72">
        <w:t>d</w:t>
      </w:r>
      <w:r w:rsidR="00386C72" w:rsidRPr="00386C72">
        <w:t xml:space="preserve">ispensed </w:t>
      </w:r>
      <w:r w:rsidR="00386C72">
        <w:t>p</w:t>
      </w:r>
      <w:r w:rsidR="00386C72" w:rsidRPr="00386C72">
        <w:t xml:space="preserve">rice for </w:t>
      </w:r>
      <w:r w:rsidR="00386C72">
        <w:t>m</w:t>
      </w:r>
      <w:r w:rsidR="00386C72" w:rsidRPr="00386C72">
        <w:t xml:space="preserve">aximum </w:t>
      </w:r>
      <w:r w:rsidR="00386C72">
        <w:t>q</w:t>
      </w:r>
      <w:r w:rsidR="00386C72" w:rsidRPr="00386C72">
        <w:t xml:space="preserve">uantity </w:t>
      </w:r>
      <w:r w:rsidR="00386C72">
        <w:t>(</w:t>
      </w:r>
      <w:r w:rsidR="00D76823" w:rsidRPr="00162B20">
        <w:t>DPMQ</w:t>
      </w:r>
      <w:r w:rsidR="00386C72">
        <w:t>)</w:t>
      </w:r>
      <w:r w:rsidR="00D76823" w:rsidRPr="00162B20">
        <w:t xml:space="preserve"> </w:t>
      </w:r>
      <w:r w:rsidR="00ED24CC" w:rsidRPr="00162B20">
        <w:t>$</w:t>
      </w:r>
      <w:r w:rsidR="0094719F" w:rsidRPr="002A1754">
        <w:rPr>
          <w:color w:val="000000"/>
          <w:w w:val="15"/>
          <w:shd w:val="solid" w:color="000000" w:fill="000000"/>
          <w:fitText w:val="-20" w:id="-961817082"/>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7082"/>
          <w14:textFill>
            <w14:solidFill>
              <w14:srgbClr w14:val="000000">
                <w14:alpha w14:val="100000"/>
              </w14:srgbClr>
            </w14:solidFill>
          </w14:textFill>
        </w:rPr>
        <w:t>|</w:t>
      </w:r>
      <w:r w:rsidR="00D64676" w:rsidRPr="00162B20">
        <w:t>.</w:t>
      </w:r>
      <w:r w:rsidR="006F5A88" w:rsidRPr="00162B20">
        <w:t xml:space="preserve"> </w:t>
      </w:r>
    </w:p>
    <w:p w14:paraId="31EBB528" w14:textId="77777777" w:rsidR="00B74DAB" w:rsidRPr="00162B20" w:rsidRDefault="00B74DAB" w:rsidP="00B74DAB">
      <w:pPr>
        <w:pStyle w:val="4-SubsectionHeading"/>
      </w:pPr>
      <w:bookmarkStart w:id="55" w:name="_Toc156987050"/>
      <w:r w:rsidRPr="00162B20">
        <w:t>Estimated PBS usage &amp; financial implications</w:t>
      </w:r>
      <w:bookmarkEnd w:id="55"/>
    </w:p>
    <w:p w14:paraId="499EC44C" w14:textId="1B5D6F5C" w:rsidR="00104A72" w:rsidRPr="00162B20" w:rsidRDefault="00104A72" w:rsidP="00104A72">
      <w:pPr>
        <w:pStyle w:val="3-BodyText"/>
        <w:numPr>
          <w:ilvl w:val="1"/>
          <w:numId w:val="1"/>
        </w:numPr>
        <w:snapToGrid w:val="0"/>
      </w:pPr>
      <w:bookmarkStart w:id="56" w:name="_Toc156987052"/>
      <w:r w:rsidRPr="00162B20">
        <w:t xml:space="preserve">This submission was considered by DUSC. The submission did not use an epidemiological or market share approach to estimate PBS and RPBS usage and financial implications. The submission used patient access program requests </w:t>
      </w:r>
      <w:r w:rsidR="00D76823" w:rsidRPr="00162B20">
        <w:t>in 2021-</w:t>
      </w:r>
      <w:r w:rsidR="00D76823" w:rsidRPr="00162B20">
        <w:lastRenderedPageBreak/>
        <w:t xml:space="preserve">2023 </w:t>
      </w:r>
      <w:r w:rsidRPr="00162B20">
        <w:t xml:space="preserve">to estimate the utilisation and financial implications associated with the proposal to </w:t>
      </w:r>
      <w:r w:rsidR="00D76823" w:rsidRPr="00162B20">
        <w:t xml:space="preserve">include </w:t>
      </w:r>
      <w:proofErr w:type="spellStart"/>
      <w:r w:rsidR="00D76823" w:rsidRPr="00162B20">
        <w:t>nccRCC</w:t>
      </w:r>
      <w:proofErr w:type="spellEnd"/>
      <w:r w:rsidRPr="00162B20">
        <w:t xml:space="preserve"> the current PBS listing of cabozantinib for RCC.</w:t>
      </w:r>
    </w:p>
    <w:p w14:paraId="6ADD73D8" w14:textId="78D784A3" w:rsidR="00104A72" w:rsidRPr="00162B20" w:rsidRDefault="00844EB4" w:rsidP="00104A72">
      <w:pPr>
        <w:pStyle w:val="3-BodyText"/>
        <w:numPr>
          <w:ilvl w:val="1"/>
          <w:numId w:val="1"/>
        </w:numPr>
        <w:snapToGrid w:val="0"/>
      </w:pPr>
      <w:r>
        <w:rPr>
          <w:color w:val="0066FF"/>
        </w:rPr>
        <w:fldChar w:fldCharType="begin"/>
      </w:r>
      <w:r>
        <w:rPr>
          <w:color w:val="0066FF"/>
        </w:rPr>
        <w:instrText xml:space="preserve"> REF _Ref166854491 \h </w:instrText>
      </w:r>
      <w:r>
        <w:rPr>
          <w:color w:val="0066FF"/>
        </w:rPr>
      </w:r>
      <w:r>
        <w:rPr>
          <w:color w:val="0066FF"/>
        </w:rPr>
        <w:fldChar w:fldCharType="separate"/>
      </w:r>
      <w:r w:rsidR="0030362D" w:rsidRPr="00162B20">
        <w:t xml:space="preserve">Table </w:t>
      </w:r>
      <w:r w:rsidR="0030362D">
        <w:rPr>
          <w:noProof/>
        </w:rPr>
        <w:t>9</w:t>
      </w:r>
      <w:r>
        <w:rPr>
          <w:color w:val="0066FF"/>
        </w:rPr>
        <w:fldChar w:fldCharType="end"/>
      </w:r>
      <w:r w:rsidR="00104A72" w:rsidRPr="00162B20">
        <w:rPr>
          <w:color w:val="0066FF"/>
        </w:rPr>
        <w:t xml:space="preserve"> </w:t>
      </w:r>
      <w:r w:rsidR="00104A72" w:rsidRPr="00162B20">
        <w:t>presents key inputs for financial estimates.</w:t>
      </w:r>
    </w:p>
    <w:p w14:paraId="4CB2164F" w14:textId="09C6CD5B" w:rsidR="00104A72" w:rsidRPr="00162B20" w:rsidRDefault="00104A72" w:rsidP="00844EB4">
      <w:pPr>
        <w:pStyle w:val="Caption"/>
      </w:pPr>
      <w:bookmarkStart w:id="57" w:name="_Ref155621090"/>
      <w:bookmarkStart w:id="58" w:name="_Ref166854491"/>
      <w:r w:rsidRPr="00162B20">
        <w:t xml:space="preserve">Table </w:t>
      </w:r>
      <w:bookmarkEnd w:id="57"/>
      <w:r w:rsidR="00844EB4">
        <w:fldChar w:fldCharType="begin"/>
      </w:r>
      <w:r w:rsidR="00844EB4">
        <w:instrText xml:space="preserve"> SEQ Table \* ARABIC </w:instrText>
      </w:r>
      <w:r w:rsidR="00844EB4">
        <w:fldChar w:fldCharType="separate"/>
      </w:r>
      <w:r w:rsidR="0030362D">
        <w:rPr>
          <w:noProof/>
        </w:rPr>
        <w:t>9</w:t>
      </w:r>
      <w:r w:rsidR="00844EB4">
        <w:fldChar w:fldCharType="end"/>
      </w:r>
      <w:bookmarkEnd w:id="58"/>
      <w:r w:rsidRPr="00162B20">
        <w:t>:</w:t>
      </w:r>
      <w:r w:rsidRPr="00162B20">
        <w:rPr>
          <w:rStyle w:val="CommentReference"/>
          <w:b/>
          <w:szCs w:val="24"/>
        </w:rPr>
        <w:t xml:space="preserve"> Key inputs for financial estimates</w:t>
      </w:r>
    </w:p>
    <w:tbl>
      <w:tblPr>
        <w:tblStyle w:val="TableGrid"/>
        <w:tblW w:w="5000" w:type="pct"/>
        <w:tblLook w:val="04A0" w:firstRow="1" w:lastRow="0" w:firstColumn="1" w:lastColumn="0" w:noHBand="0" w:noVBand="1"/>
        <w:tblCaption w:val="Table 9: Key inputs for financial estimates"/>
      </w:tblPr>
      <w:tblGrid>
        <w:gridCol w:w="1454"/>
        <w:gridCol w:w="1500"/>
        <w:gridCol w:w="1239"/>
        <w:gridCol w:w="2182"/>
        <w:gridCol w:w="2642"/>
      </w:tblGrid>
      <w:tr w:rsidR="00D63A4D" w:rsidRPr="00162B20" w14:paraId="0C9C9A39" w14:textId="77777777" w:rsidTr="003D634A">
        <w:tc>
          <w:tcPr>
            <w:tcW w:w="806" w:type="pct"/>
          </w:tcPr>
          <w:p w14:paraId="74F4CFFA" w14:textId="77777777" w:rsidR="00D63A4D" w:rsidRPr="00844EB4" w:rsidRDefault="00D63A4D" w:rsidP="00F81041">
            <w:pPr>
              <w:pStyle w:val="In-tableHeading"/>
              <w:jc w:val="center"/>
              <w:rPr>
                <w:szCs w:val="20"/>
                <w:lang w:val="en-AU"/>
              </w:rPr>
            </w:pPr>
            <w:r w:rsidRPr="00844EB4">
              <w:rPr>
                <w:szCs w:val="20"/>
                <w:lang w:val="en-AU"/>
              </w:rPr>
              <w:t>Data</w:t>
            </w:r>
          </w:p>
        </w:tc>
        <w:tc>
          <w:tcPr>
            <w:tcW w:w="832" w:type="pct"/>
          </w:tcPr>
          <w:p w14:paraId="6EDB9231" w14:textId="77777777" w:rsidR="00D63A4D" w:rsidRPr="00844EB4" w:rsidRDefault="00D63A4D" w:rsidP="00F81041">
            <w:pPr>
              <w:pStyle w:val="In-tableHeading"/>
              <w:jc w:val="center"/>
              <w:rPr>
                <w:szCs w:val="20"/>
                <w:lang w:val="en-AU"/>
              </w:rPr>
            </w:pPr>
            <w:r w:rsidRPr="00844EB4">
              <w:rPr>
                <w:szCs w:val="20"/>
                <w:lang w:val="en-AU"/>
              </w:rPr>
              <w:t>Value</w:t>
            </w:r>
          </w:p>
        </w:tc>
        <w:tc>
          <w:tcPr>
            <w:tcW w:w="687" w:type="pct"/>
          </w:tcPr>
          <w:p w14:paraId="7884630D" w14:textId="77777777" w:rsidR="00D63A4D" w:rsidRPr="00844EB4" w:rsidRDefault="00D63A4D" w:rsidP="00F81041">
            <w:pPr>
              <w:pStyle w:val="In-tableHeading"/>
              <w:jc w:val="center"/>
              <w:rPr>
                <w:szCs w:val="20"/>
                <w:lang w:val="en-AU"/>
              </w:rPr>
            </w:pPr>
            <w:r w:rsidRPr="00844EB4">
              <w:rPr>
                <w:rFonts w:eastAsia="SimSun"/>
                <w:szCs w:val="20"/>
                <w:lang w:val="en-AU"/>
              </w:rPr>
              <w:t>Source</w:t>
            </w:r>
          </w:p>
        </w:tc>
        <w:tc>
          <w:tcPr>
            <w:tcW w:w="1210" w:type="pct"/>
          </w:tcPr>
          <w:p w14:paraId="09D8D04E" w14:textId="77777777" w:rsidR="00D63A4D" w:rsidRPr="00844EB4" w:rsidRDefault="00D63A4D" w:rsidP="00F81041">
            <w:pPr>
              <w:pStyle w:val="In-tableHeading"/>
              <w:jc w:val="center"/>
              <w:rPr>
                <w:szCs w:val="20"/>
                <w:lang w:val="en-AU"/>
              </w:rPr>
            </w:pPr>
            <w:r w:rsidRPr="00844EB4">
              <w:rPr>
                <w:rFonts w:eastAsia="SimSun"/>
                <w:szCs w:val="20"/>
                <w:lang w:val="en-AU"/>
              </w:rPr>
              <w:t>Commentary on the submission</w:t>
            </w:r>
          </w:p>
        </w:tc>
        <w:tc>
          <w:tcPr>
            <w:tcW w:w="1465" w:type="pct"/>
          </w:tcPr>
          <w:p w14:paraId="5DBBE713" w14:textId="77777777" w:rsidR="00D63A4D" w:rsidRPr="00844EB4" w:rsidRDefault="00D63A4D" w:rsidP="00F81041">
            <w:pPr>
              <w:pStyle w:val="In-tableHeading"/>
              <w:jc w:val="center"/>
              <w:rPr>
                <w:szCs w:val="20"/>
                <w:lang w:val="en-AU"/>
              </w:rPr>
            </w:pPr>
            <w:r w:rsidRPr="00844EB4">
              <w:rPr>
                <w:rFonts w:eastAsia="SimSun"/>
                <w:szCs w:val="20"/>
                <w:lang w:val="en-AU"/>
              </w:rPr>
              <w:t>DUSC comments</w:t>
            </w:r>
          </w:p>
        </w:tc>
      </w:tr>
      <w:tr w:rsidR="00E94325" w:rsidRPr="00162B20" w14:paraId="1CDE2F58" w14:textId="77777777" w:rsidTr="003D634A">
        <w:tc>
          <w:tcPr>
            <w:tcW w:w="806" w:type="pct"/>
            <w:vAlign w:val="center"/>
          </w:tcPr>
          <w:p w14:paraId="3A43370D" w14:textId="3B0A72E0" w:rsidR="00E94325" w:rsidRPr="00844EB4" w:rsidRDefault="003355E7" w:rsidP="00E94325">
            <w:pPr>
              <w:pStyle w:val="Tabletext"/>
              <w:rPr>
                <w:szCs w:val="20"/>
              </w:rPr>
            </w:pPr>
            <w:r w:rsidRPr="00844EB4">
              <w:rPr>
                <w:szCs w:val="20"/>
              </w:rPr>
              <w:t>P</w:t>
            </w:r>
            <w:r w:rsidR="00E94325" w:rsidRPr="00844EB4">
              <w:rPr>
                <w:szCs w:val="20"/>
              </w:rPr>
              <w:t>atient</w:t>
            </w:r>
            <w:r w:rsidRPr="00844EB4">
              <w:rPr>
                <w:szCs w:val="20"/>
              </w:rPr>
              <w:t xml:space="preserve">s accessing treatment through </w:t>
            </w:r>
            <w:r w:rsidR="00162B20" w:rsidRPr="00844EB4">
              <w:rPr>
                <w:szCs w:val="20"/>
              </w:rPr>
              <w:t>sponsor</w:t>
            </w:r>
            <w:r w:rsidRPr="00844EB4">
              <w:rPr>
                <w:szCs w:val="20"/>
              </w:rPr>
              <w:t xml:space="preserve"> Access program</w:t>
            </w:r>
            <w:r w:rsidR="00E94325" w:rsidRPr="00844EB4">
              <w:rPr>
                <w:szCs w:val="20"/>
              </w:rPr>
              <w:t>s</w:t>
            </w:r>
          </w:p>
        </w:tc>
        <w:tc>
          <w:tcPr>
            <w:tcW w:w="832" w:type="pct"/>
            <w:vAlign w:val="center"/>
          </w:tcPr>
          <w:p w14:paraId="033F5A01" w14:textId="09A29178" w:rsidR="00E94325" w:rsidRPr="00844EB4" w:rsidRDefault="00E94325" w:rsidP="00E94325">
            <w:pPr>
              <w:pStyle w:val="TableText0"/>
              <w:rPr>
                <w:szCs w:val="20"/>
              </w:rPr>
            </w:pPr>
            <w:r w:rsidRPr="00844EB4">
              <w:rPr>
                <w:szCs w:val="20"/>
              </w:rPr>
              <w:t xml:space="preserve">2021: </w:t>
            </w:r>
            <w:r w:rsidR="0094719F" w:rsidRPr="0094719F">
              <w:rPr>
                <w:color w:val="000000"/>
                <w:spacing w:val="51"/>
                <w:szCs w:val="20"/>
                <w:shd w:val="solid" w:color="000000" w:fill="000000"/>
                <w:fitText w:val="325" w:id="-961817081"/>
                <w14:textFill>
                  <w14:solidFill>
                    <w14:srgbClr w14:val="000000">
                      <w14:alpha w14:val="100000"/>
                    </w14:srgbClr>
                  </w14:solidFill>
                </w14:textFill>
              </w:rPr>
              <w:t>|||</w:t>
            </w:r>
            <w:r w:rsidR="0094719F" w:rsidRPr="0094719F">
              <w:rPr>
                <w:color w:val="000000"/>
                <w:spacing w:val="2"/>
                <w:szCs w:val="20"/>
                <w:shd w:val="solid" w:color="000000" w:fill="000000"/>
                <w:fitText w:val="325" w:id="-961817081"/>
                <w14:textFill>
                  <w14:solidFill>
                    <w14:srgbClr w14:val="000000">
                      <w14:alpha w14:val="100000"/>
                    </w14:srgbClr>
                  </w14:solidFill>
                </w14:textFill>
              </w:rPr>
              <w:t>|</w:t>
            </w:r>
            <w:r w:rsidR="00323DA0" w:rsidRPr="00844EB4">
              <w:rPr>
                <w:szCs w:val="20"/>
                <w:vertAlign w:val="superscript"/>
              </w:rPr>
              <w:t>1</w:t>
            </w:r>
          </w:p>
          <w:p w14:paraId="306C8014" w14:textId="66691B0D" w:rsidR="00E94325" w:rsidRPr="00844EB4" w:rsidRDefault="00E94325" w:rsidP="00E94325">
            <w:pPr>
              <w:pStyle w:val="TableText0"/>
              <w:rPr>
                <w:szCs w:val="20"/>
              </w:rPr>
            </w:pPr>
            <w:r w:rsidRPr="00844EB4">
              <w:rPr>
                <w:szCs w:val="20"/>
              </w:rPr>
              <w:t xml:space="preserve">2022: </w:t>
            </w:r>
            <w:r w:rsidR="0094719F" w:rsidRPr="0094719F">
              <w:rPr>
                <w:color w:val="000000"/>
                <w:spacing w:val="51"/>
                <w:szCs w:val="20"/>
                <w:shd w:val="solid" w:color="000000" w:fill="000000"/>
                <w:fitText w:val="325" w:id="-961817080"/>
                <w14:textFill>
                  <w14:solidFill>
                    <w14:srgbClr w14:val="000000">
                      <w14:alpha w14:val="100000"/>
                    </w14:srgbClr>
                  </w14:solidFill>
                </w14:textFill>
              </w:rPr>
              <w:t>|||</w:t>
            </w:r>
            <w:r w:rsidR="0094719F" w:rsidRPr="0094719F">
              <w:rPr>
                <w:color w:val="000000"/>
                <w:spacing w:val="2"/>
                <w:szCs w:val="20"/>
                <w:shd w:val="solid" w:color="000000" w:fill="000000"/>
                <w:fitText w:val="325" w:id="-961817080"/>
                <w14:textFill>
                  <w14:solidFill>
                    <w14:srgbClr w14:val="000000">
                      <w14:alpha w14:val="100000"/>
                    </w14:srgbClr>
                  </w14:solidFill>
                </w14:textFill>
              </w:rPr>
              <w:t>|</w:t>
            </w:r>
            <w:r w:rsidR="00323DA0" w:rsidRPr="00844EB4">
              <w:rPr>
                <w:szCs w:val="20"/>
                <w:vertAlign w:val="superscript"/>
              </w:rPr>
              <w:t>1</w:t>
            </w:r>
          </w:p>
          <w:p w14:paraId="0E5FC0C5" w14:textId="21FEF599" w:rsidR="00E94325" w:rsidRPr="00844EB4" w:rsidRDefault="00E94325" w:rsidP="00E94325">
            <w:pPr>
              <w:pStyle w:val="Tabletext"/>
              <w:rPr>
                <w:szCs w:val="20"/>
              </w:rPr>
            </w:pPr>
            <w:r w:rsidRPr="00844EB4">
              <w:rPr>
                <w:szCs w:val="20"/>
              </w:rPr>
              <w:t xml:space="preserve">2023: </w:t>
            </w:r>
            <w:r w:rsidR="0094719F" w:rsidRPr="005C7851">
              <w:rPr>
                <w:color w:val="000000"/>
                <w:spacing w:val="51"/>
                <w:szCs w:val="20"/>
                <w:shd w:val="solid" w:color="000000" w:fill="000000"/>
                <w:fitText w:val="325" w:id="-961817079"/>
                <w14:textFill>
                  <w14:solidFill>
                    <w14:srgbClr w14:val="000000">
                      <w14:alpha w14:val="100000"/>
                    </w14:srgbClr>
                  </w14:solidFill>
                </w14:textFill>
              </w:rPr>
              <w:t>|||</w:t>
            </w:r>
            <w:r w:rsidR="0094719F" w:rsidRPr="005C7851">
              <w:rPr>
                <w:color w:val="000000"/>
                <w:spacing w:val="2"/>
                <w:szCs w:val="20"/>
                <w:shd w:val="solid" w:color="000000" w:fill="000000"/>
                <w:fitText w:val="325" w:id="-961817079"/>
                <w14:textFill>
                  <w14:solidFill>
                    <w14:srgbClr w14:val="000000">
                      <w14:alpha w14:val="100000"/>
                    </w14:srgbClr>
                  </w14:solidFill>
                </w14:textFill>
              </w:rPr>
              <w:t>|</w:t>
            </w:r>
            <w:r w:rsidR="00323DA0" w:rsidRPr="00844EB4">
              <w:rPr>
                <w:szCs w:val="20"/>
                <w:vertAlign w:val="superscript"/>
              </w:rPr>
              <w:t>1</w:t>
            </w:r>
          </w:p>
        </w:tc>
        <w:tc>
          <w:tcPr>
            <w:tcW w:w="687" w:type="pct"/>
            <w:vAlign w:val="center"/>
          </w:tcPr>
          <w:p w14:paraId="0A731020" w14:textId="658639D9" w:rsidR="00E94325" w:rsidRPr="00844EB4" w:rsidRDefault="00E94325" w:rsidP="00E94325">
            <w:pPr>
              <w:pStyle w:val="Tabletext"/>
              <w:rPr>
                <w:szCs w:val="20"/>
              </w:rPr>
            </w:pPr>
            <w:r w:rsidRPr="00844EB4">
              <w:rPr>
                <w:szCs w:val="20"/>
              </w:rPr>
              <w:t>Ipsen Named Patient Unsolicited Requests Enrolments</w:t>
            </w:r>
          </w:p>
        </w:tc>
        <w:tc>
          <w:tcPr>
            <w:tcW w:w="1210" w:type="pct"/>
            <w:vAlign w:val="center"/>
          </w:tcPr>
          <w:p w14:paraId="7B3E44D5" w14:textId="4B64BD50" w:rsidR="00E94325" w:rsidRPr="00844EB4" w:rsidRDefault="003355E7" w:rsidP="00E94325">
            <w:pPr>
              <w:pStyle w:val="Tabletext"/>
              <w:rPr>
                <w:szCs w:val="20"/>
              </w:rPr>
            </w:pPr>
            <w:r w:rsidRPr="00844EB4">
              <w:rPr>
                <w:szCs w:val="20"/>
              </w:rPr>
              <w:t>Data as provided by sponsor</w:t>
            </w:r>
            <w:r w:rsidR="00E94325" w:rsidRPr="00844EB4">
              <w:rPr>
                <w:szCs w:val="20"/>
              </w:rPr>
              <w:t>.</w:t>
            </w:r>
          </w:p>
        </w:tc>
        <w:tc>
          <w:tcPr>
            <w:tcW w:w="1465" w:type="pct"/>
          </w:tcPr>
          <w:p w14:paraId="1EE39BD6" w14:textId="4B1DEFE1" w:rsidR="00E94325" w:rsidRPr="00844EB4" w:rsidRDefault="00E94325" w:rsidP="00E94325">
            <w:pPr>
              <w:pStyle w:val="Tabletext"/>
              <w:rPr>
                <w:szCs w:val="20"/>
              </w:rPr>
            </w:pPr>
          </w:p>
        </w:tc>
      </w:tr>
      <w:tr w:rsidR="00D63A4D" w:rsidRPr="00162B20" w14:paraId="05163C32" w14:textId="77777777" w:rsidTr="003D634A">
        <w:tc>
          <w:tcPr>
            <w:tcW w:w="5000" w:type="pct"/>
            <w:gridSpan w:val="5"/>
          </w:tcPr>
          <w:p w14:paraId="6ED539C5" w14:textId="77777777" w:rsidR="00D63A4D" w:rsidRPr="00844EB4" w:rsidRDefault="00D63A4D" w:rsidP="00F81041">
            <w:pPr>
              <w:pStyle w:val="In-tableHeading"/>
              <w:rPr>
                <w:szCs w:val="20"/>
                <w:lang w:val="en-AU"/>
              </w:rPr>
            </w:pPr>
            <w:r w:rsidRPr="00844EB4">
              <w:rPr>
                <w:szCs w:val="20"/>
                <w:lang w:val="en-AU"/>
              </w:rPr>
              <w:t>Eligible population</w:t>
            </w:r>
          </w:p>
        </w:tc>
      </w:tr>
      <w:tr w:rsidR="00D63A4D" w:rsidRPr="00162B20" w14:paraId="398E2D9D" w14:textId="77777777" w:rsidTr="003D634A">
        <w:tc>
          <w:tcPr>
            <w:tcW w:w="806" w:type="pct"/>
          </w:tcPr>
          <w:p w14:paraId="411006EE" w14:textId="23E13C3A" w:rsidR="00D63A4D" w:rsidRPr="00844EB4" w:rsidRDefault="00D63A4D" w:rsidP="00F81041">
            <w:pPr>
              <w:pStyle w:val="Tabletext"/>
              <w:rPr>
                <w:szCs w:val="20"/>
              </w:rPr>
            </w:pPr>
            <w:bookmarkStart w:id="59" w:name="_Hlk158724389"/>
            <w:r w:rsidRPr="00844EB4">
              <w:rPr>
                <w:szCs w:val="20"/>
              </w:rPr>
              <w:t>Incident patients</w:t>
            </w:r>
          </w:p>
        </w:tc>
        <w:tc>
          <w:tcPr>
            <w:tcW w:w="832" w:type="pct"/>
          </w:tcPr>
          <w:p w14:paraId="1EE6BE37" w14:textId="6FD35598" w:rsidR="00D63A4D" w:rsidRPr="00844EB4" w:rsidRDefault="00D63A4D" w:rsidP="00F81041">
            <w:pPr>
              <w:pStyle w:val="Tabletext"/>
              <w:rPr>
                <w:szCs w:val="20"/>
              </w:rPr>
            </w:pPr>
            <w:r w:rsidRPr="00844EB4">
              <w:rPr>
                <w:szCs w:val="20"/>
              </w:rPr>
              <w:t>Year 1</w:t>
            </w:r>
            <w:r w:rsidR="00E94325" w:rsidRPr="00844EB4">
              <w:rPr>
                <w:szCs w:val="20"/>
              </w:rPr>
              <w:t xml:space="preserve"> (2024)</w:t>
            </w:r>
            <w:r w:rsidRPr="00844EB4">
              <w:rPr>
                <w:szCs w:val="20"/>
              </w:rPr>
              <w:t xml:space="preserve">: </w:t>
            </w:r>
            <w:r w:rsidR="0094719F" w:rsidRPr="0094719F">
              <w:rPr>
                <w:rFonts w:hint="eastAsia"/>
                <w:color w:val="000000"/>
                <w:spacing w:val="30"/>
                <w:w w:val="15"/>
                <w:szCs w:val="20"/>
                <w:shd w:val="solid" w:color="000000" w:fill="000000"/>
                <w:fitText w:val="60" w:id="-961817078"/>
                <w14:textFill>
                  <w14:solidFill>
                    <w14:srgbClr w14:val="000000">
                      <w14:alpha w14:val="100000"/>
                    </w14:srgbClr>
                  </w14:solidFill>
                </w14:textFill>
              </w:rPr>
              <w:t xml:space="preserve">　</w:t>
            </w:r>
            <w:r w:rsidR="0094719F" w:rsidRPr="0094719F">
              <w:rPr>
                <w:rFonts w:hint="eastAsia"/>
                <w:color w:val="000000"/>
                <w:spacing w:val="77"/>
                <w:w w:val="31"/>
                <w:szCs w:val="20"/>
                <w:shd w:val="solid" w:color="000000" w:fill="000000"/>
                <w:fitText w:val="138" w:id="-961817077"/>
                <w14:textFill>
                  <w14:solidFill>
                    <w14:srgbClr w14:val="000000">
                      <w14:alpha w14:val="100000"/>
                    </w14:srgbClr>
                  </w14:solidFill>
                </w14:textFill>
              </w:rPr>
              <w:t xml:space="preserve">　</w:t>
            </w:r>
            <w:r w:rsidR="0094719F" w:rsidRPr="0094719F">
              <w:rPr>
                <w:color w:val="000000"/>
                <w:spacing w:val="189"/>
                <w:szCs w:val="20"/>
                <w:shd w:val="solid" w:color="000000" w:fill="000000"/>
                <w:fitText w:val="275" w:id="-961817076"/>
                <w14:textFill>
                  <w14:solidFill>
                    <w14:srgbClr w14:val="000000">
                      <w14:alpha w14:val="100000"/>
                    </w14:srgbClr>
                  </w14:solidFill>
                </w14:textFill>
              </w:rPr>
              <w:t>|</w:t>
            </w:r>
            <w:r w:rsidR="0094719F" w:rsidRPr="0094719F">
              <w:rPr>
                <w:color w:val="000000"/>
                <w:spacing w:val="1"/>
                <w:szCs w:val="20"/>
                <w:shd w:val="solid" w:color="000000" w:fill="000000"/>
                <w:fitText w:val="275" w:id="-961817076"/>
                <w14:textFill>
                  <w14:solidFill>
                    <w14:srgbClr w14:val="000000">
                      <w14:alpha w14:val="100000"/>
                    </w14:srgbClr>
                  </w14:solidFill>
                </w14:textFill>
              </w:rPr>
              <w:t>|</w:t>
            </w:r>
            <w:r w:rsidR="00323DA0" w:rsidRPr="00844EB4">
              <w:rPr>
                <w:szCs w:val="20"/>
                <w:vertAlign w:val="superscript"/>
              </w:rPr>
              <w:t>1</w:t>
            </w:r>
          </w:p>
          <w:p w14:paraId="151C1116" w14:textId="365ED833" w:rsidR="00D63A4D" w:rsidRPr="00844EB4" w:rsidRDefault="00D63A4D" w:rsidP="00F81041">
            <w:pPr>
              <w:pStyle w:val="Tabletext"/>
              <w:rPr>
                <w:szCs w:val="20"/>
              </w:rPr>
            </w:pPr>
            <w:r w:rsidRPr="00844EB4">
              <w:rPr>
                <w:szCs w:val="20"/>
              </w:rPr>
              <w:t xml:space="preserve">Year 2: </w:t>
            </w:r>
            <w:r w:rsidR="0094719F" w:rsidRPr="0094719F">
              <w:rPr>
                <w:color w:val="000000"/>
                <w:spacing w:val="51"/>
                <w:szCs w:val="20"/>
                <w:shd w:val="solid" w:color="000000" w:fill="000000"/>
                <w:fitText w:val="325" w:id="-961817075"/>
                <w14:textFill>
                  <w14:solidFill>
                    <w14:srgbClr w14:val="000000">
                      <w14:alpha w14:val="100000"/>
                    </w14:srgbClr>
                  </w14:solidFill>
                </w14:textFill>
              </w:rPr>
              <w:t>|||</w:t>
            </w:r>
            <w:r w:rsidR="0094719F" w:rsidRPr="0094719F">
              <w:rPr>
                <w:color w:val="000000"/>
                <w:spacing w:val="2"/>
                <w:szCs w:val="20"/>
                <w:shd w:val="solid" w:color="000000" w:fill="000000"/>
                <w:fitText w:val="325" w:id="-961817075"/>
                <w14:textFill>
                  <w14:solidFill>
                    <w14:srgbClr w14:val="000000">
                      <w14:alpha w14:val="100000"/>
                    </w14:srgbClr>
                  </w14:solidFill>
                </w14:textFill>
              </w:rPr>
              <w:t>|</w:t>
            </w:r>
            <w:r w:rsidR="00323DA0" w:rsidRPr="00844EB4">
              <w:rPr>
                <w:szCs w:val="20"/>
                <w:vertAlign w:val="superscript"/>
              </w:rPr>
              <w:t>1</w:t>
            </w:r>
          </w:p>
          <w:p w14:paraId="70C828F2" w14:textId="1B77E17B" w:rsidR="00D63A4D" w:rsidRPr="00844EB4" w:rsidRDefault="00D63A4D" w:rsidP="00F81041">
            <w:pPr>
              <w:pStyle w:val="Tabletext"/>
              <w:rPr>
                <w:szCs w:val="20"/>
              </w:rPr>
            </w:pPr>
            <w:r w:rsidRPr="00844EB4">
              <w:rPr>
                <w:szCs w:val="20"/>
              </w:rPr>
              <w:t xml:space="preserve">Year 3: </w:t>
            </w:r>
            <w:r w:rsidR="0094719F" w:rsidRPr="0094719F">
              <w:rPr>
                <w:color w:val="000000"/>
                <w:spacing w:val="51"/>
                <w:szCs w:val="20"/>
                <w:shd w:val="solid" w:color="000000" w:fill="000000"/>
                <w:fitText w:val="325" w:id="-961817074"/>
                <w14:textFill>
                  <w14:solidFill>
                    <w14:srgbClr w14:val="000000">
                      <w14:alpha w14:val="100000"/>
                    </w14:srgbClr>
                  </w14:solidFill>
                </w14:textFill>
              </w:rPr>
              <w:t>|||</w:t>
            </w:r>
            <w:r w:rsidR="0094719F" w:rsidRPr="0094719F">
              <w:rPr>
                <w:color w:val="000000"/>
                <w:spacing w:val="2"/>
                <w:szCs w:val="20"/>
                <w:shd w:val="solid" w:color="000000" w:fill="000000"/>
                <w:fitText w:val="325" w:id="-961817074"/>
                <w14:textFill>
                  <w14:solidFill>
                    <w14:srgbClr w14:val="000000">
                      <w14:alpha w14:val="100000"/>
                    </w14:srgbClr>
                  </w14:solidFill>
                </w14:textFill>
              </w:rPr>
              <w:t>|</w:t>
            </w:r>
            <w:r w:rsidR="00323DA0" w:rsidRPr="00844EB4">
              <w:rPr>
                <w:szCs w:val="20"/>
                <w:vertAlign w:val="superscript"/>
              </w:rPr>
              <w:t>1</w:t>
            </w:r>
          </w:p>
          <w:p w14:paraId="49D7AF58" w14:textId="6529EF39" w:rsidR="00D63A4D" w:rsidRPr="00844EB4" w:rsidRDefault="00D63A4D" w:rsidP="00F81041">
            <w:pPr>
              <w:pStyle w:val="Tabletext"/>
              <w:rPr>
                <w:szCs w:val="20"/>
              </w:rPr>
            </w:pPr>
            <w:r w:rsidRPr="00844EB4">
              <w:rPr>
                <w:szCs w:val="20"/>
              </w:rPr>
              <w:t xml:space="preserve">Year 4: </w:t>
            </w:r>
            <w:r w:rsidR="0094719F" w:rsidRPr="0094719F">
              <w:rPr>
                <w:color w:val="000000"/>
                <w:spacing w:val="51"/>
                <w:szCs w:val="20"/>
                <w:shd w:val="solid" w:color="000000" w:fill="000000"/>
                <w:fitText w:val="325" w:id="-961817073"/>
                <w14:textFill>
                  <w14:solidFill>
                    <w14:srgbClr w14:val="000000">
                      <w14:alpha w14:val="100000"/>
                    </w14:srgbClr>
                  </w14:solidFill>
                </w14:textFill>
              </w:rPr>
              <w:t>|||</w:t>
            </w:r>
            <w:r w:rsidR="0094719F" w:rsidRPr="0094719F">
              <w:rPr>
                <w:color w:val="000000"/>
                <w:spacing w:val="2"/>
                <w:szCs w:val="20"/>
                <w:shd w:val="solid" w:color="000000" w:fill="000000"/>
                <w:fitText w:val="325" w:id="-961817073"/>
                <w14:textFill>
                  <w14:solidFill>
                    <w14:srgbClr w14:val="000000">
                      <w14:alpha w14:val="100000"/>
                    </w14:srgbClr>
                  </w14:solidFill>
                </w14:textFill>
              </w:rPr>
              <w:t>|</w:t>
            </w:r>
            <w:r w:rsidR="00323DA0" w:rsidRPr="00844EB4">
              <w:rPr>
                <w:szCs w:val="20"/>
                <w:vertAlign w:val="superscript"/>
              </w:rPr>
              <w:t>1</w:t>
            </w:r>
          </w:p>
          <w:p w14:paraId="726E9E4E" w14:textId="12E84552" w:rsidR="00D63A4D" w:rsidRPr="00844EB4" w:rsidRDefault="00D63A4D" w:rsidP="00F81041">
            <w:pPr>
              <w:pStyle w:val="Tabletext"/>
              <w:rPr>
                <w:szCs w:val="20"/>
              </w:rPr>
            </w:pPr>
            <w:r w:rsidRPr="00844EB4">
              <w:rPr>
                <w:szCs w:val="20"/>
              </w:rPr>
              <w:t xml:space="preserve">Year 5: </w:t>
            </w:r>
            <w:r w:rsidR="0094719F" w:rsidRPr="0094719F">
              <w:rPr>
                <w:color w:val="000000"/>
                <w:spacing w:val="51"/>
                <w:szCs w:val="20"/>
                <w:shd w:val="solid" w:color="000000" w:fill="000000"/>
                <w:fitText w:val="325" w:id="-961817072"/>
                <w14:textFill>
                  <w14:solidFill>
                    <w14:srgbClr w14:val="000000">
                      <w14:alpha w14:val="100000"/>
                    </w14:srgbClr>
                  </w14:solidFill>
                </w14:textFill>
              </w:rPr>
              <w:t>|||</w:t>
            </w:r>
            <w:r w:rsidR="0094719F" w:rsidRPr="0094719F">
              <w:rPr>
                <w:color w:val="000000"/>
                <w:spacing w:val="2"/>
                <w:szCs w:val="20"/>
                <w:shd w:val="solid" w:color="000000" w:fill="000000"/>
                <w:fitText w:val="325" w:id="-961817072"/>
                <w14:textFill>
                  <w14:solidFill>
                    <w14:srgbClr w14:val="000000">
                      <w14:alpha w14:val="100000"/>
                    </w14:srgbClr>
                  </w14:solidFill>
                </w14:textFill>
              </w:rPr>
              <w:t>|</w:t>
            </w:r>
            <w:r w:rsidR="00323DA0" w:rsidRPr="00844EB4">
              <w:rPr>
                <w:szCs w:val="20"/>
                <w:vertAlign w:val="superscript"/>
              </w:rPr>
              <w:t>1</w:t>
            </w:r>
          </w:p>
          <w:p w14:paraId="18BC004A" w14:textId="0EF0708D" w:rsidR="00D63A4D" w:rsidRPr="00844EB4" w:rsidRDefault="00D63A4D" w:rsidP="00F81041">
            <w:pPr>
              <w:pStyle w:val="Tabletext"/>
              <w:rPr>
                <w:szCs w:val="20"/>
              </w:rPr>
            </w:pPr>
            <w:r w:rsidRPr="00844EB4">
              <w:rPr>
                <w:szCs w:val="20"/>
              </w:rPr>
              <w:t xml:space="preserve">Year 6: </w:t>
            </w:r>
            <w:r w:rsidR="0094719F" w:rsidRPr="0094719F">
              <w:rPr>
                <w:color w:val="000000"/>
                <w:spacing w:val="51"/>
                <w:szCs w:val="20"/>
                <w:shd w:val="solid" w:color="000000" w:fill="000000"/>
                <w:fitText w:val="325" w:id="-961817088"/>
                <w14:textFill>
                  <w14:solidFill>
                    <w14:srgbClr w14:val="000000">
                      <w14:alpha w14:val="100000"/>
                    </w14:srgbClr>
                  </w14:solidFill>
                </w14:textFill>
              </w:rPr>
              <w:t>|||</w:t>
            </w:r>
            <w:r w:rsidR="0094719F" w:rsidRPr="0094719F">
              <w:rPr>
                <w:color w:val="000000"/>
                <w:spacing w:val="2"/>
                <w:szCs w:val="20"/>
                <w:shd w:val="solid" w:color="000000" w:fill="000000"/>
                <w:fitText w:val="325" w:id="-961817088"/>
                <w14:textFill>
                  <w14:solidFill>
                    <w14:srgbClr w14:val="000000">
                      <w14:alpha w14:val="100000"/>
                    </w14:srgbClr>
                  </w14:solidFill>
                </w14:textFill>
              </w:rPr>
              <w:t>|</w:t>
            </w:r>
            <w:r w:rsidR="00323DA0" w:rsidRPr="00844EB4">
              <w:rPr>
                <w:szCs w:val="20"/>
                <w:vertAlign w:val="superscript"/>
              </w:rPr>
              <w:t>1</w:t>
            </w:r>
          </w:p>
        </w:tc>
        <w:tc>
          <w:tcPr>
            <w:tcW w:w="687" w:type="pct"/>
          </w:tcPr>
          <w:p w14:paraId="7F63C45C" w14:textId="7C73D39F" w:rsidR="00D63A4D" w:rsidRPr="00844EB4" w:rsidRDefault="003355E7" w:rsidP="00F81041">
            <w:pPr>
              <w:pStyle w:val="Tabletext"/>
              <w:rPr>
                <w:szCs w:val="20"/>
              </w:rPr>
            </w:pPr>
            <w:r w:rsidRPr="00844EB4">
              <w:rPr>
                <w:szCs w:val="20"/>
              </w:rPr>
              <w:t xml:space="preserve">Extrapolated from </w:t>
            </w:r>
            <w:r w:rsidR="00D63A4D" w:rsidRPr="00844EB4">
              <w:rPr>
                <w:szCs w:val="20"/>
              </w:rPr>
              <w:t>Ipsen Patient Access Program requests</w:t>
            </w:r>
          </w:p>
        </w:tc>
        <w:tc>
          <w:tcPr>
            <w:tcW w:w="1210" w:type="pct"/>
          </w:tcPr>
          <w:p w14:paraId="31710771" w14:textId="6EA9D163" w:rsidR="00D63A4D" w:rsidRPr="00844EB4" w:rsidRDefault="00D63A4D" w:rsidP="00F81041">
            <w:pPr>
              <w:pStyle w:val="Tabletext"/>
              <w:rPr>
                <w:szCs w:val="20"/>
              </w:rPr>
            </w:pPr>
            <w:r w:rsidRPr="00844EB4">
              <w:rPr>
                <w:szCs w:val="20"/>
              </w:rPr>
              <w:t xml:space="preserve">Uncertain. Values were taken from the sponsor’s compassionate program </w:t>
            </w:r>
            <w:r w:rsidR="00E94325" w:rsidRPr="00844EB4">
              <w:rPr>
                <w:szCs w:val="20"/>
              </w:rPr>
              <w:t>with 3.78% growth rate</w:t>
            </w:r>
            <w:r w:rsidRPr="00844EB4">
              <w:rPr>
                <w:szCs w:val="20"/>
              </w:rPr>
              <w:t>. The submission did not provide information about the tyrosine kinase inhibitor (TKI) use or risk level of the patients.</w:t>
            </w:r>
          </w:p>
        </w:tc>
        <w:tc>
          <w:tcPr>
            <w:tcW w:w="1465" w:type="pct"/>
            <w:vMerge w:val="restart"/>
          </w:tcPr>
          <w:p w14:paraId="58374401" w14:textId="03D2B7B5" w:rsidR="00D63A4D" w:rsidRPr="00844EB4" w:rsidRDefault="00D63A4D" w:rsidP="00F81041">
            <w:pPr>
              <w:pStyle w:val="Tabletext"/>
              <w:rPr>
                <w:szCs w:val="20"/>
              </w:rPr>
            </w:pPr>
            <w:r w:rsidRPr="00844EB4">
              <w:rPr>
                <w:szCs w:val="20"/>
              </w:rPr>
              <w:t>DUSC considered that the model proposed by the sponsor was not fit for purpose. DUSC noted that patients from the patient access program represent a possible prevalent population as they would be the number of treated patients per year</w:t>
            </w:r>
            <w:r w:rsidR="00B232C0" w:rsidRPr="00844EB4">
              <w:rPr>
                <w:szCs w:val="20"/>
              </w:rPr>
              <w:t>. The pre-PBAC response clarified that as patients are treated for approximately 12 months this approximates the annual incidence.</w:t>
            </w:r>
          </w:p>
          <w:p w14:paraId="5B38BEEA" w14:textId="77777777" w:rsidR="00D63A4D" w:rsidRPr="00844EB4" w:rsidRDefault="00D63A4D" w:rsidP="00F81041">
            <w:pPr>
              <w:pStyle w:val="Tabletext"/>
              <w:rPr>
                <w:szCs w:val="20"/>
              </w:rPr>
            </w:pPr>
          </w:p>
          <w:p w14:paraId="25030BBD" w14:textId="77777777" w:rsidR="00B232C0" w:rsidRPr="00844EB4" w:rsidRDefault="00D63A4D" w:rsidP="00F81041">
            <w:pPr>
              <w:pStyle w:val="Tabletext"/>
              <w:rPr>
                <w:szCs w:val="20"/>
              </w:rPr>
            </w:pPr>
            <w:r w:rsidRPr="00844EB4">
              <w:rPr>
                <w:szCs w:val="20"/>
              </w:rPr>
              <w:t>DUSC considered that grandfathered patients would be included in the prevalent population</w:t>
            </w:r>
            <w:r w:rsidR="00B232C0" w:rsidRPr="00844EB4">
              <w:rPr>
                <w:szCs w:val="20"/>
              </w:rPr>
              <w:t>.</w:t>
            </w:r>
          </w:p>
          <w:p w14:paraId="62859411" w14:textId="1F43DAD4" w:rsidR="00D63A4D" w:rsidRPr="00844EB4" w:rsidRDefault="00D63A4D" w:rsidP="00F81041">
            <w:pPr>
              <w:pStyle w:val="Tabletext"/>
              <w:rPr>
                <w:szCs w:val="20"/>
              </w:rPr>
            </w:pPr>
            <w:r w:rsidRPr="00844EB4">
              <w:rPr>
                <w:szCs w:val="20"/>
              </w:rPr>
              <w:t xml:space="preserve"> </w:t>
            </w:r>
          </w:p>
        </w:tc>
      </w:tr>
      <w:tr w:rsidR="00D63A4D" w:rsidRPr="00162B20" w14:paraId="2EECF150" w14:textId="77777777" w:rsidTr="003D634A">
        <w:tc>
          <w:tcPr>
            <w:tcW w:w="806" w:type="pct"/>
          </w:tcPr>
          <w:p w14:paraId="1E78A6EB" w14:textId="77777777" w:rsidR="00D63A4D" w:rsidRPr="00844EB4" w:rsidRDefault="00D63A4D" w:rsidP="00F81041">
            <w:pPr>
              <w:pStyle w:val="Tabletext"/>
              <w:rPr>
                <w:szCs w:val="20"/>
              </w:rPr>
            </w:pPr>
            <w:r w:rsidRPr="00844EB4">
              <w:rPr>
                <w:szCs w:val="20"/>
              </w:rPr>
              <w:t>Grandfathered population</w:t>
            </w:r>
          </w:p>
        </w:tc>
        <w:tc>
          <w:tcPr>
            <w:tcW w:w="832" w:type="pct"/>
          </w:tcPr>
          <w:p w14:paraId="15A858C5" w14:textId="674664F8" w:rsidR="00D63A4D" w:rsidRPr="00844EB4" w:rsidRDefault="00D63A4D" w:rsidP="00F81041">
            <w:pPr>
              <w:pStyle w:val="Tabletext"/>
              <w:rPr>
                <w:szCs w:val="20"/>
              </w:rPr>
            </w:pPr>
            <w:r w:rsidRPr="00844EB4">
              <w:rPr>
                <w:szCs w:val="20"/>
              </w:rPr>
              <w:t xml:space="preserve">Year 1: </w:t>
            </w:r>
            <w:r w:rsidR="0094719F" w:rsidRPr="0094719F">
              <w:rPr>
                <w:color w:val="000000"/>
                <w:spacing w:val="51"/>
                <w:szCs w:val="20"/>
                <w:shd w:val="solid" w:color="000000" w:fill="000000"/>
                <w:fitText w:val="325" w:id="-961817087"/>
                <w14:textFill>
                  <w14:solidFill>
                    <w14:srgbClr w14:val="000000">
                      <w14:alpha w14:val="100000"/>
                    </w14:srgbClr>
                  </w14:solidFill>
                </w14:textFill>
              </w:rPr>
              <w:t>|||</w:t>
            </w:r>
            <w:r w:rsidR="0094719F" w:rsidRPr="0094719F">
              <w:rPr>
                <w:color w:val="000000"/>
                <w:spacing w:val="2"/>
                <w:szCs w:val="20"/>
                <w:shd w:val="solid" w:color="000000" w:fill="000000"/>
                <w:fitText w:val="325" w:id="-961817087"/>
                <w14:textFill>
                  <w14:solidFill>
                    <w14:srgbClr w14:val="000000">
                      <w14:alpha w14:val="100000"/>
                    </w14:srgbClr>
                  </w14:solidFill>
                </w14:textFill>
              </w:rPr>
              <w:t>|</w:t>
            </w:r>
            <w:r w:rsidR="00323DA0" w:rsidRPr="00844EB4">
              <w:rPr>
                <w:szCs w:val="20"/>
                <w:vertAlign w:val="superscript"/>
              </w:rPr>
              <w:t>1</w:t>
            </w:r>
          </w:p>
          <w:p w14:paraId="76623768" w14:textId="404985F1" w:rsidR="00D63A4D" w:rsidRPr="00844EB4" w:rsidRDefault="00D63A4D" w:rsidP="00F81041">
            <w:pPr>
              <w:pStyle w:val="Tabletext"/>
              <w:rPr>
                <w:szCs w:val="20"/>
              </w:rPr>
            </w:pPr>
            <w:r w:rsidRPr="00844EB4">
              <w:rPr>
                <w:szCs w:val="20"/>
              </w:rPr>
              <w:t xml:space="preserve">Year 2: </w:t>
            </w:r>
            <w:r w:rsidR="0094719F" w:rsidRPr="0094719F">
              <w:rPr>
                <w:color w:val="000000"/>
                <w:spacing w:val="51"/>
                <w:szCs w:val="20"/>
                <w:shd w:val="solid" w:color="000000" w:fill="000000"/>
                <w:fitText w:val="325" w:id="-961817086"/>
                <w14:textFill>
                  <w14:solidFill>
                    <w14:srgbClr w14:val="000000">
                      <w14:alpha w14:val="100000"/>
                    </w14:srgbClr>
                  </w14:solidFill>
                </w14:textFill>
              </w:rPr>
              <w:t>|||</w:t>
            </w:r>
            <w:r w:rsidR="0094719F" w:rsidRPr="0094719F">
              <w:rPr>
                <w:color w:val="000000"/>
                <w:spacing w:val="2"/>
                <w:szCs w:val="20"/>
                <w:shd w:val="solid" w:color="000000" w:fill="000000"/>
                <w:fitText w:val="325" w:id="-961817086"/>
                <w14:textFill>
                  <w14:solidFill>
                    <w14:srgbClr w14:val="000000">
                      <w14:alpha w14:val="100000"/>
                    </w14:srgbClr>
                  </w14:solidFill>
                </w14:textFill>
              </w:rPr>
              <w:t>|</w:t>
            </w:r>
            <w:r w:rsidR="00323DA0" w:rsidRPr="00844EB4">
              <w:rPr>
                <w:szCs w:val="20"/>
                <w:vertAlign w:val="superscript"/>
              </w:rPr>
              <w:t>1</w:t>
            </w:r>
          </w:p>
          <w:p w14:paraId="30F499AD" w14:textId="3C50FDA3" w:rsidR="00D63A4D" w:rsidRPr="00844EB4" w:rsidRDefault="00D63A4D" w:rsidP="00F81041">
            <w:pPr>
              <w:pStyle w:val="Tabletext"/>
              <w:rPr>
                <w:szCs w:val="20"/>
              </w:rPr>
            </w:pPr>
            <w:r w:rsidRPr="00844EB4">
              <w:rPr>
                <w:szCs w:val="20"/>
              </w:rPr>
              <w:t xml:space="preserve">Year 3: </w:t>
            </w:r>
            <w:r w:rsidR="0094719F" w:rsidRPr="0094719F">
              <w:rPr>
                <w:color w:val="000000"/>
                <w:spacing w:val="51"/>
                <w:szCs w:val="20"/>
                <w:shd w:val="solid" w:color="000000" w:fill="000000"/>
                <w:fitText w:val="325" w:id="-961817085"/>
                <w14:textFill>
                  <w14:solidFill>
                    <w14:srgbClr w14:val="000000">
                      <w14:alpha w14:val="100000"/>
                    </w14:srgbClr>
                  </w14:solidFill>
                </w14:textFill>
              </w:rPr>
              <w:t>|||</w:t>
            </w:r>
            <w:r w:rsidR="0094719F" w:rsidRPr="0094719F">
              <w:rPr>
                <w:color w:val="000000"/>
                <w:spacing w:val="2"/>
                <w:szCs w:val="20"/>
                <w:shd w:val="solid" w:color="000000" w:fill="000000"/>
                <w:fitText w:val="325" w:id="-961817085"/>
                <w14:textFill>
                  <w14:solidFill>
                    <w14:srgbClr w14:val="000000">
                      <w14:alpha w14:val="100000"/>
                    </w14:srgbClr>
                  </w14:solidFill>
                </w14:textFill>
              </w:rPr>
              <w:t>|</w:t>
            </w:r>
            <w:r w:rsidR="00323DA0" w:rsidRPr="00844EB4">
              <w:rPr>
                <w:szCs w:val="20"/>
                <w:vertAlign w:val="superscript"/>
              </w:rPr>
              <w:t>1</w:t>
            </w:r>
          </w:p>
          <w:p w14:paraId="32B8564B" w14:textId="264422E8" w:rsidR="00D63A4D" w:rsidRPr="00844EB4" w:rsidRDefault="00D63A4D" w:rsidP="00F81041">
            <w:pPr>
              <w:pStyle w:val="Tabletext"/>
              <w:rPr>
                <w:szCs w:val="20"/>
              </w:rPr>
            </w:pPr>
            <w:r w:rsidRPr="00844EB4">
              <w:rPr>
                <w:szCs w:val="20"/>
              </w:rPr>
              <w:t xml:space="preserve">Year 4: </w:t>
            </w:r>
            <w:r w:rsidR="0094719F" w:rsidRPr="0094719F">
              <w:rPr>
                <w:color w:val="000000"/>
                <w:spacing w:val="51"/>
                <w:szCs w:val="20"/>
                <w:shd w:val="solid" w:color="000000" w:fill="000000"/>
                <w:fitText w:val="325" w:id="-961817084"/>
                <w14:textFill>
                  <w14:solidFill>
                    <w14:srgbClr w14:val="000000">
                      <w14:alpha w14:val="100000"/>
                    </w14:srgbClr>
                  </w14:solidFill>
                </w14:textFill>
              </w:rPr>
              <w:t>|||</w:t>
            </w:r>
            <w:r w:rsidR="0094719F" w:rsidRPr="0094719F">
              <w:rPr>
                <w:color w:val="000000"/>
                <w:spacing w:val="2"/>
                <w:szCs w:val="20"/>
                <w:shd w:val="solid" w:color="000000" w:fill="000000"/>
                <w:fitText w:val="325" w:id="-961817084"/>
                <w14:textFill>
                  <w14:solidFill>
                    <w14:srgbClr w14:val="000000">
                      <w14:alpha w14:val="100000"/>
                    </w14:srgbClr>
                  </w14:solidFill>
                </w14:textFill>
              </w:rPr>
              <w:t>|</w:t>
            </w:r>
            <w:r w:rsidR="00323DA0" w:rsidRPr="00844EB4">
              <w:rPr>
                <w:szCs w:val="20"/>
                <w:vertAlign w:val="superscript"/>
              </w:rPr>
              <w:t>1</w:t>
            </w:r>
          </w:p>
          <w:p w14:paraId="64D349EB" w14:textId="37C284F1" w:rsidR="00D63A4D" w:rsidRPr="00844EB4" w:rsidRDefault="00D63A4D" w:rsidP="00F81041">
            <w:pPr>
              <w:pStyle w:val="Tabletext"/>
              <w:rPr>
                <w:szCs w:val="20"/>
              </w:rPr>
            </w:pPr>
            <w:r w:rsidRPr="00844EB4">
              <w:rPr>
                <w:szCs w:val="20"/>
              </w:rPr>
              <w:t xml:space="preserve">Year 5: </w:t>
            </w:r>
            <w:r w:rsidR="0094719F" w:rsidRPr="0094719F">
              <w:rPr>
                <w:color w:val="000000"/>
                <w:spacing w:val="51"/>
                <w:szCs w:val="20"/>
                <w:shd w:val="solid" w:color="000000" w:fill="000000"/>
                <w:fitText w:val="325" w:id="-961817083"/>
                <w14:textFill>
                  <w14:solidFill>
                    <w14:srgbClr w14:val="000000">
                      <w14:alpha w14:val="100000"/>
                    </w14:srgbClr>
                  </w14:solidFill>
                </w14:textFill>
              </w:rPr>
              <w:t>|||</w:t>
            </w:r>
            <w:r w:rsidR="0094719F" w:rsidRPr="0094719F">
              <w:rPr>
                <w:color w:val="000000"/>
                <w:spacing w:val="2"/>
                <w:szCs w:val="20"/>
                <w:shd w:val="solid" w:color="000000" w:fill="000000"/>
                <w:fitText w:val="325" w:id="-961817083"/>
                <w14:textFill>
                  <w14:solidFill>
                    <w14:srgbClr w14:val="000000">
                      <w14:alpha w14:val="100000"/>
                    </w14:srgbClr>
                  </w14:solidFill>
                </w14:textFill>
              </w:rPr>
              <w:t>|</w:t>
            </w:r>
            <w:r w:rsidR="00323DA0" w:rsidRPr="00844EB4">
              <w:rPr>
                <w:szCs w:val="20"/>
                <w:vertAlign w:val="superscript"/>
              </w:rPr>
              <w:t>1</w:t>
            </w:r>
          </w:p>
          <w:p w14:paraId="18C7B1F0" w14:textId="71353FC9" w:rsidR="00D63A4D" w:rsidRPr="00844EB4" w:rsidRDefault="00D63A4D" w:rsidP="00F81041">
            <w:pPr>
              <w:pStyle w:val="Tabletext"/>
              <w:rPr>
                <w:szCs w:val="20"/>
              </w:rPr>
            </w:pPr>
            <w:r w:rsidRPr="00844EB4">
              <w:rPr>
                <w:szCs w:val="20"/>
              </w:rPr>
              <w:t xml:space="preserve">Year 6: </w:t>
            </w:r>
            <w:r w:rsidR="0094719F" w:rsidRPr="0094719F">
              <w:rPr>
                <w:color w:val="000000"/>
                <w:spacing w:val="51"/>
                <w:szCs w:val="20"/>
                <w:shd w:val="solid" w:color="000000" w:fill="000000"/>
                <w:fitText w:val="325" w:id="-961817082"/>
                <w14:textFill>
                  <w14:solidFill>
                    <w14:srgbClr w14:val="000000">
                      <w14:alpha w14:val="100000"/>
                    </w14:srgbClr>
                  </w14:solidFill>
                </w14:textFill>
              </w:rPr>
              <w:t>|||</w:t>
            </w:r>
            <w:r w:rsidR="0094719F" w:rsidRPr="0094719F">
              <w:rPr>
                <w:color w:val="000000"/>
                <w:spacing w:val="2"/>
                <w:szCs w:val="20"/>
                <w:shd w:val="solid" w:color="000000" w:fill="000000"/>
                <w:fitText w:val="325" w:id="-961817082"/>
                <w14:textFill>
                  <w14:solidFill>
                    <w14:srgbClr w14:val="000000">
                      <w14:alpha w14:val="100000"/>
                    </w14:srgbClr>
                  </w14:solidFill>
                </w14:textFill>
              </w:rPr>
              <w:t>|</w:t>
            </w:r>
            <w:r w:rsidR="00323DA0" w:rsidRPr="00844EB4">
              <w:rPr>
                <w:szCs w:val="20"/>
                <w:vertAlign w:val="superscript"/>
              </w:rPr>
              <w:t>1</w:t>
            </w:r>
          </w:p>
        </w:tc>
        <w:tc>
          <w:tcPr>
            <w:tcW w:w="687" w:type="pct"/>
          </w:tcPr>
          <w:p w14:paraId="4001F770" w14:textId="77777777" w:rsidR="00D63A4D" w:rsidRPr="00844EB4" w:rsidRDefault="00D63A4D" w:rsidP="00F81041">
            <w:pPr>
              <w:pStyle w:val="Tabletext"/>
              <w:rPr>
                <w:szCs w:val="20"/>
              </w:rPr>
            </w:pPr>
            <w:r w:rsidRPr="00844EB4">
              <w:rPr>
                <w:szCs w:val="20"/>
              </w:rPr>
              <w:t>Ipsen Patient Access Program requests</w:t>
            </w:r>
          </w:p>
        </w:tc>
        <w:tc>
          <w:tcPr>
            <w:tcW w:w="1210" w:type="pct"/>
          </w:tcPr>
          <w:p w14:paraId="267E66D2" w14:textId="77777777" w:rsidR="00D63A4D" w:rsidRPr="00844EB4" w:rsidRDefault="00D63A4D" w:rsidP="00F81041">
            <w:pPr>
              <w:pStyle w:val="Tabletext"/>
              <w:rPr>
                <w:szCs w:val="20"/>
              </w:rPr>
            </w:pPr>
            <w:r w:rsidRPr="00844EB4">
              <w:rPr>
                <w:szCs w:val="20"/>
              </w:rPr>
              <w:t xml:space="preserve">Based on the number of patients enrolled in the Ipsen Patient Access Program for </w:t>
            </w:r>
            <w:proofErr w:type="spellStart"/>
            <w:r w:rsidRPr="00844EB4">
              <w:rPr>
                <w:szCs w:val="20"/>
              </w:rPr>
              <w:t>nccRCC</w:t>
            </w:r>
            <w:proofErr w:type="spellEnd"/>
          </w:p>
        </w:tc>
        <w:tc>
          <w:tcPr>
            <w:tcW w:w="1465" w:type="pct"/>
            <w:vMerge/>
          </w:tcPr>
          <w:p w14:paraId="5A3B45AD" w14:textId="77777777" w:rsidR="00D63A4D" w:rsidRPr="00844EB4" w:rsidRDefault="00D63A4D" w:rsidP="00F81041">
            <w:pPr>
              <w:pStyle w:val="Tabletext"/>
              <w:rPr>
                <w:szCs w:val="20"/>
              </w:rPr>
            </w:pPr>
          </w:p>
        </w:tc>
      </w:tr>
      <w:tr w:rsidR="00D63A4D" w:rsidRPr="00162B20" w14:paraId="3D35D2B3" w14:textId="77777777" w:rsidTr="003D634A">
        <w:tc>
          <w:tcPr>
            <w:tcW w:w="806" w:type="pct"/>
          </w:tcPr>
          <w:p w14:paraId="52F26061" w14:textId="77777777" w:rsidR="00D63A4D" w:rsidRPr="00844EB4" w:rsidRDefault="00D63A4D" w:rsidP="00F81041">
            <w:pPr>
              <w:pStyle w:val="Tabletext"/>
              <w:rPr>
                <w:szCs w:val="20"/>
              </w:rPr>
            </w:pPr>
            <w:r w:rsidRPr="00844EB4">
              <w:rPr>
                <w:szCs w:val="20"/>
              </w:rPr>
              <w:t>Total patients</w:t>
            </w:r>
          </w:p>
        </w:tc>
        <w:tc>
          <w:tcPr>
            <w:tcW w:w="832" w:type="pct"/>
          </w:tcPr>
          <w:p w14:paraId="37684CAB" w14:textId="1DC57253" w:rsidR="00D63A4D" w:rsidRPr="00844EB4" w:rsidRDefault="00D63A4D" w:rsidP="00F81041">
            <w:pPr>
              <w:pStyle w:val="Tabletext"/>
              <w:rPr>
                <w:szCs w:val="20"/>
              </w:rPr>
            </w:pPr>
            <w:r w:rsidRPr="00844EB4">
              <w:rPr>
                <w:szCs w:val="20"/>
              </w:rPr>
              <w:t xml:space="preserve">Year 1: </w:t>
            </w:r>
            <w:r w:rsidR="0094719F" w:rsidRPr="0094719F">
              <w:rPr>
                <w:color w:val="000000"/>
                <w:spacing w:val="51"/>
                <w:szCs w:val="20"/>
                <w:shd w:val="solid" w:color="000000" w:fill="000000"/>
                <w:fitText w:val="325" w:id="-961817081"/>
                <w14:textFill>
                  <w14:solidFill>
                    <w14:srgbClr w14:val="000000">
                      <w14:alpha w14:val="100000"/>
                    </w14:srgbClr>
                  </w14:solidFill>
                </w14:textFill>
              </w:rPr>
              <w:t>|||</w:t>
            </w:r>
            <w:r w:rsidR="0094719F" w:rsidRPr="0094719F">
              <w:rPr>
                <w:color w:val="000000"/>
                <w:spacing w:val="2"/>
                <w:szCs w:val="20"/>
                <w:shd w:val="solid" w:color="000000" w:fill="000000"/>
                <w:fitText w:val="325" w:id="-961817081"/>
                <w14:textFill>
                  <w14:solidFill>
                    <w14:srgbClr w14:val="000000">
                      <w14:alpha w14:val="100000"/>
                    </w14:srgbClr>
                  </w14:solidFill>
                </w14:textFill>
              </w:rPr>
              <w:t>|</w:t>
            </w:r>
            <w:r w:rsidR="00323DA0" w:rsidRPr="00844EB4">
              <w:rPr>
                <w:szCs w:val="20"/>
                <w:vertAlign w:val="superscript"/>
              </w:rPr>
              <w:t>1</w:t>
            </w:r>
          </w:p>
          <w:p w14:paraId="37521762" w14:textId="23DABA4E" w:rsidR="00D63A4D" w:rsidRPr="00844EB4" w:rsidRDefault="00D63A4D" w:rsidP="00F81041">
            <w:pPr>
              <w:pStyle w:val="Tabletext"/>
              <w:rPr>
                <w:szCs w:val="20"/>
              </w:rPr>
            </w:pPr>
            <w:r w:rsidRPr="00844EB4">
              <w:rPr>
                <w:szCs w:val="20"/>
              </w:rPr>
              <w:t xml:space="preserve">Year 2: </w:t>
            </w:r>
            <w:r w:rsidR="0094719F" w:rsidRPr="002A1754">
              <w:rPr>
                <w:color w:val="000000"/>
                <w:spacing w:val="51"/>
                <w:szCs w:val="20"/>
                <w:shd w:val="solid" w:color="000000" w:fill="000000"/>
                <w:fitText w:val="325" w:id="-961817080"/>
                <w14:textFill>
                  <w14:solidFill>
                    <w14:srgbClr w14:val="000000">
                      <w14:alpha w14:val="100000"/>
                    </w14:srgbClr>
                  </w14:solidFill>
                </w14:textFill>
              </w:rPr>
              <w:t>|||</w:t>
            </w:r>
            <w:r w:rsidR="0094719F" w:rsidRPr="002A1754">
              <w:rPr>
                <w:color w:val="000000"/>
                <w:spacing w:val="2"/>
                <w:szCs w:val="20"/>
                <w:shd w:val="solid" w:color="000000" w:fill="000000"/>
                <w:fitText w:val="325" w:id="-961817080"/>
                <w14:textFill>
                  <w14:solidFill>
                    <w14:srgbClr w14:val="000000">
                      <w14:alpha w14:val="100000"/>
                    </w14:srgbClr>
                  </w14:solidFill>
                </w14:textFill>
              </w:rPr>
              <w:t>|</w:t>
            </w:r>
            <w:r w:rsidR="00323DA0" w:rsidRPr="00844EB4">
              <w:rPr>
                <w:szCs w:val="20"/>
                <w:vertAlign w:val="superscript"/>
              </w:rPr>
              <w:t>1</w:t>
            </w:r>
          </w:p>
          <w:p w14:paraId="00E78E22" w14:textId="0B8C740B" w:rsidR="00C914BB" w:rsidRPr="00C914BB" w:rsidRDefault="00D63A4D" w:rsidP="00F81041">
            <w:pPr>
              <w:pStyle w:val="Tabletext"/>
              <w:rPr>
                <w:szCs w:val="20"/>
              </w:rPr>
            </w:pPr>
            <w:r w:rsidRPr="00844EB4">
              <w:rPr>
                <w:szCs w:val="20"/>
              </w:rPr>
              <w:t xml:space="preserve">Year 3: </w:t>
            </w:r>
            <w:r w:rsidR="0094719F" w:rsidRPr="0094719F">
              <w:rPr>
                <w:color w:val="000000"/>
                <w:spacing w:val="51"/>
                <w:szCs w:val="20"/>
                <w:shd w:val="solid" w:color="000000" w:fill="000000"/>
                <w:fitText w:val="325" w:id="-961817079"/>
                <w14:textFill>
                  <w14:solidFill>
                    <w14:srgbClr w14:val="000000">
                      <w14:alpha w14:val="100000"/>
                    </w14:srgbClr>
                  </w14:solidFill>
                </w14:textFill>
              </w:rPr>
              <w:t>|||</w:t>
            </w:r>
            <w:r w:rsidR="0094719F" w:rsidRPr="0094719F">
              <w:rPr>
                <w:color w:val="000000"/>
                <w:spacing w:val="2"/>
                <w:szCs w:val="20"/>
                <w:shd w:val="solid" w:color="000000" w:fill="000000"/>
                <w:fitText w:val="325" w:id="-961817079"/>
                <w14:textFill>
                  <w14:solidFill>
                    <w14:srgbClr w14:val="000000">
                      <w14:alpha w14:val="100000"/>
                    </w14:srgbClr>
                  </w14:solidFill>
                </w14:textFill>
              </w:rPr>
              <w:t>|</w:t>
            </w:r>
            <w:r w:rsidR="00323DA0" w:rsidRPr="00844EB4">
              <w:rPr>
                <w:szCs w:val="20"/>
                <w:vertAlign w:val="superscript"/>
              </w:rPr>
              <w:t>1</w:t>
            </w:r>
          </w:p>
          <w:p w14:paraId="3F4244F2" w14:textId="004ADC9E" w:rsidR="00D63A4D" w:rsidRPr="00844EB4" w:rsidRDefault="00D63A4D" w:rsidP="00F81041">
            <w:pPr>
              <w:pStyle w:val="Tabletext"/>
              <w:rPr>
                <w:szCs w:val="20"/>
              </w:rPr>
            </w:pPr>
            <w:r w:rsidRPr="00844EB4">
              <w:rPr>
                <w:szCs w:val="20"/>
              </w:rPr>
              <w:t xml:space="preserve">Year 4: </w:t>
            </w:r>
            <w:r w:rsidR="0094719F" w:rsidRPr="0094719F">
              <w:rPr>
                <w:color w:val="000000"/>
                <w:spacing w:val="51"/>
                <w:szCs w:val="20"/>
                <w:shd w:val="solid" w:color="000000" w:fill="000000"/>
                <w:fitText w:val="325" w:id="-961817078"/>
                <w14:textFill>
                  <w14:solidFill>
                    <w14:srgbClr w14:val="000000">
                      <w14:alpha w14:val="100000"/>
                    </w14:srgbClr>
                  </w14:solidFill>
                </w14:textFill>
              </w:rPr>
              <w:t>|||</w:t>
            </w:r>
            <w:r w:rsidR="0094719F" w:rsidRPr="0094719F">
              <w:rPr>
                <w:color w:val="000000"/>
                <w:spacing w:val="2"/>
                <w:szCs w:val="20"/>
                <w:shd w:val="solid" w:color="000000" w:fill="000000"/>
                <w:fitText w:val="325" w:id="-961817078"/>
                <w14:textFill>
                  <w14:solidFill>
                    <w14:srgbClr w14:val="000000">
                      <w14:alpha w14:val="100000"/>
                    </w14:srgbClr>
                  </w14:solidFill>
                </w14:textFill>
              </w:rPr>
              <w:t>|</w:t>
            </w:r>
            <w:r w:rsidR="00323DA0" w:rsidRPr="00844EB4">
              <w:rPr>
                <w:szCs w:val="20"/>
                <w:vertAlign w:val="superscript"/>
              </w:rPr>
              <w:t>1</w:t>
            </w:r>
          </w:p>
          <w:p w14:paraId="6C5BCD41" w14:textId="212E924C" w:rsidR="00D63A4D" w:rsidRPr="00844EB4" w:rsidRDefault="00D63A4D" w:rsidP="00F81041">
            <w:pPr>
              <w:pStyle w:val="Tabletext"/>
              <w:rPr>
                <w:szCs w:val="20"/>
              </w:rPr>
            </w:pPr>
            <w:r w:rsidRPr="00844EB4">
              <w:rPr>
                <w:szCs w:val="20"/>
              </w:rPr>
              <w:t xml:space="preserve">Year 5: </w:t>
            </w:r>
            <w:r w:rsidR="0094719F" w:rsidRPr="0094719F">
              <w:rPr>
                <w:color w:val="000000"/>
                <w:spacing w:val="51"/>
                <w:szCs w:val="20"/>
                <w:shd w:val="solid" w:color="000000" w:fill="000000"/>
                <w:fitText w:val="325" w:id="-961817077"/>
                <w14:textFill>
                  <w14:solidFill>
                    <w14:srgbClr w14:val="000000">
                      <w14:alpha w14:val="100000"/>
                    </w14:srgbClr>
                  </w14:solidFill>
                </w14:textFill>
              </w:rPr>
              <w:t>|||</w:t>
            </w:r>
            <w:r w:rsidR="0094719F" w:rsidRPr="0094719F">
              <w:rPr>
                <w:color w:val="000000"/>
                <w:spacing w:val="2"/>
                <w:szCs w:val="20"/>
                <w:shd w:val="solid" w:color="000000" w:fill="000000"/>
                <w:fitText w:val="325" w:id="-961817077"/>
                <w14:textFill>
                  <w14:solidFill>
                    <w14:srgbClr w14:val="000000">
                      <w14:alpha w14:val="100000"/>
                    </w14:srgbClr>
                  </w14:solidFill>
                </w14:textFill>
              </w:rPr>
              <w:t>|</w:t>
            </w:r>
            <w:r w:rsidR="00323DA0" w:rsidRPr="00844EB4">
              <w:rPr>
                <w:szCs w:val="20"/>
                <w:vertAlign w:val="superscript"/>
              </w:rPr>
              <w:t>1</w:t>
            </w:r>
          </w:p>
          <w:p w14:paraId="18DE328C" w14:textId="4290AEF8" w:rsidR="00D63A4D" w:rsidRPr="00844EB4" w:rsidRDefault="00D63A4D" w:rsidP="00F81041">
            <w:pPr>
              <w:pStyle w:val="Tabletext"/>
              <w:rPr>
                <w:szCs w:val="20"/>
              </w:rPr>
            </w:pPr>
            <w:r w:rsidRPr="00844EB4">
              <w:rPr>
                <w:szCs w:val="20"/>
              </w:rPr>
              <w:t xml:space="preserve">Year 6: </w:t>
            </w:r>
            <w:r w:rsidR="0094719F" w:rsidRPr="0094719F">
              <w:rPr>
                <w:color w:val="000000"/>
                <w:spacing w:val="51"/>
                <w:szCs w:val="20"/>
                <w:shd w:val="solid" w:color="000000" w:fill="000000"/>
                <w:fitText w:val="325" w:id="-961817076"/>
                <w14:textFill>
                  <w14:solidFill>
                    <w14:srgbClr w14:val="000000">
                      <w14:alpha w14:val="100000"/>
                    </w14:srgbClr>
                  </w14:solidFill>
                </w14:textFill>
              </w:rPr>
              <w:t>|||</w:t>
            </w:r>
            <w:r w:rsidR="0094719F" w:rsidRPr="0094719F">
              <w:rPr>
                <w:color w:val="000000"/>
                <w:spacing w:val="2"/>
                <w:szCs w:val="20"/>
                <w:shd w:val="solid" w:color="000000" w:fill="000000"/>
                <w:fitText w:val="325" w:id="-961817076"/>
                <w14:textFill>
                  <w14:solidFill>
                    <w14:srgbClr w14:val="000000">
                      <w14:alpha w14:val="100000"/>
                    </w14:srgbClr>
                  </w14:solidFill>
                </w14:textFill>
              </w:rPr>
              <w:t>|</w:t>
            </w:r>
            <w:r w:rsidR="00323DA0" w:rsidRPr="00844EB4">
              <w:rPr>
                <w:szCs w:val="20"/>
                <w:vertAlign w:val="superscript"/>
              </w:rPr>
              <w:t>1</w:t>
            </w:r>
          </w:p>
        </w:tc>
        <w:tc>
          <w:tcPr>
            <w:tcW w:w="687" w:type="pct"/>
          </w:tcPr>
          <w:p w14:paraId="1F45E91F" w14:textId="77777777" w:rsidR="00D63A4D" w:rsidRPr="00844EB4" w:rsidRDefault="00D63A4D" w:rsidP="00F81041">
            <w:pPr>
              <w:pStyle w:val="Tabletext"/>
              <w:rPr>
                <w:szCs w:val="20"/>
              </w:rPr>
            </w:pPr>
            <w:r w:rsidRPr="00844EB4">
              <w:rPr>
                <w:szCs w:val="20"/>
              </w:rPr>
              <w:t>Ipsen Patient Access Program requests</w:t>
            </w:r>
          </w:p>
        </w:tc>
        <w:tc>
          <w:tcPr>
            <w:tcW w:w="1210" w:type="pct"/>
          </w:tcPr>
          <w:p w14:paraId="580D0FF2" w14:textId="44E999CF" w:rsidR="00D63A4D" w:rsidRPr="00844EB4" w:rsidRDefault="00D63A4D" w:rsidP="00F81041">
            <w:pPr>
              <w:pStyle w:val="Tabletext"/>
              <w:rPr>
                <w:szCs w:val="20"/>
              </w:rPr>
            </w:pPr>
            <w:r w:rsidRPr="00844EB4">
              <w:rPr>
                <w:szCs w:val="20"/>
              </w:rPr>
              <w:t xml:space="preserve">Uncertain. </w:t>
            </w:r>
            <w:r w:rsidR="00CE6A04" w:rsidRPr="00844EB4">
              <w:rPr>
                <w:szCs w:val="20"/>
              </w:rPr>
              <w:t xml:space="preserve">Includes adjustment for additional patients from other sources (10%) and </w:t>
            </w:r>
            <w:r w:rsidR="00B268FA" w:rsidRPr="00844EB4">
              <w:rPr>
                <w:rStyle w:val="CommentReference"/>
                <w:b w:val="0"/>
                <w:bCs/>
                <w:snapToGrid/>
                <w:szCs w:val="20"/>
              </w:rPr>
              <w:t>r</w:t>
            </w:r>
            <w:r w:rsidR="00B268FA" w:rsidRPr="00844EB4">
              <w:rPr>
                <w:rStyle w:val="CommentReference"/>
                <w:b w:val="0"/>
                <w:bCs/>
                <w:szCs w:val="20"/>
              </w:rPr>
              <w:t>eduction to account for</w:t>
            </w:r>
            <w:r w:rsidR="00B268FA" w:rsidRPr="00844EB4">
              <w:rPr>
                <w:rStyle w:val="CommentReference"/>
                <w:szCs w:val="20"/>
              </w:rPr>
              <w:t xml:space="preserve"> </w:t>
            </w:r>
            <w:r w:rsidR="00CE6A04" w:rsidRPr="00844EB4">
              <w:rPr>
                <w:szCs w:val="20"/>
              </w:rPr>
              <w:t>proportion eligible for cabozantinib (87.5%).</w:t>
            </w:r>
          </w:p>
        </w:tc>
        <w:tc>
          <w:tcPr>
            <w:tcW w:w="1465" w:type="pct"/>
            <w:vMerge/>
          </w:tcPr>
          <w:p w14:paraId="08298DE9" w14:textId="77777777" w:rsidR="00D63A4D" w:rsidRPr="00844EB4" w:rsidRDefault="00D63A4D" w:rsidP="00F81041">
            <w:pPr>
              <w:pStyle w:val="Tabletext"/>
              <w:rPr>
                <w:szCs w:val="20"/>
              </w:rPr>
            </w:pPr>
          </w:p>
        </w:tc>
      </w:tr>
      <w:tr w:rsidR="00D63A4D" w:rsidRPr="00162B20" w14:paraId="55D2EFAA" w14:textId="77777777" w:rsidTr="003D634A">
        <w:tc>
          <w:tcPr>
            <w:tcW w:w="5000" w:type="pct"/>
            <w:gridSpan w:val="5"/>
          </w:tcPr>
          <w:p w14:paraId="54E0F990" w14:textId="77777777" w:rsidR="00D63A4D" w:rsidRPr="00844EB4" w:rsidRDefault="00D63A4D" w:rsidP="00F81041">
            <w:pPr>
              <w:pStyle w:val="In-tableHeading"/>
              <w:rPr>
                <w:szCs w:val="20"/>
                <w:lang w:val="en-AU"/>
              </w:rPr>
            </w:pPr>
            <w:r w:rsidRPr="00844EB4">
              <w:rPr>
                <w:szCs w:val="20"/>
                <w:lang w:val="en-AU"/>
              </w:rPr>
              <w:t>Treatment utilisation</w:t>
            </w:r>
          </w:p>
        </w:tc>
      </w:tr>
      <w:tr w:rsidR="00D63A4D" w:rsidRPr="00162B20" w14:paraId="196F7327" w14:textId="77777777" w:rsidTr="003D634A">
        <w:tc>
          <w:tcPr>
            <w:tcW w:w="806" w:type="pct"/>
          </w:tcPr>
          <w:p w14:paraId="1F987E23" w14:textId="77777777" w:rsidR="00D63A4D" w:rsidRPr="00844EB4" w:rsidRDefault="00D63A4D" w:rsidP="00F81041">
            <w:pPr>
              <w:pStyle w:val="Tabletext"/>
              <w:rPr>
                <w:szCs w:val="20"/>
              </w:rPr>
            </w:pPr>
            <w:r w:rsidRPr="00844EB4">
              <w:rPr>
                <w:szCs w:val="20"/>
              </w:rPr>
              <w:t>Duration of treatment</w:t>
            </w:r>
          </w:p>
        </w:tc>
        <w:tc>
          <w:tcPr>
            <w:tcW w:w="832" w:type="pct"/>
          </w:tcPr>
          <w:p w14:paraId="382BD03E" w14:textId="77777777" w:rsidR="00D63A4D" w:rsidRPr="00844EB4" w:rsidRDefault="00D63A4D" w:rsidP="00F81041">
            <w:pPr>
              <w:pStyle w:val="Tabletext"/>
              <w:rPr>
                <w:szCs w:val="20"/>
              </w:rPr>
            </w:pPr>
            <w:r w:rsidRPr="00844EB4">
              <w:rPr>
                <w:szCs w:val="20"/>
              </w:rPr>
              <w:t>12.6 months</w:t>
            </w:r>
          </w:p>
        </w:tc>
        <w:tc>
          <w:tcPr>
            <w:tcW w:w="687" w:type="pct"/>
          </w:tcPr>
          <w:p w14:paraId="03E0B7F7" w14:textId="77777777" w:rsidR="00D63A4D" w:rsidRPr="00844EB4" w:rsidRDefault="00D63A4D" w:rsidP="00F81041">
            <w:pPr>
              <w:pStyle w:val="Tabletext"/>
              <w:rPr>
                <w:szCs w:val="20"/>
              </w:rPr>
            </w:pPr>
            <w:r w:rsidRPr="00844EB4">
              <w:rPr>
                <w:szCs w:val="20"/>
              </w:rPr>
              <w:t>CABOSUN</w:t>
            </w:r>
          </w:p>
        </w:tc>
        <w:tc>
          <w:tcPr>
            <w:tcW w:w="1210" w:type="pct"/>
          </w:tcPr>
          <w:p w14:paraId="5EFE1F3F" w14:textId="77777777" w:rsidR="00D63A4D" w:rsidRPr="00844EB4" w:rsidRDefault="00D63A4D" w:rsidP="00F81041">
            <w:pPr>
              <w:pStyle w:val="Tabletext"/>
              <w:rPr>
                <w:szCs w:val="20"/>
              </w:rPr>
            </w:pPr>
            <w:r w:rsidRPr="00844EB4">
              <w:rPr>
                <w:szCs w:val="20"/>
              </w:rPr>
              <w:t>Uncertain. Estimated based on extrapolation of the time on treatment from CABOSUN for clear cell RCC patients (</w:t>
            </w:r>
            <w:proofErr w:type="spellStart"/>
            <w:r w:rsidRPr="00844EB4">
              <w:rPr>
                <w:szCs w:val="20"/>
              </w:rPr>
              <w:t>ccRCC</w:t>
            </w:r>
            <w:proofErr w:type="spellEnd"/>
            <w:r w:rsidRPr="00844EB4">
              <w:rPr>
                <w:szCs w:val="20"/>
              </w:rPr>
              <w:t>).</w:t>
            </w:r>
          </w:p>
        </w:tc>
        <w:tc>
          <w:tcPr>
            <w:tcW w:w="1465" w:type="pct"/>
          </w:tcPr>
          <w:p w14:paraId="5601ADA5" w14:textId="77777777" w:rsidR="00D63A4D" w:rsidRPr="00844EB4" w:rsidRDefault="00D63A4D" w:rsidP="00F81041">
            <w:pPr>
              <w:pStyle w:val="Tabletext"/>
              <w:rPr>
                <w:szCs w:val="20"/>
              </w:rPr>
            </w:pPr>
            <w:r w:rsidRPr="00844EB4">
              <w:rPr>
                <w:rFonts w:eastAsia="MS Gothic"/>
                <w:szCs w:val="20"/>
              </w:rPr>
              <w:t xml:space="preserve">DUSC considered duration of treatment to be overestimated as it is extrapolated from </w:t>
            </w:r>
            <w:proofErr w:type="spellStart"/>
            <w:r w:rsidRPr="00844EB4">
              <w:rPr>
                <w:rFonts w:eastAsia="MS Gothic"/>
                <w:szCs w:val="20"/>
              </w:rPr>
              <w:t>ccRCC</w:t>
            </w:r>
            <w:proofErr w:type="spellEnd"/>
            <w:r w:rsidRPr="00844EB4">
              <w:rPr>
                <w:rFonts w:eastAsia="MS Gothic"/>
                <w:szCs w:val="20"/>
              </w:rPr>
              <w:t xml:space="preserve"> patients in CABOSUN I. DUSC noted </w:t>
            </w:r>
            <w:proofErr w:type="spellStart"/>
            <w:r w:rsidRPr="00844EB4">
              <w:rPr>
                <w:rFonts w:eastAsia="MS Gothic"/>
                <w:szCs w:val="20"/>
              </w:rPr>
              <w:t>ccRCC</w:t>
            </w:r>
            <w:proofErr w:type="spellEnd"/>
            <w:r w:rsidRPr="00844EB4">
              <w:rPr>
                <w:rFonts w:eastAsia="MS Gothic"/>
                <w:szCs w:val="20"/>
              </w:rPr>
              <w:t xml:space="preserve"> patients would respond better to cabozantinib treatment compared to </w:t>
            </w:r>
            <w:proofErr w:type="spellStart"/>
            <w:r w:rsidRPr="00844EB4">
              <w:rPr>
                <w:rFonts w:eastAsia="MS Gothic"/>
                <w:szCs w:val="20"/>
              </w:rPr>
              <w:t>nccRCC</w:t>
            </w:r>
            <w:proofErr w:type="spellEnd"/>
            <w:r w:rsidRPr="00844EB4">
              <w:rPr>
                <w:rFonts w:eastAsia="MS Gothic"/>
                <w:szCs w:val="20"/>
              </w:rPr>
              <w:t xml:space="preserve"> patients. </w:t>
            </w:r>
          </w:p>
        </w:tc>
      </w:tr>
      <w:bookmarkEnd w:id="59"/>
      <w:tr w:rsidR="00D63A4D" w:rsidRPr="00162B20" w14:paraId="7D34E470" w14:textId="77777777" w:rsidTr="003D634A">
        <w:tc>
          <w:tcPr>
            <w:tcW w:w="5000" w:type="pct"/>
            <w:gridSpan w:val="5"/>
          </w:tcPr>
          <w:p w14:paraId="2A50EA2F" w14:textId="77777777" w:rsidR="00D63A4D" w:rsidRPr="00844EB4" w:rsidRDefault="00D63A4D" w:rsidP="00F81041">
            <w:pPr>
              <w:pStyle w:val="In-tableHeading"/>
              <w:rPr>
                <w:szCs w:val="20"/>
                <w:lang w:val="en-AU"/>
              </w:rPr>
            </w:pPr>
            <w:r w:rsidRPr="00844EB4">
              <w:rPr>
                <w:szCs w:val="20"/>
                <w:lang w:val="en-AU"/>
              </w:rPr>
              <w:t>Costs</w:t>
            </w:r>
          </w:p>
        </w:tc>
      </w:tr>
      <w:tr w:rsidR="00D63A4D" w:rsidRPr="00162B20" w14:paraId="038E044A" w14:textId="77777777" w:rsidTr="003D634A">
        <w:tc>
          <w:tcPr>
            <w:tcW w:w="806" w:type="pct"/>
          </w:tcPr>
          <w:p w14:paraId="712C94F2" w14:textId="77777777" w:rsidR="00D63A4D" w:rsidRPr="00844EB4" w:rsidRDefault="00D63A4D" w:rsidP="00F81041">
            <w:pPr>
              <w:pStyle w:val="Tabletext"/>
              <w:rPr>
                <w:szCs w:val="20"/>
              </w:rPr>
            </w:pPr>
            <w:r w:rsidRPr="00844EB4">
              <w:rPr>
                <w:szCs w:val="20"/>
              </w:rPr>
              <w:t>Cabozantinib</w:t>
            </w:r>
          </w:p>
        </w:tc>
        <w:tc>
          <w:tcPr>
            <w:tcW w:w="832" w:type="pct"/>
          </w:tcPr>
          <w:p w14:paraId="565AF648" w14:textId="77777777" w:rsidR="00D63A4D" w:rsidRPr="00844EB4" w:rsidRDefault="00D63A4D" w:rsidP="00F81041">
            <w:pPr>
              <w:pStyle w:val="Tabletext"/>
              <w:rPr>
                <w:szCs w:val="20"/>
              </w:rPr>
            </w:pPr>
            <w:r w:rsidRPr="00844EB4">
              <w:rPr>
                <w:szCs w:val="20"/>
              </w:rPr>
              <w:t>Published DPMQ -$9,962.13;</w:t>
            </w:r>
          </w:p>
          <w:p w14:paraId="7AA7176C" w14:textId="3D6595EC" w:rsidR="00D63A4D" w:rsidRPr="00844EB4" w:rsidRDefault="00D63A4D" w:rsidP="00F81041">
            <w:pPr>
              <w:pStyle w:val="Tabletext"/>
              <w:rPr>
                <w:szCs w:val="20"/>
              </w:rPr>
            </w:pPr>
            <w:r w:rsidRPr="00844EB4">
              <w:rPr>
                <w:szCs w:val="20"/>
              </w:rPr>
              <w:t>Effective DPMQ -$</w:t>
            </w:r>
            <w:r w:rsidR="0094719F" w:rsidRPr="0094719F">
              <w:rPr>
                <w:color w:val="000000"/>
                <w:spacing w:val="51"/>
                <w:szCs w:val="20"/>
                <w:shd w:val="solid" w:color="000000" w:fill="000000"/>
                <w:fitText w:val="325" w:id="-961817075"/>
                <w14:textFill>
                  <w14:solidFill>
                    <w14:srgbClr w14:val="000000">
                      <w14:alpha w14:val="100000"/>
                    </w14:srgbClr>
                  </w14:solidFill>
                </w14:textFill>
              </w:rPr>
              <w:t>|||</w:t>
            </w:r>
            <w:r w:rsidR="0094719F" w:rsidRPr="0094719F">
              <w:rPr>
                <w:color w:val="000000"/>
                <w:spacing w:val="2"/>
                <w:szCs w:val="20"/>
                <w:shd w:val="solid" w:color="000000" w:fill="000000"/>
                <w:fitText w:val="325" w:id="-961817075"/>
                <w14:textFill>
                  <w14:solidFill>
                    <w14:srgbClr w14:val="000000">
                      <w14:alpha w14:val="100000"/>
                    </w14:srgbClr>
                  </w14:solidFill>
                </w14:textFill>
              </w:rPr>
              <w:t>|</w:t>
            </w:r>
            <w:r w:rsidRPr="00844EB4">
              <w:rPr>
                <w:szCs w:val="20"/>
              </w:rPr>
              <w:t xml:space="preserve"> </w:t>
            </w:r>
            <w:r w:rsidR="0044714B" w:rsidRPr="00844EB4">
              <w:rPr>
                <w:szCs w:val="20"/>
              </w:rPr>
              <w:t>(corrected during evaluation)</w:t>
            </w:r>
          </w:p>
        </w:tc>
        <w:tc>
          <w:tcPr>
            <w:tcW w:w="687" w:type="pct"/>
          </w:tcPr>
          <w:p w14:paraId="773A8051" w14:textId="092EC9BD" w:rsidR="00D63A4D" w:rsidRPr="00844EB4" w:rsidRDefault="00D63A4D" w:rsidP="00F81041">
            <w:pPr>
              <w:pStyle w:val="Tabletext"/>
              <w:rPr>
                <w:szCs w:val="20"/>
              </w:rPr>
            </w:pPr>
            <w:r w:rsidRPr="00844EB4">
              <w:rPr>
                <w:szCs w:val="20"/>
              </w:rPr>
              <w:t xml:space="preserve">Proposed </w:t>
            </w:r>
            <w:r w:rsidR="0044714B" w:rsidRPr="00844EB4">
              <w:rPr>
                <w:szCs w:val="20"/>
              </w:rPr>
              <w:t xml:space="preserve">price </w:t>
            </w:r>
            <w:r w:rsidRPr="00844EB4">
              <w:rPr>
                <w:szCs w:val="20"/>
              </w:rPr>
              <w:t xml:space="preserve">for cabozantinib </w:t>
            </w:r>
          </w:p>
        </w:tc>
        <w:tc>
          <w:tcPr>
            <w:tcW w:w="1210" w:type="pct"/>
          </w:tcPr>
          <w:p w14:paraId="1A59ADD2" w14:textId="4A0BEC36" w:rsidR="00D63A4D" w:rsidRPr="00844EB4" w:rsidRDefault="00D63A4D" w:rsidP="00F81041">
            <w:pPr>
              <w:pStyle w:val="Tabletext"/>
              <w:rPr>
                <w:szCs w:val="20"/>
              </w:rPr>
            </w:pPr>
            <w:r w:rsidRPr="00844EB4">
              <w:rPr>
                <w:szCs w:val="20"/>
              </w:rPr>
              <w:t>The submission incorrectly used AEMP to calculate the financial impact of listing cabozantinib</w:t>
            </w:r>
            <w:r w:rsidR="0044714B" w:rsidRPr="00844EB4">
              <w:rPr>
                <w:szCs w:val="20"/>
              </w:rPr>
              <w:t>, rather than DPMQ</w:t>
            </w:r>
            <w:r w:rsidRPr="00844EB4">
              <w:rPr>
                <w:szCs w:val="20"/>
              </w:rPr>
              <w:t xml:space="preserve">. </w:t>
            </w:r>
          </w:p>
        </w:tc>
        <w:tc>
          <w:tcPr>
            <w:tcW w:w="1465" w:type="pct"/>
          </w:tcPr>
          <w:p w14:paraId="7D6E17A5" w14:textId="77777777" w:rsidR="00D63A4D" w:rsidRPr="00844EB4" w:rsidRDefault="00D63A4D" w:rsidP="00F81041">
            <w:pPr>
              <w:pStyle w:val="Tabletext"/>
              <w:rPr>
                <w:szCs w:val="20"/>
              </w:rPr>
            </w:pPr>
            <w:r w:rsidRPr="00844EB4">
              <w:rPr>
                <w:rFonts w:eastAsia="MS Gothic"/>
                <w:szCs w:val="20"/>
              </w:rPr>
              <w:t xml:space="preserve">DUSC agreed with the commentary. </w:t>
            </w:r>
          </w:p>
        </w:tc>
      </w:tr>
      <w:tr w:rsidR="00D63A4D" w:rsidRPr="00162B20" w14:paraId="7F6115EB" w14:textId="77777777" w:rsidTr="003D634A">
        <w:tc>
          <w:tcPr>
            <w:tcW w:w="806" w:type="pct"/>
          </w:tcPr>
          <w:p w14:paraId="7A473B5C" w14:textId="77777777" w:rsidR="00D63A4D" w:rsidRPr="00844EB4" w:rsidRDefault="00D63A4D" w:rsidP="00F81041">
            <w:pPr>
              <w:pStyle w:val="Tabletext"/>
              <w:rPr>
                <w:szCs w:val="20"/>
              </w:rPr>
            </w:pPr>
            <w:r w:rsidRPr="00844EB4">
              <w:rPr>
                <w:szCs w:val="20"/>
              </w:rPr>
              <w:t>Patient copayment</w:t>
            </w:r>
          </w:p>
        </w:tc>
        <w:tc>
          <w:tcPr>
            <w:tcW w:w="832" w:type="pct"/>
          </w:tcPr>
          <w:p w14:paraId="19BD2645" w14:textId="77777777" w:rsidR="00D63A4D" w:rsidRPr="00844EB4" w:rsidRDefault="00D63A4D" w:rsidP="00F81041">
            <w:pPr>
              <w:pStyle w:val="Tabletext"/>
              <w:rPr>
                <w:szCs w:val="20"/>
              </w:rPr>
            </w:pPr>
            <w:r w:rsidRPr="00844EB4">
              <w:rPr>
                <w:szCs w:val="20"/>
              </w:rPr>
              <w:t>PBS services:</w:t>
            </w:r>
          </w:p>
          <w:p w14:paraId="0871E3A3" w14:textId="77777777" w:rsidR="00D63A4D" w:rsidRPr="00844EB4" w:rsidRDefault="00D63A4D" w:rsidP="00F81041">
            <w:pPr>
              <w:pStyle w:val="Tabletext"/>
              <w:rPr>
                <w:szCs w:val="20"/>
              </w:rPr>
            </w:pPr>
            <w:r w:rsidRPr="00844EB4">
              <w:rPr>
                <w:szCs w:val="20"/>
              </w:rPr>
              <w:lastRenderedPageBreak/>
              <w:t>General - Ordinary Services: $30.00</w:t>
            </w:r>
            <w:r w:rsidRPr="00844EB4">
              <w:rPr>
                <w:szCs w:val="20"/>
              </w:rPr>
              <w:tab/>
            </w:r>
          </w:p>
          <w:p w14:paraId="14368B08" w14:textId="77777777" w:rsidR="00D63A4D" w:rsidRPr="00844EB4" w:rsidRDefault="00D63A4D" w:rsidP="00F81041">
            <w:pPr>
              <w:pStyle w:val="Tabletext"/>
              <w:rPr>
                <w:szCs w:val="20"/>
              </w:rPr>
            </w:pPr>
            <w:r w:rsidRPr="00844EB4">
              <w:rPr>
                <w:szCs w:val="20"/>
              </w:rPr>
              <w:t>General - Safety Net Services: $7.30</w:t>
            </w:r>
          </w:p>
          <w:p w14:paraId="0B8068D5" w14:textId="77777777" w:rsidR="00D63A4D" w:rsidRPr="00844EB4" w:rsidRDefault="00D63A4D" w:rsidP="00F81041">
            <w:pPr>
              <w:pStyle w:val="Tabletext"/>
              <w:rPr>
                <w:szCs w:val="20"/>
              </w:rPr>
            </w:pPr>
            <w:r w:rsidRPr="00844EB4">
              <w:rPr>
                <w:szCs w:val="20"/>
              </w:rPr>
              <w:t>Concessional - Ordinary Services: $7.30</w:t>
            </w:r>
          </w:p>
          <w:p w14:paraId="58426C53" w14:textId="77777777" w:rsidR="00D63A4D" w:rsidRPr="00844EB4" w:rsidRDefault="00D63A4D" w:rsidP="00F81041">
            <w:pPr>
              <w:pStyle w:val="Tabletext"/>
              <w:rPr>
                <w:szCs w:val="20"/>
              </w:rPr>
            </w:pPr>
            <w:r w:rsidRPr="00844EB4">
              <w:rPr>
                <w:szCs w:val="20"/>
              </w:rPr>
              <w:t>Concessional - Free Services: $0</w:t>
            </w:r>
          </w:p>
        </w:tc>
        <w:tc>
          <w:tcPr>
            <w:tcW w:w="687" w:type="pct"/>
          </w:tcPr>
          <w:p w14:paraId="074287CB" w14:textId="77777777" w:rsidR="00D63A4D" w:rsidRPr="00844EB4" w:rsidRDefault="00D63A4D" w:rsidP="00F81041">
            <w:pPr>
              <w:pStyle w:val="Tabletext"/>
              <w:rPr>
                <w:szCs w:val="20"/>
              </w:rPr>
            </w:pPr>
            <w:r w:rsidRPr="00844EB4">
              <w:rPr>
                <w:szCs w:val="20"/>
              </w:rPr>
              <w:lastRenderedPageBreak/>
              <w:t>PBS: 97.84%</w:t>
            </w:r>
          </w:p>
          <w:p w14:paraId="1E602FD8" w14:textId="77777777" w:rsidR="00D63A4D" w:rsidRPr="00844EB4" w:rsidRDefault="00D63A4D" w:rsidP="00F81041">
            <w:pPr>
              <w:pStyle w:val="Tabletext"/>
              <w:rPr>
                <w:szCs w:val="20"/>
              </w:rPr>
            </w:pPr>
            <w:r w:rsidRPr="00844EB4">
              <w:rPr>
                <w:szCs w:val="20"/>
              </w:rPr>
              <w:t>RPBS: 2.16%</w:t>
            </w:r>
          </w:p>
        </w:tc>
        <w:tc>
          <w:tcPr>
            <w:tcW w:w="1210" w:type="pct"/>
          </w:tcPr>
          <w:p w14:paraId="6B1834AD" w14:textId="77777777" w:rsidR="00D63A4D" w:rsidRPr="00844EB4" w:rsidRDefault="00D63A4D" w:rsidP="00F81041">
            <w:pPr>
              <w:pStyle w:val="Tabletext"/>
              <w:rPr>
                <w:szCs w:val="20"/>
              </w:rPr>
            </w:pPr>
            <w:r w:rsidRPr="00844EB4">
              <w:rPr>
                <w:szCs w:val="20"/>
              </w:rPr>
              <w:t xml:space="preserve">A weighted average co-payment in each of the </w:t>
            </w:r>
            <w:r w:rsidRPr="00844EB4">
              <w:rPr>
                <w:szCs w:val="20"/>
              </w:rPr>
              <w:lastRenderedPageBreak/>
              <w:t>schedule settings is calculated based on patterns of use of currently reimbursed cabozantinib in clear-cell variant RCC using the standard approach</w:t>
            </w:r>
          </w:p>
        </w:tc>
        <w:tc>
          <w:tcPr>
            <w:tcW w:w="1465" w:type="pct"/>
          </w:tcPr>
          <w:p w14:paraId="1AA9CE6E" w14:textId="77777777" w:rsidR="00D63A4D" w:rsidRPr="00844EB4" w:rsidRDefault="00D63A4D" w:rsidP="00F81041">
            <w:pPr>
              <w:pStyle w:val="Tabletext"/>
              <w:rPr>
                <w:szCs w:val="20"/>
              </w:rPr>
            </w:pPr>
            <w:r w:rsidRPr="00844EB4">
              <w:rPr>
                <w:rFonts w:eastAsia="MS Gothic"/>
                <w:szCs w:val="20"/>
              </w:rPr>
              <w:lastRenderedPageBreak/>
              <w:t xml:space="preserve">DUSC considered this to be reasonable. </w:t>
            </w:r>
          </w:p>
        </w:tc>
      </w:tr>
      <w:tr w:rsidR="00D63A4D" w:rsidRPr="00162B20" w14:paraId="338B34AF" w14:textId="77777777" w:rsidTr="003D634A">
        <w:tc>
          <w:tcPr>
            <w:tcW w:w="806" w:type="pct"/>
          </w:tcPr>
          <w:p w14:paraId="4A92CEE8" w14:textId="77777777" w:rsidR="00D63A4D" w:rsidRPr="00844EB4" w:rsidRDefault="00D63A4D" w:rsidP="00F81041">
            <w:pPr>
              <w:pStyle w:val="Tabletext"/>
              <w:rPr>
                <w:szCs w:val="20"/>
              </w:rPr>
            </w:pPr>
            <w:r w:rsidRPr="00844EB4">
              <w:rPr>
                <w:szCs w:val="20"/>
              </w:rPr>
              <w:t>MBS costs</w:t>
            </w:r>
          </w:p>
        </w:tc>
        <w:tc>
          <w:tcPr>
            <w:tcW w:w="832" w:type="pct"/>
          </w:tcPr>
          <w:p w14:paraId="7D1881E7" w14:textId="77777777" w:rsidR="00D63A4D" w:rsidRPr="00844EB4" w:rsidRDefault="00D63A4D" w:rsidP="00F81041">
            <w:pPr>
              <w:pStyle w:val="Tabletext"/>
              <w:rPr>
                <w:szCs w:val="20"/>
              </w:rPr>
            </w:pPr>
            <w:r w:rsidRPr="00844EB4">
              <w:rPr>
                <w:szCs w:val="20"/>
              </w:rPr>
              <w:t>$0</w:t>
            </w:r>
          </w:p>
        </w:tc>
        <w:tc>
          <w:tcPr>
            <w:tcW w:w="687" w:type="pct"/>
          </w:tcPr>
          <w:p w14:paraId="303C8324" w14:textId="77777777" w:rsidR="00D63A4D" w:rsidRPr="00844EB4" w:rsidRDefault="00D63A4D" w:rsidP="00F81041">
            <w:pPr>
              <w:pStyle w:val="Tabletext"/>
              <w:rPr>
                <w:szCs w:val="20"/>
              </w:rPr>
            </w:pPr>
            <w:r w:rsidRPr="00844EB4">
              <w:rPr>
                <w:szCs w:val="20"/>
              </w:rPr>
              <w:t>Not included</w:t>
            </w:r>
          </w:p>
        </w:tc>
        <w:tc>
          <w:tcPr>
            <w:tcW w:w="1210" w:type="pct"/>
          </w:tcPr>
          <w:p w14:paraId="1C7FB83F" w14:textId="77777777" w:rsidR="00D63A4D" w:rsidRPr="00844EB4" w:rsidRDefault="00D63A4D" w:rsidP="00F81041">
            <w:pPr>
              <w:pStyle w:val="Tabletext"/>
              <w:rPr>
                <w:szCs w:val="20"/>
              </w:rPr>
            </w:pPr>
            <w:r w:rsidRPr="00844EB4">
              <w:rPr>
                <w:szCs w:val="20"/>
              </w:rPr>
              <w:t xml:space="preserve">Uncertain. The submission did not include any MBS costs. </w:t>
            </w:r>
          </w:p>
        </w:tc>
        <w:tc>
          <w:tcPr>
            <w:tcW w:w="1465" w:type="pct"/>
          </w:tcPr>
          <w:p w14:paraId="6ACC1D41" w14:textId="77F2E480" w:rsidR="00D63A4D" w:rsidRPr="00844EB4" w:rsidRDefault="00D63A4D" w:rsidP="00F81041">
            <w:pPr>
              <w:pStyle w:val="Tabletext"/>
              <w:rPr>
                <w:szCs w:val="20"/>
              </w:rPr>
            </w:pPr>
            <w:r w:rsidRPr="00844EB4">
              <w:rPr>
                <w:rFonts w:eastAsia="MS Gothic"/>
                <w:szCs w:val="20"/>
              </w:rPr>
              <w:t>DUSC noted that cabozantinib use was likely to result in MBS costs (clinics, blood tests etc).</w:t>
            </w:r>
            <w:r w:rsidR="00E836EF" w:rsidRPr="00844EB4">
              <w:rPr>
                <w:rFonts w:eastAsia="MS Gothic"/>
                <w:szCs w:val="20"/>
              </w:rPr>
              <w:t xml:space="preserve"> The PBAC considered that there is unlikely to be an increase in MBS costs associated with listing of cabozantinib.</w:t>
            </w:r>
            <w:r w:rsidRPr="00844EB4">
              <w:rPr>
                <w:rFonts w:eastAsia="MS Gothic"/>
                <w:szCs w:val="20"/>
              </w:rPr>
              <w:t xml:space="preserve"> </w:t>
            </w:r>
          </w:p>
        </w:tc>
      </w:tr>
    </w:tbl>
    <w:p w14:paraId="6406B527" w14:textId="77777777" w:rsidR="00104A72" w:rsidRPr="00162B20" w:rsidRDefault="00104A72" w:rsidP="00104A72">
      <w:pPr>
        <w:pStyle w:val="TableFigureFooter"/>
      </w:pPr>
      <w:r w:rsidRPr="00162B20">
        <w:t xml:space="preserve">Source: Table 4-2, p74, Table 4-3, p74 of the submission}; Section 4 Workbook, 2e Scripts – market; </w:t>
      </w:r>
      <w:proofErr w:type="spellStart"/>
      <w:r w:rsidRPr="00162B20">
        <w:t>ccRCC</w:t>
      </w:r>
      <w:proofErr w:type="spellEnd"/>
      <w:r w:rsidRPr="00162B20">
        <w:t xml:space="preserve"> = clear cell renal cell carcinoma, AIHW = Australian Institute of Health and Welfare, DPMQ = dispensed price for the maximum quantity, MBS = Medicare Benefits Schedule; </w:t>
      </w:r>
      <w:proofErr w:type="spellStart"/>
      <w:r w:rsidRPr="00162B20">
        <w:t>nccRCC</w:t>
      </w:r>
      <w:proofErr w:type="spellEnd"/>
      <w:r w:rsidRPr="00162B20">
        <w:t xml:space="preserve"> = non clear cell renal cell carcinoma; NR = not reported; PBAC = Pharmaceutical Benefits Advisory Committee; TKI = tyrosine kinase inhibitor.</w:t>
      </w:r>
    </w:p>
    <w:p w14:paraId="70609745" w14:textId="68BADF96" w:rsidR="00104A72" w:rsidRPr="00162B20" w:rsidRDefault="00104A72" w:rsidP="00323DA0">
      <w:pPr>
        <w:pStyle w:val="TableFigureFooter"/>
        <w:spacing w:after="0"/>
      </w:pPr>
      <w:r w:rsidRPr="00162B20">
        <w:rPr>
          <w:i/>
          <w:iCs/>
        </w:rPr>
        <w:t xml:space="preserve">Italics </w:t>
      </w:r>
      <w:r w:rsidRPr="00162B20">
        <w:t>calculated during the evaluation using the proposed effective AEMP of $</w:t>
      </w:r>
      <w:r w:rsidR="0094719F" w:rsidRPr="0094719F">
        <w:rPr>
          <w:color w:val="000000"/>
          <w:spacing w:val="40"/>
          <w:shd w:val="solid" w:color="000000" w:fill="000000"/>
          <w:fitText w:val="280" w:id="-961817074"/>
          <w14:textFill>
            <w14:solidFill>
              <w14:srgbClr w14:val="000000">
                <w14:alpha w14:val="100000"/>
              </w14:srgbClr>
            </w14:solidFill>
          </w14:textFill>
        </w:rPr>
        <w:t xml:space="preserve">|  </w:t>
      </w:r>
      <w:r w:rsidR="0094719F" w:rsidRPr="0094719F">
        <w:rPr>
          <w:color w:val="000000"/>
          <w:spacing w:val="2"/>
          <w:shd w:val="solid" w:color="000000" w:fill="000000"/>
          <w:fitText w:val="280" w:id="-961817074"/>
          <w14:textFill>
            <w14:solidFill>
              <w14:srgbClr w14:val="000000">
                <w14:alpha w14:val="100000"/>
              </w14:srgbClr>
            </w14:solidFill>
          </w14:textFill>
        </w:rPr>
        <w:t>|</w:t>
      </w:r>
      <w:r w:rsidRPr="00162B20">
        <w:t xml:space="preserve"> and dispensing fees based on pharmacy mark-ups.</w:t>
      </w:r>
    </w:p>
    <w:p w14:paraId="0BCA00C7" w14:textId="77777777" w:rsidR="00323DA0" w:rsidRPr="009A6D58" w:rsidRDefault="00323DA0" w:rsidP="00323DA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F8C811F" w14:textId="4E5386A5" w:rsidR="00323DA0" w:rsidRPr="009A6D58" w:rsidRDefault="00323DA0" w:rsidP="00844EB4">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23DA0">
        <w:rPr>
          <w:rFonts w:ascii="Arial Narrow" w:hAnsi="Arial Narrow"/>
          <w:i/>
          <w:sz w:val="18"/>
          <w:szCs w:val="18"/>
        </w:rPr>
        <w:t>&lt; 500</w:t>
      </w:r>
    </w:p>
    <w:p w14:paraId="0BC7D480" w14:textId="10C50270" w:rsidR="00B232C0" w:rsidRPr="00162B20" w:rsidRDefault="00CE6A04" w:rsidP="00080F42">
      <w:pPr>
        <w:pStyle w:val="3-BodyText"/>
      </w:pPr>
      <w:r w:rsidRPr="00162B20">
        <w:t xml:space="preserve">DUSC noted the sponsor’s current compassionate program is just one treatment option for patients, is not widely advertised and requires case-by-case approval. DUSC considered that using these patient numbers to form the basis of the model assumes all patients have access to the program, which may not be reasonable. </w:t>
      </w:r>
      <w:r w:rsidR="00B232C0" w:rsidRPr="00162B20">
        <w:t xml:space="preserve">The pre-PBAC response noted that the access program has been running since 2018 and is well known to clinicians due to the absence of other treatment options for patients with </w:t>
      </w:r>
      <w:proofErr w:type="spellStart"/>
      <w:r w:rsidR="00B232C0" w:rsidRPr="00162B20">
        <w:t>nccRCC</w:t>
      </w:r>
      <w:proofErr w:type="spellEnd"/>
      <w:r w:rsidR="00B232C0" w:rsidRPr="00162B20">
        <w:t xml:space="preserve">. </w:t>
      </w:r>
    </w:p>
    <w:p w14:paraId="19C1C346" w14:textId="173EC639" w:rsidR="007C4244" w:rsidRPr="00162B20" w:rsidRDefault="00104A72" w:rsidP="00AE199C">
      <w:pPr>
        <w:pStyle w:val="3-BodyText"/>
        <w:rPr>
          <w:i/>
          <w:iCs/>
        </w:rPr>
      </w:pPr>
      <w:r w:rsidRPr="00162B20">
        <w:t>DUSC noted that the number of patients from the patient access program represent a possible prevalent population</w:t>
      </w:r>
      <w:r w:rsidR="00CE6A04" w:rsidRPr="00162B20">
        <w:t xml:space="preserve">. However, it was unclear whether these patient numbers are reasonable basis for predicting incident patients in the forward years. </w:t>
      </w:r>
      <w:r w:rsidR="00B232C0" w:rsidRPr="00162B20">
        <w:t>The pre-PBAC response clarified that as patients are treated for approximately 12</w:t>
      </w:r>
      <w:r w:rsidR="00801AD9">
        <w:t> </w:t>
      </w:r>
      <w:r w:rsidR="00B232C0" w:rsidRPr="00162B20">
        <w:t xml:space="preserve">months the number of prevalent patients approximates the annual incidence. </w:t>
      </w:r>
      <w:r w:rsidR="0085210A" w:rsidRPr="00162B20">
        <w:t xml:space="preserve">The PBAC considered that the estimates of patient numbers appear reasonable. </w:t>
      </w:r>
      <w:r w:rsidR="00B232C0" w:rsidRPr="00162B20">
        <w:t>DUSC considered that grandfathered patients would be included in the prevalent population.</w:t>
      </w:r>
      <w:r w:rsidR="000439C0" w:rsidRPr="00162B20">
        <w:t xml:space="preserve"> The PBAC considered that it would be reasonable to include grandfather patients from the access program, however these patients should not have the full treatment duration applied in year 1 of the estimates</w:t>
      </w:r>
      <w:r w:rsidR="00E73AD2" w:rsidRPr="00162B20">
        <w:t xml:space="preserve"> as they would have initiated non-PBS subsidised treatment in the prior year</w:t>
      </w:r>
      <w:r w:rsidR="000439C0" w:rsidRPr="00162B20">
        <w:t>.</w:t>
      </w:r>
      <w:r w:rsidR="00AE199C">
        <w:t xml:space="preserve"> </w:t>
      </w:r>
      <w:r w:rsidR="007C4244" w:rsidRPr="00162B20">
        <w:t xml:space="preserve">The submission assumed that an additional 10% of patients may be treated under the PBS listing from sources not currently captured by the compassionate access program (e.g., post-clinical trials). However, this assumption was uncertain and no further information was available to </w:t>
      </w:r>
      <w:r w:rsidR="007C4244" w:rsidRPr="00162B20">
        <w:lastRenderedPageBreak/>
        <w:t>confirm this figure.</w:t>
      </w:r>
      <w:r w:rsidR="0085210A" w:rsidRPr="00162B20">
        <w:t xml:space="preserve"> </w:t>
      </w:r>
      <w:r w:rsidR="000439C0" w:rsidRPr="00162B20">
        <w:t>The PBAC considered this estimate of additional patients was uncertain but appeared reasonable.</w:t>
      </w:r>
    </w:p>
    <w:p w14:paraId="32C04437" w14:textId="77777777" w:rsidR="0044714B" w:rsidRPr="00162B20" w:rsidRDefault="0044714B" w:rsidP="0044714B">
      <w:pPr>
        <w:pStyle w:val="3-BodyText"/>
        <w:rPr>
          <w:i/>
          <w:iCs/>
        </w:rPr>
      </w:pPr>
      <w:r w:rsidRPr="00162B20">
        <w:t>The submission applied the proportion eligible following the PBS criteria (i.e., poor or intermediate risk; 87.5%) to the patient numbers from the access program. This was based on 12.5% of RCC patients in Australia having favourable risk according to the IMDC risk criteria.</w:t>
      </w:r>
      <w:r w:rsidRPr="00162B20">
        <w:rPr>
          <w:i/>
          <w:iCs/>
        </w:rPr>
        <w:t xml:space="preserve"> </w:t>
      </w:r>
      <w:r w:rsidRPr="00162B20">
        <w:t xml:space="preserve">This proportion was obtained from the RCC population in </w:t>
      </w:r>
      <w:proofErr w:type="gramStart"/>
      <w:r w:rsidRPr="00162B20">
        <w:t>Australia,</w:t>
      </w:r>
      <w:proofErr w:type="gramEnd"/>
      <w:r w:rsidRPr="00162B20">
        <w:t xml:space="preserve"> however it was uncertain whether this would apply to </w:t>
      </w:r>
      <w:proofErr w:type="spellStart"/>
      <w:r w:rsidRPr="00162B20">
        <w:t>nccRCC</w:t>
      </w:r>
      <w:proofErr w:type="spellEnd"/>
      <w:r w:rsidRPr="00162B20">
        <w:t xml:space="preserve"> patients.</w:t>
      </w:r>
    </w:p>
    <w:p w14:paraId="1D0BDB8A" w14:textId="5E473B2B" w:rsidR="0044714B" w:rsidRPr="00162B20" w:rsidRDefault="0044714B" w:rsidP="00D63A4D">
      <w:pPr>
        <w:pStyle w:val="3-BodyText"/>
      </w:pPr>
      <w:r w:rsidRPr="00162B20">
        <w:t xml:space="preserve">DUSC considered that an epidemiological approach may produce a more accurate estimate of incident patients. DUSC considered that adjustments could be made to the approach in the March 2020 submission for </w:t>
      </w:r>
      <w:proofErr w:type="spellStart"/>
      <w:r w:rsidRPr="00162B20">
        <w:t>cabozantinib</w:t>
      </w:r>
      <w:proofErr w:type="spellEnd"/>
      <w:r w:rsidRPr="00162B20">
        <w:t xml:space="preserve">, adapted to </w:t>
      </w:r>
      <w:proofErr w:type="spellStart"/>
      <w:r w:rsidRPr="00162B20">
        <w:t>nccRCC</w:t>
      </w:r>
      <w:proofErr w:type="spellEnd"/>
      <w:r w:rsidRPr="00162B20">
        <w:t xml:space="preserve">. This approach estimated </w:t>
      </w:r>
      <w:r w:rsidR="00027A78" w:rsidRPr="00027A78">
        <w:t>&lt; 500</w:t>
      </w:r>
      <w:r w:rsidRPr="00162B20">
        <w:t xml:space="preserve"> eligible patients in the first year of listing (3,617 incident kidney cancer cases, 90% RCC, 20% </w:t>
      </w:r>
      <w:proofErr w:type="spellStart"/>
      <w:r w:rsidRPr="00162B20">
        <w:t>nccRCC</w:t>
      </w:r>
      <w:proofErr w:type="spellEnd"/>
      <w:r w:rsidRPr="00162B20">
        <w:t xml:space="preserve">, 30% Stage IV diagnosis). The PBAC considered that there was some uncertainty in the approach to estimating patient numbers, however considered that revision of the approach was not necessary as the uncertainty would be managed through incorporation of expenditure for </w:t>
      </w:r>
      <w:proofErr w:type="spellStart"/>
      <w:r w:rsidRPr="00162B20">
        <w:t>nccRCC</w:t>
      </w:r>
      <w:proofErr w:type="spellEnd"/>
      <w:r w:rsidRPr="00162B20">
        <w:t xml:space="preserve"> patients into the existing RSA financial caps for </w:t>
      </w:r>
      <w:proofErr w:type="spellStart"/>
      <w:r w:rsidRPr="00162B20">
        <w:t>ccRCC</w:t>
      </w:r>
      <w:proofErr w:type="spellEnd"/>
      <w:r w:rsidRPr="00162B20">
        <w:t>.</w:t>
      </w:r>
    </w:p>
    <w:p w14:paraId="613F3614" w14:textId="6A3BBF80" w:rsidR="00D63A4D" w:rsidRPr="00162B20" w:rsidRDefault="00D63A4D" w:rsidP="00D63A4D">
      <w:pPr>
        <w:pStyle w:val="3-BodyText"/>
      </w:pPr>
      <w:r w:rsidRPr="00162B20">
        <w:t>DUSC considered a 100% uptake rate is likely overestimated. DUSC noted some patients may seek alternative treatments</w:t>
      </w:r>
      <w:r w:rsidR="005F0559" w:rsidRPr="00162B20">
        <w:t>,</w:t>
      </w:r>
      <w:r w:rsidRPr="00162B20">
        <w:t xml:space="preserve"> such as clinical trials</w:t>
      </w:r>
      <w:r w:rsidR="005F0559" w:rsidRPr="00162B20">
        <w:t>,</w:t>
      </w:r>
      <w:r w:rsidRPr="00162B20">
        <w:t xml:space="preserve"> and noted a proportion of patients may not seek treatment given limited benefit in some histologies. </w:t>
      </w:r>
      <w:r w:rsidR="0085210A" w:rsidRPr="00162B20">
        <w:t xml:space="preserve">The Pre-PBAC response noted that </w:t>
      </w:r>
      <w:r w:rsidR="000439C0" w:rsidRPr="00162B20">
        <w:t>as patient estimates were based on the access program</w:t>
      </w:r>
      <w:r w:rsidR="00C154BB" w:rsidRPr="00162B20">
        <w:t xml:space="preserve"> (rather than the total eligible population)</w:t>
      </w:r>
      <w:r w:rsidR="000439C0" w:rsidRPr="00162B20">
        <w:t>, the assumption of 100% uptake was reasonable. The PBAC agreed with the sponsor that this approach was reasonable given the basis for the estimated patient numbers.</w:t>
      </w:r>
    </w:p>
    <w:p w14:paraId="23C7F62C" w14:textId="05374E37" w:rsidR="00104A72" w:rsidRPr="00162B20" w:rsidRDefault="00D63A4D" w:rsidP="00D63A4D">
      <w:pPr>
        <w:pStyle w:val="3-BodyText"/>
      </w:pPr>
      <w:r w:rsidRPr="00162B20">
        <w:t xml:space="preserve">DUSC considered </w:t>
      </w:r>
      <w:r w:rsidR="005F0559" w:rsidRPr="00162B20">
        <w:t xml:space="preserve">the </w:t>
      </w:r>
      <w:r w:rsidRPr="00162B20">
        <w:t xml:space="preserve">duration of treatment to be overestimated as it is </w:t>
      </w:r>
      <w:r w:rsidR="005F0559" w:rsidRPr="00162B20">
        <w:t>based on the extrapolated treatment duration for</w:t>
      </w:r>
      <w:r w:rsidRPr="00162B20">
        <w:t xml:space="preserve"> </w:t>
      </w:r>
      <w:proofErr w:type="spellStart"/>
      <w:r w:rsidRPr="00162B20">
        <w:t>ccRCC</w:t>
      </w:r>
      <w:proofErr w:type="spellEnd"/>
      <w:r w:rsidRPr="00162B20">
        <w:t xml:space="preserve"> patients in CABOSUN. DUSC noted </w:t>
      </w:r>
      <w:proofErr w:type="spellStart"/>
      <w:r w:rsidRPr="00162B20">
        <w:t>ccRCC</w:t>
      </w:r>
      <w:proofErr w:type="spellEnd"/>
      <w:r w:rsidRPr="00162B20">
        <w:t xml:space="preserve"> patients </w:t>
      </w:r>
      <w:r w:rsidR="005F0559" w:rsidRPr="00162B20">
        <w:t xml:space="preserve">are likely to </w:t>
      </w:r>
      <w:r w:rsidRPr="00162B20">
        <w:t xml:space="preserve">respond better to cabozantinib treatment compared to </w:t>
      </w:r>
      <w:proofErr w:type="spellStart"/>
      <w:r w:rsidRPr="00162B20">
        <w:t>nccRCC</w:t>
      </w:r>
      <w:proofErr w:type="spellEnd"/>
      <w:r w:rsidRPr="00162B20">
        <w:t xml:space="preserve"> patients and that the treatment duration in </w:t>
      </w:r>
      <w:proofErr w:type="spellStart"/>
      <w:r w:rsidRPr="00162B20">
        <w:t>nccRCC</w:t>
      </w:r>
      <w:proofErr w:type="spellEnd"/>
      <w:r w:rsidRPr="00162B20">
        <w:t xml:space="preserve"> patients would likely be </w:t>
      </w:r>
      <w:r w:rsidR="005F0559" w:rsidRPr="00162B20">
        <w:t>shorter</w:t>
      </w:r>
      <w:r w:rsidRPr="00162B20">
        <w:t>.</w:t>
      </w:r>
      <w:r w:rsidR="00575395" w:rsidRPr="00162B20">
        <w:t xml:space="preserve"> The PBAC noted that the median PFS for </w:t>
      </w:r>
      <w:proofErr w:type="spellStart"/>
      <w:r w:rsidR="00575395" w:rsidRPr="00162B20">
        <w:t>nccRCC</w:t>
      </w:r>
      <w:proofErr w:type="spellEnd"/>
      <w:r w:rsidR="00575395" w:rsidRPr="00162B20">
        <w:t xml:space="preserve"> from SWOG 1500 </w:t>
      </w:r>
      <w:r w:rsidR="00C154BB" w:rsidRPr="00162B20">
        <w:t xml:space="preserve">(9 months) </w:t>
      </w:r>
      <w:r w:rsidR="00575395" w:rsidRPr="00162B20">
        <w:t xml:space="preserve">was slightly longer than that for </w:t>
      </w:r>
      <w:proofErr w:type="spellStart"/>
      <w:r w:rsidR="00575395" w:rsidRPr="00162B20">
        <w:t>ccRCC</w:t>
      </w:r>
      <w:proofErr w:type="spellEnd"/>
      <w:r w:rsidR="00575395" w:rsidRPr="00162B20">
        <w:t xml:space="preserve"> from CABOSUN</w:t>
      </w:r>
      <w:r w:rsidR="00C154BB" w:rsidRPr="00162B20">
        <w:t xml:space="preserve"> (8.6 months) and considered that the extrapolated treatment duration from CABOSUN is likely to be comparable to that in </w:t>
      </w:r>
      <w:proofErr w:type="spellStart"/>
      <w:r w:rsidR="00C154BB" w:rsidRPr="00162B20">
        <w:t>nccRCC</w:t>
      </w:r>
      <w:proofErr w:type="spellEnd"/>
      <w:r w:rsidR="00C154BB" w:rsidRPr="00162B20">
        <w:t xml:space="preserve"> patients.</w:t>
      </w:r>
    </w:p>
    <w:p w14:paraId="1C1586AD" w14:textId="1A0761F1" w:rsidR="00104A72" w:rsidRPr="00162B20" w:rsidRDefault="00104A72" w:rsidP="00104A72">
      <w:pPr>
        <w:pStyle w:val="3-BodyText"/>
        <w:numPr>
          <w:ilvl w:val="1"/>
          <w:numId w:val="1"/>
        </w:numPr>
      </w:pPr>
      <w:r w:rsidRPr="00162B20">
        <w:fldChar w:fldCharType="begin"/>
      </w:r>
      <w:r w:rsidRPr="00162B20">
        <w:instrText xml:space="preserve"> REF _Ref155177569 \h </w:instrText>
      </w:r>
      <w:r w:rsidRPr="00162B20">
        <w:fldChar w:fldCharType="separate"/>
      </w:r>
      <w:r w:rsidR="0030362D" w:rsidRPr="00162B20">
        <w:t xml:space="preserve">Table </w:t>
      </w:r>
      <w:r w:rsidR="0030362D">
        <w:rPr>
          <w:noProof/>
        </w:rPr>
        <w:t>10</w:t>
      </w:r>
      <w:r w:rsidRPr="00162B20">
        <w:fldChar w:fldCharType="end"/>
      </w:r>
      <w:r w:rsidRPr="00162B20">
        <w:t xml:space="preserve"> presents the estimated use and financial implications of cabozantinib between 2024 and 2029 for the PBS/RPBS.</w:t>
      </w:r>
    </w:p>
    <w:p w14:paraId="00DC6C86" w14:textId="030B6277" w:rsidR="00104A72" w:rsidRPr="00162B20" w:rsidRDefault="00104A72" w:rsidP="00027A78">
      <w:pPr>
        <w:pStyle w:val="Caption"/>
        <w:keepLines w:val="0"/>
      </w:pPr>
      <w:bookmarkStart w:id="60" w:name="_Ref155177569"/>
      <w:r w:rsidRPr="00162B20">
        <w:lastRenderedPageBreak/>
        <w:t xml:space="preserve">Table </w:t>
      </w:r>
      <w:fldSimple w:instr=" SEQ Table \* ARABIC ">
        <w:r w:rsidR="0030362D">
          <w:rPr>
            <w:noProof/>
          </w:rPr>
          <w:t>10</w:t>
        </w:r>
      </w:fldSimple>
      <w:bookmarkEnd w:id="60"/>
      <w:r w:rsidRPr="00162B20">
        <w:t>:</w:t>
      </w:r>
      <w:r w:rsidRPr="00162B20">
        <w:rPr>
          <w:rStyle w:val="CommentReference"/>
          <w:b/>
          <w:szCs w:val="24"/>
        </w:rPr>
        <w:t xml:space="preserve"> Estimated use and financial implications using the effective DPMQ of cabozantinib.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using the effective DPMQ of cabozantinib."/>
      </w:tblPr>
      <w:tblGrid>
        <w:gridCol w:w="2405"/>
        <w:gridCol w:w="1102"/>
        <w:gridCol w:w="1102"/>
        <w:gridCol w:w="1102"/>
        <w:gridCol w:w="1102"/>
        <w:gridCol w:w="1102"/>
        <w:gridCol w:w="1102"/>
      </w:tblGrid>
      <w:tr w:rsidR="00104A72" w:rsidRPr="00162B20" w14:paraId="696858F8" w14:textId="77777777" w:rsidTr="00F81041">
        <w:trPr>
          <w:tblHeader/>
        </w:trPr>
        <w:tc>
          <w:tcPr>
            <w:tcW w:w="1334" w:type="pct"/>
            <w:shd w:val="clear" w:color="auto" w:fill="auto"/>
            <w:vAlign w:val="center"/>
          </w:tcPr>
          <w:p w14:paraId="233C03B5" w14:textId="77777777" w:rsidR="00104A72" w:rsidRPr="00162B20" w:rsidRDefault="00104A72" w:rsidP="00027A78">
            <w:pPr>
              <w:pStyle w:val="In-tableHeading"/>
              <w:jc w:val="center"/>
              <w:rPr>
                <w:lang w:val="en-AU"/>
              </w:rPr>
            </w:pPr>
          </w:p>
        </w:tc>
        <w:tc>
          <w:tcPr>
            <w:tcW w:w="611" w:type="pct"/>
            <w:shd w:val="clear" w:color="auto" w:fill="auto"/>
            <w:vAlign w:val="center"/>
          </w:tcPr>
          <w:p w14:paraId="506704FB" w14:textId="77777777" w:rsidR="00104A72" w:rsidRPr="00162B20" w:rsidRDefault="00104A72" w:rsidP="00027A78">
            <w:pPr>
              <w:pStyle w:val="In-tableHeading"/>
              <w:jc w:val="center"/>
              <w:rPr>
                <w:lang w:val="en-AU"/>
              </w:rPr>
            </w:pPr>
            <w:r w:rsidRPr="00162B20">
              <w:rPr>
                <w:lang w:val="en-AU"/>
              </w:rPr>
              <w:t>Year 1</w:t>
            </w:r>
          </w:p>
        </w:tc>
        <w:tc>
          <w:tcPr>
            <w:tcW w:w="611" w:type="pct"/>
            <w:shd w:val="clear" w:color="auto" w:fill="auto"/>
            <w:vAlign w:val="center"/>
          </w:tcPr>
          <w:p w14:paraId="1B36E871" w14:textId="77777777" w:rsidR="00104A72" w:rsidRPr="00162B20" w:rsidRDefault="00104A72" w:rsidP="00027A78">
            <w:pPr>
              <w:pStyle w:val="In-tableHeading"/>
              <w:jc w:val="center"/>
              <w:rPr>
                <w:lang w:val="en-AU"/>
              </w:rPr>
            </w:pPr>
            <w:r w:rsidRPr="00162B20">
              <w:rPr>
                <w:lang w:val="en-AU"/>
              </w:rPr>
              <w:t>Year 2</w:t>
            </w:r>
          </w:p>
        </w:tc>
        <w:tc>
          <w:tcPr>
            <w:tcW w:w="611" w:type="pct"/>
            <w:shd w:val="clear" w:color="auto" w:fill="auto"/>
            <w:vAlign w:val="center"/>
          </w:tcPr>
          <w:p w14:paraId="247FEB5A" w14:textId="77777777" w:rsidR="00104A72" w:rsidRPr="00162B20" w:rsidRDefault="00104A72" w:rsidP="00027A78">
            <w:pPr>
              <w:pStyle w:val="In-tableHeading"/>
              <w:jc w:val="center"/>
              <w:rPr>
                <w:lang w:val="en-AU"/>
              </w:rPr>
            </w:pPr>
            <w:r w:rsidRPr="00162B20">
              <w:rPr>
                <w:lang w:val="en-AU"/>
              </w:rPr>
              <w:t>Year 3</w:t>
            </w:r>
          </w:p>
        </w:tc>
        <w:tc>
          <w:tcPr>
            <w:tcW w:w="611" w:type="pct"/>
            <w:shd w:val="clear" w:color="auto" w:fill="auto"/>
            <w:vAlign w:val="center"/>
          </w:tcPr>
          <w:p w14:paraId="5A74AD4A" w14:textId="77777777" w:rsidR="00104A72" w:rsidRPr="00162B20" w:rsidRDefault="00104A72" w:rsidP="00027A78">
            <w:pPr>
              <w:pStyle w:val="In-tableHeading"/>
              <w:jc w:val="center"/>
              <w:rPr>
                <w:lang w:val="en-AU"/>
              </w:rPr>
            </w:pPr>
            <w:r w:rsidRPr="00162B20">
              <w:rPr>
                <w:lang w:val="en-AU"/>
              </w:rPr>
              <w:t>Year 4</w:t>
            </w:r>
          </w:p>
        </w:tc>
        <w:tc>
          <w:tcPr>
            <w:tcW w:w="611" w:type="pct"/>
            <w:shd w:val="clear" w:color="auto" w:fill="auto"/>
            <w:vAlign w:val="center"/>
          </w:tcPr>
          <w:p w14:paraId="4928E8AB" w14:textId="77777777" w:rsidR="00104A72" w:rsidRPr="00162B20" w:rsidRDefault="00104A72" w:rsidP="00027A78">
            <w:pPr>
              <w:pStyle w:val="In-tableHeading"/>
              <w:jc w:val="center"/>
              <w:rPr>
                <w:lang w:val="en-AU"/>
              </w:rPr>
            </w:pPr>
            <w:r w:rsidRPr="00162B20">
              <w:rPr>
                <w:lang w:val="en-AU"/>
              </w:rPr>
              <w:t>Year 5</w:t>
            </w:r>
          </w:p>
        </w:tc>
        <w:tc>
          <w:tcPr>
            <w:tcW w:w="611" w:type="pct"/>
          </w:tcPr>
          <w:p w14:paraId="4172BA78" w14:textId="77777777" w:rsidR="00104A72" w:rsidRPr="00162B20" w:rsidRDefault="00104A72" w:rsidP="00027A78">
            <w:pPr>
              <w:pStyle w:val="In-tableHeading"/>
              <w:jc w:val="center"/>
              <w:rPr>
                <w:lang w:val="en-AU"/>
              </w:rPr>
            </w:pPr>
            <w:r w:rsidRPr="00162B20">
              <w:rPr>
                <w:lang w:val="en-AU"/>
              </w:rPr>
              <w:t>Year 6</w:t>
            </w:r>
          </w:p>
        </w:tc>
      </w:tr>
      <w:tr w:rsidR="00104A72" w:rsidRPr="00162B20" w14:paraId="60E5E120" w14:textId="77777777" w:rsidTr="00F81041">
        <w:tc>
          <w:tcPr>
            <w:tcW w:w="5000" w:type="pct"/>
            <w:gridSpan w:val="7"/>
            <w:shd w:val="clear" w:color="auto" w:fill="auto"/>
            <w:vAlign w:val="center"/>
          </w:tcPr>
          <w:p w14:paraId="632A17F4" w14:textId="77777777" w:rsidR="00104A72" w:rsidRPr="00162B20" w:rsidRDefault="00104A72" w:rsidP="00027A78">
            <w:pPr>
              <w:pStyle w:val="In-tableHeading"/>
              <w:rPr>
                <w:bCs/>
                <w:color w:val="000000"/>
                <w:lang w:val="en-AU"/>
              </w:rPr>
            </w:pPr>
            <w:r w:rsidRPr="00162B20">
              <w:rPr>
                <w:bCs/>
                <w:color w:val="000000"/>
                <w:lang w:val="en-AU"/>
              </w:rPr>
              <w:t>Estimated extent of use</w:t>
            </w:r>
          </w:p>
        </w:tc>
      </w:tr>
      <w:tr w:rsidR="00104A72" w:rsidRPr="00162B20" w14:paraId="78A27FFD" w14:textId="77777777" w:rsidTr="00F81041">
        <w:tc>
          <w:tcPr>
            <w:tcW w:w="1334" w:type="pct"/>
            <w:shd w:val="clear" w:color="auto" w:fill="auto"/>
            <w:vAlign w:val="center"/>
          </w:tcPr>
          <w:p w14:paraId="6DFA81A2" w14:textId="2BE12C6B" w:rsidR="00104A72" w:rsidRPr="00162B20" w:rsidRDefault="00104A72" w:rsidP="00027A78">
            <w:pPr>
              <w:pStyle w:val="TableText0"/>
              <w:rPr>
                <w:rFonts w:ascii="Times" w:hAnsi="Times"/>
              </w:rPr>
            </w:pPr>
            <w:r w:rsidRPr="00162B20">
              <w:t>Number of patient</w:t>
            </w:r>
            <w:r w:rsidR="00A9365E" w:rsidRPr="00162B20">
              <w:t xml:space="preserve"> years of</w:t>
            </w:r>
            <w:r w:rsidRPr="00162B20">
              <w:t xml:space="preserve"> treat</w:t>
            </w:r>
            <w:r w:rsidR="00A9365E" w:rsidRPr="00162B20">
              <w:t>ment</w:t>
            </w:r>
            <w:r w:rsidR="00575395" w:rsidRPr="00162B20">
              <w:t xml:space="preserve"> </w:t>
            </w:r>
            <w:r w:rsidR="00A9365E" w:rsidRPr="00162B20">
              <w:rPr>
                <w:vertAlign w:val="superscript"/>
              </w:rPr>
              <w:t>a</w:t>
            </w:r>
          </w:p>
        </w:tc>
        <w:tc>
          <w:tcPr>
            <w:tcW w:w="611" w:type="pct"/>
            <w:shd w:val="clear" w:color="auto" w:fill="auto"/>
          </w:tcPr>
          <w:p w14:paraId="3E4C0B1A" w14:textId="46B461EC" w:rsidR="00104A72" w:rsidRPr="00386C72" w:rsidRDefault="0094719F" w:rsidP="00027A78">
            <w:pPr>
              <w:pStyle w:val="TableText0"/>
              <w:jc w:val="center"/>
              <w:rPr>
                <w:color w:val="000000"/>
                <w:highlight w:val="lightGray"/>
              </w:rPr>
            </w:pPr>
            <w:r w:rsidRPr="0094719F">
              <w:rPr>
                <w:rFonts w:hint="eastAsia"/>
                <w:color w:val="000000"/>
                <w:spacing w:val="30"/>
                <w:w w:val="15"/>
                <w:shd w:val="solid" w:color="000000" w:fill="000000"/>
                <w:fitText w:val="60" w:id="-961817073"/>
                <w14:textFill>
                  <w14:solidFill>
                    <w14:srgbClr w14:val="000000">
                      <w14:alpha w14:val="100000"/>
                    </w14:srgbClr>
                  </w14:solidFill>
                </w14:textFill>
              </w:rPr>
              <w:t xml:space="preserve">　</w:t>
            </w:r>
            <w:r w:rsidRPr="0094719F">
              <w:rPr>
                <w:rFonts w:hint="eastAsia"/>
                <w:color w:val="000000"/>
                <w:spacing w:val="71"/>
                <w:w w:val="28"/>
                <w:shd w:val="solid" w:color="000000" w:fill="000000"/>
                <w:fitText w:val="126" w:id="-961817072"/>
                <w14:textFill>
                  <w14:solidFill>
                    <w14:srgbClr w14:val="000000">
                      <w14:alpha w14:val="100000"/>
                    </w14:srgbClr>
                  </w14:solidFill>
                </w14:textFill>
              </w:rPr>
              <w:t xml:space="preserve">　</w:t>
            </w:r>
            <w:r w:rsidRPr="0094719F">
              <w:rPr>
                <w:color w:val="000000"/>
                <w:spacing w:val="190"/>
                <w:shd w:val="solid" w:color="000000" w:fill="000000"/>
                <w:fitText w:val="276" w:id="-961817088"/>
                <w14:textFill>
                  <w14:solidFill>
                    <w14:srgbClr w14:val="000000">
                      <w14:alpha w14:val="100000"/>
                    </w14:srgbClr>
                  </w14:solidFill>
                </w14:textFill>
              </w:rPr>
              <w:t>|</w:t>
            </w:r>
            <w:r w:rsidRPr="0094719F">
              <w:rPr>
                <w:color w:val="000000"/>
                <w:spacing w:val="1"/>
                <w:shd w:val="solid" w:color="000000" w:fill="000000"/>
                <w:fitText w:val="276" w:id="-961817088"/>
                <w14:textFill>
                  <w14:solidFill>
                    <w14:srgbClr w14:val="000000">
                      <w14:alpha w14:val="100000"/>
                    </w14:srgbClr>
                  </w14:solidFill>
                </w14:textFill>
              </w:rPr>
              <w:t>|</w:t>
            </w:r>
            <w:r w:rsidR="00027A78" w:rsidRPr="00027A78">
              <w:rPr>
                <w:vertAlign w:val="superscript"/>
              </w:rPr>
              <w:t>1</w:t>
            </w:r>
          </w:p>
        </w:tc>
        <w:tc>
          <w:tcPr>
            <w:tcW w:w="611" w:type="pct"/>
            <w:shd w:val="clear" w:color="auto" w:fill="auto"/>
          </w:tcPr>
          <w:p w14:paraId="0652C9FA" w14:textId="53A78EA3"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7"/>
                <w14:textFill>
                  <w14:solidFill>
                    <w14:srgbClr w14:val="000000">
                      <w14:alpha w14:val="100000"/>
                    </w14:srgbClr>
                  </w14:solidFill>
                </w14:textFill>
              </w:rPr>
              <w:t xml:space="preserve">　</w:t>
            </w:r>
            <w:r w:rsidRPr="0094719F">
              <w:rPr>
                <w:color w:val="000000"/>
                <w:w w:val="15"/>
                <w:shd w:val="solid" w:color="000000" w:fill="000000"/>
                <w:fitText w:val="50" w:id="-961817087"/>
                <w14:textFill>
                  <w14:solidFill>
                    <w14:srgbClr w14:val="000000">
                      <w14:alpha w14:val="100000"/>
                    </w14:srgbClr>
                  </w14:solidFill>
                </w14:textFill>
              </w:rPr>
              <w:t>|</w:t>
            </w:r>
            <w:r w:rsidRPr="0094719F">
              <w:rPr>
                <w:rFonts w:hint="eastAsia"/>
                <w:color w:val="000000"/>
                <w:spacing w:val="-15"/>
                <w:w w:val="15"/>
                <w:shd w:val="solid" w:color="000000" w:fill="000000"/>
                <w:fitText w:val="50" w:id="-961817087"/>
                <w14:textFill>
                  <w14:solidFill>
                    <w14:srgbClr w14:val="000000">
                      <w14:alpha w14:val="100000"/>
                    </w14:srgbClr>
                  </w14:solidFill>
                </w14:textFill>
              </w:rPr>
              <w:t xml:space="preserve">　</w:t>
            </w:r>
            <w:r w:rsidR="00027A78" w:rsidRPr="00027A78">
              <w:rPr>
                <w:vertAlign w:val="superscript"/>
              </w:rPr>
              <w:t>1</w:t>
            </w:r>
          </w:p>
        </w:tc>
        <w:tc>
          <w:tcPr>
            <w:tcW w:w="611" w:type="pct"/>
            <w:shd w:val="clear" w:color="auto" w:fill="auto"/>
          </w:tcPr>
          <w:p w14:paraId="311B3405" w14:textId="489A3B67"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6"/>
                <w14:textFill>
                  <w14:solidFill>
                    <w14:srgbClr w14:val="000000">
                      <w14:alpha w14:val="100000"/>
                    </w14:srgbClr>
                  </w14:solidFill>
                </w14:textFill>
              </w:rPr>
              <w:t xml:space="preserve">　</w:t>
            </w:r>
            <w:r w:rsidRPr="0094719F">
              <w:rPr>
                <w:color w:val="000000"/>
                <w:w w:val="15"/>
                <w:shd w:val="solid" w:color="000000" w:fill="000000"/>
                <w:fitText w:val="50" w:id="-961817086"/>
                <w14:textFill>
                  <w14:solidFill>
                    <w14:srgbClr w14:val="000000">
                      <w14:alpha w14:val="100000"/>
                    </w14:srgbClr>
                  </w14:solidFill>
                </w14:textFill>
              </w:rPr>
              <w:t>|</w:t>
            </w:r>
            <w:r w:rsidRPr="0094719F">
              <w:rPr>
                <w:rFonts w:hint="eastAsia"/>
                <w:color w:val="000000"/>
                <w:spacing w:val="-15"/>
                <w:w w:val="15"/>
                <w:shd w:val="solid" w:color="000000" w:fill="000000"/>
                <w:fitText w:val="50" w:id="-961817086"/>
                <w14:textFill>
                  <w14:solidFill>
                    <w14:srgbClr w14:val="000000">
                      <w14:alpha w14:val="100000"/>
                    </w14:srgbClr>
                  </w14:solidFill>
                </w14:textFill>
              </w:rPr>
              <w:t xml:space="preserve">　</w:t>
            </w:r>
            <w:r w:rsidR="00027A78" w:rsidRPr="00027A78">
              <w:rPr>
                <w:vertAlign w:val="superscript"/>
              </w:rPr>
              <w:t>1</w:t>
            </w:r>
          </w:p>
        </w:tc>
        <w:tc>
          <w:tcPr>
            <w:tcW w:w="611" w:type="pct"/>
            <w:shd w:val="clear" w:color="auto" w:fill="auto"/>
          </w:tcPr>
          <w:p w14:paraId="7BA76021" w14:textId="3B9FAA0E"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5"/>
                <w14:textFill>
                  <w14:solidFill>
                    <w14:srgbClr w14:val="000000">
                      <w14:alpha w14:val="100000"/>
                    </w14:srgbClr>
                  </w14:solidFill>
                </w14:textFill>
              </w:rPr>
              <w:t xml:space="preserve">　</w:t>
            </w:r>
            <w:r w:rsidRPr="0094719F">
              <w:rPr>
                <w:color w:val="000000"/>
                <w:w w:val="15"/>
                <w:shd w:val="solid" w:color="000000" w:fill="000000"/>
                <w:fitText w:val="50" w:id="-961817085"/>
                <w14:textFill>
                  <w14:solidFill>
                    <w14:srgbClr w14:val="000000">
                      <w14:alpha w14:val="100000"/>
                    </w14:srgbClr>
                  </w14:solidFill>
                </w14:textFill>
              </w:rPr>
              <w:t>|</w:t>
            </w:r>
            <w:r w:rsidRPr="0094719F">
              <w:rPr>
                <w:rFonts w:hint="eastAsia"/>
                <w:color w:val="000000"/>
                <w:spacing w:val="-15"/>
                <w:w w:val="15"/>
                <w:shd w:val="solid" w:color="000000" w:fill="000000"/>
                <w:fitText w:val="50" w:id="-961817085"/>
                <w14:textFill>
                  <w14:solidFill>
                    <w14:srgbClr w14:val="000000">
                      <w14:alpha w14:val="100000"/>
                    </w14:srgbClr>
                  </w14:solidFill>
                </w14:textFill>
              </w:rPr>
              <w:t xml:space="preserve">　</w:t>
            </w:r>
            <w:r w:rsidR="00027A78" w:rsidRPr="00027A78">
              <w:rPr>
                <w:vertAlign w:val="superscript"/>
              </w:rPr>
              <w:t>1</w:t>
            </w:r>
          </w:p>
        </w:tc>
        <w:tc>
          <w:tcPr>
            <w:tcW w:w="611" w:type="pct"/>
            <w:shd w:val="clear" w:color="auto" w:fill="auto"/>
          </w:tcPr>
          <w:p w14:paraId="5F1FDAA8" w14:textId="2146A427"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4"/>
                <w14:textFill>
                  <w14:solidFill>
                    <w14:srgbClr w14:val="000000">
                      <w14:alpha w14:val="100000"/>
                    </w14:srgbClr>
                  </w14:solidFill>
                </w14:textFill>
              </w:rPr>
              <w:t xml:space="preserve">　</w:t>
            </w:r>
            <w:r w:rsidRPr="0094719F">
              <w:rPr>
                <w:color w:val="000000"/>
                <w:w w:val="15"/>
                <w:shd w:val="solid" w:color="000000" w:fill="000000"/>
                <w:fitText w:val="50" w:id="-961817084"/>
                <w14:textFill>
                  <w14:solidFill>
                    <w14:srgbClr w14:val="000000">
                      <w14:alpha w14:val="100000"/>
                    </w14:srgbClr>
                  </w14:solidFill>
                </w14:textFill>
              </w:rPr>
              <w:t>|</w:t>
            </w:r>
            <w:r w:rsidRPr="0094719F">
              <w:rPr>
                <w:rFonts w:hint="eastAsia"/>
                <w:color w:val="000000"/>
                <w:spacing w:val="-15"/>
                <w:w w:val="15"/>
                <w:shd w:val="solid" w:color="000000" w:fill="000000"/>
                <w:fitText w:val="50" w:id="-961817084"/>
                <w14:textFill>
                  <w14:solidFill>
                    <w14:srgbClr w14:val="000000">
                      <w14:alpha w14:val="100000"/>
                    </w14:srgbClr>
                  </w14:solidFill>
                </w14:textFill>
              </w:rPr>
              <w:t xml:space="preserve">　</w:t>
            </w:r>
            <w:r w:rsidR="00027A78" w:rsidRPr="00027A78">
              <w:rPr>
                <w:vertAlign w:val="superscript"/>
              </w:rPr>
              <w:t>1</w:t>
            </w:r>
          </w:p>
        </w:tc>
        <w:tc>
          <w:tcPr>
            <w:tcW w:w="611" w:type="pct"/>
          </w:tcPr>
          <w:p w14:paraId="641444DB" w14:textId="4B160DAA"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1" w:id="-961817083"/>
                <w14:textFill>
                  <w14:solidFill>
                    <w14:srgbClr w14:val="000000">
                      <w14:alpha w14:val="100000"/>
                    </w14:srgbClr>
                  </w14:solidFill>
                </w14:textFill>
              </w:rPr>
              <w:t xml:space="preserve">　</w:t>
            </w:r>
            <w:r w:rsidRPr="0094719F">
              <w:rPr>
                <w:color w:val="000000"/>
                <w:w w:val="15"/>
                <w:shd w:val="solid" w:color="000000" w:fill="000000"/>
                <w:fitText w:val="51" w:id="-961817083"/>
                <w14:textFill>
                  <w14:solidFill>
                    <w14:srgbClr w14:val="000000">
                      <w14:alpha w14:val="100000"/>
                    </w14:srgbClr>
                  </w14:solidFill>
                </w14:textFill>
              </w:rPr>
              <w:t>|</w:t>
            </w:r>
            <w:r w:rsidRPr="0094719F">
              <w:rPr>
                <w:rFonts w:hint="eastAsia"/>
                <w:color w:val="000000"/>
                <w:spacing w:val="-14"/>
                <w:w w:val="15"/>
                <w:shd w:val="solid" w:color="000000" w:fill="000000"/>
                <w:fitText w:val="51" w:id="-961817083"/>
                <w14:textFill>
                  <w14:solidFill>
                    <w14:srgbClr w14:val="000000">
                      <w14:alpha w14:val="100000"/>
                    </w14:srgbClr>
                  </w14:solidFill>
                </w14:textFill>
              </w:rPr>
              <w:t xml:space="preserve">　</w:t>
            </w:r>
            <w:r w:rsidR="00027A78" w:rsidRPr="00027A78">
              <w:rPr>
                <w:vertAlign w:val="superscript"/>
              </w:rPr>
              <w:t>1</w:t>
            </w:r>
          </w:p>
        </w:tc>
      </w:tr>
      <w:tr w:rsidR="00104A72" w:rsidRPr="00162B20" w14:paraId="320C0DC9" w14:textId="77777777" w:rsidTr="00F81041">
        <w:tc>
          <w:tcPr>
            <w:tcW w:w="1334" w:type="pct"/>
            <w:shd w:val="clear" w:color="auto" w:fill="auto"/>
            <w:vAlign w:val="center"/>
          </w:tcPr>
          <w:p w14:paraId="0D150579" w14:textId="64FB081D" w:rsidR="00104A72" w:rsidRPr="00162B20" w:rsidRDefault="00104A72" w:rsidP="00027A78">
            <w:pPr>
              <w:pStyle w:val="TableText0"/>
              <w:rPr>
                <w:rFonts w:ascii="Times" w:hAnsi="Times"/>
              </w:rPr>
            </w:pPr>
            <w:r w:rsidRPr="00162B20">
              <w:t>Number of scripts dispensed</w:t>
            </w:r>
            <w:r w:rsidR="00575395" w:rsidRPr="00162B20">
              <w:t xml:space="preserve"> </w:t>
            </w:r>
            <w:r w:rsidR="00575395" w:rsidRPr="00162B20">
              <w:rPr>
                <w:sz w:val="19"/>
                <w:szCs w:val="19"/>
                <w:vertAlign w:val="superscript"/>
              </w:rPr>
              <w:t>b</w:t>
            </w:r>
          </w:p>
        </w:tc>
        <w:tc>
          <w:tcPr>
            <w:tcW w:w="611" w:type="pct"/>
            <w:shd w:val="clear" w:color="auto" w:fill="auto"/>
          </w:tcPr>
          <w:p w14:paraId="7A7FB078" w14:textId="74EEE550"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2"/>
                <w14:textFill>
                  <w14:solidFill>
                    <w14:srgbClr w14:val="000000">
                      <w14:alpha w14:val="100000"/>
                    </w14:srgbClr>
                  </w14:solidFill>
                </w14:textFill>
              </w:rPr>
              <w:t xml:space="preserve">　</w:t>
            </w:r>
            <w:r w:rsidRPr="0094719F">
              <w:rPr>
                <w:color w:val="000000"/>
                <w:w w:val="15"/>
                <w:shd w:val="solid" w:color="000000" w:fill="000000"/>
                <w:fitText w:val="50" w:id="-961817082"/>
                <w14:textFill>
                  <w14:solidFill>
                    <w14:srgbClr w14:val="000000">
                      <w14:alpha w14:val="100000"/>
                    </w14:srgbClr>
                  </w14:solidFill>
                </w14:textFill>
              </w:rPr>
              <w:t>|</w:t>
            </w:r>
            <w:r w:rsidRPr="0094719F">
              <w:rPr>
                <w:rFonts w:hint="eastAsia"/>
                <w:color w:val="000000"/>
                <w:spacing w:val="-15"/>
                <w:w w:val="15"/>
                <w:shd w:val="solid" w:color="000000" w:fill="000000"/>
                <w:fitText w:val="50" w:id="-961817082"/>
                <w14:textFill>
                  <w14:solidFill>
                    <w14:srgbClr w14:val="000000">
                      <w14:alpha w14:val="100000"/>
                    </w14:srgbClr>
                  </w14:solidFill>
                </w14:textFill>
              </w:rPr>
              <w:t xml:space="preserve">　</w:t>
            </w:r>
            <w:r w:rsidR="00027A78" w:rsidRPr="00027A78">
              <w:rPr>
                <w:vertAlign w:val="superscript"/>
              </w:rPr>
              <w:t>2</w:t>
            </w:r>
          </w:p>
        </w:tc>
        <w:tc>
          <w:tcPr>
            <w:tcW w:w="611" w:type="pct"/>
            <w:shd w:val="clear" w:color="auto" w:fill="auto"/>
          </w:tcPr>
          <w:p w14:paraId="0FA1F0AB" w14:textId="4B803035"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1"/>
                <w14:textFill>
                  <w14:solidFill>
                    <w14:srgbClr w14:val="000000">
                      <w14:alpha w14:val="100000"/>
                    </w14:srgbClr>
                  </w14:solidFill>
                </w14:textFill>
              </w:rPr>
              <w:t xml:space="preserve">　</w:t>
            </w:r>
            <w:r w:rsidRPr="0094719F">
              <w:rPr>
                <w:color w:val="000000"/>
                <w:w w:val="15"/>
                <w:shd w:val="solid" w:color="000000" w:fill="000000"/>
                <w:fitText w:val="50" w:id="-961817081"/>
                <w14:textFill>
                  <w14:solidFill>
                    <w14:srgbClr w14:val="000000">
                      <w14:alpha w14:val="100000"/>
                    </w14:srgbClr>
                  </w14:solidFill>
                </w14:textFill>
              </w:rPr>
              <w:t>|</w:t>
            </w:r>
            <w:r w:rsidRPr="0094719F">
              <w:rPr>
                <w:rFonts w:hint="eastAsia"/>
                <w:color w:val="000000"/>
                <w:spacing w:val="-15"/>
                <w:w w:val="15"/>
                <w:shd w:val="solid" w:color="000000" w:fill="000000"/>
                <w:fitText w:val="50" w:id="-961817081"/>
                <w14:textFill>
                  <w14:solidFill>
                    <w14:srgbClr w14:val="000000">
                      <w14:alpha w14:val="100000"/>
                    </w14:srgbClr>
                  </w14:solidFill>
                </w14:textFill>
              </w:rPr>
              <w:t xml:space="preserve">　</w:t>
            </w:r>
            <w:r w:rsidR="00027A78" w:rsidRPr="00027A78">
              <w:rPr>
                <w:vertAlign w:val="superscript"/>
              </w:rPr>
              <w:t>2</w:t>
            </w:r>
            <w:r w:rsidR="00C914BB" w:rsidRPr="00C914BB">
              <w:t xml:space="preserve"> </w:t>
            </w:r>
          </w:p>
        </w:tc>
        <w:tc>
          <w:tcPr>
            <w:tcW w:w="611" w:type="pct"/>
            <w:shd w:val="clear" w:color="auto" w:fill="auto"/>
          </w:tcPr>
          <w:p w14:paraId="529A9A60" w14:textId="5A751DC4"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80"/>
                <w14:textFill>
                  <w14:solidFill>
                    <w14:srgbClr w14:val="000000">
                      <w14:alpha w14:val="100000"/>
                    </w14:srgbClr>
                  </w14:solidFill>
                </w14:textFill>
              </w:rPr>
              <w:t xml:space="preserve">　</w:t>
            </w:r>
            <w:r w:rsidRPr="0094719F">
              <w:rPr>
                <w:color w:val="000000"/>
                <w:w w:val="15"/>
                <w:shd w:val="solid" w:color="000000" w:fill="000000"/>
                <w:fitText w:val="50" w:id="-961817080"/>
                <w14:textFill>
                  <w14:solidFill>
                    <w14:srgbClr w14:val="000000">
                      <w14:alpha w14:val="100000"/>
                    </w14:srgbClr>
                  </w14:solidFill>
                </w14:textFill>
              </w:rPr>
              <w:t>|</w:t>
            </w:r>
            <w:r w:rsidRPr="0094719F">
              <w:rPr>
                <w:rFonts w:hint="eastAsia"/>
                <w:color w:val="000000"/>
                <w:spacing w:val="-15"/>
                <w:w w:val="15"/>
                <w:shd w:val="solid" w:color="000000" w:fill="000000"/>
                <w:fitText w:val="50" w:id="-961817080"/>
                <w14:textFill>
                  <w14:solidFill>
                    <w14:srgbClr w14:val="000000">
                      <w14:alpha w14:val="100000"/>
                    </w14:srgbClr>
                  </w14:solidFill>
                </w14:textFill>
              </w:rPr>
              <w:t xml:space="preserve">　</w:t>
            </w:r>
            <w:r w:rsidR="00027A78" w:rsidRPr="00027A78">
              <w:rPr>
                <w:vertAlign w:val="superscript"/>
              </w:rPr>
              <w:t>2</w:t>
            </w:r>
            <w:r w:rsidR="00C914BB" w:rsidRPr="00C914BB">
              <w:t xml:space="preserve"> </w:t>
            </w:r>
          </w:p>
        </w:tc>
        <w:tc>
          <w:tcPr>
            <w:tcW w:w="611" w:type="pct"/>
            <w:shd w:val="clear" w:color="auto" w:fill="auto"/>
          </w:tcPr>
          <w:p w14:paraId="10212EF1" w14:textId="39810A3B"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79"/>
                <w14:textFill>
                  <w14:solidFill>
                    <w14:srgbClr w14:val="000000">
                      <w14:alpha w14:val="100000"/>
                    </w14:srgbClr>
                  </w14:solidFill>
                </w14:textFill>
              </w:rPr>
              <w:t xml:space="preserve">　</w:t>
            </w:r>
            <w:r w:rsidRPr="0094719F">
              <w:rPr>
                <w:color w:val="000000"/>
                <w:w w:val="15"/>
                <w:shd w:val="solid" w:color="000000" w:fill="000000"/>
                <w:fitText w:val="50" w:id="-961817079"/>
                <w14:textFill>
                  <w14:solidFill>
                    <w14:srgbClr w14:val="000000">
                      <w14:alpha w14:val="100000"/>
                    </w14:srgbClr>
                  </w14:solidFill>
                </w14:textFill>
              </w:rPr>
              <w:t>|</w:t>
            </w:r>
            <w:r w:rsidRPr="0094719F">
              <w:rPr>
                <w:rFonts w:hint="eastAsia"/>
                <w:color w:val="000000"/>
                <w:spacing w:val="-15"/>
                <w:w w:val="15"/>
                <w:shd w:val="solid" w:color="000000" w:fill="000000"/>
                <w:fitText w:val="50" w:id="-961817079"/>
                <w14:textFill>
                  <w14:solidFill>
                    <w14:srgbClr w14:val="000000">
                      <w14:alpha w14:val="100000"/>
                    </w14:srgbClr>
                  </w14:solidFill>
                </w14:textFill>
              </w:rPr>
              <w:t xml:space="preserve">　</w:t>
            </w:r>
            <w:r w:rsidR="00027A78" w:rsidRPr="00027A78">
              <w:rPr>
                <w:vertAlign w:val="superscript"/>
              </w:rPr>
              <w:t>2</w:t>
            </w:r>
            <w:r w:rsidR="00C914BB" w:rsidRPr="00C914BB">
              <w:t xml:space="preserve"> </w:t>
            </w:r>
          </w:p>
        </w:tc>
        <w:tc>
          <w:tcPr>
            <w:tcW w:w="611" w:type="pct"/>
            <w:shd w:val="clear" w:color="auto" w:fill="auto"/>
          </w:tcPr>
          <w:p w14:paraId="641293C3" w14:textId="246BF2EB"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0" w:id="-961817078"/>
                <w14:textFill>
                  <w14:solidFill>
                    <w14:srgbClr w14:val="000000">
                      <w14:alpha w14:val="100000"/>
                    </w14:srgbClr>
                  </w14:solidFill>
                </w14:textFill>
              </w:rPr>
              <w:t xml:space="preserve">　</w:t>
            </w:r>
            <w:r w:rsidRPr="0094719F">
              <w:rPr>
                <w:color w:val="000000"/>
                <w:w w:val="15"/>
                <w:shd w:val="solid" w:color="000000" w:fill="000000"/>
                <w:fitText w:val="50" w:id="-961817078"/>
                <w14:textFill>
                  <w14:solidFill>
                    <w14:srgbClr w14:val="000000">
                      <w14:alpha w14:val="100000"/>
                    </w14:srgbClr>
                  </w14:solidFill>
                </w14:textFill>
              </w:rPr>
              <w:t>|</w:t>
            </w:r>
            <w:r w:rsidRPr="0094719F">
              <w:rPr>
                <w:rFonts w:hint="eastAsia"/>
                <w:color w:val="000000"/>
                <w:spacing w:val="-15"/>
                <w:w w:val="15"/>
                <w:shd w:val="solid" w:color="000000" w:fill="000000"/>
                <w:fitText w:val="50" w:id="-961817078"/>
                <w14:textFill>
                  <w14:solidFill>
                    <w14:srgbClr w14:val="000000">
                      <w14:alpha w14:val="100000"/>
                    </w14:srgbClr>
                  </w14:solidFill>
                </w14:textFill>
              </w:rPr>
              <w:t xml:space="preserve">　</w:t>
            </w:r>
            <w:r w:rsidR="00027A78" w:rsidRPr="00027A78">
              <w:rPr>
                <w:vertAlign w:val="superscript"/>
              </w:rPr>
              <w:t>2</w:t>
            </w:r>
            <w:r w:rsidR="00C914BB" w:rsidRPr="00C914BB">
              <w:t xml:space="preserve"> </w:t>
            </w:r>
          </w:p>
        </w:tc>
        <w:tc>
          <w:tcPr>
            <w:tcW w:w="611" w:type="pct"/>
          </w:tcPr>
          <w:p w14:paraId="37BB933B" w14:textId="1C5629A8" w:rsidR="00104A72" w:rsidRPr="00386C72" w:rsidRDefault="0094719F" w:rsidP="00027A78">
            <w:pPr>
              <w:pStyle w:val="TableText0"/>
              <w:jc w:val="center"/>
              <w:rPr>
                <w:color w:val="000000"/>
                <w:highlight w:val="lightGray"/>
              </w:rPr>
            </w:pPr>
            <w:r w:rsidRPr="0094719F">
              <w:rPr>
                <w:rFonts w:hint="eastAsia"/>
                <w:color w:val="000000"/>
                <w:w w:val="15"/>
                <w:shd w:val="solid" w:color="000000" w:fill="000000"/>
                <w:fitText w:val="51" w:id="-961817077"/>
                <w14:textFill>
                  <w14:solidFill>
                    <w14:srgbClr w14:val="000000">
                      <w14:alpha w14:val="100000"/>
                    </w14:srgbClr>
                  </w14:solidFill>
                </w14:textFill>
              </w:rPr>
              <w:t xml:space="preserve">　</w:t>
            </w:r>
            <w:r w:rsidRPr="0094719F">
              <w:rPr>
                <w:color w:val="000000"/>
                <w:w w:val="15"/>
                <w:shd w:val="solid" w:color="000000" w:fill="000000"/>
                <w:fitText w:val="51" w:id="-961817077"/>
                <w14:textFill>
                  <w14:solidFill>
                    <w14:srgbClr w14:val="000000">
                      <w14:alpha w14:val="100000"/>
                    </w14:srgbClr>
                  </w14:solidFill>
                </w14:textFill>
              </w:rPr>
              <w:t>|</w:t>
            </w:r>
            <w:r w:rsidRPr="0094719F">
              <w:rPr>
                <w:rFonts w:hint="eastAsia"/>
                <w:color w:val="000000"/>
                <w:spacing w:val="-14"/>
                <w:w w:val="15"/>
                <w:shd w:val="solid" w:color="000000" w:fill="000000"/>
                <w:fitText w:val="51" w:id="-961817077"/>
                <w14:textFill>
                  <w14:solidFill>
                    <w14:srgbClr w14:val="000000">
                      <w14:alpha w14:val="100000"/>
                    </w14:srgbClr>
                  </w14:solidFill>
                </w14:textFill>
              </w:rPr>
              <w:t xml:space="preserve">　</w:t>
            </w:r>
            <w:r w:rsidR="00027A78" w:rsidRPr="00027A78">
              <w:rPr>
                <w:vertAlign w:val="superscript"/>
              </w:rPr>
              <w:t>2</w:t>
            </w:r>
            <w:r w:rsidR="00C914BB" w:rsidRPr="00C914BB">
              <w:t xml:space="preserve"> </w:t>
            </w:r>
          </w:p>
        </w:tc>
      </w:tr>
      <w:tr w:rsidR="00104A72" w:rsidRPr="00162B20" w14:paraId="3AF76124" w14:textId="77777777" w:rsidTr="00F81041">
        <w:tc>
          <w:tcPr>
            <w:tcW w:w="5000" w:type="pct"/>
            <w:gridSpan w:val="7"/>
            <w:shd w:val="clear" w:color="auto" w:fill="auto"/>
            <w:vAlign w:val="center"/>
          </w:tcPr>
          <w:p w14:paraId="13799936" w14:textId="77777777" w:rsidR="00104A72" w:rsidRPr="00162B20" w:rsidRDefault="00104A72" w:rsidP="00027A78">
            <w:pPr>
              <w:pStyle w:val="In-tableHeading"/>
              <w:rPr>
                <w:lang w:val="en-AU"/>
              </w:rPr>
            </w:pPr>
            <w:r w:rsidRPr="00162B20">
              <w:rPr>
                <w:lang w:val="en-AU"/>
              </w:rPr>
              <w:t>Estimated financial implications of cabozantinib</w:t>
            </w:r>
          </w:p>
        </w:tc>
      </w:tr>
      <w:tr w:rsidR="00104A72" w:rsidRPr="00162B20" w14:paraId="4BF06714" w14:textId="77777777" w:rsidTr="00F81041">
        <w:tc>
          <w:tcPr>
            <w:tcW w:w="1334" w:type="pct"/>
            <w:shd w:val="clear" w:color="auto" w:fill="auto"/>
            <w:vAlign w:val="center"/>
          </w:tcPr>
          <w:p w14:paraId="3F568895" w14:textId="51BE0864" w:rsidR="00104A72" w:rsidRPr="00162B20" w:rsidRDefault="00104A72" w:rsidP="00027A78">
            <w:pPr>
              <w:pStyle w:val="TableText0"/>
              <w:rPr>
                <w:sz w:val="19"/>
                <w:szCs w:val="19"/>
              </w:rPr>
            </w:pPr>
            <w:r w:rsidRPr="00162B20">
              <w:rPr>
                <w:sz w:val="19"/>
                <w:szCs w:val="19"/>
              </w:rPr>
              <w:t>Cost to PBS/RPBS less copayments</w:t>
            </w:r>
            <w:r w:rsidR="00575395" w:rsidRPr="00162B20">
              <w:rPr>
                <w:sz w:val="19"/>
                <w:szCs w:val="19"/>
              </w:rPr>
              <w:t xml:space="preserve"> </w:t>
            </w:r>
            <w:r w:rsidR="000439C0" w:rsidRPr="00162B20">
              <w:rPr>
                <w:sz w:val="19"/>
                <w:szCs w:val="19"/>
                <w:vertAlign w:val="superscript"/>
              </w:rPr>
              <w:t>b</w:t>
            </w:r>
          </w:p>
        </w:tc>
        <w:tc>
          <w:tcPr>
            <w:tcW w:w="611" w:type="pct"/>
            <w:shd w:val="clear" w:color="auto" w:fill="auto"/>
            <w:vAlign w:val="center"/>
          </w:tcPr>
          <w:p w14:paraId="75C2822F" w14:textId="3831B966"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76"/>
                <w14:textFill>
                  <w14:solidFill>
                    <w14:srgbClr w14:val="000000">
                      <w14:alpha w14:val="100000"/>
                    </w14:srgbClr>
                  </w14:solidFill>
                </w14:textFill>
              </w:rPr>
              <w:t xml:space="preserve">　</w:t>
            </w:r>
            <w:r w:rsidR="0094719F" w:rsidRPr="0094719F">
              <w:rPr>
                <w:color w:val="000000"/>
                <w:w w:val="25"/>
                <w:shd w:val="solid" w:color="000000" w:fill="000000"/>
                <w:fitText w:val="113" w:id="-961817076"/>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76"/>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vAlign w:val="center"/>
          </w:tcPr>
          <w:p w14:paraId="42093EE8" w14:textId="61DD7C3F"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75"/>
                <w14:textFill>
                  <w14:solidFill>
                    <w14:srgbClr w14:val="000000">
                      <w14:alpha w14:val="100000"/>
                    </w14:srgbClr>
                  </w14:solidFill>
                </w14:textFill>
              </w:rPr>
              <w:t xml:space="preserve">　</w:t>
            </w:r>
            <w:r w:rsidR="0094719F" w:rsidRPr="0094719F">
              <w:rPr>
                <w:color w:val="000000"/>
                <w:w w:val="25"/>
                <w:shd w:val="solid" w:color="000000" w:fill="000000"/>
                <w:fitText w:val="113" w:id="-961817075"/>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75"/>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vAlign w:val="center"/>
          </w:tcPr>
          <w:p w14:paraId="77BF319B" w14:textId="5BC95ED2"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74"/>
                <w14:textFill>
                  <w14:solidFill>
                    <w14:srgbClr w14:val="000000">
                      <w14:alpha w14:val="100000"/>
                    </w14:srgbClr>
                  </w14:solidFill>
                </w14:textFill>
              </w:rPr>
              <w:t xml:space="preserve">　</w:t>
            </w:r>
            <w:r w:rsidR="0094719F" w:rsidRPr="0094719F">
              <w:rPr>
                <w:color w:val="000000"/>
                <w:w w:val="25"/>
                <w:shd w:val="solid" w:color="000000" w:fill="000000"/>
                <w:fitText w:val="113" w:id="-961817074"/>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74"/>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vAlign w:val="center"/>
          </w:tcPr>
          <w:p w14:paraId="7CDEF3A7" w14:textId="55068B0A"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73"/>
                <w14:textFill>
                  <w14:solidFill>
                    <w14:srgbClr w14:val="000000">
                      <w14:alpha w14:val="100000"/>
                    </w14:srgbClr>
                  </w14:solidFill>
                </w14:textFill>
              </w:rPr>
              <w:t xml:space="preserve">　</w:t>
            </w:r>
            <w:r w:rsidR="0094719F" w:rsidRPr="0094719F">
              <w:rPr>
                <w:color w:val="000000"/>
                <w:w w:val="25"/>
                <w:shd w:val="solid" w:color="000000" w:fill="000000"/>
                <w:fitText w:val="113" w:id="-961817073"/>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73"/>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vAlign w:val="center"/>
          </w:tcPr>
          <w:p w14:paraId="103640B0" w14:textId="4813224D"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72"/>
                <w14:textFill>
                  <w14:solidFill>
                    <w14:srgbClr w14:val="000000">
                      <w14:alpha w14:val="100000"/>
                    </w14:srgbClr>
                  </w14:solidFill>
                </w14:textFill>
              </w:rPr>
              <w:t xml:space="preserve">　</w:t>
            </w:r>
            <w:r w:rsidR="0094719F" w:rsidRPr="0094719F">
              <w:rPr>
                <w:color w:val="000000"/>
                <w:w w:val="25"/>
                <w:shd w:val="solid" w:color="000000" w:fill="000000"/>
                <w:fitText w:val="113" w:id="-961817072"/>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72"/>
                <w14:textFill>
                  <w14:solidFill>
                    <w14:srgbClr w14:val="000000">
                      <w14:alpha w14:val="100000"/>
                    </w14:srgbClr>
                  </w14:solidFill>
                </w14:textFill>
              </w:rPr>
              <w:t xml:space="preserve">　</w:t>
            </w:r>
            <w:r w:rsidR="00027A78" w:rsidRPr="00027A78">
              <w:rPr>
                <w:vertAlign w:val="superscript"/>
              </w:rPr>
              <w:t>3</w:t>
            </w:r>
          </w:p>
        </w:tc>
        <w:tc>
          <w:tcPr>
            <w:tcW w:w="611" w:type="pct"/>
            <w:vAlign w:val="center"/>
          </w:tcPr>
          <w:p w14:paraId="0C5C4C86" w14:textId="347A9413"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8"/>
                <w14:textFill>
                  <w14:solidFill>
                    <w14:srgbClr w14:val="000000">
                      <w14:alpha w14:val="100000"/>
                    </w14:srgbClr>
                  </w14:solidFill>
                </w14:textFill>
              </w:rPr>
              <w:t xml:space="preserve">　</w:t>
            </w:r>
            <w:r w:rsidR="0094719F" w:rsidRPr="0094719F">
              <w:rPr>
                <w:color w:val="000000"/>
                <w:w w:val="25"/>
                <w:shd w:val="solid" w:color="000000" w:fill="000000"/>
                <w:fitText w:val="113" w:id="-961817088"/>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8"/>
                <w14:textFill>
                  <w14:solidFill>
                    <w14:srgbClr w14:val="000000">
                      <w14:alpha w14:val="100000"/>
                    </w14:srgbClr>
                  </w14:solidFill>
                </w14:textFill>
              </w:rPr>
              <w:t xml:space="preserve">　</w:t>
            </w:r>
            <w:r w:rsidR="00027A78" w:rsidRPr="00027A78">
              <w:rPr>
                <w:vertAlign w:val="superscript"/>
              </w:rPr>
              <w:t>3</w:t>
            </w:r>
          </w:p>
        </w:tc>
      </w:tr>
      <w:tr w:rsidR="00104A72" w:rsidRPr="00162B20" w14:paraId="3E16DA04" w14:textId="77777777" w:rsidTr="00F81041">
        <w:tc>
          <w:tcPr>
            <w:tcW w:w="5000" w:type="pct"/>
            <w:gridSpan w:val="7"/>
            <w:shd w:val="clear" w:color="auto" w:fill="auto"/>
            <w:vAlign w:val="center"/>
          </w:tcPr>
          <w:p w14:paraId="60AF3F28" w14:textId="77777777" w:rsidR="00104A72" w:rsidRPr="00162B20" w:rsidRDefault="00104A72" w:rsidP="00027A78">
            <w:pPr>
              <w:pStyle w:val="TableText0"/>
              <w:rPr>
                <w:b/>
                <w:bCs w:val="0"/>
              </w:rPr>
            </w:pPr>
            <w:r w:rsidRPr="00162B20">
              <w:rPr>
                <w:b/>
                <w:bCs w:val="0"/>
              </w:rPr>
              <w:t>Estimated financial implications for other medicines (cost offsets)</w:t>
            </w:r>
          </w:p>
        </w:tc>
      </w:tr>
      <w:tr w:rsidR="00104A72" w:rsidRPr="00162B20" w14:paraId="39E0E67C" w14:textId="77777777" w:rsidTr="00F81041">
        <w:tc>
          <w:tcPr>
            <w:tcW w:w="1334" w:type="pct"/>
            <w:shd w:val="clear" w:color="auto" w:fill="auto"/>
            <w:vAlign w:val="center"/>
          </w:tcPr>
          <w:p w14:paraId="0DB6A84B" w14:textId="77777777" w:rsidR="00104A72" w:rsidRPr="00162B20" w:rsidRDefault="00104A72" w:rsidP="00027A78">
            <w:pPr>
              <w:pStyle w:val="TableText0"/>
              <w:rPr>
                <w:sz w:val="19"/>
                <w:szCs w:val="19"/>
              </w:rPr>
            </w:pPr>
            <w:r w:rsidRPr="00162B20">
              <w:rPr>
                <w:sz w:val="19"/>
                <w:szCs w:val="19"/>
              </w:rPr>
              <w:t>Cost to PBS/RPBS less copayments</w:t>
            </w:r>
          </w:p>
        </w:tc>
        <w:tc>
          <w:tcPr>
            <w:tcW w:w="611" w:type="pct"/>
            <w:shd w:val="clear" w:color="auto" w:fill="auto"/>
            <w:vAlign w:val="center"/>
          </w:tcPr>
          <w:p w14:paraId="3362FABF" w14:textId="77777777" w:rsidR="00104A72" w:rsidRPr="00162B20" w:rsidRDefault="00104A72" w:rsidP="00027A78">
            <w:pPr>
              <w:pStyle w:val="TableText0"/>
              <w:jc w:val="center"/>
            </w:pPr>
            <w:r w:rsidRPr="00162B20">
              <w:t>$0</w:t>
            </w:r>
          </w:p>
        </w:tc>
        <w:tc>
          <w:tcPr>
            <w:tcW w:w="611" w:type="pct"/>
            <w:shd w:val="clear" w:color="auto" w:fill="auto"/>
            <w:vAlign w:val="center"/>
          </w:tcPr>
          <w:p w14:paraId="773A3F62" w14:textId="77777777" w:rsidR="00104A72" w:rsidRPr="00162B20" w:rsidRDefault="00104A72" w:rsidP="00027A78">
            <w:pPr>
              <w:pStyle w:val="TableText0"/>
              <w:jc w:val="center"/>
            </w:pPr>
            <w:r w:rsidRPr="00162B20">
              <w:t>$0</w:t>
            </w:r>
          </w:p>
        </w:tc>
        <w:tc>
          <w:tcPr>
            <w:tcW w:w="611" w:type="pct"/>
            <w:shd w:val="clear" w:color="auto" w:fill="auto"/>
            <w:vAlign w:val="center"/>
          </w:tcPr>
          <w:p w14:paraId="109E962E" w14:textId="77777777" w:rsidR="00104A72" w:rsidRPr="00162B20" w:rsidRDefault="00104A72" w:rsidP="00027A78">
            <w:pPr>
              <w:pStyle w:val="TableText0"/>
              <w:jc w:val="center"/>
            </w:pPr>
            <w:r w:rsidRPr="00162B20">
              <w:t>$0</w:t>
            </w:r>
          </w:p>
        </w:tc>
        <w:tc>
          <w:tcPr>
            <w:tcW w:w="611" w:type="pct"/>
            <w:shd w:val="clear" w:color="auto" w:fill="auto"/>
            <w:vAlign w:val="center"/>
          </w:tcPr>
          <w:p w14:paraId="2EF414B1" w14:textId="77777777" w:rsidR="00104A72" w:rsidRPr="00162B20" w:rsidRDefault="00104A72" w:rsidP="00027A78">
            <w:pPr>
              <w:pStyle w:val="TableText0"/>
              <w:jc w:val="center"/>
            </w:pPr>
            <w:r w:rsidRPr="00162B20">
              <w:t>$0</w:t>
            </w:r>
          </w:p>
        </w:tc>
        <w:tc>
          <w:tcPr>
            <w:tcW w:w="611" w:type="pct"/>
            <w:shd w:val="clear" w:color="auto" w:fill="auto"/>
            <w:vAlign w:val="center"/>
          </w:tcPr>
          <w:p w14:paraId="64CA83B2" w14:textId="77777777" w:rsidR="00104A72" w:rsidRPr="00162B20" w:rsidRDefault="00104A72" w:rsidP="00027A78">
            <w:pPr>
              <w:pStyle w:val="TableText0"/>
              <w:jc w:val="center"/>
            </w:pPr>
            <w:r w:rsidRPr="00162B20">
              <w:t>$0</w:t>
            </w:r>
          </w:p>
        </w:tc>
        <w:tc>
          <w:tcPr>
            <w:tcW w:w="611" w:type="pct"/>
            <w:vAlign w:val="center"/>
          </w:tcPr>
          <w:p w14:paraId="482B22BF" w14:textId="77777777" w:rsidR="00104A72" w:rsidRPr="00162B20" w:rsidRDefault="00104A72" w:rsidP="00027A78">
            <w:pPr>
              <w:pStyle w:val="TableText0"/>
              <w:jc w:val="center"/>
            </w:pPr>
            <w:r w:rsidRPr="00162B20">
              <w:t>$0</w:t>
            </w:r>
          </w:p>
        </w:tc>
      </w:tr>
      <w:tr w:rsidR="00104A72" w:rsidRPr="00162B20" w14:paraId="32428551" w14:textId="77777777" w:rsidTr="00F81041">
        <w:tc>
          <w:tcPr>
            <w:tcW w:w="5000" w:type="pct"/>
            <w:gridSpan w:val="7"/>
            <w:shd w:val="clear" w:color="auto" w:fill="auto"/>
            <w:vAlign w:val="center"/>
          </w:tcPr>
          <w:p w14:paraId="03F6E882" w14:textId="77777777" w:rsidR="00104A72" w:rsidRPr="00162B20" w:rsidRDefault="00104A72" w:rsidP="00027A78">
            <w:pPr>
              <w:pStyle w:val="In-tableHeading"/>
              <w:rPr>
                <w:lang w:val="en-AU"/>
              </w:rPr>
            </w:pPr>
            <w:r w:rsidRPr="00162B20">
              <w:rPr>
                <w:lang w:val="en-AU"/>
              </w:rPr>
              <w:t>Net financial implications</w:t>
            </w:r>
            <w:r w:rsidRPr="00162B20">
              <w:rPr>
                <w:color w:val="4BACC6" w:themeColor="accent5"/>
                <w:lang w:val="en-AU"/>
              </w:rPr>
              <w:t xml:space="preserve"> </w:t>
            </w:r>
          </w:p>
        </w:tc>
      </w:tr>
      <w:tr w:rsidR="00104A72" w:rsidRPr="00162B20" w14:paraId="43F72D93" w14:textId="77777777" w:rsidTr="00F81041">
        <w:tc>
          <w:tcPr>
            <w:tcW w:w="1334" w:type="pct"/>
            <w:shd w:val="clear" w:color="auto" w:fill="auto"/>
            <w:vAlign w:val="center"/>
          </w:tcPr>
          <w:p w14:paraId="3D012FD8" w14:textId="77777777" w:rsidR="00104A72" w:rsidRPr="00162B20" w:rsidRDefault="00104A72" w:rsidP="00027A78">
            <w:pPr>
              <w:pStyle w:val="TableText0"/>
              <w:rPr>
                <w:sz w:val="19"/>
                <w:szCs w:val="19"/>
              </w:rPr>
            </w:pPr>
            <w:r w:rsidRPr="00162B20">
              <w:rPr>
                <w:sz w:val="19"/>
                <w:szCs w:val="19"/>
              </w:rPr>
              <w:t>Net cost to PBS/RPBS</w:t>
            </w:r>
          </w:p>
        </w:tc>
        <w:tc>
          <w:tcPr>
            <w:tcW w:w="611" w:type="pct"/>
            <w:shd w:val="clear" w:color="auto" w:fill="auto"/>
          </w:tcPr>
          <w:p w14:paraId="71954CE1" w14:textId="490A3B3A"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7"/>
                <w14:textFill>
                  <w14:solidFill>
                    <w14:srgbClr w14:val="000000">
                      <w14:alpha w14:val="100000"/>
                    </w14:srgbClr>
                  </w14:solidFill>
                </w14:textFill>
              </w:rPr>
              <w:t xml:space="preserve">　</w:t>
            </w:r>
            <w:r w:rsidR="0094719F" w:rsidRPr="0094719F">
              <w:rPr>
                <w:color w:val="000000"/>
                <w:w w:val="25"/>
                <w:shd w:val="solid" w:color="000000" w:fill="000000"/>
                <w:fitText w:val="113" w:id="-961817087"/>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7"/>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tcPr>
          <w:p w14:paraId="07B344A9" w14:textId="1653AB49"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6"/>
                <w14:textFill>
                  <w14:solidFill>
                    <w14:srgbClr w14:val="000000">
                      <w14:alpha w14:val="100000"/>
                    </w14:srgbClr>
                  </w14:solidFill>
                </w14:textFill>
              </w:rPr>
              <w:t xml:space="preserve">　</w:t>
            </w:r>
            <w:r w:rsidR="0094719F" w:rsidRPr="0094719F">
              <w:rPr>
                <w:color w:val="000000"/>
                <w:w w:val="25"/>
                <w:shd w:val="solid" w:color="000000" w:fill="000000"/>
                <w:fitText w:val="113" w:id="-961817086"/>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6"/>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tcPr>
          <w:p w14:paraId="035DB0AF" w14:textId="64CEA4F2"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5"/>
                <w14:textFill>
                  <w14:solidFill>
                    <w14:srgbClr w14:val="000000">
                      <w14:alpha w14:val="100000"/>
                    </w14:srgbClr>
                  </w14:solidFill>
                </w14:textFill>
              </w:rPr>
              <w:t xml:space="preserve">　</w:t>
            </w:r>
            <w:r w:rsidR="0094719F" w:rsidRPr="0094719F">
              <w:rPr>
                <w:color w:val="000000"/>
                <w:w w:val="25"/>
                <w:shd w:val="solid" w:color="000000" w:fill="000000"/>
                <w:fitText w:val="113" w:id="-961817085"/>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5"/>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tcPr>
          <w:p w14:paraId="3C4FE046" w14:textId="2A7CD5C3"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4"/>
                <w14:textFill>
                  <w14:solidFill>
                    <w14:srgbClr w14:val="000000">
                      <w14:alpha w14:val="100000"/>
                    </w14:srgbClr>
                  </w14:solidFill>
                </w14:textFill>
              </w:rPr>
              <w:t xml:space="preserve">　</w:t>
            </w:r>
            <w:r w:rsidR="0094719F" w:rsidRPr="0094719F">
              <w:rPr>
                <w:color w:val="000000"/>
                <w:w w:val="25"/>
                <w:shd w:val="solid" w:color="000000" w:fill="000000"/>
                <w:fitText w:val="113" w:id="-961817084"/>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4"/>
                <w14:textFill>
                  <w14:solidFill>
                    <w14:srgbClr w14:val="000000">
                      <w14:alpha w14:val="100000"/>
                    </w14:srgbClr>
                  </w14:solidFill>
                </w14:textFill>
              </w:rPr>
              <w:t xml:space="preserve">　</w:t>
            </w:r>
            <w:r w:rsidR="00027A78" w:rsidRPr="00027A78">
              <w:rPr>
                <w:vertAlign w:val="superscript"/>
              </w:rPr>
              <w:t>3</w:t>
            </w:r>
          </w:p>
        </w:tc>
        <w:tc>
          <w:tcPr>
            <w:tcW w:w="611" w:type="pct"/>
            <w:shd w:val="clear" w:color="auto" w:fill="auto"/>
          </w:tcPr>
          <w:p w14:paraId="5F5BA7D5" w14:textId="382A2CB9"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3"/>
                <w14:textFill>
                  <w14:solidFill>
                    <w14:srgbClr w14:val="000000">
                      <w14:alpha w14:val="100000"/>
                    </w14:srgbClr>
                  </w14:solidFill>
                </w14:textFill>
              </w:rPr>
              <w:t xml:space="preserve">　</w:t>
            </w:r>
            <w:r w:rsidR="0094719F" w:rsidRPr="0094719F">
              <w:rPr>
                <w:color w:val="000000"/>
                <w:w w:val="25"/>
                <w:shd w:val="solid" w:color="000000" w:fill="000000"/>
                <w:fitText w:val="113" w:id="-961817083"/>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3"/>
                <w14:textFill>
                  <w14:solidFill>
                    <w14:srgbClr w14:val="000000">
                      <w14:alpha w14:val="100000"/>
                    </w14:srgbClr>
                  </w14:solidFill>
                </w14:textFill>
              </w:rPr>
              <w:t xml:space="preserve">　</w:t>
            </w:r>
            <w:r w:rsidR="00027A78" w:rsidRPr="00027A78">
              <w:rPr>
                <w:vertAlign w:val="superscript"/>
              </w:rPr>
              <w:t>3</w:t>
            </w:r>
          </w:p>
        </w:tc>
        <w:tc>
          <w:tcPr>
            <w:tcW w:w="611" w:type="pct"/>
          </w:tcPr>
          <w:p w14:paraId="5A427E61" w14:textId="72C25562" w:rsidR="00104A72" w:rsidRPr="00162B20" w:rsidRDefault="00104A72" w:rsidP="00027A78">
            <w:pPr>
              <w:pStyle w:val="TableText0"/>
              <w:jc w:val="center"/>
            </w:pPr>
            <w:r w:rsidRPr="00162B20">
              <w:t>$</w:t>
            </w:r>
            <w:r w:rsidR="0094719F" w:rsidRPr="0094719F">
              <w:rPr>
                <w:rFonts w:hint="eastAsia"/>
                <w:color w:val="000000"/>
                <w:w w:val="25"/>
                <w:shd w:val="solid" w:color="000000" w:fill="000000"/>
                <w:fitText w:val="113" w:id="-961817082"/>
                <w14:textFill>
                  <w14:solidFill>
                    <w14:srgbClr w14:val="000000">
                      <w14:alpha w14:val="100000"/>
                    </w14:srgbClr>
                  </w14:solidFill>
                </w14:textFill>
              </w:rPr>
              <w:t xml:space="preserve">　</w:t>
            </w:r>
            <w:r w:rsidR="0094719F" w:rsidRPr="0094719F">
              <w:rPr>
                <w:color w:val="000000"/>
                <w:w w:val="25"/>
                <w:shd w:val="solid" w:color="000000" w:fill="000000"/>
                <w:fitText w:val="113" w:id="-961817082"/>
                <w14:textFill>
                  <w14:solidFill>
                    <w14:srgbClr w14:val="000000">
                      <w14:alpha w14:val="100000"/>
                    </w14:srgbClr>
                  </w14:solidFill>
                </w14:textFill>
              </w:rPr>
              <w:t>|</w:t>
            </w:r>
            <w:r w:rsidR="0094719F" w:rsidRPr="0094719F">
              <w:rPr>
                <w:rFonts w:hint="eastAsia"/>
                <w:color w:val="000000"/>
                <w:spacing w:val="2"/>
                <w:w w:val="25"/>
                <w:shd w:val="solid" w:color="000000" w:fill="000000"/>
                <w:fitText w:val="113" w:id="-961817082"/>
                <w14:textFill>
                  <w14:solidFill>
                    <w14:srgbClr w14:val="000000">
                      <w14:alpha w14:val="100000"/>
                    </w14:srgbClr>
                  </w14:solidFill>
                </w14:textFill>
              </w:rPr>
              <w:t xml:space="preserve">　</w:t>
            </w:r>
            <w:r w:rsidR="00027A78" w:rsidRPr="00027A78">
              <w:rPr>
                <w:vertAlign w:val="superscript"/>
              </w:rPr>
              <w:t>3</w:t>
            </w:r>
          </w:p>
        </w:tc>
      </w:tr>
    </w:tbl>
    <w:p w14:paraId="7C9C2E2D" w14:textId="77777777" w:rsidR="00104A72" w:rsidRPr="0014714C" w:rsidRDefault="00104A72" w:rsidP="00027A78">
      <w:pPr>
        <w:pStyle w:val="FooterTableFigure"/>
        <w:keepNext/>
        <w:rPr>
          <w:szCs w:val="18"/>
        </w:rPr>
      </w:pPr>
      <w:r w:rsidRPr="0014714C">
        <w:rPr>
          <w:szCs w:val="18"/>
        </w:rPr>
        <w:t xml:space="preserve">Source: Section 4 Workbook of submission. </w:t>
      </w:r>
    </w:p>
    <w:p w14:paraId="5377753B" w14:textId="77777777" w:rsidR="00104A72" w:rsidRPr="0014714C" w:rsidRDefault="00104A72" w:rsidP="00027A78">
      <w:pPr>
        <w:pStyle w:val="FooterTableFigure"/>
        <w:keepNext/>
        <w:rPr>
          <w:szCs w:val="18"/>
        </w:rPr>
      </w:pPr>
      <w:r w:rsidRPr="0014714C">
        <w:rPr>
          <w:szCs w:val="18"/>
        </w:rPr>
        <w:t>GF = grandfathered; mon. = months; PBS = Pharmaceutical Benefits Scheme; RPBS = Repatriated Pharmaceutical Benefits Scheme.</w:t>
      </w:r>
    </w:p>
    <w:p w14:paraId="5ACB5C3C" w14:textId="77777777" w:rsidR="000439C0" w:rsidRPr="0014714C" w:rsidRDefault="00A9365E" w:rsidP="00027A78">
      <w:pPr>
        <w:pStyle w:val="FooterTableFigure"/>
        <w:keepNext/>
        <w:rPr>
          <w:szCs w:val="18"/>
        </w:rPr>
      </w:pPr>
      <w:r w:rsidRPr="0014714C">
        <w:rPr>
          <w:szCs w:val="18"/>
          <w:vertAlign w:val="superscript"/>
        </w:rPr>
        <w:t>a</w:t>
      </w:r>
      <w:r w:rsidRPr="0014714C">
        <w:rPr>
          <w:szCs w:val="18"/>
        </w:rPr>
        <w:t xml:space="preserve"> Assumes </w:t>
      </w:r>
      <w:r w:rsidRPr="001E0AE9">
        <w:rPr>
          <w:szCs w:val="18"/>
        </w:rPr>
        <w:t>12.6 months of treatment per incident patient and 6 months for</w:t>
      </w:r>
      <w:r w:rsidRPr="0014714C">
        <w:rPr>
          <w:szCs w:val="18"/>
        </w:rPr>
        <w:t xml:space="preserve"> prevalent (grandfather) patients.</w:t>
      </w:r>
      <w:r w:rsidR="000439C0" w:rsidRPr="0014714C">
        <w:rPr>
          <w:szCs w:val="18"/>
        </w:rPr>
        <w:t xml:space="preserve"> </w:t>
      </w:r>
    </w:p>
    <w:p w14:paraId="2E59E345" w14:textId="03FA385E" w:rsidR="000439C0" w:rsidRPr="0014714C" w:rsidRDefault="000439C0" w:rsidP="00027A78">
      <w:pPr>
        <w:pStyle w:val="FooterTableFigure"/>
        <w:keepNext/>
        <w:spacing w:after="0"/>
        <w:rPr>
          <w:szCs w:val="18"/>
        </w:rPr>
      </w:pPr>
      <w:r w:rsidRPr="0014714C">
        <w:rPr>
          <w:szCs w:val="18"/>
          <w:vertAlign w:val="superscript"/>
        </w:rPr>
        <w:t>b</w:t>
      </w:r>
      <w:r w:rsidRPr="0014714C">
        <w:rPr>
          <w:szCs w:val="18"/>
        </w:rPr>
        <w:t xml:space="preserve"> </w:t>
      </w:r>
      <w:r w:rsidR="00575395" w:rsidRPr="0014714C">
        <w:rPr>
          <w:szCs w:val="18"/>
        </w:rPr>
        <w:t>scripts and c</w:t>
      </w:r>
      <w:r w:rsidRPr="0014714C">
        <w:rPr>
          <w:szCs w:val="18"/>
        </w:rPr>
        <w:t>osts corrected during evaluation by using correct duration of treatment groups for the number of scripts and using the effective DPMQ of $</w:t>
      </w:r>
      <w:r w:rsidR="0094719F" w:rsidRPr="0094719F">
        <w:rPr>
          <w:color w:val="000000"/>
          <w:spacing w:val="9"/>
          <w:szCs w:val="18"/>
          <w:shd w:val="solid" w:color="000000" w:fill="000000"/>
          <w:fitText w:val="281" w:id="-961817081"/>
          <w14:textFill>
            <w14:solidFill>
              <w14:srgbClr w14:val="000000">
                <w14:alpha w14:val="100000"/>
              </w14:srgbClr>
            </w14:solidFill>
          </w14:textFill>
        </w:rPr>
        <w:t>||  |</w:t>
      </w:r>
      <w:r w:rsidR="0094719F" w:rsidRPr="0094719F">
        <w:rPr>
          <w:color w:val="000000"/>
          <w:spacing w:val="1"/>
          <w:szCs w:val="18"/>
          <w:shd w:val="solid" w:color="000000" w:fill="000000"/>
          <w:fitText w:val="281" w:id="-961817081"/>
          <w14:textFill>
            <w14:solidFill>
              <w14:srgbClr w14:val="000000">
                <w14:alpha w14:val="100000"/>
              </w14:srgbClr>
            </w14:solidFill>
          </w14:textFill>
        </w:rPr>
        <w:t>|</w:t>
      </w:r>
      <w:r w:rsidRPr="0014714C">
        <w:rPr>
          <w:szCs w:val="18"/>
        </w:rPr>
        <w:t xml:space="preserve"> for cabozantinib.</w:t>
      </w:r>
    </w:p>
    <w:p w14:paraId="1BF80F6A" w14:textId="77777777" w:rsidR="00027A78" w:rsidRPr="009A6D58" w:rsidRDefault="00027A78" w:rsidP="00027A78">
      <w:pPr>
        <w:keepNext/>
        <w:rPr>
          <w:rFonts w:ascii="Arial Narrow" w:hAnsi="Arial Narrow"/>
          <w:i/>
          <w:sz w:val="18"/>
          <w:szCs w:val="18"/>
        </w:rPr>
      </w:pPr>
      <w:bookmarkStart w:id="61" w:name="_Hlk166678129"/>
      <w:r w:rsidRPr="009A6D58">
        <w:rPr>
          <w:rFonts w:ascii="Arial Narrow" w:hAnsi="Arial Narrow"/>
          <w:i/>
          <w:sz w:val="18"/>
          <w:szCs w:val="18"/>
        </w:rPr>
        <w:t xml:space="preserve">The redacted values correspond to the following ranges: </w:t>
      </w:r>
    </w:p>
    <w:p w14:paraId="1674290E" w14:textId="52BFF532" w:rsidR="00027A78" w:rsidRPr="009A6D58" w:rsidRDefault="00027A78" w:rsidP="00027A78">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27A78">
        <w:rPr>
          <w:rFonts w:ascii="Arial Narrow" w:hAnsi="Arial Narrow"/>
          <w:i/>
          <w:sz w:val="18"/>
          <w:szCs w:val="18"/>
        </w:rPr>
        <w:t>&lt; 500</w:t>
      </w:r>
    </w:p>
    <w:p w14:paraId="0157C5DF" w14:textId="4714011F" w:rsidR="00027A78" w:rsidRPr="009A6D58" w:rsidRDefault="00027A78" w:rsidP="00027A78">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27A78">
        <w:rPr>
          <w:rFonts w:ascii="Arial Narrow" w:hAnsi="Arial Narrow"/>
          <w:i/>
          <w:sz w:val="18"/>
          <w:szCs w:val="18"/>
        </w:rPr>
        <w:t>500 to &lt; 5,000</w:t>
      </w:r>
    </w:p>
    <w:p w14:paraId="1F4EAFF0" w14:textId="2DE625D7" w:rsidR="00027A78" w:rsidRDefault="00027A78" w:rsidP="0014714C">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027A78">
        <w:rPr>
          <w:rFonts w:ascii="Arial Narrow" w:hAnsi="Arial Narrow"/>
          <w:i/>
          <w:sz w:val="18"/>
          <w:szCs w:val="18"/>
        </w:rPr>
        <w:t>$0 to &lt; $10 million</w:t>
      </w:r>
    </w:p>
    <w:bookmarkEnd w:id="61"/>
    <w:p w14:paraId="312DC4CC" w14:textId="36E341C4" w:rsidR="00104A72" w:rsidRPr="00162B20" w:rsidRDefault="00A9365E" w:rsidP="00104A72">
      <w:pPr>
        <w:pStyle w:val="3-BodyText"/>
        <w:numPr>
          <w:ilvl w:val="1"/>
          <w:numId w:val="1"/>
        </w:numPr>
        <w:snapToGrid w:val="0"/>
      </w:pPr>
      <w:r w:rsidRPr="00162B20">
        <w:t xml:space="preserve">There were a number of errors in the </w:t>
      </w:r>
      <w:r w:rsidR="007C4244" w:rsidRPr="00162B20">
        <w:t xml:space="preserve">financial </w:t>
      </w:r>
      <w:proofErr w:type="gramStart"/>
      <w:r w:rsidR="007C4244" w:rsidRPr="00162B20">
        <w:t>estimates</w:t>
      </w:r>
      <w:proofErr w:type="gramEnd"/>
      <w:r w:rsidR="007C4244" w:rsidRPr="00162B20">
        <w:t xml:space="preserve"> worksheet provided in the submission. After these were corrected t</w:t>
      </w:r>
      <w:r w:rsidR="00104A72" w:rsidRPr="00162B20">
        <w:t xml:space="preserve">he total cost to the PBS/RPBS of listing cabozantinib was estimated to be </w:t>
      </w:r>
      <w:r w:rsidR="00DB0CF5" w:rsidRPr="00DB0CF5">
        <w:t>$0 to &lt; $10 million</w:t>
      </w:r>
      <w:r w:rsidR="00104A72" w:rsidRPr="00162B20">
        <w:t xml:space="preserve"> in Year 6, and a total of </w:t>
      </w:r>
      <w:r w:rsidR="00DB0CF5" w:rsidRPr="00DB0CF5">
        <w:t>$10</w:t>
      </w:r>
      <w:r w:rsidR="00F51532">
        <w:t> </w:t>
      </w:r>
      <w:r w:rsidR="00DB0CF5" w:rsidRPr="00DB0CF5">
        <w:t>million to &lt; $20 million</w:t>
      </w:r>
      <w:r w:rsidR="00104A72" w:rsidRPr="00162B20">
        <w:t xml:space="preserve"> in the first 6 years of listing</w:t>
      </w:r>
      <w:r w:rsidR="00104A72" w:rsidRPr="00162B20">
        <w:rPr>
          <w:color w:val="3366FF"/>
        </w:rPr>
        <w:t xml:space="preserve">. </w:t>
      </w:r>
    </w:p>
    <w:p w14:paraId="5E5B3802" w14:textId="54F74169" w:rsidR="00D63A4D" w:rsidRPr="00162B20" w:rsidRDefault="007C4244" w:rsidP="0008439F">
      <w:pPr>
        <w:pStyle w:val="3-BodyText"/>
        <w:rPr>
          <w:b/>
        </w:rPr>
      </w:pPr>
      <w:r w:rsidRPr="00162B20">
        <w:t>Overall</w:t>
      </w:r>
      <w:r w:rsidR="00F81423" w:rsidRPr="00162B20">
        <w:t>,</w:t>
      </w:r>
      <w:r w:rsidRPr="00162B20">
        <w:t xml:space="preserve"> </w:t>
      </w:r>
      <w:r w:rsidR="00104A72" w:rsidRPr="00162B20">
        <w:t>DUSC consider</w:t>
      </w:r>
      <w:r w:rsidRPr="00162B20">
        <w:t>ed</w:t>
      </w:r>
      <w:r w:rsidR="00104A72" w:rsidRPr="00162B20">
        <w:t xml:space="preserve"> the estimates presented in the submission to be underestimated</w:t>
      </w:r>
      <w:r w:rsidRPr="00162B20">
        <w:t xml:space="preserve"> </w:t>
      </w:r>
      <w:r w:rsidR="00D80C38" w:rsidRPr="00162B20">
        <w:t>due to</w:t>
      </w:r>
      <w:r w:rsidRPr="00162B20">
        <w:t xml:space="preserve"> potential underestimation of the total number of eligible patients</w:t>
      </w:r>
      <w:r w:rsidR="00104A72" w:rsidRPr="00162B20">
        <w:t xml:space="preserve">. </w:t>
      </w:r>
      <w:r w:rsidR="00C930EB" w:rsidRPr="00162B20">
        <w:t xml:space="preserve">The PBAC considered </w:t>
      </w:r>
      <w:r w:rsidR="009F593F" w:rsidRPr="00162B20">
        <w:t xml:space="preserve">the financial estimates to be reasonable although noted </w:t>
      </w:r>
      <w:r w:rsidR="00C930EB" w:rsidRPr="00162B20">
        <w:t xml:space="preserve">that there was some remaining uncertainty, however this </w:t>
      </w:r>
      <w:r w:rsidR="009F593F" w:rsidRPr="00162B20">
        <w:t xml:space="preserve">uncertainty </w:t>
      </w:r>
      <w:r w:rsidR="00C930EB" w:rsidRPr="00162B20">
        <w:t xml:space="preserve">was mitigated by the proposed inclusion of </w:t>
      </w:r>
      <w:proofErr w:type="spellStart"/>
      <w:r w:rsidR="00C930EB" w:rsidRPr="00162B20">
        <w:t>nccRCC</w:t>
      </w:r>
      <w:proofErr w:type="spellEnd"/>
      <w:r w:rsidR="00C930EB" w:rsidRPr="00162B20">
        <w:t xml:space="preserve"> within the existing </w:t>
      </w:r>
      <w:proofErr w:type="spellStart"/>
      <w:r w:rsidR="00C930EB" w:rsidRPr="00162B20">
        <w:t>ccRCC</w:t>
      </w:r>
      <w:proofErr w:type="spellEnd"/>
      <w:r w:rsidR="00C930EB" w:rsidRPr="00162B20">
        <w:t xml:space="preserve"> RSA caps.</w:t>
      </w:r>
    </w:p>
    <w:p w14:paraId="19697122" w14:textId="77777777" w:rsidR="00B74DAB" w:rsidRPr="00162B20" w:rsidRDefault="00B74DAB" w:rsidP="00B74DAB">
      <w:pPr>
        <w:pStyle w:val="4-SubsectionHeading"/>
      </w:pPr>
      <w:r w:rsidRPr="00162B20">
        <w:t>Financial Management – Risk Sharing Arrangements</w:t>
      </w:r>
      <w:bookmarkEnd w:id="56"/>
    </w:p>
    <w:p w14:paraId="7D25D839" w14:textId="314E761A" w:rsidR="00B74DAB" w:rsidRPr="00162B20" w:rsidRDefault="00B74DAB" w:rsidP="00B74DAB">
      <w:pPr>
        <w:pStyle w:val="3-BodyText"/>
        <w:snapToGrid w:val="0"/>
        <w:rPr>
          <w:color w:val="000000" w:themeColor="text1"/>
        </w:rPr>
      </w:pPr>
      <w:r w:rsidRPr="00162B20">
        <w:rPr>
          <w:color w:val="000000" w:themeColor="text1"/>
        </w:rPr>
        <w:t xml:space="preserve">A Deed of Agreement exists between </w:t>
      </w:r>
      <w:r w:rsidR="00764466" w:rsidRPr="00162B20">
        <w:rPr>
          <w:color w:val="000000" w:themeColor="text1"/>
        </w:rPr>
        <w:t>the sponsor</w:t>
      </w:r>
      <w:r w:rsidRPr="00162B20">
        <w:rPr>
          <w:color w:val="000000" w:themeColor="text1"/>
        </w:rPr>
        <w:t xml:space="preserve"> and the Commonwealth </w:t>
      </w:r>
      <w:r w:rsidR="00AD0C46" w:rsidRPr="00162B20">
        <w:rPr>
          <w:color w:val="000000" w:themeColor="text1"/>
        </w:rPr>
        <w:t>for</w:t>
      </w:r>
      <w:r w:rsidRPr="00162B20">
        <w:rPr>
          <w:color w:val="000000" w:themeColor="text1"/>
        </w:rPr>
        <w:t xml:space="preserve"> the listing of cabozantinib on the PBS in RCC. </w:t>
      </w:r>
      <w:r w:rsidR="00C930EB" w:rsidRPr="00162B20">
        <w:rPr>
          <w:color w:val="000000" w:themeColor="text1"/>
        </w:rPr>
        <w:t>As noted above, t</w:t>
      </w:r>
      <w:r w:rsidR="00B6315B" w:rsidRPr="00162B20">
        <w:rPr>
          <w:color w:val="000000" w:themeColor="text1"/>
        </w:rPr>
        <w:t>he submission</w:t>
      </w:r>
      <w:r w:rsidRPr="00162B20">
        <w:rPr>
          <w:color w:val="000000" w:themeColor="text1"/>
        </w:rPr>
        <w:t xml:space="preserve"> proposed that the incremental expenditure associated with this </w:t>
      </w:r>
      <w:proofErr w:type="spellStart"/>
      <w:r w:rsidRPr="00162B20">
        <w:rPr>
          <w:color w:val="000000" w:themeColor="text1"/>
        </w:rPr>
        <w:t>nccRCC</w:t>
      </w:r>
      <w:proofErr w:type="spellEnd"/>
      <w:r w:rsidRPr="00162B20">
        <w:rPr>
          <w:color w:val="000000" w:themeColor="text1"/>
        </w:rPr>
        <w:t xml:space="preserve"> submission be incorporated within the existing Deed of Agreement and </w:t>
      </w:r>
      <w:r w:rsidR="00A6581F" w:rsidRPr="00162B20">
        <w:rPr>
          <w:color w:val="000000" w:themeColor="text1"/>
        </w:rPr>
        <w:t>Risk Sharing Arrangement (</w:t>
      </w:r>
      <w:r w:rsidR="00B6315B" w:rsidRPr="00162B20">
        <w:rPr>
          <w:color w:val="000000" w:themeColor="text1"/>
        </w:rPr>
        <w:t>RSA</w:t>
      </w:r>
      <w:r w:rsidR="00A6581F" w:rsidRPr="00162B20">
        <w:rPr>
          <w:color w:val="000000" w:themeColor="text1"/>
        </w:rPr>
        <w:t>)</w:t>
      </w:r>
      <w:r w:rsidR="00B6315B" w:rsidRPr="00162B20">
        <w:rPr>
          <w:color w:val="000000" w:themeColor="text1"/>
        </w:rPr>
        <w:t xml:space="preserve"> </w:t>
      </w:r>
      <w:r w:rsidRPr="00162B20">
        <w:rPr>
          <w:color w:val="000000" w:themeColor="text1"/>
        </w:rPr>
        <w:t>caps</w:t>
      </w:r>
      <w:r w:rsidR="00C930EB" w:rsidRPr="00162B20">
        <w:rPr>
          <w:color w:val="000000" w:themeColor="text1"/>
        </w:rPr>
        <w:t xml:space="preserve">, with </w:t>
      </w:r>
      <w:r w:rsidR="0094719F" w:rsidRPr="002A1754">
        <w:rPr>
          <w:color w:val="000000" w:themeColor="text1"/>
          <w:w w:val="15"/>
          <w:shd w:val="solid" w:color="000000" w:fill="000000"/>
          <w:fitText w:val="-20" w:id="-961817080"/>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80"/>
          <w14:textFill>
            <w14:solidFill>
              <w14:schemeClr w14:val="tx1">
                <w14:alpha w14:val="100000"/>
              </w14:schemeClr>
            </w14:solidFill>
          </w14:textFill>
        </w:rPr>
        <w:t>|</w:t>
      </w:r>
      <w:r w:rsidR="00C930EB" w:rsidRPr="00162B20">
        <w:rPr>
          <w:color w:val="000000" w:themeColor="text1"/>
        </w:rPr>
        <w:t>% rebate for expenditure above the financial caps</w:t>
      </w:r>
      <w:r w:rsidRPr="00162B20">
        <w:rPr>
          <w:color w:val="000000" w:themeColor="text1"/>
        </w:rPr>
        <w:t>.</w:t>
      </w:r>
    </w:p>
    <w:p w14:paraId="0199005B" w14:textId="30256A6A" w:rsidR="00B74DAB" w:rsidRPr="00162B20" w:rsidRDefault="000D59C0" w:rsidP="00AD64C5">
      <w:pPr>
        <w:pStyle w:val="3-BodyText"/>
        <w:snapToGrid w:val="0"/>
        <w:rPr>
          <w:color w:val="000000" w:themeColor="text1"/>
        </w:rPr>
      </w:pPr>
      <w:r w:rsidRPr="00162B20">
        <w:rPr>
          <w:color w:val="000000" w:themeColor="text1"/>
        </w:rPr>
        <w:t xml:space="preserve">In the first year of the introduction of </w:t>
      </w:r>
      <w:proofErr w:type="spellStart"/>
      <w:r w:rsidRPr="00162B20">
        <w:rPr>
          <w:color w:val="000000" w:themeColor="text1"/>
        </w:rPr>
        <w:t>cabozantinib</w:t>
      </w:r>
      <w:proofErr w:type="spellEnd"/>
      <w:r w:rsidRPr="00162B20">
        <w:rPr>
          <w:color w:val="000000" w:themeColor="text1"/>
        </w:rPr>
        <w:t xml:space="preserve"> for </w:t>
      </w:r>
      <w:proofErr w:type="spellStart"/>
      <w:r w:rsidRPr="00162B20">
        <w:rPr>
          <w:color w:val="000000" w:themeColor="text1"/>
        </w:rPr>
        <w:t>ccRCC</w:t>
      </w:r>
      <w:proofErr w:type="spellEnd"/>
      <w:r w:rsidRPr="00162B20">
        <w:rPr>
          <w:color w:val="000000" w:themeColor="text1"/>
        </w:rPr>
        <w:t xml:space="preserve"> patients</w:t>
      </w:r>
      <w:r w:rsidR="00D378C7" w:rsidRPr="00162B20">
        <w:rPr>
          <w:color w:val="000000" w:themeColor="text1"/>
        </w:rPr>
        <w:t xml:space="preserve"> (year 1)</w:t>
      </w:r>
      <w:r w:rsidRPr="00162B20">
        <w:rPr>
          <w:color w:val="000000" w:themeColor="text1"/>
        </w:rPr>
        <w:t xml:space="preserve">, the </w:t>
      </w:r>
      <w:r w:rsidR="00D378C7" w:rsidRPr="00162B20">
        <w:rPr>
          <w:color w:val="000000" w:themeColor="text1"/>
        </w:rPr>
        <w:t xml:space="preserve">expenditure reached </w:t>
      </w:r>
      <w:r w:rsidR="0094719F" w:rsidRPr="002A1754">
        <w:rPr>
          <w:color w:val="000000" w:themeColor="text1"/>
          <w:w w:val="15"/>
          <w:shd w:val="solid" w:color="000000" w:fill="000000"/>
          <w:fitText w:val="-20" w:id="-961817079"/>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9"/>
          <w14:textFill>
            <w14:solidFill>
              <w14:schemeClr w14:val="tx1">
                <w14:alpha w14:val="100000"/>
              </w14:schemeClr>
            </w14:solidFill>
          </w14:textFill>
        </w:rPr>
        <w:t>|</w:t>
      </w:r>
      <w:r w:rsidRPr="00162B20">
        <w:rPr>
          <w:color w:val="000000" w:themeColor="text1"/>
        </w:rPr>
        <w:t xml:space="preserve">% </w:t>
      </w:r>
      <w:r w:rsidR="00D378C7" w:rsidRPr="00162B20">
        <w:rPr>
          <w:color w:val="000000" w:themeColor="text1"/>
        </w:rPr>
        <w:t xml:space="preserve">of the cap amount, </w:t>
      </w:r>
      <w:r w:rsidRPr="00162B20">
        <w:rPr>
          <w:color w:val="000000" w:themeColor="text1"/>
        </w:rPr>
        <w:t xml:space="preserve">followed by </w:t>
      </w:r>
      <w:r w:rsidR="0094719F" w:rsidRPr="002A1754">
        <w:rPr>
          <w:color w:val="000000" w:themeColor="text1"/>
          <w:w w:val="15"/>
          <w:shd w:val="solid" w:color="000000" w:fill="000000"/>
          <w:fitText w:val="-20" w:id="-961817078"/>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8"/>
          <w14:textFill>
            <w14:solidFill>
              <w14:schemeClr w14:val="tx1">
                <w14:alpha w14:val="100000"/>
              </w14:schemeClr>
            </w14:solidFill>
          </w14:textFill>
        </w:rPr>
        <w:t>|</w:t>
      </w:r>
      <w:r w:rsidRPr="00162B20">
        <w:rPr>
          <w:color w:val="000000" w:themeColor="text1"/>
        </w:rPr>
        <w:t xml:space="preserve">% in 2020-2021 (year 2). </w:t>
      </w:r>
      <w:r w:rsidR="00B74DAB" w:rsidRPr="00162B20">
        <w:rPr>
          <w:color w:val="000000" w:themeColor="text1"/>
        </w:rPr>
        <w:t xml:space="preserve">The </w:t>
      </w:r>
      <w:proofErr w:type="spellStart"/>
      <w:r w:rsidR="00B74DAB" w:rsidRPr="00162B20">
        <w:rPr>
          <w:color w:val="000000" w:themeColor="text1"/>
        </w:rPr>
        <w:t>ccRCC</w:t>
      </w:r>
      <w:proofErr w:type="spellEnd"/>
      <w:r w:rsidR="00B74DAB" w:rsidRPr="00162B20">
        <w:rPr>
          <w:color w:val="000000" w:themeColor="text1"/>
        </w:rPr>
        <w:t xml:space="preserve"> expenditure in 2022-2023 was $</w:t>
      </w:r>
      <w:r w:rsidR="0094719F" w:rsidRPr="002A1754">
        <w:rPr>
          <w:color w:val="000000" w:themeColor="text1"/>
          <w:w w:val="15"/>
          <w:shd w:val="solid" w:color="000000" w:fill="000000"/>
          <w:fitText w:val="-20" w:id="-961817077"/>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7"/>
          <w14:textFill>
            <w14:solidFill>
              <w14:schemeClr w14:val="tx1">
                <w14:alpha w14:val="100000"/>
              </w14:schemeClr>
            </w14:solidFill>
          </w14:textFill>
        </w:rPr>
        <w:t>|</w:t>
      </w:r>
      <w:r w:rsidR="00B74DAB" w:rsidRPr="00162B20">
        <w:rPr>
          <w:color w:val="000000" w:themeColor="text1"/>
        </w:rPr>
        <w:t xml:space="preserve"> which was about </w:t>
      </w:r>
      <w:r w:rsidR="0094719F" w:rsidRPr="002A1754">
        <w:rPr>
          <w:color w:val="000000" w:themeColor="text1"/>
          <w:w w:val="15"/>
          <w:shd w:val="solid" w:color="000000" w:fill="000000"/>
          <w:fitText w:val="-20" w:id="-961817076"/>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6"/>
          <w14:textFill>
            <w14:solidFill>
              <w14:schemeClr w14:val="tx1">
                <w14:alpha w14:val="100000"/>
              </w14:schemeClr>
            </w14:solidFill>
          </w14:textFill>
        </w:rPr>
        <w:t>|</w:t>
      </w:r>
      <w:r w:rsidR="00B74DAB" w:rsidRPr="00162B20">
        <w:rPr>
          <w:color w:val="000000" w:themeColor="text1"/>
        </w:rPr>
        <w:t xml:space="preserve">% of the </w:t>
      </w:r>
      <w:r w:rsidR="00C930EB" w:rsidRPr="00162B20">
        <w:rPr>
          <w:color w:val="000000" w:themeColor="text1"/>
        </w:rPr>
        <w:t xml:space="preserve">RSA </w:t>
      </w:r>
      <w:r w:rsidR="00B74DAB" w:rsidRPr="00162B20">
        <w:rPr>
          <w:color w:val="000000" w:themeColor="text1"/>
        </w:rPr>
        <w:t>cap in that year</w:t>
      </w:r>
      <w:r w:rsidRPr="00162B20">
        <w:rPr>
          <w:color w:val="000000" w:themeColor="text1"/>
        </w:rPr>
        <w:t xml:space="preserve"> (</w:t>
      </w:r>
      <w:r w:rsidR="00B74DAB" w:rsidRPr="00162B20">
        <w:rPr>
          <w:color w:val="000000" w:themeColor="text1"/>
        </w:rPr>
        <w:t>$</w:t>
      </w:r>
      <w:r w:rsidR="0094719F" w:rsidRPr="002A1754">
        <w:rPr>
          <w:color w:val="000000" w:themeColor="text1"/>
          <w:w w:val="15"/>
          <w:shd w:val="solid" w:color="000000" w:fill="000000"/>
          <w:fitText w:val="-20" w:id="-961817075"/>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5"/>
          <w14:textFill>
            <w14:solidFill>
              <w14:schemeClr w14:val="tx1">
                <w14:alpha w14:val="100000"/>
              </w14:schemeClr>
            </w14:solidFill>
          </w14:textFill>
        </w:rPr>
        <w:t>|</w:t>
      </w:r>
      <w:r w:rsidRPr="00162B20">
        <w:rPr>
          <w:color w:val="000000" w:themeColor="text1"/>
        </w:rPr>
        <w:t>)</w:t>
      </w:r>
      <w:r w:rsidR="00B74DAB" w:rsidRPr="00162B20">
        <w:rPr>
          <w:color w:val="000000" w:themeColor="text1"/>
        </w:rPr>
        <w:t>.</w:t>
      </w:r>
      <w:r w:rsidRPr="00162B20">
        <w:rPr>
          <w:color w:val="000000" w:themeColor="text1"/>
        </w:rPr>
        <w:t xml:space="preserve"> For 2024-2025 (year 4) and 2025-2026 (year 5) RSA caps are $</w:t>
      </w:r>
      <w:r w:rsidR="0094719F" w:rsidRPr="002A1754">
        <w:rPr>
          <w:color w:val="000000" w:themeColor="text1"/>
          <w:w w:val="15"/>
          <w:shd w:val="solid" w:color="000000" w:fill="000000"/>
          <w:fitText w:val="-20" w:id="-961817074"/>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4"/>
          <w14:textFill>
            <w14:solidFill>
              <w14:schemeClr w14:val="tx1">
                <w14:alpha w14:val="100000"/>
              </w14:schemeClr>
            </w14:solidFill>
          </w14:textFill>
        </w:rPr>
        <w:t>|</w:t>
      </w:r>
      <w:r w:rsidR="00C914BB" w:rsidRPr="00C914BB">
        <w:rPr>
          <w:color w:val="000000" w:themeColor="text1"/>
        </w:rPr>
        <w:t xml:space="preserve"> </w:t>
      </w:r>
      <w:r w:rsidRPr="00162B20">
        <w:rPr>
          <w:color w:val="000000" w:themeColor="text1"/>
        </w:rPr>
        <w:t>and $</w:t>
      </w:r>
      <w:r w:rsidR="0094719F" w:rsidRPr="002A1754">
        <w:rPr>
          <w:color w:val="000000" w:themeColor="text1"/>
          <w:w w:val="15"/>
          <w:shd w:val="solid" w:color="000000" w:fill="000000"/>
          <w:fitText w:val="-20" w:id="-961817073"/>
          <w14:textFill>
            <w14:solidFill>
              <w14:schemeClr w14:val="tx1">
                <w14:alpha w14:val="100000"/>
              </w14:schemeClr>
            </w14:solidFill>
          </w14:textFill>
        </w:rPr>
        <w:t xml:space="preserve">|  </w:t>
      </w:r>
      <w:r w:rsidR="0094719F" w:rsidRPr="002A1754">
        <w:rPr>
          <w:color w:val="000000" w:themeColor="text1"/>
          <w:spacing w:val="-69"/>
          <w:w w:val="15"/>
          <w:shd w:val="solid" w:color="000000" w:fill="000000"/>
          <w:fitText w:val="-20" w:id="-961817073"/>
          <w14:textFill>
            <w14:solidFill>
              <w14:schemeClr w14:val="tx1">
                <w14:alpha w14:val="100000"/>
              </w14:schemeClr>
            </w14:solidFill>
          </w14:textFill>
        </w:rPr>
        <w:t>|</w:t>
      </w:r>
      <w:r w:rsidRPr="00162B20">
        <w:rPr>
          <w:color w:val="000000" w:themeColor="text1"/>
        </w:rPr>
        <w:t>, respectively.</w:t>
      </w:r>
      <w:r w:rsidR="00C930EB" w:rsidRPr="00162B20">
        <w:rPr>
          <w:color w:val="000000" w:themeColor="text1"/>
        </w:rPr>
        <w:t xml:space="preserve"> </w:t>
      </w:r>
      <w:r w:rsidR="00E836EF" w:rsidRPr="00162B20">
        <w:rPr>
          <w:color w:val="000000" w:themeColor="text1"/>
        </w:rPr>
        <w:t xml:space="preserve">The pre-PBAC response </w:t>
      </w:r>
      <w:r w:rsidR="009F593F" w:rsidRPr="00162B20">
        <w:rPr>
          <w:color w:val="000000" w:themeColor="text1"/>
        </w:rPr>
        <w:t>estimated</w:t>
      </w:r>
      <w:r w:rsidR="00E836EF" w:rsidRPr="00162B20">
        <w:rPr>
          <w:color w:val="000000" w:themeColor="text1"/>
        </w:rPr>
        <w:t xml:space="preserve"> that an additional </w:t>
      </w:r>
      <w:r w:rsidR="008F6040" w:rsidRPr="008F6040">
        <w:rPr>
          <w:color w:val="000000" w:themeColor="text1"/>
        </w:rPr>
        <w:t>&lt; 500</w:t>
      </w:r>
      <w:r w:rsidR="00E836EF" w:rsidRPr="00162B20">
        <w:rPr>
          <w:color w:val="000000" w:themeColor="text1"/>
        </w:rPr>
        <w:t xml:space="preserve"> patients (approximately) </w:t>
      </w:r>
      <w:r w:rsidR="009F593F" w:rsidRPr="00162B20">
        <w:rPr>
          <w:color w:val="000000" w:themeColor="text1"/>
        </w:rPr>
        <w:t xml:space="preserve">could be treated </w:t>
      </w:r>
      <w:r w:rsidR="00E836EF" w:rsidRPr="00162B20">
        <w:rPr>
          <w:color w:val="000000" w:themeColor="text1"/>
        </w:rPr>
        <w:t xml:space="preserve">in the 2024-2025 period </w:t>
      </w:r>
      <w:r w:rsidR="009F593F" w:rsidRPr="00162B20">
        <w:rPr>
          <w:color w:val="000000" w:themeColor="text1"/>
        </w:rPr>
        <w:t xml:space="preserve">without the financial caps being exceeded, </w:t>
      </w:r>
      <w:r w:rsidR="00E836EF" w:rsidRPr="00162B20">
        <w:rPr>
          <w:color w:val="000000" w:themeColor="text1"/>
        </w:rPr>
        <w:t xml:space="preserve">and </w:t>
      </w:r>
      <w:r w:rsidR="009F593F" w:rsidRPr="00162B20">
        <w:rPr>
          <w:color w:val="000000" w:themeColor="text1"/>
        </w:rPr>
        <w:t xml:space="preserve">that </w:t>
      </w:r>
      <w:r w:rsidR="00E836EF" w:rsidRPr="00162B20">
        <w:rPr>
          <w:color w:val="000000" w:themeColor="text1"/>
        </w:rPr>
        <w:t xml:space="preserve">the risk of utilisation beyond </w:t>
      </w:r>
      <w:r w:rsidR="009F593F" w:rsidRPr="00162B20">
        <w:rPr>
          <w:color w:val="000000" w:themeColor="text1"/>
        </w:rPr>
        <w:t>this</w:t>
      </w:r>
      <w:r w:rsidR="00E836EF" w:rsidRPr="00162B20">
        <w:rPr>
          <w:color w:val="000000" w:themeColor="text1"/>
        </w:rPr>
        <w:t xml:space="preserve"> would be borne by the sponsor</w:t>
      </w:r>
      <w:r w:rsidR="009F593F" w:rsidRPr="00162B20">
        <w:rPr>
          <w:color w:val="000000" w:themeColor="text1"/>
        </w:rPr>
        <w:t xml:space="preserve"> due to the </w:t>
      </w:r>
      <w:r w:rsidR="0094719F" w:rsidRPr="0094719F">
        <w:rPr>
          <w:color w:val="000000" w:themeColor="text1"/>
          <w:w w:val="66"/>
          <w:shd w:val="solid" w:color="000000" w:fill="000000"/>
          <w:fitText w:val="368" w:id="-961816829"/>
          <w14:textFill>
            <w14:solidFill>
              <w14:schemeClr w14:val="tx1">
                <w14:alpha w14:val="100000"/>
              </w14:schemeClr>
            </w14:solidFill>
          </w14:textFill>
        </w:rPr>
        <w:t>||  |</w:t>
      </w:r>
      <w:r w:rsidR="0094719F" w:rsidRPr="0094719F">
        <w:rPr>
          <w:color w:val="000000" w:themeColor="text1"/>
          <w:spacing w:val="4"/>
          <w:w w:val="66"/>
          <w:shd w:val="solid" w:color="000000" w:fill="000000"/>
          <w:fitText w:val="368" w:id="-961816829"/>
          <w14:textFill>
            <w14:solidFill>
              <w14:schemeClr w14:val="tx1">
                <w14:alpha w14:val="100000"/>
              </w14:schemeClr>
            </w14:solidFill>
          </w14:textFill>
        </w:rPr>
        <w:t>|</w:t>
      </w:r>
      <w:r w:rsidR="009F593F" w:rsidRPr="00162B20">
        <w:rPr>
          <w:color w:val="000000" w:themeColor="text1"/>
        </w:rPr>
        <w:t>% rebate for use exceeding the caps</w:t>
      </w:r>
      <w:r w:rsidR="00E836EF" w:rsidRPr="00162B20">
        <w:rPr>
          <w:color w:val="000000" w:themeColor="text1"/>
        </w:rPr>
        <w:t>.</w:t>
      </w:r>
    </w:p>
    <w:p w14:paraId="7B25A7AB" w14:textId="77777777" w:rsidR="00CE227A" w:rsidRPr="00162B20" w:rsidRDefault="00CE227A" w:rsidP="00CE227A">
      <w:pPr>
        <w:ind w:left="720"/>
        <w:rPr>
          <w:i/>
          <w:iCs/>
        </w:rPr>
      </w:pPr>
      <w:bookmarkStart w:id="62" w:name="_Toc156987054"/>
      <w:r w:rsidRPr="00162B20">
        <w:rPr>
          <w:i/>
          <w:iCs/>
        </w:rPr>
        <w:lastRenderedPageBreak/>
        <w:t>For more detail on PBAC’s view, see section 7 PBAC outcome.</w:t>
      </w:r>
    </w:p>
    <w:p w14:paraId="14FECD04" w14:textId="77777777" w:rsidR="00521D3F" w:rsidRPr="00162B20" w:rsidRDefault="00521D3F" w:rsidP="001042C0">
      <w:pPr>
        <w:pStyle w:val="2-SectionHeading"/>
      </w:pPr>
      <w:r w:rsidRPr="00162B20">
        <w:t>PBAC Outcome</w:t>
      </w:r>
    </w:p>
    <w:p w14:paraId="6A2E820A" w14:textId="6923CA8A" w:rsidR="00FA27B9" w:rsidRPr="00162B20" w:rsidRDefault="00FA27B9" w:rsidP="00521D3F">
      <w:pPr>
        <w:widowControl w:val="0"/>
        <w:numPr>
          <w:ilvl w:val="1"/>
          <w:numId w:val="1"/>
        </w:numPr>
        <w:spacing w:after="120"/>
        <w:rPr>
          <w:rFonts w:asciiTheme="minorHAnsi" w:hAnsiTheme="minorHAnsi"/>
          <w:snapToGrid w:val="0"/>
        </w:rPr>
      </w:pPr>
      <w:r w:rsidRPr="00162B20">
        <w:rPr>
          <w:rFonts w:asciiTheme="minorHAnsi" w:hAnsiTheme="minorHAnsi"/>
          <w:snapToGrid w:val="0"/>
        </w:rPr>
        <w:t>The PBAC recommended the renal cell carcinoma (RCC) restriction for cabozantinib be extended to include the treatment of non-clear cell renal cell carcinoma (</w:t>
      </w:r>
      <w:proofErr w:type="spellStart"/>
      <w:r w:rsidRPr="00162B20">
        <w:rPr>
          <w:rFonts w:asciiTheme="minorHAnsi" w:hAnsiTheme="minorHAnsi"/>
          <w:snapToGrid w:val="0"/>
        </w:rPr>
        <w:t>nccRCC</w:t>
      </w:r>
      <w:proofErr w:type="spellEnd"/>
      <w:r w:rsidRPr="00162B20">
        <w:rPr>
          <w:rFonts w:asciiTheme="minorHAnsi" w:hAnsiTheme="minorHAnsi"/>
          <w:snapToGrid w:val="0"/>
        </w:rPr>
        <w:t xml:space="preserve">). The PBAC considered that there is a high clinical need for effective treatments in the small subset of RCC patients with </w:t>
      </w:r>
      <w:proofErr w:type="spellStart"/>
      <w:r w:rsidRPr="00162B20">
        <w:rPr>
          <w:rFonts w:asciiTheme="minorHAnsi" w:hAnsiTheme="minorHAnsi"/>
          <w:snapToGrid w:val="0"/>
        </w:rPr>
        <w:t>nccRCC</w:t>
      </w:r>
      <w:proofErr w:type="spellEnd"/>
      <w:r w:rsidRPr="00162B20">
        <w:rPr>
          <w:rFonts w:asciiTheme="minorHAnsi" w:hAnsiTheme="minorHAnsi"/>
          <w:snapToGrid w:val="0"/>
        </w:rPr>
        <w:t xml:space="preserve"> as there are currently no targeted treatments available on the PBS. The PBAC noted that the evidence is limited but considered that the clinical benefit in patients with </w:t>
      </w:r>
      <w:proofErr w:type="spellStart"/>
      <w:r w:rsidRPr="00162B20">
        <w:rPr>
          <w:rFonts w:asciiTheme="minorHAnsi" w:hAnsiTheme="minorHAnsi"/>
          <w:snapToGrid w:val="0"/>
        </w:rPr>
        <w:t>nccRCC</w:t>
      </w:r>
      <w:proofErr w:type="spellEnd"/>
      <w:r w:rsidRPr="00162B20">
        <w:rPr>
          <w:rFonts w:asciiTheme="minorHAnsi" w:hAnsiTheme="minorHAnsi"/>
          <w:snapToGrid w:val="0"/>
        </w:rPr>
        <w:t xml:space="preserve"> appears to be similar to that in patients with clear cell RCC (</w:t>
      </w:r>
      <w:proofErr w:type="spellStart"/>
      <w:r w:rsidRPr="00162B20">
        <w:rPr>
          <w:rFonts w:asciiTheme="minorHAnsi" w:hAnsiTheme="minorHAnsi"/>
          <w:snapToGrid w:val="0"/>
        </w:rPr>
        <w:t>ccRCC</w:t>
      </w:r>
      <w:proofErr w:type="spellEnd"/>
      <w:r w:rsidRPr="00162B20">
        <w:rPr>
          <w:rFonts w:asciiTheme="minorHAnsi" w:hAnsiTheme="minorHAnsi"/>
          <w:snapToGrid w:val="0"/>
        </w:rPr>
        <w:t xml:space="preserve">), particularly in the first line setting. The PBAC considered that on this basis it was reasonable to accept that cabozantinib would be cost-effective for treatment of </w:t>
      </w:r>
      <w:proofErr w:type="spellStart"/>
      <w:r w:rsidRPr="00162B20">
        <w:rPr>
          <w:rFonts w:asciiTheme="minorHAnsi" w:hAnsiTheme="minorHAnsi"/>
          <w:snapToGrid w:val="0"/>
        </w:rPr>
        <w:t>nccRCC</w:t>
      </w:r>
      <w:proofErr w:type="spellEnd"/>
      <w:r w:rsidRPr="00162B20">
        <w:rPr>
          <w:rFonts w:asciiTheme="minorHAnsi" w:hAnsiTheme="minorHAnsi"/>
          <w:snapToGrid w:val="0"/>
        </w:rPr>
        <w:t xml:space="preserve"> at the same </w:t>
      </w:r>
      <w:r w:rsidR="004C395C">
        <w:rPr>
          <w:rFonts w:asciiTheme="minorHAnsi" w:hAnsiTheme="minorHAnsi"/>
          <w:snapToGrid w:val="0"/>
        </w:rPr>
        <w:t xml:space="preserve">first-line </w:t>
      </w:r>
      <w:r w:rsidRPr="00162B20">
        <w:rPr>
          <w:rFonts w:asciiTheme="minorHAnsi" w:hAnsiTheme="minorHAnsi"/>
          <w:snapToGrid w:val="0"/>
        </w:rPr>
        <w:t xml:space="preserve">price as accepted for </w:t>
      </w:r>
      <w:proofErr w:type="spellStart"/>
      <w:r w:rsidRPr="00162B20">
        <w:rPr>
          <w:rFonts w:asciiTheme="minorHAnsi" w:hAnsiTheme="minorHAnsi"/>
          <w:snapToGrid w:val="0"/>
        </w:rPr>
        <w:t>ccRCC</w:t>
      </w:r>
      <w:proofErr w:type="spellEnd"/>
      <w:r w:rsidR="004C395C">
        <w:rPr>
          <w:rFonts w:asciiTheme="minorHAnsi" w:hAnsiTheme="minorHAnsi"/>
          <w:snapToGrid w:val="0"/>
        </w:rPr>
        <w:t>, but with revised weighting of the prices to reflect differences in the treatment algorithm</w:t>
      </w:r>
      <w:r w:rsidRPr="00162B20">
        <w:rPr>
          <w:rFonts w:asciiTheme="minorHAnsi" w:hAnsiTheme="minorHAnsi"/>
          <w:snapToGrid w:val="0"/>
        </w:rPr>
        <w:t xml:space="preserve">. </w:t>
      </w:r>
    </w:p>
    <w:p w14:paraId="4DD806D1" w14:textId="58CC9084" w:rsidR="00521D3F" w:rsidRPr="00162B20" w:rsidRDefault="00521D3F" w:rsidP="00FA27B9">
      <w:pPr>
        <w:widowControl w:val="0"/>
        <w:numPr>
          <w:ilvl w:val="1"/>
          <w:numId w:val="1"/>
        </w:numPr>
        <w:spacing w:after="120"/>
        <w:rPr>
          <w:rFonts w:asciiTheme="minorHAnsi" w:hAnsiTheme="minorHAnsi"/>
          <w:snapToGrid w:val="0"/>
        </w:rPr>
      </w:pPr>
      <w:r w:rsidRPr="00162B20">
        <w:rPr>
          <w:rFonts w:asciiTheme="minorHAnsi" w:hAnsiTheme="minorHAnsi"/>
          <w:snapToGrid w:val="0"/>
        </w:rPr>
        <w:t xml:space="preserve">The PBAC </w:t>
      </w:r>
      <w:r w:rsidR="00EF42C9">
        <w:rPr>
          <w:rFonts w:asciiTheme="minorHAnsi" w:hAnsiTheme="minorHAnsi"/>
          <w:snapToGrid w:val="0"/>
        </w:rPr>
        <w:t xml:space="preserve">was </w:t>
      </w:r>
      <w:r w:rsidRPr="00162B20">
        <w:rPr>
          <w:rFonts w:asciiTheme="minorHAnsi" w:hAnsiTheme="minorHAnsi"/>
          <w:snapToGrid w:val="0"/>
        </w:rPr>
        <w:t xml:space="preserve">satisfied that </w:t>
      </w:r>
      <w:r w:rsidR="000B5DEE" w:rsidRPr="00162B20">
        <w:rPr>
          <w:rFonts w:asciiTheme="minorHAnsi" w:hAnsiTheme="minorHAnsi"/>
          <w:snapToGrid w:val="0"/>
        </w:rPr>
        <w:t>cabozantinib</w:t>
      </w:r>
      <w:r w:rsidRPr="00162B20">
        <w:rPr>
          <w:rFonts w:asciiTheme="minorHAnsi" w:hAnsiTheme="minorHAnsi"/>
          <w:snapToGrid w:val="0"/>
        </w:rPr>
        <w:t xml:space="preserve"> provides, for some patients, a significant improvement in efficacy over </w:t>
      </w:r>
      <w:r w:rsidR="000B5DEE" w:rsidRPr="00162B20">
        <w:rPr>
          <w:rFonts w:asciiTheme="minorHAnsi" w:hAnsiTheme="minorHAnsi"/>
          <w:snapToGrid w:val="0"/>
        </w:rPr>
        <w:t>sunitinib or over best supportive care (no drug therapy)</w:t>
      </w:r>
      <w:r w:rsidRPr="00162B20">
        <w:rPr>
          <w:rFonts w:asciiTheme="minorHAnsi" w:hAnsiTheme="minorHAnsi"/>
          <w:snapToGrid w:val="0"/>
        </w:rPr>
        <w:t xml:space="preserve">. </w:t>
      </w:r>
    </w:p>
    <w:p w14:paraId="31FE5FE4" w14:textId="3C21606A" w:rsidR="00521D3F" w:rsidRPr="00162B20" w:rsidRDefault="00A16680" w:rsidP="00521D3F">
      <w:pPr>
        <w:widowControl w:val="0"/>
        <w:numPr>
          <w:ilvl w:val="1"/>
          <w:numId w:val="1"/>
        </w:numPr>
        <w:spacing w:after="120"/>
        <w:rPr>
          <w:rFonts w:asciiTheme="minorHAnsi" w:hAnsiTheme="minorHAnsi"/>
          <w:snapToGrid w:val="0"/>
        </w:rPr>
      </w:pPr>
      <w:r w:rsidRPr="00162B20">
        <w:rPr>
          <w:rFonts w:asciiTheme="minorHAnsi" w:hAnsiTheme="minorHAnsi"/>
          <w:snapToGrid w:val="0"/>
        </w:rPr>
        <w:t xml:space="preserve">The PBAC noted advice from clinicians and organisations via the sponsor hearing and consumer comments that there is a high unmet need for treatments for patients with </w:t>
      </w:r>
      <w:proofErr w:type="spellStart"/>
      <w:r w:rsidRPr="00162B20">
        <w:rPr>
          <w:rFonts w:asciiTheme="minorHAnsi" w:hAnsiTheme="minorHAnsi"/>
          <w:snapToGrid w:val="0"/>
        </w:rPr>
        <w:t>nccRCC</w:t>
      </w:r>
      <w:proofErr w:type="spellEnd"/>
      <w:r w:rsidRPr="00162B20">
        <w:rPr>
          <w:rFonts w:asciiTheme="minorHAnsi" w:hAnsiTheme="minorHAnsi"/>
          <w:snapToGrid w:val="0"/>
        </w:rPr>
        <w:t>. Although</w:t>
      </w:r>
      <w:r w:rsidRPr="00162B20">
        <w:rPr>
          <w:rFonts w:asciiTheme="minorHAnsi" w:hAnsiTheme="minorHAnsi"/>
          <w:bCs/>
          <w:snapToGrid w:val="0"/>
        </w:rPr>
        <w:t xml:space="preserve"> patients with </w:t>
      </w:r>
      <w:proofErr w:type="spellStart"/>
      <w:r w:rsidRPr="00162B20">
        <w:rPr>
          <w:rFonts w:asciiTheme="minorHAnsi" w:hAnsiTheme="minorHAnsi"/>
          <w:bCs/>
          <w:snapToGrid w:val="0"/>
        </w:rPr>
        <w:t>ccRCC</w:t>
      </w:r>
      <w:proofErr w:type="spellEnd"/>
      <w:r w:rsidRPr="00162B20">
        <w:rPr>
          <w:rFonts w:asciiTheme="minorHAnsi" w:hAnsiTheme="minorHAnsi"/>
          <w:bCs/>
          <w:snapToGrid w:val="0"/>
        </w:rPr>
        <w:t xml:space="preserve"> have several treatment options, for the small number of patients with </w:t>
      </w:r>
      <w:proofErr w:type="spellStart"/>
      <w:r w:rsidRPr="00162B20">
        <w:rPr>
          <w:rFonts w:asciiTheme="minorHAnsi" w:hAnsiTheme="minorHAnsi"/>
          <w:bCs/>
          <w:snapToGrid w:val="0"/>
        </w:rPr>
        <w:t>nccRCC</w:t>
      </w:r>
      <w:proofErr w:type="spellEnd"/>
      <w:r w:rsidRPr="00162B20">
        <w:rPr>
          <w:rFonts w:asciiTheme="minorHAnsi" w:hAnsiTheme="minorHAnsi"/>
          <w:bCs/>
          <w:snapToGrid w:val="0"/>
        </w:rPr>
        <w:t>, there are no targeted treatments available on the PBS, only the Ipsen cabozantinib access program and clinical trials. The consumer comments noted that compassionate access programs and access to trials are not guaranteed, not available to all patients, and many patients progress while awaiting approval.</w:t>
      </w:r>
    </w:p>
    <w:p w14:paraId="31DD8ABF" w14:textId="17FDD7F3" w:rsidR="00883A49" w:rsidRPr="00162B20" w:rsidRDefault="00883A49" w:rsidP="00883A49">
      <w:pPr>
        <w:pStyle w:val="3-BodyText"/>
      </w:pPr>
      <w:r w:rsidRPr="00162B20">
        <w:t>The submission requested to remove ‘clear cell variant’ from the current PBS</w:t>
      </w:r>
      <w:r w:rsidR="007B16AF">
        <w:t xml:space="preserve"> indication</w:t>
      </w:r>
      <w:r w:rsidRPr="00162B20">
        <w:t xml:space="preserve"> to broaden the listing to include all RCC clear cell and non-clear cell subtypes. </w:t>
      </w:r>
      <w:r w:rsidR="00A16680" w:rsidRPr="00162B20">
        <w:t xml:space="preserve">No other changes to the RCC initial and continuing restrictions for cabozantinib were proposed. </w:t>
      </w:r>
      <w:r w:rsidRPr="00162B20">
        <w:t xml:space="preserve">The PBAC considered that the proposed change to the </w:t>
      </w:r>
      <w:r w:rsidR="004C395C">
        <w:t>indication</w:t>
      </w:r>
      <w:r w:rsidR="00A67D7F" w:rsidRPr="00162B20">
        <w:t xml:space="preserve">, which maintained the same circumstances of use across all advanced RCC, </w:t>
      </w:r>
      <w:r w:rsidRPr="00162B20">
        <w:t xml:space="preserve">was reasonable. The PBAC noted that there </w:t>
      </w:r>
      <w:r w:rsidR="00A90135" w:rsidRPr="00162B20">
        <w:t xml:space="preserve">are </w:t>
      </w:r>
      <w:r w:rsidRPr="00162B20">
        <w:t xml:space="preserve">limited clinical data available in </w:t>
      </w:r>
      <w:proofErr w:type="spellStart"/>
      <w:r w:rsidRPr="00162B20">
        <w:t>nccRCC</w:t>
      </w:r>
      <w:proofErr w:type="spellEnd"/>
      <w:r w:rsidRPr="00162B20">
        <w:t xml:space="preserve"> subtypes other than papillary, </w:t>
      </w:r>
      <w:r w:rsidR="00A74E74" w:rsidRPr="00162B20">
        <w:t>which are relatively rare and affect only a small number of patients, however further data are not likely to become available.</w:t>
      </w:r>
      <w:r w:rsidR="001D735D" w:rsidRPr="00162B20">
        <w:t xml:space="preserve"> </w:t>
      </w:r>
      <w:r w:rsidR="00FA27B9" w:rsidRPr="00162B20">
        <w:t xml:space="preserve">The PBAC also noted that cabozantinib would be the preferred first line therapy for patients with </w:t>
      </w:r>
      <w:proofErr w:type="spellStart"/>
      <w:r w:rsidR="00FA27B9" w:rsidRPr="00162B20">
        <w:t>nccRCC</w:t>
      </w:r>
      <w:proofErr w:type="spellEnd"/>
      <w:r w:rsidR="00FA27B9" w:rsidRPr="00162B20">
        <w:t xml:space="preserve">, but considered that it would be reasonable for the listing to include patients whose disease has progressed despite treatment with a prior TKI, consistent with the existing </w:t>
      </w:r>
      <w:r w:rsidR="00A16680" w:rsidRPr="00162B20">
        <w:t>restrictions</w:t>
      </w:r>
      <w:r w:rsidR="00FA27B9" w:rsidRPr="00162B20">
        <w:t xml:space="preserve"> for </w:t>
      </w:r>
      <w:proofErr w:type="spellStart"/>
      <w:r w:rsidR="00FA27B9" w:rsidRPr="00162B20">
        <w:t>ccRCC</w:t>
      </w:r>
      <w:proofErr w:type="spellEnd"/>
      <w:r w:rsidR="00FA27B9" w:rsidRPr="00162B20">
        <w:t>.</w:t>
      </w:r>
      <w:r w:rsidR="00A16680" w:rsidRPr="00162B20">
        <w:t xml:space="preserve"> The PBAC considered that the proposed grandfather restriction was reasonable, to allow transition from non-PBS to PBS-subsidised supply for patients with stable or responding disease. </w:t>
      </w:r>
    </w:p>
    <w:p w14:paraId="08DF2F54" w14:textId="7C74A7E8" w:rsidR="00521D3F" w:rsidRPr="00162B20" w:rsidRDefault="00C0136F" w:rsidP="000257E8">
      <w:pPr>
        <w:widowControl w:val="0"/>
        <w:numPr>
          <w:ilvl w:val="1"/>
          <w:numId w:val="1"/>
        </w:numPr>
        <w:spacing w:after="120"/>
        <w:rPr>
          <w:rFonts w:asciiTheme="minorHAnsi" w:hAnsiTheme="minorHAnsi"/>
          <w:snapToGrid w:val="0"/>
        </w:rPr>
      </w:pPr>
      <w:r w:rsidRPr="00162B20">
        <w:t xml:space="preserve">The PBAC noted that the submission presented sunitinib as primary comparator because it is among the treatment options for </w:t>
      </w:r>
      <w:proofErr w:type="spellStart"/>
      <w:r w:rsidRPr="00162B20">
        <w:t>nccRCC</w:t>
      </w:r>
      <w:proofErr w:type="spellEnd"/>
      <w:r w:rsidRPr="00162B20">
        <w:t xml:space="preserve"> patients recommended by the NCCN clinical practice guidelines</w:t>
      </w:r>
      <w:r w:rsidR="00B6792B" w:rsidRPr="00162B20">
        <w:t>, though it is not PBS listed in this indication</w:t>
      </w:r>
      <w:r w:rsidRPr="00162B20">
        <w:t xml:space="preserve">. The PBAC noted that relevant comparators also include other TKIs, immunotherapy, </w:t>
      </w:r>
      <w:r w:rsidRPr="00162B20">
        <w:lastRenderedPageBreak/>
        <w:t xml:space="preserve">immunotherapy in combination with a TKI, or no drug treatment. </w:t>
      </w:r>
      <w:r w:rsidR="00B6792B" w:rsidRPr="00162B20">
        <w:t xml:space="preserve">However, </w:t>
      </w:r>
      <w:r w:rsidRPr="00162B20">
        <w:t xml:space="preserve">the </w:t>
      </w:r>
      <w:r w:rsidR="00B6792B" w:rsidRPr="00162B20">
        <w:t xml:space="preserve">PBAC </w:t>
      </w:r>
      <w:r w:rsidRPr="00162B20">
        <w:t xml:space="preserve">considered </w:t>
      </w:r>
      <w:r w:rsidR="00B6792B" w:rsidRPr="00162B20">
        <w:t xml:space="preserve">that </w:t>
      </w:r>
      <w:r w:rsidR="008E3350" w:rsidRPr="00162B20">
        <w:t xml:space="preserve">the </w:t>
      </w:r>
      <w:r w:rsidR="00786D9B" w:rsidRPr="00162B20">
        <w:t xml:space="preserve">most appropriate </w:t>
      </w:r>
      <w:r w:rsidR="008E3350" w:rsidRPr="00162B20">
        <w:t xml:space="preserve">comparator was </w:t>
      </w:r>
      <w:r w:rsidR="00786D9B" w:rsidRPr="00162B20">
        <w:t>best supportive</w:t>
      </w:r>
      <w:r w:rsidR="008E3350" w:rsidRPr="00162B20">
        <w:t xml:space="preserve"> care</w:t>
      </w:r>
      <w:r w:rsidR="00A90135" w:rsidRPr="00162B20">
        <w:t>,</w:t>
      </w:r>
      <w:r w:rsidR="008E3350" w:rsidRPr="00162B20">
        <w:t xml:space="preserve"> noting that no treatments are listed on the PBS for </w:t>
      </w:r>
      <w:proofErr w:type="spellStart"/>
      <w:r w:rsidR="008E3350" w:rsidRPr="00162B20">
        <w:t>nccRCC</w:t>
      </w:r>
      <w:proofErr w:type="spellEnd"/>
      <w:r w:rsidR="008E3350" w:rsidRPr="00162B20">
        <w:t xml:space="preserve">. The PBAC noted the comparison </w:t>
      </w:r>
      <w:r w:rsidR="00370CD0" w:rsidRPr="00162B20">
        <w:t xml:space="preserve">of cabozantinib </w:t>
      </w:r>
      <w:r w:rsidR="008E3350" w:rsidRPr="00162B20">
        <w:t>versus sunitinib was presented</w:t>
      </w:r>
      <w:r w:rsidR="00370CD0" w:rsidRPr="00162B20">
        <w:t xml:space="preserve"> in the submission</w:t>
      </w:r>
      <w:r w:rsidR="008E3350" w:rsidRPr="00162B20">
        <w:t xml:space="preserve"> to support the claim that the benefit</w:t>
      </w:r>
      <w:r w:rsidR="00370CD0" w:rsidRPr="00162B20">
        <w:t xml:space="preserve"> of </w:t>
      </w:r>
      <w:proofErr w:type="spellStart"/>
      <w:r w:rsidR="00370CD0" w:rsidRPr="00162B20">
        <w:t>cabozantinib</w:t>
      </w:r>
      <w:proofErr w:type="spellEnd"/>
      <w:r w:rsidR="00370CD0" w:rsidRPr="00162B20">
        <w:t xml:space="preserve"> in </w:t>
      </w:r>
      <w:proofErr w:type="spellStart"/>
      <w:r w:rsidR="00370CD0" w:rsidRPr="00162B20">
        <w:t>nccRCC</w:t>
      </w:r>
      <w:proofErr w:type="spellEnd"/>
      <w:r w:rsidR="00370CD0" w:rsidRPr="00162B20">
        <w:t xml:space="preserve"> is similar to the benefit </w:t>
      </w:r>
      <w:r w:rsidR="00786D9B" w:rsidRPr="00162B20">
        <w:t>previously assessed for</w:t>
      </w:r>
      <w:r w:rsidR="00370CD0" w:rsidRPr="00162B20">
        <w:t xml:space="preserve"> cabozantinib</w:t>
      </w:r>
      <w:r w:rsidR="00786D9B" w:rsidRPr="00162B20">
        <w:t xml:space="preserve"> versus sunitinib</w:t>
      </w:r>
      <w:r w:rsidR="00370CD0" w:rsidRPr="00162B20">
        <w:t xml:space="preserve"> in </w:t>
      </w:r>
      <w:proofErr w:type="spellStart"/>
      <w:r w:rsidR="00370CD0" w:rsidRPr="00162B20">
        <w:t>ccRCC</w:t>
      </w:r>
      <w:proofErr w:type="spellEnd"/>
      <w:r w:rsidRPr="00162B20">
        <w:t>.</w:t>
      </w:r>
    </w:p>
    <w:p w14:paraId="75276BAD" w14:textId="3057918F" w:rsidR="00521D3F" w:rsidRPr="00162B20" w:rsidRDefault="00B6792B" w:rsidP="00521D3F">
      <w:pPr>
        <w:widowControl w:val="0"/>
        <w:numPr>
          <w:ilvl w:val="1"/>
          <w:numId w:val="1"/>
        </w:numPr>
        <w:spacing w:after="120"/>
        <w:rPr>
          <w:rFonts w:asciiTheme="minorHAnsi" w:hAnsiTheme="minorHAnsi"/>
          <w:snapToGrid w:val="0"/>
        </w:rPr>
      </w:pPr>
      <w:r w:rsidRPr="00162B20">
        <w:rPr>
          <w:color w:val="000000" w:themeColor="text1"/>
        </w:rPr>
        <w:t xml:space="preserve">The PBAC noted the submission was based on two head-to-head prospective RCTs comparing cabozantinib and sunitinib for the treatment of advanced </w:t>
      </w:r>
      <w:proofErr w:type="spellStart"/>
      <w:r w:rsidRPr="00162B20">
        <w:rPr>
          <w:color w:val="000000" w:themeColor="text1"/>
        </w:rPr>
        <w:t>nccRCC</w:t>
      </w:r>
      <w:proofErr w:type="spellEnd"/>
      <w:r w:rsidR="00CC2BF1" w:rsidRPr="00162B20">
        <w:rPr>
          <w:color w:val="000000" w:themeColor="text1"/>
        </w:rPr>
        <w:t xml:space="preserve"> (SWOG 1500 and CABOSUN II)</w:t>
      </w:r>
      <w:r w:rsidRPr="00162B20">
        <w:rPr>
          <w:color w:val="000000" w:themeColor="text1"/>
        </w:rPr>
        <w:t xml:space="preserve">. </w:t>
      </w:r>
      <w:r w:rsidR="00CC2BF1" w:rsidRPr="00162B20">
        <w:rPr>
          <w:color w:val="000000" w:themeColor="text1"/>
        </w:rPr>
        <w:t xml:space="preserve">The PBAC noted that </w:t>
      </w:r>
      <w:r w:rsidRPr="00162B20">
        <w:rPr>
          <w:color w:val="000000" w:themeColor="text1"/>
        </w:rPr>
        <w:t>SWOG 1500 included patients with papillary RCC only,</w:t>
      </w:r>
      <w:r w:rsidR="00CC2BF1" w:rsidRPr="00162B20">
        <w:rPr>
          <w:color w:val="000000" w:themeColor="text1"/>
        </w:rPr>
        <w:t xml:space="preserve"> </w:t>
      </w:r>
      <w:r w:rsidR="00CC2BF1" w:rsidRPr="00162B20">
        <w:t xml:space="preserve">which limits the generalisability of its results to other </w:t>
      </w:r>
      <w:proofErr w:type="spellStart"/>
      <w:r w:rsidR="00CC2BF1" w:rsidRPr="00162B20">
        <w:t>nccRCC</w:t>
      </w:r>
      <w:proofErr w:type="spellEnd"/>
      <w:r w:rsidR="00CC2BF1" w:rsidRPr="00162B20">
        <w:t xml:space="preserve"> subtypes. In addition, </w:t>
      </w:r>
      <w:r w:rsidRPr="00162B20">
        <w:rPr>
          <w:color w:val="000000" w:themeColor="text1"/>
        </w:rPr>
        <w:t xml:space="preserve">few patients </w:t>
      </w:r>
      <w:r w:rsidR="00CC2BF1" w:rsidRPr="00162B20">
        <w:rPr>
          <w:color w:val="000000" w:themeColor="text1"/>
        </w:rPr>
        <w:t xml:space="preserve">in SWOG 1500 (7% overall) </w:t>
      </w:r>
      <w:r w:rsidRPr="00162B20">
        <w:rPr>
          <w:color w:val="000000" w:themeColor="text1"/>
        </w:rPr>
        <w:t>had received prior systemic therapy</w:t>
      </w:r>
      <w:r w:rsidR="00CC2BF1" w:rsidRPr="00162B20">
        <w:rPr>
          <w:color w:val="000000" w:themeColor="text1"/>
        </w:rPr>
        <w:t xml:space="preserve">, however the PBAC considered that cabozantinib would be expected to be the preferred first line therapy, therefore this may be reasonably representative of the PBS population. </w:t>
      </w:r>
      <w:r w:rsidR="006F1B5D" w:rsidRPr="00162B20">
        <w:rPr>
          <w:color w:val="000000" w:themeColor="text1"/>
        </w:rPr>
        <w:t xml:space="preserve">The PBAC noted that the CABOSUN II trial included all </w:t>
      </w:r>
      <w:proofErr w:type="spellStart"/>
      <w:r w:rsidR="006F1B5D" w:rsidRPr="00162B20">
        <w:rPr>
          <w:color w:val="000000" w:themeColor="text1"/>
        </w:rPr>
        <w:t>nccRCC</w:t>
      </w:r>
      <w:proofErr w:type="spellEnd"/>
      <w:r w:rsidR="006F1B5D" w:rsidRPr="00162B20">
        <w:rPr>
          <w:color w:val="000000" w:themeColor="text1"/>
        </w:rPr>
        <w:t xml:space="preserve"> subtypes but </w:t>
      </w:r>
      <w:r w:rsidR="004910A4" w:rsidRPr="00162B20">
        <w:rPr>
          <w:color w:val="000000" w:themeColor="text1"/>
        </w:rPr>
        <w:t xml:space="preserve">was terminated early and as a result </w:t>
      </w:r>
      <w:r w:rsidR="006F1B5D" w:rsidRPr="00162B20">
        <w:rPr>
          <w:color w:val="000000" w:themeColor="text1"/>
        </w:rPr>
        <w:t xml:space="preserve">had </w:t>
      </w:r>
      <w:r w:rsidR="00205316" w:rsidRPr="00162B20">
        <w:rPr>
          <w:color w:val="000000" w:themeColor="text1"/>
        </w:rPr>
        <w:t xml:space="preserve">few patients (N=22) and </w:t>
      </w:r>
      <w:r w:rsidR="006F1B5D" w:rsidRPr="00162B20">
        <w:rPr>
          <w:color w:val="000000" w:themeColor="text1"/>
        </w:rPr>
        <w:t xml:space="preserve">a high level of bias </w:t>
      </w:r>
      <w:r w:rsidR="004910A4" w:rsidRPr="00162B20">
        <w:rPr>
          <w:color w:val="000000" w:themeColor="text1"/>
        </w:rPr>
        <w:t xml:space="preserve">due to imbalances </w:t>
      </w:r>
      <w:r w:rsidR="00370CD0" w:rsidRPr="00162B20">
        <w:rPr>
          <w:color w:val="000000" w:themeColor="text1"/>
        </w:rPr>
        <w:t xml:space="preserve">across the treatment arms </w:t>
      </w:r>
      <w:r w:rsidR="004910A4" w:rsidRPr="00162B20">
        <w:rPr>
          <w:color w:val="000000" w:themeColor="text1"/>
        </w:rPr>
        <w:t xml:space="preserve">in the </w:t>
      </w:r>
      <w:proofErr w:type="spellStart"/>
      <w:r w:rsidR="004910A4" w:rsidRPr="00162B20">
        <w:rPr>
          <w:color w:val="000000" w:themeColor="text1"/>
        </w:rPr>
        <w:t>nccRCC</w:t>
      </w:r>
      <w:proofErr w:type="spellEnd"/>
      <w:r w:rsidR="004910A4" w:rsidRPr="00162B20">
        <w:rPr>
          <w:color w:val="000000" w:themeColor="text1"/>
        </w:rPr>
        <w:t xml:space="preserve"> subtypes</w:t>
      </w:r>
      <w:r w:rsidRPr="00162B20">
        <w:rPr>
          <w:color w:val="000000" w:themeColor="text1"/>
        </w:rPr>
        <w:t>.</w:t>
      </w:r>
      <w:r w:rsidR="00205316" w:rsidRPr="00162B20">
        <w:rPr>
          <w:color w:val="000000" w:themeColor="text1"/>
        </w:rPr>
        <w:t xml:space="preserve"> </w:t>
      </w:r>
      <w:r w:rsidR="004910A4" w:rsidRPr="00162B20">
        <w:rPr>
          <w:iCs/>
        </w:rPr>
        <w:t>The</w:t>
      </w:r>
      <w:r w:rsidR="004910A4" w:rsidRPr="00162B20">
        <w:t xml:space="preserve"> PBAC considered that the claim of superior PFS and ORR, and non-inferior OS of cabozantinib compared with sunitinib in advanced papillary RCC was adequately supported by the data. The PBAC noted that the efficacy of cabozantinib in other subtypes was unclear</w:t>
      </w:r>
      <w:r w:rsidR="00A1569C" w:rsidRPr="00162B20">
        <w:t xml:space="preserve"> as data are limited</w:t>
      </w:r>
      <w:r w:rsidR="004910A4" w:rsidRPr="00162B20">
        <w:t xml:space="preserve">, however </w:t>
      </w:r>
      <w:r w:rsidR="00A1569C" w:rsidRPr="00162B20">
        <w:t xml:space="preserve">cabozantinib does appear to be active in other </w:t>
      </w:r>
      <w:proofErr w:type="spellStart"/>
      <w:r w:rsidR="00A1569C" w:rsidRPr="00162B20">
        <w:t>nccRCC</w:t>
      </w:r>
      <w:proofErr w:type="spellEnd"/>
      <w:r w:rsidR="00A1569C" w:rsidRPr="00162B20">
        <w:t xml:space="preserve"> subtypes and </w:t>
      </w:r>
      <w:r w:rsidR="004910A4" w:rsidRPr="00162B20">
        <w:t xml:space="preserve">due to the rarity of </w:t>
      </w:r>
      <w:r w:rsidR="00A1569C" w:rsidRPr="00162B20">
        <w:t>these</w:t>
      </w:r>
      <w:r w:rsidR="004910A4" w:rsidRPr="00162B20">
        <w:t xml:space="preserve"> subtypes more data are unlikely to become available.</w:t>
      </w:r>
    </w:p>
    <w:p w14:paraId="557812A5" w14:textId="33F98583" w:rsidR="00A1569C" w:rsidRPr="00162B20" w:rsidRDefault="007F3F00" w:rsidP="00521D3F">
      <w:pPr>
        <w:widowControl w:val="0"/>
        <w:numPr>
          <w:ilvl w:val="1"/>
          <w:numId w:val="1"/>
        </w:numPr>
        <w:spacing w:after="120"/>
        <w:rPr>
          <w:rFonts w:asciiTheme="minorHAnsi" w:hAnsiTheme="minorHAnsi"/>
          <w:snapToGrid w:val="0"/>
        </w:rPr>
      </w:pPr>
      <w:r w:rsidRPr="00162B20">
        <w:rPr>
          <w:rFonts w:asciiTheme="minorHAnsi" w:hAnsiTheme="minorHAnsi"/>
          <w:snapToGrid w:val="0"/>
        </w:rPr>
        <w:t>T</w:t>
      </w:r>
      <w:r w:rsidR="00A1569C" w:rsidRPr="00162B20">
        <w:rPr>
          <w:rFonts w:asciiTheme="minorHAnsi" w:hAnsiTheme="minorHAnsi"/>
          <w:snapToGrid w:val="0"/>
        </w:rPr>
        <w:t xml:space="preserve">he submission used a ‘frame of reference’ approach to inform pricing of </w:t>
      </w:r>
      <w:proofErr w:type="spellStart"/>
      <w:r w:rsidR="00A1569C" w:rsidRPr="00162B20">
        <w:rPr>
          <w:rFonts w:asciiTheme="minorHAnsi" w:hAnsiTheme="minorHAnsi"/>
          <w:snapToGrid w:val="0"/>
        </w:rPr>
        <w:t>cabozantinib</w:t>
      </w:r>
      <w:proofErr w:type="spellEnd"/>
      <w:r w:rsidR="00A1569C" w:rsidRPr="00162B20">
        <w:rPr>
          <w:rFonts w:asciiTheme="minorHAnsi" w:hAnsiTheme="minorHAnsi"/>
          <w:snapToGrid w:val="0"/>
        </w:rPr>
        <w:t xml:space="preserve"> in </w:t>
      </w:r>
      <w:proofErr w:type="spellStart"/>
      <w:r w:rsidR="00A1569C" w:rsidRPr="00162B20">
        <w:rPr>
          <w:rFonts w:asciiTheme="minorHAnsi" w:hAnsiTheme="minorHAnsi"/>
          <w:snapToGrid w:val="0"/>
        </w:rPr>
        <w:t>nccRCC</w:t>
      </w:r>
      <w:proofErr w:type="spellEnd"/>
      <w:r w:rsidRPr="00162B20">
        <w:rPr>
          <w:rFonts w:asciiTheme="minorHAnsi" w:hAnsiTheme="minorHAnsi"/>
          <w:snapToGrid w:val="0"/>
        </w:rPr>
        <w:t xml:space="preserve">, </w:t>
      </w:r>
      <w:r w:rsidR="00A1569C" w:rsidRPr="00162B20">
        <w:rPr>
          <w:rFonts w:asciiTheme="minorHAnsi" w:hAnsiTheme="minorHAnsi"/>
          <w:snapToGrid w:val="0"/>
        </w:rPr>
        <w:t xml:space="preserve">based on the claim or similar relative effectiveness of </w:t>
      </w:r>
      <w:proofErr w:type="spellStart"/>
      <w:r w:rsidR="00A1569C" w:rsidRPr="00162B20">
        <w:rPr>
          <w:rFonts w:asciiTheme="minorHAnsi" w:hAnsiTheme="minorHAnsi"/>
          <w:snapToGrid w:val="0"/>
        </w:rPr>
        <w:t>cabozantinib</w:t>
      </w:r>
      <w:proofErr w:type="spellEnd"/>
      <w:r w:rsidR="00A1569C" w:rsidRPr="00162B20">
        <w:rPr>
          <w:rFonts w:asciiTheme="minorHAnsi" w:hAnsiTheme="minorHAnsi"/>
          <w:snapToGrid w:val="0"/>
        </w:rPr>
        <w:t xml:space="preserve"> in </w:t>
      </w:r>
      <w:proofErr w:type="spellStart"/>
      <w:r w:rsidR="00A1569C" w:rsidRPr="00162B20">
        <w:rPr>
          <w:rFonts w:asciiTheme="minorHAnsi" w:hAnsiTheme="minorHAnsi"/>
          <w:snapToGrid w:val="0"/>
        </w:rPr>
        <w:t>nccRCC</w:t>
      </w:r>
      <w:proofErr w:type="spellEnd"/>
      <w:r w:rsidR="00A1569C" w:rsidRPr="00162B20">
        <w:rPr>
          <w:rFonts w:asciiTheme="minorHAnsi" w:hAnsiTheme="minorHAnsi"/>
          <w:snapToGrid w:val="0"/>
        </w:rPr>
        <w:t xml:space="preserve"> and </w:t>
      </w:r>
      <w:proofErr w:type="spellStart"/>
      <w:r w:rsidR="00A1569C" w:rsidRPr="00162B20">
        <w:rPr>
          <w:rFonts w:asciiTheme="minorHAnsi" w:hAnsiTheme="minorHAnsi"/>
          <w:snapToGrid w:val="0"/>
        </w:rPr>
        <w:t>ccRCC</w:t>
      </w:r>
      <w:proofErr w:type="spellEnd"/>
      <w:r w:rsidR="00A1569C" w:rsidRPr="00162B20">
        <w:rPr>
          <w:rFonts w:asciiTheme="minorHAnsi" w:hAnsiTheme="minorHAnsi"/>
          <w:snapToGrid w:val="0"/>
        </w:rPr>
        <w:t xml:space="preserve">. Therefore, the submission conducted a naïve comparison of the results from SWOG 1500 (in </w:t>
      </w:r>
      <w:proofErr w:type="spellStart"/>
      <w:r w:rsidR="00A1569C" w:rsidRPr="00162B20">
        <w:rPr>
          <w:rFonts w:asciiTheme="minorHAnsi" w:hAnsiTheme="minorHAnsi"/>
          <w:snapToGrid w:val="0"/>
        </w:rPr>
        <w:t>nccRCC</w:t>
      </w:r>
      <w:proofErr w:type="spellEnd"/>
      <w:r w:rsidR="00A1569C" w:rsidRPr="00162B20">
        <w:rPr>
          <w:rFonts w:asciiTheme="minorHAnsi" w:hAnsiTheme="minorHAnsi"/>
          <w:snapToGrid w:val="0"/>
        </w:rPr>
        <w:t>) with the results from two RCTs comparing cabozantinib and sunitinib</w:t>
      </w:r>
      <w:r w:rsidR="00F41301" w:rsidRPr="00162B20">
        <w:rPr>
          <w:rFonts w:asciiTheme="minorHAnsi" w:hAnsiTheme="minorHAnsi"/>
          <w:snapToGrid w:val="0"/>
        </w:rPr>
        <w:t xml:space="preserve"> (CABOSUN) and </w:t>
      </w:r>
      <w:proofErr w:type="spellStart"/>
      <w:r w:rsidR="00F41301" w:rsidRPr="00162B20">
        <w:rPr>
          <w:rFonts w:asciiTheme="minorHAnsi" w:hAnsiTheme="minorHAnsi"/>
          <w:snapToGrid w:val="0"/>
        </w:rPr>
        <w:t>everolimus</w:t>
      </w:r>
      <w:proofErr w:type="spellEnd"/>
      <w:r w:rsidR="00F41301" w:rsidRPr="00162B20">
        <w:rPr>
          <w:rFonts w:asciiTheme="minorHAnsi" w:hAnsiTheme="minorHAnsi"/>
          <w:snapToGrid w:val="0"/>
        </w:rPr>
        <w:t xml:space="preserve"> (METEOR)</w:t>
      </w:r>
      <w:r w:rsidR="00A1569C" w:rsidRPr="00162B20">
        <w:rPr>
          <w:rFonts w:asciiTheme="minorHAnsi" w:hAnsiTheme="minorHAnsi"/>
          <w:snapToGrid w:val="0"/>
        </w:rPr>
        <w:t xml:space="preserve"> for treatment of advanced </w:t>
      </w:r>
      <w:proofErr w:type="spellStart"/>
      <w:r w:rsidR="00A1569C" w:rsidRPr="00162B20">
        <w:rPr>
          <w:rFonts w:asciiTheme="minorHAnsi" w:hAnsiTheme="minorHAnsi"/>
          <w:snapToGrid w:val="0"/>
        </w:rPr>
        <w:t>ccRCC</w:t>
      </w:r>
      <w:proofErr w:type="spellEnd"/>
      <w:r w:rsidR="00A1569C" w:rsidRPr="00162B20">
        <w:rPr>
          <w:rFonts w:asciiTheme="minorHAnsi" w:hAnsiTheme="minorHAnsi"/>
          <w:snapToGrid w:val="0"/>
        </w:rPr>
        <w:t xml:space="preserve">. </w:t>
      </w:r>
      <w:r w:rsidR="00F41301" w:rsidRPr="00162B20">
        <w:rPr>
          <w:rFonts w:asciiTheme="minorHAnsi" w:hAnsiTheme="minorHAnsi"/>
          <w:snapToGrid w:val="0"/>
        </w:rPr>
        <w:t>The PBAC considered that the METEOR trial was not relevant as it was in patients with prior VEGFi therapy and the comparator (</w:t>
      </w:r>
      <w:proofErr w:type="spellStart"/>
      <w:r w:rsidR="00F41301" w:rsidRPr="00162B20">
        <w:rPr>
          <w:rFonts w:asciiTheme="minorHAnsi" w:hAnsiTheme="minorHAnsi"/>
          <w:snapToGrid w:val="0"/>
        </w:rPr>
        <w:t>everolimus</w:t>
      </w:r>
      <w:proofErr w:type="spellEnd"/>
      <w:r w:rsidR="00F41301" w:rsidRPr="00162B20">
        <w:rPr>
          <w:rFonts w:asciiTheme="minorHAnsi" w:hAnsiTheme="minorHAnsi"/>
          <w:snapToGrid w:val="0"/>
        </w:rPr>
        <w:t xml:space="preserve">) </w:t>
      </w:r>
      <w:r w:rsidR="001500A0" w:rsidRPr="00162B20">
        <w:rPr>
          <w:rFonts w:asciiTheme="minorHAnsi" w:hAnsiTheme="minorHAnsi"/>
          <w:snapToGrid w:val="0"/>
        </w:rPr>
        <w:t xml:space="preserve">differed from the trials in </w:t>
      </w:r>
      <w:proofErr w:type="spellStart"/>
      <w:r w:rsidR="001500A0" w:rsidRPr="00162B20">
        <w:rPr>
          <w:rFonts w:asciiTheme="minorHAnsi" w:hAnsiTheme="minorHAnsi"/>
          <w:snapToGrid w:val="0"/>
        </w:rPr>
        <w:t>nccRCC</w:t>
      </w:r>
      <w:proofErr w:type="spellEnd"/>
      <w:r w:rsidR="001500A0" w:rsidRPr="00162B20">
        <w:rPr>
          <w:rFonts w:asciiTheme="minorHAnsi" w:hAnsiTheme="minorHAnsi"/>
          <w:snapToGrid w:val="0"/>
        </w:rPr>
        <w:t xml:space="preserve">. </w:t>
      </w:r>
      <w:r w:rsidR="00A1569C" w:rsidRPr="00162B20">
        <w:rPr>
          <w:rFonts w:asciiTheme="minorHAnsi" w:hAnsiTheme="minorHAnsi"/>
          <w:snapToGrid w:val="0"/>
        </w:rPr>
        <w:t xml:space="preserve">The PBAC </w:t>
      </w:r>
      <w:r w:rsidR="00F41301" w:rsidRPr="00162B20">
        <w:rPr>
          <w:rFonts w:asciiTheme="minorHAnsi" w:hAnsiTheme="minorHAnsi"/>
          <w:snapToGrid w:val="0"/>
        </w:rPr>
        <w:t>considered</w:t>
      </w:r>
      <w:r w:rsidR="00A1569C" w:rsidRPr="00162B20">
        <w:rPr>
          <w:rFonts w:asciiTheme="minorHAnsi" w:hAnsiTheme="minorHAnsi"/>
          <w:snapToGrid w:val="0"/>
        </w:rPr>
        <w:t xml:space="preserve"> that </w:t>
      </w:r>
      <w:r w:rsidR="00F41301" w:rsidRPr="00162B20">
        <w:rPr>
          <w:rFonts w:asciiTheme="minorHAnsi" w:hAnsiTheme="minorHAnsi"/>
          <w:snapToGrid w:val="0"/>
        </w:rPr>
        <w:t xml:space="preserve">the naïve comparison had a high level of uncertainty as it was based on limited data, with </w:t>
      </w:r>
      <w:r w:rsidR="00A90135" w:rsidRPr="00162B20">
        <w:rPr>
          <w:rFonts w:asciiTheme="minorHAnsi" w:hAnsiTheme="minorHAnsi"/>
          <w:snapToGrid w:val="0"/>
        </w:rPr>
        <w:t xml:space="preserve">potential </w:t>
      </w:r>
      <w:r w:rsidR="00F41301" w:rsidRPr="00162B20">
        <w:rPr>
          <w:rFonts w:asciiTheme="minorHAnsi" w:hAnsiTheme="minorHAnsi"/>
          <w:snapToGrid w:val="0"/>
        </w:rPr>
        <w:t>heterogeneity between the trial populations</w:t>
      </w:r>
      <w:r w:rsidR="00A90135" w:rsidRPr="00162B20">
        <w:rPr>
          <w:rFonts w:asciiTheme="minorHAnsi" w:hAnsiTheme="minorHAnsi"/>
          <w:snapToGrid w:val="0"/>
        </w:rPr>
        <w:t xml:space="preserve"> in addition to the difference in RCC subtype</w:t>
      </w:r>
      <w:r w:rsidR="00F41301" w:rsidRPr="00162B20">
        <w:rPr>
          <w:rFonts w:asciiTheme="minorHAnsi" w:hAnsiTheme="minorHAnsi"/>
          <w:snapToGrid w:val="0"/>
        </w:rPr>
        <w:t>. However, the PBAC acknowledged that there is unlikely to be additional data and considered that it was reasonable to conclude</w:t>
      </w:r>
      <w:r w:rsidR="008E2FB1" w:rsidRPr="00162B20">
        <w:rPr>
          <w:rFonts w:asciiTheme="minorHAnsi" w:hAnsiTheme="minorHAnsi"/>
          <w:snapToGrid w:val="0"/>
        </w:rPr>
        <w:t>,</w:t>
      </w:r>
      <w:r w:rsidR="00F41301" w:rsidRPr="00162B20">
        <w:rPr>
          <w:rFonts w:asciiTheme="minorHAnsi" w:hAnsiTheme="minorHAnsi"/>
          <w:snapToGrid w:val="0"/>
        </w:rPr>
        <w:t xml:space="preserve"> </w:t>
      </w:r>
      <w:r w:rsidR="008E2FB1" w:rsidRPr="00162B20">
        <w:rPr>
          <w:rFonts w:asciiTheme="minorHAnsi" w:hAnsiTheme="minorHAnsi"/>
          <w:snapToGrid w:val="0"/>
        </w:rPr>
        <w:t xml:space="preserve">on the basis of the available evidence, </w:t>
      </w:r>
      <w:r w:rsidR="00F41301" w:rsidRPr="00162B20">
        <w:rPr>
          <w:rFonts w:asciiTheme="minorHAnsi" w:hAnsiTheme="minorHAnsi"/>
          <w:snapToGrid w:val="0"/>
        </w:rPr>
        <w:t>that there is comparable efficacy for</w:t>
      </w:r>
      <w:r w:rsidR="001500A0" w:rsidRPr="00162B20">
        <w:rPr>
          <w:rFonts w:asciiTheme="minorHAnsi" w:hAnsiTheme="minorHAnsi"/>
          <w:snapToGrid w:val="0"/>
        </w:rPr>
        <w:t xml:space="preserve"> </w:t>
      </w:r>
      <w:proofErr w:type="spellStart"/>
      <w:r w:rsidR="001500A0" w:rsidRPr="00162B20">
        <w:rPr>
          <w:rFonts w:asciiTheme="minorHAnsi" w:hAnsiTheme="minorHAnsi"/>
          <w:snapToGrid w:val="0"/>
        </w:rPr>
        <w:t>cabozantinib</w:t>
      </w:r>
      <w:proofErr w:type="spellEnd"/>
      <w:r w:rsidR="001500A0" w:rsidRPr="00162B20">
        <w:rPr>
          <w:rFonts w:asciiTheme="minorHAnsi" w:hAnsiTheme="minorHAnsi"/>
          <w:snapToGrid w:val="0"/>
        </w:rPr>
        <w:t xml:space="preserve"> in </w:t>
      </w:r>
      <w:proofErr w:type="spellStart"/>
      <w:r w:rsidR="001500A0" w:rsidRPr="00162B20">
        <w:rPr>
          <w:rFonts w:asciiTheme="minorHAnsi" w:hAnsiTheme="minorHAnsi"/>
          <w:snapToGrid w:val="0"/>
        </w:rPr>
        <w:t>nccRCC</w:t>
      </w:r>
      <w:proofErr w:type="spellEnd"/>
      <w:r w:rsidR="001500A0" w:rsidRPr="00162B20">
        <w:rPr>
          <w:rFonts w:asciiTheme="minorHAnsi" w:hAnsiTheme="minorHAnsi"/>
          <w:snapToGrid w:val="0"/>
        </w:rPr>
        <w:t xml:space="preserve"> and </w:t>
      </w:r>
      <w:proofErr w:type="spellStart"/>
      <w:r w:rsidR="001500A0" w:rsidRPr="00162B20">
        <w:rPr>
          <w:rFonts w:asciiTheme="minorHAnsi" w:hAnsiTheme="minorHAnsi"/>
          <w:snapToGrid w:val="0"/>
        </w:rPr>
        <w:t>ccRCC</w:t>
      </w:r>
      <w:proofErr w:type="spellEnd"/>
      <w:r w:rsidR="001500A0" w:rsidRPr="00162B20">
        <w:rPr>
          <w:rFonts w:asciiTheme="minorHAnsi" w:hAnsiTheme="minorHAnsi"/>
          <w:snapToGrid w:val="0"/>
        </w:rPr>
        <w:t>, particularly in the first line setting, which is the most relevant for the PBS population.</w:t>
      </w:r>
      <w:r w:rsidR="00F41301" w:rsidRPr="00162B20">
        <w:rPr>
          <w:rFonts w:asciiTheme="minorHAnsi" w:hAnsiTheme="minorHAnsi"/>
          <w:snapToGrid w:val="0"/>
        </w:rPr>
        <w:t xml:space="preserve"> </w:t>
      </w:r>
    </w:p>
    <w:p w14:paraId="3A0A3EDF" w14:textId="4DE79D32" w:rsidR="008E2FB1" w:rsidRPr="00162B20" w:rsidRDefault="008E2FB1" w:rsidP="008E2FB1">
      <w:pPr>
        <w:pStyle w:val="3-BodyText"/>
        <w:numPr>
          <w:ilvl w:val="1"/>
          <w:numId w:val="1"/>
        </w:numPr>
      </w:pPr>
      <w:r w:rsidRPr="00162B20">
        <w:t xml:space="preserve">The PBAC recalled that it had previously considered that the claim of non-inferior (different but broadly comparable) comparative safety versus sunitinib was reasonable in patients with </w:t>
      </w:r>
      <w:proofErr w:type="spellStart"/>
      <w:r w:rsidRPr="00162B20">
        <w:t>ccRCC</w:t>
      </w:r>
      <w:proofErr w:type="spellEnd"/>
      <w:r w:rsidRPr="00162B20">
        <w:t xml:space="preserve"> (paragraph 7.6, </w:t>
      </w:r>
      <w:proofErr w:type="spellStart"/>
      <w:r w:rsidRPr="00162B20">
        <w:t>cabozantinib</w:t>
      </w:r>
      <w:proofErr w:type="spellEnd"/>
      <w:r w:rsidRPr="00162B20">
        <w:t xml:space="preserve">, PSD, November 2020 PBAC Meeting). The PBAC noted that cabozantinib showed higher rates of adverse events than sunitinib for many clinically significant events in SWOG 1500 (including fatigue, hypertension, hand-foot syndrome, and elevated liver enzymes). The PBAC </w:t>
      </w:r>
      <w:r w:rsidRPr="00162B20">
        <w:lastRenderedPageBreak/>
        <w:t xml:space="preserve">considered the claim of comparable safety for cabozantinib and sunitinib is uncertain but considered that there are unlikely to be differences in comparative safety in patients with </w:t>
      </w:r>
      <w:proofErr w:type="spellStart"/>
      <w:r w:rsidRPr="00162B20">
        <w:t>nccRCC</w:t>
      </w:r>
      <w:proofErr w:type="spellEnd"/>
      <w:r w:rsidRPr="00162B20">
        <w:t xml:space="preserve"> compared with </w:t>
      </w:r>
      <w:proofErr w:type="spellStart"/>
      <w:r w:rsidRPr="00162B20">
        <w:t>ccRCC</w:t>
      </w:r>
      <w:proofErr w:type="spellEnd"/>
      <w:r w:rsidRPr="00162B20">
        <w:t xml:space="preserve">. </w:t>
      </w:r>
    </w:p>
    <w:p w14:paraId="12437FFC" w14:textId="2628885D" w:rsidR="00CA5899" w:rsidRPr="00162B20" w:rsidRDefault="00AA784D" w:rsidP="00AE422B">
      <w:pPr>
        <w:pStyle w:val="3-BodyText"/>
        <w:numPr>
          <w:ilvl w:val="1"/>
          <w:numId w:val="1"/>
        </w:numPr>
      </w:pPr>
      <w:r w:rsidRPr="00162B20">
        <w:t xml:space="preserve">The submission did not present an economic evaluation, arguing that it was not feasible due to the lack of data to inform </w:t>
      </w:r>
      <w:r w:rsidR="00343A85" w:rsidRPr="00162B20">
        <w:t xml:space="preserve">the </w:t>
      </w:r>
      <w:r w:rsidRPr="00162B20">
        <w:t xml:space="preserve">duration of treatment, post progression costs and utility values in </w:t>
      </w:r>
      <w:proofErr w:type="spellStart"/>
      <w:r w:rsidRPr="00162B20">
        <w:t>nccRCC</w:t>
      </w:r>
      <w:proofErr w:type="spellEnd"/>
      <w:r w:rsidR="00343A85" w:rsidRPr="00162B20">
        <w:t>, and because the PBAC had not assessed the cost-effectiveness of sunitinib, the comparator in the available clinical evidence.</w:t>
      </w:r>
      <w:r w:rsidRPr="00162B20">
        <w:t xml:space="preserve"> Instead, the submission utilised a ‘frame of reference’ approach whereby the price of cabozantinib accepted by the PBAC at its November 2020 meeting in the </w:t>
      </w:r>
      <w:proofErr w:type="spellStart"/>
      <w:r w:rsidRPr="00162B20">
        <w:t>ccRCC</w:t>
      </w:r>
      <w:proofErr w:type="spellEnd"/>
      <w:r w:rsidRPr="00162B20">
        <w:t xml:space="preserve"> setting is applied to the </w:t>
      </w:r>
      <w:proofErr w:type="spellStart"/>
      <w:r w:rsidRPr="00162B20">
        <w:t>nccRCC</w:t>
      </w:r>
      <w:proofErr w:type="spellEnd"/>
      <w:r w:rsidRPr="00162B20">
        <w:t xml:space="preserve"> setting, </w:t>
      </w:r>
      <w:r w:rsidR="007F3F00" w:rsidRPr="00162B20">
        <w:t>based on the conclusion</w:t>
      </w:r>
      <w:r w:rsidRPr="00162B20">
        <w:t xml:space="preserve"> that the clinical effectiveness of cabozantinib observed in the two settings is similar. </w:t>
      </w:r>
      <w:r w:rsidR="007F3F00" w:rsidRPr="00162B20">
        <w:t>The PBAC noted the ESC advice that although a modelled cost-effectiveness analysis compared with best supportive care could have been conducted using published data, the reliability of any economic model would be limited due to the limited data available. The PBAC noted that</w:t>
      </w:r>
      <w:r w:rsidR="00AE422B" w:rsidRPr="00162B20">
        <w:t xml:space="preserve"> the clinical context for </w:t>
      </w:r>
      <w:proofErr w:type="spellStart"/>
      <w:r w:rsidR="00AE422B" w:rsidRPr="00162B20">
        <w:t>ncc</w:t>
      </w:r>
      <w:r w:rsidR="00A90135" w:rsidRPr="00162B20">
        <w:t>RCC</w:t>
      </w:r>
      <w:proofErr w:type="spellEnd"/>
      <w:r w:rsidR="00AE422B" w:rsidRPr="00162B20">
        <w:t xml:space="preserve"> </w:t>
      </w:r>
      <w:r w:rsidR="00A90135" w:rsidRPr="00162B20">
        <w:t xml:space="preserve">(where there are </w:t>
      </w:r>
      <w:r w:rsidR="00AE422B" w:rsidRPr="00162B20">
        <w:t>no treatments PBS listed</w:t>
      </w:r>
      <w:r w:rsidR="00A90135" w:rsidRPr="00162B20">
        <w:t>)</w:t>
      </w:r>
      <w:r w:rsidR="00AE422B" w:rsidRPr="00162B20">
        <w:t xml:space="preserve"> differs to that for </w:t>
      </w:r>
      <w:proofErr w:type="spellStart"/>
      <w:r w:rsidR="00AE422B" w:rsidRPr="00162B20">
        <w:t>cc</w:t>
      </w:r>
      <w:r w:rsidR="00A90135" w:rsidRPr="00162B20">
        <w:t>RCC</w:t>
      </w:r>
      <w:proofErr w:type="spellEnd"/>
      <w:r w:rsidR="00AE422B" w:rsidRPr="00162B20">
        <w:t xml:space="preserve"> at the time when cabozantinib was assessed as there were a range of PBS listed treatment options. The PBAC noted this complicates the ‘frame of reference’ approach, however,</w:t>
      </w:r>
      <w:r w:rsidR="00281EA0" w:rsidRPr="00162B20">
        <w:t xml:space="preserve"> considered that an alternative approach </w:t>
      </w:r>
      <w:r w:rsidR="00AE422B" w:rsidRPr="00162B20">
        <w:t xml:space="preserve">with a </w:t>
      </w:r>
      <w:r w:rsidR="00281EA0" w:rsidRPr="00162B20">
        <w:t>model</w:t>
      </w:r>
      <w:r w:rsidR="00AE422B" w:rsidRPr="00162B20">
        <w:t>led analysis was unlikely to be more reliable</w:t>
      </w:r>
      <w:r w:rsidR="00A90135" w:rsidRPr="00162B20">
        <w:t>. O</w:t>
      </w:r>
      <w:r w:rsidR="00281EA0" w:rsidRPr="00162B20">
        <w:t xml:space="preserve">n balance, </w:t>
      </w:r>
      <w:r w:rsidR="00A90135" w:rsidRPr="00162B20">
        <w:t xml:space="preserve">the PBAC </w:t>
      </w:r>
      <w:r w:rsidR="00281EA0" w:rsidRPr="00162B20">
        <w:t xml:space="preserve">considered that it was reasonable to accept that cabozantinib would be cost-effective for treatment of </w:t>
      </w:r>
      <w:proofErr w:type="spellStart"/>
      <w:r w:rsidR="00281EA0" w:rsidRPr="00162B20">
        <w:t>nccRCC</w:t>
      </w:r>
      <w:proofErr w:type="spellEnd"/>
      <w:r w:rsidR="00281EA0" w:rsidRPr="00162B20">
        <w:t xml:space="preserve"> at the same price as accepted for </w:t>
      </w:r>
      <w:proofErr w:type="spellStart"/>
      <w:r w:rsidR="00281EA0" w:rsidRPr="00162B20">
        <w:t>ccRCC</w:t>
      </w:r>
      <w:proofErr w:type="spellEnd"/>
      <w:r w:rsidR="00281EA0" w:rsidRPr="00162B20">
        <w:t>.</w:t>
      </w:r>
      <w:r w:rsidR="009B7CEF" w:rsidRPr="00162B20">
        <w:t xml:space="preserve"> The PBAC advised that acceptance of this approach to demonstrating cost-effectiveness was in the context of a rare subtype with limited clinical data, a small, well-defined population and relatively low financial impact.</w:t>
      </w:r>
    </w:p>
    <w:p w14:paraId="573B3544" w14:textId="6EC18821" w:rsidR="00AA784D" w:rsidRPr="00162B20" w:rsidRDefault="00281EA0" w:rsidP="00FA6CCE">
      <w:pPr>
        <w:pStyle w:val="3-BodyText"/>
      </w:pPr>
      <w:r w:rsidRPr="00162B20">
        <w:t xml:space="preserve">The PBAC noted that </w:t>
      </w:r>
      <w:r w:rsidR="00CA5899" w:rsidRPr="00162B20">
        <w:t>t</w:t>
      </w:r>
      <w:r w:rsidR="00AA784D" w:rsidRPr="00162B20">
        <w:t xml:space="preserve">he </w:t>
      </w:r>
      <w:r w:rsidR="0063526C">
        <w:t xml:space="preserve">current </w:t>
      </w:r>
      <w:r w:rsidR="00AA784D" w:rsidRPr="00162B20">
        <w:t>cabozantinib effective price ($</w:t>
      </w:r>
      <w:r w:rsidR="0094719F" w:rsidRPr="0094719F">
        <w:rPr>
          <w:color w:val="000000"/>
          <w:w w:val="60"/>
          <w:shd w:val="solid" w:color="000000" w:fill="000000"/>
          <w:fitText w:val="469" w:id="-961816828"/>
          <w14:textFill>
            <w14:solidFill>
              <w14:srgbClr w14:val="000000">
                <w14:alpha w14:val="100000"/>
              </w14:srgbClr>
            </w14:solidFill>
          </w14:textFill>
        </w:rPr>
        <w:t>|||  ||</w:t>
      </w:r>
      <w:r w:rsidR="0094719F" w:rsidRPr="0094719F">
        <w:rPr>
          <w:color w:val="000000"/>
          <w:spacing w:val="5"/>
          <w:w w:val="60"/>
          <w:shd w:val="solid" w:color="000000" w:fill="000000"/>
          <w:fitText w:val="469" w:id="-961816828"/>
          <w14:textFill>
            <w14:solidFill>
              <w14:srgbClr w14:val="000000">
                <w14:alpha w14:val="100000"/>
              </w14:srgbClr>
            </w14:solidFill>
          </w14:textFill>
        </w:rPr>
        <w:t>|</w:t>
      </w:r>
      <w:r w:rsidR="00AA784D" w:rsidRPr="00162B20">
        <w:t xml:space="preserve">) in </w:t>
      </w:r>
      <w:proofErr w:type="spellStart"/>
      <w:r w:rsidR="00AA784D" w:rsidRPr="00162B20">
        <w:t>ccRCC</w:t>
      </w:r>
      <w:proofErr w:type="spellEnd"/>
      <w:r w:rsidR="00AA784D" w:rsidRPr="00162B20">
        <w:t xml:space="preserve"> is a weighted price across first-line (</w:t>
      </w:r>
      <w:r w:rsidR="00EF42C9">
        <w:t>74</w:t>
      </w:r>
      <w:r w:rsidR="00AA784D" w:rsidRPr="00162B20">
        <w:t>%; $</w:t>
      </w:r>
      <w:r w:rsidR="0094719F" w:rsidRPr="002A1754">
        <w:rPr>
          <w:color w:val="000000"/>
          <w:w w:val="15"/>
          <w:shd w:val="solid" w:color="000000" w:fill="000000"/>
          <w:fitText w:val="-20" w:id="-961816827"/>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6827"/>
          <w14:textFill>
            <w14:solidFill>
              <w14:srgbClr w14:val="000000">
                <w14:alpha w14:val="100000"/>
              </w14:srgbClr>
            </w14:solidFill>
          </w14:textFill>
        </w:rPr>
        <w:t>|</w:t>
      </w:r>
      <w:r w:rsidR="00AA784D" w:rsidRPr="00162B20">
        <w:t>) and post-TKI price (</w:t>
      </w:r>
      <w:r w:rsidR="00EF42C9">
        <w:t>26</w:t>
      </w:r>
      <w:r w:rsidR="00AA784D" w:rsidRPr="00162B20">
        <w:t>%; $</w:t>
      </w:r>
      <w:r w:rsidR="0094719F" w:rsidRPr="002A1754">
        <w:rPr>
          <w:color w:val="000000"/>
          <w:w w:val="15"/>
          <w:shd w:val="solid" w:color="000000" w:fill="000000"/>
          <w:fitText w:val="-20" w:id="-961816826"/>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6826"/>
          <w14:textFill>
            <w14:solidFill>
              <w14:srgbClr w14:val="000000">
                <w14:alpha w14:val="100000"/>
              </w14:srgbClr>
            </w14:solidFill>
          </w14:textFill>
        </w:rPr>
        <w:t>|</w:t>
      </w:r>
      <w:r w:rsidR="00AA784D" w:rsidRPr="00162B20">
        <w:t xml:space="preserve">). </w:t>
      </w:r>
      <w:r w:rsidR="009F5B01">
        <w:t xml:space="preserve">The PBAC considered that there may be a small number of patients who receive cabozantinib as second-line treatment in the first year of listing, however the agreed first-line price for </w:t>
      </w:r>
      <w:proofErr w:type="spellStart"/>
      <w:r w:rsidR="009F5B01">
        <w:t>ccRCC</w:t>
      </w:r>
      <w:proofErr w:type="spellEnd"/>
      <w:r w:rsidR="009F5B01">
        <w:t xml:space="preserve"> should apply in </w:t>
      </w:r>
      <w:r w:rsidR="00AA784D" w:rsidRPr="00162B20">
        <w:t xml:space="preserve">the </w:t>
      </w:r>
      <w:proofErr w:type="spellStart"/>
      <w:r w:rsidR="00AA784D" w:rsidRPr="00162B20">
        <w:t>nccRCC</w:t>
      </w:r>
      <w:proofErr w:type="spellEnd"/>
      <w:r w:rsidR="00AA784D" w:rsidRPr="00162B20">
        <w:t xml:space="preserve"> setting </w:t>
      </w:r>
      <w:r w:rsidR="000328DF">
        <w:t xml:space="preserve">as </w:t>
      </w:r>
      <w:proofErr w:type="spellStart"/>
      <w:r w:rsidR="000B5DEE" w:rsidRPr="00162B20">
        <w:t>cabozantinib</w:t>
      </w:r>
      <w:proofErr w:type="spellEnd"/>
      <w:r w:rsidR="000B5DEE" w:rsidRPr="00162B20">
        <w:t xml:space="preserve"> would be the only PBS-listed treatment in this indication and is therefore likely to become the preferred first</w:t>
      </w:r>
      <w:r w:rsidR="000328DF">
        <w:t>-</w:t>
      </w:r>
      <w:r w:rsidR="000B5DEE" w:rsidRPr="00162B20">
        <w:t>line treatment</w:t>
      </w:r>
      <w:r w:rsidR="00FA6CCE" w:rsidRPr="00162B20">
        <w:t xml:space="preserve"> for those patients</w:t>
      </w:r>
      <w:r w:rsidR="000B5DEE" w:rsidRPr="00162B20">
        <w:t xml:space="preserve">. </w:t>
      </w:r>
      <w:r w:rsidR="00162B20" w:rsidRPr="00162B20">
        <w:t>However,</w:t>
      </w:r>
      <w:r w:rsidR="00FA6CCE" w:rsidRPr="00162B20">
        <w:t xml:space="preserve"> t</w:t>
      </w:r>
      <w:r w:rsidRPr="00162B20">
        <w:t xml:space="preserve">he PBAC </w:t>
      </w:r>
      <w:r w:rsidR="00FA6CCE" w:rsidRPr="00162B20">
        <w:t>noted that the proposed restrictions allow second</w:t>
      </w:r>
      <w:r w:rsidR="000328DF">
        <w:t>-</w:t>
      </w:r>
      <w:r w:rsidR="00FA6CCE" w:rsidRPr="00162B20">
        <w:t xml:space="preserve">line use following progression on a TKI and </w:t>
      </w:r>
      <w:r w:rsidRPr="00162B20">
        <w:t xml:space="preserve">considered that </w:t>
      </w:r>
      <w:r w:rsidR="00FA6CCE" w:rsidRPr="00162B20">
        <w:t>it would be reasonable to</w:t>
      </w:r>
      <w:r w:rsidR="005324EF">
        <w:t xml:space="preserve"> maintain the restriction wording across </w:t>
      </w:r>
      <w:proofErr w:type="spellStart"/>
      <w:r w:rsidR="005324EF">
        <w:t>nccRCC</w:t>
      </w:r>
      <w:proofErr w:type="spellEnd"/>
      <w:r w:rsidR="005324EF">
        <w:t xml:space="preserve"> and </w:t>
      </w:r>
      <w:proofErr w:type="spellStart"/>
      <w:r w:rsidR="005324EF">
        <w:t>ccRCC</w:t>
      </w:r>
      <w:proofErr w:type="spellEnd"/>
      <w:r w:rsidR="005324EF">
        <w:t xml:space="preserve">. </w:t>
      </w:r>
      <w:r w:rsidR="000328DF" w:rsidRPr="009F5B01">
        <w:t xml:space="preserve">The PBAC considered that the weighted price </w:t>
      </w:r>
      <w:r w:rsidR="000328DF">
        <w:t xml:space="preserve">for RCC </w:t>
      </w:r>
      <w:r w:rsidR="000328DF" w:rsidRPr="009F5B01">
        <w:t xml:space="preserve">should assume 25% of use in the </w:t>
      </w:r>
      <w:proofErr w:type="spellStart"/>
      <w:r w:rsidR="000328DF" w:rsidRPr="009F5B01">
        <w:t>nccRCC</w:t>
      </w:r>
      <w:proofErr w:type="spellEnd"/>
      <w:r w:rsidR="000328DF" w:rsidRPr="009F5B01">
        <w:t xml:space="preserve"> population</w:t>
      </w:r>
      <w:r w:rsidR="000328DF">
        <w:t xml:space="preserve"> and 75% in the </w:t>
      </w:r>
      <w:proofErr w:type="spellStart"/>
      <w:r w:rsidR="000328DF">
        <w:t>ccRCC</w:t>
      </w:r>
      <w:proofErr w:type="spellEnd"/>
      <w:r w:rsidR="000328DF">
        <w:t xml:space="preserve"> population</w:t>
      </w:r>
      <w:r w:rsidR="000328DF" w:rsidRPr="009F5B01">
        <w:t>.</w:t>
      </w:r>
    </w:p>
    <w:p w14:paraId="4D7492D8" w14:textId="0EEB269E" w:rsidR="00A21956" w:rsidRPr="00162B20" w:rsidRDefault="00E836EF" w:rsidP="00E73AD2">
      <w:pPr>
        <w:pStyle w:val="3-BodyText"/>
      </w:pPr>
      <w:r w:rsidRPr="00162B20">
        <w:t xml:space="preserve">The PBAC noted that the submission used patient access program requests in 2021-2023 to estimate the utilisation and financial implications associated with </w:t>
      </w:r>
      <w:r w:rsidR="001937AB" w:rsidRPr="00162B20">
        <w:t>a listing including</w:t>
      </w:r>
      <w:r w:rsidRPr="00162B20">
        <w:t xml:space="preserve"> </w:t>
      </w:r>
      <w:proofErr w:type="spellStart"/>
      <w:r w:rsidRPr="00162B20">
        <w:t>nccRCC</w:t>
      </w:r>
      <w:proofErr w:type="spellEnd"/>
      <w:r w:rsidRPr="00162B20">
        <w:t>.</w:t>
      </w:r>
      <w:r w:rsidR="00E73AD2" w:rsidRPr="00162B20">
        <w:t xml:space="preserve"> The PBAC considered that it would be reasonable to include grandfather patients from the access program</w:t>
      </w:r>
      <w:r w:rsidR="001937AB" w:rsidRPr="00162B20">
        <w:t xml:space="preserve"> in year 1 of the estimates</w:t>
      </w:r>
      <w:r w:rsidR="00E73AD2" w:rsidRPr="00162B20">
        <w:t xml:space="preserve">, however these patients should not have the full treatment </w:t>
      </w:r>
      <w:r w:rsidR="00E73AD2" w:rsidRPr="001E0AE9">
        <w:t>duration</w:t>
      </w:r>
      <w:r w:rsidR="001937AB" w:rsidRPr="001E0AE9">
        <w:t xml:space="preserve"> of 12.6 months</w:t>
      </w:r>
      <w:r w:rsidR="00E73AD2" w:rsidRPr="001E0AE9">
        <w:t xml:space="preserve"> applied</w:t>
      </w:r>
      <w:r w:rsidR="00E73AD2" w:rsidRPr="00162B20">
        <w:t xml:space="preserve">. </w:t>
      </w:r>
      <w:r w:rsidR="00A21956" w:rsidRPr="00162B20">
        <w:t>The PBAC considered that, after correction o</w:t>
      </w:r>
      <w:r w:rsidR="00844849" w:rsidRPr="00162B20">
        <w:t>f</w:t>
      </w:r>
      <w:r w:rsidR="00A21956" w:rsidRPr="00162B20">
        <w:t xml:space="preserve"> errors in the financial estimates </w:t>
      </w:r>
      <w:r w:rsidR="00A21956" w:rsidRPr="00162B20">
        <w:lastRenderedPageBreak/>
        <w:t>worksheet</w:t>
      </w:r>
      <w:r w:rsidR="00D034D3" w:rsidRPr="00162B20">
        <w:t xml:space="preserve"> and reduction of the treatment duration for grandfather patients</w:t>
      </w:r>
      <w:r w:rsidR="00A21956" w:rsidRPr="00162B20">
        <w:t>, the assumptions and overall financial estimates appeared reasonable.</w:t>
      </w:r>
      <w:r w:rsidR="00E73AD2" w:rsidRPr="00162B20">
        <w:t xml:space="preserve"> </w:t>
      </w:r>
    </w:p>
    <w:p w14:paraId="34E6FA60" w14:textId="175C316C" w:rsidR="00A21956" w:rsidRPr="00162B20" w:rsidRDefault="00A21956" w:rsidP="00A21956">
      <w:pPr>
        <w:pStyle w:val="3-BodyText"/>
        <w:numPr>
          <w:ilvl w:val="1"/>
          <w:numId w:val="27"/>
        </w:numPr>
        <w:snapToGrid w:val="0"/>
      </w:pPr>
      <w:r w:rsidRPr="00162B20">
        <w:t xml:space="preserve">The PBAC noted a Deed of Agreement exists between the sponsor and the Commonwealth for </w:t>
      </w:r>
      <w:proofErr w:type="spellStart"/>
      <w:r w:rsidRPr="00162B20">
        <w:t>cabozantinib</w:t>
      </w:r>
      <w:proofErr w:type="spellEnd"/>
      <w:r w:rsidRPr="00162B20">
        <w:t xml:space="preserve"> in </w:t>
      </w:r>
      <w:proofErr w:type="spellStart"/>
      <w:r w:rsidR="00844849" w:rsidRPr="00162B20">
        <w:t>cc</w:t>
      </w:r>
      <w:r w:rsidRPr="00162B20">
        <w:t>RCC</w:t>
      </w:r>
      <w:proofErr w:type="spellEnd"/>
      <w:r w:rsidRPr="00162B20">
        <w:t xml:space="preserve"> with </w:t>
      </w:r>
      <w:r w:rsidR="0094719F" w:rsidRPr="002A1754">
        <w:rPr>
          <w:color w:val="000000"/>
          <w:w w:val="15"/>
          <w:shd w:val="solid" w:color="000000" w:fill="000000"/>
          <w:fitText w:val="-20" w:id="-961816825"/>
          <w14:textFill>
            <w14:solidFill>
              <w14:srgbClr w14:val="000000">
                <w14:alpha w14:val="100000"/>
              </w14:srgbClr>
            </w14:solidFill>
          </w14:textFill>
        </w:rPr>
        <w:t xml:space="preserve">|  </w:t>
      </w:r>
      <w:r w:rsidR="0094719F" w:rsidRPr="002A1754">
        <w:rPr>
          <w:color w:val="000000"/>
          <w:spacing w:val="-69"/>
          <w:w w:val="15"/>
          <w:shd w:val="solid" w:color="000000" w:fill="000000"/>
          <w:fitText w:val="-20" w:id="-961816825"/>
          <w14:textFill>
            <w14:solidFill>
              <w14:srgbClr w14:val="000000">
                <w14:alpha w14:val="100000"/>
              </w14:srgbClr>
            </w14:solidFill>
          </w14:textFill>
        </w:rPr>
        <w:t>|</w:t>
      </w:r>
      <w:r w:rsidRPr="00162B20">
        <w:t>% rebate for expenditure above agreed RSA financial caps. The submission proposed that the incremental expenditure associated with treatment of nccRCC be incorporated within the existing Deed of Agreement RSA caps. The PBAC considered that there was some uncertainty in the approach to estimating patient numbers, and the cost-effectiveness of cabozantinib in nccRCC, but considered this uncertainty would be adequately managed through incorporation of expenditure for nccRCC patients into the existing RSA financial caps for ccRCC</w:t>
      </w:r>
      <w:r w:rsidR="0063526C">
        <w:t xml:space="preserve"> with no increase</w:t>
      </w:r>
      <w:r w:rsidRPr="00162B20">
        <w:t>.</w:t>
      </w:r>
    </w:p>
    <w:p w14:paraId="449A4841" w14:textId="3AF4748A" w:rsidR="00521D3F" w:rsidRPr="00162B20" w:rsidRDefault="00521D3F" w:rsidP="00D034D3">
      <w:pPr>
        <w:pStyle w:val="3-BodyText"/>
        <w:numPr>
          <w:ilvl w:val="1"/>
          <w:numId w:val="27"/>
        </w:numPr>
        <w:snapToGrid w:val="0"/>
        <w:rPr>
          <w:rFonts w:cstheme="minorHAnsi"/>
          <w:b/>
        </w:rPr>
      </w:pPr>
      <w:r w:rsidRPr="00162B20">
        <w:rPr>
          <w:rFonts w:cstheme="minorHAnsi"/>
        </w:rPr>
        <w:t xml:space="preserve">The PBAC found that the criteria prescribed by the </w:t>
      </w:r>
      <w:r w:rsidRPr="00162B20">
        <w:rPr>
          <w:rFonts w:cstheme="minorHAnsi"/>
          <w:i/>
        </w:rPr>
        <w:t>National Health (Pharmaceuticals and Vaccines – Cost Recovery) Regulations 2022</w:t>
      </w:r>
      <w:r w:rsidRPr="00162B20">
        <w:rPr>
          <w:rFonts w:cstheme="minorHAnsi"/>
        </w:rPr>
        <w:t xml:space="preserve"> for Pricing Pathway A were not met. </w:t>
      </w:r>
      <w:r w:rsidR="001A7B27" w:rsidRPr="00162B20">
        <w:rPr>
          <w:rFonts w:cstheme="minorHAnsi"/>
        </w:rPr>
        <w:t>Specifically,</w:t>
      </w:r>
      <w:r w:rsidRPr="00162B20">
        <w:rPr>
          <w:rFonts w:cstheme="minorHAnsi"/>
        </w:rPr>
        <w:t xml:space="preserve"> the PBAC found that in the circumstances of its recommendation for </w:t>
      </w:r>
      <w:r w:rsidR="00844849" w:rsidRPr="00162B20">
        <w:rPr>
          <w:rFonts w:cstheme="minorHAnsi"/>
        </w:rPr>
        <w:t>cabozantinib</w:t>
      </w:r>
      <w:r w:rsidRPr="00162B20">
        <w:rPr>
          <w:rFonts w:cstheme="minorHAnsi"/>
        </w:rPr>
        <w:t>:</w:t>
      </w:r>
    </w:p>
    <w:p w14:paraId="6DD2ADFE" w14:textId="2A8B0BEA" w:rsidR="00521D3F" w:rsidRPr="00162B20" w:rsidRDefault="00521D3F" w:rsidP="0014714C">
      <w:pPr>
        <w:widowControl w:val="0"/>
        <w:numPr>
          <w:ilvl w:val="1"/>
          <w:numId w:val="24"/>
        </w:numPr>
        <w:spacing w:after="120"/>
        <w:ind w:left="1134"/>
        <w:rPr>
          <w:rFonts w:asciiTheme="minorHAnsi" w:hAnsiTheme="minorHAnsi" w:cstheme="minorHAnsi"/>
        </w:rPr>
      </w:pPr>
      <w:r w:rsidRPr="00162B20">
        <w:rPr>
          <w:rFonts w:asciiTheme="minorHAnsi" w:hAnsiTheme="minorHAnsi" w:cstheme="minorHAnsi"/>
        </w:rPr>
        <w:t xml:space="preserve">The treatment is </w:t>
      </w:r>
      <w:r w:rsidR="009B7CEF" w:rsidRPr="00162B20">
        <w:rPr>
          <w:rFonts w:asciiTheme="minorHAnsi" w:hAnsiTheme="minorHAnsi" w:cstheme="minorHAnsi"/>
        </w:rPr>
        <w:t xml:space="preserve">not </w:t>
      </w:r>
      <w:r w:rsidRPr="00162B20">
        <w:rPr>
          <w:rFonts w:asciiTheme="minorHAnsi" w:hAnsiTheme="minorHAnsi" w:cstheme="minorHAnsi"/>
        </w:rPr>
        <w:t xml:space="preserve">expected to provide a substantial and clinically relevant improvement in efficacy over alternative therapies, </w:t>
      </w:r>
      <w:r w:rsidR="00D034D3" w:rsidRPr="00162B20">
        <w:rPr>
          <w:rFonts w:asciiTheme="minorHAnsi" w:hAnsiTheme="minorHAnsi" w:cstheme="minorHAnsi"/>
        </w:rPr>
        <w:t>as the</w:t>
      </w:r>
      <w:r w:rsidR="009B7CEF" w:rsidRPr="00162B20">
        <w:rPr>
          <w:rFonts w:asciiTheme="minorHAnsi" w:hAnsiTheme="minorHAnsi" w:cstheme="minorHAnsi"/>
        </w:rPr>
        <w:t xml:space="preserve"> treatment benefit in nccRCC is unclear, especially with respect to overall survival</w:t>
      </w:r>
      <w:r w:rsidR="00F90C7A" w:rsidRPr="00162B20">
        <w:rPr>
          <w:rFonts w:asciiTheme="minorHAnsi" w:hAnsiTheme="minorHAnsi" w:cstheme="minorHAnsi"/>
        </w:rPr>
        <w:t xml:space="preserve"> gain</w:t>
      </w:r>
      <w:r w:rsidRPr="00162B20">
        <w:rPr>
          <w:rFonts w:asciiTheme="minorHAnsi" w:hAnsiTheme="minorHAnsi" w:cstheme="minorHAnsi"/>
        </w:rPr>
        <w:t xml:space="preserve">; </w:t>
      </w:r>
    </w:p>
    <w:p w14:paraId="4669D4F2" w14:textId="10C1A915" w:rsidR="00521D3F" w:rsidRPr="00162B20" w:rsidRDefault="00521D3F" w:rsidP="0014714C">
      <w:pPr>
        <w:widowControl w:val="0"/>
        <w:numPr>
          <w:ilvl w:val="1"/>
          <w:numId w:val="24"/>
        </w:numPr>
        <w:spacing w:after="120"/>
        <w:ind w:left="1134"/>
        <w:rPr>
          <w:rFonts w:asciiTheme="minorHAnsi" w:hAnsiTheme="minorHAnsi" w:cstheme="minorHAnsi"/>
        </w:rPr>
      </w:pPr>
      <w:r w:rsidRPr="00162B20">
        <w:rPr>
          <w:rFonts w:asciiTheme="minorHAnsi" w:hAnsiTheme="minorHAnsi" w:cstheme="minorHAnsi"/>
        </w:rPr>
        <w:t xml:space="preserve">The treatment is expected to address a high and urgent unmet clinical need </w:t>
      </w:r>
      <w:r w:rsidR="00D034D3" w:rsidRPr="00162B20">
        <w:rPr>
          <w:rFonts w:asciiTheme="minorHAnsi" w:hAnsiTheme="minorHAnsi" w:cstheme="minorHAnsi"/>
        </w:rPr>
        <w:t xml:space="preserve">as </w:t>
      </w:r>
      <w:r w:rsidR="009B7CEF" w:rsidRPr="00162B20">
        <w:rPr>
          <w:rFonts w:asciiTheme="minorHAnsi" w:hAnsiTheme="minorHAnsi" w:cstheme="minorHAnsi"/>
        </w:rPr>
        <w:t>there are currently no PBS-listed alternative treatments for nccRCC</w:t>
      </w:r>
      <w:r w:rsidRPr="00162B20">
        <w:rPr>
          <w:rFonts w:asciiTheme="minorHAnsi" w:hAnsiTheme="minorHAnsi" w:cstheme="minorHAnsi"/>
        </w:rPr>
        <w:t>;</w:t>
      </w:r>
    </w:p>
    <w:p w14:paraId="6629412C" w14:textId="77777777" w:rsidR="00D034D3" w:rsidRPr="00162B20" w:rsidRDefault="00521D3F" w:rsidP="0014714C">
      <w:pPr>
        <w:widowControl w:val="0"/>
        <w:numPr>
          <w:ilvl w:val="1"/>
          <w:numId w:val="24"/>
        </w:numPr>
        <w:spacing w:after="120"/>
        <w:ind w:left="1134"/>
        <w:rPr>
          <w:rFonts w:asciiTheme="minorHAnsi" w:hAnsiTheme="minorHAnsi" w:cstheme="minorHAnsi"/>
          <w:u w:val="single"/>
        </w:rPr>
      </w:pPr>
      <w:r w:rsidRPr="00162B20">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D034D3" w:rsidRPr="00162B20">
        <w:rPr>
          <w:rFonts w:asciiTheme="minorHAnsi" w:hAnsiTheme="minorHAnsi" w:cstheme="minorHAnsi"/>
        </w:rPr>
        <w:t xml:space="preserve">. </w:t>
      </w:r>
    </w:p>
    <w:p w14:paraId="3F862226" w14:textId="70842E35" w:rsidR="00D034D3" w:rsidRPr="0014714C" w:rsidRDefault="00521D3F" w:rsidP="0014714C">
      <w:pPr>
        <w:widowControl w:val="0"/>
        <w:numPr>
          <w:ilvl w:val="1"/>
          <w:numId w:val="1"/>
        </w:numPr>
        <w:spacing w:after="120"/>
        <w:rPr>
          <w:rFonts w:asciiTheme="minorHAnsi" w:hAnsiTheme="minorHAnsi"/>
          <w:b/>
          <w:bCs/>
          <w:snapToGrid w:val="0"/>
        </w:rPr>
      </w:pPr>
      <w:r w:rsidRPr="00162B20">
        <w:rPr>
          <w:rFonts w:asciiTheme="minorHAnsi" w:hAnsiTheme="minorHAnsi"/>
          <w:bCs/>
          <w:snapToGrid w:val="0"/>
        </w:rPr>
        <w:t xml:space="preserve">The PBAC noted that this submission </w:t>
      </w:r>
      <w:r w:rsidR="00D034D3" w:rsidRPr="00162B20">
        <w:rPr>
          <w:rFonts w:asciiTheme="minorHAnsi" w:hAnsiTheme="minorHAnsi"/>
          <w:bCs/>
          <w:snapToGrid w:val="0"/>
        </w:rPr>
        <w:t>i</w:t>
      </w:r>
      <w:r w:rsidRPr="00162B20">
        <w:rPr>
          <w:rFonts w:asciiTheme="minorHAnsi" w:hAnsiTheme="minorHAnsi"/>
          <w:bCs/>
          <w:snapToGrid w:val="0"/>
        </w:rPr>
        <w:t>s not eligible for an Independent Review</w:t>
      </w:r>
      <w:r w:rsidR="00D034D3" w:rsidRPr="00162B20">
        <w:rPr>
          <w:rFonts w:asciiTheme="minorHAnsi" w:hAnsiTheme="minorHAnsi"/>
          <w:bCs/>
          <w:snapToGrid w:val="0"/>
        </w:rPr>
        <w:t xml:space="preserve"> as it is a positive recommendation</w:t>
      </w:r>
      <w:r w:rsidR="00AD0C46" w:rsidRPr="00162B20">
        <w:rPr>
          <w:rFonts w:asciiTheme="minorHAnsi" w:hAnsiTheme="minorHAnsi"/>
          <w:bCs/>
          <w:snapToGrid w:val="0"/>
        </w:rPr>
        <w:t>.</w:t>
      </w:r>
    </w:p>
    <w:p w14:paraId="6E0C0116" w14:textId="4E6CD076" w:rsidR="00521D3F" w:rsidRPr="00162B20" w:rsidRDefault="00521D3F" w:rsidP="0014714C">
      <w:pPr>
        <w:widowControl w:val="0"/>
        <w:rPr>
          <w:rFonts w:asciiTheme="minorHAnsi" w:hAnsiTheme="minorHAnsi"/>
          <w:b/>
          <w:bCs/>
          <w:snapToGrid w:val="0"/>
        </w:rPr>
      </w:pPr>
      <w:r w:rsidRPr="00162B20">
        <w:rPr>
          <w:rFonts w:asciiTheme="minorHAnsi" w:hAnsiTheme="minorHAnsi"/>
          <w:b/>
          <w:bCs/>
          <w:snapToGrid w:val="0"/>
        </w:rPr>
        <w:t>Outcome:</w:t>
      </w:r>
    </w:p>
    <w:p w14:paraId="5B277AE0" w14:textId="19ED9746" w:rsidR="00521D3F" w:rsidRPr="00162B20" w:rsidRDefault="00521D3F" w:rsidP="0014714C">
      <w:pPr>
        <w:rPr>
          <w:rFonts w:asciiTheme="minorHAnsi" w:hAnsiTheme="minorHAnsi"/>
          <w:b/>
          <w:bCs/>
          <w:snapToGrid w:val="0"/>
        </w:rPr>
      </w:pPr>
      <w:r w:rsidRPr="00162B20">
        <w:rPr>
          <w:rFonts w:asciiTheme="minorHAnsi" w:hAnsiTheme="minorHAnsi"/>
          <w:bCs/>
          <w:snapToGrid w:val="0"/>
        </w:rPr>
        <w:t>Recommended</w:t>
      </w:r>
    </w:p>
    <w:p w14:paraId="3AB1D918" w14:textId="77777777" w:rsidR="00521D3F" w:rsidRPr="001042C0" w:rsidRDefault="00521D3F" w:rsidP="001042C0">
      <w:pPr>
        <w:pStyle w:val="2-SectionHeading"/>
      </w:pPr>
      <w:r w:rsidRPr="001042C0">
        <w:t>Recommended listing</w:t>
      </w:r>
    </w:p>
    <w:p w14:paraId="5BF2C99E" w14:textId="197A4ADF" w:rsidR="00AD0C46" w:rsidRPr="00162B20" w:rsidRDefault="00AD0C46" w:rsidP="00AD0C46">
      <w:pPr>
        <w:widowControl w:val="0"/>
        <w:numPr>
          <w:ilvl w:val="1"/>
          <w:numId w:val="1"/>
        </w:numPr>
        <w:spacing w:after="120"/>
        <w:rPr>
          <w:rFonts w:asciiTheme="minorHAnsi" w:hAnsiTheme="minorHAnsi"/>
          <w:bCs/>
          <w:snapToGrid w:val="0"/>
        </w:rPr>
      </w:pPr>
      <w:r w:rsidRPr="00162B20">
        <w:rPr>
          <w:rFonts w:asciiTheme="minorHAnsi" w:hAnsiTheme="minorHAnsi"/>
          <w:bCs/>
          <w:snapToGrid w:val="0"/>
        </w:rPr>
        <w:t>Amend existing listing as follows:</w:t>
      </w:r>
    </w:p>
    <w:p w14:paraId="6A544494" w14:textId="0C2DAC4F" w:rsidR="00AD0C46" w:rsidRPr="00162B20" w:rsidRDefault="00AD0C46" w:rsidP="00F51532">
      <w:pPr>
        <w:spacing w:after="120"/>
        <w:rPr>
          <w:rFonts w:asciiTheme="minorHAnsi" w:hAnsiTheme="minorHAnsi" w:cstheme="minorHAnsi"/>
        </w:rPr>
      </w:pPr>
      <w:r w:rsidRPr="00162B20">
        <w:rPr>
          <w:rFonts w:asciiTheme="minorHAnsi" w:hAnsiTheme="minorHAnsi" w:cstheme="minorHAnsi"/>
        </w:rPr>
        <w:t xml:space="preserve">Initial treatment (11371L, 11369J, 11360X) and continuing treatment (11374P, 11368H, 11367G) </w:t>
      </w:r>
    </w:p>
    <w:tbl>
      <w:tblPr>
        <w:tblW w:w="4885" w:type="pct"/>
        <w:tblLook w:val="0000" w:firstRow="0" w:lastRow="0" w:firstColumn="0" w:lastColumn="0" w:noHBand="0" w:noVBand="0"/>
      </w:tblPr>
      <w:tblGrid>
        <w:gridCol w:w="1734"/>
        <w:gridCol w:w="7078"/>
      </w:tblGrid>
      <w:tr w:rsidR="00AD0C46" w:rsidRPr="00162B20" w14:paraId="0792C635" w14:textId="77777777" w:rsidTr="00AF34DE">
        <w:trPr>
          <w:trHeight w:val="58"/>
        </w:trPr>
        <w:tc>
          <w:tcPr>
            <w:tcW w:w="984" w:type="pct"/>
            <w:tcBorders>
              <w:top w:val="single" w:sz="3" w:space="0" w:color="000000"/>
              <w:left w:val="single" w:sz="3" w:space="0" w:color="000000"/>
              <w:bottom w:val="single" w:sz="3" w:space="0" w:color="000000"/>
              <w:right w:val="single" w:sz="3" w:space="0" w:color="000000"/>
            </w:tcBorders>
            <w:shd w:val="clear" w:color="000000" w:fill="FFFFFF"/>
          </w:tcPr>
          <w:p w14:paraId="3DD7C831" w14:textId="77777777" w:rsidR="00AD0C46" w:rsidRPr="00162B20" w:rsidRDefault="00AD0C46" w:rsidP="00AF34DE">
            <w:pPr>
              <w:keepNext/>
              <w:autoSpaceDE w:val="0"/>
              <w:autoSpaceDN w:val="0"/>
              <w:adjustRightInd w:val="0"/>
              <w:rPr>
                <w:rFonts w:ascii="Arial Narrow" w:hAnsi="Arial Narrow" w:cs="Calibri"/>
                <w:sz w:val="20"/>
                <w:szCs w:val="20"/>
              </w:rPr>
            </w:pPr>
            <w:r w:rsidRPr="00162B20">
              <w:rPr>
                <w:rFonts w:ascii="Arial Narrow" w:hAnsi="Arial Narrow" w:cs="Arial Narrow"/>
                <w:b/>
                <w:bCs/>
                <w:color w:val="000000"/>
                <w:sz w:val="20"/>
                <w:szCs w:val="20"/>
              </w:rPr>
              <w:t>PBS Indication:</w:t>
            </w:r>
          </w:p>
        </w:tc>
        <w:tc>
          <w:tcPr>
            <w:tcW w:w="4016" w:type="pct"/>
            <w:tcBorders>
              <w:top w:val="single" w:sz="3" w:space="0" w:color="000000"/>
              <w:left w:val="single" w:sz="3" w:space="0" w:color="000000"/>
              <w:bottom w:val="single" w:sz="3" w:space="0" w:color="000000"/>
              <w:right w:val="single" w:sz="3" w:space="0" w:color="000000"/>
            </w:tcBorders>
            <w:shd w:val="clear" w:color="000000" w:fill="FFFFFF"/>
          </w:tcPr>
          <w:p w14:paraId="1A27E542" w14:textId="77777777" w:rsidR="00AD0C46" w:rsidRPr="00162B20" w:rsidRDefault="00AD0C46" w:rsidP="00AF34DE">
            <w:pPr>
              <w:keepNext/>
              <w:autoSpaceDE w:val="0"/>
              <w:autoSpaceDN w:val="0"/>
              <w:adjustRightInd w:val="0"/>
              <w:rPr>
                <w:rFonts w:ascii="Arial Narrow" w:hAnsi="Arial Narrow" w:cs="Calibri"/>
                <w:i/>
                <w:strike/>
                <w:sz w:val="20"/>
                <w:szCs w:val="20"/>
              </w:rPr>
            </w:pPr>
            <w:r w:rsidRPr="00162B20">
              <w:rPr>
                <w:rFonts w:ascii="Arial Narrow" w:hAnsi="Arial Narrow"/>
                <w:color w:val="000000"/>
                <w:sz w:val="20"/>
                <w:szCs w:val="20"/>
              </w:rPr>
              <w:t xml:space="preserve">Stage IV </w:t>
            </w:r>
            <w:r w:rsidRPr="00162B20">
              <w:rPr>
                <w:rFonts w:ascii="Arial Narrow" w:hAnsi="Arial Narrow"/>
                <w:strike/>
                <w:color w:val="000000"/>
                <w:sz w:val="20"/>
                <w:szCs w:val="20"/>
              </w:rPr>
              <w:t>clear cell variant</w:t>
            </w:r>
            <w:r w:rsidRPr="00162B20">
              <w:rPr>
                <w:rFonts w:ascii="Arial Narrow" w:hAnsi="Arial Narrow"/>
                <w:color w:val="000000"/>
                <w:sz w:val="20"/>
                <w:szCs w:val="20"/>
              </w:rPr>
              <w:t xml:space="preserve"> renal cell carcinoma (RCC)</w:t>
            </w:r>
          </w:p>
        </w:tc>
      </w:tr>
    </w:tbl>
    <w:p w14:paraId="738E68C4" w14:textId="4C649487" w:rsidR="00955D85" w:rsidRDefault="00955D85" w:rsidP="00955D85">
      <w:pPr>
        <w:widowControl w:val="0"/>
        <w:spacing w:after="120"/>
        <w:rPr>
          <w:rFonts w:asciiTheme="minorHAnsi" w:hAnsiTheme="minorHAnsi"/>
          <w:bCs/>
          <w:snapToGrid w:val="0"/>
        </w:rPr>
      </w:pPr>
    </w:p>
    <w:p w14:paraId="49A2DE34" w14:textId="77777777" w:rsidR="00955D85" w:rsidRDefault="00955D85">
      <w:pPr>
        <w:jc w:val="left"/>
        <w:rPr>
          <w:rFonts w:asciiTheme="minorHAnsi" w:hAnsiTheme="minorHAnsi"/>
          <w:bCs/>
          <w:snapToGrid w:val="0"/>
        </w:rPr>
      </w:pPr>
      <w:r>
        <w:rPr>
          <w:rFonts w:asciiTheme="minorHAnsi" w:hAnsiTheme="minorHAnsi"/>
          <w:bCs/>
          <w:snapToGrid w:val="0"/>
        </w:rPr>
        <w:br w:type="page"/>
      </w:r>
    </w:p>
    <w:p w14:paraId="22944FD4" w14:textId="2B9E50CC" w:rsidR="00AD0C46" w:rsidRPr="00162B20" w:rsidRDefault="00AD0C46" w:rsidP="00AD0C46">
      <w:pPr>
        <w:widowControl w:val="0"/>
        <w:numPr>
          <w:ilvl w:val="1"/>
          <w:numId w:val="1"/>
        </w:numPr>
        <w:spacing w:after="120"/>
        <w:rPr>
          <w:rFonts w:asciiTheme="minorHAnsi" w:hAnsiTheme="minorHAnsi"/>
          <w:bCs/>
          <w:snapToGrid w:val="0"/>
        </w:rPr>
      </w:pPr>
      <w:r w:rsidRPr="00162B20">
        <w:rPr>
          <w:rFonts w:asciiTheme="minorHAnsi" w:hAnsiTheme="minorHAnsi"/>
          <w:bCs/>
          <w:snapToGrid w:val="0"/>
        </w:rPr>
        <w:lastRenderedPageBreak/>
        <w:t xml:space="preserve">Add new </w:t>
      </w:r>
      <w:r w:rsidR="007B16AF">
        <w:rPr>
          <w:rFonts w:asciiTheme="minorHAnsi" w:hAnsiTheme="minorHAnsi"/>
          <w:bCs/>
          <w:snapToGrid w:val="0"/>
        </w:rPr>
        <w:t>restriction to allow grandfathering patients</w:t>
      </w:r>
      <w:r w:rsidR="007B16AF" w:rsidRPr="00162B20">
        <w:rPr>
          <w:rFonts w:asciiTheme="minorHAnsi" w:hAnsiTheme="minorHAnsi"/>
          <w:bCs/>
          <w:snapToGrid w:val="0"/>
        </w:rPr>
        <w:t xml:space="preserve"> </w:t>
      </w:r>
      <w:r w:rsidRPr="00162B20">
        <w:rPr>
          <w:rFonts w:asciiTheme="minorHAnsi" w:hAnsiTheme="minorHAnsi"/>
          <w:bCs/>
          <w:snapToGrid w:val="0"/>
        </w:rPr>
        <w:t>as follows:</w:t>
      </w:r>
    </w:p>
    <w:tbl>
      <w:tblPr>
        <w:tblW w:w="5000" w:type="pct"/>
        <w:tblLook w:val="0000" w:firstRow="0" w:lastRow="0" w:firstColumn="0" w:lastColumn="0" w:noHBand="0" w:noVBand="0"/>
      </w:tblPr>
      <w:tblGrid>
        <w:gridCol w:w="1654"/>
        <w:gridCol w:w="1251"/>
        <w:gridCol w:w="968"/>
        <w:gridCol w:w="960"/>
        <w:gridCol w:w="903"/>
        <w:gridCol w:w="903"/>
        <w:gridCol w:w="1193"/>
        <w:gridCol w:w="1195"/>
      </w:tblGrid>
      <w:tr w:rsidR="00AD0C46" w:rsidRPr="00162B20" w14:paraId="33918415" w14:textId="77777777" w:rsidTr="00AF34DE">
        <w:trPr>
          <w:trHeight w:val="58"/>
        </w:trPr>
        <w:tc>
          <w:tcPr>
            <w:tcW w:w="1609" w:type="pct"/>
            <w:gridSpan w:val="2"/>
            <w:tcBorders>
              <w:top w:val="single" w:sz="4" w:space="0" w:color="auto"/>
              <w:bottom w:val="single" w:sz="4" w:space="0" w:color="auto"/>
            </w:tcBorders>
            <w:shd w:val="clear" w:color="000000" w:fill="FFFFFF"/>
          </w:tcPr>
          <w:p w14:paraId="6250E146" w14:textId="77777777" w:rsidR="00AD0C46" w:rsidRPr="00162B20" w:rsidRDefault="00AD0C46" w:rsidP="00F51532">
            <w:pPr>
              <w:autoSpaceDE w:val="0"/>
              <w:autoSpaceDN w:val="0"/>
              <w:adjustRightInd w:val="0"/>
              <w:ind w:left="-108"/>
              <w:jc w:val="left"/>
              <w:rPr>
                <w:rFonts w:ascii="Arial Narrow" w:hAnsi="Arial Narrow" w:cs="Arial Narrow"/>
                <w:b/>
                <w:sz w:val="20"/>
                <w:szCs w:val="20"/>
              </w:rPr>
            </w:pPr>
            <w:r w:rsidRPr="00162B20">
              <w:rPr>
                <w:rFonts w:ascii="Arial Narrow" w:hAnsi="Arial Narrow" w:cs="Arial Narrow"/>
                <w:b/>
                <w:sz w:val="20"/>
                <w:szCs w:val="20"/>
              </w:rPr>
              <w:t>Name, Restriction,</w:t>
            </w:r>
          </w:p>
          <w:p w14:paraId="53DF36CF"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Arial Narrow"/>
                <w:b/>
                <w:sz w:val="20"/>
                <w:szCs w:val="20"/>
              </w:rPr>
              <w:t>Manner of administration and form</w:t>
            </w:r>
          </w:p>
        </w:tc>
        <w:tc>
          <w:tcPr>
            <w:tcW w:w="536" w:type="pct"/>
            <w:tcBorders>
              <w:top w:val="single" w:sz="4" w:space="0" w:color="auto"/>
              <w:bottom w:val="single" w:sz="4" w:space="0" w:color="auto"/>
            </w:tcBorders>
            <w:shd w:val="clear" w:color="000000" w:fill="FFFFFF"/>
          </w:tcPr>
          <w:p w14:paraId="3546911F"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Calibri"/>
                <w:b/>
                <w:sz w:val="20"/>
                <w:szCs w:val="20"/>
              </w:rPr>
              <w:t>PBS item code</w:t>
            </w:r>
          </w:p>
        </w:tc>
        <w:tc>
          <w:tcPr>
            <w:tcW w:w="532" w:type="pct"/>
            <w:tcBorders>
              <w:top w:val="single" w:sz="4" w:space="0" w:color="auto"/>
              <w:bottom w:val="single" w:sz="4" w:space="0" w:color="auto"/>
            </w:tcBorders>
            <w:shd w:val="clear" w:color="000000" w:fill="FFFFFF"/>
          </w:tcPr>
          <w:p w14:paraId="6F3A17A5"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Calibri"/>
                <w:b/>
                <w:sz w:val="20"/>
                <w:szCs w:val="20"/>
              </w:rPr>
              <w:t>Max. Qty packs</w:t>
            </w:r>
          </w:p>
        </w:tc>
        <w:tc>
          <w:tcPr>
            <w:tcW w:w="500" w:type="pct"/>
            <w:tcBorders>
              <w:top w:val="single" w:sz="4" w:space="0" w:color="auto"/>
              <w:bottom w:val="single" w:sz="4" w:space="0" w:color="auto"/>
            </w:tcBorders>
            <w:shd w:val="clear" w:color="000000" w:fill="FFFFFF"/>
          </w:tcPr>
          <w:p w14:paraId="22A9F66D"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Calibri"/>
                <w:b/>
                <w:sz w:val="20"/>
                <w:szCs w:val="20"/>
              </w:rPr>
              <w:t>Max Qty units</w:t>
            </w:r>
          </w:p>
        </w:tc>
        <w:tc>
          <w:tcPr>
            <w:tcW w:w="500" w:type="pct"/>
            <w:tcBorders>
              <w:top w:val="single" w:sz="4" w:space="0" w:color="auto"/>
              <w:bottom w:val="single" w:sz="4" w:space="0" w:color="auto"/>
            </w:tcBorders>
            <w:shd w:val="clear" w:color="000000" w:fill="FFFFFF"/>
          </w:tcPr>
          <w:p w14:paraId="6D5F7336"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Calibri"/>
                <w:b/>
                <w:sz w:val="20"/>
                <w:szCs w:val="20"/>
              </w:rPr>
              <w:t>N</w:t>
            </w:r>
            <w:r w:rsidRPr="00162B20">
              <w:rPr>
                <w:rFonts w:ascii="Arial Narrow" w:hAnsi="Arial Narrow" w:cs="Calibri"/>
                <w:b/>
                <w:sz w:val="20"/>
                <w:szCs w:val="20"/>
                <w:vertAlign w:val="superscript"/>
              </w:rPr>
              <w:t>o</w:t>
            </w:r>
            <w:r w:rsidRPr="00162B20">
              <w:rPr>
                <w:rFonts w:ascii="Arial Narrow" w:hAnsi="Arial Narrow" w:cs="Calibri"/>
                <w:b/>
                <w:sz w:val="20"/>
                <w:szCs w:val="20"/>
              </w:rPr>
              <w:t xml:space="preserve"> of Rpts</w:t>
            </w:r>
          </w:p>
        </w:tc>
        <w:tc>
          <w:tcPr>
            <w:tcW w:w="1323" w:type="pct"/>
            <w:gridSpan w:val="2"/>
            <w:tcBorders>
              <w:top w:val="single" w:sz="4" w:space="0" w:color="auto"/>
              <w:bottom w:val="single" w:sz="4" w:space="0" w:color="auto"/>
            </w:tcBorders>
            <w:shd w:val="clear" w:color="000000" w:fill="FFFFFF"/>
          </w:tcPr>
          <w:p w14:paraId="01D3C0A1" w14:textId="77777777" w:rsidR="00AD0C46" w:rsidRPr="00162B20" w:rsidRDefault="00AD0C46" w:rsidP="00F51532">
            <w:pPr>
              <w:autoSpaceDE w:val="0"/>
              <w:autoSpaceDN w:val="0"/>
              <w:adjustRightInd w:val="0"/>
              <w:ind w:left="-108"/>
              <w:jc w:val="left"/>
              <w:rPr>
                <w:rFonts w:ascii="Arial Narrow" w:hAnsi="Arial Narrow" w:cs="Calibri"/>
                <w:b/>
                <w:sz w:val="20"/>
                <w:szCs w:val="20"/>
              </w:rPr>
            </w:pPr>
            <w:r w:rsidRPr="00162B20">
              <w:rPr>
                <w:rFonts w:ascii="Arial Narrow" w:hAnsi="Arial Narrow" w:cs="Arial Narrow"/>
                <w:b/>
                <w:sz w:val="20"/>
                <w:szCs w:val="20"/>
              </w:rPr>
              <w:t>Proprietary Name and Manufacturer</w:t>
            </w:r>
          </w:p>
        </w:tc>
      </w:tr>
      <w:tr w:rsidR="00AD0C46" w:rsidRPr="00162B20" w14:paraId="71B246E2" w14:textId="77777777" w:rsidTr="00AF34DE">
        <w:trPr>
          <w:trHeight w:val="58"/>
        </w:trPr>
        <w:tc>
          <w:tcPr>
            <w:tcW w:w="1609" w:type="pct"/>
            <w:gridSpan w:val="2"/>
            <w:tcBorders>
              <w:top w:val="single" w:sz="4" w:space="0" w:color="auto"/>
            </w:tcBorders>
            <w:shd w:val="clear" w:color="000000" w:fill="FFFFFF"/>
          </w:tcPr>
          <w:p w14:paraId="7084D7D2"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CABOZANTINIB</w:t>
            </w:r>
          </w:p>
          <w:p w14:paraId="33587AFE" w14:textId="77777777" w:rsidR="00AD0C46" w:rsidRPr="00162B20" w:rsidRDefault="00AD0C46" w:rsidP="00AF34DE">
            <w:pPr>
              <w:autoSpaceDE w:val="0"/>
              <w:autoSpaceDN w:val="0"/>
              <w:adjustRightInd w:val="0"/>
              <w:ind w:left="-108"/>
              <w:rPr>
                <w:rFonts w:ascii="Arial Narrow" w:hAnsi="Arial Narrow" w:cs="Calibri"/>
              </w:rPr>
            </w:pPr>
            <w:r w:rsidRPr="00162B20">
              <w:rPr>
                <w:rFonts w:ascii="Arial Narrow" w:hAnsi="Arial Narrow" w:cs="Arial Narrow"/>
                <w:sz w:val="20"/>
                <w:szCs w:val="20"/>
              </w:rPr>
              <w:t>Cabozantinib 20 mg tablet, 30</w:t>
            </w:r>
          </w:p>
        </w:tc>
        <w:tc>
          <w:tcPr>
            <w:tcW w:w="536" w:type="pct"/>
            <w:tcBorders>
              <w:top w:val="single" w:sz="4" w:space="0" w:color="auto"/>
            </w:tcBorders>
            <w:shd w:val="clear" w:color="000000" w:fill="FFFFFF"/>
            <w:vAlign w:val="bottom"/>
          </w:tcPr>
          <w:p w14:paraId="647324BC" w14:textId="77777777" w:rsidR="00AD0C46" w:rsidRPr="00162B20" w:rsidRDefault="00AD0C46" w:rsidP="00AF34DE">
            <w:pPr>
              <w:autoSpaceDE w:val="0"/>
              <w:autoSpaceDN w:val="0"/>
              <w:adjustRightInd w:val="0"/>
              <w:ind w:left="-108"/>
              <w:rPr>
                <w:rFonts w:ascii="Arial Narrow" w:hAnsi="Arial Narrow" w:cs="Calibri"/>
                <w:sz w:val="20"/>
              </w:rPr>
            </w:pPr>
            <w:r w:rsidRPr="00162B20">
              <w:rPr>
                <w:rFonts w:ascii="Arial Narrow" w:hAnsi="Arial Narrow" w:cs="Calibri"/>
                <w:sz w:val="20"/>
              </w:rPr>
              <w:t>11374P</w:t>
            </w:r>
          </w:p>
        </w:tc>
        <w:tc>
          <w:tcPr>
            <w:tcW w:w="532" w:type="pct"/>
            <w:tcBorders>
              <w:top w:val="single" w:sz="4" w:space="0" w:color="auto"/>
            </w:tcBorders>
            <w:shd w:val="clear" w:color="000000" w:fill="FFFFFF"/>
            <w:vAlign w:val="bottom"/>
          </w:tcPr>
          <w:p w14:paraId="30551E8F"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1</w:t>
            </w:r>
          </w:p>
        </w:tc>
        <w:tc>
          <w:tcPr>
            <w:tcW w:w="500" w:type="pct"/>
            <w:tcBorders>
              <w:top w:val="single" w:sz="4" w:space="0" w:color="auto"/>
            </w:tcBorders>
            <w:shd w:val="clear" w:color="000000" w:fill="FFFFFF"/>
            <w:vAlign w:val="bottom"/>
          </w:tcPr>
          <w:p w14:paraId="4C821AC2" w14:textId="77777777" w:rsidR="00AD0C46" w:rsidRPr="00162B20" w:rsidRDefault="00AD0C46" w:rsidP="00AF34DE">
            <w:pPr>
              <w:autoSpaceDE w:val="0"/>
              <w:autoSpaceDN w:val="0"/>
              <w:adjustRightInd w:val="0"/>
              <w:ind w:left="-108"/>
              <w:rPr>
                <w:rFonts w:ascii="Arial Narrow" w:hAnsi="Arial Narrow" w:cs="Calibri"/>
                <w:sz w:val="20"/>
              </w:rPr>
            </w:pPr>
            <w:r w:rsidRPr="00162B20">
              <w:rPr>
                <w:rFonts w:ascii="Arial Narrow" w:hAnsi="Arial Narrow" w:cs="Calibri"/>
                <w:sz w:val="20"/>
              </w:rPr>
              <w:t>30</w:t>
            </w:r>
          </w:p>
        </w:tc>
        <w:tc>
          <w:tcPr>
            <w:tcW w:w="500" w:type="pct"/>
            <w:tcBorders>
              <w:top w:val="single" w:sz="4" w:space="0" w:color="auto"/>
            </w:tcBorders>
            <w:shd w:val="clear" w:color="000000" w:fill="FFFFFF"/>
            <w:vAlign w:val="bottom"/>
          </w:tcPr>
          <w:p w14:paraId="364950E8" w14:textId="77777777" w:rsidR="00AD0C46" w:rsidRPr="00162B20" w:rsidRDefault="00AD0C46" w:rsidP="00AF34DE">
            <w:pPr>
              <w:autoSpaceDE w:val="0"/>
              <w:autoSpaceDN w:val="0"/>
              <w:adjustRightInd w:val="0"/>
              <w:ind w:left="-108"/>
              <w:rPr>
                <w:rFonts w:ascii="Arial Narrow" w:hAnsi="Arial Narrow" w:cs="Calibri"/>
                <w:sz w:val="20"/>
              </w:rPr>
            </w:pPr>
            <w:r w:rsidRPr="00162B20">
              <w:rPr>
                <w:rFonts w:ascii="Arial Narrow" w:hAnsi="Arial Narrow" w:cs="Calibri"/>
                <w:sz w:val="20"/>
              </w:rPr>
              <w:t>5</w:t>
            </w:r>
          </w:p>
        </w:tc>
        <w:tc>
          <w:tcPr>
            <w:tcW w:w="661" w:type="pct"/>
            <w:tcBorders>
              <w:top w:val="single" w:sz="4" w:space="0" w:color="auto"/>
            </w:tcBorders>
            <w:shd w:val="clear" w:color="000000" w:fill="FFFFFF"/>
            <w:vAlign w:val="bottom"/>
          </w:tcPr>
          <w:p w14:paraId="35B1923F" w14:textId="77777777" w:rsidR="00AD0C46" w:rsidRPr="00162B20" w:rsidRDefault="00AD0C46" w:rsidP="00AF34DE">
            <w:pPr>
              <w:autoSpaceDE w:val="0"/>
              <w:autoSpaceDN w:val="0"/>
              <w:adjustRightInd w:val="0"/>
              <w:rPr>
                <w:rFonts w:ascii="Arial Narrow" w:hAnsi="Arial Narrow" w:cs="Calibri"/>
              </w:rPr>
            </w:pPr>
            <w:r w:rsidRPr="00162B20">
              <w:rPr>
                <w:rFonts w:ascii="Arial Narrow" w:hAnsi="Arial Narrow"/>
                <w:sz w:val="20"/>
              </w:rPr>
              <w:t>Cabometyx</w:t>
            </w:r>
            <w:r w:rsidRPr="00162B20">
              <w:rPr>
                <w:rFonts w:ascii="Arial Narrow" w:hAnsi="Arial Narrow"/>
                <w:sz w:val="20"/>
                <w:vertAlign w:val="superscript"/>
              </w:rPr>
              <w:t>®</w:t>
            </w:r>
          </w:p>
        </w:tc>
        <w:tc>
          <w:tcPr>
            <w:tcW w:w="662" w:type="pct"/>
            <w:tcBorders>
              <w:top w:val="single" w:sz="4" w:space="0" w:color="auto"/>
            </w:tcBorders>
            <w:shd w:val="clear" w:color="000000" w:fill="FFFFFF"/>
            <w:vAlign w:val="bottom"/>
          </w:tcPr>
          <w:p w14:paraId="78445D0A" w14:textId="77777777" w:rsidR="00AD0C46" w:rsidRPr="00162B20" w:rsidRDefault="00AD0C46" w:rsidP="00AF34DE">
            <w:pPr>
              <w:autoSpaceDE w:val="0"/>
              <w:autoSpaceDN w:val="0"/>
              <w:adjustRightInd w:val="0"/>
              <w:ind w:left="-108"/>
              <w:rPr>
                <w:rFonts w:ascii="Arial Narrow" w:hAnsi="Arial Narrow" w:cs="Calibri"/>
              </w:rPr>
            </w:pPr>
            <w:r w:rsidRPr="00162B20">
              <w:rPr>
                <w:rFonts w:ascii="Arial Narrow" w:hAnsi="Arial Narrow" w:cs="Arial Narrow"/>
                <w:sz w:val="20"/>
                <w:szCs w:val="20"/>
              </w:rPr>
              <w:t>Ipsen Pty Ltd</w:t>
            </w:r>
          </w:p>
        </w:tc>
      </w:tr>
      <w:tr w:rsidR="00AD0C46" w:rsidRPr="00162B20" w14:paraId="04F2B787" w14:textId="77777777" w:rsidTr="00AF34DE">
        <w:trPr>
          <w:trHeight w:val="58"/>
        </w:trPr>
        <w:tc>
          <w:tcPr>
            <w:tcW w:w="1609" w:type="pct"/>
            <w:gridSpan w:val="2"/>
            <w:shd w:val="clear" w:color="000000" w:fill="FFFFFF"/>
          </w:tcPr>
          <w:p w14:paraId="5F564EDA"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Cabozantinib 40 mg tablet, 30</w:t>
            </w:r>
          </w:p>
        </w:tc>
        <w:tc>
          <w:tcPr>
            <w:tcW w:w="536" w:type="pct"/>
            <w:shd w:val="clear" w:color="000000" w:fill="FFFFFF"/>
            <w:vAlign w:val="bottom"/>
          </w:tcPr>
          <w:p w14:paraId="0D1BD9B0"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11368H</w:t>
            </w:r>
          </w:p>
        </w:tc>
        <w:tc>
          <w:tcPr>
            <w:tcW w:w="532" w:type="pct"/>
            <w:shd w:val="clear" w:color="000000" w:fill="FFFFFF"/>
            <w:vAlign w:val="bottom"/>
          </w:tcPr>
          <w:p w14:paraId="007AFC46"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1</w:t>
            </w:r>
          </w:p>
        </w:tc>
        <w:tc>
          <w:tcPr>
            <w:tcW w:w="500" w:type="pct"/>
            <w:shd w:val="clear" w:color="000000" w:fill="FFFFFF"/>
            <w:vAlign w:val="bottom"/>
          </w:tcPr>
          <w:p w14:paraId="092CB9E9" w14:textId="77777777" w:rsidR="00AD0C46" w:rsidRPr="00162B20" w:rsidRDefault="00AD0C46" w:rsidP="00AF34DE">
            <w:pPr>
              <w:autoSpaceDE w:val="0"/>
              <w:autoSpaceDN w:val="0"/>
              <w:adjustRightInd w:val="0"/>
              <w:ind w:left="-108"/>
              <w:rPr>
                <w:rFonts w:ascii="Arial Narrow" w:hAnsi="Arial Narrow" w:cs="Calibri"/>
                <w:sz w:val="20"/>
              </w:rPr>
            </w:pPr>
            <w:r w:rsidRPr="00162B20">
              <w:rPr>
                <w:rFonts w:ascii="Arial Narrow" w:hAnsi="Arial Narrow" w:cs="Calibri"/>
                <w:sz w:val="20"/>
              </w:rPr>
              <w:t>30</w:t>
            </w:r>
          </w:p>
        </w:tc>
        <w:tc>
          <w:tcPr>
            <w:tcW w:w="500" w:type="pct"/>
            <w:shd w:val="clear" w:color="000000" w:fill="FFFFFF"/>
            <w:vAlign w:val="bottom"/>
          </w:tcPr>
          <w:p w14:paraId="13E4E721" w14:textId="77777777" w:rsidR="00AD0C46" w:rsidRPr="00162B20" w:rsidRDefault="00AD0C46" w:rsidP="00AF34DE">
            <w:pPr>
              <w:autoSpaceDE w:val="0"/>
              <w:autoSpaceDN w:val="0"/>
              <w:adjustRightInd w:val="0"/>
              <w:ind w:left="-108"/>
              <w:rPr>
                <w:rFonts w:ascii="Arial Narrow" w:hAnsi="Arial Narrow" w:cs="Calibri"/>
                <w:sz w:val="20"/>
              </w:rPr>
            </w:pPr>
            <w:r w:rsidRPr="00162B20">
              <w:rPr>
                <w:rFonts w:ascii="Arial Narrow" w:hAnsi="Arial Narrow" w:cs="Calibri"/>
                <w:sz w:val="20"/>
              </w:rPr>
              <w:t>5</w:t>
            </w:r>
          </w:p>
        </w:tc>
        <w:tc>
          <w:tcPr>
            <w:tcW w:w="661" w:type="pct"/>
            <w:shd w:val="clear" w:color="000000" w:fill="FFFFFF"/>
            <w:vAlign w:val="bottom"/>
          </w:tcPr>
          <w:p w14:paraId="4F83A6E8" w14:textId="77777777" w:rsidR="00AD0C46" w:rsidRPr="00162B20" w:rsidRDefault="00AD0C46" w:rsidP="00AF34DE">
            <w:pPr>
              <w:autoSpaceDE w:val="0"/>
              <w:autoSpaceDN w:val="0"/>
              <w:adjustRightInd w:val="0"/>
              <w:rPr>
                <w:rFonts w:ascii="Arial Narrow" w:hAnsi="Arial Narrow" w:cs="Calibri"/>
              </w:rPr>
            </w:pPr>
            <w:r w:rsidRPr="00162B20">
              <w:rPr>
                <w:rFonts w:ascii="Arial Narrow" w:hAnsi="Arial Narrow"/>
                <w:sz w:val="20"/>
              </w:rPr>
              <w:t>Cabometyx</w:t>
            </w:r>
            <w:r w:rsidRPr="00162B20">
              <w:rPr>
                <w:rFonts w:ascii="Arial Narrow" w:hAnsi="Arial Narrow"/>
                <w:sz w:val="20"/>
                <w:vertAlign w:val="superscript"/>
              </w:rPr>
              <w:t>®</w:t>
            </w:r>
          </w:p>
        </w:tc>
        <w:tc>
          <w:tcPr>
            <w:tcW w:w="662" w:type="pct"/>
            <w:shd w:val="clear" w:color="000000" w:fill="FFFFFF"/>
            <w:vAlign w:val="bottom"/>
          </w:tcPr>
          <w:p w14:paraId="08A6E02C" w14:textId="77777777" w:rsidR="00AD0C46" w:rsidRPr="00162B20" w:rsidRDefault="00AD0C46" w:rsidP="00AF34DE">
            <w:pPr>
              <w:autoSpaceDE w:val="0"/>
              <w:autoSpaceDN w:val="0"/>
              <w:adjustRightInd w:val="0"/>
              <w:ind w:left="-108"/>
              <w:rPr>
                <w:rFonts w:ascii="Arial Narrow" w:hAnsi="Arial Narrow" w:cs="Calibri"/>
              </w:rPr>
            </w:pPr>
            <w:r w:rsidRPr="00162B20">
              <w:rPr>
                <w:rFonts w:ascii="Arial Narrow" w:hAnsi="Arial Narrow" w:cs="Arial Narrow"/>
                <w:sz w:val="20"/>
                <w:szCs w:val="20"/>
              </w:rPr>
              <w:t>Ipsen Pty Ltd</w:t>
            </w:r>
          </w:p>
        </w:tc>
      </w:tr>
      <w:tr w:rsidR="00AD0C46" w:rsidRPr="00162B20" w14:paraId="1E805C79" w14:textId="77777777" w:rsidTr="00AF34DE">
        <w:trPr>
          <w:trHeight w:val="58"/>
        </w:trPr>
        <w:tc>
          <w:tcPr>
            <w:tcW w:w="1609" w:type="pct"/>
            <w:gridSpan w:val="2"/>
            <w:shd w:val="clear" w:color="000000" w:fill="FFFFFF"/>
          </w:tcPr>
          <w:p w14:paraId="6E776AB7"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Cabozantinib 60 mg tablet, 30</w:t>
            </w:r>
          </w:p>
        </w:tc>
        <w:tc>
          <w:tcPr>
            <w:tcW w:w="536" w:type="pct"/>
            <w:shd w:val="clear" w:color="000000" w:fill="FFFFFF"/>
          </w:tcPr>
          <w:p w14:paraId="7645E2EB"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11367G</w:t>
            </w:r>
          </w:p>
        </w:tc>
        <w:tc>
          <w:tcPr>
            <w:tcW w:w="532" w:type="pct"/>
            <w:shd w:val="clear" w:color="000000" w:fill="FFFFFF"/>
          </w:tcPr>
          <w:p w14:paraId="721F35B3"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1</w:t>
            </w:r>
          </w:p>
        </w:tc>
        <w:tc>
          <w:tcPr>
            <w:tcW w:w="500" w:type="pct"/>
            <w:shd w:val="clear" w:color="000000" w:fill="FFFFFF"/>
          </w:tcPr>
          <w:p w14:paraId="325BF642"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30</w:t>
            </w:r>
          </w:p>
        </w:tc>
        <w:tc>
          <w:tcPr>
            <w:tcW w:w="500" w:type="pct"/>
            <w:shd w:val="clear" w:color="000000" w:fill="FFFFFF"/>
          </w:tcPr>
          <w:p w14:paraId="0D0320EA" w14:textId="77777777" w:rsidR="00AD0C46" w:rsidRPr="00162B20" w:rsidRDefault="00AD0C46" w:rsidP="00AF34DE">
            <w:pPr>
              <w:autoSpaceDE w:val="0"/>
              <w:autoSpaceDN w:val="0"/>
              <w:adjustRightInd w:val="0"/>
              <w:ind w:left="-108"/>
              <w:rPr>
                <w:rFonts w:ascii="Arial Narrow" w:hAnsi="Arial Narrow" w:cs="Arial Narrow"/>
                <w:sz w:val="20"/>
                <w:szCs w:val="20"/>
              </w:rPr>
            </w:pPr>
            <w:r w:rsidRPr="00162B20">
              <w:rPr>
                <w:rFonts w:ascii="Arial Narrow" w:hAnsi="Arial Narrow" w:cs="Arial Narrow"/>
                <w:sz w:val="20"/>
                <w:szCs w:val="20"/>
              </w:rPr>
              <w:t>5</w:t>
            </w:r>
          </w:p>
        </w:tc>
        <w:tc>
          <w:tcPr>
            <w:tcW w:w="661" w:type="pct"/>
            <w:shd w:val="clear" w:color="000000" w:fill="FFFFFF"/>
            <w:vAlign w:val="bottom"/>
          </w:tcPr>
          <w:p w14:paraId="4C1269CE" w14:textId="77777777" w:rsidR="00AD0C46" w:rsidRPr="00162B20" w:rsidRDefault="00AD0C46" w:rsidP="00AF34DE">
            <w:pPr>
              <w:autoSpaceDE w:val="0"/>
              <w:autoSpaceDN w:val="0"/>
              <w:adjustRightInd w:val="0"/>
              <w:rPr>
                <w:rFonts w:ascii="Arial Narrow" w:hAnsi="Arial Narrow" w:cs="Calibri"/>
              </w:rPr>
            </w:pPr>
            <w:r w:rsidRPr="00162B20">
              <w:rPr>
                <w:rFonts w:ascii="Arial Narrow" w:hAnsi="Arial Narrow" w:cs="Arial Narrow"/>
                <w:sz w:val="20"/>
                <w:szCs w:val="20"/>
              </w:rPr>
              <w:t>Cabometyx</w:t>
            </w:r>
            <w:r w:rsidRPr="00162B20">
              <w:rPr>
                <w:rFonts w:ascii="Arial Narrow" w:hAnsi="Arial Narrow"/>
                <w:sz w:val="20"/>
                <w:vertAlign w:val="superscript"/>
              </w:rPr>
              <w:t>®</w:t>
            </w:r>
          </w:p>
        </w:tc>
        <w:tc>
          <w:tcPr>
            <w:tcW w:w="662" w:type="pct"/>
            <w:shd w:val="clear" w:color="000000" w:fill="FFFFFF"/>
            <w:vAlign w:val="bottom"/>
          </w:tcPr>
          <w:p w14:paraId="7971D189" w14:textId="77777777" w:rsidR="00AD0C46" w:rsidRPr="00162B20" w:rsidRDefault="00AD0C46" w:rsidP="00AF34DE">
            <w:pPr>
              <w:autoSpaceDE w:val="0"/>
              <w:autoSpaceDN w:val="0"/>
              <w:adjustRightInd w:val="0"/>
              <w:ind w:left="-108"/>
              <w:rPr>
                <w:rFonts w:ascii="Arial Narrow" w:hAnsi="Arial Narrow" w:cs="Calibri"/>
              </w:rPr>
            </w:pPr>
            <w:r w:rsidRPr="00162B20">
              <w:rPr>
                <w:rFonts w:ascii="Arial Narrow" w:hAnsi="Arial Narrow" w:cs="Arial Narrow"/>
                <w:sz w:val="20"/>
                <w:szCs w:val="20"/>
              </w:rPr>
              <w:t>Ipsen Pty Ltd</w:t>
            </w:r>
          </w:p>
        </w:tc>
      </w:tr>
      <w:tr w:rsidR="00AD0C46" w:rsidRPr="00162B20" w14:paraId="326DE535" w14:textId="77777777" w:rsidTr="00AF34DE">
        <w:trPr>
          <w:trHeight w:val="58"/>
        </w:trPr>
        <w:tc>
          <w:tcPr>
            <w:tcW w:w="916" w:type="pct"/>
            <w:tcBorders>
              <w:bottom w:val="single" w:sz="4" w:space="0" w:color="auto"/>
            </w:tcBorders>
            <w:shd w:val="clear" w:color="000000" w:fill="FFFFFF"/>
          </w:tcPr>
          <w:p w14:paraId="3D68506B" w14:textId="77777777" w:rsidR="00AD0C46" w:rsidRPr="00162B20" w:rsidRDefault="00AD0C46" w:rsidP="00AF34DE">
            <w:pPr>
              <w:keepNext/>
              <w:autoSpaceDE w:val="0"/>
              <w:autoSpaceDN w:val="0"/>
              <w:adjustRightInd w:val="0"/>
              <w:ind w:left="-108"/>
              <w:rPr>
                <w:rFonts w:ascii="Arial Narrow" w:hAnsi="Arial Narrow" w:cs="Arial Narrow"/>
                <w:sz w:val="8"/>
                <w:szCs w:val="20"/>
              </w:rPr>
            </w:pPr>
          </w:p>
        </w:tc>
        <w:tc>
          <w:tcPr>
            <w:tcW w:w="1229" w:type="pct"/>
            <w:gridSpan w:val="2"/>
            <w:tcBorders>
              <w:bottom w:val="single" w:sz="4" w:space="0" w:color="auto"/>
            </w:tcBorders>
            <w:shd w:val="clear" w:color="000000" w:fill="FFFFFF"/>
          </w:tcPr>
          <w:p w14:paraId="65E1F721" w14:textId="77777777" w:rsidR="00AD0C46" w:rsidRPr="00162B20" w:rsidRDefault="00AD0C46" w:rsidP="00AF34DE">
            <w:pPr>
              <w:keepNext/>
              <w:autoSpaceDE w:val="0"/>
              <w:autoSpaceDN w:val="0"/>
              <w:adjustRightInd w:val="0"/>
              <w:ind w:left="-108"/>
              <w:rPr>
                <w:rFonts w:ascii="Arial Narrow" w:hAnsi="Arial Narrow" w:cs="Arial Narrow"/>
                <w:sz w:val="8"/>
                <w:szCs w:val="20"/>
              </w:rPr>
            </w:pPr>
          </w:p>
        </w:tc>
        <w:tc>
          <w:tcPr>
            <w:tcW w:w="532" w:type="pct"/>
            <w:tcBorders>
              <w:bottom w:val="single" w:sz="4" w:space="0" w:color="auto"/>
            </w:tcBorders>
            <w:shd w:val="clear" w:color="000000" w:fill="FFFFFF"/>
          </w:tcPr>
          <w:p w14:paraId="28D29A29" w14:textId="77777777" w:rsidR="00AD0C46" w:rsidRPr="00162B20" w:rsidRDefault="00AD0C46" w:rsidP="00AF34DE">
            <w:pPr>
              <w:keepNext/>
              <w:autoSpaceDE w:val="0"/>
              <w:autoSpaceDN w:val="0"/>
              <w:adjustRightInd w:val="0"/>
              <w:ind w:left="-108"/>
              <w:rPr>
                <w:rFonts w:ascii="Arial Narrow" w:hAnsi="Arial Narrow" w:cs="Arial Narrow"/>
                <w:strike/>
                <w:sz w:val="8"/>
                <w:szCs w:val="20"/>
              </w:rPr>
            </w:pPr>
          </w:p>
        </w:tc>
        <w:tc>
          <w:tcPr>
            <w:tcW w:w="500" w:type="pct"/>
            <w:tcBorders>
              <w:bottom w:val="single" w:sz="4" w:space="0" w:color="auto"/>
            </w:tcBorders>
            <w:shd w:val="clear" w:color="000000" w:fill="FFFFFF"/>
          </w:tcPr>
          <w:p w14:paraId="3270E353" w14:textId="77777777" w:rsidR="00AD0C46" w:rsidRPr="00162B20" w:rsidRDefault="00AD0C46" w:rsidP="00AF34DE">
            <w:pPr>
              <w:keepNext/>
              <w:autoSpaceDE w:val="0"/>
              <w:autoSpaceDN w:val="0"/>
              <w:adjustRightInd w:val="0"/>
              <w:ind w:left="-108"/>
              <w:rPr>
                <w:rFonts w:ascii="Arial Narrow" w:hAnsi="Arial Narrow" w:cs="Arial Narrow"/>
                <w:sz w:val="8"/>
                <w:szCs w:val="20"/>
              </w:rPr>
            </w:pPr>
          </w:p>
        </w:tc>
        <w:tc>
          <w:tcPr>
            <w:tcW w:w="500" w:type="pct"/>
            <w:tcBorders>
              <w:bottom w:val="single" w:sz="4" w:space="0" w:color="auto"/>
            </w:tcBorders>
            <w:shd w:val="clear" w:color="000000" w:fill="FFFFFF"/>
          </w:tcPr>
          <w:p w14:paraId="2FCDA51F" w14:textId="77777777" w:rsidR="00AD0C46" w:rsidRPr="00162B20" w:rsidRDefault="00AD0C46" w:rsidP="00AF34DE">
            <w:pPr>
              <w:keepNext/>
              <w:autoSpaceDE w:val="0"/>
              <w:autoSpaceDN w:val="0"/>
              <w:adjustRightInd w:val="0"/>
              <w:ind w:left="-108"/>
              <w:rPr>
                <w:rFonts w:ascii="Arial Narrow" w:hAnsi="Arial Narrow" w:cs="Arial Narrow"/>
                <w:sz w:val="8"/>
                <w:szCs w:val="20"/>
              </w:rPr>
            </w:pPr>
          </w:p>
        </w:tc>
        <w:tc>
          <w:tcPr>
            <w:tcW w:w="661" w:type="pct"/>
            <w:tcBorders>
              <w:bottom w:val="single" w:sz="4" w:space="0" w:color="auto"/>
            </w:tcBorders>
            <w:shd w:val="clear" w:color="000000" w:fill="FFFFFF"/>
            <w:vAlign w:val="center"/>
          </w:tcPr>
          <w:p w14:paraId="7F44520D" w14:textId="77777777" w:rsidR="00AD0C46" w:rsidRPr="00162B20" w:rsidRDefault="00AD0C46" w:rsidP="00AF34DE">
            <w:pPr>
              <w:keepNext/>
              <w:autoSpaceDE w:val="0"/>
              <w:autoSpaceDN w:val="0"/>
              <w:adjustRightInd w:val="0"/>
              <w:rPr>
                <w:rFonts w:ascii="Arial Narrow" w:hAnsi="Arial Narrow" w:cs="Arial Narrow"/>
                <w:sz w:val="8"/>
                <w:szCs w:val="20"/>
              </w:rPr>
            </w:pPr>
          </w:p>
        </w:tc>
        <w:tc>
          <w:tcPr>
            <w:tcW w:w="662" w:type="pct"/>
            <w:tcBorders>
              <w:bottom w:val="single" w:sz="4" w:space="0" w:color="auto"/>
            </w:tcBorders>
            <w:shd w:val="clear" w:color="000000" w:fill="FFFFFF"/>
            <w:vAlign w:val="center"/>
          </w:tcPr>
          <w:p w14:paraId="7B0CBAF9" w14:textId="77777777" w:rsidR="00AD0C46" w:rsidRPr="00162B20" w:rsidRDefault="00AD0C46" w:rsidP="00AF34DE">
            <w:pPr>
              <w:keepNext/>
              <w:autoSpaceDE w:val="0"/>
              <w:autoSpaceDN w:val="0"/>
              <w:adjustRightInd w:val="0"/>
              <w:ind w:left="-108"/>
              <w:rPr>
                <w:rFonts w:ascii="Arial Narrow" w:hAnsi="Arial Narrow" w:cs="Arial Narrow"/>
                <w:sz w:val="8"/>
                <w:szCs w:val="20"/>
              </w:rPr>
            </w:pPr>
          </w:p>
        </w:tc>
      </w:tr>
      <w:tr w:rsidR="00AD0C46" w:rsidRPr="00162B20" w14:paraId="471AC1AF" w14:textId="77777777" w:rsidTr="00AF34DE">
        <w:trPr>
          <w:trHeight w:val="100"/>
        </w:trPr>
        <w:tc>
          <w:tcPr>
            <w:tcW w:w="916" w:type="pct"/>
            <w:vMerge w:val="restart"/>
            <w:tcBorders>
              <w:top w:val="single" w:sz="4" w:space="0" w:color="auto"/>
              <w:left w:val="single" w:sz="3" w:space="0" w:color="000000"/>
              <w:right w:val="single" w:sz="3" w:space="0" w:color="000000"/>
            </w:tcBorders>
            <w:shd w:val="clear" w:color="000000" w:fill="FFFFFF"/>
          </w:tcPr>
          <w:p w14:paraId="3CFEFABF" w14:textId="77777777" w:rsidR="00AD0C46" w:rsidRPr="00162B20" w:rsidRDefault="00AD0C46" w:rsidP="00AF34DE">
            <w:pPr>
              <w:keepNext/>
              <w:autoSpaceDE w:val="0"/>
              <w:autoSpaceDN w:val="0"/>
              <w:adjustRightInd w:val="0"/>
              <w:rPr>
                <w:rFonts w:ascii="Arial Narrow" w:hAnsi="Arial Narrow" w:cs="Calibri"/>
                <w:sz w:val="20"/>
                <w:szCs w:val="20"/>
              </w:rPr>
            </w:pPr>
            <w:r w:rsidRPr="00162B20">
              <w:rPr>
                <w:rFonts w:ascii="Arial Narrow" w:hAnsi="Arial Narrow"/>
                <w:b/>
                <w:sz w:val="20"/>
                <w:szCs w:val="20"/>
              </w:rPr>
              <w:t xml:space="preserve">Concept ID </w:t>
            </w:r>
            <w:r w:rsidRPr="00162B20">
              <w:rPr>
                <w:rFonts w:ascii="Arial Narrow" w:hAnsi="Arial Narrow"/>
                <w:sz w:val="20"/>
                <w:szCs w:val="20"/>
              </w:rPr>
              <w:t>(for internal Dept. use)</w:t>
            </w:r>
          </w:p>
        </w:tc>
        <w:tc>
          <w:tcPr>
            <w:tcW w:w="4084" w:type="pct"/>
            <w:gridSpan w:val="7"/>
            <w:tcBorders>
              <w:top w:val="single" w:sz="4" w:space="0" w:color="auto"/>
              <w:left w:val="single" w:sz="3" w:space="0" w:color="000000"/>
              <w:bottom w:val="single" w:sz="3" w:space="0" w:color="000000"/>
              <w:right w:val="single" w:sz="3" w:space="0" w:color="000000"/>
            </w:tcBorders>
            <w:shd w:val="clear" w:color="000000" w:fill="FFFFFF"/>
          </w:tcPr>
          <w:p w14:paraId="1CE638B9" w14:textId="77777777" w:rsidR="00AD0C46" w:rsidRPr="00162B20" w:rsidRDefault="00AD0C46" w:rsidP="00AF34DE">
            <w:pPr>
              <w:keepNext/>
              <w:autoSpaceDE w:val="0"/>
              <w:autoSpaceDN w:val="0"/>
              <w:adjustRightInd w:val="0"/>
              <w:rPr>
                <w:rFonts w:ascii="Arial Narrow" w:hAnsi="Arial Narrow" w:cs="Calibri"/>
                <w:sz w:val="20"/>
                <w:szCs w:val="20"/>
              </w:rPr>
            </w:pPr>
            <w:r w:rsidRPr="00162B20">
              <w:rPr>
                <w:rFonts w:ascii="Arial Narrow" w:hAnsi="Arial Narrow" w:cs="Arial Narrow"/>
                <w:b/>
                <w:bCs/>
                <w:color w:val="000000"/>
                <w:sz w:val="20"/>
                <w:szCs w:val="20"/>
              </w:rPr>
              <w:t xml:space="preserve">Category / Program: </w:t>
            </w:r>
            <w:r w:rsidRPr="00162B20">
              <w:rPr>
                <w:rFonts w:ascii="Arial Narrow" w:hAnsi="Arial Narrow" w:cs="Arial Narrow"/>
                <w:color w:val="000000"/>
                <w:sz w:val="20"/>
                <w:szCs w:val="20"/>
              </w:rPr>
              <w:t>General Schedule/Section 85</w:t>
            </w:r>
          </w:p>
        </w:tc>
      </w:tr>
      <w:tr w:rsidR="00AD0C46" w:rsidRPr="00162B20" w14:paraId="6FAC42E8" w14:textId="77777777" w:rsidTr="00AF34DE">
        <w:trPr>
          <w:trHeight w:val="236"/>
        </w:trPr>
        <w:tc>
          <w:tcPr>
            <w:tcW w:w="916" w:type="pct"/>
            <w:vMerge/>
            <w:tcBorders>
              <w:left w:val="single" w:sz="3" w:space="0" w:color="000000"/>
              <w:right w:val="single" w:sz="3" w:space="0" w:color="000000"/>
            </w:tcBorders>
            <w:shd w:val="clear" w:color="000000" w:fill="FFFFFF"/>
          </w:tcPr>
          <w:p w14:paraId="6885446B" w14:textId="77777777" w:rsidR="00AD0C46" w:rsidRPr="00162B20" w:rsidRDefault="00AD0C46" w:rsidP="00AF34DE">
            <w:pPr>
              <w:keepNext/>
              <w:autoSpaceDE w:val="0"/>
              <w:autoSpaceDN w:val="0"/>
              <w:adjustRightInd w:val="0"/>
              <w:rPr>
                <w:rFonts w:ascii="Arial Narrow" w:hAnsi="Arial Narrow" w:cs="Calibri"/>
                <w:b/>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5B9EA1A6" w14:textId="77777777" w:rsidR="00AD0C46" w:rsidRPr="00162B20" w:rsidRDefault="00AD0C46" w:rsidP="00AF34DE">
            <w:pPr>
              <w:keepNext/>
              <w:autoSpaceDE w:val="0"/>
              <w:autoSpaceDN w:val="0"/>
              <w:adjustRightInd w:val="0"/>
              <w:rPr>
                <w:rFonts w:ascii="Arial Narrow" w:hAnsi="Arial Narrow" w:cs="Calibri"/>
                <w:sz w:val="20"/>
                <w:szCs w:val="20"/>
              </w:rPr>
            </w:pPr>
            <w:r w:rsidRPr="00162B20">
              <w:rPr>
                <w:rFonts w:ascii="Arial Narrow" w:hAnsi="Arial Narrow"/>
                <w:b/>
                <w:sz w:val="20"/>
                <w:szCs w:val="20"/>
              </w:rPr>
              <w:t xml:space="preserve">Prescriber type: </w:t>
            </w:r>
            <w:r w:rsidRPr="00162B20">
              <w:rPr>
                <w:rFonts w:ascii="Arial Narrow" w:hAnsi="Arial Narrow"/>
                <w:sz w:val="20"/>
                <w:szCs w:val="20"/>
              </w:rPr>
              <w:fldChar w:fldCharType="begin">
                <w:ffData>
                  <w:name w:val=""/>
                  <w:enabled/>
                  <w:calcOnExit w:val="0"/>
                  <w:checkBox>
                    <w:sizeAuto/>
                    <w:default w:val="1"/>
                  </w:checkBox>
                </w:ffData>
              </w:fldChar>
            </w:r>
            <w:r w:rsidRPr="00162B20">
              <w:rPr>
                <w:rFonts w:ascii="Arial Narrow" w:hAnsi="Arial Narrow"/>
                <w:sz w:val="20"/>
                <w:szCs w:val="20"/>
              </w:rPr>
              <w:instrText xml:space="preserve"> FORMCHECKBOX </w:instrText>
            </w:r>
            <w:r w:rsidR="002A1754">
              <w:rPr>
                <w:rFonts w:ascii="Arial Narrow" w:hAnsi="Arial Narrow"/>
                <w:sz w:val="20"/>
                <w:szCs w:val="20"/>
              </w:rPr>
            </w:r>
            <w:r w:rsidR="002A1754">
              <w:rPr>
                <w:rFonts w:ascii="Arial Narrow" w:hAnsi="Arial Narrow"/>
                <w:sz w:val="20"/>
                <w:szCs w:val="20"/>
              </w:rPr>
              <w:fldChar w:fldCharType="separate"/>
            </w:r>
            <w:r w:rsidRPr="00162B20">
              <w:rPr>
                <w:rFonts w:ascii="Arial Narrow" w:hAnsi="Arial Narrow"/>
                <w:sz w:val="20"/>
                <w:szCs w:val="20"/>
              </w:rPr>
              <w:fldChar w:fldCharType="end"/>
            </w:r>
            <w:r w:rsidRPr="00162B20">
              <w:rPr>
                <w:rFonts w:ascii="Arial Narrow" w:hAnsi="Arial Narrow"/>
                <w:sz w:val="20"/>
                <w:szCs w:val="20"/>
              </w:rPr>
              <w:t>Medical Practitioners</w:t>
            </w:r>
          </w:p>
        </w:tc>
      </w:tr>
      <w:tr w:rsidR="00AD0C46" w:rsidRPr="00162B20" w14:paraId="44EE4707" w14:textId="77777777" w:rsidTr="00AF34DE">
        <w:trPr>
          <w:trHeight w:val="236"/>
        </w:trPr>
        <w:tc>
          <w:tcPr>
            <w:tcW w:w="916" w:type="pct"/>
            <w:vMerge/>
            <w:tcBorders>
              <w:left w:val="single" w:sz="3" w:space="0" w:color="000000"/>
              <w:bottom w:val="single" w:sz="3" w:space="0" w:color="000000"/>
              <w:right w:val="single" w:sz="3" w:space="0" w:color="000000"/>
            </w:tcBorders>
            <w:shd w:val="clear" w:color="000000" w:fill="FFFFFF"/>
          </w:tcPr>
          <w:p w14:paraId="3E8FA3CF" w14:textId="77777777" w:rsidR="00AD0C46" w:rsidRPr="00162B20" w:rsidRDefault="00AD0C46" w:rsidP="00AF34DE">
            <w:pPr>
              <w:keepNext/>
              <w:autoSpaceDE w:val="0"/>
              <w:autoSpaceDN w:val="0"/>
              <w:adjustRightInd w:val="0"/>
              <w:rPr>
                <w:rFonts w:ascii="Arial Narrow" w:hAnsi="Arial Narrow" w:cs="Calibri"/>
                <w:b/>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278C1AD6" w14:textId="77777777" w:rsidR="00AD0C46" w:rsidRPr="00162B20" w:rsidRDefault="00AD0C46" w:rsidP="00AF34DE">
            <w:pPr>
              <w:keepNext/>
              <w:autoSpaceDE w:val="0"/>
              <w:autoSpaceDN w:val="0"/>
              <w:adjustRightInd w:val="0"/>
              <w:rPr>
                <w:rFonts w:ascii="Arial Narrow" w:hAnsi="Arial Narrow" w:cs="Calibri"/>
                <w:sz w:val="20"/>
                <w:szCs w:val="20"/>
              </w:rPr>
            </w:pPr>
            <w:r w:rsidRPr="00162B20">
              <w:rPr>
                <w:rFonts w:ascii="Arial Narrow" w:hAnsi="Arial Narrow"/>
                <w:b/>
                <w:sz w:val="20"/>
                <w:szCs w:val="20"/>
              </w:rPr>
              <w:t xml:space="preserve">Restriction type: </w:t>
            </w:r>
            <w:r w:rsidRPr="00162B20">
              <w:rPr>
                <w:rFonts w:ascii="Arial Narrow" w:eastAsia="Calibri" w:hAnsi="Arial Narrow"/>
                <w:sz w:val="20"/>
                <w:szCs w:val="20"/>
              </w:rPr>
              <w:fldChar w:fldCharType="begin">
                <w:ffData>
                  <w:name w:val="Check3"/>
                  <w:enabled/>
                  <w:calcOnExit w:val="0"/>
                  <w:checkBox>
                    <w:sizeAuto/>
                    <w:default w:val="1"/>
                  </w:checkBox>
                </w:ffData>
              </w:fldChar>
            </w:r>
            <w:r w:rsidRPr="00162B20">
              <w:rPr>
                <w:rFonts w:ascii="Arial Narrow" w:eastAsia="Calibri" w:hAnsi="Arial Narrow"/>
                <w:sz w:val="20"/>
                <w:szCs w:val="20"/>
              </w:rPr>
              <w:instrText xml:space="preserve"> FORMCHECKBOX </w:instrText>
            </w:r>
            <w:r w:rsidR="002A1754">
              <w:rPr>
                <w:rFonts w:ascii="Arial Narrow" w:eastAsia="Calibri" w:hAnsi="Arial Narrow"/>
                <w:sz w:val="20"/>
                <w:szCs w:val="20"/>
              </w:rPr>
            </w:r>
            <w:r w:rsidR="002A1754">
              <w:rPr>
                <w:rFonts w:ascii="Arial Narrow" w:eastAsia="Calibri" w:hAnsi="Arial Narrow"/>
                <w:sz w:val="20"/>
                <w:szCs w:val="20"/>
              </w:rPr>
              <w:fldChar w:fldCharType="separate"/>
            </w:r>
            <w:r w:rsidRPr="00162B20">
              <w:rPr>
                <w:rFonts w:ascii="Arial Narrow" w:eastAsia="Calibri" w:hAnsi="Arial Narrow"/>
                <w:sz w:val="20"/>
                <w:szCs w:val="20"/>
              </w:rPr>
              <w:fldChar w:fldCharType="end"/>
            </w:r>
            <w:r w:rsidRPr="00162B20">
              <w:rPr>
                <w:rFonts w:ascii="Arial Narrow" w:eastAsia="Calibri" w:hAnsi="Arial Narrow"/>
                <w:sz w:val="20"/>
                <w:szCs w:val="20"/>
              </w:rPr>
              <w:t>Authority Required (STREAMLINED)</w:t>
            </w:r>
          </w:p>
        </w:tc>
      </w:tr>
      <w:tr w:rsidR="00AD0C46" w:rsidRPr="00162B20" w14:paraId="3998C59A" w14:textId="77777777" w:rsidTr="00AF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916" w:type="pct"/>
            <w:vMerge w:val="restart"/>
            <w:vAlign w:val="center"/>
          </w:tcPr>
          <w:p w14:paraId="78986E46" w14:textId="77777777" w:rsidR="00AD0C46" w:rsidRPr="00162B20" w:rsidRDefault="00AD0C46" w:rsidP="00AF34DE">
            <w:pPr>
              <w:keepLines/>
              <w:jc w:val="center"/>
              <w:rPr>
                <w:rFonts w:ascii="Arial Narrow" w:hAnsi="Arial Narrow"/>
                <w:color w:val="333333"/>
                <w:sz w:val="20"/>
                <w:szCs w:val="20"/>
              </w:rPr>
            </w:pPr>
          </w:p>
        </w:tc>
        <w:tc>
          <w:tcPr>
            <w:tcW w:w="4084" w:type="pct"/>
            <w:gridSpan w:val="7"/>
            <w:vAlign w:val="center"/>
          </w:tcPr>
          <w:p w14:paraId="0ACB701D" w14:textId="77777777" w:rsidR="00AD0C46" w:rsidRPr="00162B20" w:rsidRDefault="00AD0C46" w:rsidP="00AF34DE">
            <w:pPr>
              <w:keepLines/>
              <w:rPr>
                <w:rFonts w:ascii="Arial Narrow" w:hAnsi="Arial Narrow"/>
                <w:b/>
                <w:bCs/>
                <w:color w:val="333333"/>
                <w:sz w:val="20"/>
                <w:szCs w:val="20"/>
              </w:rPr>
            </w:pPr>
            <w:r w:rsidRPr="00162B20">
              <w:rPr>
                <w:rFonts w:ascii="Arial Narrow" w:hAnsi="Arial Narrow"/>
                <w:b/>
                <w:bCs/>
                <w:color w:val="333333"/>
                <w:sz w:val="20"/>
                <w:szCs w:val="20"/>
              </w:rPr>
              <w:t xml:space="preserve">Severity: </w:t>
            </w:r>
            <w:r w:rsidRPr="00162B20">
              <w:rPr>
                <w:rFonts w:ascii="Arial Narrow" w:eastAsia="Calibri" w:hAnsi="Arial Narrow"/>
                <w:sz w:val="20"/>
                <w:szCs w:val="20"/>
              </w:rPr>
              <w:t>Stage IV</w:t>
            </w:r>
          </w:p>
        </w:tc>
      </w:tr>
      <w:tr w:rsidR="00AD0C46" w:rsidRPr="00162B20" w14:paraId="09AC599E" w14:textId="77777777" w:rsidTr="00AF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916" w:type="pct"/>
            <w:vMerge/>
            <w:vAlign w:val="center"/>
          </w:tcPr>
          <w:p w14:paraId="34E18035" w14:textId="77777777" w:rsidR="00AD0C46" w:rsidRPr="00162B20" w:rsidRDefault="00AD0C46" w:rsidP="00AF34DE">
            <w:pPr>
              <w:keepLines/>
              <w:jc w:val="center"/>
              <w:rPr>
                <w:rFonts w:ascii="Arial Narrow" w:hAnsi="Arial Narrow"/>
                <w:color w:val="333333"/>
                <w:sz w:val="20"/>
                <w:szCs w:val="20"/>
              </w:rPr>
            </w:pPr>
          </w:p>
        </w:tc>
        <w:tc>
          <w:tcPr>
            <w:tcW w:w="4084" w:type="pct"/>
            <w:gridSpan w:val="7"/>
            <w:vAlign w:val="center"/>
          </w:tcPr>
          <w:p w14:paraId="4A00543C" w14:textId="77777777" w:rsidR="00AD0C46" w:rsidRPr="00162B20" w:rsidRDefault="00AD0C46" w:rsidP="00AF34DE">
            <w:pPr>
              <w:keepLines/>
              <w:rPr>
                <w:rFonts w:ascii="Arial Narrow" w:hAnsi="Arial Narrow"/>
                <w:b/>
                <w:bCs/>
                <w:color w:val="333333"/>
                <w:sz w:val="20"/>
                <w:szCs w:val="20"/>
              </w:rPr>
            </w:pPr>
            <w:r w:rsidRPr="00162B20">
              <w:rPr>
                <w:rFonts w:ascii="Arial Narrow" w:hAnsi="Arial Narrow"/>
                <w:b/>
                <w:bCs/>
                <w:color w:val="333333"/>
                <w:sz w:val="20"/>
                <w:szCs w:val="20"/>
              </w:rPr>
              <w:t xml:space="preserve">Condition: </w:t>
            </w:r>
            <w:r w:rsidRPr="00162B20">
              <w:rPr>
                <w:rFonts w:ascii="Arial Narrow" w:hAnsi="Arial Narrow"/>
                <w:bCs/>
                <w:color w:val="333333"/>
                <w:sz w:val="20"/>
                <w:szCs w:val="20"/>
              </w:rPr>
              <w:t>renal cell carcinoma</w:t>
            </w:r>
          </w:p>
        </w:tc>
      </w:tr>
      <w:tr w:rsidR="00AD0C46" w:rsidRPr="00162B20" w14:paraId="006EE850" w14:textId="77777777" w:rsidTr="00AF3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916" w:type="pct"/>
            <w:vAlign w:val="center"/>
            <w:hideMark/>
          </w:tcPr>
          <w:p w14:paraId="33F6B161" w14:textId="77777777" w:rsidR="00AD0C46" w:rsidRPr="00162B20" w:rsidRDefault="00AD0C46" w:rsidP="00AF34DE">
            <w:pPr>
              <w:keepLines/>
              <w:jc w:val="center"/>
              <w:rPr>
                <w:rFonts w:ascii="Arial Narrow" w:hAnsi="Arial Narrow"/>
                <w:color w:val="333333"/>
                <w:sz w:val="20"/>
                <w:szCs w:val="20"/>
              </w:rPr>
            </w:pPr>
          </w:p>
        </w:tc>
        <w:tc>
          <w:tcPr>
            <w:tcW w:w="4084" w:type="pct"/>
            <w:gridSpan w:val="7"/>
            <w:vAlign w:val="center"/>
            <w:hideMark/>
          </w:tcPr>
          <w:p w14:paraId="19FFABCF" w14:textId="77777777" w:rsidR="00AD0C46" w:rsidRPr="00162B20" w:rsidRDefault="00AD0C46" w:rsidP="00AF34DE">
            <w:pPr>
              <w:keepLines/>
              <w:rPr>
                <w:rFonts w:ascii="Arial Narrow" w:hAnsi="Arial Narrow"/>
                <w:color w:val="333333"/>
                <w:sz w:val="20"/>
                <w:szCs w:val="20"/>
              </w:rPr>
            </w:pPr>
            <w:r w:rsidRPr="00162B20">
              <w:rPr>
                <w:rFonts w:ascii="Arial Narrow" w:hAnsi="Arial Narrow"/>
                <w:b/>
                <w:bCs/>
                <w:color w:val="333333"/>
                <w:sz w:val="20"/>
                <w:szCs w:val="20"/>
              </w:rPr>
              <w:t>Indication:</w:t>
            </w:r>
            <w:r w:rsidRPr="00162B20">
              <w:rPr>
                <w:rFonts w:ascii="Arial Narrow" w:hAnsi="Arial Narrow"/>
                <w:color w:val="333333"/>
                <w:sz w:val="20"/>
                <w:szCs w:val="20"/>
              </w:rPr>
              <w:t xml:space="preserve"> </w:t>
            </w:r>
            <w:r w:rsidRPr="00162B20">
              <w:rPr>
                <w:rFonts w:ascii="Arial Narrow" w:hAnsi="Arial Narrow"/>
                <w:color w:val="000000"/>
                <w:sz w:val="20"/>
                <w:szCs w:val="20"/>
              </w:rPr>
              <w:t>Stage IV renal cell carcinoma (RCC)</w:t>
            </w:r>
          </w:p>
        </w:tc>
      </w:tr>
      <w:tr w:rsidR="00AD0C46" w:rsidRPr="00162B20" w14:paraId="2C9B3275" w14:textId="77777777" w:rsidTr="00AF34DE">
        <w:trPr>
          <w:trHeight w:val="58"/>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9D2FCCF" w14:textId="77777777" w:rsidR="00AD0C46" w:rsidRPr="00162B20" w:rsidRDefault="00AD0C46" w:rsidP="00AF34DE">
            <w:pPr>
              <w:keepNext/>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6E39706F" w14:textId="77777777" w:rsidR="00AD0C46" w:rsidRPr="00162B20" w:rsidRDefault="00AD0C46" w:rsidP="00AF34DE">
            <w:pPr>
              <w:keepNext/>
              <w:autoSpaceDE w:val="0"/>
              <w:autoSpaceDN w:val="0"/>
              <w:adjustRightInd w:val="0"/>
              <w:rPr>
                <w:rFonts w:ascii="Arial Narrow" w:hAnsi="Arial Narrow" w:cs="Calibri"/>
                <w:sz w:val="20"/>
                <w:szCs w:val="20"/>
                <w:highlight w:val="lightGray"/>
              </w:rPr>
            </w:pPr>
            <w:r w:rsidRPr="00162B20">
              <w:rPr>
                <w:rFonts w:ascii="Arial Narrow" w:hAnsi="Arial Narrow" w:cs="Arial Narrow"/>
                <w:b/>
                <w:bCs/>
                <w:color w:val="000000"/>
                <w:sz w:val="20"/>
                <w:szCs w:val="20"/>
              </w:rPr>
              <w:t xml:space="preserve">Treatment phase: </w:t>
            </w:r>
            <w:r w:rsidRPr="00162B20">
              <w:rPr>
                <w:rFonts w:ascii="Arial Narrow" w:hAnsi="Arial Narrow" w:cs="Calibri"/>
                <w:sz w:val="20"/>
                <w:szCs w:val="20"/>
              </w:rPr>
              <w:t>Transitioning from non-PBS to PBS-subsidised supply - Grandfather arrangements for maintenance treatment</w:t>
            </w:r>
          </w:p>
        </w:tc>
      </w:tr>
      <w:tr w:rsidR="00D93FD6" w:rsidRPr="00162B20" w14:paraId="3CF36B1D" w14:textId="77777777" w:rsidTr="004C395C">
        <w:trPr>
          <w:trHeight w:val="58"/>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7E3EA3" w14:textId="77777777" w:rsidR="00D93FD6" w:rsidRPr="00162B20" w:rsidRDefault="00D93FD6" w:rsidP="00D93FD6">
            <w:pPr>
              <w:keepNext/>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7135EDDF" w14:textId="26F6A443" w:rsidR="00D93FD6" w:rsidRPr="00162B20" w:rsidRDefault="00D93FD6" w:rsidP="00D93FD6">
            <w:pPr>
              <w:keepNext/>
              <w:autoSpaceDE w:val="0"/>
              <w:autoSpaceDN w:val="0"/>
              <w:adjustRightInd w:val="0"/>
              <w:rPr>
                <w:rFonts w:ascii="Arial Narrow" w:hAnsi="Arial Narrow" w:cs="Arial Narrow"/>
                <w:b/>
                <w:bCs/>
                <w:color w:val="000000"/>
                <w:sz w:val="20"/>
                <w:szCs w:val="20"/>
              </w:rPr>
            </w:pPr>
            <w:r w:rsidRPr="00162B20">
              <w:rPr>
                <w:rFonts w:ascii="Arial Narrow" w:hAnsi="Arial Narrow" w:cs="Arial Narrow"/>
                <w:b/>
                <w:bCs/>
                <w:color w:val="000000"/>
                <w:sz w:val="20"/>
                <w:szCs w:val="20"/>
              </w:rPr>
              <w:t>Treatment Criteria:</w:t>
            </w:r>
          </w:p>
        </w:tc>
      </w:tr>
      <w:tr w:rsidR="00D93FD6" w:rsidRPr="00162B20" w14:paraId="65874633" w14:textId="77777777" w:rsidTr="004C395C">
        <w:trPr>
          <w:trHeight w:val="58"/>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220169" w14:textId="31882BC1" w:rsidR="00D93FD6" w:rsidRPr="00162B20" w:rsidRDefault="00D93FD6" w:rsidP="00D93FD6">
            <w:pPr>
              <w:keepNext/>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7E9CEEEF" w14:textId="6259357E" w:rsidR="00D93FD6" w:rsidRPr="00162B20" w:rsidRDefault="00D93FD6" w:rsidP="00D93FD6">
            <w:pPr>
              <w:keepNext/>
              <w:autoSpaceDE w:val="0"/>
              <w:autoSpaceDN w:val="0"/>
              <w:adjustRightInd w:val="0"/>
              <w:rPr>
                <w:rFonts w:ascii="Arial Narrow" w:hAnsi="Arial Narrow" w:cs="Arial Narrow"/>
                <w:b/>
                <w:bCs/>
                <w:color w:val="000000"/>
                <w:sz w:val="20"/>
                <w:szCs w:val="20"/>
              </w:rPr>
            </w:pPr>
            <w:r w:rsidRPr="00162B20">
              <w:rPr>
                <w:rFonts w:ascii="Arial Narrow" w:hAnsi="Arial Narrow" w:cs="Calibri"/>
                <w:sz w:val="20"/>
                <w:szCs w:val="20"/>
              </w:rPr>
              <w:t>Patient must have previously received non-PBS-subsidised treatment with this drug for this condition prior to [insert date of listing]</w:t>
            </w:r>
          </w:p>
        </w:tc>
      </w:tr>
      <w:tr w:rsidR="00D93FD6" w:rsidRPr="00162B20" w14:paraId="51A4A358" w14:textId="77777777" w:rsidTr="00AF34DE">
        <w:trPr>
          <w:trHeight w:val="58"/>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EB8E24" w14:textId="77777777" w:rsidR="00D93FD6" w:rsidRPr="00162B20" w:rsidRDefault="00D93FD6" w:rsidP="00D93FD6">
            <w:pPr>
              <w:keepNext/>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5FB8DA89" w14:textId="77777777" w:rsidR="00D93FD6" w:rsidRPr="00162B20" w:rsidRDefault="00D93FD6" w:rsidP="00D93FD6">
            <w:pPr>
              <w:keepNext/>
              <w:autoSpaceDE w:val="0"/>
              <w:autoSpaceDN w:val="0"/>
              <w:adjustRightInd w:val="0"/>
              <w:rPr>
                <w:rFonts w:ascii="Arial Narrow" w:hAnsi="Arial Narrow" w:cs="Arial Narrow"/>
                <w:b/>
                <w:bCs/>
                <w:color w:val="000000"/>
                <w:sz w:val="20"/>
                <w:szCs w:val="20"/>
              </w:rPr>
            </w:pPr>
            <w:r w:rsidRPr="00162B20">
              <w:rPr>
                <w:rFonts w:ascii="Arial Narrow" w:hAnsi="Arial Narrow" w:cs="Arial Narrow"/>
                <w:b/>
                <w:bCs/>
                <w:sz w:val="20"/>
                <w:szCs w:val="20"/>
              </w:rPr>
              <w:t>Clinical criteria:</w:t>
            </w:r>
          </w:p>
        </w:tc>
      </w:tr>
      <w:tr w:rsidR="00D93FD6" w:rsidRPr="00162B20" w14:paraId="2FE3C83B" w14:textId="77777777" w:rsidTr="00AF34DE">
        <w:trPr>
          <w:trHeight w:val="531"/>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1B3E30" w14:textId="50034C73"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142D7B67" w14:textId="16AED6FF"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 xml:space="preserve">Patient must have had a prognostic International Metastatic Renal Cell Carcinoma Database Consortium (IMDC) survival risk classification score at treatment initiation with this </w:t>
            </w:r>
            <w:r>
              <w:rPr>
                <w:rFonts w:ascii="Arial Narrow" w:hAnsi="Arial Narrow" w:cs="Calibri"/>
                <w:sz w:val="20"/>
                <w:szCs w:val="20"/>
              </w:rPr>
              <w:t xml:space="preserve">drug </w:t>
            </w:r>
            <w:r w:rsidRPr="00162B20">
              <w:rPr>
                <w:rFonts w:ascii="Arial Narrow" w:hAnsi="Arial Narrow" w:cs="Calibri"/>
                <w:sz w:val="20"/>
                <w:szCs w:val="20"/>
              </w:rPr>
              <w:t>of either: (i) 1 to 2 (intermediate risk), (ii) 3 to 6 (poor risk); document the IMDC risk classification score in the patient's medical records if not already documented,</w:t>
            </w:r>
          </w:p>
        </w:tc>
      </w:tr>
      <w:tr w:rsidR="00D93FD6" w:rsidRPr="00162B20" w14:paraId="53E5D2EA"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85408C" w14:textId="77777777"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230A0EC8"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AND</w:t>
            </w:r>
          </w:p>
        </w:tc>
      </w:tr>
      <w:tr w:rsidR="00D93FD6" w:rsidRPr="00162B20" w14:paraId="7620C3AE"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D9470E" w14:textId="2998C09B"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5487BB14"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Patient must have stable or responding disease according to the Response Evaluation Criteria In Solid Tumours (RECIST)</w:t>
            </w:r>
          </w:p>
        </w:tc>
      </w:tr>
      <w:tr w:rsidR="00D93FD6" w:rsidRPr="00162B20" w14:paraId="30D3A009"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FFED1C" w14:textId="77777777"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3238319A"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AND</w:t>
            </w:r>
          </w:p>
        </w:tc>
      </w:tr>
      <w:tr w:rsidR="00D93FD6" w:rsidRPr="00162B20" w14:paraId="7A7C1123"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AF50DC" w14:textId="6421B234"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7DBDEEB8"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The treatment must be the sole PBS-subsidised therapy for this condition.</w:t>
            </w:r>
          </w:p>
        </w:tc>
      </w:tr>
      <w:tr w:rsidR="00D93FD6" w:rsidRPr="00162B20" w14:paraId="7909E87E"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4AA5525" w14:textId="77777777"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15910F70"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AND</w:t>
            </w:r>
          </w:p>
        </w:tc>
      </w:tr>
      <w:tr w:rsidR="00D93FD6" w:rsidRPr="00162B20" w14:paraId="6850B53E" w14:textId="77777777" w:rsidTr="00AF34DE">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291B71" w14:textId="7BBE620F" w:rsidR="00D93FD6" w:rsidRPr="00162B20" w:rsidRDefault="00D93FD6" w:rsidP="00D93FD6">
            <w:pPr>
              <w:autoSpaceDE w:val="0"/>
              <w:autoSpaceDN w:val="0"/>
              <w:adjustRightInd w:val="0"/>
              <w:jc w:val="center"/>
              <w:rPr>
                <w:rFonts w:ascii="Arial Narrow" w:hAnsi="Arial Narrow" w:cs="Calibri"/>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tcPr>
          <w:p w14:paraId="200E86A9" w14:textId="77777777" w:rsidR="00D93FD6" w:rsidRPr="00162B20" w:rsidRDefault="00D93FD6" w:rsidP="00D93FD6">
            <w:pPr>
              <w:rPr>
                <w:rFonts w:ascii="Arial Narrow" w:hAnsi="Arial Narrow"/>
                <w:sz w:val="20"/>
                <w:szCs w:val="20"/>
              </w:rPr>
            </w:pPr>
            <w:r w:rsidRPr="00162B20">
              <w:rPr>
                <w:rFonts w:ascii="Arial Narrow" w:hAnsi="Arial Narrow"/>
                <w:sz w:val="20"/>
                <w:szCs w:val="20"/>
              </w:rPr>
              <w:t>Patient must not receive PBS-subsidised treatment with this drug if progressive disease develops while on this drug.</w:t>
            </w:r>
          </w:p>
        </w:tc>
      </w:tr>
      <w:tr w:rsidR="00D93FD6" w:rsidRPr="00162B20" w14:paraId="46348C66" w14:textId="77777777" w:rsidTr="00AF34DE">
        <w:trPr>
          <w:trHeight w:val="282"/>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6FE40D" w14:textId="51C4CC3D" w:rsidR="00D93FD6" w:rsidRPr="00162B20" w:rsidRDefault="00D93FD6" w:rsidP="00D93FD6">
            <w:pPr>
              <w:autoSpaceDE w:val="0"/>
              <w:autoSpaceDN w:val="0"/>
              <w:adjustRightInd w:val="0"/>
              <w:jc w:val="center"/>
              <w:rPr>
                <w:rFonts w:ascii="Arial Narrow" w:hAnsi="Arial Narrow" w:cs="Arial Narrow"/>
                <w:b/>
                <w:bCs/>
                <w:color w:val="000000"/>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0E8CAF7A"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Arial Narrow"/>
                <w:b/>
                <w:bCs/>
                <w:color w:val="000000"/>
                <w:sz w:val="20"/>
                <w:szCs w:val="20"/>
              </w:rPr>
              <w:t xml:space="preserve">Administrative Advice: </w:t>
            </w:r>
            <w:r w:rsidRPr="00162B20">
              <w:rPr>
                <w:rFonts w:ascii="Arial Narrow" w:hAnsi="Arial Narrow" w:cs="Calibri"/>
                <w:sz w:val="20"/>
                <w:szCs w:val="20"/>
              </w:rPr>
              <w:t>Patients may qualify for PBS-subsidised treatment under this restriction once only. For continuing PBS-subsidised treatment, a 'Grandfathered' patient must qualify under the 'Maintenance treatment' criteria.</w:t>
            </w:r>
            <w:r w:rsidRPr="00162B20">
              <w:t xml:space="preserve"> </w:t>
            </w:r>
            <w:r w:rsidRPr="00162B20">
              <w:rPr>
                <w:rFonts w:ascii="Arial Narrow" w:hAnsi="Arial Narrow" w:cs="Calibri"/>
                <w:sz w:val="20"/>
                <w:szCs w:val="20"/>
              </w:rPr>
              <w:t>This grandfather restriction will cease to operate from 12 months after [insert date of listing]</w:t>
            </w:r>
          </w:p>
        </w:tc>
      </w:tr>
      <w:tr w:rsidR="00D93FD6" w:rsidRPr="00162B20" w14:paraId="1D5D5F19" w14:textId="77777777" w:rsidTr="00AF34DE">
        <w:trPr>
          <w:trHeight w:val="282"/>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FAFDEB" w14:textId="05DC247E" w:rsidR="00D93FD6" w:rsidRPr="00162B20" w:rsidRDefault="00D93FD6" w:rsidP="00D93FD6">
            <w:pPr>
              <w:autoSpaceDE w:val="0"/>
              <w:autoSpaceDN w:val="0"/>
              <w:adjustRightInd w:val="0"/>
              <w:jc w:val="center"/>
              <w:rPr>
                <w:rFonts w:ascii="Arial Narrow" w:hAnsi="Arial Narrow" w:cs="Arial Narrow"/>
                <w:b/>
                <w:bCs/>
                <w:color w:val="000000"/>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7FEC0A8A"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Arial Narrow"/>
                <w:b/>
                <w:bCs/>
                <w:color w:val="000000"/>
                <w:sz w:val="20"/>
                <w:szCs w:val="20"/>
              </w:rPr>
              <w:t xml:space="preserve">Administrative advice: </w:t>
            </w:r>
            <w:r w:rsidRPr="00162B20">
              <w:rPr>
                <w:rFonts w:ascii="Arial Narrow" w:hAnsi="Arial Narrow" w:cs="Calibri"/>
                <w:sz w:val="20"/>
                <w:szCs w:val="20"/>
              </w:rPr>
              <w:t>No increase in the maximum number of repeats may be authorised.</w:t>
            </w:r>
          </w:p>
        </w:tc>
      </w:tr>
      <w:tr w:rsidR="00D93FD6" w:rsidRPr="00162B20" w14:paraId="185EB53A" w14:textId="77777777" w:rsidTr="00AF34DE">
        <w:trPr>
          <w:trHeight w:val="282"/>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160B70" w14:textId="6970B190" w:rsidR="00D93FD6" w:rsidRPr="00162B20" w:rsidRDefault="00D93FD6" w:rsidP="00D93FD6">
            <w:pPr>
              <w:autoSpaceDE w:val="0"/>
              <w:autoSpaceDN w:val="0"/>
              <w:adjustRightInd w:val="0"/>
              <w:jc w:val="center"/>
              <w:rPr>
                <w:rFonts w:ascii="Arial Narrow" w:hAnsi="Arial Narrow" w:cs="Arial Narrow"/>
                <w:b/>
                <w:bCs/>
                <w:color w:val="000000"/>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42C19ADC"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Arial Narrow"/>
                <w:b/>
                <w:bCs/>
                <w:color w:val="000000"/>
                <w:sz w:val="20"/>
                <w:szCs w:val="20"/>
              </w:rPr>
              <w:t xml:space="preserve">Administrative advice: </w:t>
            </w:r>
            <w:r w:rsidRPr="00162B20">
              <w:rPr>
                <w:rFonts w:ascii="Arial Narrow" w:hAnsi="Arial Narrow" w:cs="Calibri"/>
                <w:sz w:val="20"/>
                <w:szCs w:val="20"/>
              </w:rPr>
              <w:t>Special Pricing Arrangements apply.</w:t>
            </w:r>
          </w:p>
        </w:tc>
      </w:tr>
      <w:tr w:rsidR="00D93FD6" w:rsidRPr="00162B20" w14:paraId="52BE5E52" w14:textId="77777777" w:rsidTr="00AF34DE">
        <w:trPr>
          <w:trHeight w:val="282"/>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45B3A9B" w14:textId="2358DF92" w:rsidR="00D93FD6" w:rsidRPr="00162B20" w:rsidRDefault="00D93FD6" w:rsidP="00D93FD6">
            <w:pPr>
              <w:autoSpaceDE w:val="0"/>
              <w:autoSpaceDN w:val="0"/>
              <w:adjustRightInd w:val="0"/>
              <w:jc w:val="center"/>
              <w:rPr>
                <w:rFonts w:ascii="Arial Narrow" w:hAnsi="Arial Narrow"/>
                <w:bCs/>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3AE3F931" w14:textId="6E3784EC" w:rsidR="00D93FD6" w:rsidRPr="00162B20" w:rsidRDefault="00D93FD6" w:rsidP="00D93FD6">
            <w:pPr>
              <w:autoSpaceDE w:val="0"/>
              <w:autoSpaceDN w:val="0"/>
              <w:adjustRightInd w:val="0"/>
              <w:rPr>
                <w:rFonts w:ascii="Arial Narrow" w:hAnsi="Arial Narrow" w:cs="Calibri"/>
                <w:sz w:val="20"/>
                <w:szCs w:val="20"/>
              </w:rPr>
            </w:pPr>
            <w:r>
              <w:rPr>
                <w:rFonts w:ascii="Arial Narrow" w:hAnsi="Arial Narrow" w:cs="Arial Narrow"/>
                <w:b/>
                <w:bCs/>
                <w:color w:val="000000"/>
                <w:sz w:val="20"/>
                <w:szCs w:val="20"/>
              </w:rPr>
              <w:t>Admin advice</w:t>
            </w:r>
            <w:r w:rsidRPr="00162B20">
              <w:rPr>
                <w:rFonts w:ascii="Arial Narrow" w:hAnsi="Arial Narrow" w:cs="Arial Narrow"/>
                <w:b/>
                <w:bCs/>
                <w:color w:val="000000"/>
                <w:sz w:val="20"/>
                <w:szCs w:val="20"/>
              </w:rPr>
              <w:t xml:space="preserve">: </w:t>
            </w:r>
            <w:r w:rsidRPr="00162B20">
              <w:rPr>
                <w:rFonts w:ascii="Arial Narrow" w:hAnsi="Arial Narrow" w:cs="Calibri"/>
                <w:sz w:val="20"/>
                <w:szCs w:val="20"/>
              </w:rPr>
              <w:t>Response Evaluation Criteria In Solid Tumours (RECIST) is defined as follows:</w:t>
            </w:r>
          </w:p>
          <w:p w14:paraId="56DB9F12"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Complete response (CR) is disappearance of all target lesions.</w:t>
            </w:r>
          </w:p>
          <w:p w14:paraId="42726050"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Partial response (PR) is a 30% decrease in the sum of the longest diameter of target lesions.</w:t>
            </w:r>
          </w:p>
          <w:p w14:paraId="38E5B0AF"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Progressive disease (PD) is a 20% increase in the sum of the longest diameter of target lesions.</w:t>
            </w:r>
          </w:p>
          <w:p w14:paraId="5EB7F853"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Stable disease (SD) is small changes that do not meet above criteria.</w:t>
            </w:r>
          </w:p>
        </w:tc>
      </w:tr>
      <w:tr w:rsidR="00D93FD6" w:rsidRPr="00162B20" w14:paraId="34866E4F" w14:textId="77777777" w:rsidTr="00AF34DE">
        <w:trPr>
          <w:trHeight w:val="282"/>
        </w:trPr>
        <w:tc>
          <w:tcPr>
            <w:tcW w:w="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354548" w14:textId="238599FD" w:rsidR="00D93FD6" w:rsidRPr="00162B20" w:rsidRDefault="00D93FD6" w:rsidP="00D93FD6">
            <w:pPr>
              <w:autoSpaceDE w:val="0"/>
              <w:autoSpaceDN w:val="0"/>
              <w:adjustRightInd w:val="0"/>
              <w:jc w:val="center"/>
              <w:rPr>
                <w:rFonts w:ascii="Arial Narrow" w:hAnsi="Arial Narrow"/>
                <w:bCs/>
                <w:sz w:val="20"/>
                <w:szCs w:val="20"/>
              </w:rPr>
            </w:pPr>
          </w:p>
        </w:tc>
        <w:tc>
          <w:tcPr>
            <w:tcW w:w="4084" w:type="pct"/>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52AFBEA9" w14:textId="7CB9F8A6" w:rsidR="00D93FD6" w:rsidRPr="00162B20" w:rsidRDefault="00D93FD6" w:rsidP="00D93FD6">
            <w:pPr>
              <w:autoSpaceDE w:val="0"/>
              <w:autoSpaceDN w:val="0"/>
              <w:adjustRightInd w:val="0"/>
              <w:rPr>
                <w:rFonts w:ascii="Arial Narrow" w:hAnsi="Arial Narrow" w:cs="Calibri"/>
                <w:sz w:val="20"/>
                <w:szCs w:val="20"/>
              </w:rPr>
            </w:pPr>
            <w:r>
              <w:rPr>
                <w:rFonts w:ascii="Arial Narrow" w:hAnsi="Arial Narrow" w:cs="Arial Narrow"/>
                <w:b/>
                <w:bCs/>
                <w:color w:val="000000"/>
                <w:sz w:val="20"/>
                <w:szCs w:val="20"/>
              </w:rPr>
              <w:t>Admin advice</w:t>
            </w:r>
            <w:r w:rsidRPr="00162B20">
              <w:rPr>
                <w:rFonts w:ascii="Arial Narrow" w:hAnsi="Arial Narrow" w:cs="Arial Narrow"/>
                <w:b/>
                <w:bCs/>
                <w:color w:val="000000"/>
                <w:sz w:val="20"/>
                <w:szCs w:val="20"/>
              </w:rPr>
              <w:t xml:space="preserve">: </w:t>
            </w:r>
            <w:r w:rsidRPr="00162B20">
              <w:rPr>
                <w:rFonts w:ascii="Arial Narrow" w:hAnsi="Arial Narrow" w:cs="Calibri"/>
                <w:sz w:val="20"/>
                <w:szCs w:val="20"/>
              </w:rPr>
              <w:t>A prognostic International Metastatic Renal Cell Carcinoma Database Consortium (IMDC) survival risk score can be calculated here: https://www.mdcalc.com/imdc-international-metastatic-rcc-database-consortium-risk-model-metastatic-renal-cell-carcinoma.</w:t>
            </w:r>
          </w:p>
          <w:p w14:paraId="3B323BA0"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One point is assigned for each of:</w:t>
            </w:r>
          </w:p>
          <w:p w14:paraId="112647FD"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(i) a time of diagnosis to systemic therapy of less than 1 year</w:t>
            </w:r>
          </w:p>
          <w:p w14:paraId="04A466BE"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(ii) a Karnofsky Performance Status of less than 80%</w:t>
            </w:r>
          </w:p>
          <w:p w14:paraId="3206327C"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(iii) a haemoglobin less than the lower limit of normal</w:t>
            </w:r>
          </w:p>
          <w:p w14:paraId="32CB8003"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(iv) a corrected calcium level greater than the upper limit of normal</w:t>
            </w:r>
          </w:p>
          <w:p w14:paraId="43FAB913"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(v) a neutrophil count greater than the upper limit of normal</w:t>
            </w:r>
          </w:p>
          <w:p w14:paraId="049ADA68"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(vi) a platelet count greater than the upper limit of normal</w:t>
            </w:r>
          </w:p>
          <w:p w14:paraId="43B98CB7"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lastRenderedPageBreak/>
              <w:t>Stated normal reference ranges may vary depending on the laboratory providing the measurement. 'Normal' here refers to the individual laboratory's stated normal reference range.</w:t>
            </w:r>
          </w:p>
          <w:p w14:paraId="40582684"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Favourable IMDC risk is a score of 0.</w:t>
            </w:r>
          </w:p>
          <w:p w14:paraId="10CA6E39"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Intermediate IMDC risk is a score of 1 to 2.</w:t>
            </w:r>
          </w:p>
          <w:p w14:paraId="40F33322"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Poor IMDC risk is a score of 3 to 6.</w:t>
            </w:r>
          </w:p>
          <w:p w14:paraId="4CFD828E" w14:textId="77777777" w:rsidR="00D93FD6" w:rsidRPr="00162B20" w:rsidRDefault="00D93FD6" w:rsidP="00D93FD6">
            <w:pPr>
              <w:autoSpaceDE w:val="0"/>
              <w:autoSpaceDN w:val="0"/>
              <w:adjustRightInd w:val="0"/>
              <w:rPr>
                <w:rFonts w:ascii="Arial Narrow" w:hAnsi="Arial Narrow" w:cs="Calibri"/>
                <w:sz w:val="20"/>
                <w:szCs w:val="20"/>
              </w:rPr>
            </w:pPr>
            <w:r w:rsidRPr="00162B20">
              <w:rPr>
                <w:rFonts w:ascii="Arial Narrow" w:hAnsi="Arial Narrow" w:cs="Calibri"/>
                <w:sz w:val="20"/>
                <w:szCs w:val="20"/>
              </w:rPr>
              <w:t>Document any IMDC risk score assessment in the patient's medical records.</w:t>
            </w:r>
          </w:p>
        </w:tc>
      </w:tr>
      <w:bookmarkEnd w:id="62"/>
    </w:tbl>
    <w:p w14:paraId="017AD874" w14:textId="74CE446A" w:rsidR="00521D3F" w:rsidRDefault="00521D3F" w:rsidP="00521D3F">
      <w:pPr>
        <w:tabs>
          <w:tab w:val="left" w:pos="1080"/>
        </w:tabs>
        <w:autoSpaceDE w:val="0"/>
        <w:autoSpaceDN w:val="0"/>
        <w:adjustRightInd w:val="0"/>
      </w:pPr>
    </w:p>
    <w:p w14:paraId="64946193" w14:textId="2715FD14" w:rsidR="00BF393D" w:rsidRDefault="00BF393D" w:rsidP="0014714C">
      <w:pPr>
        <w:jc w:val="left"/>
      </w:pPr>
      <w:r w:rsidRPr="00BF393D">
        <w:rPr>
          <w:rFonts w:asciiTheme="minorHAnsi" w:hAnsiTheme="minorHAnsi"/>
          <w:b/>
          <w:bCs/>
          <w:i/>
          <w:szCs w:val="22"/>
        </w:rPr>
        <w:t>This restriction may be subject to further review. Should there be any changes made to the restriction the sponsor will be informed</w:t>
      </w:r>
      <w:r w:rsidRPr="00BF393D">
        <w:rPr>
          <w:rFonts w:asciiTheme="minorHAnsi" w:hAnsiTheme="minorHAnsi"/>
          <w:szCs w:val="22"/>
        </w:rPr>
        <w:t>.</w:t>
      </w:r>
    </w:p>
    <w:p w14:paraId="43A94FBA" w14:textId="77777777" w:rsidR="00C827D6" w:rsidRDefault="00C827D6" w:rsidP="00521D3F">
      <w:pPr>
        <w:tabs>
          <w:tab w:val="left" w:pos="1080"/>
        </w:tabs>
        <w:autoSpaceDE w:val="0"/>
        <w:autoSpaceDN w:val="0"/>
        <w:adjustRightInd w:val="0"/>
      </w:pPr>
    </w:p>
    <w:p w14:paraId="569AFAD5" w14:textId="12072DCD" w:rsidR="001042C0" w:rsidRPr="001042C0" w:rsidRDefault="001042C0" w:rsidP="00DC1610">
      <w:pPr>
        <w:pStyle w:val="2-SectionHeading"/>
        <w:spacing w:before="0"/>
      </w:pPr>
      <w:r w:rsidRPr="001042C0">
        <w:t>Context for Decision</w:t>
      </w:r>
    </w:p>
    <w:p w14:paraId="12959666" w14:textId="77777777" w:rsidR="001042C0" w:rsidRPr="00311EEF" w:rsidRDefault="001042C0" w:rsidP="00DC1610">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B77DE8" w14:textId="23020C90" w:rsidR="001042C0" w:rsidRPr="00311EEF" w:rsidRDefault="001042C0" w:rsidP="00DC1610">
      <w:pPr>
        <w:pStyle w:val="2-SectionHeading"/>
        <w:spacing w:before="0"/>
      </w:pPr>
      <w:r w:rsidRPr="00311EEF">
        <w:t>Sponsor’s Comment</w:t>
      </w:r>
    </w:p>
    <w:p w14:paraId="1832C6BD" w14:textId="77777777" w:rsidR="001042C0" w:rsidRPr="001179AC" w:rsidRDefault="001042C0" w:rsidP="00DC1610">
      <w:pPr>
        <w:spacing w:after="120"/>
        <w:ind w:left="720"/>
        <w:rPr>
          <w:rFonts w:asciiTheme="minorHAnsi" w:hAnsiTheme="minorHAnsi"/>
          <w:bCs/>
        </w:rPr>
      </w:pPr>
      <w:r w:rsidRPr="00C07617">
        <w:rPr>
          <w:rFonts w:asciiTheme="minorHAnsi" w:hAnsiTheme="minorHAnsi"/>
          <w:bCs/>
        </w:rPr>
        <w:t>The sponsor had no comment.</w:t>
      </w:r>
    </w:p>
    <w:p w14:paraId="507CDD67" w14:textId="77777777" w:rsidR="001042C0" w:rsidRPr="00162B20" w:rsidRDefault="001042C0" w:rsidP="001042C0">
      <w:pPr>
        <w:tabs>
          <w:tab w:val="left" w:pos="1080"/>
        </w:tabs>
        <w:autoSpaceDE w:val="0"/>
        <w:autoSpaceDN w:val="0"/>
        <w:adjustRightInd w:val="0"/>
        <w:spacing w:after="120"/>
      </w:pPr>
    </w:p>
    <w:sectPr w:rsidR="001042C0" w:rsidRPr="00162B20" w:rsidSect="006711AC">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E7EF" w14:textId="77777777" w:rsidR="006711AC" w:rsidRDefault="006711AC" w:rsidP="00124A51">
      <w:r>
        <w:separator/>
      </w:r>
    </w:p>
    <w:p w14:paraId="2C348D6C" w14:textId="77777777" w:rsidR="006711AC" w:rsidRDefault="006711AC"/>
  </w:endnote>
  <w:endnote w:type="continuationSeparator" w:id="0">
    <w:p w14:paraId="77311160" w14:textId="77777777" w:rsidR="006711AC" w:rsidRDefault="006711AC" w:rsidP="00124A51">
      <w:r>
        <w:continuationSeparator/>
      </w:r>
    </w:p>
    <w:p w14:paraId="307481B1" w14:textId="77777777" w:rsidR="006711AC" w:rsidRDefault="006711AC"/>
  </w:endnote>
  <w:endnote w:type="continuationNotice" w:id="1">
    <w:p w14:paraId="1DD7E571" w14:textId="77777777" w:rsidR="006711AC" w:rsidRDefault="00671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A11D" w14:textId="77777777" w:rsidR="0094719F" w:rsidRDefault="0094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7A2AE2A5" w:rsidR="00D843F2" w:rsidRPr="00CE227A" w:rsidRDefault="002A1754"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CE227A">
          <w:rPr>
            <w:b/>
            <w:bCs/>
          </w:rPr>
          <w:fldChar w:fldCharType="begin"/>
        </w:r>
        <w:r w:rsidR="00D843F2" w:rsidRPr="00CE227A">
          <w:rPr>
            <w:b/>
            <w:bCs/>
          </w:rPr>
          <w:instrText xml:space="preserve"> PAGE   \* MERGEFORMAT </w:instrText>
        </w:r>
        <w:r w:rsidR="00D843F2" w:rsidRPr="00CE227A">
          <w:rPr>
            <w:b/>
            <w:bCs/>
          </w:rPr>
          <w:fldChar w:fldCharType="separate"/>
        </w:r>
        <w:r w:rsidR="00D843F2" w:rsidRPr="00CE227A">
          <w:rPr>
            <w:b/>
            <w:bCs/>
            <w:noProof/>
          </w:rPr>
          <w:t>2</w:t>
        </w:r>
        <w:r w:rsidR="00D843F2" w:rsidRPr="00CE227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71E0" w14:textId="77777777" w:rsidR="0094719F" w:rsidRDefault="0094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4E09" w14:textId="77777777" w:rsidR="006711AC" w:rsidRDefault="006711AC" w:rsidP="00124A51">
      <w:r>
        <w:separator/>
      </w:r>
    </w:p>
    <w:p w14:paraId="7D926DD5" w14:textId="77777777" w:rsidR="006711AC" w:rsidRDefault="006711AC"/>
  </w:footnote>
  <w:footnote w:type="continuationSeparator" w:id="0">
    <w:p w14:paraId="28E14FA9" w14:textId="77777777" w:rsidR="006711AC" w:rsidRDefault="006711AC" w:rsidP="00124A51">
      <w:r>
        <w:continuationSeparator/>
      </w:r>
    </w:p>
    <w:p w14:paraId="66B9BF6A" w14:textId="77777777" w:rsidR="006711AC" w:rsidRDefault="006711AC"/>
  </w:footnote>
  <w:footnote w:type="continuationNotice" w:id="1">
    <w:p w14:paraId="049CBBE0" w14:textId="77777777" w:rsidR="006711AC" w:rsidRDefault="006711AC"/>
  </w:footnote>
  <w:footnote w:id="2">
    <w:p w14:paraId="235FE340" w14:textId="1E36CE9D" w:rsidR="00276F2F" w:rsidRDefault="00276F2F">
      <w:pPr>
        <w:pStyle w:val="FootnoteText"/>
      </w:pPr>
      <w:r>
        <w:rPr>
          <w:rStyle w:val="FootnoteReference"/>
        </w:rPr>
        <w:footnoteRef/>
      </w:r>
      <w:r>
        <w:t xml:space="preserve"> </w:t>
      </w:r>
      <w:r w:rsidRPr="00525B39">
        <w:rPr>
          <w:rFonts w:asciiTheme="minorHAnsi" w:hAnsiTheme="minorHAnsi"/>
          <w:bCs/>
          <w:snapToGrid w:val="0"/>
          <w:sz w:val="16"/>
        </w:rPr>
        <w:t>Cherny NI, Dafni U, Bogaerts J, et al: ESMO-Magnitude of Clinical Benefit Scale version 1.1. Annals of Oncology 28:2340-2366, 2017</w:t>
      </w:r>
      <w:r>
        <w:rPr>
          <w:rFonts w:asciiTheme="minorHAnsi" w:hAnsiTheme="minorHAnsi"/>
          <w:bCs/>
          <w:snapToGrid w:val="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5BA5" w14:textId="77777777" w:rsidR="0094719F" w:rsidRDefault="0094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16BECB60" w:rsidR="00D843F2" w:rsidRPr="00195452" w:rsidRDefault="00C63F50" w:rsidP="00D822E2">
    <w:pPr>
      <w:pStyle w:val="Header"/>
      <w:rPr>
        <w:rFonts w:asciiTheme="minorHAnsi" w:hAnsiTheme="minorHAnsi"/>
        <w:i/>
        <w:color w:val="808080"/>
      </w:rPr>
    </w:pPr>
    <w:r w:rsidRPr="00C63F50">
      <w:rPr>
        <w:rFonts w:asciiTheme="minorHAnsi" w:hAnsiTheme="minorHAnsi"/>
        <w:i/>
        <w:color w:val="808080"/>
      </w:rPr>
      <w:t>Public Summary Document</w:t>
    </w:r>
    <w:r w:rsidR="00E04F31">
      <w:rPr>
        <w:rFonts w:asciiTheme="minorHAnsi" w:hAnsiTheme="minorHAnsi"/>
        <w:i/>
        <w:color w:val="808080"/>
      </w:rPr>
      <w:t xml:space="preserve"> </w:t>
    </w:r>
    <w:r w:rsidR="003D634A">
      <w:rPr>
        <w:rFonts w:asciiTheme="minorHAnsi" w:hAnsiTheme="minorHAnsi"/>
        <w:i/>
        <w:color w:val="808080"/>
      </w:rPr>
      <w:t>–</w:t>
    </w:r>
    <w:r w:rsidR="00CE227A">
      <w:rPr>
        <w:rFonts w:asciiTheme="minorHAnsi" w:hAnsiTheme="minorHAnsi"/>
        <w:i/>
        <w:color w:val="808080"/>
      </w:rPr>
      <w:t xml:space="preserve"> </w:t>
    </w:r>
    <w:r w:rsidR="007039B9">
      <w:rPr>
        <w:rFonts w:asciiTheme="minorHAnsi" w:hAnsiTheme="minorHAnsi"/>
        <w:i/>
        <w:color w:val="808080"/>
      </w:rPr>
      <w:t>March 2024</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6A35" w14:textId="77777777" w:rsidR="0094719F" w:rsidRDefault="00947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8171E"/>
    <w:multiLevelType w:val="hybridMultilevel"/>
    <w:tmpl w:val="076C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86FBA"/>
    <w:multiLevelType w:val="hybridMultilevel"/>
    <w:tmpl w:val="DC74FD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9284EFA"/>
    <w:multiLevelType w:val="hybridMultilevel"/>
    <w:tmpl w:val="8ECCBEEC"/>
    <w:lvl w:ilvl="0" w:tplc="0EE6F4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780273"/>
    <w:multiLevelType w:val="hybridMultilevel"/>
    <w:tmpl w:val="44665304"/>
    <w:lvl w:ilvl="0" w:tplc="75A811B8">
      <w:start w:val="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9C40FB"/>
    <w:multiLevelType w:val="hybridMultilevel"/>
    <w:tmpl w:val="47F051AA"/>
    <w:lvl w:ilvl="0" w:tplc="0C090001">
      <w:start w:val="1"/>
      <w:numFmt w:val="bullet"/>
      <w:lvlText w:val=""/>
      <w:lvlJc w:val="left"/>
      <w:pPr>
        <w:tabs>
          <w:tab w:val="num" w:pos="720"/>
        </w:tabs>
        <w:ind w:left="720" w:hanging="360"/>
      </w:pPr>
      <w:rPr>
        <w:rFonts w:ascii="Symbol" w:hAnsi="Symbol" w:hint="default"/>
      </w:rPr>
    </w:lvl>
    <w:lvl w:ilvl="1" w:tplc="B262CFEA">
      <w:start w:val="1"/>
      <w:numFmt w:val="bullet"/>
      <w:lvlText w:val="•"/>
      <w:lvlJc w:val="left"/>
      <w:pPr>
        <w:tabs>
          <w:tab w:val="num" w:pos="1440"/>
        </w:tabs>
        <w:ind w:left="1440" w:hanging="360"/>
      </w:pPr>
      <w:rPr>
        <w:rFonts w:ascii="Arial" w:hAnsi="Arial" w:hint="default"/>
      </w:rPr>
    </w:lvl>
    <w:lvl w:ilvl="2" w:tplc="C34CC7D8" w:tentative="1">
      <w:start w:val="1"/>
      <w:numFmt w:val="bullet"/>
      <w:lvlText w:val="•"/>
      <w:lvlJc w:val="left"/>
      <w:pPr>
        <w:tabs>
          <w:tab w:val="num" w:pos="2160"/>
        </w:tabs>
        <w:ind w:left="2160" w:hanging="360"/>
      </w:pPr>
      <w:rPr>
        <w:rFonts w:ascii="Arial" w:hAnsi="Arial" w:hint="default"/>
      </w:rPr>
    </w:lvl>
    <w:lvl w:ilvl="3" w:tplc="6802B5AC">
      <w:start w:val="1"/>
      <w:numFmt w:val="bullet"/>
      <w:lvlText w:val="•"/>
      <w:lvlJc w:val="left"/>
      <w:pPr>
        <w:tabs>
          <w:tab w:val="num" w:pos="2880"/>
        </w:tabs>
        <w:ind w:left="2880" w:hanging="360"/>
      </w:pPr>
      <w:rPr>
        <w:rFonts w:ascii="Arial" w:hAnsi="Arial" w:hint="default"/>
      </w:rPr>
    </w:lvl>
    <w:lvl w:ilvl="4" w:tplc="2B108C78" w:tentative="1">
      <w:start w:val="1"/>
      <w:numFmt w:val="bullet"/>
      <w:lvlText w:val="•"/>
      <w:lvlJc w:val="left"/>
      <w:pPr>
        <w:tabs>
          <w:tab w:val="num" w:pos="3600"/>
        </w:tabs>
        <w:ind w:left="3600" w:hanging="360"/>
      </w:pPr>
      <w:rPr>
        <w:rFonts w:ascii="Arial" w:hAnsi="Arial" w:hint="default"/>
      </w:rPr>
    </w:lvl>
    <w:lvl w:ilvl="5" w:tplc="665C736A" w:tentative="1">
      <w:start w:val="1"/>
      <w:numFmt w:val="bullet"/>
      <w:lvlText w:val="•"/>
      <w:lvlJc w:val="left"/>
      <w:pPr>
        <w:tabs>
          <w:tab w:val="num" w:pos="4320"/>
        </w:tabs>
        <w:ind w:left="4320" w:hanging="360"/>
      </w:pPr>
      <w:rPr>
        <w:rFonts w:ascii="Arial" w:hAnsi="Arial" w:hint="default"/>
      </w:rPr>
    </w:lvl>
    <w:lvl w:ilvl="6" w:tplc="05F6068C" w:tentative="1">
      <w:start w:val="1"/>
      <w:numFmt w:val="bullet"/>
      <w:lvlText w:val="•"/>
      <w:lvlJc w:val="left"/>
      <w:pPr>
        <w:tabs>
          <w:tab w:val="num" w:pos="5040"/>
        </w:tabs>
        <w:ind w:left="5040" w:hanging="360"/>
      </w:pPr>
      <w:rPr>
        <w:rFonts w:ascii="Arial" w:hAnsi="Arial" w:hint="default"/>
      </w:rPr>
    </w:lvl>
    <w:lvl w:ilvl="7" w:tplc="6D2A83F8" w:tentative="1">
      <w:start w:val="1"/>
      <w:numFmt w:val="bullet"/>
      <w:lvlText w:val="•"/>
      <w:lvlJc w:val="left"/>
      <w:pPr>
        <w:tabs>
          <w:tab w:val="num" w:pos="5760"/>
        </w:tabs>
        <w:ind w:left="5760" w:hanging="360"/>
      </w:pPr>
      <w:rPr>
        <w:rFonts w:ascii="Arial" w:hAnsi="Arial" w:hint="default"/>
      </w:rPr>
    </w:lvl>
    <w:lvl w:ilvl="8" w:tplc="67C458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D1A01"/>
    <w:multiLevelType w:val="hybridMultilevel"/>
    <w:tmpl w:val="7692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71147B46"/>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CA636E"/>
    <w:multiLevelType w:val="hybridMultilevel"/>
    <w:tmpl w:val="44D05296"/>
    <w:lvl w:ilvl="0" w:tplc="642E9D4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ED60191"/>
    <w:multiLevelType w:val="hybridMultilevel"/>
    <w:tmpl w:val="147677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F143CA7"/>
    <w:multiLevelType w:val="hybridMultilevel"/>
    <w:tmpl w:val="91D64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2C31D4"/>
    <w:multiLevelType w:val="hybridMultilevel"/>
    <w:tmpl w:val="8676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528980418">
    <w:abstractNumId w:val="23"/>
  </w:num>
  <w:num w:numId="2" w16cid:durableId="3948033">
    <w:abstractNumId w:val="13"/>
  </w:num>
  <w:num w:numId="3" w16cid:durableId="1706633718">
    <w:abstractNumId w:val="14"/>
  </w:num>
  <w:num w:numId="4" w16cid:durableId="1115364634">
    <w:abstractNumId w:val="23"/>
  </w:num>
  <w:num w:numId="5" w16cid:durableId="1122774068">
    <w:abstractNumId w:val="20"/>
  </w:num>
  <w:num w:numId="6" w16cid:durableId="2125267204">
    <w:abstractNumId w:val="10"/>
  </w:num>
  <w:num w:numId="7" w16cid:durableId="1330988669">
    <w:abstractNumId w:val="24"/>
  </w:num>
  <w:num w:numId="8" w16cid:durableId="1398941340">
    <w:abstractNumId w:val="17"/>
  </w:num>
  <w:num w:numId="9" w16cid:durableId="216093586">
    <w:abstractNumId w:val="18"/>
  </w:num>
  <w:num w:numId="10" w16cid:durableId="955258460">
    <w:abstractNumId w:val="2"/>
  </w:num>
  <w:num w:numId="11" w16cid:durableId="356153589">
    <w:abstractNumId w:val="16"/>
  </w:num>
  <w:num w:numId="12" w16cid:durableId="1152798246">
    <w:abstractNumId w:val="25"/>
  </w:num>
  <w:num w:numId="13" w16cid:durableId="517037255">
    <w:abstractNumId w:val="6"/>
  </w:num>
  <w:num w:numId="14" w16cid:durableId="1681275964">
    <w:abstractNumId w:val="21"/>
  </w:num>
  <w:num w:numId="15" w16cid:durableId="301077301">
    <w:abstractNumId w:val="3"/>
  </w:num>
  <w:num w:numId="16" w16cid:durableId="597522099">
    <w:abstractNumId w:val="12"/>
  </w:num>
  <w:num w:numId="17" w16cid:durableId="1941404658">
    <w:abstractNumId w:val="7"/>
  </w:num>
  <w:num w:numId="18" w16cid:durableId="1660574054">
    <w:abstractNumId w:val="1"/>
  </w:num>
  <w:num w:numId="19" w16cid:durableId="894782407">
    <w:abstractNumId w:val="4"/>
  </w:num>
  <w:num w:numId="20" w16cid:durableId="1402483239">
    <w:abstractNumId w:val="0"/>
  </w:num>
  <w:num w:numId="21" w16cid:durableId="1196500069">
    <w:abstractNumId w:val="9"/>
  </w:num>
  <w:num w:numId="22" w16cid:durableId="12388149">
    <w:abstractNumId w:val="11"/>
  </w:num>
  <w:num w:numId="23" w16cid:durableId="803543429">
    <w:abstractNumId w:val="8"/>
  </w:num>
  <w:num w:numId="24" w16cid:durableId="966358136">
    <w:abstractNumId w:val="22"/>
  </w:num>
  <w:num w:numId="25" w16cid:durableId="2129009432">
    <w:abstractNumId w:val="15"/>
  </w:num>
  <w:num w:numId="26"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7448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100572">
    <w:abstractNumId w:val="23"/>
  </w:num>
  <w:num w:numId="29" w16cid:durableId="2069255435">
    <w:abstractNumId w:val="23"/>
  </w:num>
  <w:num w:numId="30" w16cid:durableId="2027095028">
    <w:abstractNumId w:val="23"/>
  </w:num>
  <w:num w:numId="31" w16cid:durableId="1554853059">
    <w:abstractNumId w:val="5"/>
  </w:num>
  <w:num w:numId="32" w16cid:durableId="941112705">
    <w:abstractNumId w:val="23"/>
  </w:num>
  <w:num w:numId="33" w16cid:durableId="411513934">
    <w:abstractNumId w:val="23"/>
  </w:num>
  <w:num w:numId="34" w16cid:durableId="689187975">
    <w:abstractNumId w:val="23"/>
  </w:num>
  <w:num w:numId="35" w16cid:durableId="1923639367">
    <w:abstractNumId w:val="23"/>
  </w:num>
  <w:num w:numId="36" w16cid:durableId="265699066">
    <w:abstractNumId w:val="23"/>
  </w:num>
  <w:num w:numId="37" w16cid:durableId="353580213">
    <w:abstractNumId w:val="23"/>
  </w:num>
  <w:num w:numId="38" w16cid:durableId="160244396">
    <w:abstractNumId w:val="23"/>
  </w:num>
  <w:num w:numId="39" w16cid:durableId="1524977794">
    <w:abstractNumId w:val="23"/>
  </w:num>
  <w:num w:numId="40" w16cid:durableId="49087230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MTIxMDW2MAIBJR2l4NTi4sz8PJACw1oAlg6LgywAAAA="/>
  </w:docVars>
  <w:rsids>
    <w:rsidRoot w:val="00E65E79"/>
    <w:rsid w:val="00000790"/>
    <w:rsid w:val="00000C9C"/>
    <w:rsid w:val="0000110B"/>
    <w:rsid w:val="00003499"/>
    <w:rsid w:val="000039B7"/>
    <w:rsid w:val="00003C4B"/>
    <w:rsid w:val="00004FF3"/>
    <w:rsid w:val="000056B9"/>
    <w:rsid w:val="00005836"/>
    <w:rsid w:val="0000639A"/>
    <w:rsid w:val="000071A1"/>
    <w:rsid w:val="00010121"/>
    <w:rsid w:val="0001055D"/>
    <w:rsid w:val="0001157D"/>
    <w:rsid w:val="00013247"/>
    <w:rsid w:val="000138CC"/>
    <w:rsid w:val="00014DBC"/>
    <w:rsid w:val="00015156"/>
    <w:rsid w:val="0001552F"/>
    <w:rsid w:val="00015886"/>
    <w:rsid w:val="0001626D"/>
    <w:rsid w:val="000162EF"/>
    <w:rsid w:val="0001719E"/>
    <w:rsid w:val="00017F51"/>
    <w:rsid w:val="000207C9"/>
    <w:rsid w:val="00020A81"/>
    <w:rsid w:val="00021832"/>
    <w:rsid w:val="0002225F"/>
    <w:rsid w:val="00023763"/>
    <w:rsid w:val="000241C9"/>
    <w:rsid w:val="000247C9"/>
    <w:rsid w:val="00024EB5"/>
    <w:rsid w:val="00026A0B"/>
    <w:rsid w:val="00026A9E"/>
    <w:rsid w:val="00026D5B"/>
    <w:rsid w:val="00026FED"/>
    <w:rsid w:val="000274B8"/>
    <w:rsid w:val="0002799B"/>
    <w:rsid w:val="00027A78"/>
    <w:rsid w:val="00030919"/>
    <w:rsid w:val="00030A95"/>
    <w:rsid w:val="00031901"/>
    <w:rsid w:val="0003226D"/>
    <w:rsid w:val="000328DF"/>
    <w:rsid w:val="000329C9"/>
    <w:rsid w:val="00033863"/>
    <w:rsid w:val="00033E14"/>
    <w:rsid w:val="00035DC0"/>
    <w:rsid w:val="00035F3B"/>
    <w:rsid w:val="00036506"/>
    <w:rsid w:val="000367E8"/>
    <w:rsid w:val="00036829"/>
    <w:rsid w:val="00036923"/>
    <w:rsid w:val="0003701A"/>
    <w:rsid w:val="000370C3"/>
    <w:rsid w:val="00037847"/>
    <w:rsid w:val="0004000B"/>
    <w:rsid w:val="00040895"/>
    <w:rsid w:val="000410A0"/>
    <w:rsid w:val="000435EE"/>
    <w:rsid w:val="000439C0"/>
    <w:rsid w:val="00043C37"/>
    <w:rsid w:val="00045017"/>
    <w:rsid w:val="000459DF"/>
    <w:rsid w:val="00045A2B"/>
    <w:rsid w:val="0004629D"/>
    <w:rsid w:val="0004698F"/>
    <w:rsid w:val="00046B66"/>
    <w:rsid w:val="00046D64"/>
    <w:rsid w:val="00047451"/>
    <w:rsid w:val="00047743"/>
    <w:rsid w:val="00047F13"/>
    <w:rsid w:val="000506D8"/>
    <w:rsid w:val="000508C2"/>
    <w:rsid w:val="000539D0"/>
    <w:rsid w:val="00053CC4"/>
    <w:rsid w:val="00054621"/>
    <w:rsid w:val="000546D7"/>
    <w:rsid w:val="00054A8D"/>
    <w:rsid w:val="00055EBA"/>
    <w:rsid w:val="00056ECF"/>
    <w:rsid w:val="000604DF"/>
    <w:rsid w:val="00060F80"/>
    <w:rsid w:val="000618B8"/>
    <w:rsid w:val="00062324"/>
    <w:rsid w:val="0006292A"/>
    <w:rsid w:val="00063862"/>
    <w:rsid w:val="00063ADC"/>
    <w:rsid w:val="000653B5"/>
    <w:rsid w:val="00065D6B"/>
    <w:rsid w:val="00066360"/>
    <w:rsid w:val="00066AF8"/>
    <w:rsid w:val="000672E2"/>
    <w:rsid w:val="0006759A"/>
    <w:rsid w:val="0007014E"/>
    <w:rsid w:val="00071248"/>
    <w:rsid w:val="000720B9"/>
    <w:rsid w:val="000725A6"/>
    <w:rsid w:val="000731A5"/>
    <w:rsid w:val="000737F7"/>
    <w:rsid w:val="00073A28"/>
    <w:rsid w:val="000750D5"/>
    <w:rsid w:val="0007672F"/>
    <w:rsid w:val="00076B54"/>
    <w:rsid w:val="00076E93"/>
    <w:rsid w:val="000774F0"/>
    <w:rsid w:val="00077C8D"/>
    <w:rsid w:val="00080909"/>
    <w:rsid w:val="000812CA"/>
    <w:rsid w:val="00081C14"/>
    <w:rsid w:val="00081C97"/>
    <w:rsid w:val="00081E63"/>
    <w:rsid w:val="0008258D"/>
    <w:rsid w:val="00083165"/>
    <w:rsid w:val="00083C24"/>
    <w:rsid w:val="00083E99"/>
    <w:rsid w:val="00084FA8"/>
    <w:rsid w:val="000854C5"/>
    <w:rsid w:val="000856C5"/>
    <w:rsid w:val="00085990"/>
    <w:rsid w:val="00085B03"/>
    <w:rsid w:val="00085C31"/>
    <w:rsid w:val="00087790"/>
    <w:rsid w:val="00087CF1"/>
    <w:rsid w:val="000902D9"/>
    <w:rsid w:val="00090C7E"/>
    <w:rsid w:val="00090E75"/>
    <w:rsid w:val="000911AC"/>
    <w:rsid w:val="000911BF"/>
    <w:rsid w:val="00091424"/>
    <w:rsid w:val="00091505"/>
    <w:rsid w:val="000916AD"/>
    <w:rsid w:val="00092600"/>
    <w:rsid w:val="0009262B"/>
    <w:rsid w:val="00093310"/>
    <w:rsid w:val="000935D1"/>
    <w:rsid w:val="0009445C"/>
    <w:rsid w:val="00094640"/>
    <w:rsid w:val="00094A5B"/>
    <w:rsid w:val="00095200"/>
    <w:rsid w:val="00095FE5"/>
    <w:rsid w:val="0009609F"/>
    <w:rsid w:val="00096284"/>
    <w:rsid w:val="00096976"/>
    <w:rsid w:val="000A0392"/>
    <w:rsid w:val="000A0482"/>
    <w:rsid w:val="000A099A"/>
    <w:rsid w:val="000A1BC0"/>
    <w:rsid w:val="000A1E5E"/>
    <w:rsid w:val="000A2F9E"/>
    <w:rsid w:val="000A3E47"/>
    <w:rsid w:val="000A40EA"/>
    <w:rsid w:val="000A4E2F"/>
    <w:rsid w:val="000A522B"/>
    <w:rsid w:val="000A5620"/>
    <w:rsid w:val="000A5E27"/>
    <w:rsid w:val="000A6039"/>
    <w:rsid w:val="000A7453"/>
    <w:rsid w:val="000A7D08"/>
    <w:rsid w:val="000B0121"/>
    <w:rsid w:val="000B0670"/>
    <w:rsid w:val="000B0E75"/>
    <w:rsid w:val="000B2DCB"/>
    <w:rsid w:val="000B5CE0"/>
    <w:rsid w:val="000B5D0A"/>
    <w:rsid w:val="000B5DEE"/>
    <w:rsid w:val="000B6429"/>
    <w:rsid w:val="000B6CAC"/>
    <w:rsid w:val="000B7612"/>
    <w:rsid w:val="000B786A"/>
    <w:rsid w:val="000B78AE"/>
    <w:rsid w:val="000C004E"/>
    <w:rsid w:val="000C15AB"/>
    <w:rsid w:val="000C191C"/>
    <w:rsid w:val="000C26CA"/>
    <w:rsid w:val="000C2B89"/>
    <w:rsid w:val="000C2CA7"/>
    <w:rsid w:val="000C3355"/>
    <w:rsid w:val="000C3DF9"/>
    <w:rsid w:val="000C3E43"/>
    <w:rsid w:val="000C4CF2"/>
    <w:rsid w:val="000C4D58"/>
    <w:rsid w:val="000C5085"/>
    <w:rsid w:val="000C6713"/>
    <w:rsid w:val="000C67AB"/>
    <w:rsid w:val="000D1BFC"/>
    <w:rsid w:val="000D1D5D"/>
    <w:rsid w:val="000D2194"/>
    <w:rsid w:val="000D25FC"/>
    <w:rsid w:val="000D281A"/>
    <w:rsid w:val="000D2848"/>
    <w:rsid w:val="000D2F14"/>
    <w:rsid w:val="000D326A"/>
    <w:rsid w:val="000D34B3"/>
    <w:rsid w:val="000D4B0F"/>
    <w:rsid w:val="000D51FB"/>
    <w:rsid w:val="000D5336"/>
    <w:rsid w:val="000D59C0"/>
    <w:rsid w:val="000D71D8"/>
    <w:rsid w:val="000D71DB"/>
    <w:rsid w:val="000D78A8"/>
    <w:rsid w:val="000D7CAD"/>
    <w:rsid w:val="000E0640"/>
    <w:rsid w:val="000E0BC6"/>
    <w:rsid w:val="000E1356"/>
    <w:rsid w:val="000E135D"/>
    <w:rsid w:val="000E1416"/>
    <w:rsid w:val="000E24E9"/>
    <w:rsid w:val="000E3094"/>
    <w:rsid w:val="000E34B8"/>
    <w:rsid w:val="000E4780"/>
    <w:rsid w:val="000E5CE0"/>
    <w:rsid w:val="000E604B"/>
    <w:rsid w:val="000E6EAE"/>
    <w:rsid w:val="000E771C"/>
    <w:rsid w:val="000E7CD4"/>
    <w:rsid w:val="000F00BA"/>
    <w:rsid w:val="000F0F03"/>
    <w:rsid w:val="000F2FCC"/>
    <w:rsid w:val="000F316A"/>
    <w:rsid w:val="000F3C74"/>
    <w:rsid w:val="000F4217"/>
    <w:rsid w:val="000F4BB8"/>
    <w:rsid w:val="000F4FA9"/>
    <w:rsid w:val="000F53FB"/>
    <w:rsid w:val="000F65AB"/>
    <w:rsid w:val="000F6B4D"/>
    <w:rsid w:val="000F7127"/>
    <w:rsid w:val="000F7924"/>
    <w:rsid w:val="000F7B54"/>
    <w:rsid w:val="001000B3"/>
    <w:rsid w:val="00100F8A"/>
    <w:rsid w:val="001031FC"/>
    <w:rsid w:val="00103379"/>
    <w:rsid w:val="00103CB5"/>
    <w:rsid w:val="001042C0"/>
    <w:rsid w:val="0010452E"/>
    <w:rsid w:val="00104A72"/>
    <w:rsid w:val="00105AE2"/>
    <w:rsid w:val="001060C6"/>
    <w:rsid w:val="0010676A"/>
    <w:rsid w:val="00106B80"/>
    <w:rsid w:val="001074C3"/>
    <w:rsid w:val="00107A81"/>
    <w:rsid w:val="00107D1C"/>
    <w:rsid w:val="0011032E"/>
    <w:rsid w:val="001108FC"/>
    <w:rsid w:val="00110D7D"/>
    <w:rsid w:val="00111009"/>
    <w:rsid w:val="00111397"/>
    <w:rsid w:val="00111AF2"/>
    <w:rsid w:val="0011348B"/>
    <w:rsid w:val="00114D58"/>
    <w:rsid w:val="00115982"/>
    <w:rsid w:val="00116713"/>
    <w:rsid w:val="00116C53"/>
    <w:rsid w:val="00121799"/>
    <w:rsid w:val="00121D8C"/>
    <w:rsid w:val="00121DD3"/>
    <w:rsid w:val="001222FC"/>
    <w:rsid w:val="00123902"/>
    <w:rsid w:val="001245F2"/>
    <w:rsid w:val="00124A51"/>
    <w:rsid w:val="00124E6D"/>
    <w:rsid w:val="0012542A"/>
    <w:rsid w:val="00126214"/>
    <w:rsid w:val="00126621"/>
    <w:rsid w:val="00126B1D"/>
    <w:rsid w:val="00126B66"/>
    <w:rsid w:val="00126C1A"/>
    <w:rsid w:val="001277B9"/>
    <w:rsid w:val="00127ADB"/>
    <w:rsid w:val="001301E9"/>
    <w:rsid w:val="001310A7"/>
    <w:rsid w:val="00131D82"/>
    <w:rsid w:val="00131F16"/>
    <w:rsid w:val="00132B22"/>
    <w:rsid w:val="001335A5"/>
    <w:rsid w:val="00133D36"/>
    <w:rsid w:val="001348AB"/>
    <w:rsid w:val="00137645"/>
    <w:rsid w:val="00137865"/>
    <w:rsid w:val="00137CC0"/>
    <w:rsid w:val="0014015A"/>
    <w:rsid w:val="001403AC"/>
    <w:rsid w:val="00140E99"/>
    <w:rsid w:val="00141AF7"/>
    <w:rsid w:val="001423BB"/>
    <w:rsid w:val="00142A40"/>
    <w:rsid w:val="00143F67"/>
    <w:rsid w:val="001440CE"/>
    <w:rsid w:val="00145234"/>
    <w:rsid w:val="00145540"/>
    <w:rsid w:val="001456B0"/>
    <w:rsid w:val="0014714C"/>
    <w:rsid w:val="001500A0"/>
    <w:rsid w:val="00151623"/>
    <w:rsid w:val="00153378"/>
    <w:rsid w:val="00154766"/>
    <w:rsid w:val="001547AB"/>
    <w:rsid w:val="00156A62"/>
    <w:rsid w:val="00156F5E"/>
    <w:rsid w:val="00156F8F"/>
    <w:rsid w:val="00157130"/>
    <w:rsid w:val="001576B1"/>
    <w:rsid w:val="00157833"/>
    <w:rsid w:val="0016047B"/>
    <w:rsid w:val="00160905"/>
    <w:rsid w:val="00160A4C"/>
    <w:rsid w:val="001624B6"/>
    <w:rsid w:val="00162913"/>
    <w:rsid w:val="00162B20"/>
    <w:rsid w:val="00163EFF"/>
    <w:rsid w:val="00163F66"/>
    <w:rsid w:val="0016408E"/>
    <w:rsid w:val="0016478E"/>
    <w:rsid w:val="00164A14"/>
    <w:rsid w:val="00165054"/>
    <w:rsid w:val="00165EC4"/>
    <w:rsid w:val="001661FB"/>
    <w:rsid w:val="00166569"/>
    <w:rsid w:val="001671A0"/>
    <w:rsid w:val="001673CF"/>
    <w:rsid w:val="0016767F"/>
    <w:rsid w:val="00167763"/>
    <w:rsid w:val="0017119F"/>
    <w:rsid w:val="00171FAF"/>
    <w:rsid w:val="0017248C"/>
    <w:rsid w:val="001724D5"/>
    <w:rsid w:val="00173565"/>
    <w:rsid w:val="00173B07"/>
    <w:rsid w:val="001745CD"/>
    <w:rsid w:val="001751FA"/>
    <w:rsid w:val="001763A2"/>
    <w:rsid w:val="00176565"/>
    <w:rsid w:val="001809CF"/>
    <w:rsid w:val="00181430"/>
    <w:rsid w:val="00181C10"/>
    <w:rsid w:val="00181D9C"/>
    <w:rsid w:val="00181E7E"/>
    <w:rsid w:val="001836F6"/>
    <w:rsid w:val="001837FF"/>
    <w:rsid w:val="00183CFD"/>
    <w:rsid w:val="0018436C"/>
    <w:rsid w:val="00184B0E"/>
    <w:rsid w:val="0018752F"/>
    <w:rsid w:val="00187964"/>
    <w:rsid w:val="001900C6"/>
    <w:rsid w:val="00191E11"/>
    <w:rsid w:val="00192192"/>
    <w:rsid w:val="001937AB"/>
    <w:rsid w:val="00193838"/>
    <w:rsid w:val="00194AD8"/>
    <w:rsid w:val="00195222"/>
    <w:rsid w:val="00195452"/>
    <w:rsid w:val="00195BB7"/>
    <w:rsid w:val="00196CE5"/>
    <w:rsid w:val="00197450"/>
    <w:rsid w:val="001975D8"/>
    <w:rsid w:val="00197920"/>
    <w:rsid w:val="001979ED"/>
    <w:rsid w:val="001A0599"/>
    <w:rsid w:val="001A0AC2"/>
    <w:rsid w:val="001A178E"/>
    <w:rsid w:val="001A2580"/>
    <w:rsid w:val="001A27DE"/>
    <w:rsid w:val="001A2D9B"/>
    <w:rsid w:val="001A358A"/>
    <w:rsid w:val="001A43FA"/>
    <w:rsid w:val="001A47C5"/>
    <w:rsid w:val="001A4DCA"/>
    <w:rsid w:val="001A4FCD"/>
    <w:rsid w:val="001A59FB"/>
    <w:rsid w:val="001A5E9E"/>
    <w:rsid w:val="001A60BA"/>
    <w:rsid w:val="001A6354"/>
    <w:rsid w:val="001A6366"/>
    <w:rsid w:val="001A6684"/>
    <w:rsid w:val="001A6955"/>
    <w:rsid w:val="001A73A5"/>
    <w:rsid w:val="001A7AE8"/>
    <w:rsid w:val="001A7B27"/>
    <w:rsid w:val="001B010B"/>
    <w:rsid w:val="001B0E8A"/>
    <w:rsid w:val="001B1078"/>
    <w:rsid w:val="001B137A"/>
    <w:rsid w:val="001B18FC"/>
    <w:rsid w:val="001B1CF9"/>
    <w:rsid w:val="001B204E"/>
    <w:rsid w:val="001B2372"/>
    <w:rsid w:val="001B23A1"/>
    <w:rsid w:val="001B3443"/>
    <w:rsid w:val="001B34CA"/>
    <w:rsid w:val="001B3882"/>
    <w:rsid w:val="001B4D20"/>
    <w:rsid w:val="001B7F84"/>
    <w:rsid w:val="001C029D"/>
    <w:rsid w:val="001C04E0"/>
    <w:rsid w:val="001C0DCA"/>
    <w:rsid w:val="001C12EC"/>
    <w:rsid w:val="001C137B"/>
    <w:rsid w:val="001C166B"/>
    <w:rsid w:val="001C2A9B"/>
    <w:rsid w:val="001C3D3F"/>
    <w:rsid w:val="001C3DD6"/>
    <w:rsid w:val="001C4299"/>
    <w:rsid w:val="001C4874"/>
    <w:rsid w:val="001C4999"/>
    <w:rsid w:val="001C554C"/>
    <w:rsid w:val="001C5A15"/>
    <w:rsid w:val="001C5F94"/>
    <w:rsid w:val="001C6E66"/>
    <w:rsid w:val="001D1100"/>
    <w:rsid w:val="001D1391"/>
    <w:rsid w:val="001D1D80"/>
    <w:rsid w:val="001D25D7"/>
    <w:rsid w:val="001D2D99"/>
    <w:rsid w:val="001D3586"/>
    <w:rsid w:val="001D35DE"/>
    <w:rsid w:val="001D3AD6"/>
    <w:rsid w:val="001D50B2"/>
    <w:rsid w:val="001D5A8A"/>
    <w:rsid w:val="001D70D2"/>
    <w:rsid w:val="001D71F4"/>
    <w:rsid w:val="001D735D"/>
    <w:rsid w:val="001D7645"/>
    <w:rsid w:val="001E0AE9"/>
    <w:rsid w:val="001E0B67"/>
    <w:rsid w:val="001E195B"/>
    <w:rsid w:val="001E1E86"/>
    <w:rsid w:val="001E238E"/>
    <w:rsid w:val="001E2483"/>
    <w:rsid w:val="001E2B1E"/>
    <w:rsid w:val="001E2CFF"/>
    <w:rsid w:val="001E2F24"/>
    <w:rsid w:val="001E30D4"/>
    <w:rsid w:val="001E34DF"/>
    <w:rsid w:val="001E350E"/>
    <w:rsid w:val="001E3EDB"/>
    <w:rsid w:val="001E4115"/>
    <w:rsid w:val="001E4871"/>
    <w:rsid w:val="001E52EB"/>
    <w:rsid w:val="001E578A"/>
    <w:rsid w:val="001E61D2"/>
    <w:rsid w:val="001E6C09"/>
    <w:rsid w:val="001E740C"/>
    <w:rsid w:val="001E76DB"/>
    <w:rsid w:val="001E789A"/>
    <w:rsid w:val="001F02B4"/>
    <w:rsid w:val="001F1235"/>
    <w:rsid w:val="001F1C88"/>
    <w:rsid w:val="001F1CB3"/>
    <w:rsid w:val="001F3604"/>
    <w:rsid w:val="001F38B5"/>
    <w:rsid w:val="001F4081"/>
    <w:rsid w:val="001F4246"/>
    <w:rsid w:val="001F482A"/>
    <w:rsid w:val="001F51D8"/>
    <w:rsid w:val="001F52C7"/>
    <w:rsid w:val="001F7361"/>
    <w:rsid w:val="00200588"/>
    <w:rsid w:val="002011B0"/>
    <w:rsid w:val="00201BCB"/>
    <w:rsid w:val="00203181"/>
    <w:rsid w:val="00203783"/>
    <w:rsid w:val="0020385F"/>
    <w:rsid w:val="0020427F"/>
    <w:rsid w:val="0020478F"/>
    <w:rsid w:val="00204B0E"/>
    <w:rsid w:val="00205316"/>
    <w:rsid w:val="002068A0"/>
    <w:rsid w:val="00207021"/>
    <w:rsid w:val="0020732F"/>
    <w:rsid w:val="00207D00"/>
    <w:rsid w:val="002105C1"/>
    <w:rsid w:val="002116FD"/>
    <w:rsid w:val="00211A0D"/>
    <w:rsid w:val="00211DAB"/>
    <w:rsid w:val="00213447"/>
    <w:rsid w:val="00213EF5"/>
    <w:rsid w:val="00216839"/>
    <w:rsid w:val="00216A6F"/>
    <w:rsid w:val="00216BF5"/>
    <w:rsid w:val="00216C2F"/>
    <w:rsid w:val="0021704A"/>
    <w:rsid w:val="00217C3D"/>
    <w:rsid w:val="00220CD5"/>
    <w:rsid w:val="00220FD4"/>
    <w:rsid w:val="002211BF"/>
    <w:rsid w:val="00223978"/>
    <w:rsid w:val="00223B49"/>
    <w:rsid w:val="00223D5A"/>
    <w:rsid w:val="002241DE"/>
    <w:rsid w:val="00224DD4"/>
    <w:rsid w:val="00225F1E"/>
    <w:rsid w:val="0022605F"/>
    <w:rsid w:val="00226679"/>
    <w:rsid w:val="002270C2"/>
    <w:rsid w:val="002278A0"/>
    <w:rsid w:val="00227E24"/>
    <w:rsid w:val="002309CC"/>
    <w:rsid w:val="00231BA9"/>
    <w:rsid w:val="0023209F"/>
    <w:rsid w:val="002331AA"/>
    <w:rsid w:val="00233C01"/>
    <w:rsid w:val="0023413C"/>
    <w:rsid w:val="002346F0"/>
    <w:rsid w:val="002347EC"/>
    <w:rsid w:val="00235F89"/>
    <w:rsid w:val="0023629D"/>
    <w:rsid w:val="00237255"/>
    <w:rsid w:val="00237670"/>
    <w:rsid w:val="002403A7"/>
    <w:rsid w:val="0024104D"/>
    <w:rsid w:val="002410D7"/>
    <w:rsid w:val="00241DA1"/>
    <w:rsid w:val="002424AF"/>
    <w:rsid w:val="002439DC"/>
    <w:rsid w:val="002441D2"/>
    <w:rsid w:val="00244DC8"/>
    <w:rsid w:val="002458BA"/>
    <w:rsid w:val="00245CE9"/>
    <w:rsid w:val="0024636C"/>
    <w:rsid w:val="00246B40"/>
    <w:rsid w:val="0024712C"/>
    <w:rsid w:val="002473D0"/>
    <w:rsid w:val="00247925"/>
    <w:rsid w:val="00250F18"/>
    <w:rsid w:val="00251006"/>
    <w:rsid w:val="002524D5"/>
    <w:rsid w:val="0025250C"/>
    <w:rsid w:val="00253709"/>
    <w:rsid w:val="00253B1D"/>
    <w:rsid w:val="00253B37"/>
    <w:rsid w:val="00254DCF"/>
    <w:rsid w:val="0025534B"/>
    <w:rsid w:val="002558AE"/>
    <w:rsid w:val="00255BB7"/>
    <w:rsid w:val="00257541"/>
    <w:rsid w:val="00257A39"/>
    <w:rsid w:val="00257AC4"/>
    <w:rsid w:val="00257BBE"/>
    <w:rsid w:val="00257FA2"/>
    <w:rsid w:val="00261EEF"/>
    <w:rsid w:val="0026222D"/>
    <w:rsid w:val="0026259B"/>
    <w:rsid w:val="00262A1A"/>
    <w:rsid w:val="00262A87"/>
    <w:rsid w:val="00262CAF"/>
    <w:rsid w:val="00262D03"/>
    <w:rsid w:val="00263A14"/>
    <w:rsid w:val="00264D26"/>
    <w:rsid w:val="00265166"/>
    <w:rsid w:val="0026559B"/>
    <w:rsid w:val="00265C18"/>
    <w:rsid w:val="00266237"/>
    <w:rsid w:val="00267642"/>
    <w:rsid w:val="00267AEA"/>
    <w:rsid w:val="00267B27"/>
    <w:rsid w:val="002700E6"/>
    <w:rsid w:val="002715E8"/>
    <w:rsid w:val="0027294B"/>
    <w:rsid w:val="00273D01"/>
    <w:rsid w:val="00273EB4"/>
    <w:rsid w:val="00274682"/>
    <w:rsid w:val="0027477E"/>
    <w:rsid w:val="00275158"/>
    <w:rsid w:val="00275C5A"/>
    <w:rsid w:val="00276F2F"/>
    <w:rsid w:val="00276FA0"/>
    <w:rsid w:val="00277E4E"/>
    <w:rsid w:val="00281014"/>
    <w:rsid w:val="00281DBA"/>
    <w:rsid w:val="00281EA0"/>
    <w:rsid w:val="00284518"/>
    <w:rsid w:val="002858A0"/>
    <w:rsid w:val="00285BCE"/>
    <w:rsid w:val="0028665D"/>
    <w:rsid w:val="00286B1B"/>
    <w:rsid w:val="00286BA6"/>
    <w:rsid w:val="00287B62"/>
    <w:rsid w:val="00290120"/>
    <w:rsid w:val="0029050A"/>
    <w:rsid w:val="002911BF"/>
    <w:rsid w:val="002918F1"/>
    <w:rsid w:val="00291CC4"/>
    <w:rsid w:val="002922EE"/>
    <w:rsid w:val="00292E82"/>
    <w:rsid w:val="00294108"/>
    <w:rsid w:val="00294212"/>
    <w:rsid w:val="002960E0"/>
    <w:rsid w:val="002974D8"/>
    <w:rsid w:val="002A14AB"/>
    <w:rsid w:val="002A1754"/>
    <w:rsid w:val="002A2692"/>
    <w:rsid w:val="002A2ADE"/>
    <w:rsid w:val="002A2F50"/>
    <w:rsid w:val="002A5621"/>
    <w:rsid w:val="002A65E7"/>
    <w:rsid w:val="002A7943"/>
    <w:rsid w:val="002B05A1"/>
    <w:rsid w:val="002B09A4"/>
    <w:rsid w:val="002B1423"/>
    <w:rsid w:val="002B1C1F"/>
    <w:rsid w:val="002B354E"/>
    <w:rsid w:val="002B432F"/>
    <w:rsid w:val="002B56C3"/>
    <w:rsid w:val="002B59E5"/>
    <w:rsid w:val="002B62B3"/>
    <w:rsid w:val="002B6754"/>
    <w:rsid w:val="002B6CCE"/>
    <w:rsid w:val="002B7349"/>
    <w:rsid w:val="002B7414"/>
    <w:rsid w:val="002C0EFD"/>
    <w:rsid w:val="002C17BE"/>
    <w:rsid w:val="002C2510"/>
    <w:rsid w:val="002C2775"/>
    <w:rsid w:val="002C27C1"/>
    <w:rsid w:val="002C3442"/>
    <w:rsid w:val="002C36E3"/>
    <w:rsid w:val="002C5099"/>
    <w:rsid w:val="002C56EE"/>
    <w:rsid w:val="002C5889"/>
    <w:rsid w:val="002C66DF"/>
    <w:rsid w:val="002C71CE"/>
    <w:rsid w:val="002C764D"/>
    <w:rsid w:val="002D001B"/>
    <w:rsid w:val="002D08F8"/>
    <w:rsid w:val="002D177E"/>
    <w:rsid w:val="002D2753"/>
    <w:rsid w:val="002D2AAE"/>
    <w:rsid w:val="002D2F98"/>
    <w:rsid w:val="002D577C"/>
    <w:rsid w:val="002D7034"/>
    <w:rsid w:val="002D7832"/>
    <w:rsid w:val="002D797C"/>
    <w:rsid w:val="002E02CD"/>
    <w:rsid w:val="002E06FC"/>
    <w:rsid w:val="002E1071"/>
    <w:rsid w:val="002E15B9"/>
    <w:rsid w:val="002E2158"/>
    <w:rsid w:val="002E40DC"/>
    <w:rsid w:val="002E43D7"/>
    <w:rsid w:val="002E47C8"/>
    <w:rsid w:val="002E4F02"/>
    <w:rsid w:val="002E52C6"/>
    <w:rsid w:val="002E5AD2"/>
    <w:rsid w:val="002E7722"/>
    <w:rsid w:val="002F07BA"/>
    <w:rsid w:val="002F0DA9"/>
    <w:rsid w:val="002F0FEC"/>
    <w:rsid w:val="002F1014"/>
    <w:rsid w:val="002F1795"/>
    <w:rsid w:val="002F1E3B"/>
    <w:rsid w:val="002F1E93"/>
    <w:rsid w:val="002F304F"/>
    <w:rsid w:val="002F3E41"/>
    <w:rsid w:val="002F5E79"/>
    <w:rsid w:val="002F6035"/>
    <w:rsid w:val="002F643C"/>
    <w:rsid w:val="002F71C0"/>
    <w:rsid w:val="002F74F1"/>
    <w:rsid w:val="002F7C9C"/>
    <w:rsid w:val="00301017"/>
    <w:rsid w:val="0030155F"/>
    <w:rsid w:val="0030362D"/>
    <w:rsid w:val="00303B70"/>
    <w:rsid w:val="00303F2C"/>
    <w:rsid w:val="003046A1"/>
    <w:rsid w:val="0030587B"/>
    <w:rsid w:val="003061C3"/>
    <w:rsid w:val="00306D98"/>
    <w:rsid w:val="003071D5"/>
    <w:rsid w:val="0030786C"/>
    <w:rsid w:val="00307E09"/>
    <w:rsid w:val="0031031A"/>
    <w:rsid w:val="00310981"/>
    <w:rsid w:val="00311D9B"/>
    <w:rsid w:val="003124D9"/>
    <w:rsid w:val="00312594"/>
    <w:rsid w:val="0031352C"/>
    <w:rsid w:val="00315498"/>
    <w:rsid w:val="00316474"/>
    <w:rsid w:val="003212A8"/>
    <w:rsid w:val="00322072"/>
    <w:rsid w:val="00322107"/>
    <w:rsid w:val="00322355"/>
    <w:rsid w:val="00322846"/>
    <w:rsid w:val="00322B99"/>
    <w:rsid w:val="00322D0F"/>
    <w:rsid w:val="0032399A"/>
    <w:rsid w:val="00323DA0"/>
    <w:rsid w:val="00325375"/>
    <w:rsid w:val="00326DA7"/>
    <w:rsid w:val="003270E4"/>
    <w:rsid w:val="00330DAA"/>
    <w:rsid w:val="00330F5C"/>
    <w:rsid w:val="00331166"/>
    <w:rsid w:val="003317CC"/>
    <w:rsid w:val="003329F9"/>
    <w:rsid w:val="00333325"/>
    <w:rsid w:val="00333854"/>
    <w:rsid w:val="003355E7"/>
    <w:rsid w:val="00335D9A"/>
    <w:rsid w:val="003366C9"/>
    <w:rsid w:val="003371B0"/>
    <w:rsid w:val="00337237"/>
    <w:rsid w:val="00340DF1"/>
    <w:rsid w:val="00342C7A"/>
    <w:rsid w:val="00343A85"/>
    <w:rsid w:val="003444E4"/>
    <w:rsid w:val="00344580"/>
    <w:rsid w:val="003446E2"/>
    <w:rsid w:val="00346753"/>
    <w:rsid w:val="00350E59"/>
    <w:rsid w:val="00351141"/>
    <w:rsid w:val="0035174A"/>
    <w:rsid w:val="003517F9"/>
    <w:rsid w:val="00351BA9"/>
    <w:rsid w:val="003527D4"/>
    <w:rsid w:val="00354F64"/>
    <w:rsid w:val="00355391"/>
    <w:rsid w:val="0035620E"/>
    <w:rsid w:val="00356402"/>
    <w:rsid w:val="0035665D"/>
    <w:rsid w:val="003575BE"/>
    <w:rsid w:val="00357A9B"/>
    <w:rsid w:val="00360345"/>
    <w:rsid w:val="0036185B"/>
    <w:rsid w:val="00361A05"/>
    <w:rsid w:val="00361E43"/>
    <w:rsid w:val="00361F43"/>
    <w:rsid w:val="003623C8"/>
    <w:rsid w:val="003624C4"/>
    <w:rsid w:val="00363B00"/>
    <w:rsid w:val="00364A62"/>
    <w:rsid w:val="00364D9D"/>
    <w:rsid w:val="00365394"/>
    <w:rsid w:val="003654AC"/>
    <w:rsid w:val="00365958"/>
    <w:rsid w:val="00366A9E"/>
    <w:rsid w:val="00367399"/>
    <w:rsid w:val="00370713"/>
    <w:rsid w:val="00370CD0"/>
    <w:rsid w:val="003710B2"/>
    <w:rsid w:val="003710CF"/>
    <w:rsid w:val="00372EAC"/>
    <w:rsid w:val="0037358A"/>
    <w:rsid w:val="003750F6"/>
    <w:rsid w:val="003760AD"/>
    <w:rsid w:val="003760FC"/>
    <w:rsid w:val="00376C5C"/>
    <w:rsid w:val="00380DBA"/>
    <w:rsid w:val="00380F09"/>
    <w:rsid w:val="00381B0C"/>
    <w:rsid w:val="0038215C"/>
    <w:rsid w:val="00382987"/>
    <w:rsid w:val="00382AE5"/>
    <w:rsid w:val="00383521"/>
    <w:rsid w:val="0038365C"/>
    <w:rsid w:val="0038369B"/>
    <w:rsid w:val="00383B78"/>
    <w:rsid w:val="00385A9D"/>
    <w:rsid w:val="00385B82"/>
    <w:rsid w:val="00386312"/>
    <w:rsid w:val="0038646C"/>
    <w:rsid w:val="003865BA"/>
    <w:rsid w:val="00386C72"/>
    <w:rsid w:val="00387121"/>
    <w:rsid w:val="00387BAE"/>
    <w:rsid w:val="00387C65"/>
    <w:rsid w:val="003902B1"/>
    <w:rsid w:val="00390912"/>
    <w:rsid w:val="003910BE"/>
    <w:rsid w:val="0039179C"/>
    <w:rsid w:val="00392709"/>
    <w:rsid w:val="00392A84"/>
    <w:rsid w:val="00395486"/>
    <w:rsid w:val="00395806"/>
    <w:rsid w:val="00395CF4"/>
    <w:rsid w:val="00396896"/>
    <w:rsid w:val="00396FD0"/>
    <w:rsid w:val="003973A6"/>
    <w:rsid w:val="003A1A7A"/>
    <w:rsid w:val="003A1D75"/>
    <w:rsid w:val="003A2392"/>
    <w:rsid w:val="003A2831"/>
    <w:rsid w:val="003A2DD1"/>
    <w:rsid w:val="003A31C2"/>
    <w:rsid w:val="003A39C6"/>
    <w:rsid w:val="003A3CB6"/>
    <w:rsid w:val="003A3ED1"/>
    <w:rsid w:val="003A44DB"/>
    <w:rsid w:val="003A4C14"/>
    <w:rsid w:val="003A77BC"/>
    <w:rsid w:val="003B1584"/>
    <w:rsid w:val="003B226C"/>
    <w:rsid w:val="003B2575"/>
    <w:rsid w:val="003B3078"/>
    <w:rsid w:val="003B3971"/>
    <w:rsid w:val="003B3A21"/>
    <w:rsid w:val="003B55D1"/>
    <w:rsid w:val="003B5B61"/>
    <w:rsid w:val="003B73EF"/>
    <w:rsid w:val="003B792D"/>
    <w:rsid w:val="003B7A7C"/>
    <w:rsid w:val="003C1654"/>
    <w:rsid w:val="003C3552"/>
    <w:rsid w:val="003C422D"/>
    <w:rsid w:val="003C4A71"/>
    <w:rsid w:val="003C5542"/>
    <w:rsid w:val="003C5BEB"/>
    <w:rsid w:val="003C66A4"/>
    <w:rsid w:val="003C7C15"/>
    <w:rsid w:val="003C7D19"/>
    <w:rsid w:val="003C7D2F"/>
    <w:rsid w:val="003D0C5A"/>
    <w:rsid w:val="003D0EF6"/>
    <w:rsid w:val="003D1047"/>
    <w:rsid w:val="003D1828"/>
    <w:rsid w:val="003D194F"/>
    <w:rsid w:val="003D1DE4"/>
    <w:rsid w:val="003D1E9A"/>
    <w:rsid w:val="003D1F25"/>
    <w:rsid w:val="003D2422"/>
    <w:rsid w:val="003D26EA"/>
    <w:rsid w:val="003D2D0A"/>
    <w:rsid w:val="003D39A1"/>
    <w:rsid w:val="003D3C1C"/>
    <w:rsid w:val="003D3FBF"/>
    <w:rsid w:val="003D4A30"/>
    <w:rsid w:val="003D634A"/>
    <w:rsid w:val="003D7452"/>
    <w:rsid w:val="003D79BB"/>
    <w:rsid w:val="003D7C98"/>
    <w:rsid w:val="003D7D9D"/>
    <w:rsid w:val="003E0543"/>
    <w:rsid w:val="003E172D"/>
    <w:rsid w:val="003E1A80"/>
    <w:rsid w:val="003E403F"/>
    <w:rsid w:val="003E46D9"/>
    <w:rsid w:val="003E4E52"/>
    <w:rsid w:val="003E5603"/>
    <w:rsid w:val="003E67B4"/>
    <w:rsid w:val="003E696E"/>
    <w:rsid w:val="003E6B72"/>
    <w:rsid w:val="003E749E"/>
    <w:rsid w:val="003E7A36"/>
    <w:rsid w:val="003F0661"/>
    <w:rsid w:val="003F17B8"/>
    <w:rsid w:val="003F1AF6"/>
    <w:rsid w:val="003F25CB"/>
    <w:rsid w:val="003F2A1E"/>
    <w:rsid w:val="003F4156"/>
    <w:rsid w:val="003F49D1"/>
    <w:rsid w:val="003F49F2"/>
    <w:rsid w:val="003F5ADF"/>
    <w:rsid w:val="003F5E7D"/>
    <w:rsid w:val="003F7A51"/>
    <w:rsid w:val="00400B29"/>
    <w:rsid w:val="00402244"/>
    <w:rsid w:val="00402812"/>
    <w:rsid w:val="004029CE"/>
    <w:rsid w:val="00404ACB"/>
    <w:rsid w:val="0040504B"/>
    <w:rsid w:val="004059F4"/>
    <w:rsid w:val="004065A0"/>
    <w:rsid w:val="00406CAE"/>
    <w:rsid w:val="004071FC"/>
    <w:rsid w:val="00407FE5"/>
    <w:rsid w:val="004101B0"/>
    <w:rsid w:val="00410326"/>
    <w:rsid w:val="00410708"/>
    <w:rsid w:val="00410B7F"/>
    <w:rsid w:val="00410EC7"/>
    <w:rsid w:val="00411B39"/>
    <w:rsid w:val="004127A7"/>
    <w:rsid w:val="00413A1E"/>
    <w:rsid w:val="0041425F"/>
    <w:rsid w:val="00414476"/>
    <w:rsid w:val="004149CB"/>
    <w:rsid w:val="00414C2E"/>
    <w:rsid w:val="004151CF"/>
    <w:rsid w:val="00416364"/>
    <w:rsid w:val="00416963"/>
    <w:rsid w:val="0042047F"/>
    <w:rsid w:val="00420AA6"/>
    <w:rsid w:val="00420B9F"/>
    <w:rsid w:val="0042192C"/>
    <w:rsid w:val="00422260"/>
    <w:rsid w:val="004236F8"/>
    <w:rsid w:val="0042413F"/>
    <w:rsid w:val="00424A7C"/>
    <w:rsid w:val="00427536"/>
    <w:rsid w:val="00430A8F"/>
    <w:rsid w:val="004319F8"/>
    <w:rsid w:val="00431C98"/>
    <w:rsid w:val="00431E55"/>
    <w:rsid w:val="004321F6"/>
    <w:rsid w:val="00432CE5"/>
    <w:rsid w:val="00433044"/>
    <w:rsid w:val="00433D70"/>
    <w:rsid w:val="00434088"/>
    <w:rsid w:val="00435AF2"/>
    <w:rsid w:val="00435B05"/>
    <w:rsid w:val="004375B9"/>
    <w:rsid w:val="00440CFE"/>
    <w:rsid w:val="004414D4"/>
    <w:rsid w:val="004428D0"/>
    <w:rsid w:val="00442E46"/>
    <w:rsid w:val="00443B82"/>
    <w:rsid w:val="00443D80"/>
    <w:rsid w:val="00444185"/>
    <w:rsid w:val="004443A7"/>
    <w:rsid w:val="004443C9"/>
    <w:rsid w:val="0044442C"/>
    <w:rsid w:val="0044585E"/>
    <w:rsid w:val="00445941"/>
    <w:rsid w:val="004464EB"/>
    <w:rsid w:val="0044714B"/>
    <w:rsid w:val="00447D26"/>
    <w:rsid w:val="00447DFC"/>
    <w:rsid w:val="00450191"/>
    <w:rsid w:val="00452CA6"/>
    <w:rsid w:val="00452CE6"/>
    <w:rsid w:val="00454536"/>
    <w:rsid w:val="00454732"/>
    <w:rsid w:val="00454755"/>
    <w:rsid w:val="004559D9"/>
    <w:rsid w:val="00455D45"/>
    <w:rsid w:val="00455E85"/>
    <w:rsid w:val="00455F35"/>
    <w:rsid w:val="00457256"/>
    <w:rsid w:val="004579A5"/>
    <w:rsid w:val="0046081E"/>
    <w:rsid w:val="00460BB7"/>
    <w:rsid w:val="00460F5B"/>
    <w:rsid w:val="00461A6F"/>
    <w:rsid w:val="0046288A"/>
    <w:rsid w:val="00462A63"/>
    <w:rsid w:val="00462F51"/>
    <w:rsid w:val="00463097"/>
    <w:rsid w:val="00464595"/>
    <w:rsid w:val="004658B5"/>
    <w:rsid w:val="00465DB0"/>
    <w:rsid w:val="00471E4D"/>
    <w:rsid w:val="00471EA5"/>
    <w:rsid w:val="004721AA"/>
    <w:rsid w:val="00472A79"/>
    <w:rsid w:val="00473F19"/>
    <w:rsid w:val="004748ED"/>
    <w:rsid w:val="00475E22"/>
    <w:rsid w:val="004767E1"/>
    <w:rsid w:val="004772FB"/>
    <w:rsid w:val="0047754B"/>
    <w:rsid w:val="0048088E"/>
    <w:rsid w:val="00480F2B"/>
    <w:rsid w:val="0048265F"/>
    <w:rsid w:val="00482720"/>
    <w:rsid w:val="004835E7"/>
    <w:rsid w:val="00483839"/>
    <w:rsid w:val="004859E1"/>
    <w:rsid w:val="004867E2"/>
    <w:rsid w:val="00487284"/>
    <w:rsid w:val="00490B17"/>
    <w:rsid w:val="004910A4"/>
    <w:rsid w:val="00491582"/>
    <w:rsid w:val="00491B3A"/>
    <w:rsid w:val="00492CFD"/>
    <w:rsid w:val="00493EC7"/>
    <w:rsid w:val="00494207"/>
    <w:rsid w:val="0049459C"/>
    <w:rsid w:val="00494DAF"/>
    <w:rsid w:val="00494DD5"/>
    <w:rsid w:val="004951A7"/>
    <w:rsid w:val="004958E4"/>
    <w:rsid w:val="004962D2"/>
    <w:rsid w:val="00496CBF"/>
    <w:rsid w:val="004976A0"/>
    <w:rsid w:val="00497EEC"/>
    <w:rsid w:val="004A0387"/>
    <w:rsid w:val="004A0969"/>
    <w:rsid w:val="004A0DA1"/>
    <w:rsid w:val="004A13D6"/>
    <w:rsid w:val="004A3461"/>
    <w:rsid w:val="004A36A5"/>
    <w:rsid w:val="004A3966"/>
    <w:rsid w:val="004A52E9"/>
    <w:rsid w:val="004A56EC"/>
    <w:rsid w:val="004A6040"/>
    <w:rsid w:val="004A6597"/>
    <w:rsid w:val="004A7848"/>
    <w:rsid w:val="004A793B"/>
    <w:rsid w:val="004A7F33"/>
    <w:rsid w:val="004B0FC6"/>
    <w:rsid w:val="004B1CB4"/>
    <w:rsid w:val="004B2F18"/>
    <w:rsid w:val="004B3DDB"/>
    <w:rsid w:val="004B44FD"/>
    <w:rsid w:val="004B52AF"/>
    <w:rsid w:val="004B5CFC"/>
    <w:rsid w:val="004B670F"/>
    <w:rsid w:val="004B6F79"/>
    <w:rsid w:val="004B774D"/>
    <w:rsid w:val="004C06C6"/>
    <w:rsid w:val="004C2AC2"/>
    <w:rsid w:val="004C2E63"/>
    <w:rsid w:val="004C3547"/>
    <w:rsid w:val="004C36B1"/>
    <w:rsid w:val="004C395C"/>
    <w:rsid w:val="004C4AED"/>
    <w:rsid w:val="004C4CCA"/>
    <w:rsid w:val="004D2296"/>
    <w:rsid w:val="004D2832"/>
    <w:rsid w:val="004D2C2D"/>
    <w:rsid w:val="004D4251"/>
    <w:rsid w:val="004D4A3B"/>
    <w:rsid w:val="004D6853"/>
    <w:rsid w:val="004D69B5"/>
    <w:rsid w:val="004D6EDE"/>
    <w:rsid w:val="004D7227"/>
    <w:rsid w:val="004D7ACC"/>
    <w:rsid w:val="004D7B0D"/>
    <w:rsid w:val="004D7B5E"/>
    <w:rsid w:val="004D7E42"/>
    <w:rsid w:val="004E0E7F"/>
    <w:rsid w:val="004E0EB8"/>
    <w:rsid w:val="004E18E9"/>
    <w:rsid w:val="004E2282"/>
    <w:rsid w:val="004E28DB"/>
    <w:rsid w:val="004E2ADC"/>
    <w:rsid w:val="004E41C9"/>
    <w:rsid w:val="004E43B2"/>
    <w:rsid w:val="004E4E61"/>
    <w:rsid w:val="004E4F49"/>
    <w:rsid w:val="004E5130"/>
    <w:rsid w:val="004E5E5E"/>
    <w:rsid w:val="004F14B1"/>
    <w:rsid w:val="004F1D02"/>
    <w:rsid w:val="004F2679"/>
    <w:rsid w:val="004F2F21"/>
    <w:rsid w:val="004F3069"/>
    <w:rsid w:val="004F31BC"/>
    <w:rsid w:val="004F3A47"/>
    <w:rsid w:val="004F3DE5"/>
    <w:rsid w:val="004F3F30"/>
    <w:rsid w:val="004F4AB4"/>
    <w:rsid w:val="004F4BDE"/>
    <w:rsid w:val="004F5B47"/>
    <w:rsid w:val="004F6913"/>
    <w:rsid w:val="004F7865"/>
    <w:rsid w:val="005002E9"/>
    <w:rsid w:val="005003F7"/>
    <w:rsid w:val="0050174E"/>
    <w:rsid w:val="00501854"/>
    <w:rsid w:val="0050219B"/>
    <w:rsid w:val="0050337B"/>
    <w:rsid w:val="00503571"/>
    <w:rsid w:val="005037A8"/>
    <w:rsid w:val="00503F17"/>
    <w:rsid w:val="00503F3A"/>
    <w:rsid w:val="00503FCD"/>
    <w:rsid w:val="00504B9C"/>
    <w:rsid w:val="00505ABC"/>
    <w:rsid w:val="00506928"/>
    <w:rsid w:val="005077EF"/>
    <w:rsid w:val="005107A1"/>
    <w:rsid w:val="0051169F"/>
    <w:rsid w:val="00511841"/>
    <w:rsid w:val="00511AD5"/>
    <w:rsid w:val="00511DC7"/>
    <w:rsid w:val="00512025"/>
    <w:rsid w:val="005121DA"/>
    <w:rsid w:val="00513581"/>
    <w:rsid w:val="00513F13"/>
    <w:rsid w:val="005142C5"/>
    <w:rsid w:val="00514803"/>
    <w:rsid w:val="0051501B"/>
    <w:rsid w:val="005152B5"/>
    <w:rsid w:val="00515886"/>
    <w:rsid w:val="00515FF1"/>
    <w:rsid w:val="005168AF"/>
    <w:rsid w:val="00516D5C"/>
    <w:rsid w:val="0052123C"/>
    <w:rsid w:val="00521319"/>
    <w:rsid w:val="00521D3F"/>
    <w:rsid w:val="00522BC8"/>
    <w:rsid w:val="005230E1"/>
    <w:rsid w:val="00523C28"/>
    <w:rsid w:val="00524000"/>
    <w:rsid w:val="00526B85"/>
    <w:rsid w:val="00526E31"/>
    <w:rsid w:val="00527334"/>
    <w:rsid w:val="0053176B"/>
    <w:rsid w:val="005324EF"/>
    <w:rsid w:val="005325BA"/>
    <w:rsid w:val="00533C66"/>
    <w:rsid w:val="005341B3"/>
    <w:rsid w:val="00534EEC"/>
    <w:rsid w:val="00534F59"/>
    <w:rsid w:val="005350FE"/>
    <w:rsid w:val="00536F42"/>
    <w:rsid w:val="00537182"/>
    <w:rsid w:val="0053758E"/>
    <w:rsid w:val="00541617"/>
    <w:rsid w:val="00541EDD"/>
    <w:rsid w:val="00542743"/>
    <w:rsid w:val="00542C2D"/>
    <w:rsid w:val="00543B01"/>
    <w:rsid w:val="00544E23"/>
    <w:rsid w:val="00545B29"/>
    <w:rsid w:val="0054657B"/>
    <w:rsid w:val="005465BF"/>
    <w:rsid w:val="005475E4"/>
    <w:rsid w:val="005478BD"/>
    <w:rsid w:val="005479E3"/>
    <w:rsid w:val="0055051A"/>
    <w:rsid w:val="00550DF1"/>
    <w:rsid w:val="0055192C"/>
    <w:rsid w:val="00551985"/>
    <w:rsid w:val="00551F19"/>
    <w:rsid w:val="00552BD3"/>
    <w:rsid w:val="005532A0"/>
    <w:rsid w:val="00553B21"/>
    <w:rsid w:val="0055461B"/>
    <w:rsid w:val="00555109"/>
    <w:rsid w:val="00555173"/>
    <w:rsid w:val="005560BD"/>
    <w:rsid w:val="005568A0"/>
    <w:rsid w:val="00556B35"/>
    <w:rsid w:val="00556FC3"/>
    <w:rsid w:val="0055741A"/>
    <w:rsid w:val="005611B7"/>
    <w:rsid w:val="00561882"/>
    <w:rsid w:val="005618D4"/>
    <w:rsid w:val="00563FE1"/>
    <w:rsid w:val="00564867"/>
    <w:rsid w:val="00565C79"/>
    <w:rsid w:val="00565DF0"/>
    <w:rsid w:val="00566287"/>
    <w:rsid w:val="0056696F"/>
    <w:rsid w:val="00571138"/>
    <w:rsid w:val="00571BA2"/>
    <w:rsid w:val="00572269"/>
    <w:rsid w:val="0057244A"/>
    <w:rsid w:val="00572F26"/>
    <w:rsid w:val="0057365A"/>
    <w:rsid w:val="005737C5"/>
    <w:rsid w:val="005750C5"/>
    <w:rsid w:val="005752D4"/>
    <w:rsid w:val="005752DE"/>
    <w:rsid w:val="00575395"/>
    <w:rsid w:val="0057557A"/>
    <w:rsid w:val="00575B1F"/>
    <w:rsid w:val="00575B65"/>
    <w:rsid w:val="00575D60"/>
    <w:rsid w:val="00575D8D"/>
    <w:rsid w:val="005761E4"/>
    <w:rsid w:val="00576972"/>
    <w:rsid w:val="00577248"/>
    <w:rsid w:val="00580E3D"/>
    <w:rsid w:val="00581FC7"/>
    <w:rsid w:val="005827E5"/>
    <w:rsid w:val="00583699"/>
    <w:rsid w:val="00583E1C"/>
    <w:rsid w:val="005846D0"/>
    <w:rsid w:val="00585CDD"/>
    <w:rsid w:val="00585F88"/>
    <w:rsid w:val="00586A67"/>
    <w:rsid w:val="00587058"/>
    <w:rsid w:val="0058749B"/>
    <w:rsid w:val="0059072A"/>
    <w:rsid w:val="00590756"/>
    <w:rsid w:val="00590CF4"/>
    <w:rsid w:val="00590F15"/>
    <w:rsid w:val="00591957"/>
    <w:rsid w:val="00592727"/>
    <w:rsid w:val="00592F54"/>
    <w:rsid w:val="00592FDB"/>
    <w:rsid w:val="00594D1B"/>
    <w:rsid w:val="00596C7F"/>
    <w:rsid w:val="0059718D"/>
    <w:rsid w:val="00597636"/>
    <w:rsid w:val="00597BF9"/>
    <w:rsid w:val="005A08AC"/>
    <w:rsid w:val="005A0C11"/>
    <w:rsid w:val="005A1624"/>
    <w:rsid w:val="005A2800"/>
    <w:rsid w:val="005A309A"/>
    <w:rsid w:val="005A3437"/>
    <w:rsid w:val="005A355B"/>
    <w:rsid w:val="005A373D"/>
    <w:rsid w:val="005A45EA"/>
    <w:rsid w:val="005A551A"/>
    <w:rsid w:val="005A7193"/>
    <w:rsid w:val="005A7C2C"/>
    <w:rsid w:val="005B0B58"/>
    <w:rsid w:val="005B1314"/>
    <w:rsid w:val="005B22BA"/>
    <w:rsid w:val="005B341A"/>
    <w:rsid w:val="005B4E53"/>
    <w:rsid w:val="005B5857"/>
    <w:rsid w:val="005B6DAE"/>
    <w:rsid w:val="005C0C92"/>
    <w:rsid w:val="005C19C4"/>
    <w:rsid w:val="005C1B83"/>
    <w:rsid w:val="005C1BDE"/>
    <w:rsid w:val="005C1D41"/>
    <w:rsid w:val="005C228D"/>
    <w:rsid w:val="005C25FF"/>
    <w:rsid w:val="005C2D55"/>
    <w:rsid w:val="005C346B"/>
    <w:rsid w:val="005C3AE7"/>
    <w:rsid w:val="005C416C"/>
    <w:rsid w:val="005C4203"/>
    <w:rsid w:val="005C4EF2"/>
    <w:rsid w:val="005C5ABC"/>
    <w:rsid w:val="005C70A5"/>
    <w:rsid w:val="005C7851"/>
    <w:rsid w:val="005C7EA5"/>
    <w:rsid w:val="005D044D"/>
    <w:rsid w:val="005D0ABD"/>
    <w:rsid w:val="005D18AD"/>
    <w:rsid w:val="005D1EB4"/>
    <w:rsid w:val="005D26B4"/>
    <w:rsid w:val="005D3DDF"/>
    <w:rsid w:val="005D5361"/>
    <w:rsid w:val="005D6546"/>
    <w:rsid w:val="005D7A66"/>
    <w:rsid w:val="005D7F2A"/>
    <w:rsid w:val="005E0A71"/>
    <w:rsid w:val="005E1995"/>
    <w:rsid w:val="005E1AA0"/>
    <w:rsid w:val="005E29EA"/>
    <w:rsid w:val="005E357D"/>
    <w:rsid w:val="005E3E06"/>
    <w:rsid w:val="005E4C86"/>
    <w:rsid w:val="005E5A49"/>
    <w:rsid w:val="005E628E"/>
    <w:rsid w:val="005E6B11"/>
    <w:rsid w:val="005E6CBC"/>
    <w:rsid w:val="005E72FF"/>
    <w:rsid w:val="005E73C0"/>
    <w:rsid w:val="005E75CC"/>
    <w:rsid w:val="005F0559"/>
    <w:rsid w:val="005F07ED"/>
    <w:rsid w:val="005F2706"/>
    <w:rsid w:val="005F3111"/>
    <w:rsid w:val="005F32D8"/>
    <w:rsid w:val="005F44A4"/>
    <w:rsid w:val="005F4B5A"/>
    <w:rsid w:val="005F5ACC"/>
    <w:rsid w:val="005F6A8F"/>
    <w:rsid w:val="005F6BB7"/>
    <w:rsid w:val="005F70E7"/>
    <w:rsid w:val="005F7588"/>
    <w:rsid w:val="00600D50"/>
    <w:rsid w:val="006011DB"/>
    <w:rsid w:val="006020BF"/>
    <w:rsid w:val="00603DB9"/>
    <w:rsid w:val="00604D9F"/>
    <w:rsid w:val="00605BAB"/>
    <w:rsid w:val="00605F6F"/>
    <w:rsid w:val="0060659F"/>
    <w:rsid w:val="00606699"/>
    <w:rsid w:val="006066FF"/>
    <w:rsid w:val="00606FBA"/>
    <w:rsid w:val="00607669"/>
    <w:rsid w:val="006076F4"/>
    <w:rsid w:val="00607AFD"/>
    <w:rsid w:val="0061023B"/>
    <w:rsid w:val="00611652"/>
    <w:rsid w:val="00611B12"/>
    <w:rsid w:val="006120EB"/>
    <w:rsid w:val="00612F97"/>
    <w:rsid w:val="00612FB6"/>
    <w:rsid w:val="0061345D"/>
    <w:rsid w:val="0061549B"/>
    <w:rsid w:val="00616802"/>
    <w:rsid w:val="006168C1"/>
    <w:rsid w:val="00616972"/>
    <w:rsid w:val="00616D59"/>
    <w:rsid w:val="00616FC5"/>
    <w:rsid w:val="006176F6"/>
    <w:rsid w:val="00617E12"/>
    <w:rsid w:val="00620AA1"/>
    <w:rsid w:val="00620C25"/>
    <w:rsid w:val="006211F7"/>
    <w:rsid w:val="00621477"/>
    <w:rsid w:val="00621ADA"/>
    <w:rsid w:val="00621B2B"/>
    <w:rsid w:val="00623046"/>
    <w:rsid w:val="00623F7B"/>
    <w:rsid w:val="00624BD4"/>
    <w:rsid w:val="00626330"/>
    <w:rsid w:val="00626345"/>
    <w:rsid w:val="00626E66"/>
    <w:rsid w:val="00631363"/>
    <w:rsid w:val="0063158F"/>
    <w:rsid w:val="006317CE"/>
    <w:rsid w:val="00631D6B"/>
    <w:rsid w:val="00632183"/>
    <w:rsid w:val="006328FB"/>
    <w:rsid w:val="00632B3E"/>
    <w:rsid w:val="00632C85"/>
    <w:rsid w:val="00632E76"/>
    <w:rsid w:val="006330A1"/>
    <w:rsid w:val="00633749"/>
    <w:rsid w:val="00634079"/>
    <w:rsid w:val="00634718"/>
    <w:rsid w:val="0063479F"/>
    <w:rsid w:val="0063526C"/>
    <w:rsid w:val="006353F0"/>
    <w:rsid w:val="006357B5"/>
    <w:rsid w:val="006364A1"/>
    <w:rsid w:val="0063678E"/>
    <w:rsid w:val="006368AE"/>
    <w:rsid w:val="0063714D"/>
    <w:rsid w:val="00637BFD"/>
    <w:rsid w:val="00637C5C"/>
    <w:rsid w:val="00640116"/>
    <w:rsid w:val="006402B1"/>
    <w:rsid w:val="00640A7C"/>
    <w:rsid w:val="00641334"/>
    <w:rsid w:val="00641A97"/>
    <w:rsid w:val="00641C4E"/>
    <w:rsid w:val="00641D52"/>
    <w:rsid w:val="00641FB3"/>
    <w:rsid w:val="00642ABA"/>
    <w:rsid w:val="00643921"/>
    <w:rsid w:val="00643EA5"/>
    <w:rsid w:val="0064434C"/>
    <w:rsid w:val="00645DC5"/>
    <w:rsid w:val="0064602C"/>
    <w:rsid w:val="006466EB"/>
    <w:rsid w:val="006471CC"/>
    <w:rsid w:val="006472FE"/>
    <w:rsid w:val="00647A29"/>
    <w:rsid w:val="0065079F"/>
    <w:rsid w:val="00652A28"/>
    <w:rsid w:val="006532F5"/>
    <w:rsid w:val="0065379F"/>
    <w:rsid w:val="006545C4"/>
    <w:rsid w:val="00654EFA"/>
    <w:rsid w:val="0065588C"/>
    <w:rsid w:val="00656188"/>
    <w:rsid w:val="006565F9"/>
    <w:rsid w:val="0065715A"/>
    <w:rsid w:val="0065763E"/>
    <w:rsid w:val="0066010B"/>
    <w:rsid w:val="0066017A"/>
    <w:rsid w:val="00660E49"/>
    <w:rsid w:val="006610F1"/>
    <w:rsid w:val="00661439"/>
    <w:rsid w:val="00661C6B"/>
    <w:rsid w:val="00661E4D"/>
    <w:rsid w:val="00662D3E"/>
    <w:rsid w:val="00664AF8"/>
    <w:rsid w:val="006658D6"/>
    <w:rsid w:val="00665D66"/>
    <w:rsid w:val="0066622D"/>
    <w:rsid w:val="006679C6"/>
    <w:rsid w:val="00667B90"/>
    <w:rsid w:val="00667BE3"/>
    <w:rsid w:val="00671004"/>
    <w:rsid w:val="006711AC"/>
    <w:rsid w:val="006711F3"/>
    <w:rsid w:val="00671B0D"/>
    <w:rsid w:val="00672646"/>
    <w:rsid w:val="00672FF2"/>
    <w:rsid w:val="00673722"/>
    <w:rsid w:val="00673D3F"/>
    <w:rsid w:val="00674E42"/>
    <w:rsid w:val="00676563"/>
    <w:rsid w:val="00676EA3"/>
    <w:rsid w:val="006779ED"/>
    <w:rsid w:val="006803BA"/>
    <w:rsid w:val="006805A5"/>
    <w:rsid w:val="006813F8"/>
    <w:rsid w:val="00682112"/>
    <w:rsid w:val="0068221E"/>
    <w:rsid w:val="00682A3A"/>
    <w:rsid w:val="00682BA6"/>
    <w:rsid w:val="00684BD7"/>
    <w:rsid w:val="00685D13"/>
    <w:rsid w:val="006868C8"/>
    <w:rsid w:val="00686957"/>
    <w:rsid w:val="006872BA"/>
    <w:rsid w:val="00687C67"/>
    <w:rsid w:val="00690795"/>
    <w:rsid w:val="00691648"/>
    <w:rsid w:val="006917D7"/>
    <w:rsid w:val="00691B3F"/>
    <w:rsid w:val="0069434C"/>
    <w:rsid w:val="00694F44"/>
    <w:rsid w:val="00696EF9"/>
    <w:rsid w:val="00696F51"/>
    <w:rsid w:val="006979A5"/>
    <w:rsid w:val="006A016F"/>
    <w:rsid w:val="006A0DF7"/>
    <w:rsid w:val="006A16CA"/>
    <w:rsid w:val="006A4321"/>
    <w:rsid w:val="006A43D9"/>
    <w:rsid w:val="006A516A"/>
    <w:rsid w:val="006A5D8A"/>
    <w:rsid w:val="006A6B99"/>
    <w:rsid w:val="006A7617"/>
    <w:rsid w:val="006A7E5F"/>
    <w:rsid w:val="006B0960"/>
    <w:rsid w:val="006B10C3"/>
    <w:rsid w:val="006B1EE4"/>
    <w:rsid w:val="006B261B"/>
    <w:rsid w:val="006B2C90"/>
    <w:rsid w:val="006B35E0"/>
    <w:rsid w:val="006B35E6"/>
    <w:rsid w:val="006B4337"/>
    <w:rsid w:val="006B465A"/>
    <w:rsid w:val="006B5569"/>
    <w:rsid w:val="006B608F"/>
    <w:rsid w:val="006B61CB"/>
    <w:rsid w:val="006B6DD0"/>
    <w:rsid w:val="006C0399"/>
    <w:rsid w:val="006C0D71"/>
    <w:rsid w:val="006C171D"/>
    <w:rsid w:val="006C1D7F"/>
    <w:rsid w:val="006C2A8E"/>
    <w:rsid w:val="006C3255"/>
    <w:rsid w:val="006C3F26"/>
    <w:rsid w:val="006C427E"/>
    <w:rsid w:val="006C5AE5"/>
    <w:rsid w:val="006C5B11"/>
    <w:rsid w:val="006C7B81"/>
    <w:rsid w:val="006D0520"/>
    <w:rsid w:val="006D0D17"/>
    <w:rsid w:val="006D1D8E"/>
    <w:rsid w:val="006D2C7C"/>
    <w:rsid w:val="006D3C7D"/>
    <w:rsid w:val="006D4659"/>
    <w:rsid w:val="006D5D5F"/>
    <w:rsid w:val="006D6667"/>
    <w:rsid w:val="006D687E"/>
    <w:rsid w:val="006D68FB"/>
    <w:rsid w:val="006D779A"/>
    <w:rsid w:val="006D786A"/>
    <w:rsid w:val="006E13C6"/>
    <w:rsid w:val="006E2868"/>
    <w:rsid w:val="006E3E5C"/>
    <w:rsid w:val="006E669F"/>
    <w:rsid w:val="006F1B5D"/>
    <w:rsid w:val="006F1BBD"/>
    <w:rsid w:val="006F306C"/>
    <w:rsid w:val="006F36F7"/>
    <w:rsid w:val="006F3E6A"/>
    <w:rsid w:val="006F56D6"/>
    <w:rsid w:val="006F5901"/>
    <w:rsid w:val="006F5A88"/>
    <w:rsid w:val="006F5DBB"/>
    <w:rsid w:val="006F63A5"/>
    <w:rsid w:val="007005EA"/>
    <w:rsid w:val="00700676"/>
    <w:rsid w:val="0070142B"/>
    <w:rsid w:val="0070276E"/>
    <w:rsid w:val="00702931"/>
    <w:rsid w:val="00702F8F"/>
    <w:rsid w:val="007039B9"/>
    <w:rsid w:val="00703FAB"/>
    <w:rsid w:val="00705492"/>
    <w:rsid w:val="00706541"/>
    <w:rsid w:val="00706B16"/>
    <w:rsid w:val="00706D87"/>
    <w:rsid w:val="00706DDB"/>
    <w:rsid w:val="00706E36"/>
    <w:rsid w:val="007079FC"/>
    <w:rsid w:val="007106A9"/>
    <w:rsid w:val="007113CB"/>
    <w:rsid w:val="00711A36"/>
    <w:rsid w:val="00711F89"/>
    <w:rsid w:val="007125D3"/>
    <w:rsid w:val="00713177"/>
    <w:rsid w:val="007136B1"/>
    <w:rsid w:val="00713A93"/>
    <w:rsid w:val="0071484A"/>
    <w:rsid w:val="00714C26"/>
    <w:rsid w:val="0071529C"/>
    <w:rsid w:val="007158DC"/>
    <w:rsid w:val="007170DA"/>
    <w:rsid w:val="007172AD"/>
    <w:rsid w:val="007172C3"/>
    <w:rsid w:val="00717546"/>
    <w:rsid w:val="007206A0"/>
    <w:rsid w:val="00720801"/>
    <w:rsid w:val="0072181D"/>
    <w:rsid w:val="00722462"/>
    <w:rsid w:val="00722A47"/>
    <w:rsid w:val="00722B1B"/>
    <w:rsid w:val="0072416F"/>
    <w:rsid w:val="00724F57"/>
    <w:rsid w:val="0072516C"/>
    <w:rsid w:val="007263F2"/>
    <w:rsid w:val="00727C94"/>
    <w:rsid w:val="00731B0A"/>
    <w:rsid w:val="00731EAE"/>
    <w:rsid w:val="007326A3"/>
    <w:rsid w:val="00733073"/>
    <w:rsid w:val="00734AC6"/>
    <w:rsid w:val="00735033"/>
    <w:rsid w:val="00735328"/>
    <w:rsid w:val="00735BD0"/>
    <w:rsid w:val="00735DC2"/>
    <w:rsid w:val="0073685B"/>
    <w:rsid w:val="00737A9C"/>
    <w:rsid w:val="00737BDE"/>
    <w:rsid w:val="0074047D"/>
    <w:rsid w:val="00740712"/>
    <w:rsid w:val="00744445"/>
    <w:rsid w:val="00744821"/>
    <w:rsid w:val="007449BF"/>
    <w:rsid w:val="0074511B"/>
    <w:rsid w:val="00746300"/>
    <w:rsid w:val="007463FE"/>
    <w:rsid w:val="00746BC0"/>
    <w:rsid w:val="007473AC"/>
    <w:rsid w:val="00747B99"/>
    <w:rsid w:val="00747DE5"/>
    <w:rsid w:val="00747F9C"/>
    <w:rsid w:val="00750DE4"/>
    <w:rsid w:val="007510B4"/>
    <w:rsid w:val="007518AD"/>
    <w:rsid w:val="00751C9F"/>
    <w:rsid w:val="00752142"/>
    <w:rsid w:val="007522E9"/>
    <w:rsid w:val="007523F9"/>
    <w:rsid w:val="0075357E"/>
    <w:rsid w:val="00753B29"/>
    <w:rsid w:val="007562A3"/>
    <w:rsid w:val="007569B7"/>
    <w:rsid w:val="007573E8"/>
    <w:rsid w:val="00757F1D"/>
    <w:rsid w:val="00760C4E"/>
    <w:rsid w:val="00760F9E"/>
    <w:rsid w:val="007616E6"/>
    <w:rsid w:val="007627BE"/>
    <w:rsid w:val="007629C9"/>
    <w:rsid w:val="00762A72"/>
    <w:rsid w:val="00762C5B"/>
    <w:rsid w:val="007632F2"/>
    <w:rsid w:val="00763338"/>
    <w:rsid w:val="00763B30"/>
    <w:rsid w:val="00764466"/>
    <w:rsid w:val="007646F8"/>
    <w:rsid w:val="00764F03"/>
    <w:rsid w:val="00765B1A"/>
    <w:rsid w:val="00765DC1"/>
    <w:rsid w:val="00766E12"/>
    <w:rsid w:val="00767858"/>
    <w:rsid w:val="00770C0B"/>
    <w:rsid w:val="0077186F"/>
    <w:rsid w:val="007724FF"/>
    <w:rsid w:val="00773685"/>
    <w:rsid w:val="00774941"/>
    <w:rsid w:val="00774F02"/>
    <w:rsid w:val="007763AE"/>
    <w:rsid w:val="00777235"/>
    <w:rsid w:val="00777335"/>
    <w:rsid w:val="0078282B"/>
    <w:rsid w:val="007843F2"/>
    <w:rsid w:val="007846FA"/>
    <w:rsid w:val="00785A9F"/>
    <w:rsid w:val="00785CFC"/>
    <w:rsid w:val="00786087"/>
    <w:rsid w:val="00786D9B"/>
    <w:rsid w:val="00790B7F"/>
    <w:rsid w:val="007925DF"/>
    <w:rsid w:val="0079432F"/>
    <w:rsid w:val="007979C3"/>
    <w:rsid w:val="007A00CF"/>
    <w:rsid w:val="007A08AA"/>
    <w:rsid w:val="007A0A12"/>
    <w:rsid w:val="007A0D25"/>
    <w:rsid w:val="007A132D"/>
    <w:rsid w:val="007A1345"/>
    <w:rsid w:val="007A2D9F"/>
    <w:rsid w:val="007A2DDB"/>
    <w:rsid w:val="007A2F10"/>
    <w:rsid w:val="007A3047"/>
    <w:rsid w:val="007A6928"/>
    <w:rsid w:val="007A70BA"/>
    <w:rsid w:val="007B0998"/>
    <w:rsid w:val="007B0CA8"/>
    <w:rsid w:val="007B0D68"/>
    <w:rsid w:val="007B0F00"/>
    <w:rsid w:val="007B16AF"/>
    <w:rsid w:val="007B21F3"/>
    <w:rsid w:val="007B251D"/>
    <w:rsid w:val="007B2AA2"/>
    <w:rsid w:val="007B2B1F"/>
    <w:rsid w:val="007B3533"/>
    <w:rsid w:val="007B3D1C"/>
    <w:rsid w:val="007B3FCA"/>
    <w:rsid w:val="007B4F58"/>
    <w:rsid w:val="007B528D"/>
    <w:rsid w:val="007B63CA"/>
    <w:rsid w:val="007B77D1"/>
    <w:rsid w:val="007B793C"/>
    <w:rsid w:val="007C07C7"/>
    <w:rsid w:val="007C16C0"/>
    <w:rsid w:val="007C1B24"/>
    <w:rsid w:val="007C1CD9"/>
    <w:rsid w:val="007C32EF"/>
    <w:rsid w:val="007C361D"/>
    <w:rsid w:val="007C3E49"/>
    <w:rsid w:val="007C4244"/>
    <w:rsid w:val="007C4298"/>
    <w:rsid w:val="007C4B84"/>
    <w:rsid w:val="007C70FF"/>
    <w:rsid w:val="007C7C25"/>
    <w:rsid w:val="007D004F"/>
    <w:rsid w:val="007D035F"/>
    <w:rsid w:val="007D06B2"/>
    <w:rsid w:val="007D0B38"/>
    <w:rsid w:val="007D1162"/>
    <w:rsid w:val="007D217F"/>
    <w:rsid w:val="007D32C7"/>
    <w:rsid w:val="007D4A35"/>
    <w:rsid w:val="007D5440"/>
    <w:rsid w:val="007D69EB"/>
    <w:rsid w:val="007E128F"/>
    <w:rsid w:val="007E1694"/>
    <w:rsid w:val="007E3D9E"/>
    <w:rsid w:val="007E77DC"/>
    <w:rsid w:val="007F01D4"/>
    <w:rsid w:val="007F1017"/>
    <w:rsid w:val="007F1BDA"/>
    <w:rsid w:val="007F2A10"/>
    <w:rsid w:val="007F3519"/>
    <w:rsid w:val="007F3901"/>
    <w:rsid w:val="007F3F00"/>
    <w:rsid w:val="007F46C4"/>
    <w:rsid w:val="007F4A3F"/>
    <w:rsid w:val="007F4A61"/>
    <w:rsid w:val="007F5255"/>
    <w:rsid w:val="007F56CC"/>
    <w:rsid w:val="007F61C2"/>
    <w:rsid w:val="007F65EF"/>
    <w:rsid w:val="007F6E5A"/>
    <w:rsid w:val="007F78A0"/>
    <w:rsid w:val="007F7AE0"/>
    <w:rsid w:val="00800960"/>
    <w:rsid w:val="0080128B"/>
    <w:rsid w:val="00801AD9"/>
    <w:rsid w:val="00802A5B"/>
    <w:rsid w:val="00803E25"/>
    <w:rsid w:val="00805142"/>
    <w:rsid w:val="00805F94"/>
    <w:rsid w:val="00805FCE"/>
    <w:rsid w:val="00807131"/>
    <w:rsid w:val="00807A8B"/>
    <w:rsid w:val="00810566"/>
    <w:rsid w:val="00811383"/>
    <w:rsid w:val="008114D4"/>
    <w:rsid w:val="00811E0B"/>
    <w:rsid w:val="00812149"/>
    <w:rsid w:val="00812CAC"/>
    <w:rsid w:val="00812CB3"/>
    <w:rsid w:val="00813980"/>
    <w:rsid w:val="008162F7"/>
    <w:rsid w:val="00816361"/>
    <w:rsid w:val="008166EF"/>
    <w:rsid w:val="00816BD6"/>
    <w:rsid w:val="00816FEF"/>
    <w:rsid w:val="00817D93"/>
    <w:rsid w:val="00820A8C"/>
    <w:rsid w:val="008214E5"/>
    <w:rsid w:val="008215FB"/>
    <w:rsid w:val="0082172B"/>
    <w:rsid w:val="008220CC"/>
    <w:rsid w:val="0082310B"/>
    <w:rsid w:val="00823174"/>
    <w:rsid w:val="008251FA"/>
    <w:rsid w:val="00825751"/>
    <w:rsid w:val="008264EB"/>
    <w:rsid w:val="008268CE"/>
    <w:rsid w:val="008278EF"/>
    <w:rsid w:val="00827C23"/>
    <w:rsid w:val="00832644"/>
    <w:rsid w:val="00832B38"/>
    <w:rsid w:val="00833469"/>
    <w:rsid w:val="00833B05"/>
    <w:rsid w:val="00834D6F"/>
    <w:rsid w:val="00835416"/>
    <w:rsid w:val="008362B4"/>
    <w:rsid w:val="00840CA2"/>
    <w:rsid w:val="00841CB6"/>
    <w:rsid w:val="00841DE8"/>
    <w:rsid w:val="00842AB6"/>
    <w:rsid w:val="008435EF"/>
    <w:rsid w:val="0084374F"/>
    <w:rsid w:val="00843F25"/>
    <w:rsid w:val="0084404D"/>
    <w:rsid w:val="00844849"/>
    <w:rsid w:val="008449F6"/>
    <w:rsid w:val="00844A22"/>
    <w:rsid w:val="00844EB4"/>
    <w:rsid w:val="00846B9D"/>
    <w:rsid w:val="00847703"/>
    <w:rsid w:val="00847DF5"/>
    <w:rsid w:val="00851159"/>
    <w:rsid w:val="008512AE"/>
    <w:rsid w:val="00851D67"/>
    <w:rsid w:val="0085210A"/>
    <w:rsid w:val="0085309D"/>
    <w:rsid w:val="00855F41"/>
    <w:rsid w:val="00856897"/>
    <w:rsid w:val="00856E9A"/>
    <w:rsid w:val="00857574"/>
    <w:rsid w:val="00857A72"/>
    <w:rsid w:val="0086075D"/>
    <w:rsid w:val="008610D1"/>
    <w:rsid w:val="00861387"/>
    <w:rsid w:val="00862502"/>
    <w:rsid w:val="008627EB"/>
    <w:rsid w:val="00862CC1"/>
    <w:rsid w:val="00863602"/>
    <w:rsid w:val="00863E8A"/>
    <w:rsid w:val="008642A7"/>
    <w:rsid w:val="00864427"/>
    <w:rsid w:val="008644BA"/>
    <w:rsid w:val="008659E7"/>
    <w:rsid w:val="008660D4"/>
    <w:rsid w:val="008715DF"/>
    <w:rsid w:val="00871FA9"/>
    <w:rsid w:val="0087266C"/>
    <w:rsid w:val="008728E9"/>
    <w:rsid w:val="00872DCB"/>
    <w:rsid w:val="00873A2E"/>
    <w:rsid w:val="00873CC2"/>
    <w:rsid w:val="0087487B"/>
    <w:rsid w:val="0087494D"/>
    <w:rsid w:val="0087580C"/>
    <w:rsid w:val="008758B1"/>
    <w:rsid w:val="00876C6B"/>
    <w:rsid w:val="00876FE1"/>
    <w:rsid w:val="0087750E"/>
    <w:rsid w:val="00881DE4"/>
    <w:rsid w:val="00882194"/>
    <w:rsid w:val="00882874"/>
    <w:rsid w:val="00882E3C"/>
    <w:rsid w:val="0088308A"/>
    <w:rsid w:val="00883787"/>
    <w:rsid w:val="008837E8"/>
    <w:rsid w:val="00883A49"/>
    <w:rsid w:val="008852E8"/>
    <w:rsid w:val="008855E4"/>
    <w:rsid w:val="00885A7D"/>
    <w:rsid w:val="00886CD2"/>
    <w:rsid w:val="00890D0C"/>
    <w:rsid w:val="008911D1"/>
    <w:rsid w:val="0089154D"/>
    <w:rsid w:val="00891AFE"/>
    <w:rsid w:val="00891E6F"/>
    <w:rsid w:val="00891F03"/>
    <w:rsid w:val="008923BB"/>
    <w:rsid w:val="0089275D"/>
    <w:rsid w:val="00892A36"/>
    <w:rsid w:val="00893239"/>
    <w:rsid w:val="00894489"/>
    <w:rsid w:val="00894CD6"/>
    <w:rsid w:val="008963A5"/>
    <w:rsid w:val="00896D5D"/>
    <w:rsid w:val="008A070E"/>
    <w:rsid w:val="008A1A3F"/>
    <w:rsid w:val="008A1AA4"/>
    <w:rsid w:val="008A2FA6"/>
    <w:rsid w:val="008A3158"/>
    <w:rsid w:val="008A3363"/>
    <w:rsid w:val="008A3371"/>
    <w:rsid w:val="008A3C3E"/>
    <w:rsid w:val="008A5EA1"/>
    <w:rsid w:val="008A79DE"/>
    <w:rsid w:val="008B1757"/>
    <w:rsid w:val="008B1C33"/>
    <w:rsid w:val="008B349A"/>
    <w:rsid w:val="008B43FB"/>
    <w:rsid w:val="008B488D"/>
    <w:rsid w:val="008B4A1B"/>
    <w:rsid w:val="008B4B6F"/>
    <w:rsid w:val="008B5239"/>
    <w:rsid w:val="008B5905"/>
    <w:rsid w:val="008B5BBD"/>
    <w:rsid w:val="008B7992"/>
    <w:rsid w:val="008B79B1"/>
    <w:rsid w:val="008B7D7E"/>
    <w:rsid w:val="008C208A"/>
    <w:rsid w:val="008C360E"/>
    <w:rsid w:val="008C4768"/>
    <w:rsid w:val="008C51E4"/>
    <w:rsid w:val="008C5610"/>
    <w:rsid w:val="008C5739"/>
    <w:rsid w:val="008C62A9"/>
    <w:rsid w:val="008C62D6"/>
    <w:rsid w:val="008C6522"/>
    <w:rsid w:val="008C7282"/>
    <w:rsid w:val="008C7506"/>
    <w:rsid w:val="008C7ECB"/>
    <w:rsid w:val="008D001F"/>
    <w:rsid w:val="008D194B"/>
    <w:rsid w:val="008D27E8"/>
    <w:rsid w:val="008D3B86"/>
    <w:rsid w:val="008D43FD"/>
    <w:rsid w:val="008D4401"/>
    <w:rsid w:val="008D4755"/>
    <w:rsid w:val="008D4B4C"/>
    <w:rsid w:val="008D4C3D"/>
    <w:rsid w:val="008D743C"/>
    <w:rsid w:val="008D7AA3"/>
    <w:rsid w:val="008D7DAA"/>
    <w:rsid w:val="008E0958"/>
    <w:rsid w:val="008E0D3C"/>
    <w:rsid w:val="008E1B9E"/>
    <w:rsid w:val="008E2CF8"/>
    <w:rsid w:val="008E2FB1"/>
    <w:rsid w:val="008E3350"/>
    <w:rsid w:val="008E34C1"/>
    <w:rsid w:val="008E40E5"/>
    <w:rsid w:val="008E55AB"/>
    <w:rsid w:val="008E7156"/>
    <w:rsid w:val="008E71CE"/>
    <w:rsid w:val="008E7A8C"/>
    <w:rsid w:val="008E7B5D"/>
    <w:rsid w:val="008E7D49"/>
    <w:rsid w:val="008F006C"/>
    <w:rsid w:val="008F120A"/>
    <w:rsid w:val="008F1E3B"/>
    <w:rsid w:val="008F27E0"/>
    <w:rsid w:val="008F48EB"/>
    <w:rsid w:val="008F4F0B"/>
    <w:rsid w:val="008F6040"/>
    <w:rsid w:val="008F613A"/>
    <w:rsid w:val="009002E6"/>
    <w:rsid w:val="0090087B"/>
    <w:rsid w:val="00901AC8"/>
    <w:rsid w:val="00902169"/>
    <w:rsid w:val="00903522"/>
    <w:rsid w:val="009036E6"/>
    <w:rsid w:val="009041C3"/>
    <w:rsid w:val="009046C4"/>
    <w:rsid w:val="009062A5"/>
    <w:rsid w:val="00906980"/>
    <w:rsid w:val="009069BC"/>
    <w:rsid w:val="00907699"/>
    <w:rsid w:val="00907B68"/>
    <w:rsid w:val="009103F8"/>
    <w:rsid w:val="00910FA7"/>
    <w:rsid w:val="00911272"/>
    <w:rsid w:val="00911339"/>
    <w:rsid w:val="009114D8"/>
    <w:rsid w:val="00911D3A"/>
    <w:rsid w:val="00911D56"/>
    <w:rsid w:val="00911EC3"/>
    <w:rsid w:val="009135D6"/>
    <w:rsid w:val="009149C8"/>
    <w:rsid w:val="00914C77"/>
    <w:rsid w:val="00915E3B"/>
    <w:rsid w:val="00916452"/>
    <w:rsid w:val="00916DDE"/>
    <w:rsid w:val="00917177"/>
    <w:rsid w:val="00917425"/>
    <w:rsid w:val="009177C6"/>
    <w:rsid w:val="0092032D"/>
    <w:rsid w:val="00920529"/>
    <w:rsid w:val="00921ACB"/>
    <w:rsid w:val="0092369B"/>
    <w:rsid w:val="00924433"/>
    <w:rsid w:val="0092475E"/>
    <w:rsid w:val="00926534"/>
    <w:rsid w:val="0092713E"/>
    <w:rsid w:val="009316B9"/>
    <w:rsid w:val="009347A3"/>
    <w:rsid w:val="00934914"/>
    <w:rsid w:val="0093491A"/>
    <w:rsid w:val="00934988"/>
    <w:rsid w:val="0093652A"/>
    <w:rsid w:val="00937089"/>
    <w:rsid w:val="00941885"/>
    <w:rsid w:val="00942D38"/>
    <w:rsid w:val="009436B6"/>
    <w:rsid w:val="009439AC"/>
    <w:rsid w:val="00944222"/>
    <w:rsid w:val="00944AD0"/>
    <w:rsid w:val="00944EEC"/>
    <w:rsid w:val="00944F8A"/>
    <w:rsid w:val="0094719F"/>
    <w:rsid w:val="00947371"/>
    <w:rsid w:val="009510A2"/>
    <w:rsid w:val="00951423"/>
    <w:rsid w:val="00953257"/>
    <w:rsid w:val="0095386C"/>
    <w:rsid w:val="00953C35"/>
    <w:rsid w:val="0095474C"/>
    <w:rsid w:val="00955D85"/>
    <w:rsid w:val="00957D92"/>
    <w:rsid w:val="00962CB9"/>
    <w:rsid w:val="009635C4"/>
    <w:rsid w:val="00964312"/>
    <w:rsid w:val="0096480E"/>
    <w:rsid w:val="00964843"/>
    <w:rsid w:val="00964BD0"/>
    <w:rsid w:val="00965B8A"/>
    <w:rsid w:val="00965F7D"/>
    <w:rsid w:val="0096643E"/>
    <w:rsid w:val="00967E6E"/>
    <w:rsid w:val="009700FB"/>
    <w:rsid w:val="009701CD"/>
    <w:rsid w:val="0097071F"/>
    <w:rsid w:val="009717AC"/>
    <w:rsid w:val="00971C77"/>
    <w:rsid w:val="00971F2B"/>
    <w:rsid w:val="0097251B"/>
    <w:rsid w:val="00974534"/>
    <w:rsid w:val="009751C1"/>
    <w:rsid w:val="0097562E"/>
    <w:rsid w:val="00976763"/>
    <w:rsid w:val="0098024E"/>
    <w:rsid w:val="00980396"/>
    <w:rsid w:val="0098044F"/>
    <w:rsid w:val="009804BC"/>
    <w:rsid w:val="009811F1"/>
    <w:rsid w:val="0098397C"/>
    <w:rsid w:val="00983A74"/>
    <w:rsid w:val="00983E57"/>
    <w:rsid w:val="00984277"/>
    <w:rsid w:val="00984881"/>
    <w:rsid w:val="00984F11"/>
    <w:rsid w:val="00985DE2"/>
    <w:rsid w:val="0098675D"/>
    <w:rsid w:val="00987BA4"/>
    <w:rsid w:val="00990A19"/>
    <w:rsid w:val="0099105E"/>
    <w:rsid w:val="0099110E"/>
    <w:rsid w:val="009926E0"/>
    <w:rsid w:val="00993487"/>
    <w:rsid w:val="0099451E"/>
    <w:rsid w:val="00995EC4"/>
    <w:rsid w:val="00996B1A"/>
    <w:rsid w:val="009970EB"/>
    <w:rsid w:val="009971CD"/>
    <w:rsid w:val="009A18F6"/>
    <w:rsid w:val="009A1D4B"/>
    <w:rsid w:val="009A2DCC"/>
    <w:rsid w:val="009A3D89"/>
    <w:rsid w:val="009A3E65"/>
    <w:rsid w:val="009A48A6"/>
    <w:rsid w:val="009A5586"/>
    <w:rsid w:val="009A5ABC"/>
    <w:rsid w:val="009A5DE3"/>
    <w:rsid w:val="009A7E80"/>
    <w:rsid w:val="009A7F10"/>
    <w:rsid w:val="009B0571"/>
    <w:rsid w:val="009B3523"/>
    <w:rsid w:val="009B3E26"/>
    <w:rsid w:val="009B7CEF"/>
    <w:rsid w:val="009C055B"/>
    <w:rsid w:val="009C1133"/>
    <w:rsid w:val="009C1271"/>
    <w:rsid w:val="009C29BD"/>
    <w:rsid w:val="009C3706"/>
    <w:rsid w:val="009C3A3A"/>
    <w:rsid w:val="009C3F6E"/>
    <w:rsid w:val="009C5E40"/>
    <w:rsid w:val="009C602D"/>
    <w:rsid w:val="009C6A56"/>
    <w:rsid w:val="009C6CEA"/>
    <w:rsid w:val="009C7400"/>
    <w:rsid w:val="009C768F"/>
    <w:rsid w:val="009C7B85"/>
    <w:rsid w:val="009D0254"/>
    <w:rsid w:val="009D02E4"/>
    <w:rsid w:val="009D04F8"/>
    <w:rsid w:val="009D070B"/>
    <w:rsid w:val="009D1202"/>
    <w:rsid w:val="009D1A64"/>
    <w:rsid w:val="009D2FF5"/>
    <w:rsid w:val="009D3BE4"/>
    <w:rsid w:val="009D3F6B"/>
    <w:rsid w:val="009D4A0A"/>
    <w:rsid w:val="009D4AAB"/>
    <w:rsid w:val="009D4AC8"/>
    <w:rsid w:val="009D5B91"/>
    <w:rsid w:val="009D621B"/>
    <w:rsid w:val="009D7612"/>
    <w:rsid w:val="009D792E"/>
    <w:rsid w:val="009D795E"/>
    <w:rsid w:val="009E0DFE"/>
    <w:rsid w:val="009E1059"/>
    <w:rsid w:val="009E1094"/>
    <w:rsid w:val="009E31F6"/>
    <w:rsid w:val="009E3DA9"/>
    <w:rsid w:val="009E4C07"/>
    <w:rsid w:val="009E777F"/>
    <w:rsid w:val="009F1C6D"/>
    <w:rsid w:val="009F2BA3"/>
    <w:rsid w:val="009F34C0"/>
    <w:rsid w:val="009F455A"/>
    <w:rsid w:val="009F486F"/>
    <w:rsid w:val="009F4D46"/>
    <w:rsid w:val="009F593F"/>
    <w:rsid w:val="009F5B01"/>
    <w:rsid w:val="009F6120"/>
    <w:rsid w:val="009F625C"/>
    <w:rsid w:val="009F6D44"/>
    <w:rsid w:val="009F7C24"/>
    <w:rsid w:val="00A002BF"/>
    <w:rsid w:val="00A00A9F"/>
    <w:rsid w:val="00A00D76"/>
    <w:rsid w:val="00A01184"/>
    <w:rsid w:val="00A01449"/>
    <w:rsid w:val="00A02C28"/>
    <w:rsid w:val="00A037C2"/>
    <w:rsid w:val="00A03D43"/>
    <w:rsid w:val="00A04380"/>
    <w:rsid w:val="00A04747"/>
    <w:rsid w:val="00A04786"/>
    <w:rsid w:val="00A04DB0"/>
    <w:rsid w:val="00A05472"/>
    <w:rsid w:val="00A05A1C"/>
    <w:rsid w:val="00A05C32"/>
    <w:rsid w:val="00A062EB"/>
    <w:rsid w:val="00A0649C"/>
    <w:rsid w:val="00A0653F"/>
    <w:rsid w:val="00A06A12"/>
    <w:rsid w:val="00A06D9B"/>
    <w:rsid w:val="00A07C53"/>
    <w:rsid w:val="00A106E3"/>
    <w:rsid w:val="00A11CD0"/>
    <w:rsid w:val="00A11D53"/>
    <w:rsid w:val="00A13948"/>
    <w:rsid w:val="00A1555B"/>
    <w:rsid w:val="00A155C5"/>
    <w:rsid w:val="00A1569C"/>
    <w:rsid w:val="00A15989"/>
    <w:rsid w:val="00A15F4C"/>
    <w:rsid w:val="00A16680"/>
    <w:rsid w:val="00A16AD8"/>
    <w:rsid w:val="00A2021E"/>
    <w:rsid w:val="00A21956"/>
    <w:rsid w:val="00A21B3A"/>
    <w:rsid w:val="00A21C8B"/>
    <w:rsid w:val="00A21C95"/>
    <w:rsid w:val="00A21CF3"/>
    <w:rsid w:val="00A22FA0"/>
    <w:rsid w:val="00A23F58"/>
    <w:rsid w:val="00A24813"/>
    <w:rsid w:val="00A254CF"/>
    <w:rsid w:val="00A27767"/>
    <w:rsid w:val="00A278CB"/>
    <w:rsid w:val="00A27AEC"/>
    <w:rsid w:val="00A320DB"/>
    <w:rsid w:val="00A327F1"/>
    <w:rsid w:val="00A33BAE"/>
    <w:rsid w:val="00A34013"/>
    <w:rsid w:val="00A34419"/>
    <w:rsid w:val="00A35408"/>
    <w:rsid w:val="00A35C4A"/>
    <w:rsid w:val="00A35D16"/>
    <w:rsid w:val="00A364B7"/>
    <w:rsid w:val="00A36F40"/>
    <w:rsid w:val="00A37BCD"/>
    <w:rsid w:val="00A40370"/>
    <w:rsid w:val="00A40EF5"/>
    <w:rsid w:val="00A41689"/>
    <w:rsid w:val="00A41756"/>
    <w:rsid w:val="00A42592"/>
    <w:rsid w:val="00A43C59"/>
    <w:rsid w:val="00A43F28"/>
    <w:rsid w:val="00A4481F"/>
    <w:rsid w:val="00A50AFA"/>
    <w:rsid w:val="00A50B46"/>
    <w:rsid w:val="00A50D1B"/>
    <w:rsid w:val="00A50ECD"/>
    <w:rsid w:val="00A50ED4"/>
    <w:rsid w:val="00A518F3"/>
    <w:rsid w:val="00A51A25"/>
    <w:rsid w:val="00A52711"/>
    <w:rsid w:val="00A52729"/>
    <w:rsid w:val="00A53675"/>
    <w:rsid w:val="00A54044"/>
    <w:rsid w:val="00A55AA2"/>
    <w:rsid w:val="00A56220"/>
    <w:rsid w:val="00A564D7"/>
    <w:rsid w:val="00A56917"/>
    <w:rsid w:val="00A56B6A"/>
    <w:rsid w:val="00A578DC"/>
    <w:rsid w:val="00A61A72"/>
    <w:rsid w:val="00A61DDF"/>
    <w:rsid w:val="00A6293F"/>
    <w:rsid w:val="00A631D7"/>
    <w:rsid w:val="00A640DC"/>
    <w:rsid w:val="00A640E2"/>
    <w:rsid w:val="00A64D65"/>
    <w:rsid w:val="00A65000"/>
    <w:rsid w:val="00A6581F"/>
    <w:rsid w:val="00A65EBD"/>
    <w:rsid w:val="00A6725B"/>
    <w:rsid w:val="00A678C4"/>
    <w:rsid w:val="00A67D7F"/>
    <w:rsid w:val="00A70605"/>
    <w:rsid w:val="00A7068F"/>
    <w:rsid w:val="00A73134"/>
    <w:rsid w:val="00A7365A"/>
    <w:rsid w:val="00A7420A"/>
    <w:rsid w:val="00A74C74"/>
    <w:rsid w:val="00A74E74"/>
    <w:rsid w:val="00A7537A"/>
    <w:rsid w:val="00A76001"/>
    <w:rsid w:val="00A777B2"/>
    <w:rsid w:val="00A779FB"/>
    <w:rsid w:val="00A807B6"/>
    <w:rsid w:val="00A810FE"/>
    <w:rsid w:val="00A825D4"/>
    <w:rsid w:val="00A828F6"/>
    <w:rsid w:val="00A82B73"/>
    <w:rsid w:val="00A86E8B"/>
    <w:rsid w:val="00A87164"/>
    <w:rsid w:val="00A871A9"/>
    <w:rsid w:val="00A90135"/>
    <w:rsid w:val="00A91E7E"/>
    <w:rsid w:val="00A93072"/>
    <w:rsid w:val="00A9365E"/>
    <w:rsid w:val="00A938BD"/>
    <w:rsid w:val="00A93953"/>
    <w:rsid w:val="00A93A59"/>
    <w:rsid w:val="00A94645"/>
    <w:rsid w:val="00A94969"/>
    <w:rsid w:val="00A94EEB"/>
    <w:rsid w:val="00A95676"/>
    <w:rsid w:val="00A959D8"/>
    <w:rsid w:val="00A95AA6"/>
    <w:rsid w:val="00A95AAE"/>
    <w:rsid w:val="00A965AC"/>
    <w:rsid w:val="00A96F44"/>
    <w:rsid w:val="00A97C8C"/>
    <w:rsid w:val="00AA113D"/>
    <w:rsid w:val="00AA21F1"/>
    <w:rsid w:val="00AA2C75"/>
    <w:rsid w:val="00AA3731"/>
    <w:rsid w:val="00AA41F3"/>
    <w:rsid w:val="00AA462E"/>
    <w:rsid w:val="00AA52EE"/>
    <w:rsid w:val="00AA5AE4"/>
    <w:rsid w:val="00AA5BC9"/>
    <w:rsid w:val="00AA63EB"/>
    <w:rsid w:val="00AA6BD5"/>
    <w:rsid w:val="00AA6BD8"/>
    <w:rsid w:val="00AA6C7D"/>
    <w:rsid w:val="00AA6F79"/>
    <w:rsid w:val="00AA784D"/>
    <w:rsid w:val="00AA7FD6"/>
    <w:rsid w:val="00AB042A"/>
    <w:rsid w:val="00AB11AD"/>
    <w:rsid w:val="00AB124B"/>
    <w:rsid w:val="00AB19EF"/>
    <w:rsid w:val="00AB2495"/>
    <w:rsid w:val="00AB2BB1"/>
    <w:rsid w:val="00AB2D34"/>
    <w:rsid w:val="00AB2E32"/>
    <w:rsid w:val="00AB326C"/>
    <w:rsid w:val="00AB3430"/>
    <w:rsid w:val="00AB37B9"/>
    <w:rsid w:val="00AB4AD1"/>
    <w:rsid w:val="00AB4ECF"/>
    <w:rsid w:val="00AB561B"/>
    <w:rsid w:val="00AB5E07"/>
    <w:rsid w:val="00AB7CFA"/>
    <w:rsid w:val="00AC0CD1"/>
    <w:rsid w:val="00AC30D2"/>
    <w:rsid w:val="00AC444F"/>
    <w:rsid w:val="00AC4BC0"/>
    <w:rsid w:val="00AC5B42"/>
    <w:rsid w:val="00AC5B48"/>
    <w:rsid w:val="00AC72E1"/>
    <w:rsid w:val="00AD0C46"/>
    <w:rsid w:val="00AD0F49"/>
    <w:rsid w:val="00AD10D2"/>
    <w:rsid w:val="00AD1450"/>
    <w:rsid w:val="00AD15E8"/>
    <w:rsid w:val="00AD1E4E"/>
    <w:rsid w:val="00AD1E57"/>
    <w:rsid w:val="00AD2E79"/>
    <w:rsid w:val="00AD3515"/>
    <w:rsid w:val="00AD356D"/>
    <w:rsid w:val="00AD5104"/>
    <w:rsid w:val="00AD6502"/>
    <w:rsid w:val="00AD76C5"/>
    <w:rsid w:val="00AE0695"/>
    <w:rsid w:val="00AE11E3"/>
    <w:rsid w:val="00AE199C"/>
    <w:rsid w:val="00AE1C8D"/>
    <w:rsid w:val="00AE30B3"/>
    <w:rsid w:val="00AE3E7E"/>
    <w:rsid w:val="00AE422B"/>
    <w:rsid w:val="00AE69A1"/>
    <w:rsid w:val="00AE7E53"/>
    <w:rsid w:val="00AF0DCB"/>
    <w:rsid w:val="00AF1315"/>
    <w:rsid w:val="00AF13BA"/>
    <w:rsid w:val="00AF19BF"/>
    <w:rsid w:val="00AF1F08"/>
    <w:rsid w:val="00AF2DC3"/>
    <w:rsid w:val="00AF5464"/>
    <w:rsid w:val="00AF7072"/>
    <w:rsid w:val="00B0163A"/>
    <w:rsid w:val="00B02848"/>
    <w:rsid w:val="00B02EED"/>
    <w:rsid w:val="00B033E5"/>
    <w:rsid w:val="00B03A63"/>
    <w:rsid w:val="00B045DC"/>
    <w:rsid w:val="00B055BF"/>
    <w:rsid w:val="00B05EDD"/>
    <w:rsid w:val="00B06A26"/>
    <w:rsid w:val="00B129A4"/>
    <w:rsid w:val="00B151BF"/>
    <w:rsid w:val="00B16459"/>
    <w:rsid w:val="00B16FDF"/>
    <w:rsid w:val="00B201A4"/>
    <w:rsid w:val="00B201D1"/>
    <w:rsid w:val="00B20977"/>
    <w:rsid w:val="00B20B4E"/>
    <w:rsid w:val="00B20CB6"/>
    <w:rsid w:val="00B20EA8"/>
    <w:rsid w:val="00B213A6"/>
    <w:rsid w:val="00B21B77"/>
    <w:rsid w:val="00B232C0"/>
    <w:rsid w:val="00B235B0"/>
    <w:rsid w:val="00B247BD"/>
    <w:rsid w:val="00B24DF6"/>
    <w:rsid w:val="00B268FA"/>
    <w:rsid w:val="00B27514"/>
    <w:rsid w:val="00B27A61"/>
    <w:rsid w:val="00B31D3A"/>
    <w:rsid w:val="00B323F9"/>
    <w:rsid w:val="00B3259C"/>
    <w:rsid w:val="00B33FEE"/>
    <w:rsid w:val="00B34954"/>
    <w:rsid w:val="00B34FE2"/>
    <w:rsid w:val="00B35166"/>
    <w:rsid w:val="00B3538D"/>
    <w:rsid w:val="00B355D4"/>
    <w:rsid w:val="00B357D8"/>
    <w:rsid w:val="00B360F4"/>
    <w:rsid w:val="00B36A00"/>
    <w:rsid w:val="00B36B7A"/>
    <w:rsid w:val="00B3792B"/>
    <w:rsid w:val="00B37BFC"/>
    <w:rsid w:val="00B40358"/>
    <w:rsid w:val="00B40907"/>
    <w:rsid w:val="00B41614"/>
    <w:rsid w:val="00B42851"/>
    <w:rsid w:val="00B42F80"/>
    <w:rsid w:val="00B435CB"/>
    <w:rsid w:val="00B439CB"/>
    <w:rsid w:val="00B43B97"/>
    <w:rsid w:val="00B44D49"/>
    <w:rsid w:val="00B465D4"/>
    <w:rsid w:val="00B465EC"/>
    <w:rsid w:val="00B502ED"/>
    <w:rsid w:val="00B505C8"/>
    <w:rsid w:val="00B50DB8"/>
    <w:rsid w:val="00B50F2D"/>
    <w:rsid w:val="00B519C3"/>
    <w:rsid w:val="00B51ECC"/>
    <w:rsid w:val="00B5258F"/>
    <w:rsid w:val="00B53654"/>
    <w:rsid w:val="00B53905"/>
    <w:rsid w:val="00B546DB"/>
    <w:rsid w:val="00B54AB6"/>
    <w:rsid w:val="00B54B5B"/>
    <w:rsid w:val="00B5562E"/>
    <w:rsid w:val="00B55862"/>
    <w:rsid w:val="00B55D65"/>
    <w:rsid w:val="00B56063"/>
    <w:rsid w:val="00B56305"/>
    <w:rsid w:val="00B56BB5"/>
    <w:rsid w:val="00B57000"/>
    <w:rsid w:val="00B6074F"/>
    <w:rsid w:val="00B60939"/>
    <w:rsid w:val="00B60AFD"/>
    <w:rsid w:val="00B622E1"/>
    <w:rsid w:val="00B62715"/>
    <w:rsid w:val="00B6315B"/>
    <w:rsid w:val="00B63E0F"/>
    <w:rsid w:val="00B64C4E"/>
    <w:rsid w:val="00B65611"/>
    <w:rsid w:val="00B66630"/>
    <w:rsid w:val="00B66A97"/>
    <w:rsid w:val="00B6720D"/>
    <w:rsid w:val="00B67899"/>
    <w:rsid w:val="00B6792B"/>
    <w:rsid w:val="00B7086A"/>
    <w:rsid w:val="00B70E7E"/>
    <w:rsid w:val="00B70E8E"/>
    <w:rsid w:val="00B72007"/>
    <w:rsid w:val="00B72508"/>
    <w:rsid w:val="00B73DCD"/>
    <w:rsid w:val="00B74DAB"/>
    <w:rsid w:val="00B7565C"/>
    <w:rsid w:val="00B76C92"/>
    <w:rsid w:val="00B80EC9"/>
    <w:rsid w:val="00B80EFD"/>
    <w:rsid w:val="00B818A4"/>
    <w:rsid w:val="00B81FEF"/>
    <w:rsid w:val="00B83476"/>
    <w:rsid w:val="00B83695"/>
    <w:rsid w:val="00B83739"/>
    <w:rsid w:val="00B84117"/>
    <w:rsid w:val="00B85699"/>
    <w:rsid w:val="00B858F0"/>
    <w:rsid w:val="00B85AA2"/>
    <w:rsid w:val="00B85FFD"/>
    <w:rsid w:val="00B8649C"/>
    <w:rsid w:val="00B8695D"/>
    <w:rsid w:val="00B87F0A"/>
    <w:rsid w:val="00B90B13"/>
    <w:rsid w:val="00B90B8E"/>
    <w:rsid w:val="00B92D0B"/>
    <w:rsid w:val="00B94945"/>
    <w:rsid w:val="00B94DD6"/>
    <w:rsid w:val="00B954E4"/>
    <w:rsid w:val="00B95797"/>
    <w:rsid w:val="00B96815"/>
    <w:rsid w:val="00B968DE"/>
    <w:rsid w:val="00BA114F"/>
    <w:rsid w:val="00BA21A4"/>
    <w:rsid w:val="00BA2FE5"/>
    <w:rsid w:val="00BA322D"/>
    <w:rsid w:val="00BA3AC2"/>
    <w:rsid w:val="00BA4FE8"/>
    <w:rsid w:val="00BA5974"/>
    <w:rsid w:val="00BA61B1"/>
    <w:rsid w:val="00BA63FA"/>
    <w:rsid w:val="00BA6A46"/>
    <w:rsid w:val="00BA6B0F"/>
    <w:rsid w:val="00BB0055"/>
    <w:rsid w:val="00BB00B3"/>
    <w:rsid w:val="00BB0706"/>
    <w:rsid w:val="00BB0BDD"/>
    <w:rsid w:val="00BB155F"/>
    <w:rsid w:val="00BB15A6"/>
    <w:rsid w:val="00BB176C"/>
    <w:rsid w:val="00BB19C7"/>
    <w:rsid w:val="00BB2136"/>
    <w:rsid w:val="00BB28ED"/>
    <w:rsid w:val="00BB2A73"/>
    <w:rsid w:val="00BB2DEA"/>
    <w:rsid w:val="00BB2F46"/>
    <w:rsid w:val="00BB3A45"/>
    <w:rsid w:val="00BB434F"/>
    <w:rsid w:val="00BB4ACC"/>
    <w:rsid w:val="00BB6879"/>
    <w:rsid w:val="00BB703E"/>
    <w:rsid w:val="00BB726B"/>
    <w:rsid w:val="00BB732D"/>
    <w:rsid w:val="00BB7405"/>
    <w:rsid w:val="00BB74D7"/>
    <w:rsid w:val="00BB7DBD"/>
    <w:rsid w:val="00BB7F51"/>
    <w:rsid w:val="00BC3631"/>
    <w:rsid w:val="00BC522B"/>
    <w:rsid w:val="00BC591F"/>
    <w:rsid w:val="00BC7D6D"/>
    <w:rsid w:val="00BD2108"/>
    <w:rsid w:val="00BD409E"/>
    <w:rsid w:val="00BD47E0"/>
    <w:rsid w:val="00BD4919"/>
    <w:rsid w:val="00BD68A3"/>
    <w:rsid w:val="00BD6938"/>
    <w:rsid w:val="00BD6CF3"/>
    <w:rsid w:val="00BD7F72"/>
    <w:rsid w:val="00BE0ECA"/>
    <w:rsid w:val="00BE1BEE"/>
    <w:rsid w:val="00BE2180"/>
    <w:rsid w:val="00BE21F2"/>
    <w:rsid w:val="00BE4275"/>
    <w:rsid w:val="00BF06AE"/>
    <w:rsid w:val="00BF0F95"/>
    <w:rsid w:val="00BF23B9"/>
    <w:rsid w:val="00BF2433"/>
    <w:rsid w:val="00BF2E3D"/>
    <w:rsid w:val="00BF2E6E"/>
    <w:rsid w:val="00BF393D"/>
    <w:rsid w:val="00BF50B9"/>
    <w:rsid w:val="00BF5405"/>
    <w:rsid w:val="00BF61C9"/>
    <w:rsid w:val="00BF632C"/>
    <w:rsid w:val="00BF6C94"/>
    <w:rsid w:val="00C0030F"/>
    <w:rsid w:val="00C00424"/>
    <w:rsid w:val="00C007D3"/>
    <w:rsid w:val="00C00BB0"/>
    <w:rsid w:val="00C0136F"/>
    <w:rsid w:val="00C013B1"/>
    <w:rsid w:val="00C03CF8"/>
    <w:rsid w:val="00C050E1"/>
    <w:rsid w:val="00C06479"/>
    <w:rsid w:val="00C06DE2"/>
    <w:rsid w:val="00C10D1B"/>
    <w:rsid w:val="00C11038"/>
    <w:rsid w:val="00C1179F"/>
    <w:rsid w:val="00C11BDA"/>
    <w:rsid w:val="00C125EA"/>
    <w:rsid w:val="00C127B9"/>
    <w:rsid w:val="00C128FA"/>
    <w:rsid w:val="00C12C14"/>
    <w:rsid w:val="00C133B3"/>
    <w:rsid w:val="00C146D8"/>
    <w:rsid w:val="00C14B76"/>
    <w:rsid w:val="00C154BB"/>
    <w:rsid w:val="00C15F04"/>
    <w:rsid w:val="00C16A2B"/>
    <w:rsid w:val="00C179B3"/>
    <w:rsid w:val="00C17E3F"/>
    <w:rsid w:val="00C200AA"/>
    <w:rsid w:val="00C207EF"/>
    <w:rsid w:val="00C22225"/>
    <w:rsid w:val="00C232F1"/>
    <w:rsid w:val="00C23615"/>
    <w:rsid w:val="00C237ED"/>
    <w:rsid w:val="00C24632"/>
    <w:rsid w:val="00C25418"/>
    <w:rsid w:val="00C25D9C"/>
    <w:rsid w:val="00C25E1D"/>
    <w:rsid w:val="00C25E2B"/>
    <w:rsid w:val="00C275BF"/>
    <w:rsid w:val="00C2778B"/>
    <w:rsid w:val="00C30126"/>
    <w:rsid w:val="00C31649"/>
    <w:rsid w:val="00C32265"/>
    <w:rsid w:val="00C33914"/>
    <w:rsid w:val="00C33926"/>
    <w:rsid w:val="00C3434C"/>
    <w:rsid w:val="00C346A7"/>
    <w:rsid w:val="00C34C36"/>
    <w:rsid w:val="00C35D9E"/>
    <w:rsid w:val="00C363E9"/>
    <w:rsid w:val="00C368E0"/>
    <w:rsid w:val="00C377CD"/>
    <w:rsid w:val="00C37C26"/>
    <w:rsid w:val="00C40385"/>
    <w:rsid w:val="00C403C8"/>
    <w:rsid w:val="00C40712"/>
    <w:rsid w:val="00C41768"/>
    <w:rsid w:val="00C41837"/>
    <w:rsid w:val="00C41BC3"/>
    <w:rsid w:val="00C4226B"/>
    <w:rsid w:val="00C4284D"/>
    <w:rsid w:val="00C42D0F"/>
    <w:rsid w:val="00C42FB2"/>
    <w:rsid w:val="00C43890"/>
    <w:rsid w:val="00C4510C"/>
    <w:rsid w:val="00C459CF"/>
    <w:rsid w:val="00C45FC6"/>
    <w:rsid w:val="00C475AA"/>
    <w:rsid w:val="00C50A69"/>
    <w:rsid w:val="00C5181B"/>
    <w:rsid w:val="00C527C7"/>
    <w:rsid w:val="00C52D0E"/>
    <w:rsid w:val="00C53071"/>
    <w:rsid w:val="00C53C98"/>
    <w:rsid w:val="00C5594D"/>
    <w:rsid w:val="00C56C18"/>
    <w:rsid w:val="00C56FCF"/>
    <w:rsid w:val="00C57B6C"/>
    <w:rsid w:val="00C61108"/>
    <w:rsid w:val="00C61129"/>
    <w:rsid w:val="00C61A59"/>
    <w:rsid w:val="00C622DB"/>
    <w:rsid w:val="00C628A6"/>
    <w:rsid w:val="00C629E2"/>
    <w:rsid w:val="00C6383E"/>
    <w:rsid w:val="00C63986"/>
    <w:rsid w:val="00C63F3D"/>
    <w:rsid w:val="00C63F50"/>
    <w:rsid w:val="00C64344"/>
    <w:rsid w:val="00C64E33"/>
    <w:rsid w:val="00C65108"/>
    <w:rsid w:val="00C651A4"/>
    <w:rsid w:val="00C65576"/>
    <w:rsid w:val="00C65A4A"/>
    <w:rsid w:val="00C66165"/>
    <w:rsid w:val="00C662C1"/>
    <w:rsid w:val="00C7060A"/>
    <w:rsid w:val="00C708E8"/>
    <w:rsid w:val="00C711D1"/>
    <w:rsid w:val="00C71503"/>
    <w:rsid w:val="00C7151A"/>
    <w:rsid w:val="00C717E3"/>
    <w:rsid w:val="00C71F60"/>
    <w:rsid w:val="00C72241"/>
    <w:rsid w:val="00C74158"/>
    <w:rsid w:val="00C750C8"/>
    <w:rsid w:val="00C7560F"/>
    <w:rsid w:val="00C808A1"/>
    <w:rsid w:val="00C80A0E"/>
    <w:rsid w:val="00C812EC"/>
    <w:rsid w:val="00C8213F"/>
    <w:rsid w:val="00C827D6"/>
    <w:rsid w:val="00C8303F"/>
    <w:rsid w:val="00C85154"/>
    <w:rsid w:val="00C85333"/>
    <w:rsid w:val="00C85A70"/>
    <w:rsid w:val="00C865F0"/>
    <w:rsid w:val="00C86AAA"/>
    <w:rsid w:val="00C8797A"/>
    <w:rsid w:val="00C900B8"/>
    <w:rsid w:val="00C90197"/>
    <w:rsid w:val="00C903A0"/>
    <w:rsid w:val="00C90825"/>
    <w:rsid w:val="00C908A6"/>
    <w:rsid w:val="00C90C71"/>
    <w:rsid w:val="00C914BB"/>
    <w:rsid w:val="00C91B5A"/>
    <w:rsid w:val="00C91FD1"/>
    <w:rsid w:val="00C9254B"/>
    <w:rsid w:val="00C930EB"/>
    <w:rsid w:val="00C931CF"/>
    <w:rsid w:val="00C9341B"/>
    <w:rsid w:val="00C9373B"/>
    <w:rsid w:val="00C938CF"/>
    <w:rsid w:val="00C94053"/>
    <w:rsid w:val="00C945DA"/>
    <w:rsid w:val="00C9624D"/>
    <w:rsid w:val="00C96439"/>
    <w:rsid w:val="00C969DA"/>
    <w:rsid w:val="00C976F2"/>
    <w:rsid w:val="00C9778A"/>
    <w:rsid w:val="00CA0C11"/>
    <w:rsid w:val="00CA161B"/>
    <w:rsid w:val="00CA2C77"/>
    <w:rsid w:val="00CA2F87"/>
    <w:rsid w:val="00CA444F"/>
    <w:rsid w:val="00CA4512"/>
    <w:rsid w:val="00CA49DC"/>
    <w:rsid w:val="00CA4F60"/>
    <w:rsid w:val="00CA5245"/>
    <w:rsid w:val="00CA54EC"/>
    <w:rsid w:val="00CA5517"/>
    <w:rsid w:val="00CA5899"/>
    <w:rsid w:val="00CA6B21"/>
    <w:rsid w:val="00CA70AA"/>
    <w:rsid w:val="00CA71F4"/>
    <w:rsid w:val="00CA7B09"/>
    <w:rsid w:val="00CA7B81"/>
    <w:rsid w:val="00CB0355"/>
    <w:rsid w:val="00CB06C8"/>
    <w:rsid w:val="00CB12A5"/>
    <w:rsid w:val="00CB1CAC"/>
    <w:rsid w:val="00CB2F2A"/>
    <w:rsid w:val="00CB3674"/>
    <w:rsid w:val="00CB3BA0"/>
    <w:rsid w:val="00CB4107"/>
    <w:rsid w:val="00CB4E61"/>
    <w:rsid w:val="00CB5B1A"/>
    <w:rsid w:val="00CB6B22"/>
    <w:rsid w:val="00CB7F5F"/>
    <w:rsid w:val="00CC01DE"/>
    <w:rsid w:val="00CC08B9"/>
    <w:rsid w:val="00CC095F"/>
    <w:rsid w:val="00CC1510"/>
    <w:rsid w:val="00CC1B39"/>
    <w:rsid w:val="00CC1BFA"/>
    <w:rsid w:val="00CC1ECE"/>
    <w:rsid w:val="00CC1FFB"/>
    <w:rsid w:val="00CC2110"/>
    <w:rsid w:val="00CC2BC1"/>
    <w:rsid w:val="00CC2BF1"/>
    <w:rsid w:val="00CC2E9F"/>
    <w:rsid w:val="00CC3234"/>
    <w:rsid w:val="00CC35EA"/>
    <w:rsid w:val="00CC3848"/>
    <w:rsid w:val="00CC648F"/>
    <w:rsid w:val="00CC65BC"/>
    <w:rsid w:val="00CC6D5E"/>
    <w:rsid w:val="00CD0200"/>
    <w:rsid w:val="00CD12DC"/>
    <w:rsid w:val="00CD13B6"/>
    <w:rsid w:val="00CD16B0"/>
    <w:rsid w:val="00CD1ED6"/>
    <w:rsid w:val="00CD2197"/>
    <w:rsid w:val="00CD25CA"/>
    <w:rsid w:val="00CD332D"/>
    <w:rsid w:val="00CD3F77"/>
    <w:rsid w:val="00CD4015"/>
    <w:rsid w:val="00CD41C5"/>
    <w:rsid w:val="00CD56C3"/>
    <w:rsid w:val="00CD6ADC"/>
    <w:rsid w:val="00CD6D07"/>
    <w:rsid w:val="00CD7193"/>
    <w:rsid w:val="00CE078B"/>
    <w:rsid w:val="00CE18EF"/>
    <w:rsid w:val="00CE227A"/>
    <w:rsid w:val="00CE2CE0"/>
    <w:rsid w:val="00CE2DDD"/>
    <w:rsid w:val="00CE378A"/>
    <w:rsid w:val="00CE37E8"/>
    <w:rsid w:val="00CE38C8"/>
    <w:rsid w:val="00CE3E2B"/>
    <w:rsid w:val="00CE524F"/>
    <w:rsid w:val="00CE58CC"/>
    <w:rsid w:val="00CE6274"/>
    <w:rsid w:val="00CE6A04"/>
    <w:rsid w:val="00CE77B6"/>
    <w:rsid w:val="00CF0238"/>
    <w:rsid w:val="00CF0497"/>
    <w:rsid w:val="00CF0574"/>
    <w:rsid w:val="00CF2B8D"/>
    <w:rsid w:val="00CF3A1B"/>
    <w:rsid w:val="00CF3C4E"/>
    <w:rsid w:val="00CF3FBE"/>
    <w:rsid w:val="00CF4217"/>
    <w:rsid w:val="00CF456B"/>
    <w:rsid w:val="00CF5A22"/>
    <w:rsid w:val="00D00EAC"/>
    <w:rsid w:val="00D01922"/>
    <w:rsid w:val="00D01F4D"/>
    <w:rsid w:val="00D025ED"/>
    <w:rsid w:val="00D0262E"/>
    <w:rsid w:val="00D034D3"/>
    <w:rsid w:val="00D03679"/>
    <w:rsid w:val="00D03BFE"/>
    <w:rsid w:val="00D03ED6"/>
    <w:rsid w:val="00D0407B"/>
    <w:rsid w:val="00D045F7"/>
    <w:rsid w:val="00D047E5"/>
    <w:rsid w:val="00D05E3D"/>
    <w:rsid w:val="00D06139"/>
    <w:rsid w:val="00D06D14"/>
    <w:rsid w:val="00D07238"/>
    <w:rsid w:val="00D108E0"/>
    <w:rsid w:val="00D110BD"/>
    <w:rsid w:val="00D13675"/>
    <w:rsid w:val="00D13834"/>
    <w:rsid w:val="00D141E1"/>
    <w:rsid w:val="00D15314"/>
    <w:rsid w:val="00D15B48"/>
    <w:rsid w:val="00D165C5"/>
    <w:rsid w:val="00D1703C"/>
    <w:rsid w:val="00D17068"/>
    <w:rsid w:val="00D17B1D"/>
    <w:rsid w:val="00D17D09"/>
    <w:rsid w:val="00D17D6C"/>
    <w:rsid w:val="00D20489"/>
    <w:rsid w:val="00D2070D"/>
    <w:rsid w:val="00D207F4"/>
    <w:rsid w:val="00D20BC9"/>
    <w:rsid w:val="00D2155B"/>
    <w:rsid w:val="00D2239B"/>
    <w:rsid w:val="00D22BA9"/>
    <w:rsid w:val="00D232D5"/>
    <w:rsid w:val="00D23D11"/>
    <w:rsid w:val="00D23EE1"/>
    <w:rsid w:val="00D244B6"/>
    <w:rsid w:val="00D26FA2"/>
    <w:rsid w:val="00D273BF"/>
    <w:rsid w:val="00D2754D"/>
    <w:rsid w:val="00D27B27"/>
    <w:rsid w:val="00D30D5B"/>
    <w:rsid w:val="00D31022"/>
    <w:rsid w:val="00D316FC"/>
    <w:rsid w:val="00D33BE9"/>
    <w:rsid w:val="00D33F93"/>
    <w:rsid w:val="00D34340"/>
    <w:rsid w:val="00D34D3F"/>
    <w:rsid w:val="00D357FF"/>
    <w:rsid w:val="00D35923"/>
    <w:rsid w:val="00D37440"/>
    <w:rsid w:val="00D378C7"/>
    <w:rsid w:val="00D37FE5"/>
    <w:rsid w:val="00D4159C"/>
    <w:rsid w:val="00D424C7"/>
    <w:rsid w:val="00D4263D"/>
    <w:rsid w:val="00D42C80"/>
    <w:rsid w:val="00D438A5"/>
    <w:rsid w:val="00D43B2A"/>
    <w:rsid w:val="00D43CF1"/>
    <w:rsid w:val="00D43D83"/>
    <w:rsid w:val="00D446AE"/>
    <w:rsid w:val="00D44B25"/>
    <w:rsid w:val="00D454AD"/>
    <w:rsid w:val="00D46013"/>
    <w:rsid w:val="00D46E35"/>
    <w:rsid w:val="00D472F7"/>
    <w:rsid w:val="00D47574"/>
    <w:rsid w:val="00D47575"/>
    <w:rsid w:val="00D47919"/>
    <w:rsid w:val="00D4798D"/>
    <w:rsid w:val="00D47FBF"/>
    <w:rsid w:val="00D51F19"/>
    <w:rsid w:val="00D5243B"/>
    <w:rsid w:val="00D52DCF"/>
    <w:rsid w:val="00D533EC"/>
    <w:rsid w:val="00D54186"/>
    <w:rsid w:val="00D55265"/>
    <w:rsid w:val="00D552F3"/>
    <w:rsid w:val="00D55A44"/>
    <w:rsid w:val="00D56A95"/>
    <w:rsid w:val="00D56D6B"/>
    <w:rsid w:val="00D57A7D"/>
    <w:rsid w:val="00D6041C"/>
    <w:rsid w:val="00D6076E"/>
    <w:rsid w:val="00D620BC"/>
    <w:rsid w:val="00D627B7"/>
    <w:rsid w:val="00D639CD"/>
    <w:rsid w:val="00D63A4D"/>
    <w:rsid w:val="00D6426F"/>
    <w:rsid w:val="00D64676"/>
    <w:rsid w:val="00D654EC"/>
    <w:rsid w:val="00D6670A"/>
    <w:rsid w:val="00D67CB8"/>
    <w:rsid w:val="00D70F16"/>
    <w:rsid w:val="00D716B5"/>
    <w:rsid w:val="00D72617"/>
    <w:rsid w:val="00D72F57"/>
    <w:rsid w:val="00D734B6"/>
    <w:rsid w:val="00D747CD"/>
    <w:rsid w:val="00D74D23"/>
    <w:rsid w:val="00D74D8B"/>
    <w:rsid w:val="00D75C34"/>
    <w:rsid w:val="00D76823"/>
    <w:rsid w:val="00D76A17"/>
    <w:rsid w:val="00D76A44"/>
    <w:rsid w:val="00D7748D"/>
    <w:rsid w:val="00D801A7"/>
    <w:rsid w:val="00D80C38"/>
    <w:rsid w:val="00D80F2B"/>
    <w:rsid w:val="00D815EF"/>
    <w:rsid w:val="00D81949"/>
    <w:rsid w:val="00D81F26"/>
    <w:rsid w:val="00D8208B"/>
    <w:rsid w:val="00D822E2"/>
    <w:rsid w:val="00D82C7E"/>
    <w:rsid w:val="00D843F2"/>
    <w:rsid w:val="00D85219"/>
    <w:rsid w:val="00D86231"/>
    <w:rsid w:val="00D86BB7"/>
    <w:rsid w:val="00D86BE4"/>
    <w:rsid w:val="00D86E52"/>
    <w:rsid w:val="00D8716E"/>
    <w:rsid w:val="00D9038A"/>
    <w:rsid w:val="00D90DC9"/>
    <w:rsid w:val="00D912AB"/>
    <w:rsid w:val="00D9146F"/>
    <w:rsid w:val="00D91923"/>
    <w:rsid w:val="00D921C0"/>
    <w:rsid w:val="00D926E0"/>
    <w:rsid w:val="00D92F72"/>
    <w:rsid w:val="00D93753"/>
    <w:rsid w:val="00D93B16"/>
    <w:rsid w:val="00D93E55"/>
    <w:rsid w:val="00D93FD6"/>
    <w:rsid w:val="00D948CF"/>
    <w:rsid w:val="00D95A2F"/>
    <w:rsid w:val="00DA0806"/>
    <w:rsid w:val="00DA18FB"/>
    <w:rsid w:val="00DA3167"/>
    <w:rsid w:val="00DA4DC3"/>
    <w:rsid w:val="00DA4DE6"/>
    <w:rsid w:val="00DA4E84"/>
    <w:rsid w:val="00DA4F16"/>
    <w:rsid w:val="00DA5479"/>
    <w:rsid w:val="00DA60A3"/>
    <w:rsid w:val="00DA62E8"/>
    <w:rsid w:val="00DA6D6C"/>
    <w:rsid w:val="00DA77A5"/>
    <w:rsid w:val="00DB0CA2"/>
    <w:rsid w:val="00DB0CF5"/>
    <w:rsid w:val="00DB0E36"/>
    <w:rsid w:val="00DB0FE0"/>
    <w:rsid w:val="00DB1FF1"/>
    <w:rsid w:val="00DB22AD"/>
    <w:rsid w:val="00DB278B"/>
    <w:rsid w:val="00DB3047"/>
    <w:rsid w:val="00DB3DBF"/>
    <w:rsid w:val="00DB484F"/>
    <w:rsid w:val="00DB6256"/>
    <w:rsid w:val="00DB6914"/>
    <w:rsid w:val="00DC04F6"/>
    <w:rsid w:val="00DC0690"/>
    <w:rsid w:val="00DC0801"/>
    <w:rsid w:val="00DC0D8E"/>
    <w:rsid w:val="00DC1610"/>
    <w:rsid w:val="00DC1933"/>
    <w:rsid w:val="00DC1974"/>
    <w:rsid w:val="00DC1D65"/>
    <w:rsid w:val="00DC2297"/>
    <w:rsid w:val="00DC27F7"/>
    <w:rsid w:val="00DC36F9"/>
    <w:rsid w:val="00DC3C57"/>
    <w:rsid w:val="00DC4ECC"/>
    <w:rsid w:val="00DC5501"/>
    <w:rsid w:val="00DC5DE4"/>
    <w:rsid w:val="00DC7154"/>
    <w:rsid w:val="00DC7E8A"/>
    <w:rsid w:val="00DD037B"/>
    <w:rsid w:val="00DD0D0C"/>
    <w:rsid w:val="00DD0F78"/>
    <w:rsid w:val="00DD1F4A"/>
    <w:rsid w:val="00DD273C"/>
    <w:rsid w:val="00DD282D"/>
    <w:rsid w:val="00DD3BAB"/>
    <w:rsid w:val="00DD3F28"/>
    <w:rsid w:val="00DD4446"/>
    <w:rsid w:val="00DD4537"/>
    <w:rsid w:val="00DD4E15"/>
    <w:rsid w:val="00DD6DEC"/>
    <w:rsid w:val="00DD739B"/>
    <w:rsid w:val="00DD7C17"/>
    <w:rsid w:val="00DE01BA"/>
    <w:rsid w:val="00DE03BF"/>
    <w:rsid w:val="00DE1E24"/>
    <w:rsid w:val="00DE2304"/>
    <w:rsid w:val="00DE2862"/>
    <w:rsid w:val="00DE30E2"/>
    <w:rsid w:val="00DE3138"/>
    <w:rsid w:val="00DE37F8"/>
    <w:rsid w:val="00DE4273"/>
    <w:rsid w:val="00DE4389"/>
    <w:rsid w:val="00DE4851"/>
    <w:rsid w:val="00DE4FCB"/>
    <w:rsid w:val="00DE5961"/>
    <w:rsid w:val="00DE5CE1"/>
    <w:rsid w:val="00DE5D07"/>
    <w:rsid w:val="00DE5E3D"/>
    <w:rsid w:val="00DE621D"/>
    <w:rsid w:val="00DE72A7"/>
    <w:rsid w:val="00DE7832"/>
    <w:rsid w:val="00DE7A09"/>
    <w:rsid w:val="00DF07E7"/>
    <w:rsid w:val="00DF0A4F"/>
    <w:rsid w:val="00DF0D50"/>
    <w:rsid w:val="00DF0F3E"/>
    <w:rsid w:val="00DF18FC"/>
    <w:rsid w:val="00DF219F"/>
    <w:rsid w:val="00DF3D0A"/>
    <w:rsid w:val="00DF5C80"/>
    <w:rsid w:val="00DF5D2B"/>
    <w:rsid w:val="00DF6341"/>
    <w:rsid w:val="00DF703A"/>
    <w:rsid w:val="00E00C3F"/>
    <w:rsid w:val="00E00D2C"/>
    <w:rsid w:val="00E00E8E"/>
    <w:rsid w:val="00E026AB"/>
    <w:rsid w:val="00E02D71"/>
    <w:rsid w:val="00E038A0"/>
    <w:rsid w:val="00E03E9E"/>
    <w:rsid w:val="00E04821"/>
    <w:rsid w:val="00E04F31"/>
    <w:rsid w:val="00E05630"/>
    <w:rsid w:val="00E06A79"/>
    <w:rsid w:val="00E06DBB"/>
    <w:rsid w:val="00E10149"/>
    <w:rsid w:val="00E11055"/>
    <w:rsid w:val="00E11340"/>
    <w:rsid w:val="00E122A1"/>
    <w:rsid w:val="00E126FF"/>
    <w:rsid w:val="00E14ECD"/>
    <w:rsid w:val="00E15B7F"/>
    <w:rsid w:val="00E16372"/>
    <w:rsid w:val="00E16AD8"/>
    <w:rsid w:val="00E17FFA"/>
    <w:rsid w:val="00E20955"/>
    <w:rsid w:val="00E20A1B"/>
    <w:rsid w:val="00E20E4D"/>
    <w:rsid w:val="00E20ED6"/>
    <w:rsid w:val="00E21063"/>
    <w:rsid w:val="00E21358"/>
    <w:rsid w:val="00E21A62"/>
    <w:rsid w:val="00E2249B"/>
    <w:rsid w:val="00E22A0D"/>
    <w:rsid w:val="00E22C63"/>
    <w:rsid w:val="00E23D0D"/>
    <w:rsid w:val="00E244F6"/>
    <w:rsid w:val="00E24AB7"/>
    <w:rsid w:val="00E24B94"/>
    <w:rsid w:val="00E24C31"/>
    <w:rsid w:val="00E258DB"/>
    <w:rsid w:val="00E26AEC"/>
    <w:rsid w:val="00E2771E"/>
    <w:rsid w:val="00E30541"/>
    <w:rsid w:val="00E311EF"/>
    <w:rsid w:val="00E313F0"/>
    <w:rsid w:val="00E3145A"/>
    <w:rsid w:val="00E32180"/>
    <w:rsid w:val="00E34948"/>
    <w:rsid w:val="00E34967"/>
    <w:rsid w:val="00E34A62"/>
    <w:rsid w:val="00E34F84"/>
    <w:rsid w:val="00E35831"/>
    <w:rsid w:val="00E37569"/>
    <w:rsid w:val="00E37658"/>
    <w:rsid w:val="00E401B2"/>
    <w:rsid w:val="00E40A05"/>
    <w:rsid w:val="00E41E30"/>
    <w:rsid w:val="00E42F73"/>
    <w:rsid w:val="00E430DC"/>
    <w:rsid w:val="00E4325C"/>
    <w:rsid w:val="00E43D70"/>
    <w:rsid w:val="00E448D0"/>
    <w:rsid w:val="00E44C95"/>
    <w:rsid w:val="00E45CFD"/>
    <w:rsid w:val="00E466F3"/>
    <w:rsid w:val="00E47B2C"/>
    <w:rsid w:val="00E50ACA"/>
    <w:rsid w:val="00E50D6E"/>
    <w:rsid w:val="00E51000"/>
    <w:rsid w:val="00E51560"/>
    <w:rsid w:val="00E5175F"/>
    <w:rsid w:val="00E51821"/>
    <w:rsid w:val="00E53FC8"/>
    <w:rsid w:val="00E5409C"/>
    <w:rsid w:val="00E54347"/>
    <w:rsid w:val="00E553E5"/>
    <w:rsid w:val="00E55424"/>
    <w:rsid w:val="00E55915"/>
    <w:rsid w:val="00E55BB5"/>
    <w:rsid w:val="00E601E5"/>
    <w:rsid w:val="00E611DF"/>
    <w:rsid w:val="00E65546"/>
    <w:rsid w:val="00E65B18"/>
    <w:rsid w:val="00E65D64"/>
    <w:rsid w:val="00E65E79"/>
    <w:rsid w:val="00E66BA2"/>
    <w:rsid w:val="00E67416"/>
    <w:rsid w:val="00E718B6"/>
    <w:rsid w:val="00E719F3"/>
    <w:rsid w:val="00E71A54"/>
    <w:rsid w:val="00E71B92"/>
    <w:rsid w:val="00E71BAD"/>
    <w:rsid w:val="00E723BA"/>
    <w:rsid w:val="00E72A03"/>
    <w:rsid w:val="00E72A0B"/>
    <w:rsid w:val="00E73581"/>
    <w:rsid w:val="00E738C9"/>
    <w:rsid w:val="00E73AD2"/>
    <w:rsid w:val="00E73FDC"/>
    <w:rsid w:val="00E74AB7"/>
    <w:rsid w:val="00E759AD"/>
    <w:rsid w:val="00E7737F"/>
    <w:rsid w:val="00E8058F"/>
    <w:rsid w:val="00E81996"/>
    <w:rsid w:val="00E833F7"/>
    <w:rsid w:val="00E836EF"/>
    <w:rsid w:val="00E83BDF"/>
    <w:rsid w:val="00E84E94"/>
    <w:rsid w:val="00E867BF"/>
    <w:rsid w:val="00E86FCC"/>
    <w:rsid w:val="00E87A1D"/>
    <w:rsid w:val="00E87F9D"/>
    <w:rsid w:val="00E9094A"/>
    <w:rsid w:val="00E91138"/>
    <w:rsid w:val="00E91282"/>
    <w:rsid w:val="00E91599"/>
    <w:rsid w:val="00E91D35"/>
    <w:rsid w:val="00E926A5"/>
    <w:rsid w:val="00E92D80"/>
    <w:rsid w:val="00E94325"/>
    <w:rsid w:val="00E95253"/>
    <w:rsid w:val="00E960DB"/>
    <w:rsid w:val="00E96164"/>
    <w:rsid w:val="00E962CC"/>
    <w:rsid w:val="00E96BB3"/>
    <w:rsid w:val="00E97571"/>
    <w:rsid w:val="00E97981"/>
    <w:rsid w:val="00E97C73"/>
    <w:rsid w:val="00EA163E"/>
    <w:rsid w:val="00EA17C3"/>
    <w:rsid w:val="00EA277C"/>
    <w:rsid w:val="00EA2CAA"/>
    <w:rsid w:val="00EA2D09"/>
    <w:rsid w:val="00EA3864"/>
    <w:rsid w:val="00EA4448"/>
    <w:rsid w:val="00EA4D3C"/>
    <w:rsid w:val="00EA7F1C"/>
    <w:rsid w:val="00EB029D"/>
    <w:rsid w:val="00EB15B6"/>
    <w:rsid w:val="00EB29DF"/>
    <w:rsid w:val="00EB38A3"/>
    <w:rsid w:val="00EB3D06"/>
    <w:rsid w:val="00EB4916"/>
    <w:rsid w:val="00EB49C4"/>
    <w:rsid w:val="00EB5823"/>
    <w:rsid w:val="00EB5EF8"/>
    <w:rsid w:val="00EB62FF"/>
    <w:rsid w:val="00EC00C9"/>
    <w:rsid w:val="00EC08F4"/>
    <w:rsid w:val="00EC09BB"/>
    <w:rsid w:val="00EC0DD9"/>
    <w:rsid w:val="00EC1124"/>
    <w:rsid w:val="00EC1801"/>
    <w:rsid w:val="00EC2649"/>
    <w:rsid w:val="00EC31ED"/>
    <w:rsid w:val="00EC5752"/>
    <w:rsid w:val="00EC5820"/>
    <w:rsid w:val="00EC5836"/>
    <w:rsid w:val="00EC688C"/>
    <w:rsid w:val="00EC75AA"/>
    <w:rsid w:val="00EC7900"/>
    <w:rsid w:val="00EC7964"/>
    <w:rsid w:val="00ED031D"/>
    <w:rsid w:val="00ED082E"/>
    <w:rsid w:val="00ED12E3"/>
    <w:rsid w:val="00ED24CC"/>
    <w:rsid w:val="00ED2AD9"/>
    <w:rsid w:val="00ED3AB6"/>
    <w:rsid w:val="00ED4B04"/>
    <w:rsid w:val="00ED52C4"/>
    <w:rsid w:val="00ED57EA"/>
    <w:rsid w:val="00ED5BD4"/>
    <w:rsid w:val="00ED6F81"/>
    <w:rsid w:val="00ED7915"/>
    <w:rsid w:val="00EE07D3"/>
    <w:rsid w:val="00EE1996"/>
    <w:rsid w:val="00EE1C01"/>
    <w:rsid w:val="00EE22AF"/>
    <w:rsid w:val="00EE47B7"/>
    <w:rsid w:val="00EE5D76"/>
    <w:rsid w:val="00EE605B"/>
    <w:rsid w:val="00EF0171"/>
    <w:rsid w:val="00EF1B25"/>
    <w:rsid w:val="00EF1DA0"/>
    <w:rsid w:val="00EF3497"/>
    <w:rsid w:val="00EF34ED"/>
    <w:rsid w:val="00EF42C9"/>
    <w:rsid w:val="00EF4747"/>
    <w:rsid w:val="00EF4BF8"/>
    <w:rsid w:val="00EF55A0"/>
    <w:rsid w:val="00F0025B"/>
    <w:rsid w:val="00F005FB"/>
    <w:rsid w:val="00F0068A"/>
    <w:rsid w:val="00F013A7"/>
    <w:rsid w:val="00F017D0"/>
    <w:rsid w:val="00F02253"/>
    <w:rsid w:val="00F02CFB"/>
    <w:rsid w:val="00F02E5F"/>
    <w:rsid w:val="00F03C2E"/>
    <w:rsid w:val="00F0411D"/>
    <w:rsid w:val="00F04A66"/>
    <w:rsid w:val="00F04B4B"/>
    <w:rsid w:val="00F04BCE"/>
    <w:rsid w:val="00F05076"/>
    <w:rsid w:val="00F0516C"/>
    <w:rsid w:val="00F05CBD"/>
    <w:rsid w:val="00F0608B"/>
    <w:rsid w:val="00F064CC"/>
    <w:rsid w:val="00F06737"/>
    <w:rsid w:val="00F067A2"/>
    <w:rsid w:val="00F077F6"/>
    <w:rsid w:val="00F07B9E"/>
    <w:rsid w:val="00F1116F"/>
    <w:rsid w:val="00F12338"/>
    <w:rsid w:val="00F1263A"/>
    <w:rsid w:val="00F13697"/>
    <w:rsid w:val="00F139C5"/>
    <w:rsid w:val="00F13D6A"/>
    <w:rsid w:val="00F15B77"/>
    <w:rsid w:val="00F16CAF"/>
    <w:rsid w:val="00F21236"/>
    <w:rsid w:val="00F22017"/>
    <w:rsid w:val="00F22E75"/>
    <w:rsid w:val="00F239DF"/>
    <w:rsid w:val="00F24837"/>
    <w:rsid w:val="00F2575F"/>
    <w:rsid w:val="00F27565"/>
    <w:rsid w:val="00F27998"/>
    <w:rsid w:val="00F30E04"/>
    <w:rsid w:val="00F310D4"/>
    <w:rsid w:val="00F310F3"/>
    <w:rsid w:val="00F31D5A"/>
    <w:rsid w:val="00F33975"/>
    <w:rsid w:val="00F33DE9"/>
    <w:rsid w:val="00F3423A"/>
    <w:rsid w:val="00F34F29"/>
    <w:rsid w:val="00F3519E"/>
    <w:rsid w:val="00F35E6D"/>
    <w:rsid w:val="00F3619A"/>
    <w:rsid w:val="00F37DAD"/>
    <w:rsid w:val="00F40AAA"/>
    <w:rsid w:val="00F40BA7"/>
    <w:rsid w:val="00F40DCF"/>
    <w:rsid w:val="00F40F9D"/>
    <w:rsid w:val="00F41301"/>
    <w:rsid w:val="00F416CC"/>
    <w:rsid w:val="00F41ACD"/>
    <w:rsid w:val="00F42079"/>
    <w:rsid w:val="00F43A0B"/>
    <w:rsid w:val="00F46CB6"/>
    <w:rsid w:val="00F4756D"/>
    <w:rsid w:val="00F478AC"/>
    <w:rsid w:val="00F47DE8"/>
    <w:rsid w:val="00F51532"/>
    <w:rsid w:val="00F52115"/>
    <w:rsid w:val="00F52A65"/>
    <w:rsid w:val="00F542C1"/>
    <w:rsid w:val="00F54821"/>
    <w:rsid w:val="00F550E3"/>
    <w:rsid w:val="00F553E1"/>
    <w:rsid w:val="00F55422"/>
    <w:rsid w:val="00F55472"/>
    <w:rsid w:val="00F55E73"/>
    <w:rsid w:val="00F55EDA"/>
    <w:rsid w:val="00F55FF9"/>
    <w:rsid w:val="00F56C80"/>
    <w:rsid w:val="00F57668"/>
    <w:rsid w:val="00F5769B"/>
    <w:rsid w:val="00F57737"/>
    <w:rsid w:val="00F60092"/>
    <w:rsid w:val="00F612B5"/>
    <w:rsid w:val="00F61C18"/>
    <w:rsid w:val="00F621FE"/>
    <w:rsid w:val="00F62C82"/>
    <w:rsid w:val="00F638E0"/>
    <w:rsid w:val="00F6467F"/>
    <w:rsid w:val="00F64700"/>
    <w:rsid w:val="00F65653"/>
    <w:rsid w:val="00F65F4B"/>
    <w:rsid w:val="00F660DD"/>
    <w:rsid w:val="00F67222"/>
    <w:rsid w:val="00F674E8"/>
    <w:rsid w:val="00F6793C"/>
    <w:rsid w:val="00F67A5A"/>
    <w:rsid w:val="00F67A69"/>
    <w:rsid w:val="00F7032A"/>
    <w:rsid w:val="00F70BFF"/>
    <w:rsid w:val="00F70C9D"/>
    <w:rsid w:val="00F71557"/>
    <w:rsid w:val="00F7221C"/>
    <w:rsid w:val="00F735B3"/>
    <w:rsid w:val="00F73778"/>
    <w:rsid w:val="00F73E08"/>
    <w:rsid w:val="00F74CD9"/>
    <w:rsid w:val="00F7676E"/>
    <w:rsid w:val="00F771A3"/>
    <w:rsid w:val="00F809CC"/>
    <w:rsid w:val="00F80A7B"/>
    <w:rsid w:val="00F80E5D"/>
    <w:rsid w:val="00F81423"/>
    <w:rsid w:val="00F81A11"/>
    <w:rsid w:val="00F81E78"/>
    <w:rsid w:val="00F83916"/>
    <w:rsid w:val="00F842BF"/>
    <w:rsid w:val="00F84AE6"/>
    <w:rsid w:val="00F851CE"/>
    <w:rsid w:val="00F85FD5"/>
    <w:rsid w:val="00F8687B"/>
    <w:rsid w:val="00F90C7A"/>
    <w:rsid w:val="00F91219"/>
    <w:rsid w:val="00F92444"/>
    <w:rsid w:val="00F9393E"/>
    <w:rsid w:val="00F95B49"/>
    <w:rsid w:val="00F96D05"/>
    <w:rsid w:val="00F96FD0"/>
    <w:rsid w:val="00F9733C"/>
    <w:rsid w:val="00F97756"/>
    <w:rsid w:val="00F97A78"/>
    <w:rsid w:val="00FA0B20"/>
    <w:rsid w:val="00FA1B3E"/>
    <w:rsid w:val="00FA24E7"/>
    <w:rsid w:val="00FA27B9"/>
    <w:rsid w:val="00FA3896"/>
    <w:rsid w:val="00FA49E7"/>
    <w:rsid w:val="00FA4EB8"/>
    <w:rsid w:val="00FA555E"/>
    <w:rsid w:val="00FA5EE6"/>
    <w:rsid w:val="00FA6899"/>
    <w:rsid w:val="00FA6CCE"/>
    <w:rsid w:val="00FA7956"/>
    <w:rsid w:val="00FA7981"/>
    <w:rsid w:val="00FB05DC"/>
    <w:rsid w:val="00FB0824"/>
    <w:rsid w:val="00FB168A"/>
    <w:rsid w:val="00FB26AF"/>
    <w:rsid w:val="00FB2E3A"/>
    <w:rsid w:val="00FB2FCB"/>
    <w:rsid w:val="00FB43F8"/>
    <w:rsid w:val="00FB482F"/>
    <w:rsid w:val="00FB4C9C"/>
    <w:rsid w:val="00FB53ED"/>
    <w:rsid w:val="00FB6A81"/>
    <w:rsid w:val="00FB76E1"/>
    <w:rsid w:val="00FB7C55"/>
    <w:rsid w:val="00FC0195"/>
    <w:rsid w:val="00FC1074"/>
    <w:rsid w:val="00FC1884"/>
    <w:rsid w:val="00FC1DB1"/>
    <w:rsid w:val="00FC280A"/>
    <w:rsid w:val="00FC2C81"/>
    <w:rsid w:val="00FC371D"/>
    <w:rsid w:val="00FC5239"/>
    <w:rsid w:val="00FC5F0B"/>
    <w:rsid w:val="00FC6419"/>
    <w:rsid w:val="00FD2100"/>
    <w:rsid w:val="00FD21BF"/>
    <w:rsid w:val="00FD22E9"/>
    <w:rsid w:val="00FD29CE"/>
    <w:rsid w:val="00FD436C"/>
    <w:rsid w:val="00FD446D"/>
    <w:rsid w:val="00FD4F2C"/>
    <w:rsid w:val="00FD5B8D"/>
    <w:rsid w:val="00FD6394"/>
    <w:rsid w:val="00FD6501"/>
    <w:rsid w:val="00FD7AD9"/>
    <w:rsid w:val="00FD7DC7"/>
    <w:rsid w:val="00FE091D"/>
    <w:rsid w:val="00FE0D35"/>
    <w:rsid w:val="00FE0E6C"/>
    <w:rsid w:val="00FE0ECD"/>
    <w:rsid w:val="00FE1CDC"/>
    <w:rsid w:val="00FE4120"/>
    <w:rsid w:val="00FE42B5"/>
    <w:rsid w:val="00FE42EA"/>
    <w:rsid w:val="00FE45BB"/>
    <w:rsid w:val="00FE5BD1"/>
    <w:rsid w:val="00FE6595"/>
    <w:rsid w:val="00FE70C3"/>
    <w:rsid w:val="00FE78F8"/>
    <w:rsid w:val="00FE7F9A"/>
    <w:rsid w:val="00FF049F"/>
    <w:rsid w:val="00FF184A"/>
    <w:rsid w:val="00FF1A8B"/>
    <w:rsid w:val="00FF21EC"/>
    <w:rsid w:val="00FF2AD9"/>
    <w:rsid w:val="00FF359F"/>
    <w:rsid w:val="00FF3DCF"/>
    <w:rsid w:val="00FF492C"/>
    <w:rsid w:val="00FF4A21"/>
    <w:rsid w:val="00FF5AA3"/>
    <w:rsid w:val="00FF5AD8"/>
    <w:rsid w:val="00FF636B"/>
    <w:rsid w:val="00FF66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C46"/>
    <w:pPr>
      <w:jc w:val="both"/>
    </w:pPr>
    <w:rPr>
      <w:rFonts w:ascii="Calibri" w:hAnsi="Calibri" w:cs="Arial"/>
      <w:sz w:val="24"/>
      <w:szCs w:val="24"/>
    </w:rPr>
  </w:style>
  <w:style w:type="paragraph" w:styleId="Heading1">
    <w:name w:val="heading 1"/>
    <w:basedOn w:val="Normal"/>
    <w:next w:val="Normal"/>
    <w:link w:val="Heading1Char"/>
    <w:uiPriority w:val="1"/>
    <w:qFormat/>
    <w:rsid w:val="00A74C74"/>
    <w:pPr>
      <w:ind w:left="720" w:hanging="720"/>
      <w:outlineLvl w:val="0"/>
    </w:pPr>
    <w:rPr>
      <w:b/>
      <w:caps/>
      <w:sz w:val="32"/>
    </w:rPr>
  </w:style>
  <w:style w:type="paragraph" w:styleId="Heading2">
    <w:name w:val="heading 2"/>
    <w:basedOn w:val="Normal"/>
    <w:next w:val="Normal"/>
    <w:link w:val="Heading2Char"/>
    <w:qFormat/>
    <w:rsid w:val="00A74C74"/>
    <w:pPr>
      <w:outlineLvl w:val="1"/>
    </w:pPr>
    <w:rPr>
      <w:b/>
      <w:i/>
      <w:sz w:val="28"/>
    </w:rPr>
  </w:style>
  <w:style w:type="paragraph" w:styleId="Heading3">
    <w:name w:val="heading 3"/>
    <w:basedOn w:val="Normal"/>
    <w:next w:val="Normal"/>
    <w:link w:val="Heading3Char"/>
    <w:qFormat/>
    <w:rsid w:val="00A74C74"/>
    <w:pPr>
      <w:outlineLvl w:val="2"/>
    </w:pPr>
    <w:rPr>
      <w:u w:val="single"/>
    </w:rPr>
  </w:style>
  <w:style w:type="paragraph" w:styleId="Heading4">
    <w:name w:val="heading 4"/>
    <w:basedOn w:val="Normal"/>
    <w:next w:val="Normal"/>
    <w:link w:val="Heading4Char"/>
    <w:qFormat/>
    <w:rsid w:val="00A74C74"/>
    <w:pPr>
      <w:keepNext/>
      <w:spacing w:before="240" w:after="60"/>
      <w:outlineLvl w:val="3"/>
    </w:pPr>
    <w:rPr>
      <w:b/>
      <w:bCs/>
      <w:i/>
      <w:sz w:val="26"/>
      <w:szCs w:val="28"/>
    </w:rPr>
  </w:style>
  <w:style w:type="paragraph" w:styleId="Heading5">
    <w:name w:val="heading 5"/>
    <w:basedOn w:val="Normal"/>
    <w:next w:val="Normal"/>
    <w:link w:val="Heading5Char"/>
    <w:qFormat/>
    <w:rsid w:val="00A74C74"/>
    <w:pPr>
      <w:spacing w:before="240" w:after="60"/>
      <w:outlineLvl w:val="4"/>
    </w:pPr>
    <w:rPr>
      <w:b/>
      <w:bCs/>
      <w:iCs/>
      <w:sz w:val="26"/>
      <w:szCs w:val="26"/>
    </w:rPr>
  </w:style>
  <w:style w:type="paragraph" w:styleId="Heading6">
    <w:name w:val="heading 6"/>
    <w:basedOn w:val="Normal"/>
    <w:next w:val="Normal"/>
    <w:link w:val="Heading6Char"/>
    <w:qFormat/>
    <w:rsid w:val="00A74C74"/>
    <w:pPr>
      <w:spacing w:before="240" w:after="60"/>
      <w:outlineLvl w:val="5"/>
    </w:pPr>
    <w:rPr>
      <w:b/>
      <w:bCs/>
      <w:i/>
    </w:rPr>
  </w:style>
  <w:style w:type="paragraph" w:styleId="Heading7">
    <w:name w:val="heading 7"/>
    <w:basedOn w:val="Normal"/>
    <w:next w:val="Normal"/>
    <w:link w:val="Heading7Char"/>
    <w:qFormat/>
    <w:rsid w:val="00A74C74"/>
    <w:pPr>
      <w:keepNext/>
      <w:jc w:val="center"/>
      <w:outlineLvl w:val="6"/>
    </w:pPr>
    <w:rPr>
      <w:b/>
      <w:sz w:val="20"/>
    </w:rPr>
  </w:style>
  <w:style w:type="paragraph" w:styleId="Heading8">
    <w:name w:val="heading 8"/>
    <w:basedOn w:val="Normal"/>
    <w:next w:val="Normal"/>
    <w:link w:val="Heading8Char"/>
    <w:uiPriority w:val="7"/>
    <w:qFormat/>
    <w:rsid w:val="00A74C74"/>
    <w:pPr>
      <w:keepNext/>
      <w:jc w:val="right"/>
      <w:outlineLvl w:val="7"/>
    </w:pPr>
    <w:rPr>
      <w:b/>
    </w:rPr>
  </w:style>
  <w:style w:type="paragraph" w:styleId="Heading9">
    <w:name w:val="heading 9"/>
    <w:basedOn w:val="Normal"/>
    <w:next w:val="Normal"/>
    <w:link w:val="Heading9Char"/>
    <w:qFormat/>
    <w:rsid w:val="00A74C74"/>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z w:val="28"/>
      <w:szCs w:val="24"/>
    </w:rPr>
  </w:style>
  <w:style w:type="character" w:customStyle="1" w:styleId="Heading7Char">
    <w:name w:val="Heading 7 Char"/>
    <w:basedOn w:val="DefaultParagraphFont"/>
    <w:link w:val="Heading7"/>
    <w:rsid w:val="00124A51"/>
    <w:rPr>
      <w:rFonts w:ascii="Calibri" w:hAnsi="Calibri" w:cs="Arial"/>
      <w:b/>
      <w:szCs w:val="24"/>
    </w:rPr>
  </w:style>
  <w:style w:type="character" w:customStyle="1" w:styleId="Heading8Char">
    <w:name w:val="Heading 8 Char"/>
    <w:basedOn w:val="DefaultParagraphFont"/>
    <w:link w:val="Heading8"/>
    <w:uiPriority w:val="7"/>
    <w:rsid w:val="00124A51"/>
    <w:rPr>
      <w:rFonts w:ascii="Calibri" w:hAnsi="Calibri" w:cs="Arial"/>
      <w:b/>
      <w:sz w:val="24"/>
      <w:szCs w:val="24"/>
    </w:rPr>
  </w:style>
  <w:style w:type="character" w:customStyle="1" w:styleId="Heading9Char">
    <w:name w:val="Heading 9 Char"/>
    <w:basedOn w:val="DefaultParagraphFont"/>
    <w:link w:val="Heading9"/>
    <w:rsid w:val="00124A51"/>
    <w:rPr>
      <w:rFonts w:ascii="Calibri" w:hAnsi="Calibri" w:cs="Arial"/>
      <w:b/>
      <w:color w:val="000000"/>
      <w:szCs w:val="24"/>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A74C7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8C750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9254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val="0"/>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F005FB"/>
    <w:rPr>
      <w:sz w:val="20"/>
      <w:szCs w:val="20"/>
    </w:rPr>
  </w:style>
  <w:style w:type="character" w:customStyle="1" w:styleId="FootnoteTextChar">
    <w:name w:val="Footnote Text Char"/>
    <w:basedOn w:val="DefaultParagraphFont"/>
    <w:link w:val="FootnoteText"/>
    <w:uiPriority w:val="99"/>
    <w:rsid w:val="00F005FB"/>
    <w:rPr>
      <w:rFonts w:ascii="Calibri" w:hAnsi="Calibri" w:cs="Arial"/>
    </w:rPr>
  </w:style>
  <w:style w:type="character" w:styleId="FootnoteReference">
    <w:name w:val="footnote reference"/>
    <w:basedOn w:val="DefaultParagraphFont"/>
    <w:semiHidden/>
    <w:unhideWhenUsed/>
    <w:rsid w:val="00F005FB"/>
    <w:rPr>
      <w:vertAlign w:val="superscript"/>
    </w:rPr>
  </w:style>
  <w:style w:type="paragraph" w:styleId="EndnoteText">
    <w:name w:val="endnote text"/>
    <w:basedOn w:val="Normal"/>
    <w:link w:val="EndnoteTextChar"/>
    <w:semiHidden/>
    <w:unhideWhenUsed/>
    <w:rsid w:val="007C16C0"/>
    <w:rPr>
      <w:sz w:val="20"/>
      <w:szCs w:val="20"/>
    </w:rPr>
  </w:style>
  <w:style w:type="character" w:customStyle="1" w:styleId="EndnoteTextChar">
    <w:name w:val="Endnote Text Char"/>
    <w:basedOn w:val="DefaultParagraphFont"/>
    <w:link w:val="EndnoteText"/>
    <w:semiHidden/>
    <w:rsid w:val="007C16C0"/>
    <w:rPr>
      <w:rFonts w:ascii="Calibri" w:hAnsi="Calibri" w:cs="Arial"/>
    </w:rPr>
  </w:style>
  <w:style w:type="character" w:styleId="EndnoteReference">
    <w:name w:val="endnote reference"/>
    <w:basedOn w:val="DefaultParagraphFont"/>
    <w:semiHidden/>
    <w:unhideWhenUsed/>
    <w:rsid w:val="007C16C0"/>
    <w:rPr>
      <w:vertAlign w:val="superscript"/>
    </w:rPr>
  </w:style>
  <w:style w:type="character" w:styleId="UnresolvedMention">
    <w:name w:val="Unresolved Mention"/>
    <w:basedOn w:val="DefaultParagraphFont"/>
    <w:uiPriority w:val="99"/>
    <w:semiHidden/>
    <w:unhideWhenUsed/>
    <w:rsid w:val="006211F7"/>
    <w:rPr>
      <w:color w:val="605E5C"/>
      <w:shd w:val="clear" w:color="auto" w:fill="E1DFDD"/>
    </w:rPr>
  </w:style>
  <w:style w:type="character" w:customStyle="1" w:styleId="Small">
    <w:name w:val="Small"/>
    <w:basedOn w:val="DefaultParagraphFont"/>
    <w:uiPriority w:val="4"/>
    <w:qFormat/>
    <w:rsid w:val="00767858"/>
    <w:rPr>
      <w:rFonts w:ascii="Calibri" w:hAnsi="Calibri"/>
      <w:sz w:val="20"/>
    </w:rPr>
  </w:style>
  <w:style w:type="character" w:styleId="PlaceholderText">
    <w:name w:val="Placeholder Text"/>
    <w:basedOn w:val="DefaultParagraphFont"/>
    <w:uiPriority w:val="99"/>
    <w:semiHidden/>
    <w:rsid w:val="00767858"/>
    <w:rPr>
      <w:color w:val="808080"/>
    </w:rPr>
  </w:style>
  <w:style w:type="character" w:customStyle="1" w:styleId="SmallBold">
    <w:name w:val="Small Bold"/>
    <w:basedOn w:val="Small"/>
    <w:uiPriority w:val="4"/>
    <w:qFormat/>
    <w:rsid w:val="004D2296"/>
    <w:rPr>
      <w:rFonts w:ascii="Calibri" w:hAnsi="Calibri"/>
      <w:b/>
      <w:sz w:val="20"/>
      <w:lang w:val="en-AU"/>
    </w:rPr>
  </w:style>
  <w:style w:type="character" w:customStyle="1" w:styleId="CaptionFootnoteChar">
    <w:name w:val="Caption Footnote Char"/>
    <w:basedOn w:val="DefaultParagraphFont"/>
    <w:link w:val="CaptionFootnote"/>
    <w:rsid w:val="001673C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1673CF"/>
    <w:pPr>
      <w:jc w:val="left"/>
    </w:pPr>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D6041C"/>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D6041C"/>
    <w:rPr>
      <w:rFonts w:ascii="Calibri" w:eastAsiaTheme="majorEastAsia" w:hAnsi="Calibri" w:cstheme="majorBidi"/>
      <w:sz w:val="18"/>
      <w:szCs w:val="22"/>
      <w:lang w:eastAsia="en-US" w:bidi="en-US"/>
    </w:rPr>
  </w:style>
  <w:style w:type="table" w:customStyle="1" w:styleId="Submissionstandard">
    <w:name w:val="Submission standard"/>
    <w:basedOn w:val="TableNormal"/>
    <w:uiPriority w:val="99"/>
    <w:qFormat/>
    <w:rsid w:val="001A668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Open Sans" w:hAnsi="Open Sans"/>
        <w:b/>
        <w:sz w:val="20"/>
      </w:rPr>
      <w:tblPr/>
      <w:tcPr>
        <w:shd w:val="clear" w:color="auto" w:fill="BFBFBF" w:themeFill="background1" w:themeFillShade="BF"/>
      </w:tcPr>
    </w:tblStylePr>
  </w:style>
  <w:style w:type="paragraph" w:customStyle="1" w:styleId="TableFigureFooter">
    <w:name w:val="Table/Figure Footer"/>
    <w:basedOn w:val="Normal"/>
    <w:link w:val="TableFigureFooterChar"/>
    <w:qFormat/>
    <w:rsid w:val="0092653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26534"/>
    <w:rPr>
      <w:rFonts w:ascii="Arial Narrow" w:hAnsi="Arial Narrow" w:cs="Arial"/>
      <w:snapToGrid w:val="0"/>
      <w:sz w:val="18"/>
      <w:szCs w:val="22"/>
    </w:rPr>
  </w:style>
  <w:style w:type="character" w:customStyle="1" w:styleId="eop">
    <w:name w:val="eop"/>
    <w:basedOn w:val="DefaultParagraphFont"/>
    <w:rsid w:val="00BD47E0"/>
  </w:style>
  <w:style w:type="table" w:customStyle="1" w:styleId="TableGridbeth1">
    <w:name w:val="Table Gridbeth1"/>
    <w:basedOn w:val="TableNormal"/>
    <w:next w:val="TableGrid"/>
    <w:uiPriority w:val="59"/>
    <w:rsid w:val="00227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06B16"/>
    <w:rPr>
      <w:rFonts w:ascii="Calibri" w:hAnsi="Calibri" w:cs="Arial"/>
      <w:b/>
      <w:caps/>
      <w:sz w:val="32"/>
      <w:szCs w:val="24"/>
    </w:rPr>
  </w:style>
  <w:style w:type="character" w:customStyle="1" w:styleId="Heading3Char">
    <w:name w:val="Heading 3 Char"/>
    <w:basedOn w:val="DefaultParagraphFont"/>
    <w:link w:val="Heading3"/>
    <w:rsid w:val="00706B16"/>
    <w:rPr>
      <w:rFonts w:ascii="Calibri" w:hAnsi="Calibri" w:cs="Arial"/>
      <w:sz w:val="24"/>
      <w:szCs w:val="24"/>
      <w:u w:val="single"/>
    </w:rPr>
  </w:style>
  <w:style w:type="character" w:customStyle="1" w:styleId="Heading4Char">
    <w:name w:val="Heading 4 Char"/>
    <w:basedOn w:val="DefaultParagraphFont"/>
    <w:link w:val="Heading4"/>
    <w:rsid w:val="00706B16"/>
    <w:rPr>
      <w:rFonts w:ascii="Calibri" w:hAnsi="Calibri" w:cs="Arial"/>
      <w:b/>
      <w:bCs/>
      <w:i/>
      <w:sz w:val="26"/>
      <w:szCs w:val="28"/>
    </w:rPr>
  </w:style>
  <w:style w:type="character" w:customStyle="1" w:styleId="Heading5Char">
    <w:name w:val="Heading 5 Char"/>
    <w:basedOn w:val="DefaultParagraphFont"/>
    <w:link w:val="Heading5"/>
    <w:rsid w:val="00706B16"/>
    <w:rPr>
      <w:rFonts w:ascii="Calibri" w:hAnsi="Calibri" w:cs="Arial"/>
      <w:b/>
      <w:bCs/>
      <w:iCs/>
      <w:sz w:val="26"/>
      <w:szCs w:val="26"/>
    </w:rPr>
  </w:style>
  <w:style w:type="character" w:customStyle="1" w:styleId="Heading6Char">
    <w:name w:val="Heading 6 Char"/>
    <w:basedOn w:val="DefaultParagraphFont"/>
    <w:link w:val="Heading6"/>
    <w:rsid w:val="00706B16"/>
    <w:rPr>
      <w:rFonts w:ascii="Calibri" w:hAnsi="Calibri" w:cs="Arial"/>
      <w:b/>
      <w:bCs/>
      <w:i/>
      <w:sz w:val="24"/>
      <w:szCs w:val="24"/>
    </w:rPr>
  </w:style>
  <w:style w:type="character" w:customStyle="1" w:styleId="ui-provider">
    <w:name w:val="ui-provider"/>
    <w:basedOn w:val="DefaultParagraphFont"/>
    <w:rsid w:val="00555173"/>
  </w:style>
  <w:style w:type="paragraph" w:customStyle="1" w:styleId="3-SubsectionHeading">
    <w:name w:val="3-Subsection Heading"/>
    <w:basedOn w:val="Heading2"/>
    <w:next w:val="Normal"/>
    <w:link w:val="3-SubsectionHeadingChar"/>
    <w:qFormat/>
    <w:rsid w:val="00CE227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E227A"/>
    <w:rPr>
      <w:rFonts w:asciiTheme="minorHAnsi" w:eastAsiaTheme="majorEastAsia" w:hAnsiTheme="minorHAnsi" w:cstheme="majorBidi"/>
      <w:b/>
      <w:i/>
      <w:spacing w:val="5"/>
      <w:kern w:val="28"/>
      <w:sz w:val="28"/>
      <w:szCs w:val="36"/>
      <w:lang w:eastAsia="en-US"/>
    </w:rPr>
  </w:style>
  <w:style w:type="paragraph" w:styleId="BodyText3">
    <w:name w:val="Body Text 3"/>
    <w:basedOn w:val="Normal"/>
    <w:link w:val="BodyText3Char"/>
    <w:semiHidden/>
    <w:unhideWhenUsed/>
    <w:rsid w:val="00104A72"/>
    <w:pPr>
      <w:spacing w:after="120"/>
    </w:pPr>
    <w:rPr>
      <w:sz w:val="16"/>
      <w:szCs w:val="16"/>
    </w:rPr>
  </w:style>
  <w:style w:type="character" w:customStyle="1" w:styleId="BodyText3Char">
    <w:name w:val="Body Text 3 Char"/>
    <w:basedOn w:val="DefaultParagraphFont"/>
    <w:link w:val="BodyText3"/>
    <w:semiHidden/>
    <w:rsid w:val="00104A72"/>
    <w:rPr>
      <w:rFonts w:ascii="Calibri" w:hAnsi="Calibri" w:cs="Arial"/>
      <w:sz w:val="16"/>
      <w:szCs w:val="16"/>
    </w:rPr>
  </w:style>
  <w:style w:type="paragraph" w:customStyle="1" w:styleId="Numberbullet2">
    <w:name w:val="Number bullet 2"/>
    <w:basedOn w:val="ListBullet2"/>
    <w:qFormat/>
    <w:rsid w:val="001042C0"/>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042C0"/>
    <w:pPr>
      <w:numPr>
        <w:ilvl w:val="2"/>
        <w:numId w:val="31"/>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042C0"/>
    <w:pPr>
      <w:numPr>
        <w:numId w:val="31"/>
      </w:numPr>
    </w:pPr>
  </w:style>
  <w:style w:type="paragraph" w:customStyle="1" w:styleId="COMH1numbered">
    <w:name w:val="COM H1 numbered"/>
    <w:next w:val="Normal"/>
    <w:link w:val="COMH1numberedChar"/>
    <w:qFormat/>
    <w:rsid w:val="001042C0"/>
    <w:pPr>
      <w:keepNext/>
      <w:numPr>
        <w:numId w:val="31"/>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1042C0"/>
    <w:rPr>
      <w:rFonts w:asciiTheme="minorHAnsi" w:hAnsiTheme="minorHAnsi" w:cs="Arial"/>
      <w:b/>
      <w:snapToGrid w:val="0"/>
      <w:sz w:val="32"/>
      <w:szCs w:val="32"/>
    </w:rPr>
  </w:style>
  <w:style w:type="paragraph" w:styleId="ListBullet2">
    <w:name w:val="List Bullet 2"/>
    <w:basedOn w:val="Normal"/>
    <w:semiHidden/>
    <w:unhideWhenUsed/>
    <w:rsid w:val="001042C0"/>
    <w:pPr>
      <w:ind w:left="425" w:hanging="425"/>
      <w:contextualSpacing/>
    </w:pPr>
  </w:style>
  <w:style w:type="paragraph" w:styleId="ListBullet3">
    <w:name w:val="List Bullet 3"/>
    <w:basedOn w:val="Normal"/>
    <w:semiHidden/>
    <w:unhideWhenUsed/>
    <w:rsid w:val="001042C0"/>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8328252">
      <w:bodyDiv w:val="1"/>
      <w:marLeft w:val="0"/>
      <w:marRight w:val="0"/>
      <w:marTop w:val="0"/>
      <w:marBottom w:val="0"/>
      <w:divBdr>
        <w:top w:val="none" w:sz="0" w:space="0" w:color="auto"/>
        <w:left w:val="none" w:sz="0" w:space="0" w:color="auto"/>
        <w:bottom w:val="none" w:sz="0" w:space="0" w:color="auto"/>
        <w:right w:val="none" w:sz="0" w:space="0" w:color="auto"/>
      </w:divBdr>
    </w:div>
    <w:div w:id="157505323">
      <w:bodyDiv w:val="1"/>
      <w:marLeft w:val="0"/>
      <w:marRight w:val="0"/>
      <w:marTop w:val="0"/>
      <w:marBottom w:val="0"/>
      <w:divBdr>
        <w:top w:val="none" w:sz="0" w:space="0" w:color="auto"/>
        <w:left w:val="none" w:sz="0" w:space="0" w:color="auto"/>
        <w:bottom w:val="none" w:sz="0" w:space="0" w:color="auto"/>
        <w:right w:val="none" w:sz="0" w:space="0" w:color="auto"/>
      </w:divBdr>
    </w:div>
    <w:div w:id="169023830">
      <w:bodyDiv w:val="1"/>
      <w:marLeft w:val="0"/>
      <w:marRight w:val="0"/>
      <w:marTop w:val="0"/>
      <w:marBottom w:val="0"/>
      <w:divBdr>
        <w:top w:val="none" w:sz="0" w:space="0" w:color="auto"/>
        <w:left w:val="none" w:sz="0" w:space="0" w:color="auto"/>
        <w:bottom w:val="none" w:sz="0" w:space="0" w:color="auto"/>
        <w:right w:val="none" w:sz="0" w:space="0" w:color="auto"/>
      </w:divBdr>
    </w:div>
    <w:div w:id="23216063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9910994">
      <w:bodyDiv w:val="1"/>
      <w:marLeft w:val="0"/>
      <w:marRight w:val="0"/>
      <w:marTop w:val="0"/>
      <w:marBottom w:val="0"/>
      <w:divBdr>
        <w:top w:val="none" w:sz="0" w:space="0" w:color="auto"/>
        <w:left w:val="none" w:sz="0" w:space="0" w:color="auto"/>
        <w:bottom w:val="none" w:sz="0" w:space="0" w:color="auto"/>
        <w:right w:val="none" w:sz="0" w:space="0" w:color="auto"/>
      </w:divBdr>
    </w:div>
    <w:div w:id="454099295">
      <w:bodyDiv w:val="1"/>
      <w:marLeft w:val="0"/>
      <w:marRight w:val="0"/>
      <w:marTop w:val="0"/>
      <w:marBottom w:val="0"/>
      <w:divBdr>
        <w:top w:val="none" w:sz="0" w:space="0" w:color="auto"/>
        <w:left w:val="none" w:sz="0" w:space="0" w:color="auto"/>
        <w:bottom w:val="none" w:sz="0" w:space="0" w:color="auto"/>
        <w:right w:val="none" w:sz="0" w:space="0" w:color="auto"/>
      </w:divBdr>
    </w:div>
    <w:div w:id="592394471">
      <w:bodyDiv w:val="1"/>
      <w:marLeft w:val="0"/>
      <w:marRight w:val="0"/>
      <w:marTop w:val="0"/>
      <w:marBottom w:val="0"/>
      <w:divBdr>
        <w:top w:val="none" w:sz="0" w:space="0" w:color="auto"/>
        <w:left w:val="none" w:sz="0" w:space="0" w:color="auto"/>
        <w:bottom w:val="none" w:sz="0" w:space="0" w:color="auto"/>
        <w:right w:val="none" w:sz="0" w:space="0" w:color="auto"/>
      </w:divBdr>
    </w:div>
    <w:div w:id="652098864">
      <w:bodyDiv w:val="1"/>
      <w:marLeft w:val="0"/>
      <w:marRight w:val="0"/>
      <w:marTop w:val="0"/>
      <w:marBottom w:val="0"/>
      <w:divBdr>
        <w:top w:val="none" w:sz="0" w:space="0" w:color="auto"/>
        <w:left w:val="none" w:sz="0" w:space="0" w:color="auto"/>
        <w:bottom w:val="none" w:sz="0" w:space="0" w:color="auto"/>
        <w:right w:val="none" w:sz="0" w:space="0" w:color="auto"/>
      </w:divBdr>
    </w:div>
    <w:div w:id="672535101">
      <w:bodyDiv w:val="1"/>
      <w:marLeft w:val="0"/>
      <w:marRight w:val="0"/>
      <w:marTop w:val="0"/>
      <w:marBottom w:val="0"/>
      <w:divBdr>
        <w:top w:val="none" w:sz="0" w:space="0" w:color="auto"/>
        <w:left w:val="none" w:sz="0" w:space="0" w:color="auto"/>
        <w:bottom w:val="none" w:sz="0" w:space="0" w:color="auto"/>
        <w:right w:val="none" w:sz="0" w:space="0" w:color="auto"/>
      </w:divBdr>
    </w:div>
    <w:div w:id="80951366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5852619">
      <w:bodyDiv w:val="1"/>
      <w:marLeft w:val="0"/>
      <w:marRight w:val="0"/>
      <w:marTop w:val="0"/>
      <w:marBottom w:val="0"/>
      <w:divBdr>
        <w:top w:val="none" w:sz="0" w:space="0" w:color="auto"/>
        <w:left w:val="none" w:sz="0" w:space="0" w:color="auto"/>
        <w:bottom w:val="none" w:sz="0" w:space="0" w:color="auto"/>
        <w:right w:val="none" w:sz="0" w:space="0" w:color="auto"/>
      </w:divBdr>
    </w:div>
    <w:div w:id="917055638">
      <w:bodyDiv w:val="1"/>
      <w:marLeft w:val="0"/>
      <w:marRight w:val="0"/>
      <w:marTop w:val="0"/>
      <w:marBottom w:val="0"/>
      <w:divBdr>
        <w:top w:val="none" w:sz="0" w:space="0" w:color="auto"/>
        <w:left w:val="none" w:sz="0" w:space="0" w:color="auto"/>
        <w:bottom w:val="none" w:sz="0" w:space="0" w:color="auto"/>
        <w:right w:val="none" w:sz="0" w:space="0" w:color="auto"/>
      </w:divBdr>
    </w:div>
    <w:div w:id="923102308">
      <w:bodyDiv w:val="1"/>
      <w:marLeft w:val="0"/>
      <w:marRight w:val="0"/>
      <w:marTop w:val="0"/>
      <w:marBottom w:val="0"/>
      <w:divBdr>
        <w:top w:val="none" w:sz="0" w:space="0" w:color="auto"/>
        <w:left w:val="none" w:sz="0" w:space="0" w:color="auto"/>
        <w:bottom w:val="none" w:sz="0" w:space="0" w:color="auto"/>
        <w:right w:val="none" w:sz="0" w:space="0" w:color="auto"/>
      </w:divBdr>
      <w:divsChild>
        <w:div w:id="440344256">
          <w:marLeft w:val="720"/>
          <w:marRight w:val="0"/>
          <w:marTop w:val="60"/>
          <w:marBottom w:val="240"/>
          <w:divBdr>
            <w:top w:val="none" w:sz="0" w:space="0" w:color="auto"/>
            <w:left w:val="none" w:sz="0" w:space="0" w:color="auto"/>
            <w:bottom w:val="none" w:sz="0" w:space="0" w:color="auto"/>
            <w:right w:val="none" w:sz="0" w:space="0" w:color="auto"/>
          </w:divBdr>
        </w:div>
      </w:divsChild>
    </w:div>
    <w:div w:id="967276256">
      <w:bodyDiv w:val="1"/>
      <w:marLeft w:val="0"/>
      <w:marRight w:val="0"/>
      <w:marTop w:val="0"/>
      <w:marBottom w:val="0"/>
      <w:divBdr>
        <w:top w:val="none" w:sz="0" w:space="0" w:color="auto"/>
        <w:left w:val="none" w:sz="0" w:space="0" w:color="auto"/>
        <w:bottom w:val="none" w:sz="0" w:space="0" w:color="auto"/>
        <w:right w:val="none" w:sz="0" w:space="0" w:color="auto"/>
      </w:divBdr>
    </w:div>
    <w:div w:id="969627665">
      <w:bodyDiv w:val="1"/>
      <w:marLeft w:val="0"/>
      <w:marRight w:val="0"/>
      <w:marTop w:val="0"/>
      <w:marBottom w:val="0"/>
      <w:divBdr>
        <w:top w:val="none" w:sz="0" w:space="0" w:color="auto"/>
        <w:left w:val="none" w:sz="0" w:space="0" w:color="auto"/>
        <w:bottom w:val="none" w:sz="0" w:space="0" w:color="auto"/>
        <w:right w:val="none" w:sz="0" w:space="0" w:color="auto"/>
      </w:divBdr>
    </w:div>
    <w:div w:id="1034232898">
      <w:bodyDiv w:val="1"/>
      <w:marLeft w:val="0"/>
      <w:marRight w:val="0"/>
      <w:marTop w:val="0"/>
      <w:marBottom w:val="0"/>
      <w:divBdr>
        <w:top w:val="none" w:sz="0" w:space="0" w:color="auto"/>
        <w:left w:val="none" w:sz="0" w:space="0" w:color="auto"/>
        <w:bottom w:val="none" w:sz="0" w:space="0" w:color="auto"/>
        <w:right w:val="none" w:sz="0" w:space="0" w:color="auto"/>
      </w:divBdr>
    </w:div>
    <w:div w:id="1047535153">
      <w:bodyDiv w:val="1"/>
      <w:marLeft w:val="0"/>
      <w:marRight w:val="0"/>
      <w:marTop w:val="0"/>
      <w:marBottom w:val="0"/>
      <w:divBdr>
        <w:top w:val="none" w:sz="0" w:space="0" w:color="auto"/>
        <w:left w:val="none" w:sz="0" w:space="0" w:color="auto"/>
        <w:bottom w:val="none" w:sz="0" w:space="0" w:color="auto"/>
        <w:right w:val="none" w:sz="0" w:space="0" w:color="auto"/>
      </w:divBdr>
      <w:divsChild>
        <w:div w:id="1477920020">
          <w:marLeft w:val="446"/>
          <w:marRight w:val="0"/>
          <w:marTop w:val="60"/>
          <w:marBottom w:val="240"/>
          <w:divBdr>
            <w:top w:val="none" w:sz="0" w:space="0" w:color="auto"/>
            <w:left w:val="none" w:sz="0" w:space="0" w:color="auto"/>
            <w:bottom w:val="none" w:sz="0" w:space="0" w:color="auto"/>
            <w:right w:val="none" w:sz="0" w:space="0" w:color="auto"/>
          </w:divBdr>
        </w:div>
        <w:div w:id="51005709">
          <w:marLeft w:val="446"/>
          <w:marRight w:val="0"/>
          <w:marTop w:val="60"/>
          <w:marBottom w:val="240"/>
          <w:divBdr>
            <w:top w:val="none" w:sz="0" w:space="0" w:color="auto"/>
            <w:left w:val="none" w:sz="0" w:space="0" w:color="auto"/>
            <w:bottom w:val="none" w:sz="0" w:space="0" w:color="auto"/>
            <w:right w:val="none" w:sz="0" w:space="0" w:color="auto"/>
          </w:divBdr>
        </w:div>
        <w:div w:id="161237436">
          <w:marLeft w:val="446"/>
          <w:marRight w:val="0"/>
          <w:marTop w:val="60"/>
          <w:marBottom w:val="24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35762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9289687">
      <w:bodyDiv w:val="1"/>
      <w:marLeft w:val="0"/>
      <w:marRight w:val="0"/>
      <w:marTop w:val="0"/>
      <w:marBottom w:val="0"/>
      <w:divBdr>
        <w:top w:val="none" w:sz="0" w:space="0" w:color="auto"/>
        <w:left w:val="none" w:sz="0" w:space="0" w:color="auto"/>
        <w:bottom w:val="none" w:sz="0" w:space="0" w:color="auto"/>
        <w:right w:val="none" w:sz="0" w:space="0" w:color="auto"/>
      </w:divBdr>
    </w:div>
    <w:div w:id="1303928908">
      <w:bodyDiv w:val="1"/>
      <w:marLeft w:val="0"/>
      <w:marRight w:val="0"/>
      <w:marTop w:val="0"/>
      <w:marBottom w:val="0"/>
      <w:divBdr>
        <w:top w:val="none" w:sz="0" w:space="0" w:color="auto"/>
        <w:left w:val="none" w:sz="0" w:space="0" w:color="auto"/>
        <w:bottom w:val="none" w:sz="0" w:space="0" w:color="auto"/>
        <w:right w:val="none" w:sz="0" w:space="0" w:color="auto"/>
      </w:divBdr>
    </w:div>
    <w:div w:id="1483276626">
      <w:bodyDiv w:val="1"/>
      <w:marLeft w:val="0"/>
      <w:marRight w:val="0"/>
      <w:marTop w:val="0"/>
      <w:marBottom w:val="0"/>
      <w:divBdr>
        <w:top w:val="none" w:sz="0" w:space="0" w:color="auto"/>
        <w:left w:val="none" w:sz="0" w:space="0" w:color="auto"/>
        <w:bottom w:val="none" w:sz="0" w:space="0" w:color="auto"/>
        <w:right w:val="none" w:sz="0" w:space="0" w:color="auto"/>
      </w:divBdr>
    </w:div>
    <w:div w:id="1492520884">
      <w:bodyDiv w:val="1"/>
      <w:marLeft w:val="0"/>
      <w:marRight w:val="0"/>
      <w:marTop w:val="0"/>
      <w:marBottom w:val="0"/>
      <w:divBdr>
        <w:top w:val="none" w:sz="0" w:space="0" w:color="auto"/>
        <w:left w:val="none" w:sz="0" w:space="0" w:color="auto"/>
        <w:bottom w:val="none" w:sz="0" w:space="0" w:color="auto"/>
        <w:right w:val="none" w:sz="0" w:space="0" w:color="auto"/>
      </w:divBdr>
    </w:div>
    <w:div w:id="1514611990">
      <w:bodyDiv w:val="1"/>
      <w:marLeft w:val="0"/>
      <w:marRight w:val="0"/>
      <w:marTop w:val="0"/>
      <w:marBottom w:val="0"/>
      <w:divBdr>
        <w:top w:val="none" w:sz="0" w:space="0" w:color="auto"/>
        <w:left w:val="none" w:sz="0" w:space="0" w:color="auto"/>
        <w:bottom w:val="none" w:sz="0" w:space="0" w:color="auto"/>
        <w:right w:val="none" w:sz="0" w:space="0" w:color="auto"/>
      </w:divBdr>
    </w:div>
    <w:div w:id="1619525676">
      <w:bodyDiv w:val="1"/>
      <w:marLeft w:val="0"/>
      <w:marRight w:val="0"/>
      <w:marTop w:val="0"/>
      <w:marBottom w:val="0"/>
      <w:divBdr>
        <w:top w:val="none" w:sz="0" w:space="0" w:color="auto"/>
        <w:left w:val="none" w:sz="0" w:space="0" w:color="auto"/>
        <w:bottom w:val="none" w:sz="0" w:space="0" w:color="auto"/>
        <w:right w:val="none" w:sz="0" w:space="0" w:color="auto"/>
      </w:divBdr>
      <w:divsChild>
        <w:div w:id="1309900205">
          <w:marLeft w:val="446"/>
          <w:marRight w:val="0"/>
          <w:marTop w:val="60"/>
          <w:marBottom w:val="240"/>
          <w:divBdr>
            <w:top w:val="none" w:sz="0" w:space="0" w:color="auto"/>
            <w:left w:val="none" w:sz="0" w:space="0" w:color="auto"/>
            <w:bottom w:val="none" w:sz="0" w:space="0" w:color="auto"/>
            <w:right w:val="none" w:sz="0" w:space="0" w:color="auto"/>
          </w:divBdr>
        </w:div>
        <w:div w:id="270864235">
          <w:marLeft w:val="446"/>
          <w:marRight w:val="0"/>
          <w:marTop w:val="60"/>
          <w:marBottom w:val="240"/>
          <w:divBdr>
            <w:top w:val="none" w:sz="0" w:space="0" w:color="auto"/>
            <w:left w:val="none" w:sz="0" w:space="0" w:color="auto"/>
            <w:bottom w:val="none" w:sz="0" w:space="0" w:color="auto"/>
            <w:right w:val="none" w:sz="0" w:space="0" w:color="auto"/>
          </w:divBdr>
        </w:div>
        <w:div w:id="1264922662">
          <w:marLeft w:val="446"/>
          <w:marRight w:val="0"/>
          <w:marTop w:val="60"/>
          <w:marBottom w:val="240"/>
          <w:divBdr>
            <w:top w:val="none" w:sz="0" w:space="0" w:color="auto"/>
            <w:left w:val="none" w:sz="0" w:space="0" w:color="auto"/>
            <w:bottom w:val="none" w:sz="0" w:space="0" w:color="auto"/>
            <w:right w:val="none" w:sz="0" w:space="0" w:color="auto"/>
          </w:divBdr>
        </w:div>
        <w:div w:id="1647667174">
          <w:marLeft w:val="446"/>
          <w:marRight w:val="0"/>
          <w:marTop w:val="60"/>
          <w:marBottom w:val="240"/>
          <w:divBdr>
            <w:top w:val="none" w:sz="0" w:space="0" w:color="auto"/>
            <w:left w:val="none" w:sz="0" w:space="0" w:color="auto"/>
            <w:bottom w:val="none" w:sz="0" w:space="0" w:color="auto"/>
            <w:right w:val="none" w:sz="0" w:space="0" w:color="auto"/>
          </w:divBdr>
        </w:div>
        <w:div w:id="640428056">
          <w:marLeft w:val="1166"/>
          <w:marRight w:val="0"/>
          <w:marTop w:val="60"/>
          <w:marBottom w:val="240"/>
          <w:divBdr>
            <w:top w:val="none" w:sz="0" w:space="0" w:color="auto"/>
            <w:left w:val="none" w:sz="0" w:space="0" w:color="auto"/>
            <w:bottom w:val="none" w:sz="0" w:space="0" w:color="auto"/>
            <w:right w:val="none" w:sz="0" w:space="0" w:color="auto"/>
          </w:divBdr>
        </w:div>
        <w:div w:id="984165909">
          <w:marLeft w:val="1166"/>
          <w:marRight w:val="0"/>
          <w:marTop w:val="60"/>
          <w:marBottom w:val="240"/>
          <w:divBdr>
            <w:top w:val="none" w:sz="0" w:space="0" w:color="auto"/>
            <w:left w:val="none" w:sz="0" w:space="0" w:color="auto"/>
            <w:bottom w:val="none" w:sz="0" w:space="0" w:color="auto"/>
            <w:right w:val="none" w:sz="0" w:space="0" w:color="auto"/>
          </w:divBdr>
        </w:div>
      </w:divsChild>
    </w:div>
    <w:div w:id="1620650013">
      <w:bodyDiv w:val="1"/>
      <w:marLeft w:val="0"/>
      <w:marRight w:val="0"/>
      <w:marTop w:val="0"/>
      <w:marBottom w:val="0"/>
      <w:divBdr>
        <w:top w:val="none" w:sz="0" w:space="0" w:color="auto"/>
        <w:left w:val="none" w:sz="0" w:space="0" w:color="auto"/>
        <w:bottom w:val="none" w:sz="0" w:space="0" w:color="auto"/>
        <w:right w:val="none" w:sz="0" w:space="0" w:color="auto"/>
      </w:divBdr>
    </w:div>
    <w:div w:id="1623532211">
      <w:bodyDiv w:val="1"/>
      <w:marLeft w:val="0"/>
      <w:marRight w:val="0"/>
      <w:marTop w:val="0"/>
      <w:marBottom w:val="0"/>
      <w:divBdr>
        <w:top w:val="none" w:sz="0" w:space="0" w:color="auto"/>
        <w:left w:val="none" w:sz="0" w:space="0" w:color="auto"/>
        <w:bottom w:val="none" w:sz="0" w:space="0" w:color="auto"/>
        <w:right w:val="none" w:sz="0" w:space="0" w:color="auto"/>
      </w:divBdr>
    </w:div>
    <w:div w:id="1741361403">
      <w:bodyDiv w:val="1"/>
      <w:marLeft w:val="0"/>
      <w:marRight w:val="0"/>
      <w:marTop w:val="0"/>
      <w:marBottom w:val="0"/>
      <w:divBdr>
        <w:top w:val="none" w:sz="0" w:space="0" w:color="auto"/>
        <w:left w:val="none" w:sz="0" w:space="0" w:color="auto"/>
        <w:bottom w:val="none" w:sz="0" w:space="0" w:color="auto"/>
        <w:right w:val="none" w:sz="0" w:space="0" w:color="auto"/>
      </w:divBdr>
    </w:div>
    <w:div w:id="1770269477">
      <w:bodyDiv w:val="1"/>
      <w:marLeft w:val="0"/>
      <w:marRight w:val="0"/>
      <w:marTop w:val="0"/>
      <w:marBottom w:val="0"/>
      <w:divBdr>
        <w:top w:val="none" w:sz="0" w:space="0" w:color="auto"/>
        <w:left w:val="none" w:sz="0" w:space="0" w:color="auto"/>
        <w:bottom w:val="none" w:sz="0" w:space="0" w:color="auto"/>
        <w:right w:val="none" w:sz="0" w:space="0" w:color="auto"/>
      </w:divBdr>
      <w:divsChild>
        <w:div w:id="1409112703">
          <w:marLeft w:val="446"/>
          <w:marRight w:val="0"/>
          <w:marTop w:val="60"/>
          <w:marBottom w:val="240"/>
          <w:divBdr>
            <w:top w:val="none" w:sz="0" w:space="0" w:color="auto"/>
            <w:left w:val="none" w:sz="0" w:space="0" w:color="auto"/>
            <w:bottom w:val="none" w:sz="0" w:space="0" w:color="auto"/>
            <w:right w:val="none" w:sz="0" w:space="0" w:color="auto"/>
          </w:divBdr>
        </w:div>
      </w:divsChild>
    </w:div>
    <w:div w:id="1890605342">
      <w:bodyDiv w:val="1"/>
      <w:marLeft w:val="0"/>
      <w:marRight w:val="0"/>
      <w:marTop w:val="0"/>
      <w:marBottom w:val="0"/>
      <w:divBdr>
        <w:top w:val="none" w:sz="0" w:space="0" w:color="auto"/>
        <w:left w:val="none" w:sz="0" w:space="0" w:color="auto"/>
        <w:bottom w:val="none" w:sz="0" w:space="0" w:color="auto"/>
        <w:right w:val="none" w:sz="0" w:space="0" w:color="auto"/>
      </w:divBdr>
      <w:divsChild>
        <w:div w:id="1662352048">
          <w:marLeft w:val="446"/>
          <w:marRight w:val="0"/>
          <w:marTop w:val="60"/>
          <w:marBottom w:val="240"/>
          <w:divBdr>
            <w:top w:val="none" w:sz="0" w:space="0" w:color="auto"/>
            <w:left w:val="none" w:sz="0" w:space="0" w:color="auto"/>
            <w:bottom w:val="none" w:sz="0" w:space="0" w:color="auto"/>
            <w:right w:val="none" w:sz="0" w:space="0" w:color="auto"/>
          </w:divBdr>
        </w:div>
        <w:div w:id="164561916">
          <w:marLeft w:val="446"/>
          <w:marRight w:val="0"/>
          <w:marTop w:val="60"/>
          <w:marBottom w:val="240"/>
          <w:divBdr>
            <w:top w:val="none" w:sz="0" w:space="0" w:color="auto"/>
            <w:left w:val="none" w:sz="0" w:space="0" w:color="auto"/>
            <w:bottom w:val="none" w:sz="0" w:space="0" w:color="auto"/>
            <w:right w:val="none" w:sz="0" w:space="0" w:color="auto"/>
          </w:divBdr>
        </w:div>
      </w:divsChild>
    </w:div>
    <w:div w:id="193758881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6926179">
      <w:bodyDiv w:val="1"/>
      <w:marLeft w:val="0"/>
      <w:marRight w:val="0"/>
      <w:marTop w:val="0"/>
      <w:marBottom w:val="0"/>
      <w:divBdr>
        <w:top w:val="none" w:sz="0" w:space="0" w:color="auto"/>
        <w:left w:val="none" w:sz="0" w:space="0" w:color="auto"/>
        <w:bottom w:val="none" w:sz="0" w:space="0" w:color="auto"/>
        <w:right w:val="none" w:sz="0" w:space="0" w:color="auto"/>
      </w:divBdr>
    </w:div>
    <w:div w:id="2095082730">
      <w:bodyDiv w:val="1"/>
      <w:marLeft w:val="0"/>
      <w:marRight w:val="0"/>
      <w:marTop w:val="0"/>
      <w:marBottom w:val="0"/>
      <w:divBdr>
        <w:top w:val="none" w:sz="0" w:space="0" w:color="auto"/>
        <w:left w:val="none" w:sz="0" w:space="0" w:color="auto"/>
        <w:bottom w:val="none" w:sz="0" w:space="0" w:color="auto"/>
        <w:right w:val="none" w:sz="0" w:space="0" w:color="auto"/>
      </w:divBdr>
      <w:divsChild>
        <w:div w:id="1744985008">
          <w:marLeft w:val="446"/>
          <w:marRight w:val="0"/>
          <w:marTop w:val="60"/>
          <w:marBottom w:val="240"/>
          <w:divBdr>
            <w:top w:val="none" w:sz="0" w:space="0" w:color="auto"/>
            <w:left w:val="none" w:sz="0" w:space="0" w:color="auto"/>
            <w:bottom w:val="none" w:sz="0" w:space="0" w:color="auto"/>
            <w:right w:val="none" w:sz="0" w:space="0" w:color="auto"/>
          </w:divBdr>
        </w:div>
        <w:div w:id="825786217">
          <w:marLeft w:val="446"/>
          <w:marRight w:val="0"/>
          <w:marTop w:val="60"/>
          <w:marBottom w:val="240"/>
          <w:divBdr>
            <w:top w:val="none" w:sz="0" w:space="0" w:color="auto"/>
            <w:left w:val="none" w:sz="0" w:space="0" w:color="auto"/>
            <w:bottom w:val="none" w:sz="0" w:space="0" w:color="auto"/>
            <w:right w:val="none" w:sz="0" w:space="0" w:color="auto"/>
          </w:divBdr>
        </w:div>
      </w:divsChild>
    </w:div>
    <w:div w:id="2117476394">
      <w:bodyDiv w:val="1"/>
      <w:marLeft w:val="0"/>
      <w:marRight w:val="0"/>
      <w:marTop w:val="0"/>
      <w:marBottom w:val="0"/>
      <w:divBdr>
        <w:top w:val="none" w:sz="0" w:space="0" w:color="auto"/>
        <w:left w:val="none" w:sz="0" w:space="0" w:color="auto"/>
        <w:bottom w:val="none" w:sz="0" w:space="0" w:color="auto"/>
        <w:right w:val="none" w:sz="0" w:space="0" w:color="auto"/>
      </w:divBdr>
      <w:divsChild>
        <w:div w:id="1816989200">
          <w:marLeft w:val="446"/>
          <w:marRight w:val="0"/>
          <w:marTop w:val="60"/>
          <w:marBottom w:val="240"/>
          <w:divBdr>
            <w:top w:val="none" w:sz="0" w:space="0" w:color="auto"/>
            <w:left w:val="none" w:sz="0" w:space="0" w:color="auto"/>
            <w:bottom w:val="none" w:sz="0" w:space="0" w:color="auto"/>
            <w:right w:val="none" w:sz="0" w:space="0" w:color="auto"/>
          </w:divBdr>
        </w:div>
        <w:div w:id="1380131985">
          <w:marLeft w:val="446"/>
          <w:marRight w:val="0"/>
          <w:marTop w:val="60"/>
          <w:marBottom w:val="240"/>
          <w:divBdr>
            <w:top w:val="none" w:sz="0" w:space="0" w:color="auto"/>
            <w:left w:val="none" w:sz="0" w:space="0" w:color="auto"/>
            <w:bottom w:val="none" w:sz="0" w:space="0" w:color="auto"/>
            <w:right w:val="none" w:sz="0" w:space="0" w:color="auto"/>
          </w:divBdr>
        </w:div>
        <w:div w:id="1254509172">
          <w:marLeft w:val="446"/>
          <w:marRight w:val="0"/>
          <w:marTop w:val="60"/>
          <w:marBottom w:val="240"/>
          <w:divBdr>
            <w:top w:val="none" w:sz="0" w:space="0" w:color="auto"/>
            <w:left w:val="none" w:sz="0" w:space="0" w:color="auto"/>
            <w:bottom w:val="none" w:sz="0" w:space="0" w:color="auto"/>
            <w:right w:val="none" w:sz="0" w:space="0" w:color="auto"/>
          </w:divBdr>
        </w:div>
        <w:div w:id="842816435">
          <w:marLeft w:val="446"/>
          <w:marRight w:val="0"/>
          <w:marTop w:val="60"/>
          <w:marBottom w:val="240"/>
          <w:divBdr>
            <w:top w:val="none" w:sz="0" w:space="0" w:color="auto"/>
            <w:left w:val="none" w:sz="0" w:space="0" w:color="auto"/>
            <w:bottom w:val="none" w:sz="0" w:space="0" w:color="auto"/>
            <w:right w:val="none" w:sz="0" w:space="0" w:color="auto"/>
          </w:divBdr>
        </w:div>
      </w:divsChild>
    </w:div>
    <w:div w:id="21313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9E4E-DF88-4A98-BCD1-FAAA8EDE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11588</Words>
  <Characters>63844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2024-07-02T06:31:00Z</dcterms:created>
  <dcterms:modified xsi:type="dcterms:W3CDTF">2024-07-02T06:32:00Z</dcterms:modified>
</cp:coreProperties>
</file>