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21843755" w:rsidR="00BF27A0" w:rsidRPr="00561FF2" w:rsidRDefault="00D64675" w:rsidP="009E019D">
      <w:pPr>
        <w:pStyle w:val="1-MainHeading"/>
        <w:rPr>
          <w:rFonts w:eastAsia="Calibri"/>
          <w:lang w:eastAsia="en-US"/>
        </w:rPr>
      </w:pPr>
      <w:r w:rsidRPr="00561FF2">
        <w:t>7.08</w:t>
      </w:r>
      <w:r w:rsidRPr="00561FF2">
        <w:tab/>
        <w:t>CABOZANTINIB</w:t>
      </w:r>
      <w:r w:rsidR="000B7767" w:rsidRPr="00561FF2">
        <w:br/>
      </w:r>
      <w:r w:rsidR="00096FF2" w:rsidRPr="00561FF2">
        <w:t xml:space="preserve">Tablet </w:t>
      </w:r>
      <w:r w:rsidRPr="00561FF2">
        <w:t>20</w:t>
      </w:r>
      <w:r w:rsidR="00096FF2" w:rsidRPr="00561FF2">
        <w:t xml:space="preserve"> mg</w:t>
      </w:r>
      <w:r w:rsidR="0CF130DF" w:rsidRPr="00561FF2">
        <w:t>,</w:t>
      </w:r>
      <w:r w:rsidRPr="00561FF2">
        <w:t xml:space="preserve"> </w:t>
      </w:r>
      <w:r w:rsidR="009E019D" w:rsidRPr="00561FF2">
        <w:br/>
      </w:r>
      <w:r w:rsidRPr="00561FF2">
        <w:t xml:space="preserve">Tablet 40 mg, </w:t>
      </w:r>
      <w:r w:rsidR="009E019D" w:rsidRPr="00561FF2">
        <w:br/>
      </w:r>
      <w:r w:rsidRPr="00561FF2">
        <w:t>Tablet 60 mg,</w:t>
      </w:r>
      <w:r w:rsidR="000B7767" w:rsidRPr="00561FF2">
        <w:br/>
      </w:r>
      <w:r w:rsidRPr="00561FF2">
        <w:t>Cabometyx</w:t>
      </w:r>
      <w:r w:rsidR="1E938E64" w:rsidRPr="00561FF2">
        <w:t>®</w:t>
      </w:r>
      <w:r w:rsidR="0CF130DF" w:rsidRPr="00561FF2">
        <w:t>,</w:t>
      </w:r>
      <w:r w:rsidR="000B7767" w:rsidRPr="00561FF2">
        <w:br/>
      </w:r>
      <w:r w:rsidRPr="00561FF2">
        <w:t>Ipsen Pty Ltd</w:t>
      </w:r>
      <w:r w:rsidR="00921437" w:rsidRPr="00561FF2">
        <w:t>.</w:t>
      </w:r>
      <w:r w:rsidR="0CF130DF" w:rsidRPr="00561FF2">
        <w:t xml:space="preserve"> </w:t>
      </w:r>
    </w:p>
    <w:p w14:paraId="1DE8D195" w14:textId="40C679A1" w:rsidR="003F044F" w:rsidRPr="00561FF2" w:rsidRDefault="009C5B72" w:rsidP="006C5B33">
      <w:pPr>
        <w:pStyle w:val="2-SectionHeading"/>
        <w:rPr>
          <w:rFonts w:eastAsia="Calibri"/>
        </w:rPr>
      </w:pPr>
      <w:r w:rsidRPr="00561FF2">
        <w:t>Purpose</w:t>
      </w:r>
    </w:p>
    <w:p w14:paraId="10455D7F" w14:textId="66939FAC" w:rsidR="00D64675" w:rsidRPr="00561FF2" w:rsidRDefault="00F81F7A" w:rsidP="00A133FD">
      <w:pPr>
        <w:pStyle w:val="3-BodyText"/>
        <w:ind w:left="720"/>
      </w:pPr>
      <w:r w:rsidRPr="00561FF2">
        <w:t xml:space="preserve">The </w:t>
      </w:r>
      <w:r w:rsidR="009D55E2" w:rsidRPr="00561FF2">
        <w:t>early re-entry re</w:t>
      </w:r>
      <w:r w:rsidRPr="00561FF2">
        <w:t xml:space="preserve">submission </w:t>
      </w:r>
      <w:r w:rsidR="00921437" w:rsidRPr="00561FF2">
        <w:t xml:space="preserve">requested a General Schedule Authority Required (STREAMLINED) listing </w:t>
      </w:r>
      <w:r w:rsidR="00D64675" w:rsidRPr="00561FF2">
        <w:t>for cabozantinib as monotherapy for the treatment of adult and paediatric patients aged 12 years and older with locally advanced or metastatic differentiated thyroid carcinoma (DTC) who are radioactive iodine (RAI) refractory or ineligible, who have progressed following treatment with a tyrosine kinase inhibitor (TKI) or have developed intolerance to prior vascular endothelial growth factor (VEGF)  targeted therapy.</w:t>
      </w:r>
    </w:p>
    <w:p w14:paraId="13DC54C9" w14:textId="4CA4BF05" w:rsidR="009D55E2" w:rsidRPr="00561FF2" w:rsidRDefault="6657D135" w:rsidP="00A133FD">
      <w:pPr>
        <w:pStyle w:val="3-BodyText"/>
        <w:ind w:left="720"/>
      </w:pPr>
      <w:r w:rsidRPr="00561FF2">
        <w:t xml:space="preserve">The </w:t>
      </w:r>
      <w:r w:rsidR="009D55E2" w:rsidRPr="00561FF2">
        <w:t>re</w:t>
      </w:r>
      <w:r w:rsidRPr="00561FF2">
        <w:t xml:space="preserve">submission was based on </w:t>
      </w:r>
      <w:r w:rsidR="009D55E2" w:rsidRPr="00561FF2">
        <w:t xml:space="preserve">the PBAC decision </w:t>
      </w:r>
      <w:r w:rsidR="00DF4821" w:rsidRPr="00561FF2">
        <w:t xml:space="preserve">to not recommend </w:t>
      </w:r>
      <w:r w:rsidR="00D64675" w:rsidRPr="00561FF2">
        <w:t>cabozantinib</w:t>
      </w:r>
      <w:r w:rsidR="00DF4821" w:rsidRPr="00561FF2">
        <w:t xml:space="preserve"> for this indication</w:t>
      </w:r>
      <w:r w:rsidR="00DF4821" w:rsidRPr="00561FF2">
        <w:rPr>
          <w:color w:val="4472C4"/>
        </w:rPr>
        <w:t xml:space="preserve"> </w:t>
      </w:r>
      <w:r w:rsidR="009D55E2" w:rsidRPr="00561FF2">
        <w:t xml:space="preserve">from </w:t>
      </w:r>
      <w:r w:rsidR="00D64675" w:rsidRPr="00561FF2">
        <w:t xml:space="preserve">November </w:t>
      </w:r>
      <w:r w:rsidR="00921437" w:rsidRPr="00561FF2">
        <w:t>2023</w:t>
      </w:r>
      <w:r w:rsidRPr="00561FF2">
        <w:t xml:space="preserve">. </w:t>
      </w:r>
      <w:r w:rsidRPr="00561FF2">
        <w:rPr>
          <w:snapToGrid w:val="0"/>
        </w:rPr>
        <w:t xml:space="preserve">This </w:t>
      </w:r>
      <w:r w:rsidR="009D55E2" w:rsidRPr="00561FF2">
        <w:rPr>
          <w:snapToGrid w:val="0"/>
        </w:rPr>
        <w:t xml:space="preserve">resubmission addressed the </w:t>
      </w:r>
      <w:r w:rsidRPr="00561FF2">
        <w:rPr>
          <w:snapToGrid w:val="0"/>
        </w:rPr>
        <w:t>is</w:t>
      </w:r>
      <w:r w:rsidR="009D55E2" w:rsidRPr="00561FF2">
        <w:rPr>
          <w:snapToGrid w:val="0"/>
        </w:rPr>
        <w:t>sues raised</w:t>
      </w:r>
      <w:r w:rsidRPr="00561FF2">
        <w:rPr>
          <w:snapToGrid w:val="0"/>
        </w:rPr>
        <w:t xml:space="preserve"> </w:t>
      </w:r>
      <w:r w:rsidR="009D55E2" w:rsidRPr="00561FF2">
        <w:rPr>
          <w:snapToGrid w:val="0"/>
        </w:rPr>
        <w:t>by PBAC</w:t>
      </w:r>
      <w:r w:rsidR="009B750F" w:rsidRPr="00561FF2">
        <w:rPr>
          <w:snapToGrid w:val="0"/>
        </w:rPr>
        <w:t>;</w:t>
      </w:r>
      <w:r w:rsidR="009D55E2" w:rsidRPr="00561FF2">
        <w:rPr>
          <w:snapToGrid w:val="0"/>
        </w:rPr>
        <w:t xml:space="preserve"> </w:t>
      </w:r>
      <w:r w:rsidR="009B750F" w:rsidRPr="00561FF2">
        <w:rPr>
          <w:rFonts w:cstheme="minorHAnsi"/>
          <w:snapToGrid w:val="0"/>
          <w:szCs w:val="24"/>
        </w:rPr>
        <w:t xml:space="preserve">see </w:t>
      </w:r>
      <w:r w:rsidR="00921437" w:rsidRPr="00561FF2">
        <w:rPr>
          <w:rFonts w:cstheme="minorHAnsi"/>
          <w:snapToGrid w:val="0"/>
          <w:szCs w:val="24"/>
        </w:rPr>
        <w:fldChar w:fldCharType="begin" w:fldLock="1"/>
      </w:r>
      <w:r w:rsidR="00921437" w:rsidRPr="00561FF2">
        <w:rPr>
          <w:rFonts w:cstheme="minorHAnsi"/>
          <w:snapToGrid w:val="0"/>
          <w:szCs w:val="24"/>
        </w:rPr>
        <w:instrText xml:space="preserve"> REF _Ref157426709 \h  \* MERGEFORMAT </w:instrText>
      </w:r>
      <w:r w:rsidR="00921437" w:rsidRPr="00561FF2">
        <w:rPr>
          <w:rFonts w:cstheme="minorHAnsi"/>
          <w:snapToGrid w:val="0"/>
          <w:szCs w:val="24"/>
        </w:rPr>
      </w:r>
      <w:r w:rsidR="00921437" w:rsidRPr="00561FF2">
        <w:rPr>
          <w:rFonts w:cstheme="minorHAnsi"/>
          <w:snapToGrid w:val="0"/>
          <w:szCs w:val="24"/>
        </w:rPr>
        <w:fldChar w:fldCharType="separate"/>
      </w:r>
      <w:r w:rsidR="00921437" w:rsidRPr="00561FF2">
        <w:rPr>
          <w:rFonts w:cstheme="minorHAnsi"/>
          <w:szCs w:val="24"/>
        </w:rPr>
        <w:t>Table 1</w:t>
      </w:r>
      <w:r w:rsidR="00921437" w:rsidRPr="00561FF2">
        <w:rPr>
          <w:rFonts w:cstheme="minorHAnsi"/>
          <w:snapToGrid w:val="0"/>
          <w:szCs w:val="24"/>
        </w:rPr>
        <w:fldChar w:fldCharType="end"/>
      </w:r>
      <w:r w:rsidR="00921437" w:rsidRPr="00561FF2">
        <w:rPr>
          <w:rFonts w:cstheme="minorHAnsi"/>
          <w:snapToGrid w:val="0"/>
          <w:szCs w:val="24"/>
        </w:rPr>
        <w:t xml:space="preserve"> </w:t>
      </w:r>
      <w:r w:rsidR="009D55E2" w:rsidRPr="00561FF2">
        <w:rPr>
          <w:rFonts w:cstheme="minorHAnsi"/>
          <w:snapToGrid w:val="0"/>
          <w:szCs w:val="24"/>
        </w:rPr>
        <w:t>below</w:t>
      </w:r>
      <w:r w:rsidR="009D55E2" w:rsidRPr="00561FF2">
        <w:rPr>
          <w:snapToGrid w:val="0"/>
        </w:rPr>
        <w:t>.</w:t>
      </w:r>
      <w:r w:rsidR="00D34011" w:rsidRPr="00561FF2">
        <w:rPr>
          <w:snapToGrid w:val="0"/>
        </w:rPr>
        <w:t xml:space="preserve"> </w:t>
      </w:r>
    </w:p>
    <w:p w14:paraId="5EE2A905" w14:textId="793E76DC" w:rsidR="00921437" w:rsidRPr="00561FF2" w:rsidRDefault="00921437" w:rsidP="00921437">
      <w:pPr>
        <w:pStyle w:val="Caption"/>
        <w:keepNext/>
        <w:keepLines/>
        <w:spacing w:after="0"/>
        <w:rPr>
          <w:rFonts w:ascii="Arial Narrow" w:hAnsi="Arial Narrow"/>
          <w:b/>
          <w:bCs/>
          <w:i w:val="0"/>
          <w:iCs w:val="0"/>
          <w:color w:val="auto"/>
          <w:sz w:val="20"/>
          <w:szCs w:val="20"/>
        </w:rPr>
      </w:pPr>
      <w:bookmarkStart w:id="0" w:name="_Ref157426709"/>
      <w:r w:rsidRPr="00561FF2">
        <w:rPr>
          <w:rFonts w:ascii="Arial Narrow" w:hAnsi="Arial Narrow"/>
          <w:b/>
          <w:bCs/>
          <w:i w:val="0"/>
          <w:iCs w:val="0"/>
          <w:color w:val="auto"/>
          <w:sz w:val="20"/>
          <w:szCs w:val="20"/>
        </w:rPr>
        <w:lastRenderedPageBreak/>
        <w:t xml:space="preserve">Table </w:t>
      </w:r>
      <w:r w:rsidRPr="00561FF2">
        <w:rPr>
          <w:rFonts w:ascii="Arial Narrow" w:hAnsi="Arial Narrow"/>
          <w:b/>
          <w:bCs/>
          <w:i w:val="0"/>
          <w:iCs w:val="0"/>
          <w:color w:val="auto"/>
          <w:sz w:val="20"/>
          <w:szCs w:val="20"/>
        </w:rPr>
        <w:fldChar w:fldCharType="begin" w:fldLock="1"/>
      </w:r>
      <w:r w:rsidRPr="00561FF2">
        <w:rPr>
          <w:rFonts w:ascii="Arial Narrow" w:hAnsi="Arial Narrow"/>
          <w:b/>
          <w:bCs/>
          <w:i w:val="0"/>
          <w:iCs w:val="0"/>
          <w:color w:val="auto"/>
          <w:sz w:val="20"/>
          <w:szCs w:val="20"/>
        </w:rPr>
        <w:instrText xml:space="preserve"> SEQ Table \* ARABIC </w:instrText>
      </w:r>
      <w:r w:rsidRPr="00561FF2">
        <w:rPr>
          <w:rFonts w:ascii="Arial Narrow" w:hAnsi="Arial Narrow"/>
          <w:b/>
          <w:bCs/>
          <w:i w:val="0"/>
          <w:iCs w:val="0"/>
          <w:color w:val="auto"/>
          <w:sz w:val="20"/>
          <w:szCs w:val="20"/>
        </w:rPr>
        <w:fldChar w:fldCharType="separate"/>
      </w:r>
      <w:r w:rsidR="006724ED" w:rsidRPr="00561FF2">
        <w:rPr>
          <w:rFonts w:ascii="Arial Narrow" w:hAnsi="Arial Narrow"/>
          <w:b/>
          <w:bCs/>
          <w:i w:val="0"/>
          <w:iCs w:val="0"/>
          <w:color w:val="auto"/>
          <w:sz w:val="20"/>
          <w:szCs w:val="20"/>
        </w:rPr>
        <w:t>1</w:t>
      </w:r>
      <w:r w:rsidRPr="00561FF2">
        <w:rPr>
          <w:rFonts w:ascii="Arial Narrow" w:hAnsi="Arial Narrow"/>
          <w:b/>
          <w:bCs/>
          <w:i w:val="0"/>
          <w:iCs w:val="0"/>
          <w:color w:val="auto"/>
          <w:sz w:val="20"/>
          <w:szCs w:val="20"/>
        </w:rPr>
        <w:fldChar w:fldCharType="end"/>
      </w:r>
      <w:bookmarkEnd w:id="0"/>
      <w:r w:rsidRPr="00561FF2">
        <w:rPr>
          <w:rFonts w:ascii="Arial Narrow" w:hAnsi="Arial Narrow"/>
          <w:b/>
          <w:bCs/>
          <w:i w:val="0"/>
          <w:iCs w:val="0"/>
          <w:color w:val="auto"/>
          <w:sz w:val="20"/>
          <w:szCs w:val="20"/>
        </w:rPr>
        <w:t xml:space="preserve">: Issues raised by PBAC from the </w:t>
      </w:r>
      <w:r w:rsidR="00BA74FA" w:rsidRPr="00561FF2">
        <w:rPr>
          <w:rFonts w:ascii="Arial Narrow" w:hAnsi="Arial Narrow"/>
          <w:b/>
          <w:bCs/>
          <w:i w:val="0"/>
          <w:iCs w:val="0"/>
          <w:color w:val="auto"/>
          <w:sz w:val="20"/>
          <w:szCs w:val="20"/>
        </w:rPr>
        <w:t>November</w:t>
      </w:r>
      <w:r w:rsidR="00096FF2" w:rsidRPr="00561FF2">
        <w:rPr>
          <w:rFonts w:ascii="Arial Narrow" w:hAnsi="Arial Narrow"/>
          <w:b/>
          <w:bCs/>
          <w:i w:val="0"/>
          <w:iCs w:val="0"/>
          <w:color w:val="auto"/>
          <w:sz w:val="20"/>
          <w:szCs w:val="20"/>
        </w:rPr>
        <w:t xml:space="preserve"> </w:t>
      </w:r>
      <w:r w:rsidRPr="00561FF2">
        <w:rPr>
          <w:rFonts w:ascii="Arial Narrow" w:hAnsi="Arial Narrow"/>
          <w:b/>
          <w:bCs/>
          <w:i w:val="0"/>
          <w:iCs w:val="0"/>
          <w:color w:val="auto"/>
          <w:sz w:val="20"/>
          <w:szCs w:val="20"/>
        </w:rPr>
        <w:t xml:space="preserve">2023 submission for </w:t>
      </w:r>
      <w:r w:rsidR="00BA74FA" w:rsidRPr="00561FF2">
        <w:rPr>
          <w:rFonts w:ascii="Arial Narrow" w:hAnsi="Arial Narrow"/>
          <w:b/>
          <w:bCs/>
          <w:i w:val="0"/>
          <w:iCs w:val="0"/>
          <w:color w:val="auto"/>
          <w:sz w:val="20"/>
          <w:szCs w:val="20"/>
        </w:rPr>
        <w:t>cabozantinib</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Issues raised by PBAC from the November 2023 submission for cabozantinib"/>
      </w:tblPr>
      <w:tblGrid>
        <w:gridCol w:w="3475"/>
        <w:gridCol w:w="4080"/>
        <w:gridCol w:w="1439"/>
      </w:tblGrid>
      <w:tr w:rsidR="002C633F" w:rsidRPr="00561FF2" w14:paraId="5D2DC7BB" w14:textId="77777777" w:rsidTr="000D7444">
        <w:trPr>
          <w:cantSplit/>
          <w:tblHeader/>
        </w:trPr>
        <w:tc>
          <w:tcPr>
            <w:tcW w:w="1932" w:type="pct"/>
            <w:tcMar>
              <w:left w:w="40" w:type="dxa"/>
              <w:right w:w="40" w:type="dxa"/>
            </w:tcMar>
            <w:vAlign w:val="center"/>
          </w:tcPr>
          <w:p w14:paraId="47875CEE" w14:textId="719157E8" w:rsidR="00D34011" w:rsidRPr="00561FF2" w:rsidRDefault="00D34011" w:rsidP="00921437">
            <w:pPr>
              <w:pStyle w:val="In-tableHeading"/>
              <w:keepLines/>
              <w:rPr>
                <w:lang w:val="en-AU"/>
              </w:rPr>
            </w:pPr>
            <w:r w:rsidRPr="00561FF2">
              <w:rPr>
                <w:lang w:val="en-AU"/>
              </w:rPr>
              <w:t>Matter of concern</w:t>
            </w:r>
          </w:p>
        </w:tc>
        <w:tc>
          <w:tcPr>
            <w:tcW w:w="2268" w:type="pct"/>
            <w:tcMar>
              <w:left w:w="40" w:type="dxa"/>
              <w:right w:w="40" w:type="dxa"/>
            </w:tcMar>
            <w:vAlign w:val="center"/>
          </w:tcPr>
          <w:p w14:paraId="2F0501E9" w14:textId="41F16558" w:rsidR="00D34011" w:rsidRPr="00561FF2" w:rsidRDefault="00D34011" w:rsidP="00921437">
            <w:pPr>
              <w:pStyle w:val="In-tableHeading"/>
              <w:keepLines/>
              <w:rPr>
                <w:lang w:val="en-AU"/>
              </w:rPr>
            </w:pPr>
            <w:r w:rsidRPr="00561FF2">
              <w:rPr>
                <w:lang w:val="en-AU"/>
              </w:rPr>
              <w:t>Response</w:t>
            </w:r>
          </w:p>
        </w:tc>
        <w:tc>
          <w:tcPr>
            <w:tcW w:w="800" w:type="pct"/>
            <w:tcMar>
              <w:left w:w="40" w:type="dxa"/>
              <w:right w:w="40" w:type="dxa"/>
            </w:tcMar>
            <w:vAlign w:val="center"/>
          </w:tcPr>
          <w:p w14:paraId="06AD57D9" w14:textId="20B07578" w:rsidR="00D34011" w:rsidRPr="00561FF2" w:rsidRDefault="00D34011" w:rsidP="00921437">
            <w:pPr>
              <w:pStyle w:val="In-tableHeading"/>
              <w:keepLines/>
              <w:rPr>
                <w:lang w:val="en-AU"/>
              </w:rPr>
            </w:pPr>
            <w:r w:rsidRPr="00561FF2">
              <w:rPr>
                <w:lang w:val="en-AU"/>
              </w:rPr>
              <w:t>Addressed?</w:t>
            </w:r>
          </w:p>
        </w:tc>
      </w:tr>
      <w:tr w:rsidR="00921437" w:rsidRPr="00561FF2" w14:paraId="3AD330D8" w14:textId="77777777" w:rsidTr="000D7444">
        <w:trPr>
          <w:cantSplit/>
        </w:trPr>
        <w:tc>
          <w:tcPr>
            <w:tcW w:w="1932" w:type="pct"/>
            <w:tcMar>
              <w:left w:w="40" w:type="dxa"/>
              <w:right w:w="40" w:type="dxa"/>
            </w:tcMar>
          </w:tcPr>
          <w:p w14:paraId="33653353" w14:textId="77777777" w:rsidR="00921437" w:rsidRPr="00561FF2" w:rsidRDefault="00921437" w:rsidP="00837075">
            <w:pPr>
              <w:pStyle w:val="TableText"/>
              <w:keepLines/>
            </w:pPr>
            <w:r w:rsidRPr="00561FF2">
              <w:t>Revisions to the restriction including:</w:t>
            </w:r>
          </w:p>
          <w:p w14:paraId="2B97E61D" w14:textId="5DC68C21" w:rsidR="00BA74FA" w:rsidRPr="00561FF2" w:rsidRDefault="00BA74FA" w:rsidP="00AA6F91">
            <w:pPr>
              <w:pStyle w:val="TableText"/>
              <w:keepLines/>
              <w:numPr>
                <w:ilvl w:val="0"/>
                <w:numId w:val="4"/>
              </w:numPr>
              <w:ind w:left="180" w:hanging="180"/>
            </w:pPr>
            <w:r w:rsidRPr="00561FF2">
              <w:t>the addition of the clinical criterion to the initial supply restriction stating that patients must have thyroid stimulating hormone adequately repressed</w:t>
            </w:r>
            <w:r w:rsidR="00096FF2" w:rsidRPr="00561FF2">
              <w:t>;</w:t>
            </w:r>
            <w:r w:rsidRPr="00561FF2">
              <w:t xml:space="preserve"> and</w:t>
            </w:r>
          </w:p>
          <w:p w14:paraId="10A4BEDA" w14:textId="5132D9D8" w:rsidR="00096FF2" w:rsidRPr="00561FF2" w:rsidRDefault="00BA74FA" w:rsidP="00AA6F91">
            <w:pPr>
              <w:pStyle w:val="TableText"/>
              <w:keepLines/>
              <w:numPr>
                <w:ilvl w:val="0"/>
                <w:numId w:val="4"/>
              </w:numPr>
              <w:ind w:left="180" w:hanging="180"/>
            </w:pPr>
            <w:r w:rsidRPr="00561FF2">
              <w:t>amending the initial supply restriction to align with the COSMIC-311 trial in terms of WHO/ECOG score (i.e. changing the requirement of having a WHO performance status from not greater than 2 to not greater than 1.</w:t>
            </w:r>
          </w:p>
        </w:tc>
        <w:tc>
          <w:tcPr>
            <w:tcW w:w="2268" w:type="pct"/>
            <w:tcMar>
              <w:left w:w="40" w:type="dxa"/>
              <w:right w:w="40" w:type="dxa"/>
            </w:tcMar>
          </w:tcPr>
          <w:p w14:paraId="28AE42F6" w14:textId="77777777" w:rsidR="00921437" w:rsidRPr="00561FF2" w:rsidRDefault="00096FF2" w:rsidP="00096FF2">
            <w:pPr>
              <w:pStyle w:val="TableText"/>
              <w:keepLines/>
            </w:pPr>
            <w:r w:rsidRPr="00561FF2">
              <w:t>The early re-entry resubmission:</w:t>
            </w:r>
          </w:p>
          <w:p w14:paraId="4C5A9528" w14:textId="0EDCCE92" w:rsidR="00096FF2" w:rsidRPr="00561FF2" w:rsidRDefault="00BA74FA" w:rsidP="00AA6F91">
            <w:pPr>
              <w:pStyle w:val="TableText"/>
              <w:keepLines/>
              <w:numPr>
                <w:ilvl w:val="0"/>
                <w:numId w:val="9"/>
              </w:numPr>
              <w:ind w:left="180" w:hanging="180"/>
            </w:pPr>
            <w:r w:rsidRPr="00561FF2">
              <w:t>added this clinical criterion; and</w:t>
            </w:r>
          </w:p>
          <w:p w14:paraId="3CFAEDFA" w14:textId="77777777" w:rsidR="00BA74FA" w:rsidRPr="00561FF2" w:rsidRDefault="00BA74FA" w:rsidP="00BA74FA">
            <w:pPr>
              <w:pStyle w:val="TableText"/>
              <w:keepLines/>
            </w:pPr>
          </w:p>
          <w:p w14:paraId="65ACB3B5" w14:textId="77777777" w:rsidR="00BA74FA" w:rsidRPr="00561FF2" w:rsidRDefault="00BA74FA" w:rsidP="00BA74FA">
            <w:pPr>
              <w:pStyle w:val="TableText"/>
              <w:keepLines/>
            </w:pPr>
          </w:p>
          <w:p w14:paraId="4CB17E13" w14:textId="77777777" w:rsidR="00BA74FA" w:rsidRPr="00561FF2" w:rsidRDefault="00BA74FA" w:rsidP="00BA74FA">
            <w:pPr>
              <w:pStyle w:val="TableText"/>
              <w:keepLines/>
            </w:pPr>
          </w:p>
          <w:p w14:paraId="347055A2" w14:textId="7A9EC5A5" w:rsidR="00BA74FA" w:rsidRPr="00561FF2" w:rsidRDefault="00BA74FA" w:rsidP="00AA6F91">
            <w:pPr>
              <w:pStyle w:val="TableText"/>
              <w:keepLines/>
              <w:numPr>
                <w:ilvl w:val="0"/>
                <w:numId w:val="9"/>
              </w:numPr>
              <w:ind w:left="180" w:hanging="180"/>
            </w:pPr>
            <w:r w:rsidRPr="00561FF2">
              <w:t>did not make this change.</w:t>
            </w:r>
          </w:p>
          <w:p w14:paraId="7EA2C8A0" w14:textId="77777777" w:rsidR="00BA74FA" w:rsidRPr="00561FF2" w:rsidRDefault="00BA74FA" w:rsidP="00BA74FA">
            <w:pPr>
              <w:pStyle w:val="TableText"/>
              <w:keepLines/>
            </w:pPr>
          </w:p>
          <w:p w14:paraId="253CFC8B" w14:textId="4F936414" w:rsidR="00BA74FA" w:rsidRPr="00561FF2" w:rsidRDefault="00BA74FA" w:rsidP="00BA74FA">
            <w:pPr>
              <w:pStyle w:val="TableText"/>
              <w:keepLines/>
            </w:pPr>
          </w:p>
        </w:tc>
        <w:tc>
          <w:tcPr>
            <w:tcW w:w="800" w:type="pct"/>
            <w:tcMar>
              <w:left w:w="40" w:type="dxa"/>
              <w:right w:w="40" w:type="dxa"/>
            </w:tcMar>
          </w:tcPr>
          <w:p w14:paraId="622862CC" w14:textId="77777777" w:rsidR="00921437" w:rsidRPr="00561FF2" w:rsidRDefault="00921437" w:rsidP="00096FF2">
            <w:pPr>
              <w:pStyle w:val="TableText"/>
              <w:keepLines/>
            </w:pPr>
          </w:p>
          <w:p w14:paraId="66894CCE" w14:textId="77777777" w:rsidR="00096FF2" w:rsidRPr="00561FF2" w:rsidRDefault="00096FF2" w:rsidP="00096FF2">
            <w:pPr>
              <w:pStyle w:val="TableText"/>
              <w:keepLines/>
            </w:pPr>
            <w:r w:rsidRPr="00561FF2">
              <w:t>Yes</w:t>
            </w:r>
          </w:p>
          <w:p w14:paraId="0E015754" w14:textId="77777777" w:rsidR="00096FF2" w:rsidRPr="00561FF2" w:rsidRDefault="00096FF2" w:rsidP="00096FF2">
            <w:pPr>
              <w:pStyle w:val="TableText"/>
              <w:keepLines/>
            </w:pPr>
          </w:p>
          <w:p w14:paraId="7D1B9917" w14:textId="77777777" w:rsidR="00BA74FA" w:rsidRPr="00561FF2" w:rsidRDefault="00BA74FA" w:rsidP="00096FF2">
            <w:pPr>
              <w:pStyle w:val="TableText"/>
              <w:keepLines/>
            </w:pPr>
          </w:p>
          <w:p w14:paraId="246B1652" w14:textId="77777777" w:rsidR="00BA74FA" w:rsidRPr="00561FF2" w:rsidRDefault="00BA74FA" w:rsidP="00096FF2">
            <w:pPr>
              <w:pStyle w:val="TableText"/>
              <w:keepLines/>
            </w:pPr>
          </w:p>
          <w:p w14:paraId="6A1821BD" w14:textId="6901CD88" w:rsidR="00096FF2" w:rsidRPr="00561FF2" w:rsidRDefault="00BA74FA" w:rsidP="00096FF2">
            <w:pPr>
              <w:pStyle w:val="TableText"/>
              <w:keepLines/>
            </w:pPr>
            <w:r w:rsidRPr="00561FF2">
              <w:t>No</w:t>
            </w:r>
          </w:p>
        </w:tc>
      </w:tr>
      <w:tr w:rsidR="002C633F" w:rsidRPr="00561FF2" w14:paraId="41739F84" w14:textId="77777777" w:rsidTr="000D7444">
        <w:trPr>
          <w:cantSplit/>
          <w:trHeight w:val="2846"/>
        </w:trPr>
        <w:tc>
          <w:tcPr>
            <w:tcW w:w="1932" w:type="pct"/>
            <w:tcMar>
              <w:left w:w="40" w:type="dxa"/>
              <w:right w:w="40" w:type="dxa"/>
            </w:tcMar>
          </w:tcPr>
          <w:p w14:paraId="1772C606" w14:textId="77777777" w:rsidR="00D34011" w:rsidRPr="00561FF2" w:rsidRDefault="00921437" w:rsidP="00837075">
            <w:pPr>
              <w:pStyle w:val="TableText"/>
            </w:pPr>
            <w:r w:rsidRPr="00561FF2">
              <w:t>Revisions to the economic model including:</w:t>
            </w:r>
          </w:p>
          <w:p w14:paraId="15FA3877" w14:textId="23BF817B" w:rsidR="00096FF2" w:rsidRPr="00561FF2" w:rsidRDefault="00BA74FA" w:rsidP="00AA6F91">
            <w:pPr>
              <w:pStyle w:val="TableText"/>
              <w:numPr>
                <w:ilvl w:val="0"/>
                <w:numId w:val="3"/>
              </w:numPr>
              <w:ind w:left="180" w:hanging="180"/>
            </w:pPr>
            <w:r w:rsidRPr="00561FF2">
              <w:t>basing the economic model on the subgroup of patients who had received prior lenvatinib only;</w:t>
            </w:r>
          </w:p>
          <w:p w14:paraId="0EB3087E" w14:textId="77777777" w:rsidR="00BA74FA" w:rsidRPr="00561FF2" w:rsidRDefault="00BA74FA" w:rsidP="00837075">
            <w:pPr>
              <w:pStyle w:val="TableText"/>
              <w:ind w:left="180"/>
            </w:pPr>
          </w:p>
          <w:p w14:paraId="3F0F5F9F" w14:textId="77777777" w:rsidR="00BA74FA" w:rsidRPr="00561FF2" w:rsidRDefault="00BA74FA" w:rsidP="00AA6F91">
            <w:pPr>
              <w:pStyle w:val="TableText"/>
              <w:numPr>
                <w:ilvl w:val="0"/>
                <w:numId w:val="3"/>
              </w:numPr>
              <w:ind w:left="180" w:hanging="180"/>
            </w:pPr>
            <w:r w:rsidRPr="00561FF2">
              <w:t>apply the trial-based utility for the pre-progression health state (0.692). To which the relative utility decrement from Fordham (2015) of -0.278 should be applied to determine the post-progression utility (0.414);</w:t>
            </w:r>
          </w:p>
          <w:p w14:paraId="457803FC" w14:textId="77777777" w:rsidR="00BA74FA" w:rsidRPr="00561FF2" w:rsidRDefault="00BA74FA" w:rsidP="00AA6F91">
            <w:pPr>
              <w:pStyle w:val="TableText"/>
              <w:numPr>
                <w:ilvl w:val="0"/>
                <w:numId w:val="3"/>
              </w:numPr>
              <w:ind w:left="180" w:hanging="180"/>
            </w:pPr>
            <w:r w:rsidRPr="00561FF2">
              <w:t>remove all treatment costs from the post-progression health state; and</w:t>
            </w:r>
          </w:p>
          <w:p w14:paraId="6B3446A2" w14:textId="79F3F843" w:rsidR="00BA74FA" w:rsidRPr="00561FF2" w:rsidRDefault="00BA74FA" w:rsidP="00AA6F91">
            <w:pPr>
              <w:pStyle w:val="TableText"/>
              <w:numPr>
                <w:ilvl w:val="0"/>
                <w:numId w:val="3"/>
              </w:numPr>
              <w:ind w:left="180" w:hanging="180"/>
            </w:pPr>
            <w:r w:rsidRPr="00561FF2">
              <w:t>reduce the price of cabozantinib to result in an ICER of less than $</w:t>
            </w:r>
            <w:r w:rsidR="0041675D" w:rsidRPr="0041675D">
              <w:t xml:space="preserve">95,000 to &lt; $115,000 </w:t>
            </w:r>
            <w:r w:rsidRPr="00561FF2">
              <w:t>per QALY.</w:t>
            </w:r>
          </w:p>
        </w:tc>
        <w:tc>
          <w:tcPr>
            <w:tcW w:w="2268" w:type="pct"/>
            <w:tcMar>
              <w:left w:w="40" w:type="dxa"/>
              <w:right w:w="40" w:type="dxa"/>
            </w:tcMar>
          </w:tcPr>
          <w:p w14:paraId="79D75192" w14:textId="77777777" w:rsidR="00D34011" w:rsidRPr="00561FF2" w:rsidRDefault="00921437" w:rsidP="009E019D">
            <w:pPr>
              <w:pStyle w:val="TableText"/>
            </w:pPr>
            <w:r w:rsidRPr="00561FF2">
              <w:t>The early re-entry resubmission:</w:t>
            </w:r>
          </w:p>
          <w:p w14:paraId="1B1D0618" w14:textId="47525634" w:rsidR="00096FF2" w:rsidRPr="00561FF2" w:rsidRDefault="00BA74FA" w:rsidP="00AA6F91">
            <w:pPr>
              <w:pStyle w:val="TableText"/>
              <w:numPr>
                <w:ilvl w:val="0"/>
                <w:numId w:val="5"/>
              </w:numPr>
              <w:ind w:left="180" w:hanging="180"/>
            </w:pPr>
            <w:r w:rsidRPr="00561FF2">
              <w:t>presented base case results based on the subgroup of patients who had received prior lenvatinib only. The resubmission also presented a sensitivity analysis using the full ITT population;</w:t>
            </w:r>
          </w:p>
          <w:p w14:paraId="21CAD00E" w14:textId="6EC14BBD" w:rsidR="00BA74FA" w:rsidRPr="00561FF2" w:rsidRDefault="00BA74FA" w:rsidP="00AA6F91">
            <w:pPr>
              <w:pStyle w:val="TableText"/>
              <w:numPr>
                <w:ilvl w:val="0"/>
                <w:numId w:val="5"/>
              </w:numPr>
              <w:ind w:left="180" w:hanging="180"/>
            </w:pPr>
            <w:r w:rsidRPr="00561FF2">
              <w:t>applied utility values as requested;</w:t>
            </w:r>
          </w:p>
          <w:p w14:paraId="51A94D1D" w14:textId="77777777" w:rsidR="00837075" w:rsidRPr="00561FF2" w:rsidRDefault="00837075" w:rsidP="00837075">
            <w:pPr>
              <w:pStyle w:val="TableText"/>
            </w:pPr>
          </w:p>
          <w:p w14:paraId="22DA733E" w14:textId="77777777" w:rsidR="00837075" w:rsidRPr="00561FF2" w:rsidRDefault="00837075" w:rsidP="00837075">
            <w:pPr>
              <w:pStyle w:val="TableText"/>
            </w:pPr>
          </w:p>
          <w:p w14:paraId="42FC5144" w14:textId="77777777" w:rsidR="00837075" w:rsidRPr="00561FF2" w:rsidRDefault="00837075" w:rsidP="00837075">
            <w:pPr>
              <w:pStyle w:val="TableText"/>
            </w:pPr>
          </w:p>
          <w:p w14:paraId="03B29E89" w14:textId="77777777" w:rsidR="009E019D" w:rsidRPr="00561FF2" w:rsidRDefault="009E019D" w:rsidP="00837075">
            <w:pPr>
              <w:pStyle w:val="TableText"/>
            </w:pPr>
          </w:p>
          <w:p w14:paraId="415B947A" w14:textId="77777777" w:rsidR="009E019D" w:rsidRPr="00561FF2" w:rsidRDefault="009E019D" w:rsidP="00837075">
            <w:pPr>
              <w:pStyle w:val="TableText"/>
            </w:pPr>
          </w:p>
          <w:p w14:paraId="2BA8AF65" w14:textId="5B63E698" w:rsidR="00837075" w:rsidRPr="00561FF2" w:rsidRDefault="00837075" w:rsidP="00AA6F91">
            <w:pPr>
              <w:pStyle w:val="TableText"/>
              <w:numPr>
                <w:ilvl w:val="0"/>
                <w:numId w:val="5"/>
              </w:numPr>
              <w:ind w:left="180" w:hanging="180"/>
            </w:pPr>
            <w:r w:rsidRPr="00561FF2">
              <w:t>all treatment costs were removed; however, end-of-life costs were added</w:t>
            </w:r>
          </w:p>
          <w:p w14:paraId="4F86B4C1" w14:textId="1F8815A8" w:rsidR="00BA74FA" w:rsidRPr="00561FF2" w:rsidRDefault="00837075" w:rsidP="00AA6F91">
            <w:pPr>
              <w:pStyle w:val="TableText"/>
              <w:numPr>
                <w:ilvl w:val="0"/>
                <w:numId w:val="5"/>
              </w:numPr>
              <w:ind w:left="180" w:hanging="180"/>
            </w:pPr>
            <w:r w:rsidRPr="00561FF2">
              <w:t>price of cabozantinib was reduced by 12% to result in an ICER of $</w:t>
            </w:r>
            <w:r w:rsidR="00453E82" w:rsidRPr="00453E82">
              <w:t xml:space="preserve">55,000 to &lt; $75,000 </w:t>
            </w:r>
            <w:r w:rsidRPr="00561FF2">
              <w:t>per QALY</w:t>
            </w:r>
          </w:p>
        </w:tc>
        <w:tc>
          <w:tcPr>
            <w:tcW w:w="800" w:type="pct"/>
            <w:tcMar>
              <w:left w:w="40" w:type="dxa"/>
              <w:right w:w="40" w:type="dxa"/>
            </w:tcMar>
            <w:vAlign w:val="bottom"/>
          </w:tcPr>
          <w:p w14:paraId="5BF130EC" w14:textId="77777777" w:rsidR="000D7444" w:rsidRPr="00561FF2" w:rsidRDefault="000D7444" w:rsidP="000D7444">
            <w:pPr>
              <w:pStyle w:val="TableText"/>
            </w:pPr>
          </w:p>
          <w:p w14:paraId="676A068E" w14:textId="339AFD39" w:rsidR="00BA74FA" w:rsidRPr="00561FF2" w:rsidRDefault="00BA74FA" w:rsidP="009E019D">
            <w:pPr>
              <w:pStyle w:val="TableText"/>
            </w:pPr>
            <w:r w:rsidRPr="00561FF2">
              <w:t>Yes</w:t>
            </w:r>
          </w:p>
          <w:p w14:paraId="3ECB3C62" w14:textId="77777777" w:rsidR="00BA74FA" w:rsidRPr="00561FF2" w:rsidRDefault="00BA74FA" w:rsidP="009E019D">
            <w:pPr>
              <w:pStyle w:val="TableText"/>
            </w:pPr>
          </w:p>
          <w:p w14:paraId="268C4AA6" w14:textId="77777777" w:rsidR="00BA74FA" w:rsidRPr="00561FF2" w:rsidRDefault="00BA74FA" w:rsidP="009E019D">
            <w:pPr>
              <w:pStyle w:val="TableText"/>
            </w:pPr>
          </w:p>
          <w:p w14:paraId="1AB890D2" w14:textId="77777777" w:rsidR="00BA74FA" w:rsidRPr="00561FF2" w:rsidRDefault="00BA74FA" w:rsidP="009E019D">
            <w:pPr>
              <w:pStyle w:val="TableText"/>
            </w:pPr>
          </w:p>
          <w:p w14:paraId="35A2E1F2" w14:textId="27ED8C14" w:rsidR="00BA74FA" w:rsidRPr="00561FF2" w:rsidRDefault="00BA74FA" w:rsidP="009E019D">
            <w:pPr>
              <w:pStyle w:val="TableText"/>
            </w:pPr>
            <w:r w:rsidRPr="00561FF2">
              <w:t>Yes</w:t>
            </w:r>
          </w:p>
          <w:p w14:paraId="75EAD55E" w14:textId="77777777" w:rsidR="00BA74FA" w:rsidRPr="00561FF2" w:rsidRDefault="00BA74FA" w:rsidP="009E019D">
            <w:pPr>
              <w:pStyle w:val="TableText"/>
            </w:pPr>
          </w:p>
          <w:p w14:paraId="7E3E1988" w14:textId="77777777" w:rsidR="00921437" w:rsidRPr="00561FF2" w:rsidRDefault="00921437" w:rsidP="009E019D">
            <w:pPr>
              <w:pStyle w:val="TableText"/>
            </w:pPr>
          </w:p>
          <w:p w14:paraId="78A07504" w14:textId="77777777" w:rsidR="00837075" w:rsidRPr="00561FF2" w:rsidRDefault="00837075" w:rsidP="009E019D">
            <w:pPr>
              <w:pStyle w:val="TableText"/>
            </w:pPr>
          </w:p>
          <w:p w14:paraId="1C46E091" w14:textId="77777777" w:rsidR="009E019D" w:rsidRPr="00561FF2" w:rsidRDefault="009E019D" w:rsidP="009E019D">
            <w:pPr>
              <w:pStyle w:val="TableText"/>
            </w:pPr>
          </w:p>
          <w:p w14:paraId="73BB9DAE" w14:textId="77777777" w:rsidR="009E019D" w:rsidRPr="00561FF2" w:rsidRDefault="009E019D" w:rsidP="009E019D">
            <w:pPr>
              <w:pStyle w:val="TableText"/>
            </w:pPr>
          </w:p>
          <w:p w14:paraId="68916E93" w14:textId="1742AB8A" w:rsidR="00837075" w:rsidRPr="00561FF2" w:rsidRDefault="00837075" w:rsidP="009E019D">
            <w:pPr>
              <w:pStyle w:val="TableText"/>
            </w:pPr>
            <w:r w:rsidRPr="00561FF2">
              <w:t>Partially</w:t>
            </w:r>
          </w:p>
          <w:p w14:paraId="325A4910" w14:textId="77777777" w:rsidR="00A133FD" w:rsidRPr="00561FF2" w:rsidRDefault="00A133FD" w:rsidP="009E019D">
            <w:pPr>
              <w:pStyle w:val="TableText"/>
            </w:pPr>
          </w:p>
          <w:p w14:paraId="40542A06" w14:textId="42B3967D" w:rsidR="000D7444" w:rsidRPr="00561FF2" w:rsidRDefault="000D7444" w:rsidP="009E019D">
            <w:pPr>
              <w:pStyle w:val="TableText"/>
            </w:pPr>
            <w:r w:rsidRPr="00561FF2">
              <w:t>No. If end-of-life costs are removed, the ICER increased to $</w:t>
            </w:r>
            <w:r w:rsidR="00453E82" w:rsidRPr="00453E82">
              <w:t>155,000 to &lt; $255,000</w:t>
            </w:r>
            <w:r w:rsidRPr="00561FF2">
              <w:t>per QALY.</w:t>
            </w:r>
          </w:p>
        </w:tc>
      </w:tr>
      <w:tr w:rsidR="002C633F" w:rsidRPr="00561FF2" w14:paraId="6E83CDA9" w14:textId="77777777" w:rsidTr="000D7444">
        <w:trPr>
          <w:cantSplit/>
          <w:trHeight w:val="386"/>
        </w:trPr>
        <w:tc>
          <w:tcPr>
            <w:tcW w:w="1932" w:type="pct"/>
            <w:tcMar>
              <w:left w:w="40" w:type="dxa"/>
              <w:right w:w="40" w:type="dxa"/>
            </w:tcMar>
          </w:tcPr>
          <w:p w14:paraId="5C9F432C" w14:textId="55F3B1C3" w:rsidR="00921437" w:rsidRPr="00561FF2" w:rsidRDefault="00BA74FA" w:rsidP="00837075">
            <w:pPr>
              <w:pStyle w:val="TableText"/>
            </w:pPr>
            <w:r w:rsidRPr="00561FF2">
              <w:t>Base the utilisation estimates on the utilisation data for lenvatinib.</w:t>
            </w:r>
          </w:p>
        </w:tc>
        <w:tc>
          <w:tcPr>
            <w:tcW w:w="2268" w:type="pct"/>
            <w:tcMar>
              <w:left w:w="40" w:type="dxa"/>
              <w:right w:w="40" w:type="dxa"/>
            </w:tcMar>
          </w:tcPr>
          <w:p w14:paraId="64E0DE1A" w14:textId="2CDDFC89" w:rsidR="00921437" w:rsidRPr="00561FF2" w:rsidRDefault="00837075" w:rsidP="0094602B">
            <w:pPr>
              <w:pStyle w:val="TableText"/>
            </w:pPr>
            <w:r w:rsidRPr="00561FF2">
              <w:t>The early re-submission based the utilisation estimates on the lenvatinib data. A number of other changes were also made in line with the November 2023 PBAC minutes.</w:t>
            </w:r>
          </w:p>
        </w:tc>
        <w:tc>
          <w:tcPr>
            <w:tcW w:w="800" w:type="pct"/>
            <w:tcMar>
              <w:left w:w="40" w:type="dxa"/>
              <w:right w:w="40" w:type="dxa"/>
            </w:tcMar>
          </w:tcPr>
          <w:p w14:paraId="7A6D4E21" w14:textId="17580993" w:rsidR="00921437" w:rsidRPr="00561FF2" w:rsidRDefault="00837075" w:rsidP="00096FF2">
            <w:pPr>
              <w:pStyle w:val="TableText"/>
            </w:pPr>
            <w:r w:rsidRPr="00561FF2">
              <w:t>Yes</w:t>
            </w:r>
          </w:p>
        </w:tc>
      </w:tr>
    </w:tbl>
    <w:p w14:paraId="32B95A78" w14:textId="2FFED280" w:rsidR="009D55E2" w:rsidRPr="00561FF2" w:rsidRDefault="009D55E2" w:rsidP="00A07C4C">
      <w:pPr>
        <w:pStyle w:val="TableFigureFooter"/>
      </w:pPr>
      <w:r w:rsidRPr="00561FF2">
        <w:t xml:space="preserve">Source: </w:t>
      </w:r>
      <w:r w:rsidR="00921437" w:rsidRPr="00561FF2">
        <w:t xml:space="preserve">compiled from the </w:t>
      </w:r>
      <w:r w:rsidR="00BA74FA" w:rsidRPr="00561FF2">
        <w:t xml:space="preserve">November </w:t>
      </w:r>
      <w:r w:rsidR="00921437" w:rsidRPr="00561FF2">
        <w:t xml:space="preserve">2023 </w:t>
      </w:r>
      <w:r w:rsidR="00BA74FA" w:rsidRPr="00561FF2">
        <w:t xml:space="preserve">cabozantinib </w:t>
      </w:r>
      <w:r w:rsidR="00921437" w:rsidRPr="00561FF2">
        <w:t xml:space="preserve">minutes and the </w:t>
      </w:r>
      <w:r w:rsidR="00D677E1" w:rsidRPr="00561FF2">
        <w:t xml:space="preserve">March 2024 </w:t>
      </w:r>
      <w:r w:rsidR="00921437" w:rsidRPr="00561FF2">
        <w:t>early re-entry resubmission</w:t>
      </w:r>
    </w:p>
    <w:p w14:paraId="5005BB9F" w14:textId="1998B6BB" w:rsidR="00921437" w:rsidRPr="00561FF2" w:rsidRDefault="00BA74FA" w:rsidP="00A07C4C">
      <w:pPr>
        <w:pStyle w:val="TableFigureFooter"/>
      </w:pPr>
      <w:r w:rsidRPr="00561FF2">
        <w:t xml:space="preserve">ECOG = Eastern Cooperative Oncology Group; </w:t>
      </w:r>
      <w:r w:rsidR="00921437" w:rsidRPr="00561FF2">
        <w:t xml:space="preserve">ICER = incremental cost-effectiveness ratio; </w:t>
      </w:r>
      <w:r w:rsidR="00837075" w:rsidRPr="00561FF2">
        <w:t xml:space="preserve">ITT = intention to </w:t>
      </w:r>
      <w:r w:rsidR="00642CEF" w:rsidRPr="00561FF2">
        <w:t>treat</w:t>
      </w:r>
      <w:r w:rsidR="00837075" w:rsidRPr="00561FF2">
        <w:t xml:space="preserve">; </w:t>
      </w:r>
      <w:r w:rsidR="00921437" w:rsidRPr="00561FF2">
        <w:t>QALY = quality adjusted life year</w:t>
      </w:r>
      <w:r w:rsidRPr="00561FF2">
        <w:t>; WHO = World Health Organisation</w:t>
      </w:r>
    </w:p>
    <w:p w14:paraId="0935F4B2" w14:textId="15DE73BB" w:rsidR="5D80A09E" w:rsidRPr="00561FF2" w:rsidRDefault="004877C2" w:rsidP="006C5B33">
      <w:pPr>
        <w:pStyle w:val="2-SectionHeading"/>
        <w:rPr>
          <w:rFonts w:eastAsiaTheme="minorEastAsia"/>
        </w:rPr>
      </w:pPr>
      <w:r w:rsidRPr="00561FF2">
        <w:t>Background</w:t>
      </w:r>
    </w:p>
    <w:p w14:paraId="7730AA90" w14:textId="58F2A34B" w:rsidR="00096FF2" w:rsidRPr="00561FF2" w:rsidRDefault="00BA74FA" w:rsidP="00A133FD">
      <w:pPr>
        <w:pStyle w:val="3-BodyText"/>
        <w:ind w:left="720"/>
      </w:pPr>
      <w:r w:rsidRPr="00561FF2">
        <w:t>Cabozantinib</w:t>
      </w:r>
      <w:r w:rsidR="00921437" w:rsidRPr="00561FF2">
        <w:t xml:space="preserve"> was registered on the ARTG on </w:t>
      </w:r>
      <w:r w:rsidRPr="00561FF2">
        <w:t>9 December 2022</w:t>
      </w:r>
      <w:r w:rsidR="00921437" w:rsidRPr="00561FF2">
        <w:t xml:space="preserve"> </w:t>
      </w:r>
      <w:r w:rsidR="000D7444" w:rsidRPr="00561FF2">
        <w:t>for the following indication</w:t>
      </w:r>
      <w:r w:rsidR="00096FF2" w:rsidRPr="00561FF2">
        <w:t xml:space="preserve">: </w:t>
      </w:r>
    </w:p>
    <w:p w14:paraId="4ADA15BF" w14:textId="7E26EBA0" w:rsidR="00921437" w:rsidRPr="00561FF2" w:rsidRDefault="00BA74FA" w:rsidP="00AA6F91">
      <w:pPr>
        <w:pStyle w:val="3-BodyText"/>
        <w:numPr>
          <w:ilvl w:val="1"/>
          <w:numId w:val="8"/>
        </w:numPr>
        <w:ind w:left="1080"/>
      </w:pPr>
      <w:r w:rsidRPr="00561FF2">
        <w:t>The treatment of adult and paediatric patients aged 12 years and older with locally advanced or metastatic differentiated thyroid carcinoma (DTC) that has progressed during or after prior VEGF-targeted therapy and who are radioactive iodine (RAI) refractory or ineligible.</w:t>
      </w:r>
    </w:p>
    <w:p w14:paraId="256C712D" w14:textId="73774047" w:rsidR="0090775A" w:rsidRPr="00561FF2" w:rsidRDefault="004F6160" w:rsidP="00A133FD">
      <w:pPr>
        <w:pStyle w:val="3-BodyText"/>
        <w:ind w:left="720"/>
      </w:pPr>
      <w:r w:rsidRPr="00561FF2">
        <w:t>The PICO from the previous submission is presented below</w:t>
      </w:r>
      <w:r w:rsidR="00A07C4C" w:rsidRPr="00561FF2">
        <w:t>.</w:t>
      </w:r>
    </w:p>
    <w:p w14:paraId="5DB3E4F5" w14:textId="3AC24B1F" w:rsidR="00921437" w:rsidRPr="00561FF2" w:rsidRDefault="00921437" w:rsidP="00921437">
      <w:pPr>
        <w:pStyle w:val="TableFigureHeading"/>
      </w:pPr>
      <w:bookmarkStart w:id="1" w:name="_Ref157426539"/>
      <w:r w:rsidRPr="00561FF2">
        <w:lastRenderedPageBreak/>
        <w:t xml:space="preserve">Table </w:t>
      </w:r>
      <w:fldSimple w:instr=" SEQ Table \* ARABIC " w:fldLock="1">
        <w:r w:rsidR="006724ED" w:rsidRPr="00561FF2">
          <w:t>2</w:t>
        </w:r>
      </w:fldSimple>
      <w:bookmarkEnd w:id="1"/>
      <w:r w:rsidRPr="00561FF2">
        <w:t>: Key components of the clinical issue</w:t>
      </w:r>
      <w:r w:rsidR="00D677E1" w:rsidRPr="00561FF2">
        <w:t>s</w:t>
      </w:r>
      <w:r w:rsidRPr="00561FF2">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s "/>
      </w:tblPr>
      <w:tblGrid>
        <w:gridCol w:w="1315"/>
        <w:gridCol w:w="7703"/>
      </w:tblGrid>
      <w:tr w:rsidR="00BA74FA" w:rsidRPr="00561FF2" w14:paraId="14488949" w14:textId="77777777" w:rsidTr="00BA74FA">
        <w:trPr>
          <w:cantSplit/>
          <w:tblHeader/>
        </w:trPr>
        <w:tc>
          <w:tcPr>
            <w:tcW w:w="729" w:type="pct"/>
            <w:shd w:val="clear" w:color="auto" w:fill="auto"/>
          </w:tcPr>
          <w:p w14:paraId="3BCAE254" w14:textId="77777777" w:rsidR="00BA74FA" w:rsidRPr="00561FF2" w:rsidRDefault="00BA74FA" w:rsidP="00446AA5">
            <w:pPr>
              <w:pStyle w:val="In-tableHeading"/>
              <w:jc w:val="center"/>
              <w:rPr>
                <w:szCs w:val="20"/>
                <w:lang w:val="en-AU"/>
              </w:rPr>
            </w:pPr>
            <w:r w:rsidRPr="00561FF2">
              <w:rPr>
                <w:lang w:val="en-AU"/>
              </w:rPr>
              <w:t>Component</w:t>
            </w:r>
          </w:p>
        </w:tc>
        <w:tc>
          <w:tcPr>
            <w:tcW w:w="4271" w:type="pct"/>
            <w:shd w:val="clear" w:color="auto" w:fill="auto"/>
          </w:tcPr>
          <w:p w14:paraId="71599225" w14:textId="77777777" w:rsidR="00BA74FA" w:rsidRPr="00561FF2" w:rsidRDefault="00BA74FA" w:rsidP="00446AA5">
            <w:pPr>
              <w:pStyle w:val="In-tableHeading"/>
              <w:jc w:val="center"/>
              <w:rPr>
                <w:lang w:val="en-AU"/>
              </w:rPr>
            </w:pPr>
            <w:r w:rsidRPr="00561FF2">
              <w:rPr>
                <w:lang w:val="en-AU"/>
              </w:rPr>
              <w:t>Description</w:t>
            </w:r>
          </w:p>
        </w:tc>
      </w:tr>
      <w:tr w:rsidR="00BA74FA" w:rsidRPr="00561FF2" w14:paraId="3FDD3226" w14:textId="77777777" w:rsidTr="00BA74FA">
        <w:trPr>
          <w:cantSplit/>
        </w:trPr>
        <w:tc>
          <w:tcPr>
            <w:tcW w:w="729" w:type="pct"/>
            <w:shd w:val="clear" w:color="auto" w:fill="auto"/>
          </w:tcPr>
          <w:p w14:paraId="3DC7621A" w14:textId="77777777" w:rsidR="00BA74FA" w:rsidRPr="00561FF2" w:rsidRDefault="00BA74FA" w:rsidP="00446AA5">
            <w:pPr>
              <w:pStyle w:val="TableText"/>
            </w:pPr>
            <w:r w:rsidRPr="00561FF2">
              <w:t>Population</w:t>
            </w:r>
          </w:p>
        </w:tc>
        <w:tc>
          <w:tcPr>
            <w:tcW w:w="4271" w:type="pct"/>
            <w:vAlign w:val="center"/>
          </w:tcPr>
          <w:p w14:paraId="250B5C35" w14:textId="62930F3D" w:rsidR="00BA74FA" w:rsidRPr="00561FF2" w:rsidRDefault="00BA74FA" w:rsidP="00446AA5">
            <w:pPr>
              <w:pStyle w:val="TableText"/>
              <w:rPr>
                <w:szCs w:val="20"/>
              </w:rPr>
            </w:pPr>
            <w:r w:rsidRPr="00561FF2">
              <w:t>Patients with DTC refractory or not eligible to RAI who have progressed during or after prior VEGF-targeted therapy and have a WHO performance status of 2 or less</w:t>
            </w:r>
            <w:r w:rsidRPr="00561FF2">
              <w:rPr>
                <w:vertAlign w:val="superscript"/>
              </w:rPr>
              <w:t>a</w:t>
            </w:r>
          </w:p>
        </w:tc>
      </w:tr>
      <w:tr w:rsidR="00BA74FA" w:rsidRPr="00561FF2" w14:paraId="17A561B0" w14:textId="77777777" w:rsidTr="00BA74FA">
        <w:trPr>
          <w:cantSplit/>
        </w:trPr>
        <w:tc>
          <w:tcPr>
            <w:tcW w:w="729" w:type="pct"/>
            <w:shd w:val="clear" w:color="auto" w:fill="auto"/>
          </w:tcPr>
          <w:p w14:paraId="23D9ADEE" w14:textId="77777777" w:rsidR="00BA74FA" w:rsidRPr="00561FF2" w:rsidRDefault="00BA74FA" w:rsidP="00446AA5">
            <w:pPr>
              <w:pStyle w:val="TableText"/>
            </w:pPr>
            <w:r w:rsidRPr="00561FF2">
              <w:t>Intervention</w:t>
            </w:r>
          </w:p>
        </w:tc>
        <w:tc>
          <w:tcPr>
            <w:tcW w:w="4271" w:type="pct"/>
            <w:vAlign w:val="center"/>
          </w:tcPr>
          <w:p w14:paraId="70F239EE" w14:textId="77777777" w:rsidR="00BA74FA" w:rsidRPr="00561FF2" w:rsidRDefault="00BA74FA" w:rsidP="00446AA5">
            <w:pPr>
              <w:pStyle w:val="TableText"/>
            </w:pPr>
            <w:r w:rsidRPr="00561FF2">
              <w:t>Cabozantinib, 60 mg orally once daily (QD) until disease progression or unacceptable toxicity.</w:t>
            </w:r>
          </w:p>
        </w:tc>
      </w:tr>
      <w:tr w:rsidR="00BA74FA" w:rsidRPr="00561FF2" w14:paraId="05DC332E" w14:textId="77777777" w:rsidTr="00BA74FA">
        <w:trPr>
          <w:cantSplit/>
        </w:trPr>
        <w:tc>
          <w:tcPr>
            <w:tcW w:w="729" w:type="pct"/>
            <w:shd w:val="clear" w:color="auto" w:fill="auto"/>
          </w:tcPr>
          <w:p w14:paraId="3EA16B17" w14:textId="77777777" w:rsidR="00BA74FA" w:rsidRPr="00561FF2" w:rsidRDefault="00BA74FA" w:rsidP="00446AA5">
            <w:pPr>
              <w:pStyle w:val="TableText"/>
            </w:pPr>
            <w:r w:rsidRPr="00561FF2">
              <w:t>Comparator</w:t>
            </w:r>
          </w:p>
        </w:tc>
        <w:tc>
          <w:tcPr>
            <w:tcW w:w="4271" w:type="pct"/>
            <w:vAlign w:val="center"/>
          </w:tcPr>
          <w:p w14:paraId="51961624" w14:textId="77777777" w:rsidR="00BA74FA" w:rsidRPr="00561FF2" w:rsidRDefault="00BA74FA" w:rsidP="00446AA5">
            <w:pPr>
              <w:pStyle w:val="TableText"/>
            </w:pPr>
            <w:r w:rsidRPr="00561FF2">
              <w:t>Best supportive care (placebo)</w:t>
            </w:r>
          </w:p>
        </w:tc>
      </w:tr>
      <w:tr w:rsidR="00BA74FA" w:rsidRPr="00561FF2" w14:paraId="440F5E9E" w14:textId="77777777" w:rsidTr="00BA74FA">
        <w:trPr>
          <w:cantSplit/>
        </w:trPr>
        <w:tc>
          <w:tcPr>
            <w:tcW w:w="729" w:type="pct"/>
            <w:shd w:val="clear" w:color="auto" w:fill="auto"/>
          </w:tcPr>
          <w:p w14:paraId="6BA425DA" w14:textId="77777777" w:rsidR="00BA74FA" w:rsidRPr="00561FF2" w:rsidRDefault="00BA74FA" w:rsidP="00446AA5">
            <w:pPr>
              <w:pStyle w:val="TableText"/>
            </w:pPr>
            <w:r w:rsidRPr="00561FF2">
              <w:t>Outcomes</w:t>
            </w:r>
          </w:p>
        </w:tc>
        <w:tc>
          <w:tcPr>
            <w:tcW w:w="4271" w:type="pct"/>
            <w:vAlign w:val="center"/>
          </w:tcPr>
          <w:p w14:paraId="134D1A9A" w14:textId="77777777" w:rsidR="00BA74FA" w:rsidRPr="00561FF2" w:rsidRDefault="00BA74FA" w:rsidP="00446AA5">
            <w:pPr>
              <w:pStyle w:val="TableText"/>
            </w:pPr>
            <w:r w:rsidRPr="00561FF2">
              <w:t>Progression-free survival (PFS)</w:t>
            </w:r>
          </w:p>
          <w:p w14:paraId="100249E9" w14:textId="77777777" w:rsidR="00BA74FA" w:rsidRPr="00561FF2" w:rsidRDefault="00BA74FA" w:rsidP="00446AA5">
            <w:pPr>
              <w:pStyle w:val="TableText"/>
            </w:pPr>
            <w:r w:rsidRPr="00561FF2">
              <w:t>Objective response rate (ORR)</w:t>
            </w:r>
          </w:p>
          <w:p w14:paraId="42DA1974" w14:textId="77777777" w:rsidR="00BA74FA" w:rsidRPr="00561FF2" w:rsidRDefault="00BA74FA" w:rsidP="00446AA5">
            <w:pPr>
              <w:pStyle w:val="TableText"/>
              <w:rPr>
                <w:rFonts w:eastAsia="Times New Roman" w:cs="Arial"/>
                <w:bCs w:val="0"/>
                <w:snapToGrid w:val="0"/>
                <w:color w:val="0066FF"/>
                <w:szCs w:val="20"/>
              </w:rPr>
            </w:pPr>
            <w:r w:rsidRPr="00561FF2">
              <w:t>Safety</w:t>
            </w:r>
          </w:p>
        </w:tc>
      </w:tr>
      <w:tr w:rsidR="00BA74FA" w:rsidRPr="00561FF2" w14:paraId="5D4FD26C" w14:textId="77777777" w:rsidTr="00BA74FA">
        <w:trPr>
          <w:cantSplit/>
        </w:trPr>
        <w:tc>
          <w:tcPr>
            <w:tcW w:w="729" w:type="pct"/>
            <w:shd w:val="clear" w:color="auto" w:fill="auto"/>
          </w:tcPr>
          <w:p w14:paraId="1CADA752" w14:textId="77777777" w:rsidR="00BA74FA" w:rsidRPr="00561FF2" w:rsidRDefault="00BA74FA" w:rsidP="00446AA5">
            <w:pPr>
              <w:pStyle w:val="TableText"/>
            </w:pPr>
            <w:r w:rsidRPr="00561FF2">
              <w:t>Clinical claim</w:t>
            </w:r>
          </w:p>
        </w:tc>
        <w:tc>
          <w:tcPr>
            <w:tcW w:w="4271" w:type="pct"/>
            <w:vAlign w:val="center"/>
          </w:tcPr>
          <w:p w14:paraId="4CF8B90C" w14:textId="77777777" w:rsidR="00BA74FA" w:rsidRPr="00561FF2" w:rsidRDefault="00BA74FA" w:rsidP="00446AA5">
            <w:pPr>
              <w:pStyle w:val="TableText"/>
            </w:pPr>
            <w:r w:rsidRPr="00561FF2">
              <w:t>In patients with DTC refractory or not eligible to RAI who have progressed after prior systemic therapy</w:t>
            </w:r>
            <w:r w:rsidRPr="00561FF2">
              <w:rPr>
                <w:vertAlign w:val="superscript"/>
              </w:rPr>
              <w:t>a</w:t>
            </w:r>
            <w:r w:rsidRPr="00561FF2">
              <w:t xml:space="preserve">, and a WHO performance status of 2 or less, cabozantinib provides: </w:t>
            </w:r>
          </w:p>
          <w:p w14:paraId="7CDFED67" w14:textId="77777777" w:rsidR="00BA74FA" w:rsidRPr="00561FF2" w:rsidRDefault="00BA74FA" w:rsidP="00AA6F91">
            <w:pPr>
              <w:pStyle w:val="TableText"/>
              <w:numPr>
                <w:ilvl w:val="0"/>
                <w:numId w:val="10"/>
              </w:numPr>
            </w:pPr>
            <w:r w:rsidRPr="00561FF2">
              <w:t xml:space="preserve">Significantly superior PFS and ORR compared to standard of care, and </w:t>
            </w:r>
          </w:p>
          <w:p w14:paraId="35A385C6" w14:textId="77777777" w:rsidR="00BA74FA" w:rsidRPr="00561FF2" w:rsidRDefault="00BA74FA" w:rsidP="00AA6F91">
            <w:pPr>
              <w:pStyle w:val="TableText"/>
              <w:numPr>
                <w:ilvl w:val="0"/>
                <w:numId w:val="10"/>
              </w:numPr>
              <w:rPr>
                <w:rFonts w:eastAsia="Times New Roman" w:cs="Arial"/>
                <w:bCs w:val="0"/>
                <w:snapToGrid w:val="0"/>
                <w:szCs w:val="20"/>
              </w:rPr>
            </w:pPr>
            <w:r w:rsidRPr="00561FF2">
              <w:t>An inferior but manageable safety profile</w:t>
            </w:r>
          </w:p>
        </w:tc>
      </w:tr>
    </w:tbl>
    <w:p w14:paraId="687E1EA4" w14:textId="6DD0D9B2" w:rsidR="00921437" w:rsidRPr="00561FF2" w:rsidRDefault="00921437" w:rsidP="00BA74FA">
      <w:pPr>
        <w:pStyle w:val="TableFigureFooter"/>
        <w:spacing w:after="0"/>
      </w:pPr>
      <w:r w:rsidRPr="00561FF2">
        <w:t>Source: Table 1.1, p</w:t>
      </w:r>
      <w:r w:rsidR="00BA74FA" w:rsidRPr="00561FF2">
        <w:t>16</w:t>
      </w:r>
      <w:r w:rsidRPr="00561FF2">
        <w:t xml:space="preserve"> of the submission.</w:t>
      </w:r>
    </w:p>
    <w:p w14:paraId="278A19E7" w14:textId="77777777" w:rsidR="00BA74FA" w:rsidRPr="00561FF2" w:rsidRDefault="00BA74FA" w:rsidP="00BA74FA">
      <w:pPr>
        <w:pStyle w:val="FooterTableFigure"/>
        <w:keepNext/>
        <w:spacing w:after="0"/>
      </w:pPr>
      <w:r w:rsidRPr="00561FF2">
        <w:t>DTC = differentiated thyroid carcinoma; ORR = objective response rate; PFS = progression-free survival; RAI = radioactive iodine; VEGF = vascular endothelial growth factor; WHO = World Health Organisation.</w:t>
      </w:r>
    </w:p>
    <w:p w14:paraId="0154A6A8" w14:textId="78108676" w:rsidR="00BA74FA" w:rsidRPr="00561FF2" w:rsidRDefault="00BA74FA" w:rsidP="00BA74FA">
      <w:pPr>
        <w:pStyle w:val="TableFigureFooter"/>
        <w:spacing w:after="0"/>
      </w:pPr>
      <w:r w:rsidRPr="00561FF2">
        <w:rPr>
          <w:vertAlign w:val="superscript"/>
        </w:rPr>
        <w:t>a</w:t>
      </w:r>
      <w:r w:rsidRPr="00561FF2">
        <w:t xml:space="preserve"> This was inaccurate. The proposed restriction was for patients that have progressed following treatment with a tyrosine kinase inhibitor or have developed intolerance to prior VEGF-targeted therapy</w:t>
      </w:r>
    </w:p>
    <w:p w14:paraId="0034D2AE" w14:textId="77777777" w:rsidR="00AA6F91" w:rsidRPr="00561FF2" w:rsidRDefault="00AA6F91" w:rsidP="00BA74FA">
      <w:pPr>
        <w:pStyle w:val="TableFigureFooter"/>
        <w:spacing w:after="0"/>
      </w:pPr>
    </w:p>
    <w:p w14:paraId="0DCB3CA5" w14:textId="3B159840" w:rsidR="00AA6F91" w:rsidRPr="00561FF2" w:rsidRDefault="00AA6F91" w:rsidP="00BA74FA">
      <w:pPr>
        <w:pStyle w:val="TableFigureFooter"/>
        <w:spacing w:after="0"/>
        <w:rPr>
          <w:rFonts w:asciiTheme="minorHAnsi" w:hAnsiTheme="minorHAnsi" w:cstheme="minorHAnsi"/>
          <w:i/>
          <w:iCs/>
          <w:sz w:val="24"/>
          <w:szCs w:val="24"/>
        </w:rPr>
      </w:pPr>
      <w:r w:rsidRPr="00561FF2">
        <w:tab/>
      </w:r>
      <w:r w:rsidRPr="00561FF2">
        <w:rPr>
          <w:rFonts w:asciiTheme="minorHAnsi" w:hAnsiTheme="minorHAnsi" w:cstheme="minorHAnsi"/>
          <w:i/>
          <w:iCs/>
          <w:sz w:val="24"/>
          <w:szCs w:val="24"/>
        </w:rPr>
        <w:t>For more detail on PBAC’s view, see Section 5 PBAC outcome.</w:t>
      </w:r>
    </w:p>
    <w:p w14:paraId="587432E9" w14:textId="77777777" w:rsidR="00C068A6" w:rsidRPr="00561FF2" w:rsidRDefault="004B2E01" w:rsidP="006C5B33">
      <w:pPr>
        <w:pStyle w:val="2-SectionHeading"/>
      </w:pPr>
      <w:r w:rsidRPr="00561FF2">
        <w:t>Requested listing</w:t>
      </w:r>
      <w:r w:rsidR="007C08E0" w:rsidRPr="00561FF2">
        <w:t xml:space="preserve"> </w:t>
      </w:r>
    </w:p>
    <w:p w14:paraId="1009D70C" w14:textId="207F6B77" w:rsidR="004F6160" w:rsidRPr="00561FF2" w:rsidRDefault="004B2E01" w:rsidP="00A133FD">
      <w:pPr>
        <w:pStyle w:val="3-BodyText"/>
        <w:ind w:left="720"/>
      </w:pPr>
      <w:r w:rsidRPr="00561FF2">
        <w:t xml:space="preserve">The </w:t>
      </w:r>
      <w:r w:rsidR="004F6160" w:rsidRPr="00561FF2">
        <w:t>re</w:t>
      </w:r>
      <w:r w:rsidRPr="00561FF2">
        <w:t xml:space="preserve">submission </w:t>
      </w:r>
      <w:r w:rsidR="00921437" w:rsidRPr="00561FF2">
        <w:t xml:space="preserve">presented a revised proposed restriction based on the suggestions in the </w:t>
      </w:r>
      <w:r w:rsidR="00BA74FA" w:rsidRPr="00561FF2">
        <w:t>November</w:t>
      </w:r>
      <w:r w:rsidR="00096FF2" w:rsidRPr="00561FF2">
        <w:t xml:space="preserve"> </w:t>
      </w:r>
      <w:r w:rsidR="00921437" w:rsidRPr="00561FF2">
        <w:t xml:space="preserve">2023 PBAC minutes. </w:t>
      </w:r>
    </w:p>
    <w:p w14:paraId="14C49E8B" w14:textId="24DAFA4E" w:rsidR="00921437" w:rsidRPr="00561FF2" w:rsidRDefault="00921437" w:rsidP="00A133FD">
      <w:pPr>
        <w:pStyle w:val="3-BodyText"/>
        <w:ind w:left="720"/>
      </w:pPr>
      <w:r w:rsidRPr="00561FF2">
        <w:t>Secretariat additions are in italics and deletions in strikethrough.</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2362"/>
        <w:gridCol w:w="811"/>
        <w:gridCol w:w="810"/>
        <w:gridCol w:w="811"/>
        <w:gridCol w:w="1883"/>
      </w:tblGrid>
      <w:tr w:rsidR="00BA74FA" w:rsidRPr="00561FF2" w14:paraId="23C85E57" w14:textId="77777777" w:rsidTr="00BA74FA">
        <w:trPr>
          <w:cantSplit/>
          <w:trHeight w:val="374"/>
        </w:trPr>
        <w:tc>
          <w:tcPr>
            <w:tcW w:w="2323" w:type="dxa"/>
            <w:vAlign w:val="center"/>
          </w:tcPr>
          <w:p w14:paraId="60B6609D" w14:textId="77777777" w:rsidR="00BA74FA" w:rsidRPr="00561FF2" w:rsidRDefault="00BA74FA" w:rsidP="00BA74FA">
            <w:pPr>
              <w:keepNext/>
              <w:keepLines/>
              <w:jc w:val="left"/>
              <w:rPr>
                <w:rFonts w:ascii="Arial Narrow" w:eastAsia="Calibri" w:hAnsi="Arial Narrow"/>
                <w:b/>
                <w:bCs/>
                <w:kern w:val="2"/>
                <w:sz w:val="20"/>
                <w:szCs w:val="20"/>
                <w14:ligatures w14:val="standardContextual"/>
              </w:rPr>
            </w:pPr>
            <w:r w:rsidRPr="00561FF2">
              <w:rPr>
                <w:rFonts w:ascii="Arial Narrow" w:eastAsia="Calibri" w:hAnsi="Arial Narrow"/>
                <w:b/>
                <w:bCs/>
                <w:kern w:val="2"/>
                <w:sz w:val="20"/>
                <w:szCs w:val="20"/>
                <w14:ligatures w14:val="standardContextual"/>
              </w:rPr>
              <w:t>MEDICINAL PRODUCT</w:t>
            </w:r>
          </w:p>
          <w:p w14:paraId="4FA54F2F" w14:textId="77777777" w:rsidR="00BA74FA" w:rsidRPr="00561FF2" w:rsidRDefault="00BA74FA" w:rsidP="00BA74FA">
            <w:pPr>
              <w:keepNext/>
              <w:keepLines/>
              <w:jc w:val="left"/>
              <w:rPr>
                <w:rFonts w:ascii="Arial Narrow" w:eastAsia="Calibri" w:hAnsi="Arial Narrow"/>
                <w:b/>
                <w:kern w:val="2"/>
                <w:sz w:val="20"/>
                <w:szCs w:val="20"/>
                <w14:ligatures w14:val="standardContextual"/>
              </w:rPr>
            </w:pPr>
            <w:r w:rsidRPr="00561FF2">
              <w:rPr>
                <w:rFonts w:ascii="Arial Narrow" w:eastAsia="Calibri" w:hAnsi="Arial Narrow"/>
                <w:b/>
                <w:bCs/>
                <w:kern w:val="2"/>
                <w:sz w:val="20"/>
                <w:szCs w:val="20"/>
                <w14:ligatures w14:val="standardContextual"/>
              </w:rPr>
              <w:t>medicinal product pack</w:t>
            </w:r>
          </w:p>
        </w:tc>
        <w:tc>
          <w:tcPr>
            <w:tcW w:w="2362" w:type="dxa"/>
            <w:vAlign w:val="center"/>
          </w:tcPr>
          <w:p w14:paraId="13DBAA59" w14:textId="77777777" w:rsidR="00BA74FA" w:rsidRPr="00561FF2" w:rsidRDefault="00BA74FA" w:rsidP="00446AA5">
            <w:pPr>
              <w:keepNext/>
              <w:keepLines/>
              <w:jc w:val="center"/>
              <w:rPr>
                <w:rFonts w:ascii="Arial Narrow" w:hAnsi="Arial Narrow"/>
                <w:b/>
                <w:sz w:val="20"/>
                <w:szCs w:val="20"/>
              </w:rPr>
            </w:pPr>
            <w:r w:rsidRPr="00561FF2">
              <w:rPr>
                <w:rFonts w:ascii="Arial Narrow" w:hAnsi="Arial Narrow"/>
                <w:b/>
                <w:snapToGrid w:val="0"/>
                <w:sz w:val="20"/>
              </w:rPr>
              <w:t>Dispensed Price for Max. Qty</w:t>
            </w:r>
          </w:p>
        </w:tc>
        <w:tc>
          <w:tcPr>
            <w:tcW w:w="811" w:type="dxa"/>
            <w:vAlign w:val="center"/>
          </w:tcPr>
          <w:p w14:paraId="6D22DDDD" w14:textId="77777777" w:rsidR="00BA74FA" w:rsidRPr="00561FF2" w:rsidRDefault="00BA74FA" w:rsidP="00555944">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packs</w:t>
            </w:r>
          </w:p>
        </w:tc>
        <w:tc>
          <w:tcPr>
            <w:tcW w:w="810" w:type="dxa"/>
            <w:vAlign w:val="center"/>
          </w:tcPr>
          <w:p w14:paraId="6DA656B3" w14:textId="77777777" w:rsidR="00BA74FA" w:rsidRPr="00561FF2" w:rsidRDefault="00BA74FA" w:rsidP="00BA74FA">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units</w:t>
            </w:r>
          </w:p>
        </w:tc>
        <w:tc>
          <w:tcPr>
            <w:tcW w:w="811" w:type="dxa"/>
            <w:vAlign w:val="center"/>
          </w:tcPr>
          <w:p w14:paraId="21591521" w14:textId="27D9BEA4" w:rsidR="00BA74FA" w:rsidRPr="00561FF2" w:rsidRDefault="00BA74FA" w:rsidP="00BA74FA">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 of</w:t>
            </w:r>
          </w:p>
          <w:p w14:paraId="718C4F74" w14:textId="77777777" w:rsidR="00BA74FA" w:rsidRPr="00561FF2" w:rsidRDefault="00BA74FA" w:rsidP="00BA74FA">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Rpts</w:t>
            </w:r>
          </w:p>
        </w:tc>
        <w:tc>
          <w:tcPr>
            <w:tcW w:w="1883" w:type="dxa"/>
            <w:vAlign w:val="center"/>
          </w:tcPr>
          <w:p w14:paraId="2ED10562" w14:textId="77777777" w:rsidR="00BA74FA" w:rsidRPr="00561FF2" w:rsidRDefault="00BA74FA" w:rsidP="00446AA5">
            <w:pPr>
              <w:keepNext/>
              <w:keepLines/>
              <w:spacing w:after="160" w:line="259" w:lineRule="auto"/>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Available brands</w:t>
            </w:r>
          </w:p>
        </w:tc>
      </w:tr>
      <w:tr w:rsidR="00BA74FA" w:rsidRPr="00561FF2" w14:paraId="6E857EE9" w14:textId="77777777" w:rsidTr="00BA74FA">
        <w:trPr>
          <w:cantSplit/>
          <w:trHeight w:val="17"/>
        </w:trPr>
        <w:tc>
          <w:tcPr>
            <w:tcW w:w="9000" w:type="dxa"/>
            <w:gridSpan w:val="6"/>
            <w:vAlign w:val="center"/>
          </w:tcPr>
          <w:p w14:paraId="58D7EBFF" w14:textId="77777777" w:rsidR="00BA74FA" w:rsidRPr="00561FF2" w:rsidRDefault="00BA74FA" w:rsidP="00446AA5">
            <w:pPr>
              <w:keepNext/>
              <w:keepLines/>
              <w:rPr>
                <w:rFonts w:ascii="Arial Narrow" w:hAnsi="Arial Narrow" w:cs="Arial"/>
                <w:bCs/>
                <w:sz w:val="20"/>
                <w:szCs w:val="20"/>
              </w:rPr>
            </w:pPr>
            <w:r w:rsidRPr="00561FF2">
              <w:rPr>
                <w:rFonts w:ascii="Arial Narrow" w:hAnsi="Arial Narrow" w:cs="Arial"/>
                <w:bCs/>
                <w:sz w:val="20"/>
                <w:szCs w:val="20"/>
              </w:rPr>
              <w:t>CABOZANTINIB</w:t>
            </w:r>
          </w:p>
        </w:tc>
      </w:tr>
      <w:tr w:rsidR="00BA74FA" w:rsidRPr="00561FF2" w14:paraId="53FFE4C0" w14:textId="77777777" w:rsidTr="00BA74FA">
        <w:trPr>
          <w:cantSplit/>
          <w:trHeight w:val="17"/>
        </w:trPr>
        <w:tc>
          <w:tcPr>
            <w:tcW w:w="2323" w:type="dxa"/>
            <w:vAlign w:val="center"/>
          </w:tcPr>
          <w:p w14:paraId="1262925B" w14:textId="77777777" w:rsidR="00BA74FA" w:rsidRPr="00561FF2" w:rsidRDefault="00BA74FA" w:rsidP="00446AA5">
            <w:pPr>
              <w:keepNext/>
              <w:keepLines/>
              <w:rPr>
                <w:rFonts w:ascii="Arial Narrow" w:hAnsi="Arial Narrow"/>
                <w:bCs/>
                <w:sz w:val="20"/>
              </w:rPr>
            </w:pPr>
            <w:r w:rsidRPr="00561FF2">
              <w:rPr>
                <w:rFonts w:ascii="Arial Narrow" w:hAnsi="Arial Narrow"/>
                <w:bCs/>
                <w:sz w:val="20"/>
              </w:rPr>
              <w:t>Cabozantinib</w:t>
            </w:r>
          </w:p>
          <w:p w14:paraId="54471245" w14:textId="77777777" w:rsidR="00BA74FA" w:rsidRPr="00561FF2" w:rsidRDefault="00BA74FA" w:rsidP="00BA74FA">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20 mg tablet, 30 </w:t>
            </w:r>
          </w:p>
          <w:p w14:paraId="290F543E" w14:textId="77777777" w:rsidR="00BA74FA" w:rsidRPr="00561FF2" w:rsidRDefault="00BA74FA" w:rsidP="00BA74FA">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40 mg tablet, 30</w:t>
            </w:r>
          </w:p>
          <w:p w14:paraId="6A955B23" w14:textId="4BC7539A" w:rsidR="00BA74FA" w:rsidRPr="00561FF2" w:rsidRDefault="00BA74FA" w:rsidP="00BA74FA">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60 mg tablet, 30</w:t>
            </w:r>
          </w:p>
        </w:tc>
        <w:tc>
          <w:tcPr>
            <w:tcW w:w="2362" w:type="dxa"/>
          </w:tcPr>
          <w:p w14:paraId="404A539D" w14:textId="77777777" w:rsidR="00BA74FA" w:rsidRPr="00561FF2" w:rsidRDefault="00BA74FA" w:rsidP="00BA74FA">
            <w:pPr>
              <w:keepNext/>
              <w:keepLines/>
              <w:jc w:val="center"/>
              <w:rPr>
                <w:rFonts w:ascii="Arial Narrow" w:hAnsi="Arial Narrow"/>
                <w:bCs/>
                <w:sz w:val="20"/>
              </w:rPr>
            </w:pPr>
          </w:p>
          <w:p w14:paraId="7CCBB54F" w14:textId="4DF292C5" w:rsidR="00BA74FA" w:rsidRPr="00561FF2" w:rsidRDefault="00BA74FA" w:rsidP="00BA74FA">
            <w:pPr>
              <w:keepNext/>
              <w:keepLines/>
              <w:jc w:val="center"/>
              <w:rPr>
                <w:rFonts w:ascii="Arial Narrow" w:hAnsi="Arial Narrow"/>
                <w:bCs/>
                <w:sz w:val="20"/>
                <w:szCs w:val="20"/>
              </w:rPr>
            </w:pPr>
            <w:r w:rsidRPr="00561FF2">
              <w:rPr>
                <w:rFonts w:ascii="Arial Narrow" w:hAnsi="Arial Narrow"/>
                <w:bCs/>
                <w:sz w:val="20"/>
              </w:rPr>
              <w:t>Published: $9,962.13 Effective: $</w:t>
            </w:r>
            <w:r w:rsidR="00E447F1" w:rsidRPr="00E447F1">
              <w:rPr>
                <w:rFonts w:ascii="Arial Narrow" w:hAnsi="Arial Narrow"/>
                <w:bCs/>
                <w:color w:val="000000"/>
                <w:sz w:val="20"/>
                <w:shd w:val="solid" w:color="000000" w:fill="000000"/>
                <w14:textFill>
                  <w14:solidFill>
                    <w14:srgbClr w14:val="000000">
                      <w14:alpha w14:val="100000"/>
                    </w14:srgbClr>
                  </w14:solidFill>
                </w14:textFill>
              </w:rPr>
              <w:t>|</w:t>
            </w:r>
            <w:r w:rsidRPr="00561FF2">
              <w:rPr>
                <w:rFonts w:ascii="Arial Narrow" w:hAnsi="Arial Narrow"/>
                <w:bCs/>
                <w:sz w:val="20"/>
              </w:rPr>
              <w:t xml:space="preserve"> </w:t>
            </w:r>
          </w:p>
        </w:tc>
        <w:tc>
          <w:tcPr>
            <w:tcW w:w="811" w:type="dxa"/>
            <w:vAlign w:val="center"/>
          </w:tcPr>
          <w:p w14:paraId="2DF797C1"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1</w:t>
            </w:r>
          </w:p>
        </w:tc>
        <w:tc>
          <w:tcPr>
            <w:tcW w:w="810" w:type="dxa"/>
            <w:vAlign w:val="center"/>
          </w:tcPr>
          <w:p w14:paraId="0E858AED"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30</w:t>
            </w:r>
          </w:p>
        </w:tc>
        <w:tc>
          <w:tcPr>
            <w:tcW w:w="811" w:type="dxa"/>
            <w:vAlign w:val="center"/>
          </w:tcPr>
          <w:p w14:paraId="342F6856"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2</w:t>
            </w:r>
          </w:p>
        </w:tc>
        <w:tc>
          <w:tcPr>
            <w:tcW w:w="1883" w:type="dxa"/>
            <w:vAlign w:val="center"/>
          </w:tcPr>
          <w:p w14:paraId="19C2749A" w14:textId="77777777" w:rsidR="00BA74FA" w:rsidRPr="00561FF2" w:rsidRDefault="00BA74FA" w:rsidP="00446AA5">
            <w:pPr>
              <w:keepNext/>
              <w:keepLines/>
              <w:spacing w:after="160" w:line="259" w:lineRule="auto"/>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Cabometyx, </w:t>
            </w:r>
            <w:r w:rsidRPr="00561FF2">
              <w:rPr>
                <w:rFonts w:ascii="Arial Narrow" w:eastAsia="Calibri" w:hAnsi="Arial Narrow"/>
                <w:kern w:val="2"/>
                <w:sz w:val="20"/>
                <w:szCs w:val="20"/>
                <w14:ligatures w14:val="standardContextual"/>
              </w:rPr>
              <w:br/>
              <w:t>Ipsen Pty Ltd</w:t>
            </w:r>
          </w:p>
        </w:tc>
      </w:tr>
    </w:tbl>
    <w:p w14:paraId="77759F04" w14:textId="77777777" w:rsidR="00BA74FA" w:rsidRPr="00561FF2" w:rsidRDefault="00BA74FA" w:rsidP="00BA74FA">
      <w:pPr>
        <w:spacing w:after="120"/>
        <w:contextualSpacing/>
        <w:rPr>
          <w:rFonts w:ascii="Arial Narrow" w:hAnsi="Arial Narrow" w:cs="Arial"/>
          <w:snapToGrid w:val="0"/>
          <w:sz w:val="18"/>
        </w:rPr>
      </w:pPr>
      <w:bookmarkStart w:id="2" w:name="_Hlk142676856"/>
    </w:p>
    <w:tbl>
      <w:tblPr>
        <w:tblW w:w="4988" w:type="pct"/>
        <w:tblLook w:val="0000" w:firstRow="0" w:lastRow="0" w:firstColumn="0" w:lastColumn="0" w:noHBand="0" w:noVBand="0"/>
      </w:tblPr>
      <w:tblGrid>
        <w:gridCol w:w="8994"/>
      </w:tblGrid>
      <w:tr w:rsidR="00A133FD" w:rsidRPr="00561FF2" w14:paraId="3669CC20" w14:textId="77777777" w:rsidTr="00A133FD">
        <w:trPr>
          <w:trHeight w:val="170"/>
        </w:trPr>
        <w:tc>
          <w:tcPr>
            <w:tcW w:w="5000" w:type="pct"/>
            <w:tcBorders>
              <w:top w:val="single" w:sz="4" w:space="0" w:color="auto"/>
              <w:left w:val="single" w:sz="4" w:space="0" w:color="auto"/>
              <w:bottom w:val="single" w:sz="4" w:space="0" w:color="auto"/>
              <w:right w:val="single" w:sz="4" w:space="0" w:color="auto"/>
            </w:tcBorders>
          </w:tcPr>
          <w:bookmarkEnd w:id="2"/>
          <w:p w14:paraId="76625BD4" w14:textId="60A97E91"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A133FD" w:rsidRPr="00561FF2" w14:paraId="18AFB886"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3C8C810" w14:textId="22AE0106"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A133FD" w:rsidRPr="00561FF2" w14:paraId="3B8E8CC5" w14:textId="77777777" w:rsidTr="00A133FD">
        <w:trPr>
          <w:trHeight w:val="158"/>
        </w:trPr>
        <w:tc>
          <w:tcPr>
            <w:tcW w:w="5000" w:type="pct"/>
            <w:tcBorders>
              <w:top w:val="single" w:sz="4" w:space="0" w:color="auto"/>
              <w:left w:val="single" w:sz="4" w:space="0" w:color="auto"/>
              <w:bottom w:val="single" w:sz="4" w:space="0" w:color="auto"/>
              <w:right w:val="single" w:sz="4" w:space="0" w:color="auto"/>
            </w:tcBorders>
          </w:tcPr>
          <w:p w14:paraId="2846B4B0" w14:textId="6530D0CE"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A133FD" w:rsidRPr="00561FF2" w14:paraId="355373F1"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6BB2A52" w14:textId="24D71F8A" w:rsidR="00A133FD" w:rsidRPr="00561FF2" w:rsidRDefault="00A133FD" w:rsidP="00446AA5">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A133FD" w:rsidRPr="00561FF2" w14:paraId="04FF366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5D93AA75" w14:textId="4B88B9EE"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w:t>
            </w:r>
          </w:p>
        </w:tc>
      </w:tr>
      <w:tr w:rsidR="00A133FD" w:rsidRPr="00561FF2" w14:paraId="45EEBD9E" w14:textId="77777777" w:rsidTr="00A133FD">
        <w:trPr>
          <w:trHeight w:val="122"/>
        </w:trPr>
        <w:tc>
          <w:tcPr>
            <w:tcW w:w="5000" w:type="pct"/>
            <w:tcBorders>
              <w:top w:val="single" w:sz="4" w:space="0" w:color="auto"/>
              <w:left w:val="single" w:sz="4" w:space="0" w:color="auto"/>
              <w:bottom w:val="single" w:sz="4" w:space="0" w:color="auto"/>
              <w:right w:val="single" w:sz="4" w:space="0" w:color="auto"/>
            </w:tcBorders>
          </w:tcPr>
          <w:p w14:paraId="4DD6D679" w14:textId="736725DA"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Locally advanced or metastatic differentiated thyroid carcinoma</w:t>
            </w:r>
          </w:p>
        </w:tc>
      </w:tr>
      <w:tr w:rsidR="00A133FD" w:rsidRPr="00561FF2" w14:paraId="10AB227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2ED322F" w14:textId="1D1DA0EE"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Initial treatment</w:t>
            </w:r>
          </w:p>
        </w:tc>
      </w:tr>
      <w:tr w:rsidR="00A133FD" w:rsidRPr="00561FF2" w14:paraId="5685FA10"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05636EE" w14:textId="44329A86" w:rsidR="00A133FD" w:rsidRPr="00561FF2" w:rsidRDefault="00A133FD" w:rsidP="00446AA5">
            <w:pPr>
              <w:rPr>
                <w:rFonts w:ascii="Arial Narrow" w:hAnsi="Arial Narrow"/>
                <w:b/>
                <w:bCs/>
                <w:color w:val="000000"/>
                <w:sz w:val="20"/>
                <w:szCs w:val="20"/>
              </w:rPr>
            </w:pPr>
          </w:p>
        </w:tc>
      </w:tr>
      <w:tr w:rsidR="00A133FD" w:rsidRPr="00561FF2" w14:paraId="1337350C"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6CD71B17" w14:textId="27E933B4"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7C5F856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7FAD238" w14:textId="6E604975"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t>The condition must be refractory to radioactive iodine; or</w:t>
            </w:r>
          </w:p>
        </w:tc>
      </w:tr>
      <w:tr w:rsidR="00A133FD" w:rsidRPr="00561FF2" w14:paraId="1A44DEE6"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78DE987" w14:textId="336C5065"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A133FD" w:rsidRPr="00561FF2" w14:paraId="18878F2E"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5F27E4F6" w14:textId="23E282AA"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6425E6B1"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38C9B13" w14:textId="0B56CDBA"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086BDE87" w14:textId="77777777" w:rsidTr="00A133FD">
        <w:trPr>
          <w:trHeight w:val="360"/>
        </w:trPr>
        <w:tc>
          <w:tcPr>
            <w:tcW w:w="5000" w:type="pct"/>
            <w:tcBorders>
              <w:top w:val="single" w:sz="4" w:space="0" w:color="auto"/>
              <w:left w:val="single" w:sz="4" w:space="0" w:color="auto"/>
              <w:bottom w:val="single" w:sz="4" w:space="0" w:color="auto"/>
              <w:right w:val="single" w:sz="4" w:space="0" w:color="auto"/>
            </w:tcBorders>
          </w:tcPr>
          <w:p w14:paraId="1D0FF662" w14:textId="6D1585ED"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t>Patient must have progressive disease according to Response Evaluation Criteria in Solid Tumours (RECIST) whilst on treatment with a vascular endothelial growth factor (VEGF)-targeted tyrosine kinase inhibitor (TKI) for this indication;</w:t>
            </w:r>
          </w:p>
        </w:tc>
      </w:tr>
      <w:tr w:rsidR="00A133FD" w:rsidRPr="00561FF2" w14:paraId="3BFF789C"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2D449B1D" w14:textId="72A90541"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OR</w:t>
            </w:r>
          </w:p>
        </w:tc>
      </w:tr>
      <w:tr w:rsidR="00A133FD" w:rsidRPr="00561FF2" w14:paraId="14669C0B" w14:textId="77777777" w:rsidTr="00A133FD">
        <w:trPr>
          <w:trHeight w:val="360"/>
        </w:trPr>
        <w:tc>
          <w:tcPr>
            <w:tcW w:w="5000" w:type="pct"/>
            <w:tcBorders>
              <w:top w:val="single" w:sz="4" w:space="0" w:color="auto"/>
              <w:left w:val="single" w:sz="4" w:space="0" w:color="auto"/>
              <w:bottom w:val="single" w:sz="4" w:space="0" w:color="auto"/>
              <w:right w:val="single" w:sz="4" w:space="0" w:color="auto"/>
            </w:tcBorders>
          </w:tcPr>
          <w:p w14:paraId="52C2C0AD" w14:textId="58A42A8E"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lastRenderedPageBreak/>
              <w:t xml:space="preserve">Patient must have developed intolerance of a severity necessitating permanent treatment withdrawal, in the absence of disease progression, to prior </w:t>
            </w:r>
            <w:r w:rsidRPr="00561FF2">
              <w:rPr>
                <w:rFonts w:ascii="Arial Narrow" w:hAnsi="Arial Narrow"/>
                <w:sz w:val="20"/>
                <w:szCs w:val="20"/>
              </w:rPr>
              <w:t>VEGF</w:t>
            </w:r>
            <w:r w:rsidRPr="00561FF2">
              <w:rPr>
                <w:rFonts w:ascii="Arial Narrow" w:hAnsi="Arial Narrow"/>
                <w:color w:val="000000"/>
                <w:sz w:val="20"/>
                <w:szCs w:val="20"/>
              </w:rPr>
              <w:t>-targeted TKI therapy</w:t>
            </w:r>
          </w:p>
        </w:tc>
      </w:tr>
      <w:tr w:rsidR="00A133FD" w:rsidRPr="00561FF2" w14:paraId="3D781FE7"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3F7D1AC0" w14:textId="2DC54AEE"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1748D88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46CA6D3" w14:textId="7910B539"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36CF1B74"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0A86247" w14:textId="6E998A8D"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Patient must have a WHO performance status of no</w:t>
            </w:r>
            <w:r w:rsidRPr="00561FF2">
              <w:rPr>
                <w:rFonts w:ascii="Arial Narrow" w:hAnsi="Arial Narrow"/>
                <w:strike/>
                <w:color w:val="000000"/>
                <w:sz w:val="20"/>
                <w:szCs w:val="20"/>
              </w:rPr>
              <w:t>t greater</w:t>
            </w:r>
            <w:r w:rsidRPr="00561FF2">
              <w:rPr>
                <w:rFonts w:ascii="Arial Narrow" w:hAnsi="Arial Narrow"/>
                <w:color w:val="000000"/>
                <w:sz w:val="20"/>
                <w:szCs w:val="20"/>
              </w:rPr>
              <w:t xml:space="preserve"> </w:t>
            </w:r>
            <w:r w:rsidRPr="00561FF2">
              <w:rPr>
                <w:rFonts w:ascii="Arial Narrow" w:hAnsi="Arial Narrow"/>
                <w:i/>
                <w:iCs/>
                <w:color w:val="000000"/>
                <w:sz w:val="20"/>
                <w:szCs w:val="20"/>
              </w:rPr>
              <w:t>higher</w:t>
            </w:r>
            <w:r w:rsidRPr="00561FF2">
              <w:rPr>
                <w:rFonts w:ascii="Arial Narrow" w:hAnsi="Arial Narrow"/>
                <w:color w:val="000000"/>
                <w:sz w:val="20"/>
                <w:szCs w:val="20"/>
              </w:rPr>
              <w:t xml:space="preserve"> than 2,</w:t>
            </w:r>
          </w:p>
        </w:tc>
      </w:tr>
      <w:tr w:rsidR="00A133FD" w:rsidRPr="00561FF2" w14:paraId="06C5CD7F"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25D0CEE" w14:textId="0B8B22D3"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7933AFC5"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D693C1A" w14:textId="331FB1A3"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2D91FEC3"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EEB225C" w14:textId="183FB3EF"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t>The treatment must be the sole PBS-subsidised therapy for this condition.</w:t>
            </w:r>
          </w:p>
        </w:tc>
      </w:tr>
      <w:tr w:rsidR="00A133FD" w:rsidRPr="00561FF2" w14:paraId="46EC234B"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54E7426D" w14:textId="4F1E87C3" w:rsidR="00A133FD" w:rsidRPr="00561FF2" w:rsidRDefault="00A133FD" w:rsidP="00446AA5">
            <w:pPr>
              <w:rPr>
                <w:rFonts w:ascii="Arial Narrow" w:hAnsi="Arial Narrow"/>
                <w:b/>
                <w:bCs/>
                <w:i/>
                <w:iCs/>
                <w:color w:val="000000"/>
                <w:sz w:val="20"/>
                <w:szCs w:val="20"/>
              </w:rPr>
            </w:pPr>
            <w:r w:rsidRPr="00561FF2">
              <w:rPr>
                <w:rFonts w:ascii="Arial Narrow" w:hAnsi="Arial Narrow"/>
                <w:b/>
                <w:bCs/>
                <w:i/>
                <w:iCs/>
                <w:color w:val="000000"/>
                <w:sz w:val="20"/>
                <w:szCs w:val="20"/>
              </w:rPr>
              <w:t>AND</w:t>
            </w:r>
          </w:p>
        </w:tc>
      </w:tr>
      <w:tr w:rsidR="00A133FD" w:rsidRPr="00561FF2" w14:paraId="27DADAC7"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C12C9F6" w14:textId="1B7ED9B6"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524C16BF"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1207DA3D" w14:textId="09458641"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 xml:space="preserve">Patient must have thyroid stimulating hormone adequately </w:t>
            </w:r>
            <w:r w:rsidRPr="00561FF2">
              <w:rPr>
                <w:rFonts w:ascii="Arial Narrow" w:hAnsi="Arial Narrow"/>
                <w:strike/>
                <w:color w:val="000000"/>
                <w:sz w:val="20"/>
                <w:szCs w:val="20"/>
              </w:rPr>
              <w:t>repressed</w:t>
            </w:r>
            <w:r w:rsidRPr="00561FF2">
              <w:rPr>
                <w:rFonts w:ascii="Arial Narrow" w:hAnsi="Arial Narrow"/>
                <w:color w:val="000000"/>
                <w:sz w:val="20"/>
                <w:szCs w:val="20"/>
              </w:rPr>
              <w:t xml:space="preserve"> </w:t>
            </w:r>
            <w:r w:rsidRPr="00561FF2">
              <w:rPr>
                <w:rFonts w:ascii="Arial Narrow" w:hAnsi="Arial Narrow"/>
                <w:i/>
                <w:iCs/>
                <w:color w:val="000000"/>
                <w:sz w:val="20"/>
                <w:szCs w:val="20"/>
              </w:rPr>
              <w:t>supressed</w:t>
            </w:r>
          </w:p>
        </w:tc>
      </w:tr>
      <w:tr w:rsidR="00A133FD" w:rsidRPr="00561FF2" w14:paraId="5864D7B8"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4C118D41" w14:textId="1246FC80" w:rsidR="00A133FD" w:rsidRPr="00561FF2" w:rsidRDefault="00A133FD" w:rsidP="00446AA5">
            <w:pPr>
              <w:rPr>
                <w:rFonts w:ascii="Arial Narrow" w:hAnsi="Arial Narrow"/>
                <w:b/>
                <w:bCs/>
                <w:color w:val="000000"/>
                <w:sz w:val="20"/>
                <w:szCs w:val="20"/>
              </w:rPr>
            </w:pPr>
          </w:p>
        </w:tc>
      </w:tr>
      <w:tr w:rsidR="00A133FD" w:rsidRPr="00561FF2" w14:paraId="3E1BFB5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FB49745" w14:textId="75CFAEAE"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Population criteria:</w:t>
            </w:r>
          </w:p>
        </w:tc>
      </w:tr>
      <w:tr w:rsidR="00A133FD" w:rsidRPr="00561FF2" w14:paraId="05F2C433"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52865189" w14:textId="6A55BCE0" w:rsidR="00A133FD" w:rsidRPr="00561FF2" w:rsidRDefault="00A133FD" w:rsidP="00446AA5">
            <w:pPr>
              <w:rPr>
                <w:rFonts w:ascii="Arial Narrow" w:hAnsi="Arial Narrow"/>
                <w:sz w:val="20"/>
                <w:szCs w:val="20"/>
              </w:rPr>
            </w:pPr>
            <w:r w:rsidRPr="00561FF2">
              <w:rPr>
                <w:rFonts w:ascii="Arial Narrow" w:hAnsi="Arial Narrow"/>
                <w:sz w:val="20"/>
                <w:szCs w:val="20"/>
              </w:rPr>
              <w:t xml:space="preserve">Patient must be aged 12 years or older </w:t>
            </w:r>
          </w:p>
        </w:tc>
      </w:tr>
      <w:tr w:rsidR="00A133FD" w:rsidRPr="00561FF2" w14:paraId="162A728F"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D5D7A52" w14:textId="6CF61EE2" w:rsidR="00A133FD" w:rsidRPr="00561FF2" w:rsidRDefault="00A133FD" w:rsidP="00446AA5">
            <w:pPr>
              <w:rPr>
                <w:rFonts w:ascii="Arial Narrow" w:hAnsi="Arial Narrow"/>
                <w:sz w:val="20"/>
                <w:szCs w:val="20"/>
              </w:rPr>
            </w:pPr>
          </w:p>
        </w:tc>
      </w:tr>
      <w:tr w:rsidR="00A133FD" w:rsidRPr="00561FF2" w14:paraId="59B5D0C4"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5799876" w14:textId="0EF32A13" w:rsidR="00A133FD" w:rsidRPr="00561FF2" w:rsidRDefault="00A133FD" w:rsidP="00446AA5">
            <w:pPr>
              <w:rPr>
                <w:rFonts w:ascii="Arial Narrow" w:hAnsi="Arial Narrow"/>
                <w:b/>
                <w:bCs/>
                <w:sz w:val="20"/>
                <w:szCs w:val="20"/>
              </w:rPr>
            </w:pPr>
            <w:r w:rsidRPr="00561FF2">
              <w:rPr>
                <w:rFonts w:ascii="Arial Narrow" w:hAnsi="Arial Narrow"/>
                <w:b/>
                <w:bCs/>
                <w:sz w:val="20"/>
                <w:szCs w:val="20"/>
              </w:rPr>
              <w:t>Prescribing instructions:</w:t>
            </w:r>
          </w:p>
          <w:p w14:paraId="54DACFC4" w14:textId="6AF47A3E" w:rsidR="00A133FD" w:rsidRPr="00561FF2" w:rsidRDefault="00A133FD" w:rsidP="00446AA5">
            <w:pPr>
              <w:rPr>
                <w:rFonts w:ascii="Arial Narrow" w:hAnsi="Arial Narrow"/>
                <w:sz w:val="20"/>
                <w:szCs w:val="20"/>
              </w:rPr>
            </w:pPr>
            <w:r w:rsidRPr="00561FF2">
              <w:rPr>
                <w:rFonts w:ascii="Arial Narrow" w:hAnsi="Arial Narrow"/>
                <w:sz w:val="20"/>
                <w:szCs w:val="20"/>
              </w:rPr>
              <w:t>Radioactive iodine refractory is defined as:</w:t>
            </w:r>
          </w:p>
          <w:p w14:paraId="6961776E"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a lesion without iodine uptake on a radioactive iodine (RAI) scan; or</w:t>
            </w:r>
          </w:p>
          <w:p w14:paraId="5B2FA002"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having received a cumulative RAI dose of greater than or equal to 600 mCi; or</w:t>
            </w:r>
          </w:p>
          <w:p w14:paraId="4D1A5FE4"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progression within 12 months of a single RAI treatment; or</w:t>
            </w:r>
          </w:p>
          <w:p w14:paraId="07DD8EA4"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progression after two RAI treatments administered within 12 months of each other</w:t>
            </w:r>
          </w:p>
        </w:tc>
      </w:tr>
      <w:tr w:rsidR="00A133FD" w:rsidRPr="00561FF2" w14:paraId="18289CC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F16C8F8" w14:textId="597F7980" w:rsidR="00A133FD" w:rsidRPr="00561FF2" w:rsidRDefault="00A133FD" w:rsidP="00446AA5">
            <w:pPr>
              <w:rPr>
                <w:rFonts w:ascii="Arial Narrow" w:hAnsi="Arial Narrow"/>
                <w:sz w:val="20"/>
                <w:szCs w:val="20"/>
              </w:rPr>
            </w:pPr>
          </w:p>
        </w:tc>
      </w:tr>
      <w:tr w:rsidR="00A133FD" w:rsidRPr="00561FF2" w14:paraId="4374709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9141B9E" w14:textId="6279C032" w:rsidR="00A133FD" w:rsidRPr="00561FF2" w:rsidRDefault="00A133FD" w:rsidP="00446AA5">
            <w:pPr>
              <w:rPr>
                <w:rFonts w:ascii="Arial Narrow" w:hAnsi="Arial Narrow"/>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A133FD" w:rsidRPr="00561FF2" w14:paraId="592BE54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511064F" w14:textId="6AF28EDE"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A133FD" w:rsidRPr="00561FF2" w14:paraId="3C496363"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0407DA2B" w14:textId="567E2D64"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A133FD" w:rsidRPr="00561FF2" w14:paraId="6E7A3A92"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676968B" w14:textId="3891DE0E" w:rsidR="00A133FD" w:rsidRPr="00561FF2" w:rsidRDefault="00A133FD" w:rsidP="00446AA5">
            <w:pPr>
              <w:rPr>
                <w:rFonts w:ascii="Arial Narrow" w:hAnsi="Arial Narrow"/>
                <w:b/>
                <w:bCs/>
                <w:color w:val="000000"/>
                <w:sz w:val="20"/>
                <w:szCs w:val="20"/>
              </w:rPr>
            </w:pPr>
          </w:p>
        </w:tc>
      </w:tr>
      <w:tr w:rsidR="00A133FD" w:rsidRPr="00561FF2" w14:paraId="328D1BBE"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225D857" w14:textId="61B5F346"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60E9719F" w14:textId="3ABCD304"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Response Evaluation Criteria In Solid Tumours (RECIST) is defined as follows:</w:t>
            </w:r>
          </w:p>
          <w:p w14:paraId="76B8CFCD"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2B08F305"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115FD0EC"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23DEB9DD" w14:textId="77777777" w:rsidR="00A133FD" w:rsidRPr="00561FF2" w:rsidRDefault="00A133FD" w:rsidP="00446AA5">
            <w:pPr>
              <w:tabs>
                <w:tab w:val="left" w:pos="5702"/>
              </w:tabs>
              <w:rPr>
                <w:rFonts w:ascii="Arial Narrow" w:hAnsi="Arial Narrow"/>
                <w:b/>
                <w:bCs/>
                <w:color w:val="000000"/>
                <w:sz w:val="20"/>
                <w:szCs w:val="20"/>
              </w:rPr>
            </w:pPr>
            <w:r w:rsidRPr="00561FF2">
              <w:rPr>
                <w:rFonts w:ascii="Arial Narrow" w:hAnsi="Arial Narrow"/>
                <w:color w:val="000000"/>
                <w:sz w:val="20"/>
                <w:szCs w:val="20"/>
              </w:rPr>
              <w:t>Stable disease (SD) is small changes that do not meet above criteria.</w:t>
            </w:r>
            <w:r w:rsidRPr="00561FF2">
              <w:rPr>
                <w:rFonts w:ascii="Arial Narrow" w:hAnsi="Arial Narrow"/>
                <w:color w:val="000000"/>
                <w:sz w:val="20"/>
                <w:szCs w:val="20"/>
              </w:rPr>
              <w:tab/>
            </w:r>
          </w:p>
        </w:tc>
      </w:tr>
      <w:tr w:rsidR="00A133FD" w:rsidRPr="00561FF2" w14:paraId="52676E2F"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A6E144C" w14:textId="438D856D"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Note:</w:t>
            </w:r>
          </w:p>
          <w:p w14:paraId="1C0DA45E"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Vascular endothelial growth factor (VEGF)-targeted tyrosine kinase inhibitor’s (TKI) include: lenvatinib</w:t>
            </w:r>
          </w:p>
        </w:tc>
      </w:tr>
    </w:tbl>
    <w:p w14:paraId="08C39678" w14:textId="77777777" w:rsidR="00921437" w:rsidRPr="00561FF2" w:rsidRDefault="00921437" w:rsidP="00921437">
      <w:pPr>
        <w:rPr>
          <w:highlight w:val="yellow"/>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2362"/>
        <w:gridCol w:w="811"/>
        <w:gridCol w:w="810"/>
        <w:gridCol w:w="811"/>
        <w:gridCol w:w="1883"/>
      </w:tblGrid>
      <w:tr w:rsidR="00BA74FA" w:rsidRPr="00561FF2" w14:paraId="2F56869B" w14:textId="77777777" w:rsidTr="00555944">
        <w:trPr>
          <w:cantSplit/>
          <w:trHeight w:val="578"/>
        </w:trPr>
        <w:tc>
          <w:tcPr>
            <w:tcW w:w="2323" w:type="dxa"/>
            <w:vAlign w:val="center"/>
          </w:tcPr>
          <w:p w14:paraId="54B1C048" w14:textId="77777777" w:rsidR="00BA74FA" w:rsidRPr="00561FF2" w:rsidRDefault="00BA74FA" w:rsidP="00446AA5">
            <w:pPr>
              <w:keepNext/>
              <w:keepLines/>
              <w:jc w:val="left"/>
              <w:rPr>
                <w:rFonts w:ascii="Arial Narrow" w:eastAsia="Calibri" w:hAnsi="Arial Narrow"/>
                <w:b/>
                <w:bCs/>
                <w:kern w:val="2"/>
                <w:sz w:val="20"/>
                <w:szCs w:val="20"/>
                <w14:ligatures w14:val="standardContextual"/>
              </w:rPr>
            </w:pPr>
            <w:r w:rsidRPr="00561FF2">
              <w:rPr>
                <w:rFonts w:ascii="Arial Narrow" w:eastAsia="Calibri" w:hAnsi="Arial Narrow"/>
                <w:b/>
                <w:bCs/>
                <w:kern w:val="2"/>
                <w:sz w:val="20"/>
                <w:szCs w:val="20"/>
                <w14:ligatures w14:val="standardContextual"/>
              </w:rPr>
              <w:t>MEDICINAL PRODUCT</w:t>
            </w:r>
          </w:p>
          <w:p w14:paraId="422A730E" w14:textId="77777777" w:rsidR="00BA74FA" w:rsidRPr="00561FF2" w:rsidRDefault="00BA74FA" w:rsidP="00446AA5">
            <w:pPr>
              <w:keepNext/>
              <w:keepLines/>
              <w:jc w:val="left"/>
              <w:rPr>
                <w:rFonts w:ascii="Arial Narrow" w:eastAsia="Calibri" w:hAnsi="Arial Narrow"/>
                <w:b/>
                <w:kern w:val="2"/>
                <w:sz w:val="20"/>
                <w:szCs w:val="20"/>
                <w14:ligatures w14:val="standardContextual"/>
              </w:rPr>
            </w:pPr>
            <w:r w:rsidRPr="00561FF2">
              <w:rPr>
                <w:rFonts w:ascii="Arial Narrow" w:eastAsia="Calibri" w:hAnsi="Arial Narrow"/>
                <w:b/>
                <w:bCs/>
                <w:kern w:val="2"/>
                <w:sz w:val="20"/>
                <w:szCs w:val="20"/>
                <w14:ligatures w14:val="standardContextual"/>
              </w:rPr>
              <w:t>medicinal product pack</w:t>
            </w:r>
          </w:p>
        </w:tc>
        <w:tc>
          <w:tcPr>
            <w:tcW w:w="2362" w:type="dxa"/>
            <w:vAlign w:val="center"/>
          </w:tcPr>
          <w:p w14:paraId="718CC550" w14:textId="77777777" w:rsidR="00BA74FA" w:rsidRPr="00561FF2" w:rsidRDefault="00BA74FA" w:rsidP="00446AA5">
            <w:pPr>
              <w:keepNext/>
              <w:keepLines/>
              <w:jc w:val="center"/>
              <w:rPr>
                <w:rFonts w:ascii="Arial Narrow" w:hAnsi="Arial Narrow"/>
                <w:b/>
                <w:sz w:val="20"/>
                <w:szCs w:val="20"/>
              </w:rPr>
            </w:pPr>
            <w:r w:rsidRPr="00561FF2">
              <w:rPr>
                <w:rFonts w:ascii="Arial Narrow" w:hAnsi="Arial Narrow"/>
                <w:b/>
                <w:snapToGrid w:val="0"/>
                <w:sz w:val="20"/>
              </w:rPr>
              <w:t>Dispensed Price for Max. Qty</w:t>
            </w:r>
          </w:p>
        </w:tc>
        <w:tc>
          <w:tcPr>
            <w:tcW w:w="811" w:type="dxa"/>
            <w:vAlign w:val="center"/>
          </w:tcPr>
          <w:p w14:paraId="407A771D" w14:textId="77777777" w:rsidR="00BA74FA" w:rsidRPr="00561FF2" w:rsidRDefault="00BA74FA" w:rsidP="00555944">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packs</w:t>
            </w:r>
          </w:p>
        </w:tc>
        <w:tc>
          <w:tcPr>
            <w:tcW w:w="810" w:type="dxa"/>
            <w:vAlign w:val="center"/>
          </w:tcPr>
          <w:p w14:paraId="3538607D"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units</w:t>
            </w:r>
          </w:p>
        </w:tc>
        <w:tc>
          <w:tcPr>
            <w:tcW w:w="811" w:type="dxa"/>
            <w:vAlign w:val="center"/>
          </w:tcPr>
          <w:p w14:paraId="4EDA63CA"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 of</w:t>
            </w:r>
          </w:p>
          <w:p w14:paraId="2B33280E"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Rpts</w:t>
            </w:r>
          </w:p>
        </w:tc>
        <w:tc>
          <w:tcPr>
            <w:tcW w:w="1883" w:type="dxa"/>
            <w:vAlign w:val="center"/>
          </w:tcPr>
          <w:p w14:paraId="64947B99" w14:textId="77777777" w:rsidR="00BA74FA" w:rsidRPr="00561FF2" w:rsidRDefault="00BA74FA" w:rsidP="00446AA5">
            <w:pPr>
              <w:keepNext/>
              <w:keepLines/>
              <w:spacing w:after="160" w:line="259" w:lineRule="auto"/>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Available brands</w:t>
            </w:r>
          </w:p>
        </w:tc>
      </w:tr>
      <w:tr w:rsidR="00BA74FA" w:rsidRPr="00561FF2" w14:paraId="58229C0E" w14:textId="77777777" w:rsidTr="00446AA5">
        <w:trPr>
          <w:cantSplit/>
          <w:trHeight w:val="17"/>
        </w:trPr>
        <w:tc>
          <w:tcPr>
            <w:tcW w:w="9000" w:type="dxa"/>
            <w:gridSpan w:val="6"/>
            <w:vAlign w:val="center"/>
          </w:tcPr>
          <w:p w14:paraId="2576C2F9" w14:textId="77777777" w:rsidR="00BA74FA" w:rsidRPr="00561FF2" w:rsidRDefault="00BA74FA" w:rsidP="00446AA5">
            <w:pPr>
              <w:keepNext/>
              <w:keepLines/>
              <w:rPr>
                <w:rFonts w:ascii="Arial Narrow" w:hAnsi="Arial Narrow" w:cs="Arial"/>
                <w:bCs/>
                <w:sz w:val="20"/>
                <w:szCs w:val="20"/>
              </w:rPr>
            </w:pPr>
            <w:r w:rsidRPr="00561FF2">
              <w:rPr>
                <w:rFonts w:ascii="Arial Narrow" w:hAnsi="Arial Narrow" w:cs="Arial"/>
                <w:bCs/>
                <w:sz w:val="20"/>
                <w:szCs w:val="20"/>
              </w:rPr>
              <w:t>CABOZANTINIB</w:t>
            </w:r>
          </w:p>
        </w:tc>
      </w:tr>
      <w:tr w:rsidR="00BA74FA" w:rsidRPr="00561FF2" w14:paraId="48AB6595" w14:textId="77777777" w:rsidTr="00446AA5">
        <w:trPr>
          <w:cantSplit/>
          <w:trHeight w:val="17"/>
        </w:trPr>
        <w:tc>
          <w:tcPr>
            <w:tcW w:w="2323" w:type="dxa"/>
            <w:vAlign w:val="center"/>
          </w:tcPr>
          <w:p w14:paraId="42C99782" w14:textId="77777777" w:rsidR="00BA74FA" w:rsidRPr="00561FF2" w:rsidRDefault="00BA74FA" w:rsidP="00446AA5">
            <w:pPr>
              <w:keepNext/>
              <w:keepLines/>
              <w:rPr>
                <w:rFonts w:ascii="Arial Narrow" w:hAnsi="Arial Narrow"/>
                <w:bCs/>
                <w:sz w:val="20"/>
              </w:rPr>
            </w:pPr>
            <w:r w:rsidRPr="00561FF2">
              <w:rPr>
                <w:rFonts w:ascii="Arial Narrow" w:hAnsi="Arial Narrow"/>
                <w:bCs/>
                <w:sz w:val="20"/>
              </w:rPr>
              <w:t>Cabozantinib</w:t>
            </w:r>
          </w:p>
          <w:p w14:paraId="4AC62893"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20 mg tablet, 30 </w:t>
            </w:r>
          </w:p>
          <w:p w14:paraId="2F0F5AC8"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40 mg tablet, 30</w:t>
            </w:r>
          </w:p>
          <w:p w14:paraId="7B1A7A27"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60 mg tablet, 30</w:t>
            </w:r>
          </w:p>
        </w:tc>
        <w:tc>
          <w:tcPr>
            <w:tcW w:w="2362" w:type="dxa"/>
          </w:tcPr>
          <w:p w14:paraId="41CD1FA8" w14:textId="77777777" w:rsidR="00BA74FA" w:rsidRPr="00561FF2" w:rsidRDefault="00BA74FA" w:rsidP="00446AA5">
            <w:pPr>
              <w:keepNext/>
              <w:keepLines/>
              <w:jc w:val="center"/>
              <w:rPr>
                <w:rFonts w:ascii="Arial Narrow" w:hAnsi="Arial Narrow"/>
                <w:bCs/>
                <w:sz w:val="20"/>
              </w:rPr>
            </w:pPr>
          </w:p>
          <w:p w14:paraId="754442AD" w14:textId="0F9F2E00" w:rsidR="00BA74FA" w:rsidRPr="00561FF2" w:rsidRDefault="00BA74FA" w:rsidP="00446AA5">
            <w:pPr>
              <w:keepNext/>
              <w:keepLines/>
              <w:jc w:val="center"/>
              <w:rPr>
                <w:rFonts w:ascii="Arial Narrow" w:hAnsi="Arial Narrow"/>
                <w:bCs/>
                <w:sz w:val="20"/>
                <w:szCs w:val="20"/>
              </w:rPr>
            </w:pPr>
            <w:r w:rsidRPr="00561FF2">
              <w:rPr>
                <w:rFonts w:ascii="Arial Narrow" w:hAnsi="Arial Narrow"/>
                <w:bCs/>
                <w:sz w:val="20"/>
              </w:rPr>
              <w:t>Published: $9,962.13 Effective: $</w:t>
            </w:r>
            <w:r w:rsidR="00E447F1" w:rsidRPr="00E447F1">
              <w:rPr>
                <w:rFonts w:ascii="Arial Narrow" w:hAnsi="Arial Narrow"/>
                <w:bCs/>
                <w:color w:val="000000"/>
                <w:sz w:val="20"/>
                <w:shd w:val="solid" w:color="000000" w:fill="000000"/>
                <w14:textFill>
                  <w14:solidFill>
                    <w14:srgbClr w14:val="000000">
                      <w14:alpha w14:val="100000"/>
                    </w14:srgbClr>
                  </w14:solidFill>
                </w14:textFill>
              </w:rPr>
              <w:t>|</w:t>
            </w:r>
            <w:r w:rsidRPr="00561FF2">
              <w:rPr>
                <w:rFonts w:ascii="Arial Narrow" w:hAnsi="Arial Narrow"/>
                <w:bCs/>
                <w:sz w:val="20"/>
              </w:rPr>
              <w:t xml:space="preserve"> </w:t>
            </w:r>
          </w:p>
        </w:tc>
        <w:tc>
          <w:tcPr>
            <w:tcW w:w="811" w:type="dxa"/>
            <w:vAlign w:val="center"/>
          </w:tcPr>
          <w:p w14:paraId="56BECE19"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1</w:t>
            </w:r>
          </w:p>
        </w:tc>
        <w:tc>
          <w:tcPr>
            <w:tcW w:w="810" w:type="dxa"/>
            <w:vAlign w:val="center"/>
          </w:tcPr>
          <w:p w14:paraId="70F57A9B"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30</w:t>
            </w:r>
          </w:p>
        </w:tc>
        <w:tc>
          <w:tcPr>
            <w:tcW w:w="811" w:type="dxa"/>
            <w:vAlign w:val="center"/>
          </w:tcPr>
          <w:p w14:paraId="146D913C" w14:textId="235A5B4D"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5</w:t>
            </w:r>
          </w:p>
        </w:tc>
        <w:tc>
          <w:tcPr>
            <w:tcW w:w="1883" w:type="dxa"/>
            <w:vAlign w:val="center"/>
          </w:tcPr>
          <w:p w14:paraId="4A696744" w14:textId="77777777" w:rsidR="00BA74FA" w:rsidRPr="00561FF2" w:rsidRDefault="00BA74FA" w:rsidP="00446AA5">
            <w:pPr>
              <w:keepNext/>
              <w:keepLines/>
              <w:spacing w:after="160" w:line="259" w:lineRule="auto"/>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Cabometyx, </w:t>
            </w:r>
            <w:r w:rsidRPr="00561FF2">
              <w:rPr>
                <w:rFonts w:ascii="Arial Narrow" w:eastAsia="Calibri" w:hAnsi="Arial Narrow"/>
                <w:kern w:val="2"/>
                <w:sz w:val="20"/>
                <w:szCs w:val="20"/>
                <w14:ligatures w14:val="standardContextual"/>
              </w:rPr>
              <w:br/>
              <w:t>Ipsen Pty Ltd</w:t>
            </w:r>
          </w:p>
        </w:tc>
      </w:tr>
    </w:tbl>
    <w:p w14:paraId="0C119A34" w14:textId="77777777" w:rsidR="00BA74FA" w:rsidRPr="00561FF2" w:rsidRDefault="00BA74FA" w:rsidP="00921437">
      <w:pPr>
        <w:rPr>
          <w:highlight w:val="yellow"/>
        </w:rPr>
      </w:pPr>
    </w:p>
    <w:tbl>
      <w:tblPr>
        <w:tblW w:w="4988" w:type="pct"/>
        <w:tblLook w:val="0000" w:firstRow="0" w:lastRow="0" w:firstColumn="0" w:lastColumn="0" w:noHBand="0" w:noVBand="0"/>
      </w:tblPr>
      <w:tblGrid>
        <w:gridCol w:w="8994"/>
      </w:tblGrid>
      <w:tr w:rsidR="00A133FD" w:rsidRPr="00561FF2" w14:paraId="766E97DB" w14:textId="77777777" w:rsidTr="00A133FD">
        <w:trPr>
          <w:trHeight w:val="170"/>
        </w:trPr>
        <w:tc>
          <w:tcPr>
            <w:tcW w:w="5000" w:type="pct"/>
            <w:tcBorders>
              <w:top w:val="single" w:sz="4" w:space="0" w:color="auto"/>
              <w:left w:val="single" w:sz="4" w:space="0" w:color="auto"/>
              <w:bottom w:val="single" w:sz="4" w:space="0" w:color="auto"/>
              <w:right w:val="single" w:sz="4" w:space="0" w:color="auto"/>
            </w:tcBorders>
          </w:tcPr>
          <w:p w14:paraId="7CC3966C" w14:textId="4DBEB60F"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A133FD" w:rsidRPr="00561FF2" w14:paraId="10222940"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0BC498AF" w14:textId="4EFE95AB"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A133FD" w:rsidRPr="00561FF2" w14:paraId="3B1866F5" w14:textId="77777777" w:rsidTr="00A133FD">
        <w:trPr>
          <w:trHeight w:val="74"/>
        </w:trPr>
        <w:tc>
          <w:tcPr>
            <w:tcW w:w="5000" w:type="pct"/>
            <w:tcBorders>
              <w:top w:val="single" w:sz="4" w:space="0" w:color="auto"/>
              <w:left w:val="single" w:sz="4" w:space="0" w:color="auto"/>
              <w:bottom w:val="single" w:sz="4" w:space="0" w:color="auto"/>
              <w:right w:val="single" w:sz="4" w:space="0" w:color="auto"/>
            </w:tcBorders>
          </w:tcPr>
          <w:p w14:paraId="09952E28" w14:textId="564A1B67"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A133FD" w:rsidRPr="00561FF2" w14:paraId="5C6BE5F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232A836" w14:textId="46819D69" w:rsidR="00A133FD" w:rsidRPr="00561FF2" w:rsidRDefault="00A133FD" w:rsidP="00446AA5">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A133FD" w:rsidRPr="00561FF2" w14:paraId="058E3F2B"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26270CD" w14:textId="61ED0064"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 (DTC)</w:t>
            </w:r>
          </w:p>
        </w:tc>
      </w:tr>
      <w:tr w:rsidR="00A133FD" w:rsidRPr="00561FF2" w14:paraId="2B9E4E48"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3D1A0E2B" w14:textId="73B26E26"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Advanced or metastatic differentiated thyroid carcinoma</w:t>
            </w:r>
          </w:p>
        </w:tc>
      </w:tr>
      <w:tr w:rsidR="00A133FD" w:rsidRPr="00561FF2" w14:paraId="41C34C83"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32DDEA5" w14:textId="5C166086"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Continuing treatment </w:t>
            </w:r>
          </w:p>
        </w:tc>
      </w:tr>
      <w:tr w:rsidR="00A133FD" w:rsidRPr="00561FF2" w14:paraId="4EC3DB71"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C5B1F11" w14:textId="4D2CE6DB" w:rsidR="00A133FD" w:rsidRPr="00561FF2" w:rsidRDefault="00A133FD" w:rsidP="00446AA5">
            <w:pPr>
              <w:rPr>
                <w:rFonts w:ascii="Arial Narrow" w:hAnsi="Arial Narrow"/>
                <w:b/>
                <w:bCs/>
                <w:color w:val="000000"/>
                <w:sz w:val="20"/>
                <w:szCs w:val="20"/>
              </w:rPr>
            </w:pPr>
          </w:p>
        </w:tc>
      </w:tr>
      <w:tr w:rsidR="00A133FD" w:rsidRPr="00561FF2" w14:paraId="3654956F"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4AC65917" w14:textId="1C8DD3ED"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1668164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5F58123" w14:textId="30546630"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lastRenderedPageBreak/>
              <w:t>The condition must be refractory to radioactive iodine; or</w:t>
            </w:r>
          </w:p>
        </w:tc>
      </w:tr>
      <w:tr w:rsidR="00A133FD" w:rsidRPr="00561FF2" w14:paraId="66E2F195"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22C41BE" w14:textId="45FB3152"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A133FD" w:rsidRPr="00561FF2" w14:paraId="584F8DE1"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2B5ADFFC" w14:textId="210A973E"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28AF669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F02C794" w14:textId="2466A5B2"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6394081F"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C005399" w14:textId="4B755C4E" w:rsidR="00A133FD" w:rsidRPr="00561FF2" w:rsidRDefault="00A133FD" w:rsidP="00446AA5">
            <w:pPr>
              <w:rPr>
                <w:rFonts w:ascii="Arial Narrow" w:hAnsi="Arial Narrow" w:cs="Calibri"/>
                <w:color w:val="000000"/>
                <w:sz w:val="20"/>
                <w:szCs w:val="20"/>
              </w:rPr>
            </w:pPr>
            <w:r w:rsidRPr="00561FF2">
              <w:rPr>
                <w:rFonts w:ascii="Arial Narrow" w:hAnsi="Arial Narrow" w:cs="Calibri"/>
                <w:color w:val="000000"/>
                <w:sz w:val="20"/>
                <w:szCs w:val="20"/>
              </w:rPr>
              <w:t>Patient must have previously received PBS-subsidised treatment with this drug for this condition</w:t>
            </w:r>
            <w:r w:rsidRPr="00561FF2">
              <w:rPr>
                <w:rFonts w:ascii="Arial Narrow" w:hAnsi="Arial Narrow"/>
                <w:sz w:val="20"/>
              </w:rPr>
              <w:t>,</w:t>
            </w:r>
          </w:p>
        </w:tc>
      </w:tr>
      <w:tr w:rsidR="00A133FD" w:rsidRPr="00561FF2" w14:paraId="7AF21BE8"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41086AB3" w14:textId="20D57F26"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7CA098EA"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5258D0A" w14:textId="56D119AB"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6CF9757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8173282" w14:textId="5E95471B"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Treatment must be the sole PBS-subsidised therapy for this condition.</w:t>
            </w:r>
          </w:p>
        </w:tc>
      </w:tr>
      <w:tr w:rsidR="00A133FD" w:rsidRPr="00561FF2" w14:paraId="1802EC5F"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91C9167" w14:textId="67F73329"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08E60721"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332A4B8" w14:textId="7216C83E"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1A24DBE0"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BAC401F" w14:textId="5B5902E4" w:rsidR="00A133FD" w:rsidRPr="00561FF2" w:rsidRDefault="00A133FD" w:rsidP="00446AA5">
            <w:pPr>
              <w:rPr>
                <w:rFonts w:ascii="Arial Narrow" w:hAnsi="Arial Narrow"/>
                <w:b/>
                <w:bCs/>
                <w:color w:val="000000"/>
                <w:sz w:val="20"/>
                <w:szCs w:val="20"/>
              </w:rPr>
            </w:pPr>
            <w:r w:rsidRPr="00561FF2">
              <w:rPr>
                <w:rFonts w:ascii="Arial Narrow" w:hAnsi="Arial Narrow" w:cs="Calibri"/>
                <w:color w:val="000000"/>
                <w:sz w:val="20"/>
                <w:szCs w:val="20"/>
              </w:rPr>
              <w:t>Patient must have stable or responding disease according to the Response Evaluation Criteria In Solid Tumours (RECIST).</w:t>
            </w:r>
          </w:p>
        </w:tc>
      </w:tr>
      <w:tr w:rsidR="00A133FD" w:rsidRPr="00561FF2" w14:paraId="7DCC802B"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313E889" w14:textId="636EB4F2" w:rsidR="00A133FD" w:rsidRPr="00561FF2" w:rsidRDefault="00A133FD" w:rsidP="00446AA5">
            <w:pPr>
              <w:rPr>
                <w:rFonts w:ascii="Arial Narrow" w:hAnsi="Arial Narrow"/>
                <w:sz w:val="20"/>
                <w:szCs w:val="20"/>
              </w:rPr>
            </w:pPr>
          </w:p>
        </w:tc>
      </w:tr>
      <w:tr w:rsidR="00A133FD" w:rsidRPr="00561FF2" w14:paraId="794BD682"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78F20F8F" w14:textId="77777777"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A133FD" w:rsidRPr="00561FF2" w14:paraId="160726E6"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95DFEDD" w14:textId="62B67CDD"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A133FD" w:rsidRPr="00561FF2" w14:paraId="6AFDB9E4"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2B6C0B64" w14:textId="0EBB1688"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A133FD" w:rsidRPr="00561FF2" w14:paraId="4D0E3D45"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41A0B360" w14:textId="6E246069" w:rsidR="00A133FD" w:rsidRPr="00561FF2" w:rsidRDefault="00A133FD" w:rsidP="00446AA5">
            <w:pPr>
              <w:rPr>
                <w:rFonts w:ascii="Arial Narrow" w:hAnsi="Arial Narrow"/>
                <w:b/>
                <w:bCs/>
                <w:color w:val="000000"/>
                <w:sz w:val="20"/>
                <w:szCs w:val="20"/>
              </w:rPr>
            </w:pPr>
          </w:p>
        </w:tc>
      </w:tr>
      <w:tr w:rsidR="00A133FD" w:rsidRPr="00561FF2" w14:paraId="0CD5BD71"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36516046" w14:textId="2BE7EAD7"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6AE73FF5" w14:textId="392F783F"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Response Evaluation Criteria In Solid Tumours (RECIST) is defined as follows:</w:t>
            </w:r>
          </w:p>
          <w:p w14:paraId="448D94BD"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068FDE85"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58584F35"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4EE39B9D"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Stable disease (SD) is small changes that do not meet above criteria.</w:t>
            </w:r>
          </w:p>
        </w:tc>
      </w:tr>
      <w:tr w:rsidR="00A133FD" w:rsidRPr="00561FF2" w14:paraId="52555FD3"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7ED13EA3" w14:textId="725F178A" w:rsidR="00A133FD" w:rsidRPr="00561FF2" w:rsidRDefault="00A133FD" w:rsidP="00446AA5">
            <w:pPr>
              <w:rPr>
                <w:rFonts w:ascii="Arial Narrow" w:hAnsi="Arial Narrow"/>
                <w:b/>
                <w:bCs/>
                <w:strike/>
                <w:color w:val="000000"/>
                <w:sz w:val="20"/>
                <w:szCs w:val="20"/>
              </w:rPr>
            </w:pPr>
            <w:r w:rsidRPr="00561FF2">
              <w:rPr>
                <w:rFonts w:ascii="Arial Narrow" w:hAnsi="Arial Narrow"/>
                <w:b/>
                <w:bCs/>
                <w:strike/>
                <w:color w:val="000000"/>
                <w:sz w:val="20"/>
                <w:szCs w:val="20"/>
              </w:rPr>
              <w:t>Note:</w:t>
            </w:r>
          </w:p>
          <w:p w14:paraId="3C5CE1F6" w14:textId="77777777" w:rsidR="00A133FD" w:rsidRPr="00561FF2" w:rsidRDefault="00A133FD" w:rsidP="00446AA5">
            <w:pPr>
              <w:rPr>
                <w:rFonts w:ascii="Arial Narrow" w:hAnsi="Arial Narrow"/>
                <w:color w:val="000000"/>
                <w:sz w:val="20"/>
                <w:szCs w:val="20"/>
              </w:rPr>
            </w:pPr>
            <w:r w:rsidRPr="00561FF2">
              <w:rPr>
                <w:rFonts w:ascii="Arial Narrow" w:hAnsi="Arial Narrow"/>
                <w:strike/>
                <w:color w:val="000000"/>
                <w:sz w:val="20"/>
                <w:szCs w:val="20"/>
              </w:rPr>
              <w:t>Vascular endothelial growth factor (VEGF)-targeted tyrosine kinase inhibitor’s (TKI) include: lenvatinib</w:t>
            </w:r>
          </w:p>
        </w:tc>
      </w:tr>
    </w:tbl>
    <w:p w14:paraId="5A9ED8CE" w14:textId="77777777" w:rsidR="00BA74FA" w:rsidRPr="00561FF2" w:rsidRDefault="00BA74FA" w:rsidP="00921437">
      <w:pPr>
        <w:rPr>
          <w:highlight w:val="yellow"/>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2362"/>
        <w:gridCol w:w="811"/>
        <w:gridCol w:w="810"/>
        <w:gridCol w:w="811"/>
        <w:gridCol w:w="1883"/>
      </w:tblGrid>
      <w:tr w:rsidR="00BA74FA" w:rsidRPr="00561FF2" w14:paraId="1AB3DD2D" w14:textId="77777777" w:rsidTr="00446AA5">
        <w:trPr>
          <w:cantSplit/>
          <w:trHeight w:val="374"/>
        </w:trPr>
        <w:tc>
          <w:tcPr>
            <w:tcW w:w="2323" w:type="dxa"/>
            <w:vAlign w:val="center"/>
          </w:tcPr>
          <w:p w14:paraId="65456948" w14:textId="77777777" w:rsidR="00BA74FA" w:rsidRPr="00561FF2" w:rsidRDefault="00BA74FA" w:rsidP="00446AA5">
            <w:pPr>
              <w:keepNext/>
              <w:keepLines/>
              <w:jc w:val="left"/>
              <w:rPr>
                <w:rFonts w:ascii="Arial Narrow" w:eastAsia="Calibri" w:hAnsi="Arial Narrow"/>
                <w:b/>
                <w:bCs/>
                <w:kern w:val="2"/>
                <w:sz w:val="20"/>
                <w:szCs w:val="20"/>
                <w14:ligatures w14:val="standardContextual"/>
              </w:rPr>
            </w:pPr>
            <w:r w:rsidRPr="00561FF2">
              <w:rPr>
                <w:rFonts w:ascii="Arial Narrow" w:eastAsia="Calibri" w:hAnsi="Arial Narrow"/>
                <w:b/>
                <w:bCs/>
                <w:kern w:val="2"/>
                <w:sz w:val="20"/>
                <w:szCs w:val="20"/>
                <w14:ligatures w14:val="standardContextual"/>
              </w:rPr>
              <w:t>MEDICINAL PRODUCT</w:t>
            </w:r>
          </w:p>
          <w:p w14:paraId="32E4D5CF" w14:textId="77777777" w:rsidR="00BA74FA" w:rsidRPr="00561FF2" w:rsidRDefault="00BA74FA" w:rsidP="00446AA5">
            <w:pPr>
              <w:keepNext/>
              <w:keepLines/>
              <w:jc w:val="left"/>
              <w:rPr>
                <w:rFonts w:ascii="Arial Narrow" w:eastAsia="Calibri" w:hAnsi="Arial Narrow"/>
                <w:b/>
                <w:kern w:val="2"/>
                <w:sz w:val="20"/>
                <w:szCs w:val="20"/>
                <w14:ligatures w14:val="standardContextual"/>
              </w:rPr>
            </w:pPr>
            <w:r w:rsidRPr="00561FF2">
              <w:rPr>
                <w:rFonts w:ascii="Arial Narrow" w:eastAsia="Calibri" w:hAnsi="Arial Narrow"/>
                <w:b/>
                <w:bCs/>
                <w:kern w:val="2"/>
                <w:sz w:val="20"/>
                <w:szCs w:val="20"/>
                <w14:ligatures w14:val="standardContextual"/>
              </w:rPr>
              <w:t>medicinal product pack</w:t>
            </w:r>
          </w:p>
        </w:tc>
        <w:tc>
          <w:tcPr>
            <w:tcW w:w="2362" w:type="dxa"/>
            <w:vAlign w:val="center"/>
          </w:tcPr>
          <w:p w14:paraId="0FEB3A32" w14:textId="77777777" w:rsidR="00BA74FA" w:rsidRPr="00561FF2" w:rsidRDefault="00BA74FA" w:rsidP="00446AA5">
            <w:pPr>
              <w:keepNext/>
              <w:keepLines/>
              <w:jc w:val="center"/>
              <w:rPr>
                <w:rFonts w:ascii="Arial Narrow" w:hAnsi="Arial Narrow"/>
                <w:b/>
                <w:sz w:val="20"/>
                <w:szCs w:val="20"/>
              </w:rPr>
            </w:pPr>
            <w:r w:rsidRPr="00561FF2">
              <w:rPr>
                <w:rFonts w:ascii="Arial Narrow" w:hAnsi="Arial Narrow"/>
                <w:b/>
                <w:snapToGrid w:val="0"/>
                <w:sz w:val="20"/>
              </w:rPr>
              <w:t>Dispensed Price for Max. Qty</w:t>
            </w:r>
          </w:p>
        </w:tc>
        <w:tc>
          <w:tcPr>
            <w:tcW w:w="811" w:type="dxa"/>
            <w:vAlign w:val="center"/>
          </w:tcPr>
          <w:p w14:paraId="4E245B64" w14:textId="77777777" w:rsidR="00BA74FA" w:rsidRPr="00561FF2" w:rsidRDefault="00BA74FA" w:rsidP="00555944">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packs</w:t>
            </w:r>
          </w:p>
        </w:tc>
        <w:tc>
          <w:tcPr>
            <w:tcW w:w="810" w:type="dxa"/>
            <w:vAlign w:val="center"/>
          </w:tcPr>
          <w:p w14:paraId="63D2F340"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units</w:t>
            </w:r>
          </w:p>
        </w:tc>
        <w:tc>
          <w:tcPr>
            <w:tcW w:w="811" w:type="dxa"/>
            <w:vAlign w:val="center"/>
          </w:tcPr>
          <w:p w14:paraId="2ECADBFB"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 of</w:t>
            </w:r>
          </w:p>
          <w:p w14:paraId="3765FE15" w14:textId="77777777" w:rsidR="00BA74FA" w:rsidRPr="00561FF2" w:rsidRDefault="00BA74FA" w:rsidP="00446AA5">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Rpts</w:t>
            </w:r>
          </w:p>
        </w:tc>
        <w:tc>
          <w:tcPr>
            <w:tcW w:w="1883" w:type="dxa"/>
            <w:vAlign w:val="center"/>
          </w:tcPr>
          <w:p w14:paraId="5ED1338F" w14:textId="77777777" w:rsidR="00BA74FA" w:rsidRPr="00561FF2" w:rsidRDefault="00BA74FA" w:rsidP="00446AA5">
            <w:pPr>
              <w:keepNext/>
              <w:keepLines/>
              <w:spacing w:after="160" w:line="259" w:lineRule="auto"/>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Available brands</w:t>
            </w:r>
          </w:p>
        </w:tc>
      </w:tr>
      <w:tr w:rsidR="00BA74FA" w:rsidRPr="00561FF2" w14:paraId="7C32767B" w14:textId="77777777" w:rsidTr="00446AA5">
        <w:trPr>
          <w:cantSplit/>
          <w:trHeight w:val="17"/>
        </w:trPr>
        <w:tc>
          <w:tcPr>
            <w:tcW w:w="9000" w:type="dxa"/>
            <w:gridSpan w:val="6"/>
            <w:vAlign w:val="center"/>
          </w:tcPr>
          <w:p w14:paraId="0138D43A" w14:textId="77777777" w:rsidR="00BA74FA" w:rsidRPr="00561FF2" w:rsidRDefault="00BA74FA" w:rsidP="00446AA5">
            <w:pPr>
              <w:keepNext/>
              <w:keepLines/>
              <w:rPr>
                <w:rFonts w:ascii="Arial Narrow" w:hAnsi="Arial Narrow" w:cs="Arial"/>
                <w:bCs/>
                <w:sz w:val="20"/>
                <w:szCs w:val="20"/>
              </w:rPr>
            </w:pPr>
            <w:r w:rsidRPr="00561FF2">
              <w:rPr>
                <w:rFonts w:ascii="Arial Narrow" w:hAnsi="Arial Narrow" w:cs="Arial"/>
                <w:bCs/>
                <w:sz w:val="20"/>
                <w:szCs w:val="20"/>
              </w:rPr>
              <w:t>CABOZANTINIB</w:t>
            </w:r>
          </w:p>
        </w:tc>
      </w:tr>
      <w:tr w:rsidR="00BA74FA" w:rsidRPr="00561FF2" w14:paraId="1F56AFA0" w14:textId="77777777" w:rsidTr="00446AA5">
        <w:trPr>
          <w:cantSplit/>
          <w:trHeight w:val="17"/>
        </w:trPr>
        <w:tc>
          <w:tcPr>
            <w:tcW w:w="2323" w:type="dxa"/>
            <w:vAlign w:val="center"/>
          </w:tcPr>
          <w:p w14:paraId="36F83C7B" w14:textId="77777777" w:rsidR="00BA74FA" w:rsidRPr="00561FF2" w:rsidRDefault="00BA74FA" w:rsidP="00446AA5">
            <w:pPr>
              <w:keepNext/>
              <w:keepLines/>
              <w:rPr>
                <w:rFonts w:ascii="Arial Narrow" w:hAnsi="Arial Narrow"/>
                <w:bCs/>
                <w:sz w:val="20"/>
              </w:rPr>
            </w:pPr>
            <w:r w:rsidRPr="00561FF2">
              <w:rPr>
                <w:rFonts w:ascii="Arial Narrow" w:hAnsi="Arial Narrow"/>
                <w:bCs/>
                <w:sz w:val="20"/>
              </w:rPr>
              <w:t>Cabozantinib</w:t>
            </w:r>
          </w:p>
          <w:p w14:paraId="6C34F9FF"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20 mg tablet, 30 </w:t>
            </w:r>
          </w:p>
          <w:p w14:paraId="47679822"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40 mg tablet, 30</w:t>
            </w:r>
          </w:p>
          <w:p w14:paraId="6C442ACA" w14:textId="77777777" w:rsidR="00BA74FA" w:rsidRPr="00561FF2" w:rsidRDefault="00BA74FA" w:rsidP="00446AA5">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60 mg tablet, 30</w:t>
            </w:r>
          </w:p>
        </w:tc>
        <w:tc>
          <w:tcPr>
            <w:tcW w:w="2362" w:type="dxa"/>
          </w:tcPr>
          <w:p w14:paraId="0E2A6A71" w14:textId="77777777" w:rsidR="00BA74FA" w:rsidRPr="00561FF2" w:rsidRDefault="00BA74FA" w:rsidP="00446AA5">
            <w:pPr>
              <w:keepNext/>
              <w:keepLines/>
              <w:jc w:val="center"/>
              <w:rPr>
                <w:rFonts w:ascii="Arial Narrow" w:hAnsi="Arial Narrow"/>
                <w:bCs/>
                <w:sz w:val="20"/>
              </w:rPr>
            </w:pPr>
          </w:p>
          <w:p w14:paraId="0C4229A0" w14:textId="64BE6BD4" w:rsidR="00BA74FA" w:rsidRPr="00561FF2" w:rsidRDefault="00BA74FA" w:rsidP="00446AA5">
            <w:pPr>
              <w:keepNext/>
              <w:keepLines/>
              <w:jc w:val="center"/>
              <w:rPr>
                <w:rFonts w:ascii="Arial Narrow" w:hAnsi="Arial Narrow"/>
                <w:bCs/>
                <w:sz w:val="20"/>
                <w:szCs w:val="20"/>
              </w:rPr>
            </w:pPr>
            <w:r w:rsidRPr="00561FF2">
              <w:rPr>
                <w:rFonts w:ascii="Arial Narrow" w:hAnsi="Arial Narrow"/>
                <w:bCs/>
                <w:sz w:val="20"/>
              </w:rPr>
              <w:t>Published: $9,962.13 Effective: $</w:t>
            </w:r>
            <w:r w:rsidR="00E447F1" w:rsidRPr="00E447F1">
              <w:rPr>
                <w:rFonts w:ascii="Arial Narrow" w:hAnsi="Arial Narrow"/>
                <w:bCs/>
                <w:color w:val="000000"/>
                <w:sz w:val="20"/>
                <w:shd w:val="solid" w:color="000000" w:fill="000000"/>
                <w14:textFill>
                  <w14:solidFill>
                    <w14:srgbClr w14:val="000000">
                      <w14:alpha w14:val="100000"/>
                    </w14:srgbClr>
                  </w14:solidFill>
                </w14:textFill>
              </w:rPr>
              <w:t>|</w:t>
            </w:r>
            <w:r w:rsidRPr="00561FF2">
              <w:rPr>
                <w:rFonts w:ascii="Arial Narrow" w:hAnsi="Arial Narrow"/>
                <w:bCs/>
                <w:sz w:val="20"/>
              </w:rPr>
              <w:t xml:space="preserve"> </w:t>
            </w:r>
          </w:p>
        </w:tc>
        <w:tc>
          <w:tcPr>
            <w:tcW w:w="811" w:type="dxa"/>
            <w:vAlign w:val="center"/>
          </w:tcPr>
          <w:p w14:paraId="614397EB"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1</w:t>
            </w:r>
          </w:p>
        </w:tc>
        <w:tc>
          <w:tcPr>
            <w:tcW w:w="810" w:type="dxa"/>
            <w:vAlign w:val="center"/>
          </w:tcPr>
          <w:p w14:paraId="7928066F"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30</w:t>
            </w:r>
          </w:p>
        </w:tc>
        <w:tc>
          <w:tcPr>
            <w:tcW w:w="811" w:type="dxa"/>
            <w:vAlign w:val="center"/>
          </w:tcPr>
          <w:p w14:paraId="0F8BB807" w14:textId="77777777" w:rsidR="00BA74FA" w:rsidRPr="00561FF2" w:rsidRDefault="00BA74FA" w:rsidP="00446AA5">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2</w:t>
            </w:r>
          </w:p>
        </w:tc>
        <w:tc>
          <w:tcPr>
            <w:tcW w:w="1883" w:type="dxa"/>
            <w:vAlign w:val="center"/>
          </w:tcPr>
          <w:p w14:paraId="7E1FA700" w14:textId="77777777" w:rsidR="00BA74FA" w:rsidRPr="00561FF2" w:rsidRDefault="00BA74FA" w:rsidP="00446AA5">
            <w:pPr>
              <w:keepNext/>
              <w:keepLines/>
              <w:spacing w:after="160" w:line="259" w:lineRule="auto"/>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Cabometyx, </w:t>
            </w:r>
            <w:r w:rsidRPr="00561FF2">
              <w:rPr>
                <w:rFonts w:ascii="Arial Narrow" w:eastAsia="Calibri" w:hAnsi="Arial Narrow"/>
                <w:kern w:val="2"/>
                <w:sz w:val="20"/>
                <w:szCs w:val="20"/>
                <w14:ligatures w14:val="standardContextual"/>
              </w:rPr>
              <w:br/>
              <w:t>Ipsen Pty Ltd</w:t>
            </w:r>
          </w:p>
        </w:tc>
      </w:tr>
    </w:tbl>
    <w:p w14:paraId="38D20749" w14:textId="77777777" w:rsidR="00BA74FA" w:rsidRPr="00561FF2" w:rsidRDefault="00BA74FA" w:rsidP="00921437">
      <w:pPr>
        <w:rPr>
          <w:highlight w:val="yellow"/>
        </w:rPr>
      </w:pPr>
    </w:p>
    <w:tbl>
      <w:tblPr>
        <w:tblW w:w="4988" w:type="pct"/>
        <w:tblLook w:val="0000" w:firstRow="0" w:lastRow="0" w:firstColumn="0" w:lastColumn="0" w:noHBand="0" w:noVBand="0"/>
      </w:tblPr>
      <w:tblGrid>
        <w:gridCol w:w="8994"/>
      </w:tblGrid>
      <w:tr w:rsidR="00A133FD" w:rsidRPr="00561FF2" w14:paraId="3DA6FCB7" w14:textId="77777777" w:rsidTr="00A133FD">
        <w:trPr>
          <w:trHeight w:val="170"/>
        </w:trPr>
        <w:tc>
          <w:tcPr>
            <w:tcW w:w="5000" w:type="pct"/>
            <w:tcBorders>
              <w:top w:val="single" w:sz="4" w:space="0" w:color="auto"/>
              <w:left w:val="single" w:sz="4" w:space="0" w:color="auto"/>
              <w:bottom w:val="single" w:sz="4" w:space="0" w:color="auto"/>
              <w:right w:val="single" w:sz="4" w:space="0" w:color="auto"/>
            </w:tcBorders>
          </w:tcPr>
          <w:p w14:paraId="398EFDAF" w14:textId="547DBE5D"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A133FD" w:rsidRPr="00561FF2" w14:paraId="247AA5AA"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A39BFA9" w14:textId="5BA7B672"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A133FD" w:rsidRPr="00561FF2" w14:paraId="71FA64B6"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10323A7C" w14:textId="7A25B524"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A133FD" w:rsidRPr="00561FF2" w14:paraId="659CCF5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DF686C4" w14:textId="7584A3F3" w:rsidR="00A133FD" w:rsidRPr="00561FF2" w:rsidRDefault="00A133FD" w:rsidP="00446AA5">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A133FD" w:rsidRPr="00561FF2" w14:paraId="6DE35E0F"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BCC0B89" w14:textId="219A0E3A"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 (DTC)</w:t>
            </w:r>
          </w:p>
        </w:tc>
      </w:tr>
      <w:tr w:rsidR="00A133FD" w:rsidRPr="00561FF2" w14:paraId="76B88313"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69C56BE" w14:textId="31770299"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Locally advanced or metastatic differentiated thyroid carcinoma</w:t>
            </w:r>
          </w:p>
        </w:tc>
      </w:tr>
      <w:tr w:rsidR="00A133FD" w:rsidRPr="00561FF2" w14:paraId="72F857A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F8957C1" w14:textId="7654AC21"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Grandfather supply</w:t>
            </w:r>
          </w:p>
        </w:tc>
      </w:tr>
      <w:tr w:rsidR="00A133FD" w:rsidRPr="00561FF2" w14:paraId="2A5D8629"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C47D259" w14:textId="58DCAC7B" w:rsidR="00A133FD" w:rsidRPr="00561FF2" w:rsidRDefault="00A133FD" w:rsidP="00446AA5">
            <w:pPr>
              <w:rPr>
                <w:rFonts w:ascii="Arial Narrow" w:hAnsi="Arial Narrow"/>
                <w:b/>
                <w:bCs/>
                <w:color w:val="000000"/>
                <w:sz w:val="20"/>
                <w:szCs w:val="20"/>
              </w:rPr>
            </w:pPr>
          </w:p>
        </w:tc>
      </w:tr>
      <w:tr w:rsidR="00A133FD" w:rsidRPr="00561FF2" w14:paraId="0B4223EE"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0F0A6F6" w14:textId="1DEBC02C"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72D35BA8" w14:textId="77777777" w:rsidTr="00A133FD">
        <w:trPr>
          <w:trHeight w:val="360"/>
        </w:trPr>
        <w:tc>
          <w:tcPr>
            <w:tcW w:w="5000" w:type="pct"/>
            <w:tcBorders>
              <w:top w:val="single" w:sz="4" w:space="0" w:color="auto"/>
              <w:left w:val="single" w:sz="4" w:space="0" w:color="auto"/>
              <w:bottom w:val="single" w:sz="4" w:space="0" w:color="auto"/>
              <w:right w:val="single" w:sz="4" w:space="0" w:color="auto"/>
            </w:tcBorders>
          </w:tcPr>
          <w:p w14:paraId="03691EE8" w14:textId="1DD6A918" w:rsidR="00A133FD" w:rsidRPr="00561FF2" w:rsidRDefault="00A133FD" w:rsidP="00446AA5">
            <w:pPr>
              <w:rPr>
                <w:rFonts w:ascii="Arial Narrow" w:hAnsi="Arial Narrow" w:cs="Calibri"/>
                <w:color w:val="000000"/>
                <w:sz w:val="20"/>
                <w:szCs w:val="20"/>
              </w:rPr>
            </w:pPr>
            <w:r w:rsidRPr="00561FF2">
              <w:rPr>
                <w:rFonts w:ascii="Arial Narrow" w:hAnsi="Arial Narrow" w:cs="Calibri"/>
                <w:color w:val="000000"/>
                <w:sz w:val="20"/>
                <w:szCs w:val="20"/>
              </w:rPr>
              <w:t xml:space="preserve">Patient must have previously received non-PBS subsidised treatment with this drug for this condition prior to </w:t>
            </w:r>
            <w:r w:rsidRPr="00561FF2">
              <w:rPr>
                <w:rFonts w:ascii="Arial Narrow" w:hAnsi="Arial Narrow"/>
                <w:sz w:val="20"/>
              </w:rPr>
              <w:t>[</w:t>
            </w:r>
            <w:r w:rsidRPr="00561FF2">
              <w:rPr>
                <w:rFonts w:ascii="Arial Narrow" w:hAnsi="Arial Narrow" w:cs="Calibri"/>
                <w:color w:val="000000"/>
                <w:sz w:val="20"/>
                <w:szCs w:val="20"/>
              </w:rPr>
              <w:t xml:space="preserve">PBS listing date]; </w:t>
            </w:r>
          </w:p>
        </w:tc>
      </w:tr>
      <w:tr w:rsidR="00A133FD" w:rsidRPr="00561FF2" w14:paraId="380BCF6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17030C5" w14:textId="5EFE6A23" w:rsidR="00A133FD" w:rsidRPr="00561FF2" w:rsidRDefault="00A133FD" w:rsidP="00446AA5">
            <w:pPr>
              <w:rPr>
                <w:rFonts w:ascii="Arial Narrow" w:hAnsi="Arial Narrow" w:cs="Calibri"/>
                <w:b/>
                <w:bCs/>
                <w:color w:val="000000"/>
                <w:sz w:val="20"/>
                <w:szCs w:val="20"/>
              </w:rPr>
            </w:pPr>
            <w:r w:rsidRPr="00561FF2">
              <w:rPr>
                <w:rFonts w:ascii="Arial Narrow" w:hAnsi="Arial Narrow" w:cs="Calibri"/>
                <w:b/>
                <w:bCs/>
                <w:color w:val="000000"/>
                <w:sz w:val="20"/>
                <w:szCs w:val="20"/>
              </w:rPr>
              <w:t>AND</w:t>
            </w:r>
          </w:p>
        </w:tc>
      </w:tr>
      <w:tr w:rsidR="00A133FD" w:rsidRPr="00561FF2" w14:paraId="55D22D87"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38209A74" w14:textId="25559110"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036B7A9C"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B2988A1" w14:textId="5C402B9E"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t>The condition must be refractory to radioactive iodine; or</w:t>
            </w:r>
          </w:p>
        </w:tc>
      </w:tr>
      <w:tr w:rsidR="00A133FD" w:rsidRPr="00561FF2" w14:paraId="5E89A945"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4D4B585C" w14:textId="4862EE5D"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A133FD" w:rsidRPr="00561FF2" w14:paraId="5AEC4508" w14:textId="77777777" w:rsidTr="00A133FD">
        <w:trPr>
          <w:trHeight w:val="110"/>
        </w:trPr>
        <w:tc>
          <w:tcPr>
            <w:tcW w:w="5000" w:type="pct"/>
            <w:tcBorders>
              <w:top w:val="single" w:sz="4" w:space="0" w:color="auto"/>
              <w:left w:val="single" w:sz="4" w:space="0" w:color="auto"/>
              <w:bottom w:val="single" w:sz="4" w:space="0" w:color="auto"/>
              <w:right w:val="single" w:sz="4" w:space="0" w:color="auto"/>
            </w:tcBorders>
          </w:tcPr>
          <w:p w14:paraId="622FB2D3" w14:textId="5FFEA473"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55815766"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52131D4" w14:textId="287789F3"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2B60FEAC" w14:textId="77777777" w:rsidTr="00A133FD">
        <w:trPr>
          <w:trHeight w:val="360"/>
        </w:trPr>
        <w:tc>
          <w:tcPr>
            <w:tcW w:w="5000" w:type="pct"/>
            <w:tcBorders>
              <w:top w:val="single" w:sz="4" w:space="0" w:color="auto"/>
              <w:left w:val="single" w:sz="4" w:space="0" w:color="auto"/>
              <w:bottom w:val="single" w:sz="4" w:space="0" w:color="auto"/>
              <w:right w:val="single" w:sz="4" w:space="0" w:color="auto"/>
            </w:tcBorders>
          </w:tcPr>
          <w:p w14:paraId="5E02C589" w14:textId="04F844A6"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lastRenderedPageBreak/>
              <w:t>Patient must have had progressive disease according to Response Evaluation Criteria in Solid Tumours (RECIST) whilst on treatment with a vascular endothelial growth factor (VEGF)-targeted tyrosine kinase inhibitor (TKI) prior to receiving this drug for this indication;</w:t>
            </w:r>
          </w:p>
        </w:tc>
      </w:tr>
      <w:tr w:rsidR="00A133FD" w:rsidRPr="00561FF2" w14:paraId="60BCCDC1"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4316E786" w14:textId="7948CF60"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OR</w:t>
            </w:r>
          </w:p>
        </w:tc>
      </w:tr>
      <w:tr w:rsidR="00A133FD" w:rsidRPr="00561FF2" w14:paraId="78BE9676" w14:textId="77777777" w:rsidTr="00A133FD">
        <w:trPr>
          <w:trHeight w:val="360"/>
        </w:trPr>
        <w:tc>
          <w:tcPr>
            <w:tcW w:w="5000" w:type="pct"/>
            <w:tcBorders>
              <w:top w:val="single" w:sz="4" w:space="0" w:color="auto"/>
              <w:left w:val="single" w:sz="4" w:space="0" w:color="auto"/>
              <w:bottom w:val="single" w:sz="4" w:space="0" w:color="auto"/>
              <w:right w:val="single" w:sz="4" w:space="0" w:color="auto"/>
            </w:tcBorders>
          </w:tcPr>
          <w:p w14:paraId="462E494B" w14:textId="70F74BE8"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 xml:space="preserve">Patient must have developed intolerance of a severity necessitating permanent treatment withdrawal, in the absence of disease progression, to prior </w:t>
            </w:r>
            <w:r w:rsidRPr="00561FF2">
              <w:rPr>
                <w:rFonts w:ascii="Arial Narrow" w:hAnsi="Arial Narrow"/>
                <w:sz w:val="20"/>
                <w:szCs w:val="20"/>
              </w:rPr>
              <w:t>VEGF</w:t>
            </w:r>
            <w:r w:rsidRPr="00561FF2">
              <w:rPr>
                <w:rFonts w:ascii="Arial Narrow" w:hAnsi="Arial Narrow"/>
                <w:color w:val="000000"/>
                <w:sz w:val="20"/>
                <w:szCs w:val="20"/>
              </w:rPr>
              <w:t>-targeted TKI therapy prior to receiving this drug for this indication</w:t>
            </w:r>
          </w:p>
        </w:tc>
      </w:tr>
      <w:tr w:rsidR="00A133FD" w:rsidRPr="00561FF2" w14:paraId="7082526B" w14:textId="77777777" w:rsidTr="00A133FD">
        <w:trPr>
          <w:trHeight w:val="134"/>
        </w:trPr>
        <w:tc>
          <w:tcPr>
            <w:tcW w:w="5000" w:type="pct"/>
            <w:tcBorders>
              <w:top w:val="single" w:sz="4" w:space="0" w:color="auto"/>
              <w:left w:val="single" w:sz="4" w:space="0" w:color="auto"/>
              <w:bottom w:val="single" w:sz="4" w:space="0" w:color="auto"/>
              <w:right w:val="single" w:sz="4" w:space="0" w:color="auto"/>
            </w:tcBorders>
          </w:tcPr>
          <w:p w14:paraId="429F335D" w14:textId="49C498B1"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7FA5E805"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52A0D8B1" w14:textId="4B276CBD"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48C9861C"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AC31356" w14:textId="4BB5E47A"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Patient must have a WHO performance status of not greater than 2 prior to receiving this drug for this indication</w:t>
            </w:r>
          </w:p>
        </w:tc>
      </w:tr>
      <w:tr w:rsidR="00A133FD" w:rsidRPr="00561FF2" w14:paraId="60EF6E1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62ABF07" w14:textId="30A3FABA"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57CA131D"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5C5F86FA" w14:textId="4AD46B23"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4A9E30B7"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7E4C27C2" w14:textId="06B30F4A" w:rsidR="00A133FD" w:rsidRPr="00561FF2" w:rsidRDefault="00A133FD" w:rsidP="00446AA5">
            <w:pPr>
              <w:rPr>
                <w:rFonts w:ascii="Arial Narrow" w:hAnsi="Arial Narrow"/>
                <w:b/>
                <w:bCs/>
                <w:color w:val="000000"/>
                <w:sz w:val="20"/>
                <w:szCs w:val="20"/>
              </w:rPr>
            </w:pPr>
            <w:r w:rsidRPr="00561FF2">
              <w:rPr>
                <w:rFonts w:ascii="Arial Narrow" w:hAnsi="Arial Narrow"/>
                <w:color w:val="000000"/>
                <w:sz w:val="20"/>
                <w:szCs w:val="20"/>
              </w:rPr>
              <w:t>The treatment must be the sole PBS-subsidised therapy for this condition.</w:t>
            </w:r>
          </w:p>
        </w:tc>
      </w:tr>
      <w:tr w:rsidR="00A133FD" w:rsidRPr="00561FF2" w14:paraId="24DEA126"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31BFC468" w14:textId="22EB86FF"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AND</w:t>
            </w:r>
          </w:p>
        </w:tc>
      </w:tr>
      <w:tr w:rsidR="00A133FD" w:rsidRPr="00561FF2" w14:paraId="1EFCC153"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0BD900B4" w14:textId="56DACC05"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A133FD" w:rsidRPr="00561FF2" w14:paraId="1E911955"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1914F03" w14:textId="4B9C1005"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 xml:space="preserve">Patient must have thyroid stimulating hormone adequately </w:t>
            </w:r>
            <w:r w:rsidRPr="00561FF2">
              <w:rPr>
                <w:rFonts w:ascii="Arial Narrow" w:hAnsi="Arial Narrow"/>
                <w:strike/>
                <w:color w:val="000000"/>
                <w:sz w:val="20"/>
                <w:szCs w:val="20"/>
              </w:rPr>
              <w:t>repressed</w:t>
            </w:r>
            <w:r w:rsidRPr="00561FF2">
              <w:rPr>
                <w:rFonts w:ascii="Arial Narrow" w:hAnsi="Arial Narrow"/>
                <w:color w:val="000000"/>
                <w:sz w:val="20"/>
                <w:szCs w:val="20"/>
              </w:rPr>
              <w:t xml:space="preserve"> </w:t>
            </w:r>
            <w:r w:rsidRPr="00561FF2">
              <w:rPr>
                <w:rFonts w:ascii="Arial Narrow" w:hAnsi="Arial Narrow"/>
                <w:i/>
                <w:iCs/>
                <w:color w:val="000000"/>
                <w:sz w:val="20"/>
                <w:szCs w:val="20"/>
              </w:rPr>
              <w:t>supressed</w:t>
            </w:r>
          </w:p>
        </w:tc>
      </w:tr>
      <w:tr w:rsidR="00A133FD" w:rsidRPr="00561FF2" w14:paraId="02706DAE"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3F85934B" w14:textId="4F6195A6" w:rsidR="00A133FD" w:rsidRPr="00561FF2" w:rsidRDefault="00A133FD" w:rsidP="00446AA5">
            <w:pPr>
              <w:rPr>
                <w:rFonts w:ascii="Arial Narrow" w:hAnsi="Arial Narrow"/>
                <w:b/>
                <w:bCs/>
                <w:color w:val="000000"/>
                <w:sz w:val="20"/>
                <w:szCs w:val="20"/>
              </w:rPr>
            </w:pPr>
          </w:p>
        </w:tc>
      </w:tr>
      <w:tr w:rsidR="00A133FD" w:rsidRPr="00561FF2" w14:paraId="776B3417"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2E2C5FFD" w14:textId="1EB3A191"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Population criteria:</w:t>
            </w:r>
          </w:p>
        </w:tc>
      </w:tr>
      <w:tr w:rsidR="00A133FD" w:rsidRPr="00561FF2" w14:paraId="16805326"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6BA5CA0" w14:textId="6E895DE7" w:rsidR="00A133FD" w:rsidRPr="00561FF2" w:rsidRDefault="00A133FD" w:rsidP="00446AA5">
            <w:pPr>
              <w:rPr>
                <w:rFonts w:ascii="Arial Narrow" w:hAnsi="Arial Narrow"/>
                <w:sz w:val="20"/>
                <w:szCs w:val="20"/>
              </w:rPr>
            </w:pPr>
            <w:r w:rsidRPr="00561FF2">
              <w:rPr>
                <w:rFonts w:ascii="Arial Narrow" w:hAnsi="Arial Narrow"/>
                <w:sz w:val="20"/>
                <w:szCs w:val="20"/>
              </w:rPr>
              <w:t>Patient must be aged 12 years or older.</w:t>
            </w:r>
          </w:p>
        </w:tc>
      </w:tr>
      <w:tr w:rsidR="00A133FD" w:rsidRPr="00561FF2" w14:paraId="027304D2"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5402974B" w14:textId="1F780E80" w:rsidR="00A133FD" w:rsidRPr="00561FF2" w:rsidRDefault="00A133FD" w:rsidP="00446AA5">
            <w:pPr>
              <w:rPr>
                <w:rFonts w:ascii="Arial Narrow" w:hAnsi="Arial Narrow"/>
                <w:sz w:val="20"/>
                <w:szCs w:val="20"/>
              </w:rPr>
            </w:pPr>
          </w:p>
        </w:tc>
      </w:tr>
      <w:tr w:rsidR="00A133FD" w:rsidRPr="00561FF2" w14:paraId="5743F844"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118CA756" w14:textId="7B7B1B57" w:rsidR="00A133FD" w:rsidRPr="00561FF2" w:rsidRDefault="00A133FD" w:rsidP="00446AA5">
            <w:pPr>
              <w:rPr>
                <w:rFonts w:ascii="Arial Narrow" w:hAnsi="Arial Narrow"/>
                <w:b/>
                <w:bCs/>
                <w:sz w:val="20"/>
                <w:szCs w:val="20"/>
              </w:rPr>
            </w:pPr>
            <w:r w:rsidRPr="00561FF2">
              <w:rPr>
                <w:rFonts w:ascii="Arial Narrow" w:hAnsi="Arial Narrow"/>
                <w:b/>
                <w:bCs/>
                <w:sz w:val="20"/>
                <w:szCs w:val="20"/>
              </w:rPr>
              <w:t>Prescribing instructions:</w:t>
            </w:r>
          </w:p>
          <w:p w14:paraId="5BFC46D0" w14:textId="77777777" w:rsidR="00A133FD" w:rsidRPr="00561FF2" w:rsidRDefault="00A133FD" w:rsidP="00446AA5">
            <w:pPr>
              <w:rPr>
                <w:rFonts w:ascii="Arial Narrow" w:hAnsi="Arial Narrow"/>
                <w:sz w:val="20"/>
                <w:szCs w:val="20"/>
              </w:rPr>
            </w:pPr>
            <w:r w:rsidRPr="00561FF2">
              <w:rPr>
                <w:rFonts w:ascii="Arial Narrow" w:hAnsi="Arial Narrow"/>
                <w:sz w:val="20"/>
                <w:szCs w:val="20"/>
              </w:rPr>
              <w:t>Radioactive iodine refractory is defined as:</w:t>
            </w:r>
          </w:p>
          <w:p w14:paraId="78358FB9"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a lesion without iodine uptake on a radioactive iodine (RAI) scan; or</w:t>
            </w:r>
          </w:p>
          <w:p w14:paraId="39D79735"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having received a cumulative RAI dose of greater than or equal to 600 mCi; or</w:t>
            </w:r>
          </w:p>
          <w:p w14:paraId="1ED08E6B"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progression within 12 months of a single RAI treatment; or</w:t>
            </w:r>
          </w:p>
          <w:p w14:paraId="41F46142" w14:textId="77777777" w:rsidR="00A133FD" w:rsidRPr="00561FF2" w:rsidRDefault="00A133FD" w:rsidP="00AA6F91">
            <w:pPr>
              <w:numPr>
                <w:ilvl w:val="0"/>
                <w:numId w:val="11"/>
              </w:numPr>
              <w:jc w:val="left"/>
              <w:rPr>
                <w:rFonts w:ascii="Arial Narrow" w:hAnsi="Arial Narrow"/>
                <w:sz w:val="20"/>
                <w:szCs w:val="20"/>
              </w:rPr>
            </w:pPr>
            <w:r w:rsidRPr="00561FF2">
              <w:rPr>
                <w:rFonts w:ascii="Arial Narrow" w:hAnsi="Arial Narrow"/>
                <w:sz w:val="20"/>
                <w:szCs w:val="20"/>
              </w:rPr>
              <w:t>progression after two RAI treatments administered within 12 months of each other</w:t>
            </w:r>
          </w:p>
        </w:tc>
      </w:tr>
      <w:tr w:rsidR="00A133FD" w:rsidRPr="00561FF2" w14:paraId="1BF5B7B1"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659839FE" w14:textId="4DD32042" w:rsidR="00A133FD" w:rsidRPr="00561FF2" w:rsidRDefault="00A133FD" w:rsidP="00446AA5">
            <w:pPr>
              <w:rPr>
                <w:rFonts w:ascii="Arial Narrow" w:hAnsi="Arial Narrow"/>
                <w:b/>
                <w:bCs/>
                <w:color w:val="000000"/>
                <w:sz w:val="20"/>
                <w:szCs w:val="20"/>
              </w:rPr>
            </w:pPr>
          </w:p>
        </w:tc>
      </w:tr>
      <w:tr w:rsidR="00A133FD" w:rsidRPr="00561FF2" w14:paraId="32018FC8"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3C94C2CA" w14:textId="2B03968F" w:rsidR="00A133FD" w:rsidRPr="00561FF2" w:rsidRDefault="00A133FD" w:rsidP="00446AA5">
            <w:pPr>
              <w:rPr>
                <w:rFonts w:ascii="Arial Narrow" w:hAnsi="Arial Narrow"/>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A133FD" w:rsidRPr="00561FF2" w14:paraId="6F13D167" w14:textId="77777777" w:rsidTr="00A133FD">
        <w:trPr>
          <w:trHeight w:val="56"/>
        </w:trPr>
        <w:tc>
          <w:tcPr>
            <w:tcW w:w="5000" w:type="pct"/>
            <w:tcBorders>
              <w:top w:val="single" w:sz="4" w:space="0" w:color="auto"/>
              <w:left w:val="single" w:sz="4" w:space="0" w:color="auto"/>
              <w:bottom w:val="single" w:sz="4" w:space="0" w:color="auto"/>
              <w:right w:val="single" w:sz="4" w:space="0" w:color="auto"/>
            </w:tcBorders>
          </w:tcPr>
          <w:p w14:paraId="00F5C1AE" w14:textId="5E763911"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A133FD" w:rsidRPr="00561FF2" w14:paraId="70BE6047"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6655482A" w14:textId="36B92BB3" w:rsidR="00A133FD" w:rsidRPr="00561FF2" w:rsidRDefault="00A133FD" w:rsidP="00446AA5">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A133FD" w:rsidRPr="00561FF2" w14:paraId="233B6EAA"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528068A5" w14:textId="19F43B58" w:rsidR="00A133FD" w:rsidRPr="00561FF2" w:rsidRDefault="00A133FD" w:rsidP="00446AA5">
            <w:pPr>
              <w:rPr>
                <w:rFonts w:ascii="Arial Narrow" w:hAnsi="Arial Narrow"/>
                <w:b/>
                <w:bCs/>
                <w:color w:val="000000"/>
                <w:sz w:val="20"/>
                <w:szCs w:val="20"/>
              </w:rPr>
            </w:pPr>
          </w:p>
        </w:tc>
      </w:tr>
      <w:tr w:rsidR="00A133FD" w:rsidRPr="00561FF2" w14:paraId="5E8FA56F"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3A1138BD" w14:textId="03D00B54"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41BA815A" w14:textId="5970784B"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Response Evaluation Criteria In Solid Tumours (RECIST) is defined as follows:</w:t>
            </w:r>
          </w:p>
          <w:p w14:paraId="2B01399B"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690BB5F7"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0150A997"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0E86A5B4"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Stable disease (SD) is small changes that do not meet above criteria.</w:t>
            </w:r>
          </w:p>
        </w:tc>
      </w:tr>
      <w:tr w:rsidR="00A133FD" w:rsidRPr="00561FF2" w14:paraId="54A05391" w14:textId="77777777" w:rsidTr="00A133FD">
        <w:trPr>
          <w:trHeight w:val="146"/>
        </w:trPr>
        <w:tc>
          <w:tcPr>
            <w:tcW w:w="5000" w:type="pct"/>
            <w:tcBorders>
              <w:top w:val="single" w:sz="4" w:space="0" w:color="auto"/>
              <w:left w:val="single" w:sz="4" w:space="0" w:color="auto"/>
              <w:bottom w:val="single" w:sz="4" w:space="0" w:color="auto"/>
              <w:right w:val="single" w:sz="4" w:space="0" w:color="auto"/>
            </w:tcBorders>
          </w:tcPr>
          <w:p w14:paraId="47CA7DC2" w14:textId="7D826308" w:rsidR="00A133FD" w:rsidRPr="00561FF2" w:rsidRDefault="00A133FD" w:rsidP="00446AA5">
            <w:pPr>
              <w:rPr>
                <w:rFonts w:ascii="Arial Narrow" w:hAnsi="Arial Narrow"/>
                <w:b/>
                <w:bCs/>
                <w:color w:val="000000"/>
                <w:sz w:val="20"/>
                <w:szCs w:val="20"/>
              </w:rPr>
            </w:pPr>
            <w:r w:rsidRPr="00561FF2">
              <w:rPr>
                <w:rFonts w:ascii="Arial Narrow" w:hAnsi="Arial Narrow"/>
                <w:b/>
                <w:bCs/>
                <w:color w:val="000000"/>
                <w:sz w:val="20"/>
                <w:szCs w:val="20"/>
              </w:rPr>
              <w:t>Note:</w:t>
            </w:r>
          </w:p>
          <w:p w14:paraId="3E476952" w14:textId="77777777" w:rsidR="00A133FD" w:rsidRPr="00561FF2" w:rsidRDefault="00A133FD" w:rsidP="00446AA5">
            <w:pPr>
              <w:rPr>
                <w:rFonts w:ascii="Arial Narrow" w:hAnsi="Arial Narrow"/>
                <w:color w:val="000000"/>
                <w:sz w:val="20"/>
                <w:szCs w:val="20"/>
              </w:rPr>
            </w:pPr>
            <w:r w:rsidRPr="00561FF2">
              <w:rPr>
                <w:rFonts w:ascii="Arial Narrow" w:hAnsi="Arial Narrow"/>
                <w:color w:val="000000"/>
                <w:sz w:val="20"/>
                <w:szCs w:val="20"/>
              </w:rPr>
              <w:t>Vascular endothelial growth factor (VEGF)-targeted tyrosine kinase inhibitor’s (TKI) include: lenvatinib</w:t>
            </w:r>
          </w:p>
        </w:tc>
      </w:tr>
    </w:tbl>
    <w:p w14:paraId="125712CF" w14:textId="0CE85C3D" w:rsidR="00921437" w:rsidRPr="00561FF2" w:rsidRDefault="00921437" w:rsidP="00A133FD">
      <w:pPr>
        <w:pStyle w:val="3-BodyText"/>
        <w:spacing w:before="120"/>
        <w:ind w:left="720"/>
      </w:pPr>
      <w:r w:rsidRPr="00561FF2">
        <w:t xml:space="preserve">The </w:t>
      </w:r>
      <w:r w:rsidR="00096FF2" w:rsidRPr="00561FF2">
        <w:t xml:space="preserve">restriction proposed in the resubmission included </w:t>
      </w:r>
      <w:r w:rsidR="00BA74FA" w:rsidRPr="00561FF2">
        <w:t>a clinical criterion in the initial supply and grandfather restrictions stating that patients must have thyroid stimulating hormone adequately repressed, which is consistent with the lenvatinib listing.</w:t>
      </w:r>
    </w:p>
    <w:p w14:paraId="6CCFE9E9" w14:textId="725B3028" w:rsidR="00BA74FA" w:rsidRPr="00561FF2" w:rsidRDefault="00BA74FA" w:rsidP="00A133FD">
      <w:pPr>
        <w:pStyle w:val="3-BodyText"/>
        <w:ind w:left="720"/>
      </w:pPr>
      <w:r w:rsidRPr="00561FF2">
        <w:t>The proposed restriction again required a World Health Organi</w:t>
      </w:r>
      <w:r w:rsidR="002D6B61" w:rsidRPr="00561FF2">
        <w:t>z</w:t>
      </w:r>
      <w:r w:rsidRPr="00561FF2">
        <w:t xml:space="preserve">ation (WHO) performance status of no greater than 2, whereas the COSMIC-311 trial required patients have and Eastern Cooperative Oncology Group (ECOG) performance status of 0 or 1. </w:t>
      </w:r>
    </w:p>
    <w:p w14:paraId="569A85DA" w14:textId="679223DA" w:rsidR="00BA74FA" w:rsidRPr="00561FF2" w:rsidRDefault="00BA74FA" w:rsidP="00A133FD">
      <w:pPr>
        <w:pStyle w:val="3-BodyText"/>
        <w:ind w:left="720"/>
      </w:pPr>
      <w:r w:rsidRPr="00561FF2">
        <w:t xml:space="preserve">The </w:t>
      </w:r>
      <w:r w:rsidR="00837075" w:rsidRPr="00561FF2">
        <w:t>re</w:t>
      </w:r>
      <w:r w:rsidRPr="00561FF2">
        <w:t>submission stated that the</w:t>
      </w:r>
      <w:r w:rsidR="00837075" w:rsidRPr="00561FF2">
        <w:t xml:space="preserve"> estimated number of grandfather patients receiving cabozantinib through a patient access program had increased from </w:t>
      </w:r>
      <w:r w:rsidRPr="00561FF2">
        <w:t xml:space="preserve">15 </w:t>
      </w:r>
      <w:r w:rsidR="00837075" w:rsidRPr="00561FF2">
        <w:t xml:space="preserve">in </w:t>
      </w:r>
      <w:r w:rsidR="0020737E" w:rsidRPr="00561FF2">
        <w:t>November</w:t>
      </w:r>
      <w:r w:rsidR="0020737E">
        <w:t> </w:t>
      </w:r>
      <w:r w:rsidR="00837075" w:rsidRPr="00561FF2">
        <w:t>2023 to 20</w:t>
      </w:r>
      <w:r w:rsidR="00A97704">
        <w:t xml:space="preserve"> in this submission</w:t>
      </w:r>
      <w:r w:rsidRPr="00561FF2">
        <w:t>.</w:t>
      </w:r>
    </w:p>
    <w:p w14:paraId="52A11940" w14:textId="77777777" w:rsidR="00E447F1" w:rsidRPr="00E447F1" w:rsidRDefault="00AA6F91" w:rsidP="00AA6F91">
      <w:pPr>
        <w:pStyle w:val="ListNumber"/>
        <w:tabs>
          <w:tab w:val="clear" w:pos="357"/>
        </w:tabs>
        <w:spacing w:after="120" w:line="240" w:lineRule="auto"/>
        <w:ind w:left="720" w:firstLine="0"/>
        <w:rPr>
          <w:rFonts w:asciiTheme="minorHAnsi" w:hAnsiTheme="minorHAnsi" w:cstheme="minorHAnsi"/>
          <w:sz w:val="24"/>
          <w:szCs w:val="24"/>
        </w:rPr>
      </w:pPr>
      <w:r w:rsidRPr="00561FF2">
        <w:rPr>
          <w:rFonts w:asciiTheme="minorHAnsi" w:hAnsiTheme="minorHAnsi" w:cstheme="minorHAnsi"/>
          <w:i/>
          <w:iCs/>
          <w:sz w:val="24"/>
          <w:szCs w:val="24"/>
        </w:rPr>
        <w:t>For more detail on PBAC’s view, see Section 5 PBAC outcome.</w:t>
      </w:r>
    </w:p>
    <w:p w14:paraId="35F6EA7F" w14:textId="33B57047" w:rsidR="00921437" w:rsidRPr="00561FF2" w:rsidRDefault="00921437" w:rsidP="00921437">
      <w:pPr>
        <w:pStyle w:val="2-SectionHeading"/>
      </w:pPr>
      <w:r w:rsidRPr="00561FF2">
        <w:lastRenderedPageBreak/>
        <w:t>Consideration of the evidence</w:t>
      </w:r>
    </w:p>
    <w:p w14:paraId="769509C7" w14:textId="77777777" w:rsidR="00AA6F91" w:rsidRPr="00561FF2" w:rsidRDefault="00AA6F91" w:rsidP="008D599E">
      <w:pPr>
        <w:pStyle w:val="4-SubsectionHeading"/>
      </w:pPr>
      <w:bookmarkStart w:id="3" w:name="_Hlk76375935"/>
      <w:r w:rsidRPr="00561FF2">
        <w:t>Sponsor hearing</w:t>
      </w:r>
    </w:p>
    <w:p w14:paraId="5F357AEC" w14:textId="54518464" w:rsidR="00AA6F91" w:rsidRPr="00561FF2" w:rsidRDefault="00AA6F91" w:rsidP="00A133FD">
      <w:pPr>
        <w:pStyle w:val="3-BodyText"/>
        <w:ind w:left="720"/>
        <w:rPr>
          <w:rFonts w:ascii="Calibri" w:hAnsi="Calibri" w:cs="Calibri"/>
          <w:bCs/>
          <w:snapToGrid w:val="0"/>
        </w:rPr>
      </w:pPr>
      <w:r w:rsidRPr="00561FF2">
        <w:rPr>
          <w:rFonts w:ascii="Calibri" w:hAnsi="Calibri" w:cs="Calibri"/>
          <w:bCs/>
          <w:snapToGrid w:val="0"/>
        </w:rPr>
        <w:t>There was no hearing for this item.</w:t>
      </w:r>
      <w:r w:rsidR="009E019D" w:rsidRPr="00561FF2">
        <w:rPr>
          <w:rFonts w:ascii="Calibri" w:hAnsi="Calibri" w:cs="Calibri"/>
          <w:bCs/>
          <w:snapToGrid w:val="0"/>
        </w:rPr>
        <w:t xml:space="preserve"> The PBAC recalled that the sponsor hearing from November 2022 was informative in describing the clinical need for additional therapies in this setting.</w:t>
      </w:r>
    </w:p>
    <w:p w14:paraId="21B99BDC" w14:textId="77777777" w:rsidR="00AA6F91" w:rsidRPr="00561FF2" w:rsidRDefault="00AA6F91" w:rsidP="008D599E">
      <w:pPr>
        <w:pStyle w:val="4-SubsectionHeading"/>
      </w:pPr>
      <w:r w:rsidRPr="00561FF2">
        <w:t>Consumer comments</w:t>
      </w:r>
    </w:p>
    <w:p w14:paraId="4B423BDA" w14:textId="54B39A00" w:rsidR="009E019D" w:rsidRPr="00561FF2" w:rsidRDefault="009E019D" w:rsidP="00A133FD">
      <w:pPr>
        <w:pStyle w:val="3-BodyText"/>
        <w:ind w:left="720"/>
        <w:rPr>
          <w:rFonts w:ascii="Calibri" w:hAnsi="Calibri" w:cs="Arial"/>
          <w:snapToGrid w:val="0"/>
        </w:rPr>
      </w:pPr>
      <w:bookmarkStart w:id="4" w:name="_Hlk76382618"/>
      <w:r w:rsidRPr="00561FF2">
        <w:rPr>
          <w:rFonts w:cs="Arial"/>
          <w:snapToGrid w:val="0"/>
        </w:rPr>
        <w:t xml:space="preserve">Although no consumer comments were received for this item, the PBAC recalled that in November 2022 </w:t>
      </w:r>
      <w:r w:rsidRPr="00561FF2">
        <w:rPr>
          <w:snapToGrid w:val="0"/>
        </w:rPr>
        <w:t>input from health care professionals (2) and organisations (1) was received via the Consumer Comments facility on the PBS website</w:t>
      </w:r>
      <w:r w:rsidR="00561FF2">
        <w:rPr>
          <w:snapToGrid w:val="0"/>
        </w:rPr>
        <w:t xml:space="preserve">. </w:t>
      </w:r>
      <w:r w:rsidRPr="00561FF2">
        <w:rPr>
          <w:snapToGrid w:val="0"/>
        </w:rPr>
        <w:t xml:space="preserve">The comments described a range of benefits of treatment with cabozantinib including the prolonged progression free survival in patients with differentiated thyroid cancer that has progressed on first-line treatment. The advice received from the Australian Thyroid Foundation also noted that listing cabozantinib on the PBS would improve equity. </w:t>
      </w:r>
    </w:p>
    <w:bookmarkEnd w:id="3"/>
    <w:bookmarkEnd w:id="4"/>
    <w:p w14:paraId="6EEF94F5" w14:textId="4F78D720" w:rsidR="00921437" w:rsidRPr="00561FF2" w:rsidRDefault="00921437" w:rsidP="00921437">
      <w:pPr>
        <w:pStyle w:val="4-SubsectionHeading"/>
      </w:pPr>
      <w:r w:rsidRPr="00561FF2">
        <w:t xml:space="preserve">Clinical </w:t>
      </w:r>
      <w:r w:rsidR="00BA74FA" w:rsidRPr="00561FF2">
        <w:t>evidence</w:t>
      </w:r>
    </w:p>
    <w:p w14:paraId="7D2CAA2B" w14:textId="7C9FD701" w:rsidR="00BA74FA" w:rsidRPr="00561FF2" w:rsidRDefault="00BA74FA" w:rsidP="00A133FD">
      <w:pPr>
        <w:pStyle w:val="3-BodyText"/>
        <w:ind w:left="720"/>
        <w:rPr>
          <w:snapToGrid w:val="0"/>
        </w:rPr>
      </w:pPr>
      <w:r w:rsidRPr="00561FF2">
        <w:rPr>
          <w:snapToGrid w:val="0"/>
        </w:rPr>
        <w:t xml:space="preserve">The November 2023 submission was based on one randomised controlled trial, COSMIC-311, that compared cabozantinib to placebo. The PBAC noted that patients were stratified by previous lenvatinib treatment (yes/no) and age </w:t>
      </w:r>
      <w:r w:rsidRPr="00561FF2">
        <w:t xml:space="preserve">(≤65 years versus &gt;65 years). Results for the </w:t>
      </w:r>
      <w:r w:rsidRPr="00561FF2">
        <w:rPr>
          <w:snapToGrid w:val="0"/>
        </w:rPr>
        <w:t>subgroup of patients who had received prior treatment with lenvatinib only were presented as it aligned with the proposed place in therapy.</w:t>
      </w:r>
    </w:p>
    <w:p w14:paraId="6BC6D520" w14:textId="06AE14B3" w:rsidR="00BA74FA" w:rsidRPr="00561FF2" w:rsidRDefault="00BA74FA" w:rsidP="00A133FD">
      <w:pPr>
        <w:pStyle w:val="3-BodyText"/>
        <w:ind w:left="720"/>
        <w:rPr>
          <w:snapToGrid w:val="0"/>
        </w:rPr>
      </w:pPr>
      <w:r w:rsidRPr="00561FF2">
        <w:rPr>
          <w:snapToGrid w:val="0"/>
        </w:rPr>
        <w:t>Cabozantinib was associated with a modest improvement in overall response rate (ORR) in the full intention to treat (ITT) population (risk difference = 11%; 95% CI: 6.4%, 15.9%). Cabozantinib also demonstrated a statistically significant improvement in progression free survival (PFS) in both the full ITT population (HR = 0.22; 95% CI: 0.15, 0.32) and the subgroup who had received prior treatment with lenvatinib only (HR = 0.28; 95% CI: 0.16, 0.48).</w:t>
      </w:r>
    </w:p>
    <w:p w14:paraId="45EB0CAF" w14:textId="40ACC559" w:rsidR="00BA74FA" w:rsidRPr="00561FF2" w:rsidRDefault="00BA74FA" w:rsidP="00A133FD">
      <w:pPr>
        <w:pStyle w:val="3-BodyText"/>
        <w:ind w:left="720"/>
        <w:rPr>
          <w:snapToGrid w:val="0"/>
        </w:rPr>
      </w:pPr>
      <w:r w:rsidRPr="00561FF2">
        <w:rPr>
          <w:snapToGrid w:val="0"/>
        </w:rPr>
        <w:t xml:space="preserve">The results for overall survival were not statistically significant in either the full ITT population (HR = 0.76; 95% CI: 0.45, 1.31) or the subgroup who had received prior treatment with lenvatinib only (HR = 1.06; 95% CI: 0.45, 2.47). The overall survival results were confounded by 45% of patients in the placebo arm crossing over to receive treatment with open label cabozantinib following disease progression. Therefore, the November 2023 submission applied the Rank-Preserving Structural Failure Time (RPSFT) method to adjust for the crossover; however, this did not result in a statistical difference in the results (full ITT population: HR = 0.65; 95% CI: 0.28, 1.53; prior lenvatinib only subgroup: HR = 0.98; 95% CI: 0.24, 3.91). Additionally, a high proportion of observations were censored in both the cabozantinib (78%) and placebo (76%) arms which was driven by the relatively short median follow up (10.1 months). </w:t>
      </w:r>
    </w:p>
    <w:p w14:paraId="38E97E70" w14:textId="6DC33FE7" w:rsidR="00BA74FA" w:rsidRPr="00561FF2" w:rsidRDefault="00BA74FA" w:rsidP="00A133FD">
      <w:pPr>
        <w:pStyle w:val="3-BodyText"/>
        <w:ind w:left="720"/>
        <w:rPr>
          <w:snapToGrid w:val="0"/>
        </w:rPr>
      </w:pPr>
      <w:r w:rsidRPr="00561FF2">
        <w:rPr>
          <w:snapToGrid w:val="0"/>
        </w:rPr>
        <w:t xml:space="preserve">In terms of safety, patients in the cabozantinib arm of COSMIC-311 reported a higher incidence of Grade 3/4 adverse events (62% versus 28% for patients in the placebo </w:t>
      </w:r>
      <w:r w:rsidRPr="00561FF2">
        <w:rPr>
          <w:snapToGrid w:val="0"/>
        </w:rPr>
        <w:lastRenderedPageBreak/>
        <w:t xml:space="preserve">arm) and had a higher incidence of hypertension, diarrhoea, palmar-plantar </w:t>
      </w:r>
      <w:r w:rsidR="001007E0" w:rsidRPr="00561FF2">
        <w:rPr>
          <w:snapToGrid w:val="0"/>
        </w:rPr>
        <w:t>erythrodysesthesia</w:t>
      </w:r>
      <w:r w:rsidRPr="00561FF2">
        <w:rPr>
          <w:snapToGrid w:val="0"/>
        </w:rPr>
        <w:t xml:space="preserve"> syndrome and fatigue.</w:t>
      </w:r>
    </w:p>
    <w:p w14:paraId="7DE84274" w14:textId="7C9EA6A0" w:rsidR="00BA74FA" w:rsidRPr="00561FF2" w:rsidRDefault="00BA74FA" w:rsidP="00BA74FA">
      <w:pPr>
        <w:pStyle w:val="4-SubsectionHeading"/>
      </w:pPr>
      <w:r w:rsidRPr="00561FF2">
        <w:t>Clinical claim</w:t>
      </w:r>
    </w:p>
    <w:p w14:paraId="1045D7C1" w14:textId="59D9FFE4" w:rsidR="00BA74FA" w:rsidRPr="00561FF2" w:rsidRDefault="00BA74FA" w:rsidP="00A133FD">
      <w:pPr>
        <w:pStyle w:val="3-BodyText"/>
        <w:ind w:left="720"/>
        <w:rPr>
          <w:snapToGrid w:val="0"/>
        </w:rPr>
      </w:pPr>
      <w:r w:rsidRPr="00561FF2">
        <w:rPr>
          <w:snapToGrid w:val="0"/>
        </w:rPr>
        <w:t>In November 2023, the PBAC considered that the submission’s claim that cabozantinib was superior compared to placebo in terms of ORR and PFS was supported. However, the PBAC considered that the superiority of cabozantinib in terms of OS was uncertain due to patients randomised to placebo receiving cabozantinib, the relatively short follow up and the high number of observations that were censored (paragraph 7.10, cabozantinib minutes, November 2023).</w:t>
      </w:r>
    </w:p>
    <w:p w14:paraId="6272CBE5" w14:textId="7572A000" w:rsidR="00BA74FA" w:rsidRPr="00561FF2" w:rsidRDefault="00BA74FA" w:rsidP="00A133FD">
      <w:pPr>
        <w:pStyle w:val="3-BodyText"/>
        <w:ind w:left="720"/>
        <w:rPr>
          <w:snapToGrid w:val="0"/>
        </w:rPr>
      </w:pPr>
      <w:r w:rsidRPr="00561FF2">
        <w:rPr>
          <w:snapToGrid w:val="0"/>
        </w:rPr>
        <w:t>In November 2023, the PBAC considered that the claim that cabozantinib was inferior in terms of safety compared to placebo was reasonable (paragraph 7.11, cabozantinib minutes, November 2023).</w:t>
      </w:r>
    </w:p>
    <w:p w14:paraId="032FC952" w14:textId="44E6188C" w:rsidR="00AA6F91" w:rsidRPr="00561FF2" w:rsidRDefault="00AA6F91" w:rsidP="00A133FD">
      <w:pPr>
        <w:pStyle w:val="3-BodyText"/>
        <w:ind w:left="720"/>
        <w:rPr>
          <w:snapToGrid w:val="0"/>
        </w:rPr>
      </w:pPr>
      <w:bookmarkStart w:id="5" w:name="_Hlk76376200"/>
      <w:r w:rsidRPr="00561FF2">
        <w:rPr>
          <w:iCs/>
          <w:snapToGrid w:val="0"/>
        </w:rPr>
        <w:t>The</w:t>
      </w:r>
      <w:r w:rsidRPr="00561FF2">
        <w:rPr>
          <w:snapToGrid w:val="0"/>
        </w:rPr>
        <w:t xml:space="preserve"> </w:t>
      </w:r>
      <w:r w:rsidR="00561FF2" w:rsidRPr="00561FF2">
        <w:rPr>
          <w:snapToGrid w:val="0"/>
        </w:rPr>
        <w:t>PBAC’s</w:t>
      </w:r>
      <w:r w:rsidRPr="00561FF2">
        <w:rPr>
          <w:snapToGrid w:val="0"/>
        </w:rPr>
        <w:t xml:space="preserve"> consider</w:t>
      </w:r>
      <w:r w:rsidR="009E019D" w:rsidRPr="00561FF2">
        <w:rPr>
          <w:snapToGrid w:val="0"/>
        </w:rPr>
        <w:t xml:space="preserve">ation of the comparative clinical effectiveness and safety remain unchanged from November 2023. </w:t>
      </w:r>
      <w:bookmarkEnd w:id="5"/>
    </w:p>
    <w:p w14:paraId="3CF10B37" w14:textId="320845A7" w:rsidR="00921437" w:rsidRPr="00561FF2" w:rsidRDefault="00921437" w:rsidP="00921437">
      <w:pPr>
        <w:pStyle w:val="4-SubsectionHeading"/>
        <w:rPr>
          <w:iCs/>
          <w:snapToGrid w:val="0"/>
        </w:rPr>
      </w:pPr>
      <w:r w:rsidRPr="00561FF2">
        <w:rPr>
          <w:snapToGrid w:val="0"/>
        </w:rPr>
        <w:t>Economic analysis</w:t>
      </w:r>
    </w:p>
    <w:p w14:paraId="046B1F61" w14:textId="02640755" w:rsidR="00921437" w:rsidRPr="00561FF2" w:rsidRDefault="00921437" w:rsidP="00A133FD">
      <w:pPr>
        <w:pStyle w:val="3-BodyText"/>
        <w:ind w:left="720"/>
        <w:rPr>
          <w:i/>
          <w:iCs/>
          <w:snapToGrid w:val="0"/>
        </w:rPr>
      </w:pPr>
      <w:r w:rsidRPr="00561FF2">
        <w:rPr>
          <w:snapToGrid w:val="0"/>
        </w:rPr>
        <w:t xml:space="preserve">In </w:t>
      </w:r>
      <w:r w:rsidR="00BA74FA" w:rsidRPr="00561FF2">
        <w:rPr>
          <w:snapToGrid w:val="0"/>
        </w:rPr>
        <w:t xml:space="preserve">November </w:t>
      </w:r>
      <w:r w:rsidRPr="00561FF2">
        <w:rPr>
          <w:snapToGrid w:val="0"/>
        </w:rPr>
        <w:t xml:space="preserve">2023, the PBAC considered that the </w:t>
      </w:r>
      <w:r w:rsidR="00BA74FA" w:rsidRPr="00561FF2">
        <w:rPr>
          <w:snapToGrid w:val="0"/>
        </w:rPr>
        <w:t xml:space="preserve">economic model was uncertain and that the </w:t>
      </w:r>
      <w:r w:rsidRPr="00561FF2">
        <w:rPr>
          <w:snapToGrid w:val="0"/>
        </w:rPr>
        <w:t>base case ICER presented in the submission ($</w:t>
      </w:r>
      <w:r w:rsidR="00453E82" w:rsidRPr="00453E82">
        <w:rPr>
          <w:snapToGrid w:val="0"/>
        </w:rPr>
        <w:t xml:space="preserve">55,000 to &lt; $75,000 </w:t>
      </w:r>
      <w:r w:rsidRPr="00561FF2">
        <w:rPr>
          <w:snapToGrid w:val="0"/>
        </w:rPr>
        <w:t xml:space="preserve">per QALY) was </w:t>
      </w:r>
      <w:r w:rsidR="00BA74FA" w:rsidRPr="00561FF2">
        <w:rPr>
          <w:snapToGrid w:val="0"/>
        </w:rPr>
        <w:t>underestimated</w:t>
      </w:r>
      <w:r w:rsidRPr="00561FF2">
        <w:rPr>
          <w:snapToGrid w:val="0"/>
        </w:rPr>
        <w:t xml:space="preserve"> (paragraph 7.</w:t>
      </w:r>
      <w:r w:rsidR="00096FF2" w:rsidRPr="00561FF2">
        <w:rPr>
          <w:snapToGrid w:val="0"/>
        </w:rPr>
        <w:t>1</w:t>
      </w:r>
      <w:r w:rsidRPr="00561FF2">
        <w:rPr>
          <w:snapToGrid w:val="0"/>
        </w:rPr>
        <w:t xml:space="preserve">, </w:t>
      </w:r>
      <w:r w:rsidR="00BA74FA" w:rsidRPr="00561FF2">
        <w:rPr>
          <w:snapToGrid w:val="0"/>
        </w:rPr>
        <w:t>cabozantinib minutes</w:t>
      </w:r>
      <w:r w:rsidRPr="00561FF2">
        <w:rPr>
          <w:snapToGrid w:val="0"/>
        </w:rPr>
        <w:t xml:space="preserve">, </w:t>
      </w:r>
      <w:r w:rsidR="00BA74FA" w:rsidRPr="00561FF2">
        <w:rPr>
          <w:snapToGrid w:val="0"/>
        </w:rPr>
        <w:t>November</w:t>
      </w:r>
      <w:r w:rsidRPr="00561FF2">
        <w:rPr>
          <w:snapToGrid w:val="0"/>
        </w:rPr>
        <w:t xml:space="preserve"> 2023). The PBAC suggested </w:t>
      </w:r>
      <w:r w:rsidR="00BA74FA" w:rsidRPr="00561FF2">
        <w:rPr>
          <w:snapToGrid w:val="0"/>
        </w:rPr>
        <w:t xml:space="preserve">that a more appropriate base case would: </w:t>
      </w:r>
    </w:p>
    <w:p w14:paraId="4694EA6D" w14:textId="2F0AB3BF" w:rsidR="00BA74FA" w:rsidRPr="00561FF2" w:rsidRDefault="00BA74FA" w:rsidP="00AA6F91">
      <w:pPr>
        <w:pStyle w:val="3-BodyText"/>
        <w:numPr>
          <w:ilvl w:val="0"/>
          <w:numId w:val="5"/>
        </w:numPr>
        <w:ind w:left="1080"/>
        <w:rPr>
          <w:snapToGrid w:val="0"/>
        </w:rPr>
      </w:pPr>
      <w:r w:rsidRPr="00561FF2">
        <w:rPr>
          <w:snapToGrid w:val="0"/>
        </w:rPr>
        <w:t>continue to be based on the subgroup of patients who had received prior lenvatinib only;</w:t>
      </w:r>
    </w:p>
    <w:p w14:paraId="375C2138" w14:textId="1CA48DA9" w:rsidR="00BA74FA" w:rsidRPr="00561FF2" w:rsidRDefault="00BA74FA" w:rsidP="00AA6F91">
      <w:pPr>
        <w:pStyle w:val="3-BodyText"/>
        <w:numPr>
          <w:ilvl w:val="0"/>
          <w:numId w:val="5"/>
        </w:numPr>
        <w:ind w:left="1080"/>
        <w:rPr>
          <w:snapToGrid w:val="0"/>
        </w:rPr>
      </w:pPr>
      <w:r w:rsidRPr="00561FF2">
        <w:rPr>
          <w:snapToGrid w:val="0"/>
        </w:rPr>
        <w:t xml:space="preserve">apply the trial-based utility to the pre-progression health state (0.692). The relative utility decrement from Fordham (2015) of -0.278 should then be applied to determine the post-progression utility (0.414); and </w:t>
      </w:r>
    </w:p>
    <w:p w14:paraId="793AE071" w14:textId="77777777" w:rsidR="00BA74FA" w:rsidRPr="00561FF2" w:rsidRDefault="00BA74FA" w:rsidP="00AA6F91">
      <w:pPr>
        <w:pStyle w:val="3-BodyText"/>
        <w:numPr>
          <w:ilvl w:val="0"/>
          <w:numId w:val="5"/>
        </w:numPr>
        <w:ind w:left="1080"/>
        <w:rPr>
          <w:snapToGrid w:val="0"/>
        </w:rPr>
      </w:pPr>
      <w:r w:rsidRPr="00561FF2">
        <w:rPr>
          <w:snapToGrid w:val="0"/>
        </w:rPr>
        <w:t>remove all treatment costs from the post-progression health state.</w:t>
      </w:r>
    </w:p>
    <w:p w14:paraId="18FBA531" w14:textId="4FDCC68B" w:rsidR="00BA74FA" w:rsidRPr="00561FF2" w:rsidRDefault="00921437" w:rsidP="00A133FD">
      <w:pPr>
        <w:pStyle w:val="3-BodyText"/>
        <w:ind w:left="720"/>
        <w:rPr>
          <w:i/>
          <w:iCs/>
          <w:snapToGrid w:val="0"/>
        </w:rPr>
      </w:pPr>
      <w:r w:rsidRPr="00561FF2">
        <w:rPr>
          <w:snapToGrid w:val="0"/>
        </w:rPr>
        <w:t xml:space="preserve">The PBAC </w:t>
      </w:r>
      <w:r w:rsidR="00BA74FA" w:rsidRPr="00561FF2">
        <w:rPr>
          <w:snapToGrid w:val="0"/>
        </w:rPr>
        <w:t>noted that the ICER for the above scenario was $</w:t>
      </w:r>
      <w:r w:rsidR="00453E82" w:rsidRPr="00453E82">
        <w:rPr>
          <w:snapToGrid w:val="0"/>
        </w:rPr>
        <w:t>155,000 to &lt; $255,000</w:t>
      </w:r>
      <w:r w:rsidR="00F9590B">
        <w:rPr>
          <w:snapToGrid w:val="0"/>
        </w:rPr>
        <w:t xml:space="preserve"> </w:t>
      </w:r>
      <w:r w:rsidR="00BA74FA" w:rsidRPr="00561FF2">
        <w:rPr>
          <w:snapToGrid w:val="0"/>
        </w:rPr>
        <w:t>per QALY and considered that a price reduction would be required for cabozantinib to be considered cost effective. Noting the rare nature of RAI refractory or ineligible DTC, the poor prognosis following progression, the potentially conservative model assumptions with regards to the use of the subgroup data and removal of all post progression costs and the small budget impact, an ICER of less than $</w:t>
      </w:r>
      <w:r w:rsidR="00453E82" w:rsidRPr="00453E82">
        <w:rPr>
          <w:snapToGrid w:val="0"/>
        </w:rPr>
        <w:t>95,000 to &lt;</w:t>
      </w:r>
      <w:r w:rsidR="00F9590B">
        <w:rPr>
          <w:snapToGrid w:val="0"/>
        </w:rPr>
        <w:t> </w:t>
      </w:r>
      <w:r w:rsidR="00453E82" w:rsidRPr="00453E82">
        <w:rPr>
          <w:snapToGrid w:val="0"/>
        </w:rPr>
        <w:t xml:space="preserve">$115,000 </w:t>
      </w:r>
      <w:r w:rsidR="00BA74FA" w:rsidRPr="00561FF2">
        <w:rPr>
          <w:snapToGrid w:val="0"/>
        </w:rPr>
        <w:t>per QALY would be cost effective in this setting (paragraph 7.15, cabozantinib minutes, November 2023).</w:t>
      </w:r>
    </w:p>
    <w:p w14:paraId="307FD767" w14:textId="0E8F41B1" w:rsidR="00921437" w:rsidRPr="00561FF2" w:rsidRDefault="00921437" w:rsidP="00A133FD">
      <w:pPr>
        <w:pStyle w:val="3-BodyText"/>
        <w:ind w:left="720"/>
        <w:rPr>
          <w:rFonts w:cstheme="minorHAnsi"/>
          <w:szCs w:val="24"/>
        </w:rPr>
      </w:pPr>
      <w:r w:rsidRPr="00561FF2">
        <w:rPr>
          <w:rFonts w:cstheme="minorHAnsi"/>
          <w:szCs w:val="24"/>
        </w:rPr>
        <w:t xml:space="preserve">As noted in </w:t>
      </w:r>
      <w:r w:rsidRPr="00561FF2">
        <w:rPr>
          <w:rFonts w:cstheme="minorHAnsi"/>
          <w:szCs w:val="24"/>
        </w:rPr>
        <w:fldChar w:fldCharType="begin" w:fldLock="1"/>
      </w:r>
      <w:r w:rsidRPr="00561FF2">
        <w:rPr>
          <w:rFonts w:cstheme="minorHAnsi"/>
          <w:szCs w:val="24"/>
        </w:rPr>
        <w:instrText xml:space="preserve"> REF _Ref157426709 \h  \* MERGEFORMAT </w:instrText>
      </w:r>
      <w:r w:rsidRPr="00561FF2">
        <w:rPr>
          <w:rFonts w:cstheme="minorHAnsi"/>
          <w:szCs w:val="24"/>
        </w:rPr>
      </w:r>
      <w:r w:rsidRPr="00561FF2">
        <w:rPr>
          <w:rFonts w:cstheme="minorHAnsi"/>
          <w:szCs w:val="24"/>
        </w:rPr>
        <w:fldChar w:fldCharType="separate"/>
      </w:r>
      <w:r w:rsidRPr="00561FF2">
        <w:rPr>
          <w:rFonts w:cstheme="minorHAnsi"/>
          <w:szCs w:val="24"/>
        </w:rPr>
        <w:t>Table 1</w:t>
      </w:r>
      <w:r w:rsidRPr="00561FF2">
        <w:rPr>
          <w:rFonts w:cstheme="minorHAnsi"/>
          <w:szCs w:val="24"/>
        </w:rPr>
        <w:fldChar w:fldCharType="end"/>
      </w:r>
      <w:r w:rsidRPr="00561FF2">
        <w:rPr>
          <w:rFonts w:cstheme="minorHAnsi"/>
          <w:szCs w:val="24"/>
        </w:rPr>
        <w:t xml:space="preserve">, the resubmission </w:t>
      </w:r>
      <w:r w:rsidR="00096FF2" w:rsidRPr="00561FF2">
        <w:rPr>
          <w:rFonts w:cstheme="minorHAnsi"/>
          <w:szCs w:val="24"/>
        </w:rPr>
        <w:t>accepted</w:t>
      </w:r>
      <w:r w:rsidRPr="00561FF2">
        <w:rPr>
          <w:rFonts w:cstheme="minorHAnsi"/>
          <w:szCs w:val="24"/>
        </w:rPr>
        <w:t xml:space="preserve"> </w:t>
      </w:r>
      <w:r w:rsidR="00BA74FA" w:rsidRPr="00561FF2">
        <w:rPr>
          <w:rFonts w:cstheme="minorHAnsi"/>
          <w:szCs w:val="24"/>
        </w:rPr>
        <w:t>the</w:t>
      </w:r>
      <w:r w:rsidRPr="00561FF2">
        <w:rPr>
          <w:rFonts w:cstheme="minorHAnsi"/>
          <w:szCs w:val="24"/>
        </w:rPr>
        <w:t xml:space="preserve"> changes to the </w:t>
      </w:r>
      <w:r w:rsidR="00BA74FA" w:rsidRPr="00561FF2">
        <w:rPr>
          <w:rFonts w:cstheme="minorHAnsi"/>
          <w:szCs w:val="24"/>
        </w:rPr>
        <w:t>utility values, partially accepted the removal of all post progression treatment costs (all treatment costs were removed, but end</w:t>
      </w:r>
      <w:r w:rsidR="009E019D" w:rsidRPr="00561FF2">
        <w:rPr>
          <w:rFonts w:cstheme="minorHAnsi"/>
          <w:szCs w:val="24"/>
        </w:rPr>
        <w:t>-</w:t>
      </w:r>
      <w:r w:rsidR="00BA74FA" w:rsidRPr="00561FF2">
        <w:rPr>
          <w:rFonts w:cstheme="minorHAnsi"/>
          <w:szCs w:val="24"/>
        </w:rPr>
        <w:t>of</w:t>
      </w:r>
      <w:r w:rsidR="009E019D" w:rsidRPr="00561FF2">
        <w:rPr>
          <w:rFonts w:cstheme="minorHAnsi"/>
          <w:szCs w:val="24"/>
        </w:rPr>
        <w:t>-</w:t>
      </w:r>
      <w:r w:rsidR="00BA74FA" w:rsidRPr="00561FF2">
        <w:rPr>
          <w:rFonts w:cstheme="minorHAnsi"/>
          <w:szCs w:val="24"/>
        </w:rPr>
        <w:t xml:space="preserve">life costs were incorporated), presented results using subgroup who had previously received lenvatinib only </w:t>
      </w:r>
      <w:r w:rsidR="00096FF2" w:rsidRPr="00561FF2">
        <w:rPr>
          <w:rFonts w:cstheme="minorHAnsi"/>
          <w:szCs w:val="24"/>
        </w:rPr>
        <w:t xml:space="preserve">and </w:t>
      </w:r>
      <w:r w:rsidRPr="00561FF2">
        <w:rPr>
          <w:rFonts w:cstheme="minorHAnsi"/>
          <w:szCs w:val="24"/>
        </w:rPr>
        <w:t xml:space="preserve">proposed </w:t>
      </w:r>
      <w:r w:rsidR="00BA74FA" w:rsidRPr="00561FF2">
        <w:rPr>
          <w:rFonts w:cstheme="minorHAnsi"/>
          <w:szCs w:val="24"/>
        </w:rPr>
        <w:t xml:space="preserve">a </w:t>
      </w:r>
      <w:r w:rsidR="00BA74FA" w:rsidRPr="001E7F5C">
        <w:rPr>
          <w:rFonts w:cstheme="minorHAnsi"/>
          <w:szCs w:val="24"/>
        </w:rPr>
        <w:t>12</w:t>
      </w:r>
      <w:r w:rsidR="00BA74FA" w:rsidRPr="00561FF2">
        <w:rPr>
          <w:rFonts w:cstheme="minorHAnsi"/>
          <w:szCs w:val="24"/>
        </w:rPr>
        <w:t>%</w:t>
      </w:r>
      <w:r w:rsidRPr="00561FF2">
        <w:rPr>
          <w:rFonts w:cstheme="minorHAnsi"/>
          <w:szCs w:val="24"/>
        </w:rPr>
        <w:t xml:space="preserve"> reduction </w:t>
      </w:r>
      <w:r w:rsidRPr="00561FF2">
        <w:rPr>
          <w:rFonts w:cstheme="minorHAnsi"/>
          <w:szCs w:val="24"/>
        </w:rPr>
        <w:lastRenderedPageBreak/>
        <w:t xml:space="preserve">to the </w:t>
      </w:r>
      <w:r w:rsidR="00096FF2" w:rsidRPr="00561FF2">
        <w:rPr>
          <w:rFonts w:cstheme="minorHAnsi"/>
          <w:szCs w:val="24"/>
        </w:rPr>
        <w:t xml:space="preserve">effective </w:t>
      </w:r>
      <w:r w:rsidRPr="00561FF2">
        <w:rPr>
          <w:rFonts w:cstheme="minorHAnsi"/>
          <w:szCs w:val="24"/>
        </w:rPr>
        <w:t xml:space="preserve">DPMQ of </w:t>
      </w:r>
      <w:r w:rsidR="00BA74FA" w:rsidRPr="00561FF2">
        <w:rPr>
          <w:rFonts w:cstheme="minorHAnsi"/>
          <w:szCs w:val="24"/>
        </w:rPr>
        <w:t>cabozantinib</w:t>
      </w:r>
      <w:r w:rsidRPr="00561FF2">
        <w:rPr>
          <w:rFonts w:cstheme="minorHAnsi"/>
          <w:szCs w:val="24"/>
        </w:rPr>
        <w:t>. These changes resulted in an ICER of $</w:t>
      </w:r>
      <w:r w:rsidR="00453E82" w:rsidRPr="00453E82">
        <w:rPr>
          <w:rFonts w:cstheme="minorHAnsi"/>
          <w:szCs w:val="24"/>
        </w:rPr>
        <w:t xml:space="preserve">55,000 to &lt; $75,000 </w:t>
      </w:r>
      <w:r w:rsidRPr="00561FF2">
        <w:rPr>
          <w:rFonts w:cstheme="minorHAnsi"/>
          <w:szCs w:val="24"/>
        </w:rPr>
        <w:t xml:space="preserve">per QALY; see </w:t>
      </w:r>
      <w:r w:rsidRPr="00561FF2">
        <w:rPr>
          <w:rFonts w:cstheme="minorHAnsi"/>
          <w:szCs w:val="24"/>
        </w:rPr>
        <w:fldChar w:fldCharType="begin" w:fldLock="1"/>
      </w:r>
      <w:r w:rsidRPr="00561FF2">
        <w:rPr>
          <w:rFonts w:cstheme="minorHAnsi"/>
          <w:szCs w:val="24"/>
        </w:rPr>
        <w:instrText xml:space="preserve"> REF _Ref157434233 \h  \* MERGEFORMAT </w:instrText>
      </w:r>
      <w:r w:rsidRPr="00561FF2">
        <w:rPr>
          <w:rFonts w:cstheme="minorHAnsi"/>
          <w:szCs w:val="24"/>
        </w:rPr>
      </w:r>
      <w:r w:rsidRPr="00561FF2">
        <w:rPr>
          <w:rFonts w:cstheme="minorHAnsi"/>
          <w:szCs w:val="24"/>
        </w:rPr>
        <w:fldChar w:fldCharType="separate"/>
      </w:r>
      <w:r w:rsidRPr="00561FF2">
        <w:rPr>
          <w:rFonts w:cstheme="minorHAnsi"/>
          <w:szCs w:val="24"/>
        </w:rPr>
        <w:t>Table 3</w:t>
      </w:r>
      <w:r w:rsidRPr="00561FF2">
        <w:rPr>
          <w:rFonts w:cstheme="minorHAnsi"/>
          <w:szCs w:val="24"/>
        </w:rPr>
        <w:fldChar w:fldCharType="end"/>
      </w:r>
      <w:r w:rsidRPr="00561FF2">
        <w:rPr>
          <w:rFonts w:cstheme="minorHAnsi"/>
          <w:szCs w:val="24"/>
        </w:rPr>
        <w:t>.</w:t>
      </w:r>
    </w:p>
    <w:p w14:paraId="353AF58E" w14:textId="680E36C4" w:rsidR="00921437" w:rsidRPr="00561FF2" w:rsidRDefault="00921437" w:rsidP="00921437">
      <w:pPr>
        <w:pStyle w:val="Caption"/>
        <w:spacing w:after="0"/>
        <w:rPr>
          <w:rFonts w:ascii="Arial Narrow" w:hAnsi="Arial Narrow"/>
          <w:b/>
          <w:bCs/>
          <w:i w:val="0"/>
          <w:iCs w:val="0"/>
          <w:color w:val="auto"/>
          <w:sz w:val="20"/>
          <w:szCs w:val="20"/>
        </w:rPr>
      </w:pPr>
      <w:bookmarkStart w:id="6" w:name="_Ref157434233"/>
      <w:r w:rsidRPr="00561FF2">
        <w:rPr>
          <w:rFonts w:ascii="Arial Narrow" w:hAnsi="Arial Narrow"/>
          <w:b/>
          <w:bCs/>
          <w:i w:val="0"/>
          <w:iCs w:val="0"/>
          <w:color w:val="auto"/>
          <w:sz w:val="20"/>
          <w:szCs w:val="20"/>
        </w:rPr>
        <w:t xml:space="preserve">Table </w:t>
      </w:r>
      <w:r w:rsidRPr="00561FF2">
        <w:rPr>
          <w:rFonts w:ascii="Arial Narrow" w:hAnsi="Arial Narrow"/>
          <w:b/>
          <w:bCs/>
          <w:i w:val="0"/>
          <w:iCs w:val="0"/>
          <w:color w:val="auto"/>
          <w:sz w:val="20"/>
          <w:szCs w:val="20"/>
        </w:rPr>
        <w:fldChar w:fldCharType="begin" w:fldLock="1"/>
      </w:r>
      <w:r w:rsidRPr="00561FF2">
        <w:rPr>
          <w:rFonts w:ascii="Arial Narrow" w:hAnsi="Arial Narrow"/>
          <w:b/>
          <w:bCs/>
          <w:i w:val="0"/>
          <w:iCs w:val="0"/>
          <w:color w:val="auto"/>
          <w:sz w:val="20"/>
          <w:szCs w:val="20"/>
        </w:rPr>
        <w:instrText xml:space="preserve"> SEQ Table \* ARABIC </w:instrText>
      </w:r>
      <w:r w:rsidRPr="00561FF2">
        <w:rPr>
          <w:rFonts w:ascii="Arial Narrow" w:hAnsi="Arial Narrow"/>
          <w:b/>
          <w:bCs/>
          <w:i w:val="0"/>
          <w:iCs w:val="0"/>
          <w:color w:val="auto"/>
          <w:sz w:val="20"/>
          <w:szCs w:val="20"/>
        </w:rPr>
        <w:fldChar w:fldCharType="separate"/>
      </w:r>
      <w:r w:rsidR="00A133FD" w:rsidRPr="00A97704">
        <w:rPr>
          <w:rFonts w:ascii="Arial Narrow" w:hAnsi="Arial Narrow"/>
          <w:b/>
          <w:bCs/>
          <w:i w:val="0"/>
          <w:iCs w:val="0"/>
          <w:color w:val="auto"/>
          <w:sz w:val="20"/>
          <w:szCs w:val="20"/>
        </w:rPr>
        <w:t>3</w:t>
      </w:r>
      <w:r w:rsidRPr="00561FF2">
        <w:rPr>
          <w:rFonts w:ascii="Arial Narrow" w:hAnsi="Arial Narrow"/>
          <w:b/>
          <w:bCs/>
          <w:i w:val="0"/>
          <w:iCs w:val="0"/>
          <w:color w:val="auto"/>
          <w:sz w:val="20"/>
          <w:szCs w:val="20"/>
        </w:rPr>
        <w:fldChar w:fldCharType="end"/>
      </w:r>
      <w:bookmarkEnd w:id="6"/>
      <w:r w:rsidRPr="00561FF2">
        <w:rPr>
          <w:rFonts w:ascii="Arial Narrow" w:hAnsi="Arial Narrow"/>
          <w:b/>
          <w:bCs/>
          <w:i w:val="0"/>
          <w:iCs w:val="0"/>
          <w:color w:val="auto"/>
          <w:sz w:val="20"/>
          <w:szCs w:val="20"/>
        </w:rPr>
        <w:t>: Results of the economic model</w:t>
      </w:r>
      <w:r w:rsidR="00CA13A2" w:rsidRPr="00561FF2">
        <w:rPr>
          <w:rFonts w:ascii="Arial Narrow" w:hAnsi="Arial Narrow"/>
          <w:b/>
          <w:bCs/>
          <w:i w:val="0"/>
          <w:iCs w:val="0"/>
          <w:color w:val="auto"/>
          <w:sz w:val="20"/>
          <w:szCs w:val="20"/>
        </w:rPr>
        <w:t xml:space="preserve"> and the changes </w:t>
      </w:r>
      <w:r w:rsidR="00D677E1" w:rsidRPr="00561FF2">
        <w:rPr>
          <w:rFonts w:ascii="Arial Narrow" w:hAnsi="Arial Narrow"/>
          <w:b/>
          <w:bCs/>
          <w:i w:val="0"/>
          <w:iCs w:val="0"/>
          <w:color w:val="auto"/>
          <w:sz w:val="20"/>
          <w:szCs w:val="20"/>
        </w:rPr>
        <w:t xml:space="preserve">requested by PBAC in </w:t>
      </w:r>
      <w:r w:rsidR="00BA74FA" w:rsidRPr="00561FF2">
        <w:rPr>
          <w:rFonts w:ascii="Arial Narrow" w:hAnsi="Arial Narrow"/>
          <w:b/>
          <w:bCs/>
          <w:i w:val="0"/>
          <w:iCs w:val="0"/>
          <w:color w:val="auto"/>
          <w:sz w:val="20"/>
          <w:szCs w:val="20"/>
        </w:rPr>
        <w:t>November</w:t>
      </w:r>
      <w:r w:rsidR="00D677E1" w:rsidRPr="00561FF2">
        <w:rPr>
          <w:rFonts w:ascii="Arial Narrow" w:hAnsi="Arial Narrow"/>
          <w:b/>
          <w:bCs/>
          <w:i w:val="0"/>
          <w:iCs w:val="0"/>
          <w:color w:val="auto"/>
          <w:sz w:val="20"/>
          <w:szCs w:val="20"/>
        </w:rPr>
        <w:t xml:space="preserve"> 2023</w:t>
      </w:r>
    </w:p>
    <w:tbl>
      <w:tblPr>
        <w:tblStyle w:val="TableGrid"/>
        <w:tblW w:w="5000" w:type="pct"/>
        <w:tblLayout w:type="fixed"/>
        <w:tblLook w:val="04A0" w:firstRow="1" w:lastRow="0" w:firstColumn="1" w:lastColumn="0" w:noHBand="0" w:noVBand="1"/>
        <w:tblCaption w:val="Table 3: Results of the economic model and the changes requested by PBAC in November 2023"/>
      </w:tblPr>
      <w:tblGrid>
        <w:gridCol w:w="5514"/>
        <w:gridCol w:w="1199"/>
        <w:gridCol w:w="1199"/>
        <w:gridCol w:w="1104"/>
      </w:tblGrid>
      <w:tr w:rsidR="00BA74FA" w:rsidRPr="00561FF2" w14:paraId="3BC28F3A" w14:textId="77777777" w:rsidTr="00E447F1">
        <w:trPr>
          <w:trHeight w:val="300"/>
        </w:trPr>
        <w:tc>
          <w:tcPr>
            <w:tcW w:w="3058" w:type="pct"/>
            <w:noWrap/>
            <w:hideMark/>
          </w:tcPr>
          <w:p w14:paraId="4CA47AB2" w14:textId="77777777" w:rsidR="00BA74FA" w:rsidRPr="00561FF2" w:rsidRDefault="00BA74FA" w:rsidP="00446AA5">
            <w:pPr>
              <w:pStyle w:val="TableTitlecentred"/>
              <w:rPr>
                <w:rFonts w:ascii="Arial Narrow" w:hAnsi="Arial Narrow"/>
                <w:bCs/>
                <w:sz w:val="20"/>
              </w:rPr>
            </w:pPr>
          </w:p>
        </w:tc>
        <w:tc>
          <w:tcPr>
            <w:tcW w:w="665" w:type="pct"/>
            <w:tcBorders>
              <w:bottom w:val="single" w:sz="4" w:space="0" w:color="auto"/>
            </w:tcBorders>
            <w:noWrap/>
            <w:hideMark/>
          </w:tcPr>
          <w:p w14:paraId="5D03DECC" w14:textId="03F99A75" w:rsidR="00BA74FA" w:rsidRPr="00561FF2" w:rsidRDefault="00BA74FA" w:rsidP="00446AA5">
            <w:pPr>
              <w:pStyle w:val="TableTitlecentred"/>
              <w:rPr>
                <w:rFonts w:ascii="Arial Narrow" w:hAnsi="Arial Narrow"/>
                <w:bCs/>
                <w:sz w:val="20"/>
              </w:rPr>
            </w:pPr>
            <w:r w:rsidRPr="00561FF2">
              <w:rPr>
                <w:rFonts w:ascii="Arial Narrow" w:hAnsi="Arial Narrow"/>
                <w:sz w:val="20"/>
              </w:rPr>
              <w:t>Incremental costs</w:t>
            </w:r>
            <w:r w:rsidR="002E31B2">
              <w:rPr>
                <w:rFonts w:ascii="Arial Narrow" w:hAnsi="Arial Narrow"/>
                <w:sz w:val="20"/>
              </w:rPr>
              <w:t xml:space="preserve"> ($)</w:t>
            </w:r>
          </w:p>
        </w:tc>
        <w:tc>
          <w:tcPr>
            <w:tcW w:w="665" w:type="pct"/>
            <w:noWrap/>
            <w:hideMark/>
          </w:tcPr>
          <w:p w14:paraId="788713AB" w14:textId="77777777" w:rsidR="00BA74FA" w:rsidRPr="00561FF2" w:rsidRDefault="00BA74FA" w:rsidP="00446AA5">
            <w:pPr>
              <w:pStyle w:val="TableTitlecentred"/>
              <w:rPr>
                <w:rFonts w:ascii="Arial Narrow" w:hAnsi="Arial Narrow"/>
                <w:bCs/>
                <w:sz w:val="20"/>
              </w:rPr>
            </w:pPr>
            <w:r w:rsidRPr="00561FF2">
              <w:rPr>
                <w:rFonts w:ascii="Arial Narrow" w:hAnsi="Arial Narrow"/>
                <w:sz w:val="20"/>
              </w:rPr>
              <w:t>Incremental QALYs</w:t>
            </w:r>
          </w:p>
        </w:tc>
        <w:tc>
          <w:tcPr>
            <w:tcW w:w="612" w:type="pct"/>
            <w:noWrap/>
            <w:hideMark/>
          </w:tcPr>
          <w:p w14:paraId="710A85F9" w14:textId="77777777" w:rsidR="00BA74FA" w:rsidRPr="00561FF2" w:rsidRDefault="00BA74FA" w:rsidP="00446AA5">
            <w:pPr>
              <w:pStyle w:val="TableTitlecentred"/>
              <w:rPr>
                <w:rFonts w:ascii="Arial Narrow" w:hAnsi="Arial Narrow"/>
                <w:bCs/>
                <w:sz w:val="20"/>
              </w:rPr>
            </w:pPr>
            <w:r w:rsidRPr="00561FF2">
              <w:rPr>
                <w:rFonts w:ascii="Arial Narrow" w:hAnsi="Arial Narrow"/>
                <w:sz w:val="20"/>
              </w:rPr>
              <w:t>ICER</w:t>
            </w:r>
          </w:p>
        </w:tc>
      </w:tr>
      <w:tr w:rsidR="00BA74FA" w:rsidRPr="00561FF2" w14:paraId="5D7E46FF" w14:textId="77777777" w:rsidTr="00E447F1">
        <w:trPr>
          <w:trHeight w:val="20"/>
        </w:trPr>
        <w:tc>
          <w:tcPr>
            <w:tcW w:w="3058" w:type="pct"/>
            <w:tcBorders>
              <w:bottom w:val="single" w:sz="4" w:space="0" w:color="auto"/>
            </w:tcBorders>
            <w:noWrap/>
            <w:hideMark/>
          </w:tcPr>
          <w:p w14:paraId="31FD81F5" w14:textId="77777777"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November 2023 submission base case</w:t>
            </w:r>
          </w:p>
        </w:tc>
        <w:tc>
          <w:tcPr>
            <w:tcW w:w="665" w:type="pct"/>
            <w:tcBorders>
              <w:bottom w:val="single" w:sz="4" w:space="0" w:color="auto"/>
            </w:tcBorders>
            <w:shd w:val="solid" w:color="000000" w:fill="000000"/>
            <w:noWrap/>
            <w:hideMark/>
          </w:tcPr>
          <w:p w14:paraId="656F5E55" w14:textId="6A29EFA1" w:rsidR="00BA74FA" w:rsidRPr="00561FF2" w:rsidRDefault="00E447F1" w:rsidP="00446AA5">
            <w:pPr>
              <w:pStyle w:val="TableTextcentred"/>
              <w:rPr>
                <w:rFonts w:ascii="Arial Narrow" w:hAnsi="Arial Narrow"/>
                <w:sz w:val="20"/>
                <w:szCs w:val="20"/>
              </w:rPr>
            </w:pPr>
            <w:r w:rsidRPr="00E447F1">
              <w:rPr>
                <w:rFonts w:ascii="Arial Narrow" w:hAnsi="Arial Narrow" w:hint="eastAsia"/>
                <w:color w:val="000000"/>
                <w:w w:val="15"/>
                <w:sz w:val="20"/>
                <w:szCs w:val="20"/>
                <w:fitText w:val="51" w:id="-961840896"/>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896"/>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896"/>
                <w14:textFill>
                  <w14:solidFill>
                    <w14:srgbClr w14:val="000000">
                      <w14:alpha w14:val="100000"/>
                    </w14:srgbClr>
                  </w14:solidFill>
                </w14:textFill>
              </w:rPr>
              <w:t xml:space="preserve">　</w:t>
            </w:r>
          </w:p>
        </w:tc>
        <w:tc>
          <w:tcPr>
            <w:tcW w:w="665" w:type="pct"/>
            <w:tcBorders>
              <w:bottom w:val="single" w:sz="4" w:space="0" w:color="auto"/>
            </w:tcBorders>
            <w:noWrap/>
            <w:hideMark/>
          </w:tcPr>
          <w:p w14:paraId="7C82C3E8" w14:textId="07D0A967"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0.18</w:t>
            </w:r>
          </w:p>
        </w:tc>
        <w:tc>
          <w:tcPr>
            <w:tcW w:w="612" w:type="pct"/>
            <w:tcBorders>
              <w:bottom w:val="single" w:sz="4" w:space="0" w:color="auto"/>
            </w:tcBorders>
            <w:noWrap/>
            <w:hideMark/>
          </w:tcPr>
          <w:p w14:paraId="3FA2A41A" w14:textId="793B89EB"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895"/>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895"/>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895"/>
                <w14:textFill>
                  <w14:solidFill>
                    <w14:srgbClr w14:val="000000">
                      <w14:alpha w14:val="100000"/>
                    </w14:srgbClr>
                  </w14:solidFill>
                </w14:textFill>
              </w:rPr>
              <w:t xml:space="preserve">　</w:t>
            </w:r>
            <w:r w:rsidR="002E31B2" w:rsidRPr="001007E0">
              <w:rPr>
                <w:rFonts w:ascii="Arial Narrow" w:hAnsi="Arial Narrow"/>
                <w:sz w:val="20"/>
                <w:szCs w:val="20"/>
                <w:vertAlign w:val="superscript"/>
              </w:rPr>
              <w:t>1</w:t>
            </w:r>
          </w:p>
        </w:tc>
      </w:tr>
      <w:tr w:rsidR="00BA74FA" w:rsidRPr="00561FF2" w14:paraId="7393CEED" w14:textId="77777777" w:rsidTr="00E447F1">
        <w:trPr>
          <w:trHeight w:val="20"/>
        </w:trPr>
        <w:tc>
          <w:tcPr>
            <w:tcW w:w="3058" w:type="pct"/>
            <w:tcBorders>
              <w:top w:val="single" w:sz="4" w:space="0" w:color="auto"/>
              <w:left w:val="single" w:sz="4" w:space="0" w:color="auto"/>
              <w:bottom w:val="single" w:sz="4" w:space="0" w:color="auto"/>
              <w:right w:val="nil"/>
            </w:tcBorders>
            <w:noWrap/>
            <w:hideMark/>
          </w:tcPr>
          <w:p w14:paraId="50767E66" w14:textId="19A5CB3F" w:rsidR="00BA74FA" w:rsidRPr="00561FF2" w:rsidRDefault="00BA74FA" w:rsidP="00446AA5">
            <w:pPr>
              <w:pStyle w:val="TableTextleftalign"/>
              <w:rPr>
                <w:rFonts w:ascii="Arial Narrow" w:hAnsi="Arial Narrow"/>
                <w:b/>
                <w:bCs/>
                <w:sz w:val="20"/>
                <w:szCs w:val="20"/>
              </w:rPr>
            </w:pPr>
            <w:r w:rsidRPr="00561FF2">
              <w:rPr>
                <w:rFonts w:ascii="Arial Narrow" w:hAnsi="Arial Narrow"/>
                <w:b/>
                <w:sz w:val="20"/>
                <w:szCs w:val="20"/>
              </w:rPr>
              <w:t>March 2024 revisions</w:t>
            </w:r>
          </w:p>
        </w:tc>
        <w:tc>
          <w:tcPr>
            <w:tcW w:w="665" w:type="pct"/>
            <w:tcBorders>
              <w:top w:val="single" w:sz="4" w:space="0" w:color="auto"/>
              <w:left w:val="nil"/>
              <w:bottom w:val="single" w:sz="4" w:space="0" w:color="auto"/>
              <w:right w:val="nil"/>
            </w:tcBorders>
            <w:noWrap/>
            <w:hideMark/>
          </w:tcPr>
          <w:p w14:paraId="6CDC001E" w14:textId="77777777" w:rsidR="00BA74FA" w:rsidRPr="00561FF2" w:rsidRDefault="00BA74FA" w:rsidP="00446AA5">
            <w:pPr>
              <w:pStyle w:val="TableTextcentred"/>
              <w:rPr>
                <w:rFonts w:ascii="Arial Narrow" w:hAnsi="Arial Narrow"/>
                <w:sz w:val="20"/>
                <w:szCs w:val="20"/>
              </w:rPr>
            </w:pPr>
          </w:p>
        </w:tc>
        <w:tc>
          <w:tcPr>
            <w:tcW w:w="665" w:type="pct"/>
            <w:tcBorders>
              <w:top w:val="single" w:sz="4" w:space="0" w:color="auto"/>
              <w:left w:val="nil"/>
              <w:bottom w:val="single" w:sz="4" w:space="0" w:color="auto"/>
              <w:right w:val="nil"/>
            </w:tcBorders>
            <w:noWrap/>
            <w:hideMark/>
          </w:tcPr>
          <w:p w14:paraId="4EFD82C6" w14:textId="77777777" w:rsidR="00BA74FA" w:rsidRPr="00561FF2" w:rsidRDefault="00BA74FA" w:rsidP="00446AA5">
            <w:pPr>
              <w:pStyle w:val="TableTextcentred"/>
              <w:rPr>
                <w:rFonts w:ascii="Arial Narrow" w:hAnsi="Arial Narrow"/>
                <w:sz w:val="20"/>
                <w:szCs w:val="20"/>
              </w:rPr>
            </w:pPr>
          </w:p>
        </w:tc>
        <w:tc>
          <w:tcPr>
            <w:tcW w:w="612" w:type="pct"/>
            <w:tcBorders>
              <w:top w:val="single" w:sz="4" w:space="0" w:color="auto"/>
              <w:left w:val="nil"/>
              <w:bottom w:val="single" w:sz="4" w:space="0" w:color="auto"/>
              <w:right w:val="single" w:sz="4" w:space="0" w:color="auto"/>
            </w:tcBorders>
            <w:noWrap/>
            <w:hideMark/>
          </w:tcPr>
          <w:p w14:paraId="6E8EB3C7" w14:textId="77777777" w:rsidR="00BA74FA" w:rsidRPr="001007E0" w:rsidRDefault="00BA74FA" w:rsidP="00446AA5">
            <w:pPr>
              <w:pStyle w:val="TableTextcentred"/>
              <w:rPr>
                <w:rFonts w:ascii="Arial Narrow" w:hAnsi="Arial Narrow"/>
                <w:sz w:val="20"/>
                <w:szCs w:val="20"/>
                <w:highlight w:val="lightGray"/>
              </w:rPr>
            </w:pPr>
          </w:p>
        </w:tc>
      </w:tr>
      <w:tr w:rsidR="00BA74FA" w:rsidRPr="00561FF2" w14:paraId="3482B8B6" w14:textId="77777777" w:rsidTr="00E447F1">
        <w:trPr>
          <w:trHeight w:val="20"/>
        </w:trPr>
        <w:tc>
          <w:tcPr>
            <w:tcW w:w="3058" w:type="pct"/>
            <w:tcBorders>
              <w:top w:val="single" w:sz="4" w:space="0" w:color="auto"/>
            </w:tcBorders>
            <w:noWrap/>
          </w:tcPr>
          <w:p w14:paraId="08766132" w14:textId="42D07A93"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Revision of utility values</w:t>
            </w:r>
          </w:p>
        </w:tc>
        <w:tc>
          <w:tcPr>
            <w:tcW w:w="665" w:type="pct"/>
            <w:tcBorders>
              <w:top w:val="single" w:sz="4" w:space="0" w:color="auto"/>
              <w:bottom w:val="single" w:sz="4" w:space="0" w:color="auto"/>
            </w:tcBorders>
            <w:shd w:val="solid" w:color="000000" w:fill="000000"/>
            <w:noWrap/>
          </w:tcPr>
          <w:p w14:paraId="407B81D2" w14:textId="321DC94B"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894"/>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894"/>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894"/>
                <w14:textFill>
                  <w14:solidFill>
                    <w14:srgbClr w14:val="000000">
                      <w14:alpha w14:val="100000"/>
                    </w14:srgbClr>
                  </w14:solidFill>
                </w14:textFill>
              </w:rPr>
              <w:t xml:space="preserve">　</w:t>
            </w:r>
          </w:p>
        </w:tc>
        <w:tc>
          <w:tcPr>
            <w:tcW w:w="665" w:type="pct"/>
            <w:tcBorders>
              <w:top w:val="single" w:sz="4" w:space="0" w:color="auto"/>
            </w:tcBorders>
            <w:noWrap/>
          </w:tcPr>
          <w:p w14:paraId="5D303A24" w14:textId="5301D8ED"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0.14</w:t>
            </w:r>
          </w:p>
        </w:tc>
        <w:tc>
          <w:tcPr>
            <w:tcW w:w="612" w:type="pct"/>
            <w:tcBorders>
              <w:top w:val="single" w:sz="4" w:space="0" w:color="auto"/>
            </w:tcBorders>
            <w:noWrap/>
          </w:tcPr>
          <w:p w14:paraId="1E3363A7" w14:textId="2E14484A"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893"/>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893"/>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893"/>
                <w14:textFill>
                  <w14:solidFill>
                    <w14:srgbClr w14:val="000000">
                      <w14:alpha w14:val="100000"/>
                    </w14:srgbClr>
                  </w14:solidFill>
                </w14:textFill>
              </w:rPr>
              <w:t xml:space="preserve">　</w:t>
            </w:r>
            <w:r w:rsidR="00ED5B4F" w:rsidRPr="001007E0">
              <w:rPr>
                <w:rFonts w:ascii="Arial Narrow" w:hAnsi="Arial Narrow"/>
                <w:sz w:val="20"/>
                <w:szCs w:val="20"/>
                <w:vertAlign w:val="superscript"/>
              </w:rPr>
              <w:t>2</w:t>
            </w:r>
          </w:p>
        </w:tc>
      </w:tr>
      <w:tr w:rsidR="00BA74FA" w:rsidRPr="00561FF2" w14:paraId="50F265AE" w14:textId="77777777" w:rsidTr="00E447F1">
        <w:trPr>
          <w:trHeight w:val="20"/>
        </w:trPr>
        <w:tc>
          <w:tcPr>
            <w:tcW w:w="3058" w:type="pct"/>
            <w:tcBorders>
              <w:top w:val="single" w:sz="4" w:space="0" w:color="auto"/>
            </w:tcBorders>
            <w:noWrap/>
          </w:tcPr>
          <w:p w14:paraId="15F4FD0E" w14:textId="00AEF831"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 Removal of post-progression treatment costs</w:t>
            </w:r>
          </w:p>
        </w:tc>
        <w:tc>
          <w:tcPr>
            <w:tcW w:w="665" w:type="pct"/>
            <w:tcBorders>
              <w:top w:val="single" w:sz="4" w:space="0" w:color="auto"/>
              <w:bottom w:val="single" w:sz="4" w:space="0" w:color="auto"/>
            </w:tcBorders>
            <w:shd w:val="solid" w:color="000000" w:fill="000000"/>
            <w:noWrap/>
          </w:tcPr>
          <w:p w14:paraId="729CBAE1" w14:textId="1D7018A9"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892"/>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892"/>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892"/>
                <w14:textFill>
                  <w14:solidFill>
                    <w14:srgbClr w14:val="000000">
                      <w14:alpha w14:val="100000"/>
                    </w14:srgbClr>
                  </w14:solidFill>
                </w14:textFill>
              </w:rPr>
              <w:t xml:space="preserve">　</w:t>
            </w:r>
          </w:p>
        </w:tc>
        <w:tc>
          <w:tcPr>
            <w:tcW w:w="665" w:type="pct"/>
            <w:tcBorders>
              <w:top w:val="single" w:sz="4" w:space="0" w:color="auto"/>
            </w:tcBorders>
            <w:noWrap/>
          </w:tcPr>
          <w:p w14:paraId="01BA3DCE" w14:textId="6C059BA2"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0.14</w:t>
            </w:r>
          </w:p>
        </w:tc>
        <w:tc>
          <w:tcPr>
            <w:tcW w:w="612" w:type="pct"/>
            <w:tcBorders>
              <w:top w:val="single" w:sz="4" w:space="0" w:color="auto"/>
            </w:tcBorders>
            <w:noWrap/>
          </w:tcPr>
          <w:p w14:paraId="60E1C93F" w14:textId="295037C2"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891"/>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891"/>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891"/>
                <w14:textFill>
                  <w14:solidFill>
                    <w14:srgbClr w14:val="000000">
                      <w14:alpha w14:val="100000"/>
                    </w14:srgbClr>
                  </w14:solidFill>
                </w14:textFill>
              </w:rPr>
              <w:t xml:space="preserve">　</w:t>
            </w:r>
            <w:r w:rsidR="00ED5B4F" w:rsidRPr="001007E0">
              <w:rPr>
                <w:rFonts w:ascii="Arial Narrow" w:hAnsi="Arial Narrow"/>
                <w:sz w:val="20"/>
                <w:szCs w:val="20"/>
                <w:vertAlign w:val="superscript"/>
              </w:rPr>
              <w:t>3</w:t>
            </w:r>
          </w:p>
        </w:tc>
      </w:tr>
      <w:tr w:rsidR="00BA74FA" w:rsidRPr="00561FF2" w14:paraId="68DB9FF5" w14:textId="77777777" w:rsidTr="00E447F1">
        <w:trPr>
          <w:trHeight w:val="20"/>
        </w:trPr>
        <w:tc>
          <w:tcPr>
            <w:tcW w:w="3058" w:type="pct"/>
            <w:tcBorders>
              <w:top w:val="single" w:sz="4" w:space="0" w:color="auto"/>
            </w:tcBorders>
            <w:noWrap/>
          </w:tcPr>
          <w:p w14:paraId="7E33B559" w14:textId="62EA1EB3"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 Addition of end-of-life costs of $4,549.91</w:t>
            </w:r>
            <w:r w:rsidR="000610BF" w:rsidRPr="00561FF2">
              <w:rPr>
                <w:rFonts w:ascii="Arial Narrow" w:hAnsi="Arial Narrow"/>
                <w:sz w:val="20"/>
                <w:szCs w:val="20"/>
              </w:rPr>
              <w:t xml:space="preserve"> per cycle</w:t>
            </w:r>
          </w:p>
        </w:tc>
        <w:tc>
          <w:tcPr>
            <w:tcW w:w="665" w:type="pct"/>
            <w:tcBorders>
              <w:top w:val="single" w:sz="4" w:space="0" w:color="auto"/>
              <w:bottom w:val="single" w:sz="4" w:space="0" w:color="auto"/>
            </w:tcBorders>
            <w:shd w:val="solid" w:color="000000" w:fill="000000"/>
            <w:noWrap/>
          </w:tcPr>
          <w:p w14:paraId="20C1222D" w14:textId="78205C34"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640"/>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640"/>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640"/>
                <w14:textFill>
                  <w14:solidFill>
                    <w14:srgbClr w14:val="000000">
                      <w14:alpha w14:val="100000"/>
                    </w14:srgbClr>
                  </w14:solidFill>
                </w14:textFill>
              </w:rPr>
              <w:t xml:space="preserve">　</w:t>
            </w:r>
          </w:p>
        </w:tc>
        <w:tc>
          <w:tcPr>
            <w:tcW w:w="665" w:type="pct"/>
            <w:tcBorders>
              <w:top w:val="single" w:sz="4" w:space="0" w:color="auto"/>
            </w:tcBorders>
            <w:noWrap/>
          </w:tcPr>
          <w:p w14:paraId="2C48E227" w14:textId="585829BF"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0.14</w:t>
            </w:r>
          </w:p>
        </w:tc>
        <w:tc>
          <w:tcPr>
            <w:tcW w:w="612" w:type="pct"/>
            <w:tcBorders>
              <w:top w:val="single" w:sz="4" w:space="0" w:color="auto"/>
            </w:tcBorders>
            <w:noWrap/>
          </w:tcPr>
          <w:p w14:paraId="0318C8CA" w14:textId="40BD50AD"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639"/>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639"/>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639"/>
                <w14:textFill>
                  <w14:solidFill>
                    <w14:srgbClr w14:val="000000">
                      <w14:alpha w14:val="100000"/>
                    </w14:srgbClr>
                  </w14:solidFill>
                </w14:textFill>
              </w:rPr>
              <w:t xml:space="preserve">　</w:t>
            </w:r>
            <w:r w:rsidR="00ED5B4F" w:rsidRPr="001A420F">
              <w:rPr>
                <w:rFonts w:ascii="Arial Narrow" w:hAnsi="Arial Narrow"/>
                <w:sz w:val="20"/>
                <w:szCs w:val="20"/>
                <w:vertAlign w:val="superscript"/>
              </w:rPr>
              <w:t>2</w:t>
            </w:r>
          </w:p>
        </w:tc>
      </w:tr>
      <w:tr w:rsidR="00BA74FA" w:rsidRPr="00561FF2" w14:paraId="7C155BEA" w14:textId="77777777" w:rsidTr="00E447F1">
        <w:trPr>
          <w:trHeight w:val="20"/>
        </w:trPr>
        <w:tc>
          <w:tcPr>
            <w:tcW w:w="3058" w:type="pct"/>
            <w:tcBorders>
              <w:top w:val="single" w:sz="4" w:space="0" w:color="auto"/>
              <w:bottom w:val="single" w:sz="4" w:space="0" w:color="auto"/>
            </w:tcBorders>
            <w:noWrap/>
          </w:tcPr>
          <w:p w14:paraId="4C946B26" w14:textId="5EE3BEE7"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 Revised DPMQ o</w:t>
            </w:r>
            <w:r w:rsidR="007E7A84" w:rsidRPr="00561FF2">
              <w:rPr>
                <w:rFonts w:ascii="Arial Narrow" w:hAnsi="Arial Narrow"/>
                <w:sz w:val="20"/>
                <w:szCs w:val="20"/>
              </w:rPr>
              <w:t>f</w:t>
            </w:r>
            <w:r w:rsidRPr="00561FF2">
              <w:rPr>
                <w:rFonts w:ascii="Arial Narrow" w:hAnsi="Arial Narrow"/>
                <w:sz w:val="20"/>
                <w:szCs w:val="20"/>
              </w:rPr>
              <w:t xml:space="preserve"> $3,025.73</w:t>
            </w:r>
          </w:p>
        </w:tc>
        <w:tc>
          <w:tcPr>
            <w:tcW w:w="665" w:type="pct"/>
            <w:tcBorders>
              <w:top w:val="single" w:sz="4" w:space="0" w:color="auto"/>
              <w:bottom w:val="single" w:sz="4" w:space="0" w:color="auto"/>
            </w:tcBorders>
            <w:shd w:val="solid" w:color="000000" w:fill="000000"/>
            <w:noWrap/>
          </w:tcPr>
          <w:p w14:paraId="74DF65EC" w14:textId="31AFFBC6"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638"/>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638"/>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638"/>
                <w14:textFill>
                  <w14:solidFill>
                    <w14:srgbClr w14:val="000000">
                      <w14:alpha w14:val="100000"/>
                    </w14:srgbClr>
                  </w14:solidFill>
                </w14:textFill>
              </w:rPr>
              <w:t xml:space="preserve">　</w:t>
            </w:r>
          </w:p>
        </w:tc>
        <w:tc>
          <w:tcPr>
            <w:tcW w:w="665" w:type="pct"/>
            <w:tcBorders>
              <w:top w:val="single" w:sz="4" w:space="0" w:color="auto"/>
              <w:bottom w:val="single" w:sz="4" w:space="0" w:color="auto"/>
            </w:tcBorders>
            <w:noWrap/>
          </w:tcPr>
          <w:p w14:paraId="3955F5C3" w14:textId="13A8ED77"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0.14</w:t>
            </w:r>
          </w:p>
        </w:tc>
        <w:tc>
          <w:tcPr>
            <w:tcW w:w="612" w:type="pct"/>
            <w:tcBorders>
              <w:top w:val="single" w:sz="4" w:space="0" w:color="auto"/>
              <w:bottom w:val="single" w:sz="4" w:space="0" w:color="auto"/>
            </w:tcBorders>
            <w:noWrap/>
          </w:tcPr>
          <w:p w14:paraId="31C20A64" w14:textId="0544F314" w:rsidR="00BA74FA" w:rsidRPr="001007E0" w:rsidRDefault="00E447F1" w:rsidP="00446AA5">
            <w:pPr>
              <w:pStyle w:val="TableTextcentred"/>
              <w:rPr>
                <w:rFonts w:ascii="Arial Narrow" w:hAnsi="Arial Narrow"/>
                <w:b/>
                <w:bCs/>
                <w:sz w:val="20"/>
                <w:szCs w:val="20"/>
                <w:highlight w:val="lightGray"/>
              </w:rPr>
            </w:pPr>
            <w:r w:rsidRPr="00E447F1">
              <w:rPr>
                <w:rFonts w:ascii="Arial Narrow" w:hAnsi="Arial Narrow"/>
                <w:b/>
                <w:bCs/>
                <w:color w:val="000000"/>
                <w:spacing w:val="83"/>
                <w:sz w:val="20"/>
                <w:szCs w:val="20"/>
                <w:shd w:val="solid" w:color="000000" w:fill="000000"/>
                <w:fitText w:val="175" w:id="-961840637"/>
                <w14:textFill>
                  <w14:solidFill>
                    <w14:srgbClr w14:val="000000">
                      <w14:alpha w14:val="100000"/>
                    </w14:srgbClr>
                  </w14:solidFill>
                </w14:textFill>
              </w:rPr>
              <w:t>|</w:t>
            </w:r>
            <w:r w:rsidRPr="00E447F1">
              <w:rPr>
                <w:rFonts w:ascii="Arial Narrow" w:hAnsi="Arial Narrow"/>
                <w:b/>
                <w:bCs/>
                <w:color w:val="000000"/>
                <w:spacing w:val="1"/>
                <w:sz w:val="20"/>
                <w:szCs w:val="20"/>
                <w:shd w:val="solid" w:color="000000" w:fill="000000"/>
                <w:fitText w:val="175" w:id="-961840637"/>
                <w14:textFill>
                  <w14:solidFill>
                    <w14:srgbClr w14:val="000000">
                      <w14:alpha w14:val="100000"/>
                    </w14:srgbClr>
                  </w14:solidFill>
                </w14:textFill>
              </w:rPr>
              <w:t>|</w:t>
            </w:r>
            <w:r w:rsidR="00ED5B4F" w:rsidRPr="001A420F">
              <w:rPr>
                <w:rFonts w:ascii="Arial Narrow" w:hAnsi="Arial Narrow"/>
                <w:sz w:val="20"/>
                <w:szCs w:val="20"/>
                <w:vertAlign w:val="superscript"/>
              </w:rPr>
              <w:t>1</w:t>
            </w:r>
          </w:p>
        </w:tc>
      </w:tr>
      <w:tr w:rsidR="00837075" w:rsidRPr="00561FF2" w14:paraId="0D0E5E88" w14:textId="77777777" w:rsidTr="00837075">
        <w:trPr>
          <w:trHeight w:val="20"/>
        </w:trPr>
        <w:tc>
          <w:tcPr>
            <w:tcW w:w="5000" w:type="pct"/>
            <w:gridSpan w:val="4"/>
            <w:tcBorders>
              <w:top w:val="single" w:sz="4" w:space="0" w:color="auto"/>
              <w:bottom w:val="single" w:sz="4" w:space="0" w:color="auto"/>
            </w:tcBorders>
            <w:noWrap/>
          </w:tcPr>
          <w:p w14:paraId="4F33B0B1" w14:textId="7A0BB667" w:rsidR="00837075" w:rsidRPr="00561FF2" w:rsidRDefault="00837075" w:rsidP="00837075">
            <w:pPr>
              <w:pStyle w:val="TableTextcentred"/>
              <w:jc w:val="left"/>
              <w:rPr>
                <w:rFonts w:ascii="Arial Narrow" w:hAnsi="Arial Narrow"/>
                <w:b/>
                <w:bCs/>
                <w:sz w:val="20"/>
                <w:szCs w:val="20"/>
              </w:rPr>
            </w:pPr>
            <w:r w:rsidRPr="00561FF2">
              <w:rPr>
                <w:rFonts w:ascii="Arial Narrow" w:hAnsi="Arial Narrow"/>
                <w:b/>
                <w:bCs/>
                <w:sz w:val="20"/>
                <w:szCs w:val="20"/>
              </w:rPr>
              <w:t>Sensitivity analyses</w:t>
            </w:r>
          </w:p>
        </w:tc>
      </w:tr>
      <w:tr w:rsidR="00BA74FA" w:rsidRPr="00561FF2" w14:paraId="41BC3AE5" w14:textId="77777777" w:rsidTr="00E447F1">
        <w:trPr>
          <w:trHeight w:val="20"/>
        </w:trPr>
        <w:tc>
          <w:tcPr>
            <w:tcW w:w="3058" w:type="pct"/>
            <w:tcBorders>
              <w:top w:val="single" w:sz="4" w:space="0" w:color="auto"/>
              <w:bottom w:val="single" w:sz="4" w:space="0" w:color="auto"/>
            </w:tcBorders>
            <w:noWrap/>
          </w:tcPr>
          <w:p w14:paraId="617AE922" w14:textId="00F458AB"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March 2024 revisions + full ITT population</w:t>
            </w:r>
          </w:p>
        </w:tc>
        <w:tc>
          <w:tcPr>
            <w:tcW w:w="665" w:type="pct"/>
            <w:tcBorders>
              <w:top w:val="single" w:sz="4" w:space="0" w:color="auto"/>
              <w:bottom w:val="single" w:sz="4" w:space="0" w:color="auto"/>
            </w:tcBorders>
            <w:shd w:val="solid" w:color="000000" w:fill="000000"/>
            <w:noWrap/>
          </w:tcPr>
          <w:p w14:paraId="434EB5FC" w14:textId="43A773FC"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636"/>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636"/>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636"/>
                <w14:textFill>
                  <w14:solidFill>
                    <w14:srgbClr w14:val="000000">
                      <w14:alpha w14:val="100000"/>
                    </w14:srgbClr>
                  </w14:solidFill>
                </w14:textFill>
              </w:rPr>
              <w:t xml:space="preserve">　</w:t>
            </w:r>
          </w:p>
        </w:tc>
        <w:tc>
          <w:tcPr>
            <w:tcW w:w="665" w:type="pct"/>
            <w:tcBorders>
              <w:top w:val="single" w:sz="4" w:space="0" w:color="auto"/>
              <w:bottom w:val="single" w:sz="4" w:space="0" w:color="auto"/>
            </w:tcBorders>
            <w:noWrap/>
          </w:tcPr>
          <w:p w14:paraId="3DA86F52" w14:textId="06537DA5"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0.30</w:t>
            </w:r>
          </w:p>
        </w:tc>
        <w:tc>
          <w:tcPr>
            <w:tcW w:w="612" w:type="pct"/>
            <w:tcBorders>
              <w:top w:val="single" w:sz="4" w:space="0" w:color="auto"/>
              <w:bottom w:val="single" w:sz="4" w:space="0" w:color="auto"/>
            </w:tcBorders>
            <w:noWrap/>
          </w:tcPr>
          <w:p w14:paraId="01C3706A" w14:textId="326B4AD7"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635"/>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635"/>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635"/>
                <w14:textFill>
                  <w14:solidFill>
                    <w14:srgbClr w14:val="000000">
                      <w14:alpha w14:val="100000"/>
                    </w14:srgbClr>
                  </w14:solidFill>
                </w14:textFill>
              </w:rPr>
              <w:t xml:space="preserve">　</w:t>
            </w:r>
            <w:r w:rsidR="00453E82" w:rsidRPr="001007E0">
              <w:rPr>
                <w:rFonts w:ascii="Arial Narrow" w:hAnsi="Arial Narrow"/>
                <w:sz w:val="20"/>
                <w:szCs w:val="20"/>
                <w:vertAlign w:val="superscript"/>
              </w:rPr>
              <w:t>4</w:t>
            </w:r>
          </w:p>
        </w:tc>
      </w:tr>
      <w:tr w:rsidR="00BA74FA" w:rsidRPr="00561FF2" w14:paraId="3579BAFA" w14:textId="77777777" w:rsidTr="00E447F1">
        <w:trPr>
          <w:trHeight w:val="20"/>
        </w:trPr>
        <w:tc>
          <w:tcPr>
            <w:tcW w:w="3058" w:type="pct"/>
            <w:tcBorders>
              <w:top w:val="single" w:sz="4" w:space="0" w:color="auto"/>
              <w:bottom w:val="single" w:sz="4" w:space="0" w:color="auto"/>
            </w:tcBorders>
            <w:noWrap/>
          </w:tcPr>
          <w:p w14:paraId="0513BEF1" w14:textId="16EA0564" w:rsidR="00BA74FA" w:rsidRPr="00561FF2" w:rsidRDefault="00BA74FA" w:rsidP="00446AA5">
            <w:pPr>
              <w:pStyle w:val="TableTextleftalign"/>
              <w:rPr>
                <w:rFonts w:ascii="Arial Narrow" w:hAnsi="Arial Narrow"/>
                <w:sz w:val="20"/>
                <w:szCs w:val="20"/>
              </w:rPr>
            </w:pPr>
            <w:r w:rsidRPr="00561FF2">
              <w:rPr>
                <w:rFonts w:ascii="Arial Narrow" w:hAnsi="Arial Narrow"/>
                <w:sz w:val="20"/>
                <w:szCs w:val="20"/>
              </w:rPr>
              <w:t xml:space="preserve">March 2024 revisions </w:t>
            </w:r>
            <w:r w:rsidR="00837075" w:rsidRPr="00561FF2">
              <w:rPr>
                <w:rFonts w:ascii="Arial Narrow" w:hAnsi="Arial Narrow"/>
                <w:sz w:val="20"/>
                <w:szCs w:val="20"/>
              </w:rPr>
              <w:t>+ removal of</w:t>
            </w:r>
            <w:r w:rsidRPr="00561FF2">
              <w:rPr>
                <w:rFonts w:ascii="Arial Narrow" w:hAnsi="Arial Narrow"/>
                <w:sz w:val="20"/>
                <w:szCs w:val="20"/>
              </w:rPr>
              <w:t xml:space="preserve"> end-of-life costs</w:t>
            </w:r>
          </w:p>
        </w:tc>
        <w:tc>
          <w:tcPr>
            <w:tcW w:w="665" w:type="pct"/>
            <w:tcBorders>
              <w:top w:val="single" w:sz="4" w:space="0" w:color="auto"/>
              <w:bottom w:val="single" w:sz="4" w:space="0" w:color="auto"/>
            </w:tcBorders>
            <w:shd w:val="solid" w:color="000000" w:fill="000000"/>
            <w:noWrap/>
          </w:tcPr>
          <w:p w14:paraId="6190D2AE" w14:textId="2F0879D0"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634"/>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634"/>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634"/>
                <w14:textFill>
                  <w14:solidFill>
                    <w14:srgbClr w14:val="000000">
                      <w14:alpha w14:val="100000"/>
                    </w14:srgbClr>
                  </w14:solidFill>
                </w14:textFill>
              </w:rPr>
              <w:t xml:space="preserve">　</w:t>
            </w:r>
          </w:p>
        </w:tc>
        <w:tc>
          <w:tcPr>
            <w:tcW w:w="665" w:type="pct"/>
            <w:tcBorders>
              <w:top w:val="single" w:sz="4" w:space="0" w:color="auto"/>
              <w:bottom w:val="single" w:sz="4" w:space="0" w:color="auto"/>
            </w:tcBorders>
            <w:noWrap/>
          </w:tcPr>
          <w:p w14:paraId="0BEF40B8" w14:textId="666F8DDE" w:rsidR="00BA74FA" w:rsidRPr="00561FF2" w:rsidRDefault="00BA74FA" w:rsidP="00446AA5">
            <w:pPr>
              <w:pStyle w:val="TableTextcentred"/>
              <w:rPr>
                <w:rFonts w:ascii="Arial Narrow" w:hAnsi="Arial Narrow"/>
                <w:sz w:val="20"/>
                <w:szCs w:val="20"/>
              </w:rPr>
            </w:pPr>
            <w:r w:rsidRPr="00561FF2">
              <w:rPr>
                <w:rFonts w:ascii="Arial Narrow" w:hAnsi="Arial Narrow"/>
                <w:sz w:val="20"/>
                <w:szCs w:val="20"/>
              </w:rPr>
              <w:t>0.14</w:t>
            </w:r>
          </w:p>
        </w:tc>
        <w:tc>
          <w:tcPr>
            <w:tcW w:w="612" w:type="pct"/>
            <w:tcBorders>
              <w:top w:val="single" w:sz="4" w:space="0" w:color="auto"/>
              <w:bottom w:val="single" w:sz="4" w:space="0" w:color="auto"/>
            </w:tcBorders>
            <w:noWrap/>
          </w:tcPr>
          <w:p w14:paraId="74928EB5" w14:textId="1D611975" w:rsidR="00BA74FA"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31"/>
                <w:sz w:val="20"/>
                <w:szCs w:val="20"/>
                <w:shd w:val="solid" w:color="000000" w:fill="000000"/>
                <w:fitText w:val="138" w:id="-961840633"/>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633"/>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633"/>
                <w14:textFill>
                  <w14:solidFill>
                    <w14:srgbClr w14:val="000000">
                      <w14:alpha w14:val="100000"/>
                    </w14:srgbClr>
                  </w14:solidFill>
                </w14:textFill>
              </w:rPr>
              <w:t xml:space="preserve">　</w:t>
            </w:r>
            <w:r w:rsidR="00453E82" w:rsidRPr="001A420F">
              <w:rPr>
                <w:rFonts w:ascii="Arial Narrow" w:hAnsi="Arial Narrow"/>
                <w:sz w:val="20"/>
                <w:szCs w:val="20"/>
                <w:vertAlign w:val="superscript"/>
              </w:rPr>
              <w:t>3</w:t>
            </w:r>
          </w:p>
        </w:tc>
      </w:tr>
      <w:tr w:rsidR="00837075" w:rsidRPr="00561FF2" w14:paraId="4F7866B9" w14:textId="77777777" w:rsidTr="00E447F1">
        <w:trPr>
          <w:trHeight w:val="20"/>
        </w:trPr>
        <w:tc>
          <w:tcPr>
            <w:tcW w:w="3058" w:type="pct"/>
            <w:tcBorders>
              <w:top w:val="single" w:sz="4" w:space="0" w:color="auto"/>
              <w:bottom w:val="single" w:sz="4" w:space="0" w:color="auto"/>
            </w:tcBorders>
            <w:noWrap/>
          </w:tcPr>
          <w:p w14:paraId="791D1543" w14:textId="7D6088BD" w:rsidR="00837075" w:rsidRPr="00561FF2" w:rsidRDefault="00837075" w:rsidP="00446AA5">
            <w:pPr>
              <w:pStyle w:val="TableTextleftalign"/>
              <w:rPr>
                <w:rFonts w:ascii="Arial Narrow" w:hAnsi="Arial Narrow"/>
                <w:sz w:val="20"/>
                <w:szCs w:val="20"/>
              </w:rPr>
            </w:pPr>
            <w:r w:rsidRPr="00561FF2">
              <w:rPr>
                <w:rFonts w:ascii="Arial Narrow" w:hAnsi="Arial Narrow"/>
                <w:sz w:val="20"/>
                <w:szCs w:val="20"/>
              </w:rPr>
              <w:t>March 2024 revisions + full ITT population + removal of end-of-life costs</w:t>
            </w:r>
          </w:p>
        </w:tc>
        <w:tc>
          <w:tcPr>
            <w:tcW w:w="665" w:type="pct"/>
            <w:tcBorders>
              <w:top w:val="single" w:sz="4" w:space="0" w:color="auto"/>
              <w:bottom w:val="single" w:sz="4" w:space="0" w:color="auto"/>
            </w:tcBorders>
            <w:shd w:val="solid" w:color="000000" w:fill="000000"/>
            <w:noWrap/>
          </w:tcPr>
          <w:p w14:paraId="6BC5A0B6" w14:textId="787FD696" w:rsidR="00837075" w:rsidRPr="001007E0" w:rsidRDefault="00E447F1" w:rsidP="00446AA5">
            <w:pPr>
              <w:pStyle w:val="TableTextcentred"/>
              <w:rPr>
                <w:rFonts w:ascii="Arial Narrow" w:hAnsi="Arial Narrow"/>
                <w:sz w:val="20"/>
                <w:szCs w:val="20"/>
                <w:highlight w:val="lightGray"/>
              </w:rPr>
            </w:pPr>
            <w:r w:rsidRPr="00E447F1">
              <w:rPr>
                <w:rFonts w:ascii="Arial Narrow" w:hAnsi="Arial Narrow" w:hint="eastAsia"/>
                <w:color w:val="000000"/>
                <w:w w:val="15"/>
                <w:sz w:val="20"/>
                <w:szCs w:val="20"/>
                <w:fitText w:val="51" w:id="-961840632"/>
                <w14:textFill>
                  <w14:solidFill>
                    <w14:srgbClr w14:val="000000">
                      <w14:alpha w14:val="100000"/>
                    </w14:srgbClr>
                  </w14:solidFill>
                </w14:textFill>
              </w:rPr>
              <w:t xml:space="preserve">　</w:t>
            </w:r>
            <w:r w:rsidRPr="00E447F1">
              <w:rPr>
                <w:rFonts w:ascii="Arial Narrow" w:hAnsi="Arial Narrow"/>
                <w:color w:val="000000"/>
                <w:w w:val="15"/>
                <w:sz w:val="20"/>
                <w:szCs w:val="20"/>
                <w:fitText w:val="51" w:id="-961840632"/>
                <w14:textFill>
                  <w14:solidFill>
                    <w14:srgbClr w14:val="000000">
                      <w14:alpha w14:val="100000"/>
                    </w14:srgbClr>
                  </w14:solidFill>
                </w14:textFill>
              </w:rPr>
              <w:t>|</w:t>
            </w:r>
            <w:r w:rsidRPr="00E447F1">
              <w:rPr>
                <w:rFonts w:ascii="Arial Narrow" w:hAnsi="Arial Narrow" w:hint="eastAsia"/>
                <w:color w:val="000000"/>
                <w:spacing w:val="-14"/>
                <w:w w:val="15"/>
                <w:sz w:val="20"/>
                <w:szCs w:val="20"/>
                <w:fitText w:val="51" w:id="-961840632"/>
                <w14:textFill>
                  <w14:solidFill>
                    <w14:srgbClr w14:val="000000">
                      <w14:alpha w14:val="100000"/>
                    </w14:srgbClr>
                  </w14:solidFill>
                </w14:textFill>
              </w:rPr>
              <w:t xml:space="preserve">　</w:t>
            </w:r>
          </w:p>
        </w:tc>
        <w:tc>
          <w:tcPr>
            <w:tcW w:w="665" w:type="pct"/>
            <w:tcBorders>
              <w:top w:val="single" w:sz="4" w:space="0" w:color="auto"/>
              <w:bottom w:val="single" w:sz="4" w:space="0" w:color="auto"/>
            </w:tcBorders>
            <w:noWrap/>
          </w:tcPr>
          <w:p w14:paraId="17B367F9" w14:textId="2791E36B" w:rsidR="00837075" w:rsidRPr="00561FF2" w:rsidRDefault="00837075" w:rsidP="00446AA5">
            <w:pPr>
              <w:pStyle w:val="TableTextcentred"/>
              <w:rPr>
                <w:rFonts w:ascii="Arial Narrow" w:hAnsi="Arial Narrow"/>
                <w:sz w:val="20"/>
                <w:szCs w:val="20"/>
              </w:rPr>
            </w:pPr>
            <w:r w:rsidRPr="00561FF2">
              <w:rPr>
                <w:rFonts w:ascii="Arial Narrow" w:hAnsi="Arial Narrow"/>
                <w:sz w:val="20"/>
                <w:szCs w:val="20"/>
              </w:rPr>
              <w:t>0.30</w:t>
            </w:r>
          </w:p>
        </w:tc>
        <w:tc>
          <w:tcPr>
            <w:tcW w:w="612" w:type="pct"/>
            <w:tcBorders>
              <w:top w:val="single" w:sz="4" w:space="0" w:color="auto"/>
              <w:bottom w:val="single" w:sz="4" w:space="0" w:color="auto"/>
            </w:tcBorders>
            <w:noWrap/>
          </w:tcPr>
          <w:p w14:paraId="58A866B1" w14:textId="0F431AC8" w:rsidR="00837075" w:rsidRPr="001007E0" w:rsidRDefault="00E447F1" w:rsidP="00446AA5">
            <w:pPr>
              <w:pStyle w:val="TableTextcentred"/>
              <w:rPr>
                <w:rFonts w:ascii="Arial Narrow" w:hAnsi="Arial Narrow"/>
                <w:sz w:val="20"/>
                <w:szCs w:val="20"/>
                <w:highlight w:val="lightGray"/>
                <w:vertAlign w:val="superscript"/>
              </w:rPr>
            </w:pPr>
            <w:r w:rsidRPr="00E447F1">
              <w:rPr>
                <w:rFonts w:ascii="Arial Narrow" w:hAnsi="Arial Narrow" w:hint="eastAsia"/>
                <w:color w:val="000000"/>
                <w:w w:val="31"/>
                <w:sz w:val="20"/>
                <w:szCs w:val="20"/>
                <w:shd w:val="solid" w:color="000000" w:fill="000000"/>
                <w:fitText w:val="138" w:id="-961840631"/>
                <w14:textFill>
                  <w14:solidFill>
                    <w14:srgbClr w14:val="000000">
                      <w14:alpha w14:val="100000"/>
                    </w14:srgbClr>
                  </w14:solidFill>
                </w14:textFill>
              </w:rPr>
              <w:t xml:space="preserve">　</w:t>
            </w:r>
            <w:r w:rsidRPr="00E447F1">
              <w:rPr>
                <w:rFonts w:ascii="Arial Narrow" w:hAnsi="Arial Narrow"/>
                <w:color w:val="000000"/>
                <w:w w:val="31"/>
                <w:sz w:val="20"/>
                <w:szCs w:val="20"/>
                <w:shd w:val="solid" w:color="000000" w:fill="000000"/>
                <w:fitText w:val="138" w:id="-961840631"/>
                <w14:textFill>
                  <w14:solidFill>
                    <w14:srgbClr w14:val="000000">
                      <w14:alpha w14:val="100000"/>
                    </w14:srgbClr>
                  </w14:solidFill>
                </w14:textFill>
              </w:rPr>
              <w:t>|</w:t>
            </w:r>
            <w:r w:rsidRPr="00E447F1">
              <w:rPr>
                <w:rFonts w:ascii="Arial Narrow" w:hAnsi="Arial Narrow" w:hint="eastAsia"/>
                <w:color w:val="000000"/>
                <w:spacing w:val="2"/>
                <w:w w:val="31"/>
                <w:sz w:val="20"/>
                <w:szCs w:val="20"/>
                <w:shd w:val="solid" w:color="000000" w:fill="000000"/>
                <w:fitText w:val="138" w:id="-961840631"/>
                <w14:textFill>
                  <w14:solidFill>
                    <w14:srgbClr w14:val="000000">
                      <w14:alpha w14:val="100000"/>
                    </w14:srgbClr>
                  </w14:solidFill>
                </w14:textFill>
              </w:rPr>
              <w:t xml:space="preserve">　</w:t>
            </w:r>
            <w:r w:rsidR="00453E82" w:rsidRPr="001007E0">
              <w:rPr>
                <w:rFonts w:ascii="Arial Narrow" w:hAnsi="Arial Narrow"/>
                <w:sz w:val="20"/>
                <w:szCs w:val="20"/>
                <w:vertAlign w:val="superscript"/>
              </w:rPr>
              <w:t>5</w:t>
            </w:r>
          </w:p>
        </w:tc>
      </w:tr>
    </w:tbl>
    <w:p w14:paraId="43D80823" w14:textId="5DD1D601" w:rsidR="00921437" w:rsidRPr="00561FF2" w:rsidRDefault="00096FF2" w:rsidP="00921437">
      <w:pPr>
        <w:rPr>
          <w:rFonts w:ascii="Arial Narrow" w:hAnsi="Arial Narrow"/>
          <w:sz w:val="18"/>
          <w:szCs w:val="18"/>
        </w:rPr>
      </w:pPr>
      <w:r w:rsidRPr="00561FF2">
        <w:rPr>
          <w:rFonts w:ascii="Arial Narrow" w:hAnsi="Arial Narrow"/>
          <w:sz w:val="18"/>
          <w:szCs w:val="18"/>
        </w:rPr>
        <w:t>Source: Table 3</w:t>
      </w:r>
      <w:r w:rsidR="00837075" w:rsidRPr="00561FF2">
        <w:rPr>
          <w:rFonts w:ascii="Arial Narrow" w:hAnsi="Arial Narrow"/>
          <w:sz w:val="18"/>
          <w:szCs w:val="18"/>
        </w:rPr>
        <w:t>-3</w:t>
      </w:r>
      <w:r w:rsidRPr="00561FF2">
        <w:rPr>
          <w:rFonts w:ascii="Arial Narrow" w:hAnsi="Arial Narrow"/>
          <w:sz w:val="18"/>
          <w:szCs w:val="18"/>
        </w:rPr>
        <w:t>, p</w:t>
      </w:r>
      <w:r w:rsidR="00837075" w:rsidRPr="00561FF2">
        <w:rPr>
          <w:rFonts w:ascii="Arial Narrow" w:hAnsi="Arial Narrow"/>
          <w:sz w:val="18"/>
          <w:szCs w:val="18"/>
        </w:rPr>
        <w:t>24</w:t>
      </w:r>
      <w:r w:rsidRPr="00561FF2">
        <w:rPr>
          <w:rFonts w:ascii="Arial Narrow" w:hAnsi="Arial Narrow"/>
          <w:sz w:val="18"/>
          <w:szCs w:val="18"/>
        </w:rPr>
        <w:t xml:space="preserve"> of the early re-entry submission</w:t>
      </w:r>
      <w:r w:rsidR="00CA13A2" w:rsidRPr="00561FF2">
        <w:rPr>
          <w:rFonts w:ascii="Arial Narrow" w:hAnsi="Arial Narrow"/>
          <w:sz w:val="18"/>
          <w:szCs w:val="18"/>
        </w:rPr>
        <w:t xml:space="preserve">; and Excel workbook – </w:t>
      </w:r>
      <w:r w:rsidR="00837075" w:rsidRPr="00561FF2">
        <w:rPr>
          <w:rFonts w:ascii="Arial Narrow" w:hAnsi="Arial Narrow"/>
          <w:sz w:val="18"/>
          <w:szCs w:val="18"/>
        </w:rPr>
        <w:t>CBZIND – 1.XLS</w:t>
      </w:r>
    </w:p>
    <w:p w14:paraId="7BF7E6E1" w14:textId="7D71CD14" w:rsidR="00096FF2" w:rsidRDefault="00096FF2" w:rsidP="00D65EBA">
      <w:pPr>
        <w:spacing w:after="120"/>
        <w:rPr>
          <w:rFonts w:ascii="Arial Narrow" w:hAnsi="Arial Narrow"/>
          <w:sz w:val="18"/>
          <w:szCs w:val="18"/>
        </w:rPr>
      </w:pPr>
      <w:r w:rsidRPr="00561FF2">
        <w:rPr>
          <w:rFonts w:ascii="Arial Narrow" w:hAnsi="Arial Narrow"/>
          <w:sz w:val="18"/>
          <w:szCs w:val="18"/>
        </w:rPr>
        <w:t>DPMQ = dispensed price for maximum quantity; ICER = incremental cost-effectiveness ratio; ITT = intention to treat; QALY = quality adjusted life year</w:t>
      </w:r>
    </w:p>
    <w:p w14:paraId="6920E468" w14:textId="77777777" w:rsidR="00ED5B4F" w:rsidRPr="00F9590B" w:rsidRDefault="00ED5B4F" w:rsidP="00ED5B4F">
      <w:pPr>
        <w:pStyle w:val="TableFootnotetext"/>
        <w:rPr>
          <w:rFonts w:ascii="Arial Narrow" w:hAnsi="Arial Narrow"/>
          <w:i/>
          <w:iCs/>
          <w:sz w:val="18"/>
          <w:szCs w:val="18"/>
        </w:rPr>
      </w:pPr>
      <w:r w:rsidRPr="00F9590B">
        <w:rPr>
          <w:rFonts w:ascii="Arial Narrow" w:hAnsi="Arial Narrow"/>
          <w:i/>
          <w:iCs/>
          <w:sz w:val="18"/>
          <w:szCs w:val="18"/>
        </w:rPr>
        <w:t>The redacted values correspond to the following ranges:</w:t>
      </w:r>
    </w:p>
    <w:p w14:paraId="4994B3A3" w14:textId="619AA9EA" w:rsidR="00ED5B4F" w:rsidRPr="00F9590B" w:rsidRDefault="00ED5B4F" w:rsidP="00ED5B4F">
      <w:pPr>
        <w:pStyle w:val="TableFootnotetext"/>
        <w:rPr>
          <w:rFonts w:ascii="Arial Narrow" w:hAnsi="Arial Narrow"/>
          <w:i/>
          <w:iCs/>
          <w:sz w:val="18"/>
          <w:szCs w:val="18"/>
        </w:rPr>
      </w:pPr>
      <w:r w:rsidRPr="00F9590B">
        <w:rPr>
          <w:rFonts w:ascii="Arial Narrow" w:hAnsi="Arial Narrow"/>
          <w:i/>
          <w:iCs/>
          <w:sz w:val="18"/>
          <w:szCs w:val="18"/>
          <w:vertAlign w:val="superscript"/>
        </w:rPr>
        <w:t>1</w:t>
      </w:r>
      <w:r w:rsidRPr="00F9590B">
        <w:rPr>
          <w:rFonts w:ascii="Arial Narrow" w:hAnsi="Arial Narrow"/>
          <w:i/>
          <w:iCs/>
          <w:sz w:val="18"/>
          <w:szCs w:val="18"/>
        </w:rPr>
        <w:t xml:space="preserve"> $55,000 to &lt; $75,000</w:t>
      </w:r>
    </w:p>
    <w:p w14:paraId="0F772D85" w14:textId="2B125BD3" w:rsidR="00ED5B4F" w:rsidRPr="00F9590B" w:rsidRDefault="00ED5B4F" w:rsidP="00ED5B4F">
      <w:pPr>
        <w:pStyle w:val="TableFootnotetext"/>
        <w:rPr>
          <w:rFonts w:ascii="Arial Narrow" w:hAnsi="Arial Narrow"/>
          <w:i/>
          <w:iCs/>
          <w:sz w:val="18"/>
          <w:szCs w:val="18"/>
        </w:rPr>
      </w:pPr>
      <w:r w:rsidRPr="00F9590B">
        <w:rPr>
          <w:rFonts w:ascii="Arial Narrow" w:hAnsi="Arial Narrow"/>
          <w:i/>
          <w:iCs/>
          <w:sz w:val="18"/>
          <w:szCs w:val="18"/>
          <w:vertAlign w:val="superscript"/>
        </w:rPr>
        <w:t>2</w:t>
      </w:r>
      <w:r w:rsidRPr="00F9590B">
        <w:rPr>
          <w:rFonts w:ascii="Arial Narrow" w:hAnsi="Arial Narrow"/>
          <w:i/>
          <w:iCs/>
          <w:sz w:val="18"/>
          <w:szCs w:val="18"/>
        </w:rPr>
        <w:t xml:space="preserve"> $75,000 to &lt; $95,000</w:t>
      </w:r>
    </w:p>
    <w:p w14:paraId="3CFC7957" w14:textId="598DEA10" w:rsidR="00ED5B4F" w:rsidRPr="00F9590B" w:rsidRDefault="00ED5B4F" w:rsidP="00ED5B4F">
      <w:pPr>
        <w:pStyle w:val="TableFootnotetext"/>
        <w:rPr>
          <w:rFonts w:ascii="Arial Narrow" w:hAnsi="Arial Narrow"/>
          <w:i/>
          <w:iCs/>
          <w:sz w:val="18"/>
          <w:szCs w:val="18"/>
        </w:rPr>
      </w:pPr>
      <w:r w:rsidRPr="00F9590B">
        <w:rPr>
          <w:rFonts w:ascii="Arial Narrow" w:hAnsi="Arial Narrow"/>
          <w:i/>
          <w:iCs/>
          <w:sz w:val="18"/>
          <w:szCs w:val="18"/>
          <w:vertAlign w:val="superscript"/>
        </w:rPr>
        <w:t>3</w:t>
      </w:r>
      <w:r w:rsidRPr="00F9590B">
        <w:rPr>
          <w:rFonts w:ascii="Arial Narrow" w:hAnsi="Arial Narrow"/>
          <w:i/>
          <w:iCs/>
          <w:sz w:val="18"/>
          <w:szCs w:val="18"/>
        </w:rPr>
        <w:t xml:space="preserve"> $155,000 to &lt; $255,000</w:t>
      </w:r>
    </w:p>
    <w:p w14:paraId="7554C16C" w14:textId="747F942D" w:rsidR="00453E82" w:rsidRPr="00F9590B" w:rsidRDefault="00453E82" w:rsidP="00ED5B4F">
      <w:pPr>
        <w:pStyle w:val="TableFootnotetext"/>
        <w:rPr>
          <w:rFonts w:ascii="Arial Narrow" w:hAnsi="Arial Narrow"/>
          <w:i/>
          <w:iCs/>
          <w:sz w:val="18"/>
          <w:szCs w:val="18"/>
        </w:rPr>
      </w:pPr>
      <w:r w:rsidRPr="00F9590B">
        <w:rPr>
          <w:rFonts w:ascii="Arial Narrow" w:hAnsi="Arial Narrow"/>
          <w:i/>
          <w:iCs/>
          <w:sz w:val="18"/>
          <w:szCs w:val="18"/>
          <w:vertAlign w:val="superscript"/>
        </w:rPr>
        <w:t>4</w:t>
      </w:r>
      <w:r w:rsidRPr="00F9590B">
        <w:rPr>
          <w:rFonts w:ascii="Arial Narrow" w:hAnsi="Arial Narrow"/>
          <w:i/>
          <w:iCs/>
          <w:sz w:val="18"/>
          <w:szCs w:val="18"/>
        </w:rPr>
        <w:t xml:space="preserve"> $15,000 to &lt; $25,000</w:t>
      </w:r>
    </w:p>
    <w:p w14:paraId="0A6677A2" w14:textId="56AE0930" w:rsidR="00453E82" w:rsidRPr="00F9590B" w:rsidRDefault="00453E82" w:rsidP="00ED5B4F">
      <w:pPr>
        <w:pStyle w:val="TableFootnotetext"/>
        <w:rPr>
          <w:rFonts w:ascii="Arial Narrow" w:hAnsi="Arial Narrow"/>
          <w:i/>
          <w:iCs/>
          <w:sz w:val="18"/>
          <w:szCs w:val="18"/>
        </w:rPr>
      </w:pPr>
      <w:r w:rsidRPr="00F9590B">
        <w:rPr>
          <w:rFonts w:ascii="Arial Narrow" w:hAnsi="Arial Narrow"/>
          <w:i/>
          <w:iCs/>
          <w:sz w:val="18"/>
          <w:szCs w:val="18"/>
          <w:vertAlign w:val="superscript"/>
        </w:rPr>
        <w:t>5</w:t>
      </w:r>
      <w:r w:rsidRPr="00F9590B">
        <w:rPr>
          <w:rFonts w:ascii="Arial Narrow" w:hAnsi="Arial Narrow"/>
          <w:i/>
          <w:iCs/>
          <w:sz w:val="18"/>
          <w:szCs w:val="18"/>
        </w:rPr>
        <w:t xml:space="preserve"> $135,000 to &lt; $155,000</w:t>
      </w:r>
    </w:p>
    <w:p w14:paraId="50970409" w14:textId="77777777" w:rsidR="00ED5B4F" w:rsidRPr="00561FF2" w:rsidRDefault="00ED5B4F" w:rsidP="00D65EBA">
      <w:pPr>
        <w:spacing w:after="120"/>
        <w:rPr>
          <w:rFonts w:ascii="Arial Narrow" w:hAnsi="Arial Narrow"/>
          <w:sz w:val="18"/>
          <w:szCs w:val="18"/>
        </w:rPr>
      </w:pPr>
    </w:p>
    <w:p w14:paraId="4E6BA18D" w14:textId="552C4981" w:rsidR="00BA74FA" w:rsidRPr="00561FF2" w:rsidRDefault="00921437" w:rsidP="00A133FD">
      <w:pPr>
        <w:pStyle w:val="3-BodyText"/>
        <w:ind w:left="720"/>
        <w:rPr>
          <w:rFonts w:cstheme="minorHAnsi"/>
          <w:szCs w:val="24"/>
        </w:rPr>
      </w:pPr>
      <w:r w:rsidRPr="00561FF2">
        <w:rPr>
          <w:rFonts w:cstheme="minorHAnsi"/>
          <w:szCs w:val="24"/>
        </w:rPr>
        <w:t>The resubmission</w:t>
      </w:r>
      <w:r w:rsidR="00BA74FA" w:rsidRPr="00561FF2">
        <w:rPr>
          <w:rFonts w:cstheme="minorHAnsi"/>
          <w:szCs w:val="24"/>
        </w:rPr>
        <w:t xml:space="preserve">, noting that the November 2023 minutes stated that ‘the use of a subgroup increased the extent of uncertainty with the results [of the economic model] given the relatively small number of patients informing the analysis’ (paragraph 7.12, cabozantinib minutes, November 2023) and ‘the potentially conservative model assumptions with regards to the use of the subgroup data’ (paragraph 7.15, cabozantinib minutes, November 2023), considered that the full ITT population data was more representative of the true impact of PFS in the target population than using the subgroup of patients who had received prior lenvatinib only. </w:t>
      </w:r>
      <w:r w:rsidR="00837075" w:rsidRPr="00561FF2">
        <w:rPr>
          <w:rFonts w:cstheme="minorHAnsi"/>
          <w:szCs w:val="24"/>
        </w:rPr>
        <w:t>Therefore, the resubmission presented a sensitivity analysis in which the full ITT population was used.</w:t>
      </w:r>
    </w:p>
    <w:p w14:paraId="55CEE64E" w14:textId="015D7551" w:rsidR="00921437" w:rsidRPr="00561FF2" w:rsidRDefault="00BA74FA" w:rsidP="00A133FD">
      <w:pPr>
        <w:pStyle w:val="3-BodyText"/>
        <w:ind w:left="720"/>
        <w:rPr>
          <w:rFonts w:ascii="Arial Narrow" w:hAnsi="Arial Narrow"/>
        </w:rPr>
      </w:pPr>
      <w:r w:rsidRPr="00561FF2">
        <w:rPr>
          <w:rFonts w:cstheme="minorHAnsi"/>
          <w:szCs w:val="24"/>
        </w:rPr>
        <w:t>The resubmission stated that</w:t>
      </w:r>
      <w:r w:rsidR="00837075" w:rsidRPr="00561FF2">
        <w:rPr>
          <w:rFonts w:cstheme="minorHAnsi"/>
          <w:szCs w:val="24"/>
        </w:rPr>
        <w:t xml:space="preserve"> it did not consider that the removal of all post progression treatment costs was reasonable and that it was appropriate to incorporate some relevant costs post progression. The resubmission noted that during the November 2023 Sponsor hearing, the clinician commented ‘that once patients cease treatment with lenvatinib they decline very quickly’ (paragraph 6.1, cabozantinib minutes, November 2023). Therefore, the resubmission incorporated the end</w:t>
      </w:r>
      <w:r w:rsidR="009E019D" w:rsidRPr="00561FF2">
        <w:rPr>
          <w:rFonts w:cstheme="minorHAnsi"/>
          <w:szCs w:val="24"/>
        </w:rPr>
        <w:t>-</w:t>
      </w:r>
      <w:r w:rsidR="00837075" w:rsidRPr="00561FF2">
        <w:rPr>
          <w:rFonts w:cstheme="minorHAnsi"/>
          <w:szCs w:val="24"/>
        </w:rPr>
        <w:t>of</w:t>
      </w:r>
      <w:r w:rsidR="009E019D" w:rsidRPr="00561FF2">
        <w:rPr>
          <w:rFonts w:cstheme="minorHAnsi"/>
          <w:szCs w:val="24"/>
        </w:rPr>
        <w:t>-</w:t>
      </w:r>
      <w:r w:rsidR="00837075" w:rsidRPr="00561FF2">
        <w:rPr>
          <w:rFonts w:cstheme="minorHAnsi"/>
          <w:szCs w:val="24"/>
        </w:rPr>
        <w:t>life health care costs into the economic analysis.</w:t>
      </w:r>
      <w:r w:rsidR="00A133FD" w:rsidRPr="00561FF2">
        <w:rPr>
          <w:rFonts w:cstheme="minorHAnsi"/>
          <w:szCs w:val="24"/>
        </w:rPr>
        <w:t xml:space="preserve"> </w:t>
      </w:r>
      <w:r w:rsidR="00837075" w:rsidRPr="00561FF2">
        <w:rPr>
          <w:rFonts w:cstheme="minorHAnsi"/>
          <w:szCs w:val="24"/>
        </w:rPr>
        <w:t>The mean cost of palliative care and health care for Australian cancer patients in their final year of life of $55,037 was sourced from Kenny (2023). A cost of $</w:t>
      </w:r>
      <w:r w:rsidR="00837075" w:rsidRPr="001E7F5C">
        <w:rPr>
          <w:rFonts w:cstheme="minorHAnsi"/>
          <w:szCs w:val="24"/>
        </w:rPr>
        <w:t>4,549</w:t>
      </w:r>
      <w:r w:rsidR="00837075" w:rsidRPr="00561FF2">
        <w:rPr>
          <w:rFonts w:cstheme="minorHAnsi"/>
          <w:szCs w:val="24"/>
        </w:rPr>
        <w:t xml:space="preserve"> per cycle was applied to all patients in the post progression health care state. </w:t>
      </w:r>
    </w:p>
    <w:p w14:paraId="0D892F80" w14:textId="77777777" w:rsidR="00D677E1" w:rsidRPr="00561FF2" w:rsidRDefault="00D677E1" w:rsidP="00F9590B">
      <w:pPr>
        <w:pStyle w:val="4-SubsectionHeading"/>
        <w:keepNext/>
      </w:pPr>
      <w:r w:rsidRPr="00561FF2">
        <w:t>Estimated PBS usage and financial implications</w:t>
      </w:r>
    </w:p>
    <w:p w14:paraId="240A5883" w14:textId="3F2EA50B" w:rsidR="00096FF2" w:rsidRPr="00561FF2" w:rsidRDefault="00096FF2" w:rsidP="00F9590B">
      <w:pPr>
        <w:pStyle w:val="3-BodyText"/>
        <w:keepNext/>
        <w:ind w:left="720"/>
        <w:rPr>
          <w:rFonts w:cstheme="minorHAnsi"/>
          <w:szCs w:val="24"/>
        </w:rPr>
      </w:pPr>
      <w:r w:rsidRPr="00561FF2">
        <w:rPr>
          <w:rFonts w:cstheme="minorHAnsi"/>
          <w:szCs w:val="24"/>
        </w:rPr>
        <w:lastRenderedPageBreak/>
        <w:t xml:space="preserve">In </w:t>
      </w:r>
      <w:r w:rsidR="00837075" w:rsidRPr="00561FF2">
        <w:rPr>
          <w:rFonts w:cstheme="minorHAnsi"/>
          <w:szCs w:val="24"/>
        </w:rPr>
        <w:t xml:space="preserve">November </w:t>
      </w:r>
      <w:r w:rsidRPr="00561FF2">
        <w:rPr>
          <w:rFonts w:cstheme="minorHAnsi"/>
          <w:szCs w:val="24"/>
        </w:rPr>
        <w:t>2023, the PBAC</w:t>
      </w:r>
      <w:r w:rsidR="00837075" w:rsidRPr="00561FF2">
        <w:rPr>
          <w:rFonts w:cstheme="minorHAnsi"/>
          <w:szCs w:val="24"/>
        </w:rPr>
        <w:t xml:space="preserve"> noted that the utilisation and </w:t>
      </w:r>
      <w:r w:rsidR="00837075" w:rsidRPr="00561FF2">
        <w:rPr>
          <w:snapToGrid w:val="0"/>
        </w:rPr>
        <w:t xml:space="preserve">financial estimates were overly complex and advised that a modified market share approach based on the utilisation data for lenvatinib would be more reliable. The PBAC advised that if this approach was adopted, then an average of incident lenvatinib patients from 2020 to 2023 could be used as a base. The PBAC considered that approximately 60% of patients who received lenvatinib would be eligible to receive second line cabozantinib (based on the clinician hearing) (paragraph 7.16, cabozantinib minutes, </w:t>
      </w:r>
      <w:r w:rsidR="0020737E" w:rsidRPr="00561FF2">
        <w:rPr>
          <w:snapToGrid w:val="0"/>
        </w:rPr>
        <w:t>November</w:t>
      </w:r>
      <w:r w:rsidR="0020737E">
        <w:rPr>
          <w:snapToGrid w:val="0"/>
        </w:rPr>
        <w:t> </w:t>
      </w:r>
      <w:r w:rsidR="00837075" w:rsidRPr="00561FF2">
        <w:rPr>
          <w:snapToGrid w:val="0"/>
        </w:rPr>
        <w:t>2023).</w:t>
      </w:r>
    </w:p>
    <w:p w14:paraId="4E5D4EB1" w14:textId="6BBDF7D3" w:rsidR="00D677E1" w:rsidRPr="00561FF2" w:rsidRDefault="00096FF2" w:rsidP="00A133FD">
      <w:pPr>
        <w:pStyle w:val="3-BodyText"/>
        <w:ind w:left="720"/>
        <w:rPr>
          <w:rFonts w:cstheme="minorHAnsi"/>
          <w:szCs w:val="24"/>
        </w:rPr>
      </w:pPr>
      <w:r w:rsidRPr="00561FF2">
        <w:rPr>
          <w:rFonts w:cstheme="minorHAnsi"/>
          <w:szCs w:val="24"/>
        </w:rPr>
        <w:t xml:space="preserve">The resubmission has provided revised financial estimates </w:t>
      </w:r>
      <w:r w:rsidR="00837075" w:rsidRPr="00561FF2">
        <w:rPr>
          <w:rFonts w:cstheme="minorHAnsi"/>
          <w:szCs w:val="24"/>
        </w:rPr>
        <w:t>which incorporated the PBAC</w:t>
      </w:r>
      <w:r w:rsidR="0036501A" w:rsidRPr="00561FF2">
        <w:rPr>
          <w:rFonts w:cstheme="minorHAnsi"/>
          <w:szCs w:val="24"/>
        </w:rPr>
        <w:t>’</w:t>
      </w:r>
      <w:r w:rsidR="00837075" w:rsidRPr="00561FF2">
        <w:rPr>
          <w:rFonts w:cstheme="minorHAnsi"/>
          <w:szCs w:val="24"/>
        </w:rPr>
        <w:t>s suggested changes and updated other inputs based on comments in the November 2023 minutes</w:t>
      </w:r>
      <w:r w:rsidRPr="00561FF2">
        <w:rPr>
          <w:rFonts w:cstheme="minorHAnsi"/>
          <w:szCs w:val="24"/>
        </w:rPr>
        <w:t xml:space="preserve">. </w:t>
      </w:r>
      <w:r w:rsidR="00D677E1" w:rsidRPr="00561FF2">
        <w:rPr>
          <w:rFonts w:cstheme="minorHAnsi"/>
          <w:szCs w:val="24"/>
        </w:rPr>
        <w:fldChar w:fldCharType="begin" w:fldLock="1"/>
      </w:r>
      <w:r w:rsidR="00D677E1" w:rsidRPr="00561FF2">
        <w:rPr>
          <w:rFonts w:cstheme="minorHAnsi"/>
          <w:szCs w:val="24"/>
        </w:rPr>
        <w:instrText xml:space="preserve"> REF _Ref157504346 \h  \* MERGEFORMAT </w:instrText>
      </w:r>
      <w:r w:rsidR="00D677E1" w:rsidRPr="00561FF2">
        <w:rPr>
          <w:rFonts w:cstheme="minorHAnsi"/>
          <w:szCs w:val="24"/>
        </w:rPr>
      </w:r>
      <w:r w:rsidR="00D677E1" w:rsidRPr="00561FF2">
        <w:rPr>
          <w:rFonts w:cstheme="minorHAnsi"/>
          <w:szCs w:val="24"/>
        </w:rPr>
        <w:fldChar w:fldCharType="separate"/>
      </w:r>
      <w:r w:rsidR="00A133FD" w:rsidRPr="00561FF2">
        <w:rPr>
          <w:rFonts w:cstheme="minorHAnsi"/>
          <w:szCs w:val="24"/>
        </w:rPr>
        <w:t>Table 4</w:t>
      </w:r>
      <w:r w:rsidR="00D677E1" w:rsidRPr="00561FF2">
        <w:rPr>
          <w:rFonts w:cstheme="minorHAnsi"/>
          <w:szCs w:val="24"/>
        </w:rPr>
        <w:fldChar w:fldCharType="end"/>
      </w:r>
      <w:r w:rsidR="00D677E1" w:rsidRPr="00561FF2">
        <w:rPr>
          <w:rFonts w:cstheme="minorHAnsi"/>
          <w:szCs w:val="24"/>
        </w:rPr>
        <w:t xml:space="preserve"> presents a comparison of the utilisation inputs.</w:t>
      </w:r>
    </w:p>
    <w:p w14:paraId="65145484" w14:textId="371FC7F8" w:rsidR="00D677E1" w:rsidRPr="00561FF2" w:rsidRDefault="00D677E1" w:rsidP="00096FF2">
      <w:pPr>
        <w:pStyle w:val="Caption"/>
        <w:keepNext/>
        <w:keepLines/>
        <w:spacing w:after="0"/>
        <w:rPr>
          <w:rFonts w:ascii="Arial Narrow" w:hAnsi="Arial Narrow" w:cstheme="minorHAnsi"/>
          <w:b/>
          <w:bCs/>
          <w:i w:val="0"/>
          <w:iCs w:val="0"/>
          <w:color w:val="auto"/>
          <w:sz w:val="20"/>
          <w:szCs w:val="20"/>
        </w:rPr>
      </w:pPr>
      <w:bookmarkStart w:id="7" w:name="_Ref157504346"/>
      <w:r w:rsidRPr="00561FF2">
        <w:rPr>
          <w:rFonts w:ascii="Arial Narrow" w:hAnsi="Arial Narrow"/>
          <w:b/>
          <w:bCs/>
          <w:i w:val="0"/>
          <w:iCs w:val="0"/>
          <w:color w:val="auto"/>
          <w:sz w:val="20"/>
          <w:szCs w:val="20"/>
        </w:rPr>
        <w:t xml:space="preserve">Table </w:t>
      </w:r>
      <w:r w:rsidRPr="00561FF2">
        <w:rPr>
          <w:rFonts w:ascii="Arial Narrow" w:hAnsi="Arial Narrow"/>
          <w:b/>
          <w:bCs/>
          <w:i w:val="0"/>
          <w:iCs w:val="0"/>
          <w:color w:val="auto"/>
          <w:sz w:val="20"/>
          <w:szCs w:val="20"/>
        </w:rPr>
        <w:fldChar w:fldCharType="begin" w:fldLock="1"/>
      </w:r>
      <w:r w:rsidRPr="00561FF2">
        <w:rPr>
          <w:rFonts w:ascii="Arial Narrow" w:hAnsi="Arial Narrow"/>
          <w:b/>
          <w:bCs/>
          <w:i w:val="0"/>
          <w:iCs w:val="0"/>
          <w:color w:val="auto"/>
          <w:sz w:val="20"/>
          <w:szCs w:val="20"/>
        </w:rPr>
        <w:instrText xml:space="preserve"> SEQ Table \* ARABIC </w:instrText>
      </w:r>
      <w:r w:rsidRPr="00561FF2">
        <w:rPr>
          <w:rFonts w:ascii="Arial Narrow" w:hAnsi="Arial Narrow"/>
          <w:b/>
          <w:bCs/>
          <w:i w:val="0"/>
          <w:iCs w:val="0"/>
          <w:color w:val="auto"/>
          <w:sz w:val="20"/>
          <w:szCs w:val="20"/>
        </w:rPr>
        <w:fldChar w:fldCharType="separate"/>
      </w:r>
      <w:r w:rsidR="00A133FD" w:rsidRPr="00A97704">
        <w:rPr>
          <w:rFonts w:ascii="Arial Narrow" w:hAnsi="Arial Narrow"/>
          <w:b/>
          <w:bCs/>
          <w:i w:val="0"/>
          <w:iCs w:val="0"/>
          <w:color w:val="auto"/>
          <w:sz w:val="20"/>
          <w:szCs w:val="20"/>
        </w:rPr>
        <w:t>4</w:t>
      </w:r>
      <w:r w:rsidRPr="00561FF2">
        <w:rPr>
          <w:rFonts w:ascii="Arial Narrow" w:hAnsi="Arial Narrow"/>
          <w:b/>
          <w:bCs/>
          <w:i w:val="0"/>
          <w:iCs w:val="0"/>
          <w:color w:val="auto"/>
          <w:sz w:val="20"/>
          <w:szCs w:val="20"/>
        </w:rPr>
        <w:fldChar w:fldCharType="end"/>
      </w:r>
      <w:bookmarkEnd w:id="7"/>
      <w:r w:rsidRPr="00561FF2">
        <w:rPr>
          <w:rFonts w:ascii="Arial Narrow" w:hAnsi="Arial Narrow"/>
          <w:b/>
          <w:bCs/>
          <w:i w:val="0"/>
          <w:iCs w:val="0"/>
          <w:color w:val="auto"/>
          <w:sz w:val="20"/>
          <w:szCs w:val="20"/>
        </w:rPr>
        <w:t xml:space="preserve">: Comparison of </w:t>
      </w:r>
      <w:r w:rsidR="00837075" w:rsidRPr="00561FF2">
        <w:rPr>
          <w:rFonts w:ascii="Arial Narrow" w:hAnsi="Arial Narrow"/>
          <w:b/>
          <w:bCs/>
          <w:i w:val="0"/>
          <w:iCs w:val="0"/>
          <w:color w:val="auto"/>
          <w:sz w:val="20"/>
          <w:szCs w:val="20"/>
        </w:rPr>
        <w:t xml:space="preserve">key </w:t>
      </w:r>
      <w:r w:rsidRPr="00561FF2">
        <w:rPr>
          <w:rFonts w:ascii="Arial Narrow" w:hAnsi="Arial Narrow"/>
          <w:b/>
          <w:bCs/>
          <w:i w:val="0"/>
          <w:iCs w:val="0"/>
          <w:color w:val="auto"/>
          <w:sz w:val="20"/>
          <w:szCs w:val="20"/>
        </w:rPr>
        <w:t xml:space="preserve">utilisation inputs from </w:t>
      </w:r>
      <w:r w:rsidR="00837075" w:rsidRPr="00561FF2">
        <w:rPr>
          <w:rFonts w:ascii="Arial Narrow" w:hAnsi="Arial Narrow"/>
          <w:b/>
          <w:bCs/>
          <w:i w:val="0"/>
          <w:iCs w:val="0"/>
          <w:color w:val="auto"/>
          <w:sz w:val="20"/>
          <w:szCs w:val="20"/>
        </w:rPr>
        <w:t xml:space="preserve">November </w:t>
      </w:r>
      <w:r w:rsidRPr="00561FF2">
        <w:rPr>
          <w:rFonts w:ascii="Arial Narrow" w:hAnsi="Arial Narrow"/>
          <w:b/>
          <w:bCs/>
          <w:i w:val="0"/>
          <w:iCs w:val="0"/>
          <w:color w:val="auto"/>
          <w:sz w:val="20"/>
          <w:szCs w:val="20"/>
        </w:rPr>
        <w:t>2023 to March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Comparison of key utilisation inputs from November 2023 to March 2024"/>
      </w:tblPr>
      <w:tblGrid>
        <w:gridCol w:w="1108"/>
        <w:gridCol w:w="2729"/>
        <w:gridCol w:w="2590"/>
        <w:gridCol w:w="2589"/>
      </w:tblGrid>
      <w:tr w:rsidR="00837075" w:rsidRPr="00561FF2" w14:paraId="50315820" w14:textId="77777777" w:rsidTr="00A133FD">
        <w:trPr>
          <w:cantSplit/>
          <w:tblHeader/>
        </w:trPr>
        <w:tc>
          <w:tcPr>
            <w:tcW w:w="614" w:type="pct"/>
            <w:shd w:val="clear" w:color="auto" w:fill="auto"/>
            <w:vAlign w:val="center"/>
          </w:tcPr>
          <w:p w14:paraId="0232D6F7" w14:textId="77777777" w:rsidR="00837075" w:rsidRPr="00561FF2" w:rsidRDefault="00837075" w:rsidP="00837075">
            <w:pPr>
              <w:jc w:val="left"/>
              <w:rPr>
                <w:rFonts w:ascii="Arial Narrow" w:hAnsi="Arial Narrow"/>
                <w:b/>
                <w:sz w:val="20"/>
                <w:szCs w:val="20"/>
              </w:rPr>
            </w:pPr>
            <w:r w:rsidRPr="00561FF2">
              <w:rPr>
                <w:rFonts w:ascii="Arial Narrow" w:hAnsi="Arial Narrow"/>
                <w:b/>
                <w:sz w:val="20"/>
                <w:szCs w:val="20"/>
              </w:rPr>
              <w:t>Parameter</w:t>
            </w:r>
          </w:p>
        </w:tc>
        <w:tc>
          <w:tcPr>
            <w:tcW w:w="1513" w:type="pct"/>
            <w:shd w:val="clear" w:color="auto" w:fill="auto"/>
            <w:vAlign w:val="center"/>
          </w:tcPr>
          <w:p w14:paraId="736D6A30" w14:textId="5BA93132" w:rsidR="00837075" w:rsidRPr="00561FF2" w:rsidRDefault="00837075" w:rsidP="00837075">
            <w:pPr>
              <w:jc w:val="left"/>
              <w:rPr>
                <w:rFonts w:ascii="Arial Narrow" w:hAnsi="Arial Narrow"/>
                <w:b/>
                <w:sz w:val="20"/>
                <w:szCs w:val="20"/>
              </w:rPr>
            </w:pPr>
            <w:r w:rsidRPr="00561FF2">
              <w:rPr>
                <w:rFonts w:ascii="Arial Narrow" w:hAnsi="Arial Narrow"/>
                <w:b/>
                <w:sz w:val="20"/>
                <w:szCs w:val="20"/>
              </w:rPr>
              <w:t>November 2023 input</w:t>
            </w:r>
          </w:p>
        </w:tc>
        <w:tc>
          <w:tcPr>
            <w:tcW w:w="1436" w:type="pct"/>
            <w:shd w:val="clear" w:color="auto" w:fill="auto"/>
            <w:vAlign w:val="center"/>
          </w:tcPr>
          <w:p w14:paraId="478FB6F0" w14:textId="26BF8F6C" w:rsidR="00837075" w:rsidRPr="00561FF2" w:rsidRDefault="00837075" w:rsidP="00837075">
            <w:pPr>
              <w:jc w:val="left"/>
              <w:rPr>
                <w:rFonts w:ascii="Arial Narrow" w:hAnsi="Arial Narrow"/>
                <w:b/>
                <w:sz w:val="20"/>
                <w:szCs w:val="20"/>
              </w:rPr>
            </w:pPr>
            <w:r w:rsidRPr="00561FF2">
              <w:rPr>
                <w:rFonts w:ascii="Arial Narrow" w:hAnsi="Arial Narrow"/>
                <w:b/>
                <w:sz w:val="20"/>
                <w:szCs w:val="20"/>
              </w:rPr>
              <w:t>November 2023 PBAC comment</w:t>
            </w:r>
          </w:p>
        </w:tc>
        <w:tc>
          <w:tcPr>
            <w:tcW w:w="1436" w:type="pct"/>
          </w:tcPr>
          <w:p w14:paraId="6F69FD8F" w14:textId="6A249FDF" w:rsidR="00837075" w:rsidRPr="00561FF2" w:rsidRDefault="00837075" w:rsidP="00837075">
            <w:pPr>
              <w:jc w:val="left"/>
              <w:rPr>
                <w:rFonts w:ascii="Arial Narrow" w:hAnsi="Arial Narrow"/>
                <w:b/>
                <w:sz w:val="20"/>
                <w:szCs w:val="20"/>
              </w:rPr>
            </w:pPr>
            <w:r w:rsidRPr="00561FF2">
              <w:rPr>
                <w:rFonts w:ascii="Arial Narrow" w:hAnsi="Arial Narrow"/>
                <w:b/>
                <w:sz w:val="20"/>
                <w:szCs w:val="20"/>
              </w:rPr>
              <w:t>March 202</w:t>
            </w:r>
            <w:r w:rsidR="0036501A" w:rsidRPr="00561FF2">
              <w:rPr>
                <w:rFonts w:ascii="Arial Narrow" w:hAnsi="Arial Narrow"/>
                <w:b/>
                <w:sz w:val="20"/>
                <w:szCs w:val="20"/>
              </w:rPr>
              <w:t>4</w:t>
            </w:r>
            <w:r w:rsidRPr="00561FF2">
              <w:rPr>
                <w:rFonts w:ascii="Arial Narrow" w:hAnsi="Arial Narrow"/>
                <w:b/>
                <w:sz w:val="20"/>
                <w:szCs w:val="20"/>
              </w:rPr>
              <w:t xml:space="preserve"> input</w:t>
            </w:r>
          </w:p>
        </w:tc>
      </w:tr>
      <w:tr w:rsidR="00837075" w:rsidRPr="00561FF2" w14:paraId="27BDADE5" w14:textId="77777777" w:rsidTr="00A133FD">
        <w:trPr>
          <w:cantSplit/>
        </w:trPr>
        <w:tc>
          <w:tcPr>
            <w:tcW w:w="614" w:type="pct"/>
            <w:shd w:val="clear" w:color="auto" w:fill="auto"/>
            <w:vAlign w:val="center"/>
          </w:tcPr>
          <w:p w14:paraId="100EA329" w14:textId="77777777" w:rsidR="00837075" w:rsidRPr="00561FF2" w:rsidRDefault="00837075" w:rsidP="00837075">
            <w:pPr>
              <w:jc w:val="left"/>
              <w:rPr>
                <w:rFonts w:ascii="Arial Narrow" w:hAnsi="Arial Narrow"/>
                <w:bCs/>
                <w:sz w:val="20"/>
                <w:szCs w:val="20"/>
              </w:rPr>
            </w:pPr>
            <w:r w:rsidRPr="00561FF2">
              <w:rPr>
                <w:rFonts w:ascii="Arial Narrow" w:hAnsi="Arial Narrow"/>
                <w:bCs/>
                <w:sz w:val="20"/>
                <w:szCs w:val="20"/>
              </w:rPr>
              <w:t>Incidence of thyroid cancer</w:t>
            </w:r>
          </w:p>
        </w:tc>
        <w:tc>
          <w:tcPr>
            <w:tcW w:w="1513" w:type="pct"/>
            <w:shd w:val="clear" w:color="auto" w:fill="auto"/>
            <w:vAlign w:val="center"/>
          </w:tcPr>
          <w:p w14:paraId="1C962613"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Incidence of thyroid cancer 13.9/100,000 based on AIHW cancer data, assumed constant throughout Years 1-6.</w:t>
            </w:r>
          </w:p>
        </w:tc>
        <w:tc>
          <w:tcPr>
            <w:tcW w:w="1436" w:type="pct"/>
            <w:shd w:val="clear" w:color="auto" w:fill="auto"/>
            <w:vAlign w:val="center"/>
          </w:tcPr>
          <w:p w14:paraId="473F79FF" w14:textId="7FDA4DB4" w:rsidR="00837075" w:rsidRPr="00561FF2" w:rsidRDefault="00837075" w:rsidP="00837075">
            <w:pPr>
              <w:jc w:val="left"/>
              <w:rPr>
                <w:rFonts w:ascii="Arial Narrow" w:hAnsi="Arial Narrow"/>
                <w:sz w:val="20"/>
                <w:szCs w:val="20"/>
              </w:rPr>
            </w:pPr>
            <w:r w:rsidRPr="00561FF2">
              <w:rPr>
                <w:rFonts w:ascii="Arial Narrow" w:hAnsi="Arial Narrow"/>
                <w:sz w:val="20"/>
                <w:szCs w:val="20"/>
              </w:rPr>
              <w:t>Likely underestimated as the incidence rate of thyroid cancer has been increasing at a rate of 2.7%</w:t>
            </w:r>
            <w:r w:rsidRPr="00561FF2">
              <w:rPr>
                <w:rFonts w:ascii="Arial Narrow" w:hAnsi="Arial Narrow"/>
                <w:sz w:val="20"/>
                <w:szCs w:val="20"/>
                <w:vertAlign w:val="superscript"/>
              </w:rPr>
              <w:footnoteReference w:id="2"/>
            </w:r>
            <w:r w:rsidRPr="00561FF2">
              <w:rPr>
                <w:rFonts w:ascii="Arial Narrow" w:hAnsi="Arial Narrow"/>
                <w:sz w:val="20"/>
                <w:szCs w:val="20"/>
              </w:rPr>
              <w:t xml:space="preserve"> per year.</w:t>
            </w:r>
          </w:p>
        </w:tc>
        <w:tc>
          <w:tcPr>
            <w:tcW w:w="1436" w:type="pct"/>
            <w:vAlign w:val="center"/>
          </w:tcPr>
          <w:p w14:paraId="69381655" w14:textId="436717B1"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 xml:space="preserve">Number of incident patients has been increased by 2.7% per year. </w:t>
            </w:r>
          </w:p>
        </w:tc>
      </w:tr>
      <w:tr w:rsidR="00837075" w:rsidRPr="00561FF2" w14:paraId="6637A43D" w14:textId="77777777" w:rsidTr="00A133FD">
        <w:trPr>
          <w:cantSplit/>
        </w:trPr>
        <w:tc>
          <w:tcPr>
            <w:tcW w:w="614" w:type="pct"/>
            <w:shd w:val="clear" w:color="auto" w:fill="auto"/>
            <w:vAlign w:val="center"/>
          </w:tcPr>
          <w:p w14:paraId="32C4FD10" w14:textId="77777777" w:rsidR="00837075" w:rsidRPr="00561FF2" w:rsidRDefault="00837075" w:rsidP="00837075">
            <w:pPr>
              <w:jc w:val="left"/>
              <w:rPr>
                <w:rFonts w:ascii="Arial Narrow" w:hAnsi="Arial Narrow"/>
                <w:bCs/>
                <w:sz w:val="20"/>
                <w:szCs w:val="20"/>
              </w:rPr>
            </w:pPr>
            <w:r w:rsidRPr="00561FF2">
              <w:rPr>
                <w:rFonts w:ascii="Arial Narrow" w:hAnsi="Arial Narrow"/>
                <w:bCs/>
                <w:sz w:val="20"/>
                <w:szCs w:val="20"/>
              </w:rPr>
              <w:t>Incident patients</w:t>
            </w:r>
          </w:p>
        </w:tc>
        <w:tc>
          <w:tcPr>
            <w:tcW w:w="1513" w:type="pct"/>
            <w:shd w:val="clear" w:color="auto" w:fill="auto"/>
            <w:vAlign w:val="center"/>
          </w:tcPr>
          <w:p w14:paraId="4A2D249B"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 xml:space="preserve">94% of thyroid cancer patients had DTC; </w:t>
            </w:r>
          </w:p>
          <w:p w14:paraId="40E22753"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 xml:space="preserve">27.5% of DTC patients had advanced/metastatic disease; </w:t>
            </w:r>
          </w:p>
          <w:p w14:paraId="3F0B6CE6"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 xml:space="preserve">33.3% of patients with advanced/metastatic disease were refractory to RAI; </w:t>
            </w:r>
          </w:p>
          <w:p w14:paraId="345D93EA"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 xml:space="preserve">37.5% of patients with RAI-R DTC were treated with 1L TKI; </w:t>
            </w:r>
          </w:p>
          <w:p w14:paraId="0500421E"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53.1% of 1L-treated patients with progressed disease</w:t>
            </w:r>
          </w:p>
          <w:p w14:paraId="75F51EA9" w14:textId="77777777" w:rsidR="00837075" w:rsidRPr="00561FF2" w:rsidRDefault="00837075" w:rsidP="00AA6F91">
            <w:pPr>
              <w:numPr>
                <w:ilvl w:val="0"/>
                <w:numId w:val="13"/>
              </w:numPr>
              <w:ind w:left="180" w:hanging="180"/>
              <w:jc w:val="left"/>
              <w:rPr>
                <w:rFonts w:ascii="Arial Narrow" w:hAnsi="Arial Narrow"/>
                <w:sz w:val="20"/>
                <w:szCs w:val="20"/>
              </w:rPr>
            </w:pPr>
            <w:r w:rsidRPr="00561FF2">
              <w:rPr>
                <w:rFonts w:ascii="Arial Narrow" w:hAnsi="Arial Narrow"/>
                <w:sz w:val="20"/>
                <w:szCs w:val="20"/>
              </w:rPr>
              <w:t>100% patient share in 2L (assumption of 100% uptake)</w:t>
            </w:r>
          </w:p>
        </w:tc>
        <w:tc>
          <w:tcPr>
            <w:tcW w:w="1436" w:type="pct"/>
            <w:shd w:val="clear" w:color="auto" w:fill="auto"/>
            <w:vAlign w:val="center"/>
          </w:tcPr>
          <w:p w14:paraId="57A62836" w14:textId="58C06EF3" w:rsidR="00837075" w:rsidRPr="00561FF2" w:rsidRDefault="00837075" w:rsidP="00837075">
            <w:pPr>
              <w:jc w:val="left"/>
              <w:rPr>
                <w:rFonts w:ascii="Arial Narrow" w:hAnsi="Arial Narrow"/>
                <w:sz w:val="20"/>
                <w:szCs w:val="20"/>
              </w:rPr>
            </w:pPr>
            <w:r w:rsidRPr="00561FF2">
              <w:rPr>
                <w:rFonts w:ascii="Arial Narrow" w:hAnsi="Arial Narrow"/>
                <w:sz w:val="20"/>
                <w:szCs w:val="20"/>
              </w:rPr>
              <w:t>Uncertain. The ESC noted that the DUSC Secretariat provided a count of patients who had received lenvatinib in the first line setting which indicated that incident patient numbers may have been overestimated.</w:t>
            </w:r>
          </w:p>
        </w:tc>
        <w:tc>
          <w:tcPr>
            <w:tcW w:w="1436" w:type="pct"/>
            <w:vAlign w:val="center"/>
          </w:tcPr>
          <w:p w14:paraId="1C619256" w14:textId="3BE600C0"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Updated the approach. Incident patients now derived from the count of patients who had received lenvatinib in first line setting, as per Table 24, cabozantinib minutes, November 2023. The eligibility of this patient population is 60% to reflect those likely to transition onto cabozantinib as specified by the PBAC (paragraph 7.16, cabozantinib minutes, November 2023).</w:t>
            </w:r>
          </w:p>
        </w:tc>
      </w:tr>
      <w:tr w:rsidR="00837075" w:rsidRPr="00561FF2" w14:paraId="18B9281B" w14:textId="77777777" w:rsidTr="00A133FD">
        <w:trPr>
          <w:cantSplit/>
        </w:trPr>
        <w:tc>
          <w:tcPr>
            <w:tcW w:w="614" w:type="pct"/>
            <w:shd w:val="clear" w:color="auto" w:fill="auto"/>
            <w:vAlign w:val="center"/>
          </w:tcPr>
          <w:p w14:paraId="7FA49E6F" w14:textId="77777777" w:rsidR="00837075" w:rsidRPr="00561FF2" w:rsidRDefault="00837075" w:rsidP="00837075">
            <w:pPr>
              <w:jc w:val="left"/>
              <w:rPr>
                <w:rFonts w:ascii="Arial Narrow" w:hAnsi="Arial Narrow"/>
                <w:bCs/>
                <w:sz w:val="20"/>
                <w:szCs w:val="20"/>
              </w:rPr>
            </w:pPr>
            <w:r w:rsidRPr="00561FF2">
              <w:rPr>
                <w:rFonts w:ascii="Arial Narrow" w:hAnsi="Arial Narrow"/>
                <w:bCs/>
                <w:sz w:val="20"/>
                <w:szCs w:val="20"/>
              </w:rPr>
              <w:t>Prevalent patients</w:t>
            </w:r>
          </w:p>
        </w:tc>
        <w:tc>
          <w:tcPr>
            <w:tcW w:w="1513" w:type="pct"/>
            <w:shd w:val="clear" w:color="auto" w:fill="auto"/>
            <w:vAlign w:val="center"/>
          </w:tcPr>
          <w:p w14:paraId="695F0634" w14:textId="49C4DBC9" w:rsidR="00837075" w:rsidRPr="00561FF2" w:rsidRDefault="00E447F1" w:rsidP="00837075">
            <w:pPr>
              <w:jc w:val="left"/>
              <w:rPr>
                <w:rFonts w:ascii="Arial Narrow" w:hAnsi="Arial Narrow"/>
                <w:sz w:val="20"/>
                <w:szCs w:val="20"/>
              </w:rPr>
            </w:pPr>
            <w:r w:rsidRPr="00E447F1">
              <w:rPr>
                <w:rFonts w:ascii="Arial Narrow" w:hAnsi="Arial Narrow"/>
                <w:color w:val="000000"/>
                <w:spacing w:val="51"/>
                <w:sz w:val="20"/>
                <w:szCs w:val="20"/>
                <w:shd w:val="solid" w:color="000000" w:fill="000000"/>
                <w:fitText w:val="326" w:id="-961840630"/>
                <w14:textFill>
                  <w14:solidFill>
                    <w14:srgbClr w14:val="000000">
                      <w14:alpha w14:val="100000"/>
                    </w14:srgbClr>
                  </w14:solidFill>
                </w14:textFill>
              </w:rPr>
              <w:t>|||</w:t>
            </w:r>
            <w:r w:rsidRPr="00E447F1">
              <w:rPr>
                <w:rFonts w:ascii="Arial Narrow" w:hAnsi="Arial Narrow"/>
                <w:color w:val="000000"/>
                <w:spacing w:val="3"/>
                <w:sz w:val="20"/>
                <w:szCs w:val="20"/>
                <w:shd w:val="solid" w:color="000000" w:fill="000000"/>
                <w:fitText w:val="326" w:id="-961840630"/>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00837075" w:rsidRPr="00561FF2">
              <w:rPr>
                <w:rFonts w:ascii="Arial Narrow" w:hAnsi="Arial Narrow"/>
                <w:sz w:val="20"/>
                <w:szCs w:val="20"/>
              </w:rPr>
              <w:t xml:space="preserve"> in Year 1, none in other years.</w:t>
            </w:r>
          </w:p>
        </w:tc>
        <w:tc>
          <w:tcPr>
            <w:tcW w:w="1436" w:type="pct"/>
            <w:shd w:val="clear" w:color="auto" w:fill="auto"/>
            <w:vAlign w:val="center"/>
          </w:tcPr>
          <w:p w14:paraId="7D7DD8B8"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Uncertain. Based on the estimated number of incident patients in Year 1.</w:t>
            </w:r>
          </w:p>
        </w:tc>
        <w:tc>
          <w:tcPr>
            <w:tcW w:w="1436" w:type="pct"/>
            <w:vAlign w:val="center"/>
          </w:tcPr>
          <w:p w14:paraId="5FF01742" w14:textId="53AF3FB9" w:rsidR="00837075" w:rsidRPr="00561FF2" w:rsidRDefault="00E447F1" w:rsidP="00837075">
            <w:pPr>
              <w:jc w:val="left"/>
              <w:rPr>
                <w:rFonts w:ascii="Arial Narrow" w:hAnsi="Arial Narrow"/>
                <w:sz w:val="20"/>
                <w:szCs w:val="20"/>
              </w:rPr>
            </w:pPr>
            <w:r w:rsidRPr="00E447F1">
              <w:rPr>
                <w:rFonts w:ascii="Arial Narrow" w:eastAsia="Arial Narrow" w:hAnsi="Arial Narrow" w:cs="Arial Narrow"/>
                <w:color w:val="000000"/>
                <w:spacing w:val="51"/>
                <w:sz w:val="20"/>
                <w:szCs w:val="20"/>
                <w:shd w:val="solid" w:color="000000" w:fill="000000"/>
                <w:fitText w:val="325" w:id="-961840629"/>
                <w14:textFill>
                  <w14:solidFill>
                    <w14:srgbClr w14:val="000000">
                      <w14:alpha w14:val="100000"/>
                    </w14:srgbClr>
                  </w14:solidFill>
                </w14:textFill>
              </w:rPr>
              <w:t>|||</w:t>
            </w:r>
            <w:r w:rsidRPr="00E447F1">
              <w:rPr>
                <w:rFonts w:ascii="Arial Narrow" w:eastAsia="Arial Narrow" w:hAnsi="Arial Narrow" w:cs="Arial Narrow"/>
                <w:color w:val="000000"/>
                <w:spacing w:val="2"/>
                <w:sz w:val="20"/>
                <w:szCs w:val="20"/>
                <w:shd w:val="solid" w:color="000000" w:fill="000000"/>
                <w:fitText w:val="325" w:id="-961840629"/>
                <w14:textFill>
                  <w14:solidFill>
                    <w14:srgbClr w14:val="000000">
                      <w14:alpha w14:val="100000"/>
                    </w14:srgbClr>
                  </w14:solidFill>
                </w14:textFill>
              </w:rPr>
              <w:t>|</w:t>
            </w:r>
            <w:r w:rsidR="001E7F5C" w:rsidRPr="001A420F">
              <w:rPr>
                <w:rFonts w:ascii="Arial Narrow" w:eastAsia="Arial Narrow" w:hAnsi="Arial Narrow" w:cs="Arial Narrow"/>
                <w:sz w:val="20"/>
                <w:szCs w:val="20"/>
                <w:vertAlign w:val="superscript"/>
              </w:rPr>
              <w:t>1</w:t>
            </w:r>
            <w:r w:rsidR="00837075" w:rsidRPr="00561FF2">
              <w:rPr>
                <w:rFonts w:ascii="Arial Narrow" w:eastAsia="Arial Narrow" w:hAnsi="Arial Narrow" w:cs="Arial Narrow"/>
                <w:sz w:val="20"/>
                <w:szCs w:val="20"/>
              </w:rPr>
              <w:t xml:space="preserve"> in Year 1. As the estimated number of grandfather patients was increased from </w:t>
            </w:r>
            <w:r w:rsidRPr="00E447F1">
              <w:rPr>
                <w:rFonts w:ascii="Arial Narrow" w:eastAsia="Arial Narrow" w:hAnsi="Arial Narrow" w:cs="Arial Narrow"/>
                <w:color w:val="000000"/>
                <w:spacing w:val="51"/>
                <w:sz w:val="20"/>
                <w:szCs w:val="20"/>
                <w:shd w:val="solid" w:color="000000" w:fill="000000"/>
                <w:fitText w:val="326" w:id="-961840628"/>
                <w14:textFill>
                  <w14:solidFill>
                    <w14:srgbClr w14:val="000000">
                      <w14:alpha w14:val="100000"/>
                    </w14:srgbClr>
                  </w14:solidFill>
                </w14:textFill>
              </w:rPr>
              <w:t>|||</w:t>
            </w:r>
            <w:r w:rsidRPr="00E447F1">
              <w:rPr>
                <w:rFonts w:ascii="Arial Narrow" w:eastAsia="Arial Narrow" w:hAnsi="Arial Narrow" w:cs="Arial Narrow"/>
                <w:color w:val="000000"/>
                <w:spacing w:val="3"/>
                <w:sz w:val="20"/>
                <w:szCs w:val="20"/>
                <w:shd w:val="solid" w:color="000000" w:fill="000000"/>
                <w:fitText w:val="326" w:id="-961840628"/>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00837075" w:rsidRPr="00561FF2">
              <w:rPr>
                <w:rFonts w:ascii="Arial Narrow" w:eastAsia="Arial Narrow" w:hAnsi="Arial Narrow" w:cs="Arial Narrow"/>
                <w:sz w:val="20"/>
                <w:szCs w:val="20"/>
              </w:rPr>
              <w:t xml:space="preserve"> to </w:t>
            </w:r>
            <w:r w:rsidRPr="00E447F1">
              <w:rPr>
                <w:rFonts w:ascii="Arial Narrow" w:eastAsia="Arial Narrow" w:hAnsi="Arial Narrow" w:cs="Arial Narrow"/>
                <w:color w:val="000000"/>
                <w:spacing w:val="51"/>
                <w:sz w:val="20"/>
                <w:szCs w:val="20"/>
                <w:shd w:val="solid" w:color="000000" w:fill="000000"/>
                <w:fitText w:val="325" w:id="-961840627"/>
                <w14:textFill>
                  <w14:solidFill>
                    <w14:srgbClr w14:val="000000">
                      <w14:alpha w14:val="100000"/>
                    </w14:srgbClr>
                  </w14:solidFill>
                </w14:textFill>
              </w:rPr>
              <w:t>|||</w:t>
            </w:r>
            <w:r w:rsidRPr="00E447F1">
              <w:rPr>
                <w:rFonts w:ascii="Arial Narrow" w:eastAsia="Arial Narrow" w:hAnsi="Arial Narrow" w:cs="Arial Narrow"/>
                <w:color w:val="000000"/>
                <w:spacing w:val="2"/>
                <w:sz w:val="20"/>
                <w:szCs w:val="20"/>
                <w:shd w:val="solid" w:color="000000" w:fill="000000"/>
                <w:fitText w:val="325" w:id="-961840627"/>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00837075" w:rsidRPr="00561FF2">
              <w:rPr>
                <w:rFonts w:ascii="Arial Narrow" w:eastAsia="Arial Narrow" w:hAnsi="Arial Narrow" w:cs="Arial Narrow"/>
                <w:sz w:val="20"/>
                <w:szCs w:val="20"/>
              </w:rPr>
              <w:t xml:space="preserve"> (see below), the number of prevalent patients was reduced accordingly to avoid double counting.</w:t>
            </w:r>
          </w:p>
        </w:tc>
      </w:tr>
      <w:tr w:rsidR="00837075" w:rsidRPr="00561FF2" w14:paraId="4F7CBB68" w14:textId="77777777" w:rsidTr="00A133FD">
        <w:trPr>
          <w:cantSplit/>
        </w:trPr>
        <w:tc>
          <w:tcPr>
            <w:tcW w:w="614" w:type="pct"/>
            <w:tcBorders>
              <w:bottom w:val="single" w:sz="4" w:space="0" w:color="auto"/>
            </w:tcBorders>
            <w:shd w:val="clear" w:color="auto" w:fill="auto"/>
            <w:vAlign w:val="center"/>
          </w:tcPr>
          <w:p w14:paraId="12444138" w14:textId="60F48858" w:rsidR="00837075" w:rsidRPr="00561FF2" w:rsidRDefault="00837075" w:rsidP="00837075">
            <w:pPr>
              <w:jc w:val="left"/>
              <w:rPr>
                <w:rFonts w:ascii="Arial Narrow" w:hAnsi="Arial Narrow"/>
                <w:bCs/>
                <w:sz w:val="20"/>
                <w:szCs w:val="20"/>
              </w:rPr>
            </w:pPr>
            <w:r w:rsidRPr="00561FF2">
              <w:rPr>
                <w:rFonts w:ascii="Arial Narrow" w:hAnsi="Arial Narrow"/>
                <w:bCs/>
                <w:sz w:val="20"/>
                <w:szCs w:val="20"/>
              </w:rPr>
              <w:lastRenderedPageBreak/>
              <w:t>Grandfather patients</w:t>
            </w:r>
          </w:p>
        </w:tc>
        <w:tc>
          <w:tcPr>
            <w:tcW w:w="1513" w:type="pct"/>
            <w:shd w:val="clear" w:color="auto" w:fill="auto"/>
            <w:vAlign w:val="center"/>
          </w:tcPr>
          <w:p w14:paraId="5F86B7AA" w14:textId="793F2B5C" w:rsidR="00837075" w:rsidRPr="00561FF2" w:rsidRDefault="00E447F1" w:rsidP="00837075">
            <w:pPr>
              <w:jc w:val="left"/>
              <w:rPr>
                <w:rFonts w:ascii="Arial Narrow" w:hAnsi="Arial Narrow"/>
                <w:sz w:val="20"/>
                <w:szCs w:val="20"/>
              </w:rPr>
            </w:pPr>
            <w:r w:rsidRPr="00E447F1">
              <w:rPr>
                <w:rFonts w:ascii="Arial Narrow" w:hAnsi="Arial Narrow"/>
                <w:color w:val="000000"/>
                <w:spacing w:val="51"/>
                <w:sz w:val="20"/>
                <w:szCs w:val="20"/>
                <w:shd w:val="solid" w:color="000000" w:fill="000000"/>
                <w:fitText w:val="326" w:id="-961840626"/>
                <w14:textFill>
                  <w14:solidFill>
                    <w14:srgbClr w14:val="000000">
                      <w14:alpha w14:val="100000"/>
                    </w14:srgbClr>
                  </w14:solidFill>
                </w14:textFill>
              </w:rPr>
              <w:t>|||</w:t>
            </w:r>
            <w:r w:rsidRPr="00E447F1">
              <w:rPr>
                <w:rFonts w:ascii="Arial Narrow" w:hAnsi="Arial Narrow"/>
                <w:color w:val="000000"/>
                <w:spacing w:val="3"/>
                <w:sz w:val="20"/>
                <w:szCs w:val="20"/>
                <w:shd w:val="solid" w:color="000000" w:fill="000000"/>
                <w:fitText w:val="326" w:id="-961840626"/>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00837075" w:rsidRPr="00561FF2">
              <w:rPr>
                <w:rFonts w:ascii="Arial Narrow" w:hAnsi="Arial Narrow"/>
                <w:sz w:val="20"/>
                <w:szCs w:val="20"/>
              </w:rPr>
              <w:t xml:space="preserve"> in Year 1, none in other years. Currently </w:t>
            </w:r>
            <w:r w:rsidRPr="00E447F1">
              <w:rPr>
                <w:rFonts w:ascii="Arial Narrow" w:hAnsi="Arial Narrow"/>
                <w:color w:val="000000"/>
                <w:spacing w:val="51"/>
                <w:sz w:val="20"/>
                <w:szCs w:val="20"/>
                <w:shd w:val="solid" w:color="000000" w:fill="000000"/>
                <w:fitText w:val="325" w:id="-961840625"/>
                <w14:textFill>
                  <w14:solidFill>
                    <w14:srgbClr w14:val="000000">
                      <w14:alpha w14:val="100000"/>
                    </w14:srgbClr>
                  </w14:solidFill>
                </w14:textFill>
              </w:rPr>
              <w:t>|||</w:t>
            </w:r>
            <w:r w:rsidRPr="00E447F1">
              <w:rPr>
                <w:rFonts w:ascii="Arial Narrow" w:hAnsi="Arial Narrow"/>
                <w:color w:val="000000"/>
                <w:spacing w:val="2"/>
                <w:sz w:val="20"/>
                <w:szCs w:val="20"/>
                <w:shd w:val="solid" w:color="000000" w:fill="000000"/>
                <w:fitText w:val="325" w:id="-961840625"/>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00837075" w:rsidRPr="00561FF2">
              <w:rPr>
                <w:rFonts w:ascii="Arial Narrow" w:hAnsi="Arial Narrow"/>
                <w:sz w:val="20"/>
                <w:szCs w:val="20"/>
              </w:rPr>
              <w:t xml:space="preserve"> patients were enrolled in the Ipsen Patient Access Program and on active treatment; assumed 100% meeting the proposed PBS restrictions and 100% electing continuing cabozantinib treatment.</w:t>
            </w:r>
          </w:p>
        </w:tc>
        <w:tc>
          <w:tcPr>
            <w:tcW w:w="1436" w:type="pct"/>
            <w:shd w:val="clear" w:color="auto" w:fill="auto"/>
            <w:vAlign w:val="center"/>
          </w:tcPr>
          <w:p w14:paraId="4E40E90C" w14:textId="14DEE6BC" w:rsidR="00837075" w:rsidRPr="00561FF2" w:rsidRDefault="00837075" w:rsidP="00837075">
            <w:pPr>
              <w:jc w:val="left"/>
              <w:rPr>
                <w:rFonts w:ascii="Arial Narrow" w:hAnsi="Arial Narrow"/>
                <w:sz w:val="20"/>
                <w:szCs w:val="20"/>
              </w:rPr>
            </w:pPr>
            <w:r w:rsidRPr="00561FF2">
              <w:rPr>
                <w:rFonts w:ascii="Arial Narrow" w:hAnsi="Arial Narrow"/>
                <w:sz w:val="20"/>
                <w:szCs w:val="20"/>
              </w:rPr>
              <w:t>It is unclear how many patients will be on the access program at the time of a listing</w:t>
            </w:r>
            <w:r w:rsidR="00642CEF" w:rsidRPr="00561FF2">
              <w:rPr>
                <w:rFonts w:ascii="Arial Narrow" w:hAnsi="Arial Narrow"/>
                <w:sz w:val="20"/>
                <w:szCs w:val="20"/>
              </w:rPr>
              <w:t xml:space="preserve">. </w:t>
            </w:r>
          </w:p>
        </w:tc>
        <w:tc>
          <w:tcPr>
            <w:tcW w:w="1436" w:type="pct"/>
            <w:vAlign w:val="center"/>
          </w:tcPr>
          <w:p w14:paraId="2B39479A" w14:textId="4814D225"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 xml:space="preserve">Has increased from </w:t>
            </w:r>
            <w:r w:rsidR="00E447F1" w:rsidRPr="00E447F1">
              <w:rPr>
                <w:rFonts w:ascii="Arial Narrow" w:eastAsia="Arial Narrow" w:hAnsi="Arial Narrow" w:cs="Arial Narrow"/>
                <w:color w:val="000000"/>
                <w:spacing w:val="51"/>
                <w:sz w:val="20"/>
                <w:szCs w:val="20"/>
                <w:shd w:val="solid" w:color="000000" w:fill="000000"/>
                <w:fitText w:val="326" w:id="-961840624"/>
                <w14:textFill>
                  <w14:solidFill>
                    <w14:srgbClr w14:val="000000">
                      <w14:alpha w14:val="100000"/>
                    </w14:srgbClr>
                  </w14:solidFill>
                </w14:textFill>
              </w:rPr>
              <w:t>|||</w:t>
            </w:r>
            <w:r w:rsidR="00E447F1" w:rsidRPr="00E447F1">
              <w:rPr>
                <w:rFonts w:ascii="Arial Narrow" w:eastAsia="Arial Narrow" w:hAnsi="Arial Narrow" w:cs="Arial Narrow"/>
                <w:color w:val="000000"/>
                <w:spacing w:val="3"/>
                <w:sz w:val="20"/>
                <w:szCs w:val="20"/>
                <w:shd w:val="solid" w:color="000000" w:fill="000000"/>
                <w:fitText w:val="326" w:id="-961840624"/>
                <w14:textFill>
                  <w14:solidFill>
                    <w14:srgbClr w14:val="000000">
                      <w14:alpha w14:val="100000"/>
                    </w14:srgbClr>
                  </w14:solidFill>
                </w14:textFill>
              </w:rPr>
              <w:t>|</w:t>
            </w:r>
            <w:r w:rsidR="00ED5B4F" w:rsidRPr="001A420F">
              <w:rPr>
                <w:rFonts w:ascii="Arial Narrow" w:eastAsia="Arial Narrow" w:hAnsi="Arial Narrow" w:cs="Arial Narrow"/>
                <w:sz w:val="20"/>
                <w:szCs w:val="20"/>
                <w:vertAlign w:val="superscript"/>
              </w:rPr>
              <w:t xml:space="preserve">1 </w:t>
            </w:r>
            <w:r w:rsidRPr="00561FF2">
              <w:rPr>
                <w:rFonts w:ascii="Arial Narrow" w:eastAsia="Arial Narrow" w:hAnsi="Arial Narrow" w:cs="Arial Narrow"/>
                <w:sz w:val="20"/>
                <w:szCs w:val="20"/>
              </w:rPr>
              <w:t xml:space="preserve">to </w:t>
            </w:r>
            <w:r w:rsidR="00E447F1" w:rsidRPr="00E447F1">
              <w:rPr>
                <w:rFonts w:ascii="Arial Narrow" w:eastAsia="Arial Narrow" w:hAnsi="Arial Narrow" w:cs="Arial Narrow"/>
                <w:color w:val="000000"/>
                <w:spacing w:val="51"/>
                <w:sz w:val="20"/>
                <w:szCs w:val="20"/>
                <w:shd w:val="solid" w:color="000000" w:fill="000000"/>
                <w:fitText w:val="325" w:id="-961840640"/>
                <w14:textFill>
                  <w14:solidFill>
                    <w14:srgbClr w14:val="000000">
                      <w14:alpha w14:val="100000"/>
                    </w14:srgbClr>
                  </w14:solidFill>
                </w14:textFill>
              </w:rPr>
              <w:t>|||</w:t>
            </w:r>
            <w:r w:rsidR="00E447F1" w:rsidRPr="00E447F1">
              <w:rPr>
                <w:rFonts w:ascii="Arial Narrow" w:eastAsia="Arial Narrow" w:hAnsi="Arial Narrow" w:cs="Arial Narrow"/>
                <w:color w:val="000000"/>
                <w:spacing w:val="2"/>
                <w:sz w:val="20"/>
                <w:szCs w:val="20"/>
                <w:shd w:val="solid" w:color="000000" w:fill="000000"/>
                <w:fitText w:val="325" w:id="-961840640"/>
                <w14:textFill>
                  <w14:solidFill>
                    <w14:srgbClr w14:val="000000">
                      <w14:alpha w14:val="100000"/>
                    </w14:srgbClr>
                  </w14:solidFill>
                </w14:textFill>
              </w:rPr>
              <w:t>|</w:t>
            </w:r>
            <w:r w:rsidR="00ED5B4F" w:rsidRPr="001007E0">
              <w:rPr>
                <w:rFonts w:ascii="Arial Narrow" w:eastAsia="Arial Narrow" w:hAnsi="Arial Narrow" w:cs="Arial Narrow"/>
                <w:sz w:val="20"/>
                <w:szCs w:val="20"/>
                <w:vertAlign w:val="superscript"/>
              </w:rPr>
              <w:t>1</w:t>
            </w:r>
            <w:r w:rsidRPr="001007E0">
              <w:rPr>
                <w:rFonts w:ascii="Arial Narrow" w:eastAsia="Arial Narrow" w:hAnsi="Arial Narrow" w:cs="Arial Narrow"/>
                <w:sz w:val="20"/>
                <w:szCs w:val="20"/>
                <w:vertAlign w:val="superscript"/>
              </w:rPr>
              <w:t xml:space="preserve"> </w:t>
            </w:r>
            <w:r w:rsidRPr="00561FF2">
              <w:rPr>
                <w:rFonts w:ascii="Arial Narrow" w:eastAsia="Arial Narrow" w:hAnsi="Arial Narrow" w:cs="Arial Narrow"/>
                <w:sz w:val="20"/>
                <w:szCs w:val="20"/>
              </w:rPr>
              <w:t xml:space="preserve">patients to reflect estimate at time of listing from compassionate access program. </w:t>
            </w:r>
          </w:p>
        </w:tc>
      </w:tr>
      <w:tr w:rsidR="00837075" w:rsidRPr="00561FF2" w14:paraId="131FC8D1" w14:textId="77777777" w:rsidTr="00A133FD">
        <w:trPr>
          <w:cantSplit/>
        </w:trPr>
        <w:tc>
          <w:tcPr>
            <w:tcW w:w="614" w:type="pct"/>
            <w:tcBorders>
              <w:bottom w:val="nil"/>
            </w:tcBorders>
            <w:shd w:val="clear" w:color="auto" w:fill="auto"/>
            <w:vAlign w:val="center"/>
          </w:tcPr>
          <w:p w14:paraId="7F2E6429" w14:textId="77777777" w:rsidR="00837075" w:rsidRPr="00561FF2" w:rsidRDefault="00837075" w:rsidP="00837075">
            <w:pPr>
              <w:jc w:val="left"/>
              <w:rPr>
                <w:rFonts w:ascii="Arial Narrow" w:hAnsi="Arial Narrow"/>
                <w:bCs/>
                <w:sz w:val="20"/>
                <w:szCs w:val="20"/>
              </w:rPr>
            </w:pPr>
            <w:r w:rsidRPr="00561FF2">
              <w:rPr>
                <w:rFonts w:ascii="Arial Narrow" w:hAnsi="Arial Narrow"/>
                <w:bCs/>
                <w:sz w:val="20"/>
                <w:szCs w:val="20"/>
              </w:rPr>
              <w:t>Treatment duration</w:t>
            </w:r>
          </w:p>
        </w:tc>
        <w:tc>
          <w:tcPr>
            <w:tcW w:w="1513" w:type="pct"/>
            <w:shd w:val="clear" w:color="auto" w:fill="auto"/>
            <w:vAlign w:val="center"/>
          </w:tcPr>
          <w:p w14:paraId="31C581DD"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Incident patients: eight months per course per patient, based on the extrapolated average time (0.67 year) on treatment from the economic model.</w:t>
            </w:r>
          </w:p>
        </w:tc>
        <w:tc>
          <w:tcPr>
            <w:tcW w:w="1436" w:type="pct"/>
            <w:shd w:val="clear" w:color="auto" w:fill="auto"/>
            <w:vAlign w:val="center"/>
          </w:tcPr>
          <w:p w14:paraId="0113D6A0"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w:t>
            </w:r>
          </w:p>
        </w:tc>
        <w:tc>
          <w:tcPr>
            <w:tcW w:w="1436" w:type="pct"/>
            <w:vAlign w:val="center"/>
          </w:tcPr>
          <w:p w14:paraId="711D7BB5"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Unchanged</w:t>
            </w:r>
          </w:p>
        </w:tc>
      </w:tr>
      <w:tr w:rsidR="00837075" w:rsidRPr="00561FF2" w14:paraId="1FF171B1" w14:textId="77777777" w:rsidTr="00A133FD">
        <w:trPr>
          <w:cantSplit/>
        </w:trPr>
        <w:tc>
          <w:tcPr>
            <w:tcW w:w="614" w:type="pct"/>
            <w:tcBorders>
              <w:top w:val="nil"/>
              <w:bottom w:val="nil"/>
            </w:tcBorders>
            <w:shd w:val="clear" w:color="auto" w:fill="auto"/>
            <w:vAlign w:val="center"/>
          </w:tcPr>
          <w:p w14:paraId="4567B4E5" w14:textId="77777777" w:rsidR="00837075" w:rsidRPr="00561FF2" w:rsidRDefault="00837075" w:rsidP="00837075">
            <w:pPr>
              <w:jc w:val="left"/>
              <w:rPr>
                <w:rFonts w:ascii="Arial Narrow" w:hAnsi="Arial Narrow"/>
                <w:bCs/>
                <w:sz w:val="20"/>
                <w:szCs w:val="20"/>
              </w:rPr>
            </w:pPr>
          </w:p>
        </w:tc>
        <w:tc>
          <w:tcPr>
            <w:tcW w:w="1513" w:type="pct"/>
            <w:shd w:val="clear" w:color="auto" w:fill="auto"/>
            <w:vAlign w:val="center"/>
          </w:tcPr>
          <w:p w14:paraId="36938D28"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Prevalent patients: 12 months</w:t>
            </w:r>
          </w:p>
        </w:tc>
        <w:tc>
          <w:tcPr>
            <w:tcW w:w="1436" w:type="pct"/>
            <w:shd w:val="clear" w:color="auto" w:fill="auto"/>
            <w:vAlign w:val="center"/>
          </w:tcPr>
          <w:p w14:paraId="559B1ACF"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Over-estimated, should be the same, or possibly less than, for incident patients (i.e., eight months).</w:t>
            </w:r>
          </w:p>
        </w:tc>
        <w:tc>
          <w:tcPr>
            <w:tcW w:w="1436" w:type="pct"/>
            <w:vAlign w:val="center"/>
          </w:tcPr>
          <w:p w14:paraId="3A606AE4" w14:textId="700D0B62"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Amended to 8 months to align with incident patients.</w:t>
            </w:r>
          </w:p>
        </w:tc>
      </w:tr>
      <w:tr w:rsidR="00837075" w:rsidRPr="00561FF2" w14:paraId="123C0783" w14:textId="77777777" w:rsidTr="00A133FD">
        <w:trPr>
          <w:cantSplit/>
        </w:trPr>
        <w:tc>
          <w:tcPr>
            <w:tcW w:w="614" w:type="pct"/>
            <w:tcBorders>
              <w:top w:val="nil"/>
            </w:tcBorders>
            <w:shd w:val="clear" w:color="auto" w:fill="auto"/>
            <w:vAlign w:val="center"/>
          </w:tcPr>
          <w:p w14:paraId="0CA34402" w14:textId="77777777" w:rsidR="00837075" w:rsidRPr="00561FF2" w:rsidRDefault="00837075" w:rsidP="00837075">
            <w:pPr>
              <w:jc w:val="left"/>
              <w:rPr>
                <w:rFonts w:ascii="Arial Narrow" w:hAnsi="Arial Narrow"/>
                <w:bCs/>
                <w:sz w:val="20"/>
                <w:szCs w:val="20"/>
              </w:rPr>
            </w:pPr>
          </w:p>
        </w:tc>
        <w:tc>
          <w:tcPr>
            <w:tcW w:w="1513" w:type="pct"/>
            <w:shd w:val="clear" w:color="auto" w:fill="auto"/>
            <w:vAlign w:val="center"/>
          </w:tcPr>
          <w:p w14:paraId="6E74B6BF"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Grandfathered patients: 4 months</w:t>
            </w:r>
          </w:p>
        </w:tc>
        <w:tc>
          <w:tcPr>
            <w:tcW w:w="1436" w:type="pct"/>
            <w:shd w:val="clear" w:color="auto" w:fill="auto"/>
            <w:vAlign w:val="center"/>
          </w:tcPr>
          <w:p w14:paraId="0E93BC2B"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w:t>
            </w:r>
          </w:p>
        </w:tc>
        <w:tc>
          <w:tcPr>
            <w:tcW w:w="1436" w:type="pct"/>
            <w:vAlign w:val="center"/>
          </w:tcPr>
          <w:p w14:paraId="54A67DFC"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Unchanged</w:t>
            </w:r>
          </w:p>
        </w:tc>
      </w:tr>
      <w:tr w:rsidR="00837075" w:rsidRPr="00561FF2" w14:paraId="0BE67E42" w14:textId="77777777" w:rsidTr="00A133FD">
        <w:trPr>
          <w:cantSplit/>
        </w:trPr>
        <w:tc>
          <w:tcPr>
            <w:tcW w:w="614" w:type="pct"/>
            <w:shd w:val="clear" w:color="auto" w:fill="auto"/>
            <w:vAlign w:val="center"/>
          </w:tcPr>
          <w:p w14:paraId="23F8F3B3" w14:textId="77777777" w:rsidR="00837075" w:rsidRPr="00561FF2" w:rsidRDefault="00837075" w:rsidP="00837075">
            <w:pPr>
              <w:jc w:val="left"/>
              <w:rPr>
                <w:rFonts w:ascii="Arial Narrow" w:hAnsi="Arial Narrow"/>
                <w:bCs/>
                <w:sz w:val="20"/>
                <w:szCs w:val="20"/>
              </w:rPr>
            </w:pPr>
            <w:r w:rsidRPr="00561FF2">
              <w:rPr>
                <w:rFonts w:ascii="Arial Narrow" w:hAnsi="Arial Narrow"/>
                <w:bCs/>
                <w:snapToGrid w:val="0"/>
                <w:sz w:val="20"/>
                <w:szCs w:val="20"/>
              </w:rPr>
              <w:t>MBS 55145</w:t>
            </w:r>
            <w:r w:rsidRPr="00561FF2">
              <w:rPr>
                <w:rFonts w:ascii="Arial Narrow" w:hAnsi="Arial Narrow"/>
                <w:bCs/>
                <w:sz w:val="20"/>
                <w:szCs w:val="20"/>
              </w:rPr>
              <w:t xml:space="preserve"> </w:t>
            </w:r>
          </w:p>
        </w:tc>
        <w:tc>
          <w:tcPr>
            <w:tcW w:w="1513" w:type="pct"/>
            <w:shd w:val="clear" w:color="auto" w:fill="auto"/>
            <w:vAlign w:val="center"/>
          </w:tcPr>
          <w:p w14:paraId="20A9DBF7" w14:textId="18A99F7C" w:rsidR="00837075" w:rsidRPr="00561FF2" w:rsidRDefault="00837075" w:rsidP="00837075">
            <w:pPr>
              <w:jc w:val="left"/>
              <w:rPr>
                <w:rFonts w:ascii="Arial Narrow" w:hAnsi="Arial Narrow"/>
                <w:sz w:val="20"/>
                <w:szCs w:val="20"/>
              </w:rPr>
            </w:pPr>
            <w:r w:rsidRPr="00561FF2">
              <w:rPr>
                <w:rFonts w:ascii="Arial Narrow" w:hAnsi="Arial Narrow"/>
                <w:snapToGrid w:val="0"/>
                <w:sz w:val="20"/>
                <w:szCs w:val="20"/>
              </w:rPr>
              <w:t>$496 ($513.85) Pharmacological stress ECG</w:t>
            </w:r>
          </w:p>
        </w:tc>
        <w:tc>
          <w:tcPr>
            <w:tcW w:w="1436" w:type="pct"/>
            <w:shd w:val="clear" w:color="auto" w:fill="auto"/>
            <w:vAlign w:val="center"/>
          </w:tcPr>
          <w:p w14:paraId="2F686694"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 xml:space="preserve">MBS item 55145 cannot be co-claimed with MBS item 11729 </w:t>
            </w:r>
          </w:p>
        </w:tc>
        <w:tc>
          <w:tcPr>
            <w:tcW w:w="1436" w:type="pct"/>
            <w:vAlign w:val="center"/>
          </w:tcPr>
          <w:p w14:paraId="5333F90E" w14:textId="77777777"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Kept MBS item 55145, removed MBS item 11729</w:t>
            </w:r>
          </w:p>
        </w:tc>
      </w:tr>
      <w:tr w:rsidR="00837075" w:rsidRPr="00561FF2" w14:paraId="2D1C1989" w14:textId="77777777" w:rsidTr="00A133FD">
        <w:trPr>
          <w:cantSplit/>
        </w:trPr>
        <w:tc>
          <w:tcPr>
            <w:tcW w:w="614" w:type="pct"/>
            <w:shd w:val="clear" w:color="auto" w:fill="auto"/>
            <w:vAlign w:val="center"/>
          </w:tcPr>
          <w:p w14:paraId="24865A3B" w14:textId="77777777" w:rsidR="00837075" w:rsidRPr="00561FF2" w:rsidRDefault="00837075" w:rsidP="00837075">
            <w:pPr>
              <w:jc w:val="left"/>
              <w:rPr>
                <w:rFonts w:ascii="Arial Narrow" w:hAnsi="Arial Narrow"/>
                <w:bCs/>
                <w:sz w:val="20"/>
                <w:szCs w:val="20"/>
              </w:rPr>
            </w:pPr>
            <w:r w:rsidRPr="00561FF2">
              <w:rPr>
                <w:rFonts w:ascii="Arial Narrow" w:hAnsi="Arial Narrow"/>
                <w:bCs/>
                <w:snapToGrid w:val="0"/>
                <w:sz w:val="20"/>
                <w:szCs w:val="20"/>
              </w:rPr>
              <w:t>MBS 11729</w:t>
            </w:r>
            <w:r w:rsidRPr="00561FF2">
              <w:rPr>
                <w:rFonts w:ascii="Arial Narrow" w:hAnsi="Arial Narrow"/>
                <w:bCs/>
                <w:sz w:val="20"/>
                <w:szCs w:val="20"/>
              </w:rPr>
              <w:t xml:space="preserve"> </w:t>
            </w:r>
          </w:p>
        </w:tc>
        <w:tc>
          <w:tcPr>
            <w:tcW w:w="1513" w:type="pct"/>
            <w:shd w:val="clear" w:color="auto" w:fill="auto"/>
            <w:vAlign w:val="center"/>
          </w:tcPr>
          <w:p w14:paraId="5140625F" w14:textId="3E5821DA" w:rsidR="00837075" w:rsidRPr="00561FF2" w:rsidRDefault="00837075" w:rsidP="00837075">
            <w:pPr>
              <w:jc w:val="left"/>
              <w:rPr>
                <w:rFonts w:ascii="Arial Narrow" w:hAnsi="Arial Narrow"/>
                <w:sz w:val="20"/>
                <w:szCs w:val="20"/>
              </w:rPr>
            </w:pPr>
            <w:r w:rsidRPr="00561FF2">
              <w:rPr>
                <w:rFonts w:ascii="Arial Narrow" w:hAnsi="Arial Narrow"/>
                <w:snapToGrid w:val="0"/>
                <w:sz w:val="20"/>
                <w:szCs w:val="20"/>
              </w:rPr>
              <w:t>$160.90 ($166.60) Multi-channel ECG</w:t>
            </w:r>
          </w:p>
        </w:tc>
        <w:tc>
          <w:tcPr>
            <w:tcW w:w="1436" w:type="pct"/>
            <w:vAlign w:val="center"/>
          </w:tcPr>
          <w:p w14:paraId="2E0AC7A8" w14:textId="77777777" w:rsidR="00837075" w:rsidRPr="00561FF2" w:rsidRDefault="00837075" w:rsidP="00837075">
            <w:pPr>
              <w:jc w:val="left"/>
              <w:rPr>
                <w:rFonts w:ascii="Arial Narrow" w:hAnsi="Arial Narrow"/>
                <w:sz w:val="20"/>
                <w:szCs w:val="20"/>
              </w:rPr>
            </w:pPr>
            <w:r w:rsidRPr="00561FF2">
              <w:rPr>
                <w:rFonts w:ascii="Arial Narrow" w:hAnsi="Arial Narrow"/>
                <w:sz w:val="20"/>
                <w:szCs w:val="20"/>
              </w:rPr>
              <w:t xml:space="preserve">Inappropriate if MBS item 55145 was claimed already. </w:t>
            </w:r>
          </w:p>
        </w:tc>
        <w:tc>
          <w:tcPr>
            <w:tcW w:w="1436" w:type="pct"/>
            <w:vAlign w:val="center"/>
          </w:tcPr>
          <w:p w14:paraId="6E9A3625" w14:textId="77777777" w:rsidR="00837075" w:rsidRPr="00561FF2" w:rsidRDefault="00837075" w:rsidP="00837075">
            <w:pPr>
              <w:jc w:val="left"/>
              <w:rPr>
                <w:rFonts w:ascii="Arial Narrow" w:hAnsi="Arial Narrow"/>
                <w:sz w:val="20"/>
                <w:szCs w:val="20"/>
              </w:rPr>
            </w:pPr>
            <w:r w:rsidRPr="00561FF2">
              <w:rPr>
                <w:rFonts w:ascii="Arial Narrow" w:eastAsia="Arial Narrow" w:hAnsi="Arial Narrow" w:cs="Arial Narrow"/>
                <w:sz w:val="20"/>
                <w:szCs w:val="20"/>
              </w:rPr>
              <w:t>Removed MBS item 11729 as above</w:t>
            </w:r>
          </w:p>
        </w:tc>
      </w:tr>
      <w:tr w:rsidR="00837075" w:rsidRPr="00561FF2" w14:paraId="44C8430B" w14:textId="77777777" w:rsidTr="00A133FD">
        <w:trPr>
          <w:cantSplit/>
        </w:trPr>
        <w:tc>
          <w:tcPr>
            <w:tcW w:w="614" w:type="pct"/>
            <w:shd w:val="clear" w:color="auto" w:fill="auto"/>
            <w:vAlign w:val="center"/>
          </w:tcPr>
          <w:p w14:paraId="44C480DC" w14:textId="03534E9F" w:rsidR="00837075" w:rsidRPr="00561FF2" w:rsidRDefault="00837075" w:rsidP="00837075">
            <w:pPr>
              <w:jc w:val="left"/>
              <w:rPr>
                <w:rFonts w:ascii="Arial Narrow" w:hAnsi="Arial Narrow"/>
                <w:bCs/>
                <w:snapToGrid w:val="0"/>
                <w:sz w:val="20"/>
                <w:szCs w:val="20"/>
              </w:rPr>
            </w:pPr>
            <w:r w:rsidRPr="00561FF2">
              <w:rPr>
                <w:rFonts w:ascii="Arial Narrow" w:hAnsi="Arial Narrow"/>
                <w:bCs/>
                <w:snapToGrid w:val="0"/>
                <w:sz w:val="20"/>
                <w:szCs w:val="20"/>
              </w:rPr>
              <w:t>DPMQ of cabozantinib</w:t>
            </w:r>
          </w:p>
        </w:tc>
        <w:tc>
          <w:tcPr>
            <w:tcW w:w="1513" w:type="pct"/>
            <w:shd w:val="clear" w:color="auto" w:fill="auto"/>
            <w:vAlign w:val="center"/>
          </w:tcPr>
          <w:p w14:paraId="4190427A" w14:textId="1D155857" w:rsidR="00837075" w:rsidRPr="00561FF2" w:rsidRDefault="00837075" w:rsidP="00837075">
            <w:pPr>
              <w:jc w:val="left"/>
              <w:rPr>
                <w:rFonts w:ascii="Arial Narrow" w:hAnsi="Arial Narrow"/>
                <w:snapToGrid w:val="0"/>
                <w:sz w:val="20"/>
                <w:szCs w:val="20"/>
              </w:rPr>
            </w:pPr>
            <w:r w:rsidRPr="00561FF2">
              <w:rPr>
                <w:rFonts w:ascii="Arial Narrow" w:hAnsi="Arial Narrow"/>
                <w:snapToGrid w:val="0"/>
                <w:sz w:val="20"/>
                <w:szCs w:val="20"/>
              </w:rPr>
              <w:t>$</w:t>
            </w:r>
            <w:r w:rsidR="00E447F1" w:rsidRPr="000661FF">
              <w:rPr>
                <w:rFonts w:ascii="Arial Narrow" w:hAnsi="Arial Narrow"/>
                <w:snapToGrid w:val="0"/>
                <w:color w:val="000000"/>
                <w:spacing w:val="51"/>
                <w:sz w:val="20"/>
                <w:szCs w:val="20"/>
                <w:shd w:val="solid" w:color="000000" w:fill="000000"/>
                <w:fitText w:val="325" w:id="-961840639"/>
                <w14:textFill>
                  <w14:solidFill>
                    <w14:srgbClr w14:val="000000">
                      <w14:alpha w14:val="100000"/>
                    </w14:srgbClr>
                  </w14:solidFill>
                </w14:textFill>
              </w:rPr>
              <w:t>|||</w:t>
            </w:r>
            <w:r w:rsidR="00E447F1" w:rsidRPr="000661FF">
              <w:rPr>
                <w:rFonts w:ascii="Arial Narrow" w:hAnsi="Arial Narrow"/>
                <w:snapToGrid w:val="0"/>
                <w:color w:val="000000"/>
                <w:spacing w:val="2"/>
                <w:sz w:val="20"/>
                <w:szCs w:val="20"/>
                <w:shd w:val="solid" w:color="000000" w:fill="000000"/>
                <w:fitText w:val="325" w:id="-961840639"/>
                <w14:textFill>
                  <w14:solidFill>
                    <w14:srgbClr w14:val="000000">
                      <w14:alpha w14:val="100000"/>
                    </w14:srgbClr>
                  </w14:solidFill>
                </w14:textFill>
              </w:rPr>
              <w:t>|</w:t>
            </w:r>
          </w:p>
        </w:tc>
        <w:tc>
          <w:tcPr>
            <w:tcW w:w="1436" w:type="pct"/>
            <w:vAlign w:val="center"/>
          </w:tcPr>
          <w:p w14:paraId="565311E5" w14:textId="7BAE0161" w:rsidR="00837075" w:rsidRPr="00561FF2" w:rsidRDefault="00837075" w:rsidP="00837075">
            <w:pPr>
              <w:jc w:val="left"/>
              <w:rPr>
                <w:rFonts w:ascii="Arial Narrow" w:hAnsi="Arial Narrow"/>
                <w:sz w:val="20"/>
                <w:szCs w:val="20"/>
              </w:rPr>
            </w:pPr>
            <w:r w:rsidRPr="00561FF2">
              <w:rPr>
                <w:rFonts w:ascii="Arial Narrow" w:hAnsi="Arial Narrow"/>
                <w:sz w:val="20"/>
                <w:szCs w:val="20"/>
              </w:rPr>
              <w:t>-</w:t>
            </w:r>
          </w:p>
        </w:tc>
        <w:tc>
          <w:tcPr>
            <w:tcW w:w="1436" w:type="pct"/>
            <w:vAlign w:val="center"/>
          </w:tcPr>
          <w:p w14:paraId="4BE25449" w14:textId="73346D82" w:rsidR="00837075" w:rsidRPr="00561FF2" w:rsidRDefault="00837075" w:rsidP="00837075">
            <w:pPr>
              <w:jc w:val="left"/>
              <w:rPr>
                <w:rFonts w:ascii="Arial Narrow" w:eastAsia="Arial Narrow" w:hAnsi="Arial Narrow" w:cs="Arial Narrow"/>
                <w:sz w:val="20"/>
                <w:szCs w:val="20"/>
              </w:rPr>
            </w:pPr>
            <w:r w:rsidRPr="00561FF2">
              <w:rPr>
                <w:rFonts w:ascii="Arial Narrow" w:eastAsia="Arial Narrow" w:hAnsi="Arial Narrow" w:cs="Arial Narrow"/>
                <w:sz w:val="20"/>
                <w:szCs w:val="20"/>
              </w:rPr>
              <w:t>$</w:t>
            </w:r>
            <w:r w:rsidR="00E447F1" w:rsidRPr="00E447F1">
              <w:rPr>
                <w:rFonts w:ascii="Arial Narrow" w:eastAsia="Arial Narrow" w:hAnsi="Arial Narrow" w:cs="Arial Narrow"/>
                <w:color w:val="000000"/>
                <w:spacing w:val="51"/>
                <w:sz w:val="20"/>
                <w:szCs w:val="20"/>
                <w:shd w:val="solid" w:color="000000" w:fill="000000"/>
                <w:fitText w:val="325" w:id="-961840638"/>
                <w14:textFill>
                  <w14:solidFill>
                    <w14:srgbClr w14:val="000000">
                      <w14:alpha w14:val="100000"/>
                    </w14:srgbClr>
                  </w14:solidFill>
                </w14:textFill>
              </w:rPr>
              <w:t>|||</w:t>
            </w:r>
            <w:r w:rsidR="00E447F1" w:rsidRPr="00E447F1">
              <w:rPr>
                <w:rFonts w:ascii="Arial Narrow" w:eastAsia="Arial Narrow" w:hAnsi="Arial Narrow" w:cs="Arial Narrow"/>
                <w:color w:val="000000"/>
                <w:spacing w:val="2"/>
                <w:sz w:val="20"/>
                <w:szCs w:val="20"/>
                <w:shd w:val="solid" w:color="000000" w:fill="000000"/>
                <w:fitText w:val="325" w:id="-961840638"/>
                <w14:textFill>
                  <w14:solidFill>
                    <w14:srgbClr w14:val="000000">
                      <w14:alpha w14:val="100000"/>
                    </w14:srgbClr>
                  </w14:solidFill>
                </w14:textFill>
              </w:rPr>
              <w:t>|</w:t>
            </w:r>
          </w:p>
        </w:tc>
      </w:tr>
    </w:tbl>
    <w:p w14:paraId="11C9219F" w14:textId="36931C83" w:rsidR="00837075" w:rsidRPr="00561FF2" w:rsidRDefault="00837075" w:rsidP="00D677E1">
      <w:pPr>
        <w:pStyle w:val="TableFootnotetext"/>
        <w:rPr>
          <w:rFonts w:ascii="Arial Narrow" w:hAnsi="Arial Narrow"/>
          <w:sz w:val="18"/>
          <w:szCs w:val="18"/>
        </w:rPr>
      </w:pPr>
      <w:r w:rsidRPr="00561FF2">
        <w:rPr>
          <w:rFonts w:ascii="Arial Narrow" w:hAnsi="Arial Narrow"/>
          <w:sz w:val="18"/>
          <w:szCs w:val="18"/>
        </w:rPr>
        <w:t>Source: Table 4-1, pp27-28 of the March 2024 early re-entry resubmission</w:t>
      </w:r>
    </w:p>
    <w:p w14:paraId="5C4DE9F4" w14:textId="7B66A161" w:rsidR="00837075" w:rsidRDefault="00837075" w:rsidP="00837075">
      <w:pPr>
        <w:spacing w:after="120"/>
        <w:contextualSpacing/>
        <w:rPr>
          <w:rFonts w:ascii="Arial Narrow" w:hAnsi="Arial Narrow"/>
          <w:snapToGrid w:val="0"/>
          <w:sz w:val="18"/>
          <w:szCs w:val="18"/>
        </w:rPr>
      </w:pPr>
      <w:r w:rsidRPr="00561FF2">
        <w:rPr>
          <w:rFonts w:ascii="Arial Narrow" w:hAnsi="Arial Narrow"/>
          <w:snapToGrid w:val="0"/>
          <w:sz w:val="18"/>
          <w:szCs w:val="18"/>
        </w:rPr>
        <w:t>1L = first-line; 2L = second-line; AIHW = Australian Institute of Health and Welfare; DTC = differentiated thyroid cancer; ECG = electrocardiogram; MBS = Medicare Benefits Schedule; RAI = radioactive iodine; RAI-R = radioactive iodine-refractory; TKI = tyrosine kinase inhibitor.</w:t>
      </w:r>
    </w:p>
    <w:p w14:paraId="6829F4AA" w14:textId="77777777" w:rsidR="00ED5B4F" w:rsidRPr="00F9590B" w:rsidRDefault="00ED5B4F" w:rsidP="00ED5B4F">
      <w:pPr>
        <w:spacing w:after="120"/>
        <w:contextualSpacing/>
        <w:rPr>
          <w:rFonts w:ascii="Arial Narrow" w:hAnsi="Arial Narrow"/>
          <w:i/>
          <w:iCs/>
          <w:snapToGrid w:val="0"/>
          <w:sz w:val="18"/>
          <w:szCs w:val="18"/>
        </w:rPr>
      </w:pPr>
      <w:r w:rsidRPr="00F9590B">
        <w:rPr>
          <w:rFonts w:ascii="Arial Narrow" w:hAnsi="Arial Narrow"/>
          <w:i/>
          <w:iCs/>
          <w:snapToGrid w:val="0"/>
          <w:sz w:val="18"/>
          <w:szCs w:val="18"/>
        </w:rPr>
        <w:t>The redacted values correspond to the following ranges:</w:t>
      </w:r>
    </w:p>
    <w:p w14:paraId="2C9BF979" w14:textId="77777777" w:rsidR="00ED5B4F" w:rsidRPr="00F9590B" w:rsidRDefault="00ED5B4F" w:rsidP="00ED5B4F">
      <w:pPr>
        <w:spacing w:after="120"/>
        <w:contextualSpacing/>
        <w:rPr>
          <w:rFonts w:ascii="Arial Narrow" w:hAnsi="Arial Narrow"/>
          <w:i/>
          <w:iCs/>
          <w:snapToGrid w:val="0"/>
          <w:sz w:val="18"/>
          <w:szCs w:val="18"/>
        </w:rPr>
      </w:pPr>
      <w:r w:rsidRPr="00F9590B">
        <w:rPr>
          <w:rFonts w:ascii="Arial Narrow" w:hAnsi="Arial Narrow"/>
          <w:i/>
          <w:iCs/>
          <w:snapToGrid w:val="0"/>
          <w:sz w:val="18"/>
          <w:szCs w:val="18"/>
          <w:vertAlign w:val="superscript"/>
        </w:rPr>
        <w:t>1</w:t>
      </w:r>
      <w:r w:rsidRPr="00F9590B">
        <w:rPr>
          <w:rFonts w:ascii="Arial Narrow" w:hAnsi="Arial Narrow"/>
          <w:i/>
          <w:iCs/>
          <w:snapToGrid w:val="0"/>
          <w:sz w:val="18"/>
          <w:szCs w:val="18"/>
        </w:rPr>
        <w:t xml:space="preserve"> &lt; 500</w:t>
      </w:r>
    </w:p>
    <w:p w14:paraId="71ED586A" w14:textId="77777777" w:rsidR="00ED5B4F" w:rsidRPr="00561FF2" w:rsidRDefault="00ED5B4F" w:rsidP="00837075">
      <w:pPr>
        <w:spacing w:after="120"/>
        <w:contextualSpacing/>
        <w:rPr>
          <w:rFonts w:ascii="Arial Narrow" w:hAnsi="Arial Narrow"/>
          <w:snapToGrid w:val="0"/>
          <w:sz w:val="18"/>
          <w:szCs w:val="18"/>
        </w:rPr>
      </w:pPr>
    </w:p>
    <w:p w14:paraId="1376C91A" w14:textId="716F10DC" w:rsidR="00D677E1" w:rsidRPr="00561FF2" w:rsidRDefault="00D677E1" w:rsidP="00A133FD">
      <w:pPr>
        <w:pStyle w:val="3-BodyText"/>
        <w:ind w:left="720"/>
        <w:rPr>
          <w:rFonts w:cstheme="minorHAnsi"/>
          <w:szCs w:val="24"/>
        </w:rPr>
      </w:pPr>
      <w:r w:rsidRPr="00561FF2">
        <w:rPr>
          <w:rFonts w:cstheme="minorHAnsi"/>
          <w:szCs w:val="24"/>
        </w:rPr>
        <w:fldChar w:fldCharType="begin" w:fldLock="1"/>
      </w:r>
      <w:r w:rsidRPr="00561FF2">
        <w:rPr>
          <w:rFonts w:cstheme="minorHAnsi"/>
          <w:szCs w:val="24"/>
        </w:rPr>
        <w:instrText xml:space="preserve"> REF _Ref157505572 \h  \* MERGEFORMAT </w:instrText>
      </w:r>
      <w:r w:rsidRPr="00561FF2">
        <w:rPr>
          <w:rFonts w:cstheme="minorHAnsi"/>
          <w:szCs w:val="24"/>
        </w:rPr>
      </w:r>
      <w:r w:rsidRPr="00561FF2">
        <w:rPr>
          <w:rFonts w:cstheme="minorHAnsi"/>
          <w:szCs w:val="24"/>
        </w:rPr>
        <w:fldChar w:fldCharType="separate"/>
      </w:r>
      <w:r w:rsidR="00A133FD" w:rsidRPr="00561FF2">
        <w:rPr>
          <w:rFonts w:cstheme="minorHAnsi"/>
          <w:szCs w:val="24"/>
        </w:rPr>
        <w:t>Table 5</w:t>
      </w:r>
      <w:r w:rsidRPr="00561FF2">
        <w:rPr>
          <w:rFonts w:cstheme="minorHAnsi"/>
          <w:szCs w:val="24"/>
        </w:rPr>
        <w:fldChar w:fldCharType="end"/>
      </w:r>
      <w:r w:rsidRPr="00561FF2">
        <w:rPr>
          <w:rFonts w:cstheme="minorHAnsi"/>
          <w:szCs w:val="24"/>
        </w:rPr>
        <w:t xml:space="preserve"> presents the revised utilisation and financial estimates and provides a comparison with the </w:t>
      </w:r>
      <w:r w:rsidR="00837075" w:rsidRPr="00561FF2">
        <w:rPr>
          <w:rFonts w:cstheme="minorHAnsi"/>
          <w:szCs w:val="24"/>
        </w:rPr>
        <w:t xml:space="preserve">November </w:t>
      </w:r>
      <w:r w:rsidRPr="00561FF2">
        <w:rPr>
          <w:rFonts w:cstheme="minorHAnsi"/>
          <w:szCs w:val="24"/>
        </w:rPr>
        <w:t>2023 results.</w:t>
      </w:r>
    </w:p>
    <w:p w14:paraId="0C0AE81E" w14:textId="669FF432" w:rsidR="00D677E1" w:rsidRPr="00561FF2" w:rsidRDefault="00D677E1" w:rsidP="00D677E1">
      <w:pPr>
        <w:pStyle w:val="Caption"/>
        <w:keepNext/>
        <w:keepLines/>
        <w:spacing w:after="0"/>
        <w:rPr>
          <w:rFonts w:ascii="Arial Narrow" w:hAnsi="Arial Narrow" w:cstheme="minorHAnsi"/>
          <w:b/>
          <w:bCs/>
          <w:i w:val="0"/>
          <w:iCs w:val="0"/>
          <w:color w:val="auto"/>
          <w:sz w:val="20"/>
          <w:szCs w:val="20"/>
        </w:rPr>
      </w:pPr>
      <w:bookmarkStart w:id="8" w:name="_Ref157505572"/>
      <w:r w:rsidRPr="00561FF2">
        <w:rPr>
          <w:rFonts w:ascii="Arial Narrow" w:hAnsi="Arial Narrow"/>
          <w:b/>
          <w:bCs/>
          <w:i w:val="0"/>
          <w:iCs w:val="0"/>
          <w:color w:val="auto"/>
          <w:sz w:val="20"/>
          <w:szCs w:val="20"/>
        </w:rPr>
        <w:lastRenderedPageBreak/>
        <w:t xml:space="preserve">Table </w:t>
      </w:r>
      <w:r w:rsidRPr="00561FF2">
        <w:rPr>
          <w:rFonts w:ascii="Arial Narrow" w:hAnsi="Arial Narrow"/>
          <w:b/>
          <w:bCs/>
          <w:i w:val="0"/>
          <w:iCs w:val="0"/>
          <w:color w:val="auto"/>
          <w:sz w:val="20"/>
          <w:szCs w:val="20"/>
        </w:rPr>
        <w:fldChar w:fldCharType="begin" w:fldLock="1"/>
      </w:r>
      <w:r w:rsidRPr="00561FF2">
        <w:rPr>
          <w:rFonts w:ascii="Arial Narrow" w:hAnsi="Arial Narrow"/>
          <w:b/>
          <w:bCs/>
          <w:i w:val="0"/>
          <w:iCs w:val="0"/>
          <w:color w:val="auto"/>
          <w:sz w:val="20"/>
          <w:szCs w:val="20"/>
        </w:rPr>
        <w:instrText xml:space="preserve"> SEQ Table \* ARABIC </w:instrText>
      </w:r>
      <w:r w:rsidRPr="00561FF2">
        <w:rPr>
          <w:rFonts w:ascii="Arial Narrow" w:hAnsi="Arial Narrow"/>
          <w:b/>
          <w:bCs/>
          <w:i w:val="0"/>
          <w:iCs w:val="0"/>
          <w:color w:val="auto"/>
          <w:sz w:val="20"/>
          <w:szCs w:val="20"/>
        </w:rPr>
        <w:fldChar w:fldCharType="separate"/>
      </w:r>
      <w:r w:rsidR="00A133FD" w:rsidRPr="00A97704">
        <w:rPr>
          <w:rFonts w:ascii="Arial Narrow" w:hAnsi="Arial Narrow"/>
          <w:b/>
          <w:bCs/>
          <w:i w:val="0"/>
          <w:iCs w:val="0"/>
          <w:color w:val="auto"/>
          <w:sz w:val="20"/>
          <w:szCs w:val="20"/>
        </w:rPr>
        <w:t>5</w:t>
      </w:r>
      <w:r w:rsidRPr="00561FF2">
        <w:rPr>
          <w:rFonts w:ascii="Arial Narrow" w:hAnsi="Arial Narrow"/>
          <w:b/>
          <w:bCs/>
          <w:i w:val="0"/>
          <w:iCs w:val="0"/>
          <w:color w:val="auto"/>
          <w:sz w:val="20"/>
          <w:szCs w:val="20"/>
        </w:rPr>
        <w:fldChar w:fldCharType="end"/>
      </w:r>
      <w:bookmarkEnd w:id="8"/>
      <w:r w:rsidRPr="00561FF2">
        <w:rPr>
          <w:rFonts w:ascii="Arial Narrow" w:hAnsi="Arial Narrow"/>
          <w:b/>
          <w:bCs/>
          <w:i w:val="0"/>
          <w:iCs w:val="0"/>
          <w:color w:val="auto"/>
          <w:sz w:val="20"/>
          <w:szCs w:val="20"/>
        </w:rPr>
        <w:t>: Estimated utilisation and financial impact estimates</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5"/>
        <w:gridCol w:w="1080"/>
        <w:gridCol w:w="1080"/>
        <w:gridCol w:w="1080"/>
        <w:gridCol w:w="1080"/>
        <w:gridCol w:w="1080"/>
        <w:gridCol w:w="1080"/>
      </w:tblGrid>
      <w:tr w:rsidR="00D677E1" w:rsidRPr="00561FF2" w14:paraId="1135536E" w14:textId="77777777" w:rsidTr="00837075">
        <w:tc>
          <w:tcPr>
            <w:tcW w:w="2635" w:type="dxa"/>
            <w:tcBorders>
              <w:top w:val="single" w:sz="4" w:space="0" w:color="auto"/>
              <w:left w:val="single" w:sz="4" w:space="0" w:color="auto"/>
              <w:bottom w:val="single" w:sz="4" w:space="0" w:color="auto"/>
              <w:right w:val="single" w:sz="4" w:space="0" w:color="auto"/>
            </w:tcBorders>
            <w:vAlign w:val="center"/>
            <w:hideMark/>
          </w:tcPr>
          <w:p w14:paraId="1FD22801" w14:textId="77777777" w:rsidR="00D677E1" w:rsidRPr="00561FF2" w:rsidRDefault="00D677E1" w:rsidP="00D677E1">
            <w:pPr>
              <w:pStyle w:val="2-SectionHeading"/>
              <w:keepLines/>
              <w:numPr>
                <w:ilvl w:val="0"/>
                <w:numId w:val="0"/>
              </w:numPr>
              <w:spacing w:before="0" w:after="0"/>
              <w:rPr>
                <w:rFonts w:ascii="Arial Narrow" w:eastAsiaTheme="majorEastAsia" w:hAnsi="Arial Narrow"/>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4E09388"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1</w:t>
            </w:r>
          </w:p>
          <w:p w14:paraId="5C5579F7" w14:textId="0477963F"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2024</w:t>
            </w:r>
          </w:p>
        </w:tc>
        <w:tc>
          <w:tcPr>
            <w:tcW w:w="1080" w:type="dxa"/>
            <w:tcBorders>
              <w:top w:val="single" w:sz="4" w:space="0" w:color="auto"/>
              <w:left w:val="single" w:sz="4" w:space="0" w:color="auto"/>
              <w:bottom w:val="single" w:sz="4" w:space="0" w:color="auto"/>
              <w:right w:val="single" w:sz="4" w:space="0" w:color="auto"/>
            </w:tcBorders>
            <w:vAlign w:val="center"/>
          </w:tcPr>
          <w:p w14:paraId="7012679C"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2</w:t>
            </w:r>
          </w:p>
          <w:p w14:paraId="5634DD22" w14:textId="680D69C9"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2025</w:t>
            </w:r>
          </w:p>
        </w:tc>
        <w:tc>
          <w:tcPr>
            <w:tcW w:w="1080" w:type="dxa"/>
            <w:tcBorders>
              <w:top w:val="single" w:sz="4" w:space="0" w:color="auto"/>
              <w:left w:val="single" w:sz="4" w:space="0" w:color="auto"/>
              <w:bottom w:val="single" w:sz="4" w:space="0" w:color="auto"/>
              <w:right w:val="single" w:sz="4" w:space="0" w:color="auto"/>
            </w:tcBorders>
            <w:vAlign w:val="center"/>
          </w:tcPr>
          <w:p w14:paraId="4E1E8AA2"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3</w:t>
            </w:r>
          </w:p>
          <w:p w14:paraId="45144A7A" w14:textId="137BEBC5"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2026</w:t>
            </w:r>
          </w:p>
        </w:tc>
        <w:tc>
          <w:tcPr>
            <w:tcW w:w="1080" w:type="dxa"/>
            <w:tcBorders>
              <w:top w:val="single" w:sz="4" w:space="0" w:color="auto"/>
              <w:left w:val="single" w:sz="4" w:space="0" w:color="auto"/>
              <w:bottom w:val="single" w:sz="4" w:space="0" w:color="auto"/>
              <w:right w:val="single" w:sz="4" w:space="0" w:color="auto"/>
            </w:tcBorders>
            <w:vAlign w:val="center"/>
          </w:tcPr>
          <w:p w14:paraId="5D353DB1"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4</w:t>
            </w:r>
          </w:p>
          <w:p w14:paraId="3679FE17" w14:textId="12611F30"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2027</w:t>
            </w:r>
          </w:p>
        </w:tc>
        <w:tc>
          <w:tcPr>
            <w:tcW w:w="1080" w:type="dxa"/>
            <w:tcBorders>
              <w:top w:val="single" w:sz="4" w:space="0" w:color="auto"/>
              <w:left w:val="single" w:sz="4" w:space="0" w:color="auto"/>
              <w:bottom w:val="single" w:sz="4" w:space="0" w:color="auto"/>
              <w:right w:val="single" w:sz="4" w:space="0" w:color="auto"/>
            </w:tcBorders>
            <w:vAlign w:val="center"/>
          </w:tcPr>
          <w:p w14:paraId="283AEF9F"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5</w:t>
            </w:r>
          </w:p>
          <w:p w14:paraId="0115950C" w14:textId="1D9FB4EA"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2028</w:t>
            </w:r>
          </w:p>
        </w:tc>
        <w:tc>
          <w:tcPr>
            <w:tcW w:w="1080" w:type="dxa"/>
            <w:tcBorders>
              <w:top w:val="single" w:sz="4" w:space="0" w:color="auto"/>
              <w:left w:val="single" w:sz="4" w:space="0" w:color="auto"/>
              <w:bottom w:val="single" w:sz="4" w:space="0" w:color="auto"/>
              <w:right w:val="single" w:sz="4" w:space="0" w:color="auto"/>
            </w:tcBorders>
            <w:vAlign w:val="center"/>
          </w:tcPr>
          <w:p w14:paraId="0AD3D7F6" w14:textId="77777777" w:rsidR="00D677E1" w:rsidRPr="00561FF2"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Year 6</w:t>
            </w:r>
          </w:p>
          <w:p w14:paraId="1101E831" w14:textId="164E7F57" w:rsidR="00837075" w:rsidRPr="00561FF2" w:rsidRDefault="00837075" w:rsidP="00D677E1">
            <w:pPr>
              <w:pStyle w:val="2-SectionHeading"/>
              <w:keepLines/>
              <w:numPr>
                <w:ilvl w:val="0"/>
                <w:numId w:val="0"/>
              </w:numPr>
              <w:spacing w:before="0" w:after="0"/>
              <w:jc w:val="center"/>
              <w:rPr>
                <w:rFonts w:ascii="Arial Narrow" w:eastAsiaTheme="majorEastAsia" w:hAnsi="Arial Narrow"/>
                <w:sz w:val="20"/>
                <w:szCs w:val="20"/>
              </w:rPr>
            </w:pPr>
            <w:r w:rsidRPr="00561FF2">
              <w:rPr>
                <w:rFonts w:ascii="Arial Narrow" w:eastAsiaTheme="majorEastAsia" w:hAnsi="Arial Narrow"/>
                <w:sz w:val="20"/>
                <w:szCs w:val="20"/>
              </w:rPr>
              <w:t>2029</w:t>
            </w:r>
          </w:p>
        </w:tc>
      </w:tr>
      <w:tr w:rsidR="006724ED" w:rsidRPr="00561FF2" w14:paraId="4DCE46E0" w14:textId="77777777" w:rsidTr="00837075">
        <w:tc>
          <w:tcPr>
            <w:tcW w:w="9115" w:type="dxa"/>
            <w:gridSpan w:val="7"/>
            <w:tcBorders>
              <w:top w:val="single" w:sz="4" w:space="0" w:color="auto"/>
              <w:left w:val="single" w:sz="4" w:space="0" w:color="auto"/>
              <w:bottom w:val="single" w:sz="4" w:space="0" w:color="auto"/>
              <w:right w:val="single" w:sz="4" w:space="0" w:color="auto"/>
            </w:tcBorders>
            <w:vAlign w:val="center"/>
          </w:tcPr>
          <w:p w14:paraId="5BE3D0CE" w14:textId="7D3A4C8A" w:rsidR="006724ED" w:rsidRPr="00561FF2" w:rsidRDefault="006724ED" w:rsidP="006724ED">
            <w:pPr>
              <w:keepNext/>
              <w:keepLines/>
              <w:jc w:val="left"/>
              <w:rPr>
                <w:rFonts w:ascii="Arial Narrow" w:eastAsiaTheme="majorEastAsia" w:hAnsi="Arial Narrow"/>
                <w:b/>
                <w:color w:val="000000"/>
                <w:sz w:val="20"/>
                <w:szCs w:val="20"/>
              </w:rPr>
            </w:pPr>
            <w:r w:rsidRPr="00561FF2">
              <w:rPr>
                <w:rFonts w:ascii="Arial Narrow" w:eastAsiaTheme="majorEastAsia" w:hAnsi="Arial Narrow"/>
                <w:b/>
                <w:color w:val="000000"/>
                <w:sz w:val="20"/>
                <w:szCs w:val="20"/>
              </w:rPr>
              <w:t>Estimated extent of use</w:t>
            </w:r>
          </w:p>
        </w:tc>
      </w:tr>
      <w:tr w:rsidR="00D677E1" w:rsidRPr="00561FF2" w14:paraId="7C40D7D2"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45CE5C35" w14:textId="783220D6" w:rsidR="00D677E1" w:rsidRPr="00561FF2" w:rsidRDefault="006724ED" w:rsidP="00D677E1">
            <w:pPr>
              <w:keepNext/>
              <w:keepLines/>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 xml:space="preserve">Number of patients </w:t>
            </w:r>
            <w:r w:rsidR="00837075" w:rsidRPr="00561FF2">
              <w:rPr>
                <w:rFonts w:ascii="Arial Narrow" w:eastAsiaTheme="majorEastAsia" w:hAnsi="Arial Narrow" w:cstheme="majorBidi"/>
                <w:bCs/>
                <w:sz w:val="20"/>
                <w:szCs w:val="20"/>
              </w:rPr>
              <w:t>treated</w:t>
            </w:r>
          </w:p>
        </w:tc>
        <w:tc>
          <w:tcPr>
            <w:tcW w:w="1080" w:type="dxa"/>
            <w:tcBorders>
              <w:top w:val="single" w:sz="4" w:space="0" w:color="auto"/>
              <w:left w:val="single" w:sz="4" w:space="0" w:color="auto"/>
              <w:bottom w:val="single" w:sz="4" w:space="0" w:color="auto"/>
              <w:right w:val="single" w:sz="4" w:space="0" w:color="auto"/>
            </w:tcBorders>
            <w:vAlign w:val="center"/>
          </w:tcPr>
          <w:p w14:paraId="18B42E67" w14:textId="1348B8E5" w:rsidR="00D677E1" w:rsidRPr="00561FF2" w:rsidRDefault="00E447F1" w:rsidP="00D677E1">
            <w:pPr>
              <w:keepNext/>
              <w:keepLines/>
              <w:jc w:val="center"/>
              <w:rPr>
                <w:rFonts w:ascii="Arial Narrow" w:eastAsiaTheme="majorEastAsia" w:hAnsi="Arial Narrow" w:cstheme="majorBidi"/>
                <w:bCs/>
                <w:sz w:val="20"/>
                <w:szCs w:val="20"/>
              </w:rPr>
            </w:pPr>
            <w:r w:rsidRPr="00E447F1">
              <w:rPr>
                <w:rFonts w:ascii="Arial Narrow" w:eastAsiaTheme="majorEastAsia" w:hAnsi="Arial Narrow" w:cstheme="majorBidi" w:hint="eastAsia"/>
                <w:bCs/>
                <w:color w:val="000000"/>
                <w:w w:val="22"/>
                <w:sz w:val="20"/>
                <w:szCs w:val="20"/>
                <w:shd w:val="solid" w:color="000000" w:fill="000000"/>
                <w:fitText w:val="100" w:id="-961840637"/>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22"/>
                <w:sz w:val="20"/>
                <w:szCs w:val="20"/>
                <w:shd w:val="solid" w:color="000000" w:fill="000000"/>
                <w:fitText w:val="100" w:id="-961840637"/>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22"/>
                <w:sz w:val="20"/>
                <w:szCs w:val="20"/>
                <w:shd w:val="solid" w:color="000000" w:fill="000000"/>
                <w:fitText w:val="100" w:id="-961840637"/>
                <w14:textFill>
                  <w14:solidFill>
                    <w14:srgbClr w14:val="000000">
                      <w14:alpha w14:val="100000"/>
                    </w14:srgbClr>
                  </w14:solidFill>
                </w14:textFill>
              </w:rPr>
              <w:t xml:space="preserve">　</w:t>
            </w:r>
            <w:r w:rsidR="001E3B38" w:rsidRPr="001007E0">
              <w:rPr>
                <w:rFonts w:ascii="Arial Narrow" w:eastAsiaTheme="majorEastAsia" w:hAnsi="Arial Narrow" w:cstheme="majorBidi"/>
                <w:bCs/>
                <w:sz w:val="20"/>
                <w:szCs w:val="20"/>
                <w:vertAlign w:val="superscript"/>
              </w:rPr>
              <w:t>1</w:t>
            </w:r>
            <w:r w:rsidR="00837075" w:rsidRPr="00561FF2">
              <w:rPr>
                <w:rFonts w:ascii="Arial Narrow" w:eastAsiaTheme="majorEastAsia" w:hAnsi="Arial Narrow" w:cstheme="majorBidi"/>
                <w:bCs/>
                <w:sz w:val="20"/>
                <w:szCs w:val="20"/>
                <w:vertAlign w:val="superscript"/>
              </w:rPr>
              <w:t>a</w:t>
            </w:r>
          </w:p>
        </w:tc>
        <w:tc>
          <w:tcPr>
            <w:tcW w:w="1080" w:type="dxa"/>
            <w:tcBorders>
              <w:top w:val="single" w:sz="4" w:space="0" w:color="auto"/>
              <w:left w:val="single" w:sz="4" w:space="0" w:color="auto"/>
              <w:bottom w:val="single" w:sz="4" w:space="0" w:color="auto"/>
              <w:right w:val="single" w:sz="4" w:space="0" w:color="auto"/>
            </w:tcBorders>
            <w:vAlign w:val="center"/>
          </w:tcPr>
          <w:p w14:paraId="5364F464" w14:textId="6035415A" w:rsidR="00D677E1" w:rsidRPr="001007E0" w:rsidRDefault="00E447F1" w:rsidP="00D677E1">
            <w:pPr>
              <w:keepNext/>
              <w:keepLines/>
              <w:jc w:val="center"/>
              <w:rPr>
                <w:rFonts w:ascii="Arial Narrow" w:eastAsiaTheme="majorEastAsia" w:hAnsi="Arial Narrow" w:cs="Arial"/>
                <w:bCs/>
                <w:color w:val="000000"/>
                <w:sz w:val="20"/>
                <w:szCs w:val="20"/>
                <w:highlight w:val="lightGray"/>
              </w:rPr>
            </w:pPr>
            <w:r w:rsidRPr="00E447F1">
              <w:rPr>
                <w:rFonts w:ascii="Arial Narrow" w:eastAsiaTheme="majorEastAsia" w:hAnsi="Arial Narrow" w:cs="Arial" w:hint="eastAsia"/>
                <w:bCs/>
                <w:color w:val="000000"/>
                <w:w w:val="15"/>
                <w:sz w:val="20"/>
                <w:szCs w:val="20"/>
                <w:shd w:val="solid" w:color="000000" w:fill="000000"/>
                <w:fitText w:val="62" w:id="-961840636"/>
                <w14:textFill>
                  <w14:solidFill>
                    <w14:srgbClr w14:val="000000">
                      <w14:alpha w14:val="100000"/>
                    </w14:srgbClr>
                  </w14:solidFill>
                </w14:textFill>
              </w:rPr>
              <w:t xml:space="preserve">　</w:t>
            </w:r>
            <w:r w:rsidRPr="00E447F1">
              <w:rPr>
                <w:rFonts w:ascii="Arial Narrow" w:eastAsiaTheme="majorEastAsia" w:hAnsi="Arial Narrow" w:cs="Arial"/>
                <w:bCs/>
                <w:color w:val="000000"/>
                <w:w w:val="15"/>
                <w:sz w:val="20"/>
                <w:szCs w:val="20"/>
                <w:shd w:val="solid" w:color="000000" w:fill="000000"/>
                <w:fitText w:val="62" w:id="-961840636"/>
                <w14:textFill>
                  <w14:solidFill>
                    <w14:srgbClr w14:val="000000">
                      <w14:alpha w14:val="100000"/>
                    </w14:srgbClr>
                  </w14:solidFill>
                </w14:textFill>
              </w:rPr>
              <w:t>|</w:t>
            </w:r>
            <w:r w:rsidRPr="00E447F1">
              <w:rPr>
                <w:rFonts w:ascii="Arial Narrow" w:eastAsiaTheme="majorEastAsia" w:hAnsi="Arial Narrow" w:cs="Arial" w:hint="eastAsia"/>
                <w:bCs/>
                <w:color w:val="000000"/>
                <w:spacing w:val="-3"/>
                <w:w w:val="15"/>
                <w:sz w:val="20"/>
                <w:szCs w:val="20"/>
                <w:shd w:val="solid" w:color="000000" w:fill="000000"/>
                <w:fitText w:val="62" w:id="-961840636"/>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63008B66" w14:textId="260D4D15" w:rsidR="00D677E1" w:rsidRPr="001007E0" w:rsidRDefault="00E447F1" w:rsidP="00D677E1">
            <w:pPr>
              <w:keepNext/>
              <w:keepLines/>
              <w:jc w:val="center"/>
              <w:rPr>
                <w:rFonts w:ascii="Arial Narrow" w:eastAsiaTheme="majorEastAsia" w:hAnsi="Arial Narrow"/>
                <w:bCs/>
                <w:color w:val="000000"/>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3" w:id="-961840635"/>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3" w:id="-961840635"/>
                <w14:textFill>
                  <w14:solidFill>
                    <w14:srgbClr w14:val="000000">
                      <w14:alpha w14:val="100000"/>
                    </w14:srgbClr>
                  </w14:solidFill>
                </w14:textFill>
              </w:rPr>
              <w:t>|</w:t>
            </w:r>
            <w:r w:rsidRPr="00E447F1">
              <w:rPr>
                <w:rFonts w:ascii="Arial Narrow" w:eastAsiaTheme="majorEastAsia" w:hAnsi="Arial Narrow" w:hint="eastAsia"/>
                <w:bCs/>
                <w:color w:val="000000"/>
                <w:spacing w:val="-2"/>
                <w:w w:val="15"/>
                <w:sz w:val="20"/>
                <w:szCs w:val="20"/>
                <w:shd w:val="solid" w:color="000000" w:fill="000000"/>
                <w:fitText w:val="63" w:id="-961840635"/>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26F0B78D" w14:textId="29F1E113" w:rsidR="00D677E1" w:rsidRPr="001007E0" w:rsidRDefault="00E447F1" w:rsidP="00D677E1">
            <w:pPr>
              <w:keepNext/>
              <w:keepLines/>
              <w:jc w:val="center"/>
              <w:rPr>
                <w:rFonts w:ascii="Arial Narrow" w:eastAsiaTheme="majorEastAsia" w:hAnsi="Arial Narrow"/>
                <w:bCs/>
                <w:color w:val="000000"/>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3" w:id="-961840634"/>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3" w:id="-961840634"/>
                <w14:textFill>
                  <w14:solidFill>
                    <w14:srgbClr w14:val="000000">
                      <w14:alpha w14:val="100000"/>
                    </w14:srgbClr>
                  </w14:solidFill>
                </w14:textFill>
              </w:rPr>
              <w:t>|</w:t>
            </w:r>
            <w:r w:rsidRPr="00E447F1">
              <w:rPr>
                <w:rFonts w:ascii="Arial Narrow" w:eastAsiaTheme="majorEastAsia" w:hAnsi="Arial Narrow" w:hint="eastAsia"/>
                <w:bCs/>
                <w:color w:val="000000"/>
                <w:spacing w:val="-2"/>
                <w:w w:val="15"/>
                <w:sz w:val="20"/>
                <w:szCs w:val="20"/>
                <w:shd w:val="solid" w:color="000000" w:fill="000000"/>
                <w:fitText w:val="63" w:id="-961840634"/>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7BBE5A7C" w14:textId="18215A07" w:rsidR="00D677E1" w:rsidRPr="001007E0" w:rsidRDefault="00E447F1" w:rsidP="00D677E1">
            <w:pPr>
              <w:keepNext/>
              <w:keepLines/>
              <w:jc w:val="center"/>
              <w:rPr>
                <w:rFonts w:ascii="Arial Narrow" w:eastAsiaTheme="majorEastAsia" w:hAnsi="Arial Narrow"/>
                <w:bCs/>
                <w:color w:val="000000"/>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2" w:id="-961840633"/>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2" w:id="-961840633"/>
                <w14:textFill>
                  <w14:solidFill>
                    <w14:srgbClr w14:val="000000">
                      <w14:alpha w14:val="100000"/>
                    </w14:srgbClr>
                  </w14:solidFill>
                </w14:textFill>
              </w:rPr>
              <w:t>|</w:t>
            </w:r>
            <w:r w:rsidRPr="00E447F1">
              <w:rPr>
                <w:rFonts w:ascii="Arial Narrow" w:eastAsiaTheme="majorEastAsia" w:hAnsi="Arial Narrow" w:hint="eastAsia"/>
                <w:bCs/>
                <w:color w:val="000000"/>
                <w:spacing w:val="-3"/>
                <w:w w:val="15"/>
                <w:sz w:val="20"/>
                <w:szCs w:val="20"/>
                <w:shd w:val="solid" w:color="000000" w:fill="000000"/>
                <w:fitText w:val="62" w:id="-961840633"/>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50A24513" w14:textId="63A2B40E" w:rsidR="00D677E1" w:rsidRPr="001007E0" w:rsidRDefault="00E447F1" w:rsidP="00D677E1">
            <w:pPr>
              <w:keepNext/>
              <w:keepLines/>
              <w:jc w:val="center"/>
              <w:rPr>
                <w:rFonts w:ascii="Arial Narrow" w:eastAsiaTheme="majorEastAsia" w:hAnsi="Arial Narrow"/>
                <w:bCs/>
                <w:color w:val="000000"/>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2" w:id="-961840632"/>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2" w:id="-961840632"/>
                <w14:textFill>
                  <w14:solidFill>
                    <w14:srgbClr w14:val="000000">
                      <w14:alpha w14:val="100000"/>
                    </w14:srgbClr>
                  </w14:solidFill>
                </w14:textFill>
              </w:rPr>
              <w:t>|</w:t>
            </w:r>
            <w:r w:rsidRPr="00E447F1">
              <w:rPr>
                <w:rFonts w:ascii="Arial Narrow" w:eastAsiaTheme="majorEastAsia" w:hAnsi="Arial Narrow" w:hint="eastAsia"/>
                <w:bCs/>
                <w:color w:val="000000"/>
                <w:spacing w:val="-3"/>
                <w:w w:val="15"/>
                <w:sz w:val="20"/>
                <w:szCs w:val="20"/>
                <w:shd w:val="solid" w:color="000000" w:fill="000000"/>
                <w:fitText w:val="62" w:id="-961840632"/>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r>
      <w:tr w:rsidR="00D677E1" w:rsidRPr="00561FF2" w14:paraId="3DB22980"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17CCE934" w14:textId="151ACF1D" w:rsidR="00D677E1" w:rsidRPr="00561FF2" w:rsidRDefault="006724ED">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Number of scripts dispensed</w:t>
            </w:r>
            <w:r w:rsidR="00837075" w:rsidRPr="00561FF2">
              <w:rPr>
                <w:rFonts w:ascii="Arial Narrow" w:eastAsiaTheme="majorEastAsia" w:hAnsi="Arial Narrow" w:cstheme="majorBidi"/>
                <w:bCs/>
                <w:sz w:val="20"/>
                <w:szCs w:val="20"/>
                <w:vertAlign w:val="superscript"/>
              </w:rPr>
              <w:t>b</w:t>
            </w:r>
          </w:p>
        </w:tc>
        <w:tc>
          <w:tcPr>
            <w:tcW w:w="1080" w:type="dxa"/>
            <w:tcBorders>
              <w:top w:val="single" w:sz="4" w:space="0" w:color="auto"/>
              <w:left w:val="single" w:sz="4" w:space="0" w:color="auto"/>
              <w:bottom w:val="single" w:sz="4" w:space="0" w:color="auto"/>
              <w:right w:val="single" w:sz="4" w:space="0" w:color="auto"/>
            </w:tcBorders>
            <w:vAlign w:val="center"/>
          </w:tcPr>
          <w:p w14:paraId="2B1B3F78" w14:textId="07AB4E28" w:rsidR="00D677E1" w:rsidRPr="00561FF2" w:rsidRDefault="00E447F1">
            <w:pPr>
              <w:keepNext/>
              <w:jc w:val="center"/>
              <w:rPr>
                <w:rFonts w:ascii="Arial Narrow" w:eastAsiaTheme="majorEastAsia" w:hAnsi="Arial Narrow" w:cs="Arial"/>
                <w:bCs/>
                <w:sz w:val="20"/>
                <w:szCs w:val="20"/>
              </w:rPr>
            </w:pPr>
            <w:r w:rsidRPr="00E447F1">
              <w:rPr>
                <w:rFonts w:ascii="Arial Narrow" w:eastAsiaTheme="majorEastAsia" w:hAnsi="Arial Narrow" w:cs="Arial" w:hint="eastAsia"/>
                <w:bCs/>
                <w:color w:val="000000"/>
                <w:w w:val="15"/>
                <w:sz w:val="20"/>
                <w:szCs w:val="20"/>
                <w:shd w:val="solid" w:color="000000" w:fill="000000"/>
                <w:fitText w:val="62" w:id="-961840631"/>
                <w14:textFill>
                  <w14:solidFill>
                    <w14:srgbClr w14:val="000000">
                      <w14:alpha w14:val="100000"/>
                    </w14:srgbClr>
                  </w14:solidFill>
                </w14:textFill>
              </w:rPr>
              <w:t xml:space="preserve">　</w:t>
            </w:r>
            <w:r w:rsidRPr="00E447F1">
              <w:rPr>
                <w:rFonts w:ascii="Arial Narrow" w:eastAsiaTheme="majorEastAsia" w:hAnsi="Arial Narrow" w:cs="Arial"/>
                <w:bCs/>
                <w:color w:val="000000"/>
                <w:w w:val="15"/>
                <w:sz w:val="20"/>
                <w:szCs w:val="20"/>
                <w:shd w:val="solid" w:color="000000" w:fill="000000"/>
                <w:fitText w:val="62" w:id="-961840631"/>
                <w14:textFill>
                  <w14:solidFill>
                    <w14:srgbClr w14:val="000000">
                      <w14:alpha w14:val="100000"/>
                    </w14:srgbClr>
                  </w14:solidFill>
                </w14:textFill>
              </w:rPr>
              <w:t>|</w:t>
            </w:r>
            <w:r w:rsidRPr="00E447F1">
              <w:rPr>
                <w:rFonts w:ascii="Arial Narrow" w:eastAsiaTheme="majorEastAsia" w:hAnsi="Arial Narrow" w:cs="Arial" w:hint="eastAsia"/>
                <w:bCs/>
                <w:color w:val="000000"/>
                <w:spacing w:val="-3"/>
                <w:w w:val="15"/>
                <w:sz w:val="20"/>
                <w:szCs w:val="20"/>
                <w:shd w:val="solid" w:color="000000" w:fill="000000"/>
                <w:fitText w:val="62" w:id="-961840631"/>
                <w14:textFill>
                  <w14:solidFill>
                    <w14:srgbClr w14:val="000000">
                      <w14:alpha w14:val="100000"/>
                    </w14:srgbClr>
                  </w14:solidFill>
                </w14:textFill>
              </w:rPr>
              <w:t xml:space="preserve">　</w:t>
            </w:r>
            <w:r w:rsidR="001E3B38" w:rsidRPr="001007E0">
              <w:rPr>
                <w:rFonts w:ascii="Arial Narrow" w:eastAsiaTheme="majorEastAsia" w:hAnsi="Arial Narrow" w:cs="Arial"/>
                <w:bCs/>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14:paraId="4F5E9CB1" w14:textId="7E6966D8" w:rsidR="00D677E1" w:rsidRPr="001007E0" w:rsidRDefault="00E447F1">
            <w:pPr>
              <w:keepNext/>
              <w:jc w:val="center"/>
              <w:rPr>
                <w:rFonts w:ascii="Arial Narrow" w:eastAsiaTheme="majorEastAsia" w:hAnsi="Arial Narrow"/>
                <w:bCs/>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2" w:id="-961840630"/>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2" w:id="-961840630"/>
                <w14:textFill>
                  <w14:solidFill>
                    <w14:srgbClr w14:val="000000">
                      <w14:alpha w14:val="100000"/>
                    </w14:srgbClr>
                  </w14:solidFill>
                </w14:textFill>
              </w:rPr>
              <w:t>|</w:t>
            </w:r>
            <w:r w:rsidRPr="00E447F1">
              <w:rPr>
                <w:rFonts w:ascii="Arial Narrow" w:eastAsiaTheme="majorEastAsia" w:hAnsi="Arial Narrow" w:hint="eastAsia"/>
                <w:bCs/>
                <w:color w:val="000000"/>
                <w:spacing w:val="-3"/>
                <w:w w:val="15"/>
                <w:sz w:val="20"/>
                <w:szCs w:val="20"/>
                <w:shd w:val="solid" w:color="000000" w:fill="000000"/>
                <w:fitText w:val="62" w:id="-961840630"/>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7BAE03E5" w14:textId="62F50F5C" w:rsidR="00D677E1" w:rsidRPr="001007E0" w:rsidRDefault="00E447F1">
            <w:pPr>
              <w:keepNext/>
              <w:jc w:val="center"/>
              <w:rPr>
                <w:rFonts w:ascii="Arial Narrow" w:eastAsiaTheme="majorEastAsia" w:hAnsi="Arial Narrow"/>
                <w:bCs/>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3" w:id="-961840629"/>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3" w:id="-961840629"/>
                <w14:textFill>
                  <w14:solidFill>
                    <w14:srgbClr w14:val="000000">
                      <w14:alpha w14:val="100000"/>
                    </w14:srgbClr>
                  </w14:solidFill>
                </w14:textFill>
              </w:rPr>
              <w:t>|</w:t>
            </w:r>
            <w:r w:rsidRPr="00E447F1">
              <w:rPr>
                <w:rFonts w:ascii="Arial Narrow" w:eastAsiaTheme="majorEastAsia" w:hAnsi="Arial Narrow" w:hint="eastAsia"/>
                <w:bCs/>
                <w:color w:val="000000"/>
                <w:spacing w:val="-2"/>
                <w:w w:val="15"/>
                <w:sz w:val="20"/>
                <w:szCs w:val="20"/>
                <w:shd w:val="solid" w:color="000000" w:fill="000000"/>
                <w:fitText w:val="63" w:id="-961840629"/>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5DD860F9" w14:textId="454897A9" w:rsidR="00D677E1" w:rsidRPr="001007E0" w:rsidRDefault="00E447F1">
            <w:pPr>
              <w:keepNext/>
              <w:jc w:val="center"/>
              <w:rPr>
                <w:rFonts w:ascii="Arial Narrow" w:eastAsiaTheme="majorEastAsia" w:hAnsi="Arial Narrow"/>
                <w:bCs/>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3" w:id="-961840628"/>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3" w:id="-961840628"/>
                <w14:textFill>
                  <w14:solidFill>
                    <w14:srgbClr w14:val="000000">
                      <w14:alpha w14:val="100000"/>
                    </w14:srgbClr>
                  </w14:solidFill>
                </w14:textFill>
              </w:rPr>
              <w:t>|</w:t>
            </w:r>
            <w:r w:rsidRPr="00E447F1">
              <w:rPr>
                <w:rFonts w:ascii="Arial Narrow" w:eastAsiaTheme="majorEastAsia" w:hAnsi="Arial Narrow" w:hint="eastAsia"/>
                <w:bCs/>
                <w:color w:val="000000"/>
                <w:spacing w:val="-2"/>
                <w:w w:val="15"/>
                <w:sz w:val="20"/>
                <w:szCs w:val="20"/>
                <w:shd w:val="solid" w:color="000000" w:fill="000000"/>
                <w:fitText w:val="63" w:id="-961840628"/>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510D292A" w14:textId="3883E67A" w:rsidR="00D677E1" w:rsidRPr="001007E0" w:rsidRDefault="00E447F1">
            <w:pPr>
              <w:keepNext/>
              <w:jc w:val="center"/>
              <w:rPr>
                <w:rFonts w:ascii="Arial Narrow" w:eastAsiaTheme="majorEastAsia" w:hAnsi="Arial Narrow"/>
                <w:bCs/>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2" w:id="-961840627"/>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2" w:id="-961840627"/>
                <w14:textFill>
                  <w14:solidFill>
                    <w14:srgbClr w14:val="000000">
                      <w14:alpha w14:val="100000"/>
                    </w14:srgbClr>
                  </w14:solidFill>
                </w14:textFill>
              </w:rPr>
              <w:t>|</w:t>
            </w:r>
            <w:r w:rsidRPr="00E447F1">
              <w:rPr>
                <w:rFonts w:ascii="Arial Narrow" w:eastAsiaTheme="majorEastAsia" w:hAnsi="Arial Narrow" w:hint="eastAsia"/>
                <w:bCs/>
                <w:color w:val="000000"/>
                <w:spacing w:val="-3"/>
                <w:w w:val="15"/>
                <w:sz w:val="20"/>
                <w:szCs w:val="20"/>
                <w:shd w:val="solid" w:color="000000" w:fill="000000"/>
                <w:fitText w:val="62" w:id="-961840627"/>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00F12201" w14:textId="32E8D54A" w:rsidR="00D677E1" w:rsidRPr="001007E0" w:rsidRDefault="00E447F1">
            <w:pPr>
              <w:keepNext/>
              <w:jc w:val="center"/>
              <w:rPr>
                <w:rFonts w:ascii="Arial Narrow" w:eastAsiaTheme="majorEastAsia" w:hAnsi="Arial Narrow"/>
                <w:bCs/>
                <w:sz w:val="20"/>
                <w:szCs w:val="20"/>
                <w:highlight w:val="lightGray"/>
              </w:rPr>
            </w:pPr>
            <w:r w:rsidRPr="00E447F1">
              <w:rPr>
                <w:rFonts w:ascii="Arial Narrow" w:eastAsiaTheme="majorEastAsia" w:hAnsi="Arial Narrow" w:hint="eastAsia"/>
                <w:bCs/>
                <w:color w:val="000000"/>
                <w:w w:val="15"/>
                <w:sz w:val="20"/>
                <w:szCs w:val="20"/>
                <w:shd w:val="solid" w:color="000000" w:fill="000000"/>
                <w:fitText w:val="62" w:id="-961840626"/>
                <w14:textFill>
                  <w14:solidFill>
                    <w14:srgbClr w14:val="000000">
                      <w14:alpha w14:val="100000"/>
                    </w14:srgbClr>
                  </w14:solidFill>
                </w14:textFill>
              </w:rPr>
              <w:t xml:space="preserve">　</w:t>
            </w:r>
            <w:r w:rsidRPr="00E447F1">
              <w:rPr>
                <w:rFonts w:ascii="Arial Narrow" w:eastAsiaTheme="majorEastAsia" w:hAnsi="Arial Narrow"/>
                <w:bCs/>
                <w:color w:val="000000"/>
                <w:w w:val="15"/>
                <w:sz w:val="20"/>
                <w:szCs w:val="20"/>
                <w:shd w:val="solid" w:color="000000" w:fill="000000"/>
                <w:fitText w:val="62" w:id="-961840626"/>
                <w14:textFill>
                  <w14:solidFill>
                    <w14:srgbClr w14:val="000000">
                      <w14:alpha w14:val="100000"/>
                    </w14:srgbClr>
                  </w14:solidFill>
                </w14:textFill>
              </w:rPr>
              <w:t>|</w:t>
            </w:r>
            <w:r w:rsidRPr="00E447F1">
              <w:rPr>
                <w:rFonts w:ascii="Arial Narrow" w:eastAsiaTheme="majorEastAsia" w:hAnsi="Arial Narrow" w:hint="eastAsia"/>
                <w:bCs/>
                <w:color w:val="000000"/>
                <w:spacing w:val="-3"/>
                <w:w w:val="15"/>
                <w:sz w:val="20"/>
                <w:szCs w:val="20"/>
                <w:shd w:val="solid" w:color="000000" w:fill="000000"/>
                <w:fitText w:val="62" w:id="-961840626"/>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r>
      <w:tr w:rsidR="006724ED" w:rsidRPr="00561FF2" w14:paraId="12ECBE2C" w14:textId="77777777" w:rsidTr="00837075">
        <w:tc>
          <w:tcPr>
            <w:tcW w:w="9115" w:type="dxa"/>
            <w:gridSpan w:val="7"/>
            <w:tcBorders>
              <w:top w:val="single" w:sz="4" w:space="0" w:color="auto"/>
              <w:left w:val="single" w:sz="4" w:space="0" w:color="auto"/>
              <w:bottom w:val="single" w:sz="4" w:space="0" w:color="auto"/>
              <w:right w:val="single" w:sz="4" w:space="0" w:color="auto"/>
            </w:tcBorders>
            <w:vAlign w:val="center"/>
          </w:tcPr>
          <w:p w14:paraId="10B88C58" w14:textId="229A8CFF" w:rsidR="006724ED" w:rsidRPr="00561FF2" w:rsidRDefault="00837075" w:rsidP="006724ED">
            <w:pPr>
              <w:keepNext/>
              <w:jc w:val="left"/>
              <w:rPr>
                <w:rFonts w:ascii="Arial Narrow" w:eastAsiaTheme="majorEastAsia" w:hAnsi="Arial Narrow"/>
                <w:b/>
                <w:color w:val="000000"/>
                <w:sz w:val="20"/>
                <w:szCs w:val="20"/>
              </w:rPr>
            </w:pPr>
            <w:r w:rsidRPr="00561FF2">
              <w:rPr>
                <w:rFonts w:ascii="Arial Narrow" w:eastAsiaTheme="majorEastAsia" w:hAnsi="Arial Narrow"/>
                <w:b/>
                <w:color w:val="000000"/>
                <w:sz w:val="20"/>
                <w:szCs w:val="20"/>
              </w:rPr>
              <w:t>Estimated financial implications of cabozantinib</w:t>
            </w:r>
          </w:p>
        </w:tc>
      </w:tr>
      <w:tr w:rsidR="00837075" w:rsidRPr="00561FF2" w14:paraId="54EE2F8E"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1F486C49" w14:textId="3D4D6A53" w:rsidR="00837075" w:rsidRPr="00561FF2" w:rsidRDefault="00837075" w:rsidP="0083707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Cost to PBS/RPBS less co-pay</w:t>
            </w:r>
            <w:r w:rsidRPr="00561FF2">
              <w:rPr>
                <w:rFonts w:ascii="Arial Narrow" w:eastAsiaTheme="majorEastAsia" w:hAnsi="Arial Narrow" w:cstheme="majorBidi"/>
                <w:bCs/>
                <w:sz w:val="20"/>
                <w:szCs w:val="20"/>
                <w:vertAlign w:val="superscript"/>
              </w:rPr>
              <w:t>c</w:t>
            </w:r>
          </w:p>
        </w:tc>
        <w:tc>
          <w:tcPr>
            <w:tcW w:w="1080" w:type="dxa"/>
            <w:tcBorders>
              <w:top w:val="single" w:sz="4" w:space="0" w:color="auto"/>
              <w:left w:val="single" w:sz="4" w:space="0" w:color="auto"/>
              <w:bottom w:val="single" w:sz="4" w:space="0" w:color="auto"/>
              <w:right w:val="single" w:sz="4" w:space="0" w:color="auto"/>
            </w:tcBorders>
          </w:tcPr>
          <w:p w14:paraId="386EFF3E" w14:textId="5309B27F" w:rsidR="00837075" w:rsidRPr="001007E0" w:rsidRDefault="00E447F1" w:rsidP="00837075">
            <w:pPr>
              <w:keepNext/>
              <w:jc w:val="center"/>
              <w:rPr>
                <w:rFonts w:ascii="Arial Narrow" w:eastAsiaTheme="majorEastAsia" w:hAnsi="Arial Narrow" w:cs="Arial"/>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2" w:id="-961840625"/>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2" w:id="-961840625"/>
                <w14:textFill>
                  <w14:solidFill>
                    <w14:srgbClr w14:val="000000">
                      <w14:alpha w14:val="100000"/>
                    </w14:srgbClr>
                  </w14:solidFill>
                </w14:textFill>
              </w:rPr>
              <w:t>|</w:t>
            </w:r>
            <w:r w:rsidRPr="00E447F1">
              <w:rPr>
                <w:rFonts w:ascii="Arial Narrow" w:hAnsi="Arial Narrow" w:cs="Arial" w:hint="eastAsia"/>
                <w:bCs/>
                <w:color w:val="000000"/>
                <w:spacing w:val="-3"/>
                <w:w w:val="15"/>
                <w:sz w:val="20"/>
                <w:szCs w:val="20"/>
                <w:shd w:val="solid" w:color="000000" w:fill="000000"/>
                <w:fitText w:val="62" w:id="-961840625"/>
                <w14:textFill>
                  <w14:solidFill>
                    <w14:srgbClr w14:val="000000">
                      <w14:alpha w14:val="100000"/>
                    </w14:srgbClr>
                  </w14:solidFill>
                </w14:textFill>
              </w:rPr>
              <w:t xml:space="preserve">　</w:t>
            </w:r>
            <w:r w:rsidR="001E3B38" w:rsidRPr="001007E0">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1542B562" w14:textId="39CC45EE" w:rsidR="00837075" w:rsidRPr="001007E0" w:rsidRDefault="00E447F1" w:rsidP="00837075">
            <w:pPr>
              <w:keepNext/>
              <w:jc w:val="center"/>
              <w:rPr>
                <w:rFonts w:ascii="Arial Narrow" w:eastAsiaTheme="majorEastAsia" w:hAnsi="Arial Narrow"/>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2" w:id="-961840624"/>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2" w:id="-961840624"/>
                <w14:textFill>
                  <w14:solidFill>
                    <w14:srgbClr w14:val="000000">
                      <w14:alpha w14:val="100000"/>
                    </w14:srgbClr>
                  </w14:solidFill>
                </w14:textFill>
              </w:rPr>
              <w:t>|</w:t>
            </w:r>
            <w:r w:rsidRPr="00E447F1">
              <w:rPr>
                <w:rFonts w:ascii="Arial Narrow" w:hAnsi="Arial Narrow" w:cs="Arial" w:hint="eastAsia"/>
                <w:bCs/>
                <w:color w:val="000000"/>
                <w:spacing w:val="-3"/>
                <w:w w:val="15"/>
                <w:sz w:val="20"/>
                <w:szCs w:val="20"/>
                <w:shd w:val="solid" w:color="000000" w:fill="000000"/>
                <w:fitText w:val="62" w:id="-961840624"/>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3B352B7F" w14:textId="09645205" w:rsidR="00837075" w:rsidRPr="001007E0" w:rsidRDefault="00E447F1" w:rsidP="00837075">
            <w:pPr>
              <w:keepNext/>
              <w:jc w:val="center"/>
              <w:rPr>
                <w:rFonts w:ascii="Arial Narrow" w:eastAsiaTheme="majorEastAsia" w:hAnsi="Arial Narrow"/>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3" w:id="-961840640"/>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3" w:id="-961840640"/>
                <w14:textFill>
                  <w14:solidFill>
                    <w14:srgbClr w14:val="000000">
                      <w14:alpha w14:val="100000"/>
                    </w14:srgbClr>
                  </w14:solidFill>
                </w14:textFill>
              </w:rPr>
              <w:t>|</w:t>
            </w:r>
            <w:r w:rsidRPr="00E447F1">
              <w:rPr>
                <w:rFonts w:ascii="Arial Narrow" w:hAnsi="Arial Narrow" w:cs="Arial" w:hint="eastAsia"/>
                <w:bCs/>
                <w:color w:val="000000"/>
                <w:spacing w:val="-2"/>
                <w:w w:val="15"/>
                <w:sz w:val="20"/>
                <w:szCs w:val="20"/>
                <w:shd w:val="solid" w:color="000000" w:fill="000000"/>
                <w:fitText w:val="63" w:id="-961840640"/>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01D27823" w14:textId="7E9AAAC9" w:rsidR="00837075" w:rsidRPr="001007E0" w:rsidRDefault="00E447F1" w:rsidP="00837075">
            <w:pPr>
              <w:keepNext/>
              <w:jc w:val="center"/>
              <w:rPr>
                <w:rFonts w:ascii="Arial Narrow" w:eastAsiaTheme="majorEastAsia" w:hAnsi="Arial Narrow"/>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3" w:id="-961840639"/>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3" w:id="-961840639"/>
                <w14:textFill>
                  <w14:solidFill>
                    <w14:srgbClr w14:val="000000">
                      <w14:alpha w14:val="100000"/>
                    </w14:srgbClr>
                  </w14:solidFill>
                </w14:textFill>
              </w:rPr>
              <w:t>|</w:t>
            </w:r>
            <w:r w:rsidRPr="00E447F1">
              <w:rPr>
                <w:rFonts w:ascii="Arial Narrow" w:hAnsi="Arial Narrow" w:cs="Arial" w:hint="eastAsia"/>
                <w:bCs/>
                <w:color w:val="000000"/>
                <w:spacing w:val="-2"/>
                <w:w w:val="15"/>
                <w:sz w:val="20"/>
                <w:szCs w:val="20"/>
                <w:shd w:val="solid" w:color="000000" w:fill="000000"/>
                <w:fitText w:val="63" w:id="-961840639"/>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025797C2" w14:textId="7F02F1ED" w:rsidR="00837075" w:rsidRPr="001007E0" w:rsidRDefault="00E447F1" w:rsidP="00837075">
            <w:pPr>
              <w:keepNext/>
              <w:jc w:val="center"/>
              <w:rPr>
                <w:rFonts w:ascii="Arial Narrow" w:eastAsiaTheme="majorEastAsia" w:hAnsi="Arial Narrow"/>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2" w:id="-961840638"/>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2" w:id="-961840638"/>
                <w14:textFill>
                  <w14:solidFill>
                    <w14:srgbClr w14:val="000000">
                      <w14:alpha w14:val="100000"/>
                    </w14:srgbClr>
                  </w14:solidFill>
                </w14:textFill>
              </w:rPr>
              <w:t>|</w:t>
            </w:r>
            <w:r w:rsidRPr="00E447F1">
              <w:rPr>
                <w:rFonts w:ascii="Arial Narrow" w:hAnsi="Arial Narrow" w:cs="Arial" w:hint="eastAsia"/>
                <w:bCs/>
                <w:color w:val="000000"/>
                <w:spacing w:val="-3"/>
                <w:w w:val="15"/>
                <w:sz w:val="20"/>
                <w:szCs w:val="20"/>
                <w:shd w:val="solid" w:color="000000" w:fill="000000"/>
                <w:fitText w:val="62" w:id="-961840638"/>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75659410" w14:textId="1DBF2CCF" w:rsidR="00837075" w:rsidRPr="001007E0" w:rsidRDefault="00E447F1" w:rsidP="00837075">
            <w:pPr>
              <w:keepNext/>
              <w:jc w:val="center"/>
              <w:rPr>
                <w:rFonts w:ascii="Arial Narrow" w:eastAsiaTheme="majorEastAsia" w:hAnsi="Arial Narrow"/>
                <w:bCs/>
                <w:color w:val="000000"/>
                <w:sz w:val="20"/>
                <w:szCs w:val="20"/>
                <w:highlight w:val="lightGray"/>
              </w:rPr>
            </w:pPr>
            <w:r w:rsidRPr="00E447F1">
              <w:rPr>
                <w:rFonts w:ascii="Arial Narrow" w:hAnsi="Arial Narrow" w:cs="Arial" w:hint="eastAsia"/>
                <w:bCs/>
                <w:color w:val="000000"/>
                <w:w w:val="15"/>
                <w:sz w:val="20"/>
                <w:szCs w:val="20"/>
                <w:shd w:val="solid" w:color="000000" w:fill="000000"/>
                <w:fitText w:val="62" w:id="-961840637"/>
                <w14:textFill>
                  <w14:solidFill>
                    <w14:srgbClr w14:val="000000">
                      <w14:alpha w14:val="100000"/>
                    </w14:srgbClr>
                  </w14:solidFill>
                </w14:textFill>
              </w:rPr>
              <w:t xml:space="preserve">　</w:t>
            </w:r>
            <w:r w:rsidRPr="00E447F1">
              <w:rPr>
                <w:rFonts w:ascii="Arial Narrow" w:hAnsi="Arial Narrow" w:cs="Arial"/>
                <w:bCs/>
                <w:color w:val="000000"/>
                <w:w w:val="15"/>
                <w:sz w:val="20"/>
                <w:szCs w:val="20"/>
                <w:shd w:val="solid" w:color="000000" w:fill="000000"/>
                <w:fitText w:val="62" w:id="-961840637"/>
                <w14:textFill>
                  <w14:solidFill>
                    <w14:srgbClr w14:val="000000">
                      <w14:alpha w14:val="100000"/>
                    </w14:srgbClr>
                  </w14:solidFill>
                </w14:textFill>
              </w:rPr>
              <w:t>|</w:t>
            </w:r>
            <w:r w:rsidRPr="00E447F1">
              <w:rPr>
                <w:rFonts w:ascii="Arial Narrow" w:hAnsi="Arial Narrow" w:cs="Arial" w:hint="eastAsia"/>
                <w:bCs/>
                <w:color w:val="000000"/>
                <w:spacing w:val="-3"/>
                <w:w w:val="15"/>
                <w:sz w:val="20"/>
                <w:szCs w:val="20"/>
                <w:shd w:val="solid" w:color="000000" w:fill="000000"/>
                <w:fitText w:val="62" w:id="-961840637"/>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r>
      <w:tr w:rsidR="00837075" w:rsidRPr="00561FF2" w14:paraId="2F65B193" w14:textId="77777777" w:rsidTr="00837075">
        <w:tc>
          <w:tcPr>
            <w:tcW w:w="9115" w:type="dxa"/>
            <w:gridSpan w:val="7"/>
            <w:shd w:val="clear" w:color="auto" w:fill="auto"/>
            <w:vAlign w:val="center"/>
          </w:tcPr>
          <w:p w14:paraId="6E362CE8" w14:textId="77777777" w:rsidR="00837075" w:rsidRPr="00561FF2" w:rsidRDefault="00837075" w:rsidP="00446AA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Estimated financial implications for other medicines</w:t>
            </w:r>
          </w:p>
        </w:tc>
      </w:tr>
      <w:tr w:rsidR="00837075" w:rsidRPr="00561FF2" w14:paraId="2DC42DD3" w14:textId="77777777" w:rsidTr="00837075">
        <w:tc>
          <w:tcPr>
            <w:tcW w:w="2635" w:type="dxa"/>
            <w:shd w:val="clear" w:color="auto" w:fill="auto"/>
            <w:vAlign w:val="center"/>
          </w:tcPr>
          <w:p w14:paraId="6B5A2074" w14:textId="4ABBC62E" w:rsidR="00837075" w:rsidRPr="00561FF2" w:rsidRDefault="00837075" w:rsidP="00446AA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Cost to PBS/RPBS less co-pay</w:t>
            </w:r>
          </w:p>
        </w:tc>
        <w:tc>
          <w:tcPr>
            <w:tcW w:w="1080" w:type="dxa"/>
            <w:tcBorders>
              <w:top w:val="single" w:sz="4" w:space="0" w:color="auto"/>
              <w:bottom w:val="single" w:sz="4" w:space="0" w:color="auto"/>
            </w:tcBorders>
            <w:shd w:val="clear" w:color="auto" w:fill="auto"/>
            <w:vAlign w:val="center"/>
          </w:tcPr>
          <w:p w14:paraId="7B9BE9FD" w14:textId="31AAEE14"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6"/>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6"/>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6"/>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auto"/>
            <w:vAlign w:val="center"/>
          </w:tcPr>
          <w:p w14:paraId="276C85D3" w14:textId="2C37EB2D"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5"/>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5"/>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5"/>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auto"/>
            <w:vAlign w:val="center"/>
          </w:tcPr>
          <w:p w14:paraId="0956AD52" w14:textId="5A1C940A"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634"/>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634"/>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634"/>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auto"/>
            <w:vAlign w:val="center"/>
          </w:tcPr>
          <w:p w14:paraId="5D43E912" w14:textId="35B0719D"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633"/>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633"/>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633"/>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auto"/>
            <w:vAlign w:val="center"/>
          </w:tcPr>
          <w:p w14:paraId="11513FEB" w14:textId="76694DB3"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2"/>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2"/>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2"/>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auto"/>
            <w:vAlign w:val="center"/>
          </w:tcPr>
          <w:p w14:paraId="750DCED1" w14:textId="1A242F3F"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1"/>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1"/>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1"/>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r>
      <w:tr w:rsidR="00837075" w:rsidRPr="00561FF2" w14:paraId="5EF5DCF6" w14:textId="77777777" w:rsidTr="00837075">
        <w:tc>
          <w:tcPr>
            <w:tcW w:w="9115" w:type="dxa"/>
            <w:gridSpan w:val="7"/>
            <w:shd w:val="clear" w:color="auto" w:fill="auto"/>
            <w:vAlign w:val="center"/>
          </w:tcPr>
          <w:p w14:paraId="0F66346C" w14:textId="77777777" w:rsidR="00837075" w:rsidRPr="00561FF2" w:rsidRDefault="00837075" w:rsidP="00446AA5">
            <w:pPr>
              <w:keepNext/>
              <w:jc w:val="left"/>
              <w:rPr>
                <w:rFonts w:ascii="Arial Narrow" w:eastAsiaTheme="majorEastAsia" w:hAnsi="Arial Narrow"/>
                <w:b/>
                <w:sz w:val="20"/>
                <w:szCs w:val="20"/>
              </w:rPr>
            </w:pPr>
            <w:r w:rsidRPr="00561FF2">
              <w:rPr>
                <w:rFonts w:ascii="Arial Narrow" w:eastAsiaTheme="majorEastAsia" w:hAnsi="Arial Narrow"/>
                <w:b/>
                <w:sz w:val="20"/>
                <w:szCs w:val="20"/>
              </w:rPr>
              <w:t>Net financial implications</w:t>
            </w:r>
            <w:r w:rsidRPr="00561FF2">
              <w:rPr>
                <w:rFonts w:ascii="Arial Narrow" w:eastAsiaTheme="majorEastAsia" w:hAnsi="Arial Narrow"/>
                <w:b/>
                <w:color w:val="4BACC6" w:themeColor="accent5"/>
                <w:sz w:val="20"/>
                <w:szCs w:val="20"/>
              </w:rPr>
              <w:t xml:space="preserve"> </w:t>
            </w:r>
          </w:p>
        </w:tc>
      </w:tr>
      <w:tr w:rsidR="00837075" w:rsidRPr="00561FF2" w14:paraId="08F8C0A5"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2EB72C98" w14:textId="131A2BA3" w:rsidR="00837075" w:rsidRPr="00561FF2" w:rsidRDefault="00837075" w:rsidP="0083707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Net cost to PBS/RPBS</w:t>
            </w:r>
          </w:p>
        </w:tc>
        <w:tc>
          <w:tcPr>
            <w:tcW w:w="1080" w:type="dxa"/>
            <w:tcBorders>
              <w:top w:val="single" w:sz="4" w:space="0" w:color="auto"/>
              <w:left w:val="single" w:sz="4" w:space="0" w:color="auto"/>
              <w:bottom w:val="single" w:sz="4" w:space="0" w:color="auto"/>
              <w:right w:val="single" w:sz="4" w:space="0" w:color="auto"/>
            </w:tcBorders>
          </w:tcPr>
          <w:p w14:paraId="44368E5F" w14:textId="450B137B"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0"/>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0"/>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0"/>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7C00B377" w14:textId="564B2044"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29"/>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29"/>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29"/>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41F1DE15" w14:textId="53D85869"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28"/>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28"/>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28"/>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76E19D39" w14:textId="6CAC5F13"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1" w:id="-961840627"/>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1" w:id="-961840627"/>
                <w14:textFill>
                  <w14:solidFill>
                    <w14:srgbClr w14:val="000000">
                      <w14:alpha w14:val="100000"/>
                    </w14:srgbClr>
                  </w14:solidFill>
                </w14:textFill>
              </w:rPr>
              <w:t>|</w:t>
            </w:r>
            <w:r w:rsidRPr="00E447F1">
              <w:rPr>
                <w:rFonts w:ascii="Arial Narrow" w:hAnsi="Arial Narrow" w:cs="Arial" w:hint="eastAsia"/>
                <w:b/>
                <w:color w:val="000000"/>
                <w:spacing w:val="3"/>
                <w:w w:val="22"/>
                <w:sz w:val="20"/>
                <w:szCs w:val="20"/>
                <w:shd w:val="solid" w:color="000000" w:fill="000000"/>
                <w:fitText w:val="101" w:id="-961840627"/>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48598C7E" w14:textId="6C9FA277"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26"/>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26"/>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26"/>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2E6F901F" w14:textId="161841E4"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25"/>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25"/>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25"/>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r>
      <w:tr w:rsidR="00837075" w:rsidRPr="00561FF2" w14:paraId="5620C450"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20D8311C" w14:textId="0ACC62B1" w:rsidR="00837075" w:rsidRPr="00561FF2" w:rsidRDefault="00837075" w:rsidP="0083707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Net cost to MBS</w:t>
            </w:r>
          </w:p>
        </w:tc>
        <w:tc>
          <w:tcPr>
            <w:tcW w:w="1080" w:type="dxa"/>
            <w:tcBorders>
              <w:top w:val="single" w:sz="4" w:space="0" w:color="auto"/>
              <w:left w:val="single" w:sz="4" w:space="0" w:color="auto"/>
              <w:bottom w:val="single" w:sz="4" w:space="0" w:color="auto"/>
              <w:right w:val="single" w:sz="4" w:space="0" w:color="auto"/>
            </w:tcBorders>
            <w:vAlign w:val="center"/>
          </w:tcPr>
          <w:p w14:paraId="20E0C6F5" w14:textId="339B2A0A"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2" w:id="-961840624"/>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2" w:id="-961840624"/>
                <w14:textFill>
                  <w14:solidFill>
                    <w14:srgbClr w14:val="000000">
                      <w14:alpha w14:val="100000"/>
                    </w14:srgbClr>
                  </w14:solidFill>
                </w14:textFill>
              </w:rPr>
              <w:t>|</w:t>
            </w:r>
            <w:r w:rsidRPr="00E447F1">
              <w:rPr>
                <w:rFonts w:ascii="Arial Narrow" w:hAnsi="Arial Narrow" w:cstheme="minorHAnsi" w:hint="eastAsia"/>
                <w:color w:val="000000"/>
                <w:spacing w:val="-3"/>
                <w:w w:val="15"/>
                <w:sz w:val="20"/>
                <w:szCs w:val="20"/>
                <w:shd w:val="solid" w:color="000000" w:fill="000000"/>
                <w:fitText w:val="62" w:id="-961840624"/>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6A3D58ED" w14:textId="76CC8C1A"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2" w:id="-961840640"/>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2" w:id="-961840640"/>
                <w14:textFill>
                  <w14:solidFill>
                    <w14:srgbClr w14:val="000000">
                      <w14:alpha w14:val="100000"/>
                    </w14:srgbClr>
                  </w14:solidFill>
                </w14:textFill>
              </w:rPr>
              <w:t>|</w:t>
            </w:r>
            <w:r w:rsidRPr="00E447F1">
              <w:rPr>
                <w:rFonts w:ascii="Arial Narrow" w:hAnsi="Arial Narrow" w:cstheme="minorHAnsi" w:hint="eastAsia"/>
                <w:color w:val="000000"/>
                <w:spacing w:val="-3"/>
                <w:w w:val="15"/>
                <w:sz w:val="20"/>
                <w:szCs w:val="20"/>
                <w:shd w:val="solid" w:color="000000" w:fill="000000"/>
                <w:fitText w:val="62" w:id="-961840640"/>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4E897794" w14:textId="76E2F086"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3" w:id="-961840639"/>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3" w:id="-961840639"/>
                <w14:textFill>
                  <w14:solidFill>
                    <w14:srgbClr w14:val="000000">
                      <w14:alpha w14:val="100000"/>
                    </w14:srgbClr>
                  </w14:solidFill>
                </w14:textFill>
              </w:rPr>
              <w:t>|</w:t>
            </w:r>
            <w:r w:rsidRPr="00E447F1">
              <w:rPr>
                <w:rFonts w:ascii="Arial Narrow" w:hAnsi="Arial Narrow" w:cstheme="minorHAnsi" w:hint="eastAsia"/>
                <w:color w:val="000000"/>
                <w:spacing w:val="-2"/>
                <w:w w:val="15"/>
                <w:sz w:val="20"/>
                <w:szCs w:val="20"/>
                <w:shd w:val="solid" w:color="000000" w:fill="000000"/>
                <w:fitText w:val="63" w:id="-961840639"/>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0ABD4FCC" w14:textId="38D729EE"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3" w:id="-961840638"/>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3" w:id="-961840638"/>
                <w14:textFill>
                  <w14:solidFill>
                    <w14:srgbClr w14:val="000000">
                      <w14:alpha w14:val="100000"/>
                    </w14:srgbClr>
                  </w14:solidFill>
                </w14:textFill>
              </w:rPr>
              <w:t>|</w:t>
            </w:r>
            <w:r w:rsidRPr="00E447F1">
              <w:rPr>
                <w:rFonts w:ascii="Arial Narrow" w:hAnsi="Arial Narrow" w:cstheme="minorHAnsi" w:hint="eastAsia"/>
                <w:color w:val="000000"/>
                <w:spacing w:val="-2"/>
                <w:w w:val="15"/>
                <w:sz w:val="20"/>
                <w:szCs w:val="20"/>
                <w:shd w:val="solid" w:color="000000" w:fill="000000"/>
                <w:fitText w:val="63" w:id="-961840638"/>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1BAAEF39" w14:textId="4380A27F"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2" w:id="-961840637"/>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2" w:id="-961840637"/>
                <w14:textFill>
                  <w14:solidFill>
                    <w14:srgbClr w14:val="000000">
                      <w14:alpha w14:val="100000"/>
                    </w14:srgbClr>
                  </w14:solidFill>
                </w14:textFill>
              </w:rPr>
              <w:t>|</w:t>
            </w:r>
            <w:r w:rsidRPr="00E447F1">
              <w:rPr>
                <w:rFonts w:ascii="Arial Narrow" w:hAnsi="Arial Narrow" w:cstheme="minorHAnsi" w:hint="eastAsia"/>
                <w:color w:val="000000"/>
                <w:spacing w:val="-3"/>
                <w:w w:val="15"/>
                <w:sz w:val="20"/>
                <w:szCs w:val="20"/>
                <w:shd w:val="solid" w:color="000000" w:fill="000000"/>
                <w:fitText w:val="62" w:id="-961840637"/>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07A81455" w14:textId="741E0DC0" w:rsidR="00837075" w:rsidRPr="001007E0" w:rsidRDefault="00E447F1" w:rsidP="00837075">
            <w:pPr>
              <w:keepNext/>
              <w:jc w:val="center"/>
              <w:rPr>
                <w:rFonts w:ascii="Arial Narrow" w:hAnsi="Arial Narrow" w:cs="Arial"/>
                <w:bCs/>
                <w:color w:val="000000"/>
                <w:sz w:val="20"/>
                <w:szCs w:val="20"/>
                <w:highlight w:val="lightGray"/>
              </w:rPr>
            </w:pPr>
            <w:r w:rsidRPr="00E447F1">
              <w:rPr>
                <w:rFonts w:ascii="Arial Narrow" w:hAnsi="Arial Narrow" w:cstheme="minorHAnsi" w:hint="eastAsia"/>
                <w:color w:val="000000"/>
                <w:w w:val="15"/>
                <w:sz w:val="20"/>
                <w:szCs w:val="20"/>
                <w:shd w:val="solid" w:color="000000" w:fill="000000"/>
                <w:fitText w:val="62" w:id="-961840636"/>
                <w14:textFill>
                  <w14:solidFill>
                    <w14:srgbClr w14:val="000000">
                      <w14:alpha w14:val="100000"/>
                    </w14:srgbClr>
                  </w14:solidFill>
                </w14:textFill>
              </w:rPr>
              <w:t xml:space="preserve">　</w:t>
            </w:r>
            <w:r w:rsidRPr="00E447F1">
              <w:rPr>
                <w:rFonts w:ascii="Arial Narrow" w:hAnsi="Arial Narrow" w:cstheme="minorHAnsi"/>
                <w:color w:val="000000"/>
                <w:w w:val="15"/>
                <w:sz w:val="20"/>
                <w:szCs w:val="20"/>
                <w:shd w:val="solid" w:color="000000" w:fill="000000"/>
                <w:fitText w:val="62" w:id="-961840636"/>
                <w14:textFill>
                  <w14:solidFill>
                    <w14:srgbClr w14:val="000000">
                      <w14:alpha w14:val="100000"/>
                    </w14:srgbClr>
                  </w14:solidFill>
                </w14:textFill>
              </w:rPr>
              <w:t>|</w:t>
            </w:r>
            <w:r w:rsidRPr="00E447F1">
              <w:rPr>
                <w:rFonts w:ascii="Arial Narrow" w:hAnsi="Arial Narrow" w:cstheme="minorHAnsi" w:hint="eastAsia"/>
                <w:color w:val="000000"/>
                <w:spacing w:val="-3"/>
                <w:w w:val="15"/>
                <w:sz w:val="20"/>
                <w:szCs w:val="20"/>
                <w:shd w:val="solid" w:color="000000" w:fill="000000"/>
                <w:fitText w:val="62" w:id="-961840636"/>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r>
      <w:tr w:rsidR="00837075" w:rsidRPr="00561FF2" w14:paraId="035D312A" w14:textId="77777777" w:rsidTr="00837075">
        <w:tc>
          <w:tcPr>
            <w:tcW w:w="2635" w:type="dxa"/>
            <w:tcBorders>
              <w:top w:val="single" w:sz="4" w:space="0" w:color="auto"/>
              <w:left w:val="single" w:sz="4" w:space="0" w:color="auto"/>
              <w:bottom w:val="single" w:sz="4" w:space="0" w:color="auto"/>
              <w:right w:val="single" w:sz="4" w:space="0" w:color="auto"/>
            </w:tcBorders>
            <w:vAlign w:val="center"/>
          </w:tcPr>
          <w:p w14:paraId="13A4C52C" w14:textId="218410AA" w:rsidR="00837075" w:rsidRPr="00561FF2" w:rsidRDefault="00837075" w:rsidP="0083707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Net cost to PBS/RPBS/MBS</w:t>
            </w:r>
          </w:p>
        </w:tc>
        <w:tc>
          <w:tcPr>
            <w:tcW w:w="1080" w:type="dxa"/>
            <w:tcBorders>
              <w:top w:val="single" w:sz="4" w:space="0" w:color="auto"/>
              <w:left w:val="single" w:sz="4" w:space="0" w:color="auto"/>
              <w:bottom w:val="single" w:sz="4" w:space="0" w:color="auto"/>
              <w:right w:val="single" w:sz="4" w:space="0" w:color="auto"/>
            </w:tcBorders>
          </w:tcPr>
          <w:p w14:paraId="332CDD23" w14:textId="7AD43056"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5"/>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5"/>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5"/>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5B2C4B60" w14:textId="16E936D7"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4"/>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4"/>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4"/>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4D547C8A" w14:textId="68F48BE1"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3"/>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3"/>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3"/>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3D3A8BBB" w14:textId="514FFA8E"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1" w:id="-961840632"/>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1" w:id="-961840632"/>
                <w14:textFill>
                  <w14:solidFill>
                    <w14:srgbClr w14:val="000000">
                      <w14:alpha w14:val="100000"/>
                    </w14:srgbClr>
                  </w14:solidFill>
                </w14:textFill>
              </w:rPr>
              <w:t>|</w:t>
            </w:r>
            <w:r w:rsidRPr="00E447F1">
              <w:rPr>
                <w:rFonts w:ascii="Arial Narrow" w:hAnsi="Arial Narrow" w:cs="Arial" w:hint="eastAsia"/>
                <w:b/>
                <w:color w:val="000000"/>
                <w:spacing w:val="3"/>
                <w:w w:val="22"/>
                <w:sz w:val="20"/>
                <w:szCs w:val="20"/>
                <w:shd w:val="solid" w:color="000000" w:fill="000000"/>
                <w:fitText w:val="101" w:id="-961840632"/>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0A0F575C" w14:textId="29103554"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1"/>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1"/>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1"/>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tcPr>
          <w:p w14:paraId="09971069" w14:textId="0D10D73C" w:rsidR="00837075" w:rsidRPr="001007E0" w:rsidRDefault="00E447F1" w:rsidP="00837075">
            <w:pPr>
              <w:keepNext/>
              <w:jc w:val="center"/>
              <w:rPr>
                <w:rFonts w:ascii="Arial Narrow" w:hAnsi="Arial Narrow" w:cs="Arial"/>
                <w:b/>
                <w:color w:val="000000"/>
                <w:sz w:val="20"/>
                <w:szCs w:val="20"/>
                <w:highlight w:val="lightGray"/>
              </w:rPr>
            </w:pPr>
            <w:r w:rsidRPr="00E447F1">
              <w:rPr>
                <w:rFonts w:ascii="Arial Narrow" w:hAnsi="Arial Narrow" w:cs="Arial" w:hint="eastAsia"/>
                <w:b/>
                <w:color w:val="000000"/>
                <w:w w:val="22"/>
                <w:sz w:val="20"/>
                <w:szCs w:val="20"/>
                <w:shd w:val="solid" w:color="000000" w:fill="000000"/>
                <w:fitText w:val="100" w:id="-961840630"/>
                <w14:textFill>
                  <w14:solidFill>
                    <w14:srgbClr w14:val="000000">
                      <w14:alpha w14:val="100000"/>
                    </w14:srgbClr>
                  </w14:solidFill>
                </w14:textFill>
              </w:rPr>
              <w:t xml:space="preserve">　</w:t>
            </w:r>
            <w:r w:rsidRPr="00E447F1">
              <w:rPr>
                <w:rFonts w:ascii="Arial Narrow" w:hAnsi="Arial Narrow" w:cs="Arial"/>
                <w:b/>
                <w:color w:val="000000"/>
                <w:w w:val="22"/>
                <w:sz w:val="20"/>
                <w:szCs w:val="20"/>
                <w:shd w:val="solid" w:color="000000" w:fill="000000"/>
                <w:fitText w:val="100" w:id="-961840630"/>
                <w14:textFill>
                  <w14:solidFill>
                    <w14:srgbClr w14:val="000000">
                      <w14:alpha w14:val="100000"/>
                    </w14:srgbClr>
                  </w14:solidFill>
                </w14:textFill>
              </w:rPr>
              <w:t>|</w:t>
            </w:r>
            <w:r w:rsidRPr="00E447F1">
              <w:rPr>
                <w:rFonts w:ascii="Arial Narrow" w:hAnsi="Arial Narrow" w:cs="Arial" w:hint="eastAsia"/>
                <w:b/>
                <w:color w:val="000000"/>
                <w:spacing w:val="2"/>
                <w:w w:val="22"/>
                <w:sz w:val="20"/>
                <w:szCs w:val="20"/>
                <w:shd w:val="solid" w:color="000000" w:fill="000000"/>
                <w:fitText w:val="100" w:id="-961840630"/>
                <w14:textFill>
                  <w14:solidFill>
                    <w14:srgbClr w14:val="000000">
                      <w14:alpha w14:val="100000"/>
                    </w14:srgbClr>
                  </w14:solidFill>
                </w14:textFill>
              </w:rPr>
              <w:t xml:space="preserve">　</w:t>
            </w:r>
            <w:r w:rsidR="001E3B38" w:rsidRPr="001A420F">
              <w:rPr>
                <w:rFonts w:ascii="Arial Narrow" w:hAnsi="Arial Narrow" w:cs="Arial"/>
                <w:bCs/>
                <w:color w:val="000000"/>
                <w:sz w:val="20"/>
                <w:szCs w:val="20"/>
                <w:vertAlign w:val="superscript"/>
              </w:rPr>
              <w:t>3</w:t>
            </w:r>
          </w:p>
        </w:tc>
      </w:tr>
      <w:tr w:rsidR="006724ED" w:rsidRPr="00561FF2" w14:paraId="129C9D41" w14:textId="77777777" w:rsidTr="00837075">
        <w:tc>
          <w:tcPr>
            <w:tcW w:w="911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702A1" w14:textId="14858D86" w:rsidR="006724ED" w:rsidRPr="00561FF2" w:rsidRDefault="00837075" w:rsidP="006724ED">
            <w:pPr>
              <w:keepNext/>
              <w:jc w:val="left"/>
              <w:rPr>
                <w:rFonts w:ascii="Arial Narrow" w:eastAsiaTheme="majorEastAsia" w:hAnsi="Arial Narrow"/>
                <w:b/>
                <w:color w:val="000000"/>
                <w:sz w:val="20"/>
                <w:szCs w:val="20"/>
              </w:rPr>
            </w:pPr>
            <w:r w:rsidRPr="00561FF2">
              <w:rPr>
                <w:rFonts w:ascii="Arial Narrow" w:eastAsiaTheme="majorEastAsia" w:hAnsi="Arial Narrow"/>
                <w:b/>
                <w:color w:val="000000"/>
                <w:sz w:val="20"/>
                <w:szCs w:val="20"/>
              </w:rPr>
              <w:t xml:space="preserve">November </w:t>
            </w:r>
            <w:r w:rsidR="006724ED" w:rsidRPr="00561FF2">
              <w:rPr>
                <w:rFonts w:ascii="Arial Narrow" w:eastAsiaTheme="majorEastAsia" w:hAnsi="Arial Narrow"/>
                <w:b/>
                <w:color w:val="000000"/>
                <w:sz w:val="20"/>
                <w:szCs w:val="20"/>
              </w:rPr>
              <w:t>2023 submission</w:t>
            </w:r>
          </w:p>
        </w:tc>
      </w:tr>
      <w:tr w:rsidR="00837075" w:rsidRPr="00561FF2" w14:paraId="214C776D" w14:textId="77777777" w:rsidTr="00837075">
        <w:tc>
          <w:tcPr>
            <w:tcW w:w="911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1F3A3" w14:textId="77777777" w:rsidR="00837075" w:rsidRPr="00561FF2" w:rsidRDefault="00837075" w:rsidP="00446AA5">
            <w:pPr>
              <w:keepNext/>
              <w:jc w:val="left"/>
              <w:rPr>
                <w:rFonts w:ascii="Arial Narrow" w:eastAsiaTheme="majorEastAsia" w:hAnsi="Arial Narrow"/>
                <w:b/>
                <w:color w:val="000000"/>
                <w:sz w:val="20"/>
                <w:szCs w:val="20"/>
              </w:rPr>
            </w:pPr>
            <w:r w:rsidRPr="00561FF2">
              <w:rPr>
                <w:rFonts w:ascii="Arial Narrow" w:eastAsiaTheme="majorEastAsia" w:hAnsi="Arial Narrow"/>
                <w:b/>
                <w:color w:val="000000"/>
                <w:sz w:val="20"/>
                <w:szCs w:val="20"/>
              </w:rPr>
              <w:t>Estimated extent of use</w:t>
            </w:r>
          </w:p>
        </w:tc>
      </w:tr>
      <w:tr w:rsidR="00837075" w:rsidRPr="00561FF2" w14:paraId="4E52D449" w14:textId="77777777" w:rsidTr="00837075">
        <w:tc>
          <w:tcPr>
            <w:tcW w:w="2635" w:type="dxa"/>
            <w:shd w:val="clear" w:color="auto" w:fill="DBE5F1" w:themeFill="accent1" w:themeFillTint="33"/>
            <w:vAlign w:val="center"/>
          </w:tcPr>
          <w:p w14:paraId="0D8E67D1" w14:textId="77777777" w:rsidR="00837075" w:rsidRPr="00561FF2" w:rsidRDefault="00837075" w:rsidP="00446AA5">
            <w:pPr>
              <w:keepNext/>
              <w:jc w:val="left"/>
              <w:rPr>
                <w:rFonts w:ascii="Arial Narrow" w:eastAsiaTheme="majorEastAsia" w:hAnsi="Arial Narrow" w:cstheme="majorBidi"/>
                <w:bCs/>
                <w:sz w:val="20"/>
                <w:szCs w:val="20"/>
                <w:vertAlign w:val="superscript"/>
              </w:rPr>
            </w:pPr>
            <w:r w:rsidRPr="00561FF2">
              <w:rPr>
                <w:rFonts w:ascii="Arial Narrow" w:eastAsiaTheme="majorEastAsia" w:hAnsi="Arial Narrow" w:cstheme="majorBidi"/>
                <w:bCs/>
                <w:sz w:val="20"/>
                <w:szCs w:val="20"/>
              </w:rPr>
              <w:t>Number of patients treated</w:t>
            </w:r>
          </w:p>
        </w:tc>
        <w:tc>
          <w:tcPr>
            <w:tcW w:w="1080" w:type="dxa"/>
            <w:shd w:val="clear" w:color="auto" w:fill="DBE5F1" w:themeFill="accent1" w:themeFillTint="33"/>
            <w:vAlign w:val="center"/>
          </w:tcPr>
          <w:p w14:paraId="2B3180E3" w14:textId="6752866F" w:rsidR="00837075" w:rsidRPr="00561FF2" w:rsidRDefault="00E447F1" w:rsidP="00446AA5">
            <w:pPr>
              <w:keepNext/>
              <w:jc w:val="center"/>
              <w:rPr>
                <w:rFonts w:ascii="Arial Narrow" w:eastAsiaTheme="majorEastAsia" w:hAnsi="Arial Narrow" w:cstheme="majorBidi"/>
                <w:bCs/>
                <w:color w:val="000000"/>
                <w:sz w:val="20"/>
                <w:szCs w:val="20"/>
                <w:vertAlign w:val="superscript"/>
              </w:rPr>
            </w:pPr>
            <w:r w:rsidRPr="00E447F1">
              <w:rPr>
                <w:rFonts w:ascii="Arial Narrow" w:eastAsiaTheme="majorEastAsia" w:hAnsi="Arial Narrow" w:cstheme="majorBidi" w:hint="eastAsia"/>
                <w:color w:val="000000" w:themeColor="text1"/>
                <w:w w:val="22"/>
                <w:sz w:val="20"/>
                <w:szCs w:val="20"/>
                <w:shd w:val="solid" w:color="000000" w:fill="000000"/>
                <w:fitText w:val="100" w:id="-961840629"/>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22"/>
                <w:sz w:val="20"/>
                <w:szCs w:val="20"/>
                <w:shd w:val="solid" w:color="000000" w:fill="000000"/>
                <w:fitText w:val="100" w:id="-961840629"/>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3"/>
                <w:w w:val="22"/>
                <w:sz w:val="20"/>
                <w:szCs w:val="20"/>
                <w:shd w:val="solid" w:color="000000" w:fill="000000"/>
                <w:fitText w:val="100" w:id="-961840629"/>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r w:rsidR="00837075" w:rsidRPr="00561FF2">
              <w:rPr>
                <w:rFonts w:ascii="Arial Narrow" w:eastAsiaTheme="majorEastAsia" w:hAnsi="Arial Narrow" w:cstheme="majorBidi"/>
                <w:color w:val="000000" w:themeColor="text1"/>
                <w:sz w:val="20"/>
                <w:szCs w:val="20"/>
                <w:vertAlign w:val="superscript"/>
              </w:rPr>
              <w:t>a</w:t>
            </w:r>
          </w:p>
        </w:tc>
        <w:tc>
          <w:tcPr>
            <w:tcW w:w="1080" w:type="dxa"/>
            <w:shd w:val="clear" w:color="auto" w:fill="DBE5F1" w:themeFill="accent1" w:themeFillTint="33"/>
            <w:vAlign w:val="center"/>
          </w:tcPr>
          <w:p w14:paraId="252A54A4" w14:textId="3D4F852B"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color w:val="000000" w:themeColor="text1"/>
                <w:w w:val="15"/>
                <w:sz w:val="20"/>
                <w:szCs w:val="20"/>
                <w:shd w:val="solid" w:color="000000" w:fill="000000"/>
                <w:fitText w:val="62" w:id="-961840628"/>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15"/>
                <w:sz w:val="20"/>
                <w:szCs w:val="20"/>
                <w:shd w:val="solid" w:color="000000" w:fill="000000"/>
                <w:fitText w:val="62" w:id="-961840628"/>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3"/>
                <w:w w:val="15"/>
                <w:sz w:val="20"/>
                <w:szCs w:val="20"/>
                <w:shd w:val="solid" w:color="000000" w:fill="000000"/>
                <w:fitText w:val="62" w:id="-961840628"/>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shd w:val="clear" w:color="auto" w:fill="DBE5F1" w:themeFill="accent1" w:themeFillTint="33"/>
            <w:vAlign w:val="center"/>
          </w:tcPr>
          <w:p w14:paraId="63FDD8B0" w14:textId="10EEAD15"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color w:val="000000" w:themeColor="text1"/>
                <w:w w:val="15"/>
                <w:sz w:val="20"/>
                <w:szCs w:val="20"/>
                <w:shd w:val="solid" w:color="000000" w:fill="000000"/>
                <w:fitText w:val="63" w:id="-961840627"/>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15"/>
                <w:sz w:val="20"/>
                <w:szCs w:val="20"/>
                <w:shd w:val="solid" w:color="000000" w:fill="000000"/>
                <w:fitText w:val="63" w:id="-961840627"/>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2"/>
                <w:w w:val="15"/>
                <w:sz w:val="20"/>
                <w:szCs w:val="20"/>
                <w:shd w:val="solid" w:color="000000" w:fill="000000"/>
                <w:fitText w:val="63" w:id="-961840627"/>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shd w:val="clear" w:color="auto" w:fill="DBE5F1" w:themeFill="accent1" w:themeFillTint="33"/>
            <w:vAlign w:val="center"/>
          </w:tcPr>
          <w:p w14:paraId="1C6ED239" w14:textId="1B3CC0FF"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color w:val="000000" w:themeColor="text1"/>
                <w:w w:val="15"/>
                <w:sz w:val="20"/>
                <w:szCs w:val="20"/>
                <w:shd w:val="solid" w:color="000000" w:fill="000000"/>
                <w:fitText w:val="63" w:id="-961840626"/>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15"/>
                <w:sz w:val="20"/>
                <w:szCs w:val="20"/>
                <w:shd w:val="solid" w:color="000000" w:fill="000000"/>
                <w:fitText w:val="63" w:id="-961840626"/>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2"/>
                <w:w w:val="15"/>
                <w:sz w:val="20"/>
                <w:szCs w:val="20"/>
                <w:shd w:val="solid" w:color="000000" w:fill="000000"/>
                <w:fitText w:val="63" w:id="-961840626"/>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shd w:val="clear" w:color="auto" w:fill="DBE5F1" w:themeFill="accent1" w:themeFillTint="33"/>
            <w:vAlign w:val="center"/>
          </w:tcPr>
          <w:p w14:paraId="628398F7" w14:textId="44581611"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color w:val="000000" w:themeColor="text1"/>
                <w:w w:val="15"/>
                <w:sz w:val="20"/>
                <w:szCs w:val="20"/>
                <w:shd w:val="solid" w:color="000000" w:fill="000000"/>
                <w:fitText w:val="62" w:id="-961840625"/>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15"/>
                <w:sz w:val="20"/>
                <w:szCs w:val="20"/>
                <w:shd w:val="solid" w:color="000000" w:fill="000000"/>
                <w:fitText w:val="62" w:id="-961840625"/>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3"/>
                <w:w w:val="15"/>
                <w:sz w:val="20"/>
                <w:szCs w:val="20"/>
                <w:shd w:val="solid" w:color="000000" w:fill="000000"/>
                <w:fitText w:val="62" w:id="-961840625"/>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shd w:val="clear" w:color="auto" w:fill="DBE5F1" w:themeFill="accent1" w:themeFillTint="33"/>
            <w:vAlign w:val="center"/>
          </w:tcPr>
          <w:p w14:paraId="6D9027C6" w14:textId="49C33724"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color w:val="000000" w:themeColor="text1"/>
                <w:w w:val="15"/>
                <w:sz w:val="20"/>
                <w:szCs w:val="20"/>
                <w:shd w:val="solid" w:color="000000" w:fill="000000"/>
                <w:fitText w:val="62" w:id="-961840624"/>
                <w14:textFill>
                  <w14:solidFill>
                    <w14:schemeClr w14:val="tx1">
                      <w14:alpha w14:val="100000"/>
                    </w14:schemeClr>
                  </w14:solidFill>
                </w14:textFill>
              </w:rPr>
              <w:t xml:space="preserve">　</w:t>
            </w:r>
            <w:r w:rsidRPr="00E447F1">
              <w:rPr>
                <w:rFonts w:ascii="Arial Narrow" w:eastAsiaTheme="majorEastAsia" w:hAnsi="Arial Narrow" w:cstheme="majorBidi"/>
                <w:color w:val="000000" w:themeColor="text1"/>
                <w:w w:val="15"/>
                <w:sz w:val="20"/>
                <w:szCs w:val="20"/>
                <w:shd w:val="solid" w:color="000000" w:fill="000000"/>
                <w:fitText w:val="62" w:id="-961840624"/>
                <w14:textFill>
                  <w14:solidFill>
                    <w14:schemeClr w14:val="tx1">
                      <w14:alpha w14:val="100000"/>
                    </w14:schemeClr>
                  </w14:solidFill>
                </w14:textFill>
              </w:rPr>
              <w:t>|</w:t>
            </w:r>
            <w:r w:rsidRPr="00E447F1">
              <w:rPr>
                <w:rFonts w:ascii="Arial Narrow" w:eastAsiaTheme="majorEastAsia" w:hAnsi="Arial Narrow" w:cstheme="majorBidi" w:hint="eastAsia"/>
                <w:color w:val="000000" w:themeColor="text1"/>
                <w:spacing w:val="-3"/>
                <w:w w:val="15"/>
                <w:sz w:val="20"/>
                <w:szCs w:val="20"/>
                <w:shd w:val="solid" w:color="000000" w:fill="000000"/>
                <w:fitText w:val="62" w:id="-961840624"/>
                <w14:textFill>
                  <w14:solidFill>
                    <w14:schemeClr w14:val="tx1">
                      <w14:alpha w14:val="100000"/>
                    </w14:schemeClr>
                  </w14:solidFill>
                </w14:textFill>
              </w:rPr>
              <w:t xml:space="preserve">　</w:t>
            </w:r>
            <w:r w:rsidR="001E3B38" w:rsidRPr="001A420F">
              <w:rPr>
                <w:rFonts w:ascii="Arial Narrow" w:eastAsiaTheme="majorEastAsia" w:hAnsi="Arial Narrow" w:cstheme="majorBidi"/>
                <w:bCs/>
                <w:sz w:val="20"/>
                <w:szCs w:val="20"/>
                <w:vertAlign w:val="superscript"/>
              </w:rPr>
              <w:t>1</w:t>
            </w:r>
          </w:p>
        </w:tc>
      </w:tr>
      <w:tr w:rsidR="00837075" w:rsidRPr="00561FF2" w14:paraId="3258F1D2" w14:textId="77777777" w:rsidTr="00837075">
        <w:tc>
          <w:tcPr>
            <w:tcW w:w="2635" w:type="dxa"/>
            <w:shd w:val="clear" w:color="auto" w:fill="DBE5F1" w:themeFill="accent1" w:themeFillTint="33"/>
            <w:vAlign w:val="center"/>
          </w:tcPr>
          <w:p w14:paraId="5AA6CA03" w14:textId="77777777" w:rsidR="00837075" w:rsidRPr="00561FF2" w:rsidRDefault="00837075" w:rsidP="00446AA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Number of scripts dispensed</w:t>
            </w:r>
            <w:r w:rsidRPr="00561FF2">
              <w:rPr>
                <w:rFonts w:ascii="Arial Narrow" w:eastAsiaTheme="majorEastAsia" w:hAnsi="Arial Narrow" w:cstheme="majorBidi"/>
                <w:bCs/>
                <w:sz w:val="20"/>
                <w:szCs w:val="20"/>
                <w:vertAlign w:val="superscript"/>
              </w:rPr>
              <w:t>b</w:t>
            </w:r>
          </w:p>
        </w:tc>
        <w:tc>
          <w:tcPr>
            <w:tcW w:w="1080" w:type="dxa"/>
            <w:tcBorders>
              <w:top w:val="nil"/>
              <w:bottom w:val="single" w:sz="4" w:space="0" w:color="auto"/>
            </w:tcBorders>
            <w:shd w:val="clear" w:color="auto" w:fill="DBE5F1" w:themeFill="accent1" w:themeFillTint="33"/>
          </w:tcPr>
          <w:p w14:paraId="4BA0B898" w14:textId="4F12C246" w:rsidR="00837075" w:rsidRPr="00561FF2" w:rsidRDefault="00E447F1" w:rsidP="00446AA5">
            <w:pPr>
              <w:keepNext/>
              <w:jc w:val="center"/>
              <w:rPr>
                <w:rFonts w:ascii="Arial Narrow" w:eastAsiaTheme="majorEastAsia" w:hAnsi="Arial Narrow" w:cstheme="majorBidi"/>
                <w:bCs/>
                <w:color w:val="000000"/>
                <w:sz w:val="20"/>
                <w:szCs w:val="20"/>
              </w:rPr>
            </w:pPr>
            <w:r w:rsidRPr="00E447F1">
              <w:rPr>
                <w:rFonts w:ascii="Arial Narrow" w:eastAsiaTheme="majorEastAsia" w:hAnsi="Arial Narrow" w:cstheme="majorBidi" w:hint="eastAsia"/>
                <w:bCs/>
                <w:color w:val="000000"/>
                <w:w w:val="15"/>
                <w:sz w:val="20"/>
                <w:szCs w:val="20"/>
                <w:shd w:val="solid" w:color="000000" w:fill="000000"/>
                <w:fitText w:val="62" w:id="-961840640"/>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40"/>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40"/>
                <w14:textFill>
                  <w14:solidFill>
                    <w14:srgbClr w14:val="000000">
                      <w14:alpha w14:val="100000"/>
                    </w14:srgbClr>
                  </w14:solidFill>
                </w14:textFill>
              </w:rPr>
              <w:t xml:space="preserve">　</w:t>
            </w:r>
            <w:r w:rsidR="001E3B38" w:rsidRPr="001007E0">
              <w:rPr>
                <w:rFonts w:ascii="Arial Narrow" w:eastAsiaTheme="majorEastAsia" w:hAnsi="Arial Narrow" w:cs="Arial"/>
                <w:bCs/>
                <w:sz w:val="20"/>
                <w:szCs w:val="20"/>
                <w:vertAlign w:val="superscript"/>
              </w:rPr>
              <w:t>2</w:t>
            </w:r>
          </w:p>
        </w:tc>
        <w:tc>
          <w:tcPr>
            <w:tcW w:w="1080" w:type="dxa"/>
            <w:tcBorders>
              <w:top w:val="nil"/>
              <w:bottom w:val="single" w:sz="4" w:space="0" w:color="auto"/>
            </w:tcBorders>
            <w:shd w:val="clear" w:color="auto" w:fill="DBE5F1" w:themeFill="accent1" w:themeFillTint="33"/>
          </w:tcPr>
          <w:p w14:paraId="6FD68172" w14:textId="1DDC51E3"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9"/>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9"/>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9"/>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nil"/>
              <w:bottom w:val="single" w:sz="4" w:space="0" w:color="auto"/>
            </w:tcBorders>
            <w:shd w:val="clear" w:color="auto" w:fill="DBE5F1" w:themeFill="accent1" w:themeFillTint="33"/>
          </w:tcPr>
          <w:p w14:paraId="1330F7A4" w14:textId="37E314C3"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638"/>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638"/>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638"/>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nil"/>
              <w:bottom w:val="single" w:sz="4" w:space="0" w:color="auto"/>
            </w:tcBorders>
            <w:shd w:val="clear" w:color="auto" w:fill="DBE5F1" w:themeFill="accent1" w:themeFillTint="33"/>
          </w:tcPr>
          <w:p w14:paraId="5899008E" w14:textId="0EBCEC4C"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637"/>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637"/>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637"/>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nil"/>
              <w:bottom w:val="single" w:sz="4" w:space="0" w:color="auto"/>
            </w:tcBorders>
            <w:shd w:val="clear" w:color="auto" w:fill="DBE5F1" w:themeFill="accent1" w:themeFillTint="33"/>
          </w:tcPr>
          <w:p w14:paraId="00B72759" w14:textId="2EDAD207"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6"/>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6"/>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6"/>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c>
          <w:tcPr>
            <w:tcW w:w="1080" w:type="dxa"/>
            <w:tcBorders>
              <w:top w:val="nil"/>
              <w:bottom w:val="single" w:sz="4" w:space="0" w:color="auto"/>
            </w:tcBorders>
            <w:shd w:val="clear" w:color="auto" w:fill="DBE5F1" w:themeFill="accent1" w:themeFillTint="33"/>
          </w:tcPr>
          <w:p w14:paraId="0D6D3A0E" w14:textId="0260F581" w:rsidR="00837075" w:rsidRPr="001007E0" w:rsidRDefault="00E447F1" w:rsidP="00446AA5">
            <w:pPr>
              <w:keepNext/>
              <w:jc w:val="center"/>
              <w:rPr>
                <w:rFonts w:ascii="Arial Narrow" w:eastAsiaTheme="majorEastAsia" w:hAnsi="Arial Narrow" w:cstheme="majorBidi"/>
                <w:bCs/>
                <w:color w:val="000000"/>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635"/>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635"/>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635"/>
                <w14:textFill>
                  <w14:solidFill>
                    <w14:srgbClr w14:val="000000">
                      <w14:alpha w14:val="100000"/>
                    </w14:srgbClr>
                  </w14:solidFill>
                </w14:textFill>
              </w:rPr>
              <w:t xml:space="preserve">　</w:t>
            </w:r>
            <w:r w:rsidR="001E3B38" w:rsidRPr="001A420F">
              <w:rPr>
                <w:rFonts w:ascii="Arial Narrow" w:eastAsiaTheme="majorEastAsia" w:hAnsi="Arial Narrow" w:cstheme="majorBidi"/>
                <w:bCs/>
                <w:sz w:val="20"/>
                <w:szCs w:val="20"/>
                <w:vertAlign w:val="superscript"/>
              </w:rPr>
              <w:t>1</w:t>
            </w:r>
          </w:p>
        </w:tc>
      </w:tr>
      <w:tr w:rsidR="00837075" w:rsidRPr="00561FF2" w14:paraId="0DC525FD" w14:textId="77777777" w:rsidTr="00837075">
        <w:tc>
          <w:tcPr>
            <w:tcW w:w="9115" w:type="dxa"/>
            <w:gridSpan w:val="7"/>
            <w:shd w:val="clear" w:color="auto" w:fill="DBE5F1" w:themeFill="accent1" w:themeFillTint="33"/>
            <w:vAlign w:val="center"/>
          </w:tcPr>
          <w:p w14:paraId="1941D640" w14:textId="77777777" w:rsidR="00837075" w:rsidRPr="00561FF2" w:rsidRDefault="00837075" w:rsidP="00446AA5">
            <w:pPr>
              <w:keepNext/>
              <w:jc w:val="left"/>
              <w:rPr>
                <w:rFonts w:ascii="Arial Narrow" w:eastAsiaTheme="majorEastAsia" w:hAnsi="Arial Narrow"/>
                <w:b/>
                <w:sz w:val="20"/>
                <w:szCs w:val="20"/>
              </w:rPr>
            </w:pPr>
            <w:r w:rsidRPr="00561FF2">
              <w:rPr>
                <w:rFonts w:ascii="Arial Narrow" w:eastAsiaTheme="majorEastAsia" w:hAnsi="Arial Narrow"/>
                <w:b/>
                <w:sz w:val="20"/>
                <w:szCs w:val="20"/>
              </w:rPr>
              <w:t>Estimated financial implications of cabozantinib</w:t>
            </w:r>
          </w:p>
        </w:tc>
      </w:tr>
      <w:tr w:rsidR="00837075" w:rsidRPr="00561FF2" w14:paraId="6A7D97FF" w14:textId="77777777" w:rsidTr="00837075">
        <w:tc>
          <w:tcPr>
            <w:tcW w:w="2635" w:type="dxa"/>
            <w:shd w:val="clear" w:color="auto" w:fill="DBE5F1" w:themeFill="accent1" w:themeFillTint="33"/>
            <w:vAlign w:val="center"/>
          </w:tcPr>
          <w:p w14:paraId="5F4F16BD" w14:textId="02003120" w:rsidR="00837075" w:rsidRPr="00561FF2" w:rsidRDefault="00837075" w:rsidP="00446AA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Cost to PBS/RPBS less co</w:t>
            </w:r>
            <w:r w:rsidR="00561FF2">
              <w:rPr>
                <w:rFonts w:ascii="Arial Narrow" w:eastAsiaTheme="majorEastAsia" w:hAnsi="Arial Narrow" w:cstheme="majorBidi"/>
                <w:bCs/>
                <w:sz w:val="20"/>
                <w:szCs w:val="20"/>
              </w:rPr>
              <w:t>-</w:t>
            </w:r>
            <w:r w:rsidRPr="00561FF2">
              <w:rPr>
                <w:rFonts w:ascii="Arial Narrow" w:eastAsiaTheme="majorEastAsia" w:hAnsi="Arial Narrow" w:cstheme="majorBidi"/>
                <w:bCs/>
                <w:sz w:val="20"/>
                <w:szCs w:val="20"/>
              </w:rPr>
              <w:t>payments</w:t>
            </w:r>
          </w:p>
        </w:tc>
        <w:tc>
          <w:tcPr>
            <w:tcW w:w="1080" w:type="dxa"/>
            <w:shd w:val="clear" w:color="auto" w:fill="DBE5F1" w:themeFill="accent1" w:themeFillTint="33"/>
            <w:vAlign w:val="center"/>
          </w:tcPr>
          <w:p w14:paraId="78283F37" w14:textId="356E49F7"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2" w:id="-961840634"/>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2" w:id="-961840634"/>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3"/>
                <w:w w:val="15"/>
                <w:sz w:val="20"/>
                <w:szCs w:val="20"/>
                <w:shd w:val="solid" w:color="000000" w:fill="000000"/>
                <w:fitText w:val="62" w:id="-961840634"/>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B0E0E60" w14:textId="403B7960"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2" w:id="-961840384"/>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2" w:id="-961840384"/>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3"/>
                <w:w w:val="15"/>
                <w:sz w:val="20"/>
                <w:szCs w:val="20"/>
                <w:shd w:val="solid" w:color="000000" w:fill="000000"/>
                <w:fitText w:val="62" w:id="-961840384"/>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254A5A35" w14:textId="36E2BBA7"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3" w:id="-961840383"/>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3" w:id="-961840383"/>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2"/>
                <w:w w:val="15"/>
                <w:sz w:val="20"/>
                <w:szCs w:val="20"/>
                <w:shd w:val="solid" w:color="000000" w:fill="000000"/>
                <w:fitText w:val="63" w:id="-961840383"/>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0737B39" w14:textId="627ECD5F"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3" w:id="-961840382"/>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3" w:id="-961840382"/>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2"/>
                <w:w w:val="15"/>
                <w:sz w:val="20"/>
                <w:szCs w:val="20"/>
                <w:shd w:val="solid" w:color="000000" w:fill="000000"/>
                <w:fitText w:val="63" w:id="-961840382"/>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594AF69F" w14:textId="6768721B"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2" w:id="-961840381"/>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2" w:id="-961840381"/>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3"/>
                <w:w w:val="15"/>
                <w:sz w:val="20"/>
                <w:szCs w:val="20"/>
                <w:shd w:val="solid" w:color="000000" w:fill="000000"/>
                <w:fitText w:val="62" w:id="-961840381"/>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2BE42574" w14:textId="09A38143"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color w:val="000000"/>
                <w:w w:val="15"/>
                <w:sz w:val="20"/>
                <w:szCs w:val="20"/>
                <w:shd w:val="solid" w:color="000000" w:fill="000000"/>
                <w:fitText w:val="62" w:id="-961840380"/>
                <w14:textFill>
                  <w14:solidFill>
                    <w14:srgbClr w14:val="000000">
                      <w14:alpha w14:val="100000"/>
                    </w14:srgbClr>
                  </w14:solidFill>
                </w14:textFill>
              </w:rPr>
              <w:t xml:space="preserve">　</w:t>
            </w:r>
            <w:r w:rsidRPr="00E447F1">
              <w:rPr>
                <w:rFonts w:ascii="Arial Narrow" w:eastAsiaTheme="majorEastAsia" w:hAnsi="Arial Narrow" w:cstheme="majorBidi"/>
                <w:color w:val="000000"/>
                <w:w w:val="15"/>
                <w:sz w:val="20"/>
                <w:szCs w:val="20"/>
                <w:shd w:val="solid" w:color="000000" w:fill="000000"/>
                <w:fitText w:val="62" w:id="-961840380"/>
                <w14:textFill>
                  <w14:solidFill>
                    <w14:srgbClr w14:val="000000">
                      <w14:alpha w14:val="100000"/>
                    </w14:srgbClr>
                  </w14:solidFill>
                </w14:textFill>
              </w:rPr>
              <w:t>|</w:t>
            </w:r>
            <w:r w:rsidRPr="00E447F1">
              <w:rPr>
                <w:rFonts w:ascii="Arial Narrow" w:eastAsiaTheme="majorEastAsia" w:hAnsi="Arial Narrow" w:cstheme="majorBidi" w:hint="eastAsia"/>
                <w:color w:val="000000"/>
                <w:spacing w:val="-3"/>
                <w:w w:val="15"/>
                <w:sz w:val="20"/>
                <w:szCs w:val="20"/>
                <w:shd w:val="solid" w:color="000000" w:fill="000000"/>
                <w:fitText w:val="62" w:id="-961840380"/>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r>
      <w:tr w:rsidR="00837075" w:rsidRPr="00561FF2" w14:paraId="1477DB91" w14:textId="77777777" w:rsidTr="00837075">
        <w:tc>
          <w:tcPr>
            <w:tcW w:w="9115" w:type="dxa"/>
            <w:gridSpan w:val="7"/>
            <w:shd w:val="clear" w:color="auto" w:fill="DBE5F1" w:themeFill="accent1" w:themeFillTint="33"/>
            <w:vAlign w:val="center"/>
          </w:tcPr>
          <w:p w14:paraId="6F3D0F10" w14:textId="77777777" w:rsidR="00837075" w:rsidRPr="00561FF2" w:rsidRDefault="00837075" w:rsidP="00446AA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Estimated financial implications for other medicines</w:t>
            </w:r>
          </w:p>
        </w:tc>
      </w:tr>
      <w:tr w:rsidR="00837075" w:rsidRPr="00561FF2" w14:paraId="50991BC0" w14:textId="77777777" w:rsidTr="00837075">
        <w:tc>
          <w:tcPr>
            <w:tcW w:w="2635" w:type="dxa"/>
            <w:shd w:val="clear" w:color="auto" w:fill="DBE5F1" w:themeFill="accent1" w:themeFillTint="33"/>
            <w:vAlign w:val="center"/>
          </w:tcPr>
          <w:p w14:paraId="552EFBCD" w14:textId="14CC73E8" w:rsidR="00837075" w:rsidRPr="00561FF2" w:rsidRDefault="00837075" w:rsidP="00446AA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Cost to PBS/RPBS less co</w:t>
            </w:r>
            <w:r w:rsidR="00561FF2">
              <w:rPr>
                <w:rFonts w:ascii="Arial Narrow" w:eastAsiaTheme="majorEastAsia" w:hAnsi="Arial Narrow" w:cstheme="majorBidi"/>
                <w:bCs/>
                <w:sz w:val="20"/>
                <w:szCs w:val="20"/>
              </w:rPr>
              <w:t>-</w:t>
            </w:r>
            <w:r w:rsidRPr="00561FF2">
              <w:rPr>
                <w:rFonts w:ascii="Arial Narrow" w:eastAsiaTheme="majorEastAsia" w:hAnsi="Arial Narrow" w:cstheme="majorBidi"/>
                <w:bCs/>
                <w:sz w:val="20"/>
                <w:szCs w:val="20"/>
              </w:rPr>
              <w:t>payments</w:t>
            </w:r>
          </w:p>
        </w:tc>
        <w:tc>
          <w:tcPr>
            <w:tcW w:w="1080" w:type="dxa"/>
            <w:tcBorders>
              <w:top w:val="single" w:sz="4" w:space="0" w:color="auto"/>
              <w:bottom w:val="single" w:sz="4" w:space="0" w:color="auto"/>
            </w:tcBorders>
            <w:shd w:val="clear" w:color="auto" w:fill="DBE5F1" w:themeFill="accent1" w:themeFillTint="33"/>
            <w:vAlign w:val="center"/>
          </w:tcPr>
          <w:p w14:paraId="067ED52C" w14:textId="6FDBA6EE"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79"/>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79"/>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79"/>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4AC4A976" w14:textId="3FE4038E"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78"/>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78"/>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78"/>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75A601B6" w14:textId="0449D78D"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377"/>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377"/>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377"/>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7C9C87E4" w14:textId="15158553"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376"/>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376"/>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376"/>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1C1641DF" w14:textId="18AE7D48"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75"/>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75"/>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75"/>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1CE9CE39" w14:textId="5E786F1A"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74"/>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74"/>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74"/>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r>
      <w:tr w:rsidR="00837075" w:rsidRPr="00561FF2" w14:paraId="1DC4DFBC" w14:textId="77777777" w:rsidTr="00837075">
        <w:tc>
          <w:tcPr>
            <w:tcW w:w="9115" w:type="dxa"/>
            <w:gridSpan w:val="7"/>
            <w:shd w:val="clear" w:color="auto" w:fill="DBE5F1" w:themeFill="accent1" w:themeFillTint="33"/>
            <w:vAlign w:val="center"/>
          </w:tcPr>
          <w:p w14:paraId="1CCA73B0" w14:textId="77777777" w:rsidR="00837075" w:rsidRPr="00561FF2" w:rsidRDefault="00837075" w:rsidP="00446AA5">
            <w:pPr>
              <w:keepNext/>
              <w:jc w:val="left"/>
              <w:rPr>
                <w:rFonts w:ascii="Arial Narrow" w:eastAsiaTheme="majorEastAsia" w:hAnsi="Arial Narrow"/>
                <w:b/>
                <w:sz w:val="20"/>
                <w:szCs w:val="20"/>
              </w:rPr>
            </w:pPr>
            <w:r w:rsidRPr="00561FF2">
              <w:rPr>
                <w:rFonts w:ascii="Arial Narrow" w:eastAsiaTheme="majorEastAsia" w:hAnsi="Arial Narrow"/>
                <w:b/>
                <w:sz w:val="20"/>
                <w:szCs w:val="20"/>
              </w:rPr>
              <w:t>Net financial implications</w:t>
            </w:r>
            <w:r w:rsidRPr="00561FF2">
              <w:rPr>
                <w:rFonts w:ascii="Arial Narrow" w:eastAsiaTheme="majorEastAsia" w:hAnsi="Arial Narrow"/>
                <w:b/>
                <w:color w:val="4BACC6" w:themeColor="accent5"/>
                <w:sz w:val="20"/>
                <w:szCs w:val="20"/>
              </w:rPr>
              <w:t xml:space="preserve"> </w:t>
            </w:r>
          </w:p>
        </w:tc>
      </w:tr>
      <w:tr w:rsidR="00837075" w:rsidRPr="00561FF2" w14:paraId="3408967F" w14:textId="77777777" w:rsidTr="00837075">
        <w:tc>
          <w:tcPr>
            <w:tcW w:w="2635" w:type="dxa"/>
            <w:shd w:val="clear" w:color="auto" w:fill="DBE5F1" w:themeFill="accent1" w:themeFillTint="33"/>
            <w:vAlign w:val="center"/>
          </w:tcPr>
          <w:p w14:paraId="24C7FD00" w14:textId="77777777" w:rsidR="00837075" w:rsidRPr="00561FF2" w:rsidRDefault="00837075" w:rsidP="00446AA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Net cost to PBS/RPBS</w:t>
            </w:r>
          </w:p>
        </w:tc>
        <w:tc>
          <w:tcPr>
            <w:tcW w:w="1080" w:type="dxa"/>
            <w:tcBorders>
              <w:top w:val="single" w:sz="4" w:space="0" w:color="auto"/>
              <w:bottom w:val="single" w:sz="4" w:space="0" w:color="auto"/>
            </w:tcBorders>
            <w:shd w:val="clear" w:color="auto" w:fill="DBE5F1" w:themeFill="accent1" w:themeFillTint="33"/>
            <w:vAlign w:val="center"/>
          </w:tcPr>
          <w:p w14:paraId="2741AA57" w14:textId="615CD9EF"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0" w:id="-961840373"/>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0" w:id="-961840373"/>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2"/>
                <w:w w:val="22"/>
                <w:sz w:val="20"/>
                <w:szCs w:val="20"/>
                <w:shd w:val="solid" w:color="000000" w:fill="000000"/>
                <w:fitText w:val="100" w:id="-961840373"/>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1D308E12" w14:textId="6269780D"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0" w:id="-961840372"/>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0" w:id="-961840372"/>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2"/>
                <w:w w:val="22"/>
                <w:sz w:val="20"/>
                <w:szCs w:val="20"/>
                <w:shd w:val="solid" w:color="000000" w:fill="000000"/>
                <w:fitText w:val="100" w:id="-961840372"/>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6AC7006F" w14:textId="349A490D"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0" w:id="-961840371"/>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0" w:id="-961840371"/>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2"/>
                <w:w w:val="22"/>
                <w:sz w:val="20"/>
                <w:szCs w:val="20"/>
                <w:shd w:val="solid" w:color="000000" w:fill="000000"/>
                <w:fitText w:val="100" w:id="-961840371"/>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6F688F7E" w14:textId="33A29F71"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1" w:id="-961840370"/>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1" w:id="-961840370"/>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3"/>
                <w:w w:val="22"/>
                <w:sz w:val="20"/>
                <w:szCs w:val="20"/>
                <w:shd w:val="solid" w:color="000000" w:fill="000000"/>
                <w:fitText w:val="101" w:id="-961840370"/>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1955C7A4" w14:textId="19BD08D7"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0" w:id="-961840369"/>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0" w:id="-961840369"/>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2"/>
                <w:w w:val="22"/>
                <w:sz w:val="20"/>
                <w:szCs w:val="20"/>
                <w:shd w:val="solid" w:color="000000" w:fill="000000"/>
                <w:fitText w:val="100" w:id="-961840369"/>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tcBorders>
              <w:top w:val="single" w:sz="4" w:space="0" w:color="auto"/>
              <w:bottom w:val="single" w:sz="4" w:space="0" w:color="auto"/>
            </w:tcBorders>
            <w:shd w:val="clear" w:color="auto" w:fill="DBE5F1" w:themeFill="accent1" w:themeFillTint="33"/>
            <w:vAlign w:val="center"/>
          </w:tcPr>
          <w:p w14:paraId="0AD8A397" w14:textId="7C89D70F"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color w:val="000000"/>
                <w:w w:val="22"/>
                <w:sz w:val="20"/>
                <w:szCs w:val="20"/>
                <w:shd w:val="solid" w:color="000000" w:fill="000000"/>
                <w:fitText w:val="100" w:id="-961840368"/>
                <w14:textFill>
                  <w14:solidFill>
                    <w14:srgbClr w14:val="000000">
                      <w14:alpha w14:val="100000"/>
                    </w14:srgbClr>
                  </w14:solidFill>
                </w14:textFill>
              </w:rPr>
              <w:t xml:space="preserve">　</w:t>
            </w:r>
            <w:r w:rsidRPr="00E447F1">
              <w:rPr>
                <w:rFonts w:ascii="Arial Narrow" w:eastAsiaTheme="majorEastAsia" w:hAnsi="Arial Narrow" w:cstheme="majorBidi"/>
                <w:b/>
                <w:color w:val="000000"/>
                <w:w w:val="22"/>
                <w:sz w:val="20"/>
                <w:szCs w:val="20"/>
                <w:shd w:val="solid" w:color="000000" w:fill="000000"/>
                <w:fitText w:val="100" w:id="-961840368"/>
                <w14:textFill>
                  <w14:solidFill>
                    <w14:srgbClr w14:val="000000">
                      <w14:alpha w14:val="100000"/>
                    </w14:srgbClr>
                  </w14:solidFill>
                </w14:textFill>
              </w:rPr>
              <w:t>|</w:t>
            </w:r>
            <w:r w:rsidRPr="00E447F1">
              <w:rPr>
                <w:rFonts w:ascii="Arial Narrow" w:eastAsiaTheme="majorEastAsia" w:hAnsi="Arial Narrow" w:cstheme="majorBidi" w:hint="eastAsia"/>
                <w:b/>
                <w:color w:val="000000"/>
                <w:spacing w:val="2"/>
                <w:w w:val="22"/>
                <w:sz w:val="20"/>
                <w:szCs w:val="20"/>
                <w:shd w:val="solid" w:color="000000" w:fill="000000"/>
                <w:fitText w:val="100" w:id="-961840368"/>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r>
      <w:tr w:rsidR="00837075" w:rsidRPr="00561FF2" w14:paraId="34DF46CD" w14:textId="77777777" w:rsidTr="00837075">
        <w:tc>
          <w:tcPr>
            <w:tcW w:w="2635" w:type="dxa"/>
            <w:shd w:val="clear" w:color="auto" w:fill="DBE5F1" w:themeFill="accent1" w:themeFillTint="33"/>
            <w:vAlign w:val="center"/>
          </w:tcPr>
          <w:p w14:paraId="48825A48" w14:textId="77777777" w:rsidR="00837075" w:rsidRPr="00561FF2" w:rsidRDefault="00837075" w:rsidP="00446AA5">
            <w:pPr>
              <w:keepNext/>
              <w:jc w:val="left"/>
              <w:rPr>
                <w:rFonts w:ascii="Arial Narrow" w:eastAsiaTheme="majorEastAsia" w:hAnsi="Arial Narrow" w:cstheme="majorBidi"/>
                <w:bCs/>
                <w:sz w:val="20"/>
                <w:szCs w:val="20"/>
              </w:rPr>
            </w:pPr>
            <w:r w:rsidRPr="00561FF2">
              <w:rPr>
                <w:rFonts w:ascii="Arial Narrow" w:eastAsiaTheme="majorEastAsia" w:hAnsi="Arial Narrow" w:cstheme="majorBidi"/>
                <w:bCs/>
                <w:sz w:val="20"/>
                <w:szCs w:val="20"/>
              </w:rPr>
              <w:t>Net cost to MBS</w:t>
            </w:r>
          </w:p>
        </w:tc>
        <w:tc>
          <w:tcPr>
            <w:tcW w:w="1080" w:type="dxa"/>
            <w:shd w:val="clear" w:color="auto" w:fill="DBE5F1" w:themeFill="accent1" w:themeFillTint="33"/>
            <w:vAlign w:val="center"/>
          </w:tcPr>
          <w:p w14:paraId="4BCE5552" w14:textId="746A3895"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84"/>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84"/>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84"/>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45AC0A79" w14:textId="3C7BFA2C"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83"/>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83"/>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83"/>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741A9C12" w14:textId="39CE6B20"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382"/>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382"/>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382"/>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BE24FC2" w14:textId="251626B5"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3" w:id="-961840381"/>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3" w:id="-961840381"/>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2"/>
                <w:w w:val="15"/>
                <w:sz w:val="20"/>
                <w:szCs w:val="20"/>
                <w:shd w:val="solid" w:color="000000" w:fill="000000"/>
                <w:fitText w:val="63" w:id="-961840381"/>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741A8AA2" w14:textId="6EC01A84"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80"/>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80"/>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80"/>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9455BCB" w14:textId="1BA4FC7F" w:rsidR="00837075" w:rsidRPr="001007E0" w:rsidRDefault="00E447F1" w:rsidP="00446AA5">
            <w:pPr>
              <w:keepNext/>
              <w:jc w:val="center"/>
              <w:rPr>
                <w:rFonts w:ascii="Arial Narrow" w:eastAsiaTheme="majorEastAsia" w:hAnsi="Arial Narrow" w:cstheme="majorBidi"/>
                <w:bCs/>
                <w:sz w:val="20"/>
                <w:szCs w:val="20"/>
                <w:highlight w:val="lightGray"/>
              </w:rPr>
            </w:pPr>
            <w:r w:rsidRPr="00E447F1">
              <w:rPr>
                <w:rFonts w:ascii="Arial Narrow" w:eastAsiaTheme="majorEastAsia" w:hAnsi="Arial Narrow" w:cstheme="majorBidi" w:hint="eastAsia"/>
                <w:bCs/>
                <w:color w:val="000000"/>
                <w:w w:val="15"/>
                <w:sz w:val="20"/>
                <w:szCs w:val="20"/>
                <w:shd w:val="solid" w:color="000000" w:fill="000000"/>
                <w:fitText w:val="62" w:id="-961840379"/>
                <w14:textFill>
                  <w14:solidFill>
                    <w14:srgbClr w14:val="000000">
                      <w14:alpha w14:val="100000"/>
                    </w14:srgbClr>
                  </w14:solidFill>
                </w14:textFill>
              </w:rPr>
              <w:t xml:space="preserve">　</w:t>
            </w:r>
            <w:r w:rsidRPr="00E447F1">
              <w:rPr>
                <w:rFonts w:ascii="Arial Narrow" w:eastAsiaTheme="majorEastAsia" w:hAnsi="Arial Narrow" w:cstheme="majorBidi"/>
                <w:bCs/>
                <w:color w:val="000000"/>
                <w:w w:val="15"/>
                <w:sz w:val="20"/>
                <w:szCs w:val="20"/>
                <w:shd w:val="solid" w:color="000000" w:fill="000000"/>
                <w:fitText w:val="62" w:id="-961840379"/>
                <w14:textFill>
                  <w14:solidFill>
                    <w14:srgbClr w14:val="000000">
                      <w14:alpha w14:val="100000"/>
                    </w14:srgbClr>
                  </w14:solidFill>
                </w14:textFill>
              </w:rPr>
              <w:t>|</w:t>
            </w:r>
            <w:r w:rsidRPr="00E447F1">
              <w:rPr>
                <w:rFonts w:ascii="Arial Narrow" w:eastAsiaTheme="majorEastAsia" w:hAnsi="Arial Narrow" w:cstheme="majorBidi" w:hint="eastAsia"/>
                <w:bCs/>
                <w:color w:val="000000"/>
                <w:spacing w:val="-3"/>
                <w:w w:val="15"/>
                <w:sz w:val="20"/>
                <w:szCs w:val="20"/>
                <w:shd w:val="solid" w:color="000000" w:fill="000000"/>
                <w:fitText w:val="62" w:id="-961840379"/>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r>
      <w:tr w:rsidR="00837075" w:rsidRPr="00561FF2" w14:paraId="6A28CD1D" w14:textId="77777777" w:rsidTr="00837075">
        <w:tc>
          <w:tcPr>
            <w:tcW w:w="2635" w:type="dxa"/>
            <w:shd w:val="clear" w:color="auto" w:fill="DBE5F1" w:themeFill="accent1" w:themeFillTint="33"/>
            <w:vAlign w:val="center"/>
          </w:tcPr>
          <w:p w14:paraId="74ABE7F5" w14:textId="77777777" w:rsidR="00837075" w:rsidRPr="00561FF2" w:rsidRDefault="00837075" w:rsidP="00446AA5">
            <w:pPr>
              <w:keepNext/>
              <w:jc w:val="left"/>
              <w:rPr>
                <w:rFonts w:ascii="Arial Narrow" w:eastAsiaTheme="majorEastAsia" w:hAnsi="Arial Narrow" w:cstheme="majorBidi"/>
                <w:b/>
                <w:sz w:val="20"/>
                <w:szCs w:val="20"/>
              </w:rPr>
            </w:pPr>
            <w:r w:rsidRPr="00561FF2">
              <w:rPr>
                <w:rFonts w:ascii="Arial Narrow" w:eastAsiaTheme="majorEastAsia" w:hAnsi="Arial Narrow" w:cstheme="majorBidi"/>
                <w:b/>
                <w:sz w:val="20"/>
                <w:szCs w:val="20"/>
              </w:rPr>
              <w:t>Net cost to PBS/RPBS/MBS</w:t>
            </w:r>
          </w:p>
        </w:tc>
        <w:tc>
          <w:tcPr>
            <w:tcW w:w="1080" w:type="dxa"/>
            <w:shd w:val="clear" w:color="auto" w:fill="DBE5F1" w:themeFill="accent1" w:themeFillTint="33"/>
            <w:vAlign w:val="center"/>
          </w:tcPr>
          <w:p w14:paraId="01EE98C5" w14:textId="11215AA0"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0" w:id="-961840378"/>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0" w:id="-961840378"/>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2"/>
                <w:w w:val="22"/>
                <w:sz w:val="20"/>
                <w:szCs w:val="20"/>
                <w:shd w:val="solid" w:color="000000" w:fill="000000"/>
                <w:fitText w:val="100" w:id="-961840378"/>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9676D4C" w14:textId="14E8E13C"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0" w:id="-961840377"/>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0" w:id="-961840377"/>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2"/>
                <w:w w:val="22"/>
                <w:sz w:val="20"/>
                <w:szCs w:val="20"/>
                <w:shd w:val="solid" w:color="000000" w:fill="000000"/>
                <w:fitText w:val="100" w:id="-961840377"/>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4FD8CB23" w14:textId="3C2B04E0"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0" w:id="-961840376"/>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0" w:id="-961840376"/>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2"/>
                <w:w w:val="22"/>
                <w:sz w:val="20"/>
                <w:szCs w:val="20"/>
                <w:shd w:val="solid" w:color="000000" w:fill="000000"/>
                <w:fitText w:val="100" w:id="-961840376"/>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4AF5D5FB" w14:textId="51009238"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1" w:id="-961840375"/>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1" w:id="-961840375"/>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3"/>
                <w:w w:val="22"/>
                <w:sz w:val="20"/>
                <w:szCs w:val="20"/>
                <w:shd w:val="solid" w:color="000000" w:fill="000000"/>
                <w:fitText w:val="101" w:id="-961840375"/>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541ED6F9" w14:textId="467C941A"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0" w:id="-961840374"/>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0" w:id="-961840374"/>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2"/>
                <w:w w:val="22"/>
                <w:sz w:val="20"/>
                <w:szCs w:val="20"/>
                <w:shd w:val="solid" w:color="000000" w:fill="000000"/>
                <w:fitText w:val="100" w:id="-961840374"/>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c>
          <w:tcPr>
            <w:tcW w:w="1080" w:type="dxa"/>
            <w:shd w:val="clear" w:color="auto" w:fill="DBE5F1" w:themeFill="accent1" w:themeFillTint="33"/>
            <w:vAlign w:val="center"/>
          </w:tcPr>
          <w:p w14:paraId="3E29F1AA" w14:textId="40A33D18" w:rsidR="00837075" w:rsidRPr="001007E0" w:rsidRDefault="00E447F1" w:rsidP="00446AA5">
            <w:pPr>
              <w:keepNext/>
              <w:jc w:val="center"/>
              <w:rPr>
                <w:rFonts w:ascii="Arial Narrow" w:eastAsiaTheme="majorEastAsia" w:hAnsi="Arial Narrow" w:cstheme="majorBidi"/>
                <w:b/>
                <w:sz w:val="20"/>
                <w:szCs w:val="20"/>
                <w:highlight w:val="lightGray"/>
              </w:rPr>
            </w:pPr>
            <w:r w:rsidRPr="00E447F1">
              <w:rPr>
                <w:rFonts w:ascii="Arial Narrow" w:eastAsiaTheme="majorEastAsia" w:hAnsi="Arial Narrow" w:cstheme="majorBidi" w:hint="eastAsia"/>
                <w:b/>
                <w:snapToGrid w:val="0"/>
                <w:color w:val="000000"/>
                <w:w w:val="22"/>
                <w:sz w:val="20"/>
                <w:szCs w:val="20"/>
                <w:shd w:val="solid" w:color="000000" w:fill="000000"/>
                <w:fitText w:val="100" w:id="-961840373"/>
                <w14:textFill>
                  <w14:solidFill>
                    <w14:srgbClr w14:val="000000">
                      <w14:alpha w14:val="100000"/>
                    </w14:srgbClr>
                  </w14:solidFill>
                </w14:textFill>
              </w:rPr>
              <w:t xml:space="preserve">　</w:t>
            </w:r>
            <w:r w:rsidRPr="00E447F1">
              <w:rPr>
                <w:rFonts w:ascii="Arial Narrow" w:eastAsiaTheme="majorEastAsia" w:hAnsi="Arial Narrow" w:cstheme="majorBidi"/>
                <w:b/>
                <w:snapToGrid w:val="0"/>
                <w:color w:val="000000"/>
                <w:w w:val="22"/>
                <w:sz w:val="20"/>
                <w:szCs w:val="20"/>
                <w:shd w:val="solid" w:color="000000" w:fill="000000"/>
                <w:fitText w:val="100" w:id="-961840373"/>
                <w14:textFill>
                  <w14:solidFill>
                    <w14:srgbClr w14:val="000000">
                      <w14:alpha w14:val="100000"/>
                    </w14:srgbClr>
                  </w14:solidFill>
                </w14:textFill>
              </w:rPr>
              <w:t>|</w:t>
            </w:r>
            <w:r w:rsidRPr="00E447F1">
              <w:rPr>
                <w:rFonts w:ascii="Arial Narrow" w:eastAsiaTheme="majorEastAsia" w:hAnsi="Arial Narrow" w:cstheme="majorBidi" w:hint="eastAsia"/>
                <w:b/>
                <w:snapToGrid w:val="0"/>
                <w:color w:val="000000"/>
                <w:spacing w:val="2"/>
                <w:w w:val="22"/>
                <w:sz w:val="20"/>
                <w:szCs w:val="20"/>
                <w:shd w:val="solid" w:color="000000" w:fill="000000"/>
                <w:fitText w:val="100" w:id="-961840373"/>
                <w14:textFill>
                  <w14:solidFill>
                    <w14:srgbClr w14:val="000000">
                      <w14:alpha w14:val="100000"/>
                    </w14:srgbClr>
                  </w14:solidFill>
                </w14:textFill>
              </w:rPr>
              <w:t xml:space="preserve">　</w:t>
            </w:r>
            <w:r w:rsidR="002E31B2" w:rsidRPr="001A420F">
              <w:rPr>
                <w:rFonts w:ascii="Arial Narrow" w:hAnsi="Arial Narrow" w:cs="Arial"/>
                <w:bCs/>
                <w:color w:val="000000"/>
                <w:sz w:val="20"/>
                <w:szCs w:val="20"/>
                <w:vertAlign w:val="superscript"/>
              </w:rPr>
              <w:t>3</w:t>
            </w:r>
          </w:p>
        </w:tc>
      </w:tr>
    </w:tbl>
    <w:p w14:paraId="73ED7F4D" w14:textId="0BA62185" w:rsidR="00837075" w:rsidRPr="00561FF2" w:rsidRDefault="00837075" w:rsidP="00837075">
      <w:pPr>
        <w:pStyle w:val="TableFootnotetext"/>
        <w:rPr>
          <w:rFonts w:ascii="Arial Narrow" w:hAnsi="Arial Narrow"/>
          <w:sz w:val="18"/>
          <w:szCs w:val="18"/>
        </w:rPr>
      </w:pPr>
      <w:r w:rsidRPr="00561FF2">
        <w:rPr>
          <w:rFonts w:ascii="Arial Narrow" w:hAnsi="Arial Narrow"/>
          <w:sz w:val="18"/>
          <w:szCs w:val="18"/>
        </w:rPr>
        <w:t>Source: Tables 4-2, 4-4 and 4-6, pp29, 31 and 33 of the March 2024 early re-entry resubmission, Cabometyx DTC Section 4 Resubmission March 2024 FINAL excel workbook and Table 23, p41 of the cabozantinib minutes, November 2023</w:t>
      </w:r>
    </w:p>
    <w:p w14:paraId="05A1F7B1" w14:textId="251D15CB" w:rsidR="00837075" w:rsidRPr="00561FF2" w:rsidRDefault="00837075" w:rsidP="00837075">
      <w:pPr>
        <w:pStyle w:val="TableFootnotetext"/>
        <w:rPr>
          <w:rFonts w:ascii="Arial Narrow" w:hAnsi="Arial Narrow"/>
          <w:b/>
          <w:sz w:val="18"/>
          <w:szCs w:val="18"/>
        </w:rPr>
      </w:pPr>
      <w:r w:rsidRPr="00561FF2">
        <w:rPr>
          <w:rFonts w:ascii="Arial Narrow" w:hAnsi="Arial Narrow"/>
          <w:sz w:val="18"/>
          <w:szCs w:val="18"/>
        </w:rPr>
        <w:t>MBS = Medicare Benefits Schedule; PBS = Pharmaceutical Benefits Scheme; RPBS = Repatriation Pharmaceutical Benefits Scheme</w:t>
      </w:r>
    </w:p>
    <w:p w14:paraId="79399485" w14:textId="6E7AED9D" w:rsidR="00837075" w:rsidRPr="00561FF2" w:rsidRDefault="00837075" w:rsidP="00837075">
      <w:pPr>
        <w:pStyle w:val="TableFootnotetext"/>
        <w:rPr>
          <w:rFonts w:ascii="Arial Narrow" w:hAnsi="Arial Narrow"/>
          <w:sz w:val="18"/>
          <w:szCs w:val="18"/>
        </w:rPr>
      </w:pPr>
      <w:r w:rsidRPr="00561FF2">
        <w:rPr>
          <w:rFonts w:ascii="Arial Narrow" w:hAnsi="Arial Narrow"/>
          <w:sz w:val="18"/>
          <w:szCs w:val="18"/>
          <w:vertAlign w:val="superscript"/>
        </w:rPr>
        <w:t>a</w:t>
      </w:r>
      <w:r w:rsidRPr="00561FF2">
        <w:rPr>
          <w:rFonts w:ascii="Arial Narrow" w:hAnsi="Arial Narrow"/>
          <w:sz w:val="18"/>
          <w:szCs w:val="18"/>
        </w:rPr>
        <w:t xml:space="preserve"> </w:t>
      </w:r>
      <w:r w:rsidR="00E447F1" w:rsidRPr="00E447F1">
        <w:rPr>
          <w:rFonts w:ascii="Arial Narrow" w:hAnsi="Arial Narrow"/>
          <w:color w:val="000000"/>
          <w:spacing w:val="211"/>
          <w:sz w:val="18"/>
          <w:szCs w:val="18"/>
          <w:shd w:val="solid" w:color="000000" w:fill="000000"/>
          <w:fitText w:val="288" w:id="-961840372"/>
          <w14:textFill>
            <w14:solidFill>
              <w14:srgbClr w14:val="000000">
                <w14:alpha w14:val="100000"/>
              </w14:srgbClr>
            </w14:solidFill>
          </w14:textFill>
        </w:rPr>
        <w:t>|</w:t>
      </w:r>
      <w:r w:rsidR="00E447F1" w:rsidRPr="00E447F1">
        <w:rPr>
          <w:rFonts w:ascii="Arial Narrow" w:hAnsi="Arial Narrow"/>
          <w:color w:val="000000"/>
          <w:spacing w:val="1"/>
          <w:sz w:val="18"/>
          <w:szCs w:val="18"/>
          <w:shd w:val="solid" w:color="000000" w:fill="000000"/>
          <w:fitText w:val="288" w:id="-961840372"/>
          <w14:textFill>
            <w14:solidFill>
              <w14:srgbClr w14:val="000000">
                <w14:alpha w14:val="100000"/>
              </w14:srgbClr>
            </w14:solidFill>
          </w14:textFill>
        </w:rPr>
        <w:t>|</w:t>
      </w:r>
      <w:r w:rsidRPr="00561FF2">
        <w:rPr>
          <w:rFonts w:ascii="Arial Narrow" w:hAnsi="Arial Narrow"/>
          <w:sz w:val="18"/>
          <w:szCs w:val="18"/>
        </w:rPr>
        <w:t xml:space="preserve"> patients = </w:t>
      </w:r>
      <w:r w:rsidR="00E447F1" w:rsidRPr="00E447F1">
        <w:rPr>
          <w:rFonts w:ascii="Arial Narrow" w:hAnsi="Arial Narrow"/>
          <w:color w:val="000000"/>
          <w:spacing w:val="211"/>
          <w:sz w:val="18"/>
          <w:szCs w:val="18"/>
          <w:shd w:val="solid" w:color="000000" w:fill="000000"/>
          <w:fitText w:val="288" w:id="-961840371"/>
          <w14:textFill>
            <w14:solidFill>
              <w14:srgbClr w14:val="000000">
                <w14:alpha w14:val="100000"/>
              </w14:srgbClr>
            </w14:solidFill>
          </w14:textFill>
        </w:rPr>
        <w:t>|</w:t>
      </w:r>
      <w:r w:rsidR="00E447F1" w:rsidRPr="00E447F1">
        <w:rPr>
          <w:rFonts w:ascii="Arial Narrow" w:hAnsi="Arial Narrow"/>
          <w:color w:val="000000"/>
          <w:spacing w:val="1"/>
          <w:sz w:val="18"/>
          <w:szCs w:val="18"/>
          <w:shd w:val="solid" w:color="000000" w:fill="000000"/>
          <w:fitText w:val="288" w:id="-961840371"/>
          <w14:textFill>
            <w14:solidFill>
              <w14:srgbClr w14:val="000000">
                <w14:alpha w14:val="100000"/>
              </w14:srgbClr>
            </w14:solidFill>
          </w14:textFill>
        </w:rPr>
        <w:t>|</w:t>
      </w:r>
      <w:r w:rsidRPr="00561FF2">
        <w:rPr>
          <w:rFonts w:ascii="Arial Narrow" w:hAnsi="Arial Narrow"/>
          <w:sz w:val="18"/>
          <w:szCs w:val="18"/>
        </w:rPr>
        <w:t xml:space="preserve"> incident patients + </w:t>
      </w:r>
      <w:r w:rsidR="00E447F1" w:rsidRPr="00E447F1">
        <w:rPr>
          <w:rFonts w:ascii="Arial Narrow" w:hAnsi="Arial Narrow"/>
          <w:color w:val="000000"/>
          <w:spacing w:val="211"/>
          <w:sz w:val="18"/>
          <w:szCs w:val="18"/>
          <w:shd w:val="solid" w:color="000000" w:fill="000000"/>
          <w:fitText w:val="288" w:id="-961840370"/>
          <w14:textFill>
            <w14:solidFill>
              <w14:srgbClr w14:val="000000">
                <w14:alpha w14:val="100000"/>
              </w14:srgbClr>
            </w14:solidFill>
          </w14:textFill>
        </w:rPr>
        <w:t>|</w:t>
      </w:r>
      <w:r w:rsidR="00E447F1" w:rsidRPr="00E447F1">
        <w:rPr>
          <w:rFonts w:ascii="Arial Narrow" w:hAnsi="Arial Narrow"/>
          <w:color w:val="000000"/>
          <w:spacing w:val="1"/>
          <w:sz w:val="18"/>
          <w:szCs w:val="18"/>
          <w:shd w:val="solid" w:color="000000" w:fill="000000"/>
          <w:fitText w:val="288" w:id="-961840370"/>
          <w14:textFill>
            <w14:solidFill>
              <w14:srgbClr w14:val="000000">
                <w14:alpha w14:val="100000"/>
              </w14:srgbClr>
            </w14:solidFill>
          </w14:textFill>
        </w:rPr>
        <w:t>|</w:t>
      </w:r>
      <w:r w:rsidRPr="00561FF2">
        <w:rPr>
          <w:rFonts w:ascii="Arial Narrow" w:hAnsi="Arial Narrow"/>
          <w:sz w:val="18"/>
          <w:szCs w:val="18"/>
        </w:rPr>
        <w:t xml:space="preserve"> prevalent patients + </w:t>
      </w:r>
      <w:r w:rsidR="00E447F1" w:rsidRPr="00E447F1">
        <w:rPr>
          <w:rFonts w:ascii="Arial Narrow" w:hAnsi="Arial Narrow"/>
          <w:color w:val="000000"/>
          <w:spacing w:val="223"/>
          <w:sz w:val="18"/>
          <w:szCs w:val="18"/>
          <w:shd w:val="solid" w:color="000000" w:fill="000000"/>
          <w:fitText w:val="300" w:id="-961840369"/>
          <w14:textFill>
            <w14:solidFill>
              <w14:srgbClr w14:val="000000">
                <w14:alpha w14:val="100000"/>
              </w14:srgbClr>
            </w14:solidFill>
          </w14:textFill>
        </w:rPr>
        <w:t>|</w:t>
      </w:r>
      <w:r w:rsidR="00E447F1" w:rsidRPr="00E447F1">
        <w:rPr>
          <w:rFonts w:ascii="Arial Narrow" w:hAnsi="Arial Narrow"/>
          <w:color w:val="000000"/>
          <w:spacing w:val="1"/>
          <w:sz w:val="18"/>
          <w:szCs w:val="18"/>
          <w:shd w:val="solid" w:color="000000" w:fill="000000"/>
          <w:fitText w:val="300" w:id="-961840369"/>
          <w14:textFill>
            <w14:solidFill>
              <w14:srgbClr w14:val="000000">
                <w14:alpha w14:val="100000"/>
              </w14:srgbClr>
            </w14:solidFill>
          </w14:textFill>
        </w:rPr>
        <w:t>|</w:t>
      </w:r>
      <w:r w:rsidRPr="00561FF2">
        <w:rPr>
          <w:rFonts w:ascii="Arial Narrow" w:hAnsi="Arial Narrow"/>
          <w:sz w:val="18"/>
          <w:szCs w:val="18"/>
        </w:rPr>
        <w:t xml:space="preserve"> grandfathered patients </w:t>
      </w:r>
    </w:p>
    <w:p w14:paraId="3103B3B8" w14:textId="77777777" w:rsidR="00837075" w:rsidRPr="00561FF2" w:rsidRDefault="00837075" w:rsidP="00837075">
      <w:pPr>
        <w:pStyle w:val="TableFootnotetext"/>
        <w:rPr>
          <w:rFonts w:ascii="Arial Narrow" w:hAnsi="Arial Narrow"/>
          <w:sz w:val="18"/>
          <w:szCs w:val="18"/>
        </w:rPr>
      </w:pPr>
      <w:r w:rsidRPr="00561FF2">
        <w:rPr>
          <w:rFonts w:ascii="Arial Narrow" w:hAnsi="Arial Narrow"/>
          <w:sz w:val="18"/>
          <w:szCs w:val="18"/>
          <w:vertAlign w:val="superscript"/>
        </w:rPr>
        <w:t>b</w:t>
      </w:r>
      <w:r w:rsidRPr="00561FF2">
        <w:rPr>
          <w:rFonts w:ascii="Arial Narrow" w:hAnsi="Arial Narrow"/>
          <w:sz w:val="18"/>
          <w:szCs w:val="18"/>
        </w:rPr>
        <w:t xml:space="preserve"> Assuming 8 months treatment per course per patient, based on the extrapolated average time (0.67 year) on treatment from the economic model.</w:t>
      </w:r>
    </w:p>
    <w:p w14:paraId="2E3FB1D4" w14:textId="17AF4513" w:rsidR="00837075" w:rsidRDefault="00837075" w:rsidP="00837075">
      <w:pPr>
        <w:pStyle w:val="TableFootnotetext"/>
        <w:rPr>
          <w:rFonts w:ascii="Arial Narrow" w:hAnsi="Arial Narrow"/>
          <w:sz w:val="18"/>
          <w:szCs w:val="18"/>
        </w:rPr>
      </w:pPr>
      <w:r w:rsidRPr="00561FF2">
        <w:rPr>
          <w:rFonts w:ascii="Arial Narrow" w:hAnsi="Arial Narrow"/>
          <w:sz w:val="18"/>
          <w:szCs w:val="18"/>
          <w:vertAlign w:val="superscript"/>
        </w:rPr>
        <w:t>c</w:t>
      </w:r>
      <w:r w:rsidRPr="00561FF2">
        <w:rPr>
          <w:rFonts w:ascii="Arial Narrow" w:hAnsi="Arial Narrow"/>
          <w:sz w:val="18"/>
          <w:szCs w:val="18"/>
        </w:rPr>
        <w:t xml:space="preserve"> PBS co-payment = $16.21; RPBS copayment = $5.84</w:t>
      </w:r>
    </w:p>
    <w:p w14:paraId="21D0B133" w14:textId="77777777" w:rsidR="001E3B38" w:rsidRPr="000661FF" w:rsidRDefault="001E3B38" w:rsidP="001E3B38">
      <w:pPr>
        <w:pStyle w:val="TableFootnotetext"/>
        <w:rPr>
          <w:rFonts w:ascii="Arial Narrow" w:hAnsi="Arial Narrow"/>
          <w:i/>
          <w:iCs/>
          <w:sz w:val="18"/>
          <w:szCs w:val="18"/>
        </w:rPr>
      </w:pPr>
      <w:bookmarkStart w:id="9" w:name="_Hlk166157771"/>
      <w:r w:rsidRPr="000661FF">
        <w:rPr>
          <w:rFonts w:ascii="Arial Narrow" w:hAnsi="Arial Narrow"/>
          <w:i/>
          <w:iCs/>
          <w:sz w:val="18"/>
          <w:szCs w:val="18"/>
        </w:rPr>
        <w:t>The redacted values correspond to the following ranges:</w:t>
      </w:r>
    </w:p>
    <w:p w14:paraId="5FB9C177" w14:textId="4D87DBBD" w:rsidR="001E3B38" w:rsidRPr="000661FF" w:rsidRDefault="001E3B38" w:rsidP="001E3B38">
      <w:pPr>
        <w:pStyle w:val="TableFootnotetext"/>
        <w:rPr>
          <w:rFonts w:ascii="Arial Narrow" w:hAnsi="Arial Narrow"/>
          <w:i/>
          <w:iCs/>
          <w:sz w:val="18"/>
          <w:szCs w:val="18"/>
        </w:rPr>
      </w:pPr>
      <w:r w:rsidRPr="000661FF">
        <w:rPr>
          <w:rFonts w:ascii="Arial Narrow" w:hAnsi="Arial Narrow"/>
          <w:i/>
          <w:iCs/>
          <w:sz w:val="18"/>
          <w:szCs w:val="18"/>
          <w:vertAlign w:val="superscript"/>
        </w:rPr>
        <w:t>1</w:t>
      </w:r>
      <w:r w:rsidRPr="000661FF">
        <w:rPr>
          <w:rFonts w:ascii="Arial Narrow" w:hAnsi="Arial Narrow"/>
          <w:i/>
          <w:iCs/>
          <w:sz w:val="18"/>
          <w:szCs w:val="18"/>
        </w:rPr>
        <w:t xml:space="preserve"> &lt; 500</w:t>
      </w:r>
    </w:p>
    <w:p w14:paraId="3F26E5DB" w14:textId="00418368" w:rsidR="001E3B38" w:rsidRPr="000661FF" w:rsidRDefault="001E3B38" w:rsidP="001E3B38">
      <w:pPr>
        <w:pStyle w:val="TableFootnotetext"/>
        <w:rPr>
          <w:rFonts w:ascii="Arial Narrow" w:hAnsi="Arial Narrow"/>
          <w:i/>
          <w:iCs/>
          <w:sz w:val="18"/>
          <w:szCs w:val="18"/>
        </w:rPr>
      </w:pPr>
      <w:r w:rsidRPr="000661FF">
        <w:rPr>
          <w:rFonts w:ascii="Arial Narrow" w:hAnsi="Arial Narrow"/>
          <w:i/>
          <w:iCs/>
          <w:sz w:val="18"/>
          <w:szCs w:val="18"/>
          <w:vertAlign w:val="superscript"/>
        </w:rPr>
        <w:t>2</w:t>
      </w:r>
      <w:r w:rsidRPr="000661FF">
        <w:rPr>
          <w:rFonts w:ascii="Arial Narrow" w:hAnsi="Arial Narrow"/>
          <w:i/>
          <w:iCs/>
          <w:sz w:val="18"/>
          <w:szCs w:val="18"/>
        </w:rPr>
        <w:t xml:space="preserve"> 500 to &lt; 5,000</w:t>
      </w:r>
    </w:p>
    <w:p w14:paraId="19F02F57" w14:textId="0BD34153" w:rsidR="001E3B38" w:rsidRPr="000661FF" w:rsidRDefault="002E31B2" w:rsidP="001E3B38">
      <w:pPr>
        <w:pStyle w:val="TableFootnotetext"/>
        <w:rPr>
          <w:rFonts w:ascii="Arial Narrow" w:hAnsi="Arial Narrow"/>
          <w:i/>
          <w:iCs/>
          <w:sz w:val="18"/>
          <w:szCs w:val="18"/>
        </w:rPr>
      </w:pPr>
      <w:r w:rsidRPr="000661FF">
        <w:rPr>
          <w:rFonts w:ascii="Arial Narrow" w:hAnsi="Arial Narrow"/>
          <w:i/>
          <w:iCs/>
          <w:sz w:val="18"/>
          <w:szCs w:val="18"/>
          <w:vertAlign w:val="superscript"/>
        </w:rPr>
        <w:t>3</w:t>
      </w:r>
      <w:r w:rsidR="001E3B38" w:rsidRPr="000661FF">
        <w:rPr>
          <w:rFonts w:ascii="Arial Narrow" w:hAnsi="Arial Narrow"/>
          <w:i/>
          <w:iCs/>
          <w:sz w:val="18"/>
          <w:szCs w:val="18"/>
        </w:rPr>
        <w:t xml:space="preserve"> $0 to &lt; $10 million</w:t>
      </w:r>
    </w:p>
    <w:bookmarkEnd w:id="9"/>
    <w:p w14:paraId="35820CDB" w14:textId="77777777" w:rsidR="00D002C9" w:rsidRPr="00561FF2" w:rsidRDefault="00D002C9" w:rsidP="00837075">
      <w:pPr>
        <w:pStyle w:val="TableFootnotetext"/>
        <w:rPr>
          <w:rFonts w:ascii="Arial Narrow" w:hAnsi="Arial Narrow"/>
          <w:sz w:val="18"/>
          <w:szCs w:val="18"/>
        </w:rPr>
      </w:pPr>
    </w:p>
    <w:p w14:paraId="48952B07" w14:textId="6E08BBF5" w:rsidR="00D677E1" w:rsidRPr="00561FF2" w:rsidRDefault="00D677E1" w:rsidP="00A133FD">
      <w:pPr>
        <w:pStyle w:val="3-BodyText"/>
        <w:ind w:left="720"/>
        <w:rPr>
          <w:rFonts w:cstheme="minorHAnsi"/>
          <w:szCs w:val="24"/>
        </w:rPr>
      </w:pPr>
      <w:r w:rsidRPr="00561FF2">
        <w:rPr>
          <w:rFonts w:cstheme="minorHAnsi"/>
          <w:szCs w:val="24"/>
        </w:rPr>
        <w:t>The revised estimated net cost to the PBS/RPBS was $</w:t>
      </w:r>
      <w:r w:rsidR="001E3B38" w:rsidRPr="001E3B38">
        <w:rPr>
          <w:rFonts w:cstheme="minorHAnsi"/>
          <w:szCs w:val="24"/>
        </w:rPr>
        <w:t>0 to &lt; $10 million</w:t>
      </w:r>
      <w:r w:rsidR="001E3B38" w:rsidRPr="001E3B38" w:rsidDel="001E3B38">
        <w:rPr>
          <w:rFonts w:cstheme="minorHAnsi"/>
          <w:szCs w:val="24"/>
        </w:rPr>
        <w:t xml:space="preserve"> </w:t>
      </w:r>
      <w:r w:rsidRPr="00561FF2">
        <w:rPr>
          <w:rFonts w:cstheme="minorHAnsi"/>
          <w:szCs w:val="24"/>
        </w:rPr>
        <w:t xml:space="preserve">in Year 1, </w:t>
      </w:r>
      <w:r w:rsidR="00837075" w:rsidRPr="00561FF2">
        <w:rPr>
          <w:rFonts w:cstheme="minorHAnsi"/>
          <w:szCs w:val="24"/>
        </w:rPr>
        <w:t>$</w:t>
      </w:r>
      <w:r w:rsidR="001E3B38" w:rsidRPr="001E3B38">
        <w:rPr>
          <w:rFonts w:cstheme="minorHAnsi"/>
          <w:szCs w:val="24"/>
        </w:rPr>
        <w:t>0 to &lt; $10 million</w:t>
      </w:r>
      <w:r w:rsidR="001E3B38" w:rsidRPr="001E3B38" w:rsidDel="001E3B38">
        <w:rPr>
          <w:rFonts w:cstheme="minorHAnsi"/>
          <w:szCs w:val="24"/>
        </w:rPr>
        <w:t xml:space="preserve"> </w:t>
      </w:r>
      <w:r w:rsidRPr="00561FF2">
        <w:rPr>
          <w:rFonts w:cstheme="minorHAnsi"/>
          <w:szCs w:val="24"/>
        </w:rPr>
        <w:t>in Year 6 and totalling an estimated $</w:t>
      </w:r>
      <w:r w:rsidR="001E3B38" w:rsidRPr="001E3B38">
        <w:rPr>
          <w:rFonts w:cstheme="minorHAnsi"/>
          <w:szCs w:val="24"/>
        </w:rPr>
        <w:t>0 to &lt; $10 million</w:t>
      </w:r>
      <w:r w:rsidR="001E3B38" w:rsidRPr="001E3B38" w:rsidDel="001E3B38">
        <w:rPr>
          <w:rFonts w:cstheme="minorHAnsi"/>
          <w:szCs w:val="24"/>
        </w:rPr>
        <w:t xml:space="preserve"> </w:t>
      </w:r>
      <w:r w:rsidRPr="00561FF2">
        <w:rPr>
          <w:rFonts w:cstheme="minorHAnsi"/>
          <w:szCs w:val="24"/>
        </w:rPr>
        <w:t xml:space="preserve">over the first 6 years of listing. The </w:t>
      </w:r>
      <w:r w:rsidR="00837075" w:rsidRPr="00561FF2">
        <w:rPr>
          <w:rFonts w:cstheme="minorHAnsi"/>
          <w:szCs w:val="24"/>
        </w:rPr>
        <w:t>November</w:t>
      </w:r>
      <w:r w:rsidRPr="00561FF2">
        <w:rPr>
          <w:rFonts w:cstheme="minorHAnsi"/>
          <w:szCs w:val="24"/>
        </w:rPr>
        <w:t xml:space="preserve"> 2023 submission estimated a total cost of $</w:t>
      </w:r>
      <w:r w:rsidR="001E3B38" w:rsidRPr="001E3B38">
        <w:rPr>
          <w:rFonts w:cstheme="minorHAnsi"/>
          <w:szCs w:val="24"/>
        </w:rPr>
        <w:t>0 to &lt; $10 million</w:t>
      </w:r>
      <w:r w:rsidR="001E3B38" w:rsidRPr="001E3B38" w:rsidDel="001E3B38">
        <w:rPr>
          <w:rFonts w:cstheme="minorHAnsi"/>
          <w:szCs w:val="24"/>
        </w:rPr>
        <w:t xml:space="preserve"> </w:t>
      </w:r>
      <w:r w:rsidRPr="00561FF2">
        <w:rPr>
          <w:rFonts w:cstheme="minorHAnsi"/>
          <w:szCs w:val="24"/>
        </w:rPr>
        <w:t xml:space="preserve">over the first 6 years of listing. </w:t>
      </w:r>
    </w:p>
    <w:p w14:paraId="06EBE63A" w14:textId="5BF63DDC" w:rsidR="00D677E1" w:rsidRPr="00561FF2" w:rsidRDefault="00AA6F91" w:rsidP="00AA6F91">
      <w:pPr>
        <w:ind w:left="720"/>
        <w:jc w:val="left"/>
        <w:rPr>
          <w:i/>
        </w:rPr>
      </w:pPr>
      <w:r w:rsidRPr="00561FF2">
        <w:rPr>
          <w:rFonts w:asciiTheme="minorHAnsi" w:hAnsiTheme="minorHAnsi" w:cstheme="minorHAnsi"/>
          <w:i/>
          <w:iCs/>
        </w:rPr>
        <w:t>For more detail on PBAC’s view, see Section 5 PBAC outcome.</w:t>
      </w:r>
      <w:r w:rsidR="00D677E1" w:rsidRPr="00561FF2">
        <w:rPr>
          <w:i/>
        </w:rPr>
        <w:br w:type="page"/>
      </w:r>
    </w:p>
    <w:p w14:paraId="73F1B9C9" w14:textId="77777777" w:rsidR="00AA6F91" w:rsidRPr="00561FF2" w:rsidRDefault="00AA6F91" w:rsidP="00AA6F91">
      <w:pPr>
        <w:pStyle w:val="2-SectionHeading"/>
      </w:pPr>
      <w:bookmarkStart w:id="10" w:name="_Hlk76381249"/>
      <w:bookmarkStart w:id="11" w:name="_Hlk76377955"/>
      <w:r w:rsidRPr="00561FF2">
        <w:lastRenderedPageBreak/>
        <w:t>PBAC Outcome</w:t>
      </w:r>
    </w:p>
    <w:p w14:paraId="53B4B2AF" w14:textId="6CA77B6D" w:rsidR="009E019D" w:rsidRPr="00A97704" w:rsidRDefault="009E019D" w:rsidP="00A133FD">
      <w:pPr>
        <w:pStyle w:val="3-BodyText"/>
        <w:ind w:left="720"/>
      </w:pPr>
      <w:bookmarkStart w:id="12" w:name="_Hlk111543188"/>
      <w:r w:rsidRPr="00561FF2">
        <w:t>The PBAC recommended cabozantinib, on the basis that it should be available as a General Schedule Authority Required (STREAMLINED) listing,</w:t>
      </w:r>
      <w:r w:rsidRPr="00561FF2">
        <w:rPr>
          <w:color w:val="000000"/>
          <w:shd w:val="clear" w:color="auto" w:fill="FFFFFF"/>
        </w:rPr>
        <w:t xml:space="preserve"> </w:t>
      </w:r>
      <w:r w:rsidRPr="00561FF2">
        <w:t xml:space="preserve">for the treatment of locally advanced or metastatic differentiated thyroid carcinoma (DTC) </w:t>
      </w:r>
      <w:r w:rsidR="00504B8D">
        <w:t xml:space="preserve">in patients </w:t>
      </w:r>
      <w:r w:rsidRPr="00561FF2">
        <w:t>who are radioactive iodine (RAI) refractory or ineligible, who have progressed following treatment with a tyrosine kinase inhibitor (TKI) or have developed intolerance to prior vascular endothelial growth factor (VEGF) targeted therapy.</w:t>
      </w:r>
      <w:r w:rsidRPr="00561FF2">
        <w:rPr>
          <w:snapToGrid w:val="0"/>
        </w:rPr>
        <w:t xml:space="preserve"> </w:t>
      </w:r>
      <w:r w:rsidRPr="00A97704">
        <w:rPr>
          <w:snapToGrid w:val="0"/>
        </w:rPr>
        <w:t>The PBAC considered that there was a clinical need for additional treatments in this setting. The PBAC noted that the resubmission made the requested changes to the economic model but considered that the</w:t>
      </w:r>
      <w:r w:rsidR="00185420" w:rsidRPr="00A97704">
        <w:rPr>
          <w:snapToGrid w:val="0"/>
        </w:rPr>
        <w:t xml:space="preserve"> approach for including</w:t>
      </w:r>
      <w:r w:rsidRPr="00A97704">
        <w:rPr>
          <w:snapToGrid w:val="0"/>
        </w:rPr>
        <w:t xml:space="preserve"> end-of-life costs was inappropriate. However, the PBAC considered that the addition of some post-progression costs would be appropriate</w:t>
      </w:r>
      <w:r w:rsidR="00053971" w:rsidRPr="00A97704">
        <w:rPr>
          <w:snapToGrid w:val="0"/>
        </w:rPr>
        <w:t>, and that cabozantinib would likely be cost-effective at the price proposed in the submission</w:t>
      </w:r>
      <w:r w:rsidRPr="00A97704">
        <w:rPr>
          <w:snapToGrid w:val="0"/>
        </w:rPr>
        <w:t xml:space="preserve">. The PBAC noted that the estimated financial impact was small. </w:t>
      </w:r>
    </w:p>
    <w:p w14:paraId="69B621BB" w14:textId="77777777" w:rsidR="009E019D" w:rsidRPr="00A97704" w:rsidRDefault="009E019D" w:rsidP="00A133FD">
      <w:pPr>
        <w:pStyle w:val="3-BodyText"/>
        <w:ind w:left="720"/>
        <w:rPr>
          <w:rFonts w:cs="Arial"/>
          <w:snapToGrid w:val="0"/>
        </w:rPr>
      </w:pPr>
      <w:r w:rsidRPr="00A97704">
        <w:rPr>
          <w:rFonts w:cs="Arial"/>
          <w:snapToGrid w:val="0"/>
        </w:rPr>
        <w:t>The PBAC recalled that it had previously considered that cabozantinib was superior compared to placebo in terms of ORR and PFS; however, superiority in terms of OS was uncertain. This was based on the results of the COSMIC-311 trial, in which cabozantinib was associated with:</w:t>
      </w:r>
    </w:p>
    <w:p w14:paraId="66E0D91F" w14:textId="77777777" w:rsidR="009E019D" w:rsidRPr="00A97704" w:rsidRDefault="009E019D" w:rsidP="00A133FD">
      <w:pPr>
        <w:pStyle w:val="3-BodyText"/>
        <w:numPr>
          <w:ilvl w:val="1"/>
          <w:numId w:val="25"/>
        </w:numPr>
        <w:ind w:left="1080"/>
        <w:rPr>
          <w:rFonts w:cs="Arial"/>
          <w:snapToGrid w:val="0"/>
        </w:rPr>
      </w:pPr>
      <w:r w:rsidRPr="00A97704">
        <w:rPr>
          <w:rFonts w:cs="Arial"/>
          <w:snapToGrid w:val="0"/>
        </w:rPr>
        <w:t xml:space="preserve">a modest improvement in overall response rate (ORR);  </w:t>
      </w:r>
    </w:p>
    <w:p w14:paraId="7AFCD6ED" w14:textId="77777777" w:rsidR="009E019D" w:rsidRPr="00A97704" w:rsidRDefault="009E019D" w:rsidP="00A133FD">
      <w:pPr>
        <w:pStyle w:val="3-BodyText"/>
        <w:numPr>
          <w:ilvl w:val="1"/>
          <w:numId w:val="25"/>
        </w:numPr>
        <w:ind w:left="1080"/>
        <w:rPr>
          <w:rFonts w:cs="Arial"/>
          <w:snapToGrid w:val="0"/>
        </w:rPr>
      </w:pPr>
      <w:r w:rsidRPr="00A97704">
        <w:rPr>
          <w:rFonts w:cs="Arial"/>
          <w:snapToGrid w:val="0"/>
        </w:rPr>
        <w:t>statistically significant improvements in progression free survival (PFS) in both the full intention to treat (ITT) population (HR = 0.22; 95% CI: 0.15, 0.32) and the subgroup who had received prior treatment with lenvatinib only (HR = 0.28; 95% CI: 0.16, 0.48); and</w:t>
      </w:r>
    </w:p>
    <w:p w14:paraId="7ECDDD9A" w14:textId="7D4320FF" w:rsidR="009E019D" w:rsidRPr="00A97704" w:rsidRDefault="009E019D" w:rsidP="00A133FD">
      <w:pPr>
        <w:pStyle w:val="3-BodyText"/>
        <w:numPr>
          <w:ilvl w:val="1"/>
          <w:numId w:val="25"/>
        </w:numPr>
        <w:ind w:left="1080"/>
        <w:rPr>
          <w:rFonts w:cs="Arial"/>
          <w:snapToGrid w:val="0"/>
        </w:rPr>
      </w:pPr>
      <w:r w:rsidRPr="00A97704">
        <w:rPr>
          <w:rFonts w:cs="Arial"/>
          <w:snapToGrid w:val="0"/>
        </w:rPr>
        <w:t>overall survival (OS) results which were not statistically significant in either population. It was noted that the OS results were confounded by 45% of patients in the placebo arm crossing over to receive treatment with cabozantinib following disease progression.</w:t>
      </w:r>
    </w:p>
    <w:p w14:paraId="1B054775" w14:textId="607E9287" w:rsidR="009E019D" w:rsidRPr="00A97704" w:rsidRDefault="009E019D" w:rsidP="00A133FD">
      <w:pPr>
        <w:pStyle w:val="3-BodyText"/>
        <w:ind w:left="720"/>
        <w:rPr>
          <w:rFonts w:cs="Arial"/>
          <w:snapToGrid w:val="0"/>
        </w:rPr>
      </w:pPr>
      <w:r w:rsidRPr="00A97704">
        <w:rPr>
          <w:rFonts w:cs="Arial"/>
          <w:snapToGrid w:val="0"/>
        </w:rPr>
        <w:t>In terms of safety, the PBAC recalled that it had previously considered that cabozantinib was inferior to placebo.</w:t>
      </w:r>
    </w:p>
    <w:p w14:paraId="59528F7D" w14:textId="77777777" w:rsidR="009E019D" w:rsidRPr="00A97704" w:rsidRDefault="009E019D" w:rsidP="00A133FD">
      <w:pPr>
        <w:pStyle w:val="3-BodyText"/>
        <w:ind w:left="720"/>
        <w:rPr>
          <w:rFonts w:cs="Arial"/>
          <w:snapToGrid w:val="0"/>
        </w:rPr>
      </w:pPr>
      <w:r w:rsidRPr="00A97704">
        <w:rPr>
          <w:rFonts w:cs="Arial"/>
          <w:snapToGrid w:val="0"/>
        </w:rPr>
        <w:t>The PBAC recalled that it had specified the following revisions to the economic model would be required to achieve an acceptable incremental cost-effectiveness ratio (ICER):</w:t>
      </w:r>
    </w:p>
    <w:p w14:paraId="383ED7EF" w14:textId="24CF4282" w:rsidR="009E019D" w:rsidRPr="00A97704" w:rsidRDefault="009E019D" w:rsidP="00A133FD">
      <w:pPr>
        <w:pStyle w:val="3-BodyText"/>
        <w:numPr>
          <w:ilvl w:val="1"/>
          <w:numId w:val="26"/>
        </w:numPr>
        <w:ind w:left="1080"/>
        <w:rPr>
          <w:rFonts w:cs="Arial"/>
          <w:snapToGrid w:val="0"/>
        </w:rPr>
      </w:pPr>
      <w:r w:rsidRPr="00561FF2">
        <w:rPr>
          <w:snapToGrid w:val="0"/>
        </w:rPr>
        <w:t xml:space="preserve">The application of the trial-based utility to the pre-progression health state (0.692). The relative utility decrement from Fordham (2015) of -0.278 should then be applied to determine the post-progression utility (0.414). </w:t>
      </w:r>
    </w:p>
    <w:p w14:paraId="5037BAFF" w14:textId="17CEF341" w:rsidR="009E019D" w:rsidRPr="00A97704" w:rsidRDefault="009E019D" w:rsidP="009E019D">
      <w:pPr>
        <w:pStyle w:val="3-BodyText"/>
        <w:numPr>
          <w:ilvl w:val="1"/>
          <w:numId w:val="26"/>
        </w:numPr>
        <w:ind w:left="1080"/>
        <w:rPr>
          <w:rFonts w:cs="Arial"/>
          <w:snapToGrid w:val="0"/>
        </w:rPr>
      </w:pPr>
      <w:r w:rsidRPr="00561FF2">
        <w:rPr>
          <w:snapToGrid w:val="0"/>
        </w:rPr>
        <w:t xml:space="preserve">Removal of all treatment costs from the post-progression health state. </w:t>
      </w:r>
    </w:p>
    <w:p w14:paraId="37C113E4" w14:textId="601FA382" w:rsidR="009E019D" w:rsidRPr="00A97704" w:rsidRDefault="009E019D" w:rsidP="00A133FD">
      <w:pPr>
        <w:pStyle w:val="3-BodyText"/>
        <w:numPr>
          <w:ilvl w:val="1"/>
          <w:numId w:val="26"/>
        </w:numPr>
        <w:ind w:left="1080"/>
      </w:pPr>
      <w:r w:rsidRPr="00561FF2">
        <w:rPr>
          <w:snapToGrid w:val="0"/>
        </w:rPr>
        <w:t>A price reduction so that the resulting ICER was less than $</w:t>
      </w:r>
      <w:r w:rsidR="001E3B38" w:rsidRPr="001E3B38">
        <w:rPr>
          <w:snapToGrid w:val="0"/>
        </w:rPr>
        <w:t xml:space="preserve">95,000 to &lt; $115,000 </w:t>
      </w:r>
      <w:r w:rsidRPr="00561FF2">
        <w:rPr>
          <w:snapToGrid w:val="0"/>
        </w:rPr>
        <w:t>per quality adjusted life year (QALY) gained.</w:t>
      </w:r>
    </w:p>
    <w:p w14:paraId="16D6C090" w14:textId="61DF053A" w:rsidR="009E019D" w:rsidRPr="00A97704" w:rsidRDefault="009E019D">
      <w:pPr>
        <w:pStyle w:val="3-BodyText"/>
        <w:ind w:left="720"/>
        <w:rPr>
          <w:rFonts w:cs="Arial"/>
          <w:snapToGrid w:val="0"/>
        </w:rPr>
      </w:pPr>
      <w:r w:rsidRPr="00A97704">
        <w:rPr>
          <w:rFonts w:cs="Arial"/>
          <w:snapToGrid w:val="0"/>
        </w:rPr>
        <w:lastRenderedPageBreak/>
        <w:t xml:space="preserve">The PBAC noted that the resubmission offered a </w:t>
      </w:r>
      <w:r w:rsidRPr="001E7F5C">
        <w:rPr>
          <w:rFonts w:cs="Arial"/>
          <w:snapToGrid w:val="0"/>
        </w:rPr>
        <w:t>12</w:t>
      </w:r>
      <w:r w:rsidRPr="00A97704">
        <w:rPr>
          <w:rFonts w:cs="Arial"/>
          <w:snapToGrid w:val="0"/>
        </w:rPr>
        <w:t>% price reduction, which together with the above amendments resulted in an ICER of $</w:t>
      </w:r>
      <w:r w:rsidR="00FA4114" w:rsidRPr="00FA4114">
        <w:rPr>
          <w:rFonts w:cs="Arial"/>
          <w:snapToGrid w:val="0"/>
        </w:rPr>
        <w:t>155,000 to &lt; $255,000</w:t>
      </w:r>
      <w:r w:rsidRPr="00A97704">
        <w:rPr>
          <w:rFonts w:cs="Arial"/>
          <w:snapToGrid w:val="0"/>
        </w:rPr>
        <w:t>per QALY gained. The PBAC noted that the resubmission additionally proposed that end-of-life costs be incorporated into the model and that this resulted in a substantially reduced ICER of $</w:t>
      </w:r>
      <w:r w:rsidR="00FA4114" w:rsidRPr="00FA4114">
        <w:rPr>
          <w:rFonts w:cs="Arial"/>
          <w:snapToGrid w:val="0"/>
        </w:rPr>
        <w:t xml:space="preserve">55,000 to &lt; $75,000 </w:t>
      </w:r>
      <w:r w:rsidRPr="00A97704">
        <w:rPr>
          <w:rFonts w:cs="Arial"/>
          <w:snapToGrid w:val="0"/>
        </w:rPr>
        <w:t>per QALY gained.</w:t>
      </w:r>
      <w:r w:rsidR="00053971" w:rsidRPr="00A97704">
        <w:rPr>
          <w:rFonts w:cs="Arial"/>
          <w:snapToGrid w:val="0"/>
        </w:rPr>
        <w:t xml:space="preserve"> Use of the ITT population to inform the efficacy estimates further reduced the ICER to $</w:t>
      </w:r>
      <w:r w:rsidR="00FA4114" w:rsidRPr="00FA4114">
        <w:rPr>
          <w:rFonts w:cs="Arial"/>
          <w:snapToGrid w:val="0"/>
        </w:rPr>
        <w:t>15,000 to &lt; $25,000</w:t>
      </w:r>
      <w:r w:rsidR="00053971" w:rsidRPr="00A97704">
        <w:rPr>
          <w:rFonts w:cs="Arial"/>
          <w:snapToGrid w:val="0"/>
        </w:rPr>
        <w:t>per QALY gained.</w:t>
      </w:r>
    </w:p>
    <w:p w14:paraId="11FA46F4" w14:textId="3287F752" w:rsidR="00185420" w:rsidRPr="00A97704" w:rsidRDefault="00185420" w:rsidP="00A133FD">
      <w:pPr>
        <w:pStyle w:val="3-BodyText"/>
        <w:ind w:left="720"/>
        <w:rPr>
          <w:rFonts w:cs="Arial"/>
          <w:snapToGrid w:val="0"/>
        </w:rPr>
      </w:pPr>
      <w:r w:rsidRPr="00A97704">
        <w:rPr>
          <w:rFonts w:cs="Arial"/>
          <w:snapToGrid w:val="0"/>
        </w:rPr>
        <w:t>The PBAC noted the end</w:t>
      </w:r>
      <w:r w:rsidR="00A133FD" w:rsidRPr="00A97704">
        <w:rPr>
          <w:rFonts w:cs="Arial"/>
          <w:snapToGrid w:val="0"/>
        </w:rPr>
        <w:t>-</w:t>
      </w:r>
      <w:r w:rsidRPr="00A97704">
        <w:rPr>
          <w:rFonts w:cs="Arial"/>
          <w:snapToGrid w:val="0"/>
        </w:rPr>
        <w:t>of</w:t>
      </w:r>
      <w:r w:rsidR="00A133FD" w:rsidRPr="00A97704">
        <w:rPr>
          <w:rFonts w:cs="Arial"/>
          <w:snapToGrid w:val="0"/>
        </w:rPr>
        <w:t>-</w:t>
      </w:r>
      <w:r w:rsidRPr="00A97704">
        <w:rPr>
          <w:rFonts w:cs="Arial"/>
          <w:snapToGrid w:val="0"/>
        </w:rPr>
        <w:t xml:space="preserve">life cost was applied on a per cycle basis to patients in the post progression health state, and as patients in the cabozantinib arm were in this </w:t>
      </w:r>
      <w:r w:rsidR="00A76376" w:rsidRPr="00A97704">
        <w:rPr>
          <w:rFonts w:cs="Arial"/>
          <w:snapToGrid w:val="0"/>
        </w:rPr>
        <w:t xml:space="preserve">health </w:t>
      </w:r>
      <w:r w:rsidRPr="00A97704">
        <w:rPr>
          <w:rFonts w:cs="Arial"/>
          <w:snapToGrid w:val="0"/>
        </w:rPr>
        <w:t>state for a shorter period of time</w:t>
      </w:r>
      <w:r w:rsidR="00A76376" w:rsidRPr="00A97704">
        <w:rPr>
          <w:rFonts w:cs="Arial"/>
          <w:snapToGrid w:val="0"/>
        </w:rPr>
        <w:t>,</w:t>
      </w:r>
      <w:r w:rsidRPr="00A97704">
        <w:rPr>
          <w:rFonts w:cs="Arial"/>
          <w:snapToGrid w:val="0"/>
        </w:rPr>
        <w:t xml:space="preserve"> the end</w:t>
      </w:r>
      <w:r w:rsidR="00A133FD" w:rsidRPr="00A97704">
        <w:rPr>
          <w:rFonts w:cs="Arial"/>
          <w:snapToGrid w:val="0"/>
        </w:rPr>
        <w:t>-</w:t>
      </w:r>
      <w:r w:rsidRPr="00A97704">
        <w:rPr>
          <w:rFonts w:cs="Arial"/>
          <w:snapToGrid w:val="0"/>
        </w:rPr>
        <w:t>o</w:t>
      </w:r>
      <w:r w:rsidR="00504B8D">
        <w:rPr>
          <w:rFonts w:cs="Arial"/>
          <w:snapToGrid w:val="0"/>
        </w:rPr>
        <w:t>f</w:t>
      </w:r>
      <w:r w:rsidR="00A133FD" w:rsidRPr="00A97704">
        <w:rPr>
          <w:rFonts w:cs="Arial"/>
          <w:snapToGrid w:val="0"/>
        </w:rPr>
        <w:t>-</w:t>
      </w:r>
      <w:r w:rsidRPr="00A97704">
        <w:rPr>
          <w:rFonts w:cs="Arial"/>
          <w:snapToGrid w:val="0"/>
        </w:rPr>
        <w:t xml:space="preserve">life cost for patients </w:t>
      </w:r>
      <w:r w:rsidR="00A76376" w:rsidRPr="00A97704">
        <w:rPr>
          <w:rFonts w:cs="Arial"/>
          <w:snapToGrid w:val="0"/>
        </w:rPr>
        <w:t>treated with cabozantinib was lower than for patients treated with placebo</w:t>
      </w:r>
      <w:r w:rsidRPr="00A97704">
        <w:rPr>
          <w:rFonts w:cs="Arial"/>
          <w:snapToGrid w:val="0"/>
        </w:rPr>
        <w:t>.</w:t>
      </w:r>
      <w:r w:rsidR="00A76376" w:rsidRPr="00A97704">
        <w:rPr>
          <w:rFonts w:cs="Arial"/>
          <w:snapToGrid w:val="0"/>
        </w:rPr>
        <w:t xml:space="preserve"> The PBAC</w:t>
      </w:r>
      <w:r w:rsidRPr="00A97704">
        <w:rPr>
          <w:rFonts w:cs="Arial"/>
          <w:snapToGrid w:val="0"/>
        </w:rPr>
        <w:t xml:space="preserve"> </w:t>
      </w:r>
      <w:r w:rsidR="00A76376" w:rsidRPr="00A97704">
        <w:rPr>
          <w:rFonts w:cs="Arial"/>
          <w:snapToGrid w:val="0"/>
        </w:rPr>
        <w:t>considered this lacked face validity. The PBAC did</w:t>
      </w:r>
      <w:r w:rsidR="00A133FD" w:rsidRPr="00A97704">
        <w:rPr>
          <w:rFonts w:cs="Arial"/>
          <w:snapToGrid w:val="0"/>
        </w:rPr>
        <w:t>,</w:t>
      </w:r>
      <w:r w:rsidR="00A76376" w:rsidRPr="00A97704">
        <w:rPr>
          <w:rFonts w:cs="Arial"/>
          <w:snapToGrid w:val="0"/>
        </w:rPr>
        <w:t xml:space="preserve"> however</w:t>
      </w:r>
      <w:r w:rsidR="00A133FD" w:rsidRPr="00A97704">
        <w:rPr>
          <w:rFonts w:cs="Arial"/>
          <w:snapToGrid w:val="0"/>
        </w:rPr>
        <w:t>,</w:t>
      </w:r>
      <w:r w:rsidR="00A76376" w:rsidRPr="00A97704">
        <w:rPr>
          <w:rFonts w:cs="Arial"/>
          <w:snapToGrid w:val="0"/>
        </w:rPr>
        <w:t xml:space="preserve"> consider that there would be monitoring and treatment costs for patients in the post progression state that would be dependent on the time </w:t>
      </w:r>
      <w:r w:rsidR="00A133FD" w:rsidRPr="00A97704">
        <w:rPr>
          <w:rFonts w:cs="Arial"/>
          <w:snapToGrid w:val="0"/>
        </w:rPr>
        <w:t xml:space="preserve">spent </w:t>
      </w:r>
      <w:r w:rsidR="00A76376" w:rsidRPr="00A97704">
        <w:rPr>
          <w:rFonts w:cs="Arial"/>
          <w:snapToGrid w:val="0"/>
        </w:rPr>
        <w:t>in the health state, and that removing all of these costs was an extreme scenario. The PBAC noted that if a cost of approximately $</w:t>
      </w:r>
      <w:r w:rsidR="00E447F1" w:rsidRPr="00D472FF">
        <w:rPr>
          <w:rFonts w:cs="Arial"/>
          <w:snapToGrid w:val="0"/>
          <w:color w:val="000000"/>
          <w:w w:val="15"/>
          <w:shd w:val="solid" w:color="000000" w:fill="000000"/>
          <w:fitText w:val="-20" w:id="-961840368"/>
          <w14:textFill>
            <w14:solidFill>
              <w14:srgbClr w14:val="000000">
                <w14:alpha w14:val="100000"/>
              </w14:srgbClr>
            </w14:solidFill>
          </w14:textFill>
        </w:rPr>
        <w:t xml:space="preserve">|  </w:t>
      </w:r>
      <w:r w:rsidR="00E447F1" w:rsidRPr="00D472FF">
        <w:rPr>
          <w:rFonts w:cs="Arial"/>
          <w:snapToGrid w:val="0"/>
          <w:color w:val="000000"/>
          <w:spacing w:val="-69"/>
          <w:w w:val="15"/>
          <w:shd w:val="solid" w:color="000000" w:fill="000000"/>
          <w:fitText w:val="-20" w:id="-961840368"/>
          <w14:textFill>
            <w14:solidFill>
              <w14:srgbClr w14:val="000000">
                <w14:alpha w14:val="100000"/>
              </w14:srgbClr>
            </w14:solidFill>
          </w14:textFill>
        </w:rPr>
        <w:t>|</w:t>
      </w:r>
      <w:r w:rsidR="00A76376" w:rsidRPr="00A97704">
        <w:rPr>
          <w:rFonts w:cs="Arial"/>
          <w:snapToGrid w:val="0"/>
        </w:rPr>
        <w:t xml:space="preserve"> was applied per cycle to the post progression health state</w:t>
      </w:r>
      <w:r w:rsidR="00053971" w:rsidRPr="00A97704">
        <w:rPr>
          <w:rFonts w:cs="Arial"/>
          <w:snapToGrid w:val="0"/>
        </w:rPr>
        <w:t>,</w:t>
      </w:r>
      <w:r w:rsidR="00A76376" w:rsidRPr="00A97704">
        <w:rPr>
          <w:rFonts w:cs="Arial"/>
          <w:snapToGrid w:val="0"/>
        </w:rPr>
        <w:t xml:space="preserve"> that the ICER was less than $</w:t>
      </w:r>
      <w:r w:rsidR="00FA4114" w:rsidRPr="00FA4114">
        <w:rPr>
          <w:rFonts w:cs="Arial"/>
          <w:snapToGrid w:val="0"/>
        </w:rPr>
        <w:t xml:space="preserve">95,000 to &lt; $115,000 </w:t>
      </w:r>
      <w:r w:rsidR="00A76376" w:rsidRPr="00A97704">
        <w:rPr>
          <w:rFonts w:cs="Arial"/>
          <w:snapToGrid w:val="0"/>
        </w:rPr>
        <w:t>per QALY gained. W</w:t>
      </w:r>
      <w:r w:rsidR="00A133FD" w:rsidRPr="00A97704">
        <w:rPr>
          <w:rFonts w:cs="Arial"/>
          <w:snapToGrid w:val="0"/>
        </w:rPr>
        <w:t xml:space="preserve">hen the </w:t>
      </w:r>
      <w:r w:rsidR="00A76376" w:rsidRPr="00A97704">
        <w:rPr>
          <w:rFonts w:cs="Arial"/>
          <w:snapToGrid w:val="0"/>
        </w:rPr>
        <w:t xml:space="preserve">ITT population </w:t>
      </w:r>
      <w:r w:rsidR="00A133FD" w:rsidRPr="00A97704">
        <w:rPr>
          <w:rFonts w:cs="Arial"/>
          <w:snapToGrid w:val="0"/>
        </w:rPr>
        <w:t xml:space="preserve">was used </w:t>
      </w:r>
      <w:r w:rsidR="00A76376" w:rsidRPr="00A97704">
        <w:rPr>
          <w:rFonts w:cs="Arial"/>
          <w:snapToGrid w:val="0"/>
        </w:rPr>
        <w:t>to inform efficacy, the ICER was less than $</w:t>
      </w:r>
      <w:r w:rsidR="00FA4114" w:rsidRPr="00FA4114">
        <w:rPr>
          <w:rFonts w:cs="Arial"/>
          <w:snapToGrid w:val="0"/>
        </w:rPr>
        <w:t xml:space="preserve">95,000 to &lt; $115,000 </w:t>
      </w:r>
      <w:r w:rsidR="00A76376" w:rsidRPr="00A97704">
        <w:rPr>
          <w:rFonts w:cs="Arial"/>
          <w:snapToGrid w:val="0"/>
        </w:rPr>
        <w:t>per QALY gained with a post progression per cycle cost of approximately $</w:t>
      </w:r>
      <w:r w:rsidR="00E447F1" w:rsidRPr="00D472FF">
        <w:rPr>
          <w:rFonts w:cs="Arial"/>
          <w:snapToGrid w:val="0"/>
          <w:color w:val="000000"/>
          <w:w w:val="15"/>
          <w:shd w:val="solid" w:color="000000" w:fill="000000"/>
          <w:fitText w:val="-20" w:id="-961840384"/>
          <w14:textFill>
            <w14:solidFill>
              <w14:srgbClr w14:val="000000">
                <w14:alpha w14:val="100000"/>
              </w14:srgbClr>
            </w14:solidFill>
          </w14:textFill>
        </w:rPr>
        <w:t xml:space="preserve">|  </w:t>
      </w:r>
      <w:r w:rsidR="00E447F1" w:rsidRPr="00D472FF">
        <w:rPr>
          <w:rFonts w:cs="Arial"/>
          <w:snapToGrid w:val="0"/>
          <w:color w:val="000000"/>
          <w:spacing w:val="-69"/>
          <w:w w:val="15"/>
          <w:shd w:val="solid" w:color="000000" w:fill="000000"/>
          <w:fitText w:val="-20" w:id="-961840384"/>
          <w14:textFill>
            <w14:solidFill>
              <w14:srgbClr w14:val="000000">
                <w14:alpha w14:val="100000"/>
              </w14:srgbClr>
            </w14:solidFill>
          </w14:textFill>
        </w:rPr>
        <w:t>|</w:t>
      </w:r>
      <w:r w:rsidR="00A76376" w:rsidRPr="00A97704">
        <w:rPr>
          <w:rFonts w:cs="Arial"/>
          <w:snapToGrid w:val="0"/>
        </w:rPr>
        <w:t>. The PBAC noted the post progression costs were highly uncertain, but in the context of the cost</w:t>
      </w:r>
      <w:r w:rsidR="00D35232" w:rsidRPr="00A97704">
        <w:rPr>
          <w:rFonts w:cs="Arial"/>
          <w:snapToGrid w:val="0"/>
        </w:rPr>
        <w:t>s</w:t>
      </w:r>
      <w:r w:rsidR="00A76376" w:rsidRPr="00A97704">
        <w:rPr>
          <w:rFonts w:cs="Arial"/>
          <w:snapToGrid w:val="0"/>
        </w:rPr>
        <w:t xml:space="preserve"> of the treatments used </w:t>
      </w:r>
      <w:r w:rsidR="00DE5BCF" w:rsidRPr="00A97704">
        <w:rPr>
          <w:rFonts w:cs="Arial"/>
          <w:snapToGrid w:val="0"/>
        </w:rPr>
        <w:t xml:space="preserve">post cabozantinib as presented in the November 2023 submission, and given the small patient numbers and total cost, it was reasonable to </w:t>
      </w:r>
      <w:r w:rsidR="00E81271" w:rsidRPr="00A97704">
        <w:rPr>
          <w:rFonts w:cs="Arial"/>
          <w:snapToGrid w:val="0"/>
        </w:rPr>
        <w:t>incorporate such a cost in the economic model</w:t>
      </w:r>
      <w:r w:rsidR="00A133FD" w:rsidRPr="00A97704">
        <w:rPr>
          <w:rFonts w:cs="Arial"/>
          <w:snapToGrid w:val="0"/>
        </w:rPr>
        <w:t>. H</w:t>
      </w:r>
      <w:r w:rsidR="00E81271" w:rsidRPr="00A97704">
        <w:rPr>
          <w:rFonts w:cs="Arial"/>
          <w:snapToGrid w:val="0"/>
        </w:rPr>
        <w:t>ence</w:t>
      </w:r>
      <w:r w:rsidR="00A133FD" w:rsidRPr="00A97704">
        <w:rPr>
          <w:rFonts w:cs="Arial"/>
          <w:snapToGrid w:val="0"/>
        </w:rPr>
        <w:t>, the PBAC considered that</w:t>
      </w:r>
      <w:r w:rsidR="00E81271" w:rsidRPr="00A97704">
        <w:rPr>
          <w:rFonts w:cs="Arial"/>
          <w:snapToGrid w:val="0"/>
        </w:rPr>
        <w:t xml:space="preserve"> cabozantinib would be cost-effective at the price proposed in the submission.</w:t>
      </w:r>
    </w:p>
    <w:p w14:paraId="5B422993" w14:textId="42B7818E" w:rsidR="009E019D" w:rsidRPr="00A97704" w:rsidRDefault="009E019D" w:rsidP="00A133FD">
      <w:pPr>
        <w:pStyle w:val="3-BodyText"/>
        <w:ind w:left="720"/>
        <w:rPr>
          <w:rFonts w:cs="Arial"/>
          <w:snapToGrid w:val="0"/>
        </w:rPr>
      </w:pPr>
      <w:r w:rsidRPr="00A97704">
        <w:rPr>
          <w:rFonts w:cs="Arial"/>
          <w:snapToGrid w:val="0"/>
        </w:rPr>
        <w:t xml:space="preserve">The PBAC noted that the early re-submission made the requested changes to the utilisation estimates and that when the proposed </w:t>
      </w:r>
      <w:r w:rsidRPr="001E7F5C">
        <w:rPr>
          <w:rFonts w:cs="Arial"/>
          <w:snapToGrid w:val="0"/>
        </w:rPr>
        <w:t>12</w:t>
      </w:r>
      <w:r w:rsidRPr="00A97704">
        <w:rPr>
          <w:rFonts w:cs="Arial"/>
          <w:snapToGrid w:val="0"/>
        </w:rPr>
        <w:t>% price reduction included, the revised estimated net cost to the PBS/RPBS was $</w:t>
      </w:r>
      <w:r w:rsidR="00FA4114" w:rsidRPr="00FA4114">
        <w:rPr>
          <w:rFonts w:cs="Arial"/>
          <w:snapToGrid w:val="0"/>
        </w:rPr>
        <w:t xml:space="preserve">$0 to &lt; $10 </w:t>
      </w:r>
      <w:r w:rsidR="001007E0" w:rsidRPr="00FA4114">
        <w:rPr>
          <w:rFonts w:cs="Arial"/>
          <w:snapToGrid w:val="0"/>
        </w:rPr>
        <w:t>million</w:t>
      </w:r>
      <w:r w:rsidR="001007E0" w:rsidRPr="00A97704">
        <w:rPr>
          <w:rFonts w:cs="Arial"/>
          <w:snapToGrid w:val="0"/>
        </w:rPr>
        <w:t xml:space="preserve"> over</w:t>
      </w:r>
      <w:r w:rsidRPr="00A97704">
        <w:rPr>
          <w:rFonts w:cs="Arial"/>
          <w:snapToGrid w:val="0"/>
        </w:rPr>
        <w:t xml:space="preserve"> the first 6</w:t>
      </w:r>
      <w:r w:rsidR="00045FAB">
        <w:rPr>
          <w:rFonts w:cs="Arial"/>
          <w:snapToGrid w:val="0"/>
        </w:rPr>
        <w:t> </w:t>
      </w:r>
      <w:r w:rsidRPr="00A97704">
        <w:rPr>
          <w:rFonts w:cs="Arial"/>
          <w:snapToGrid w:val="0"/>
        </w:rPr>
        <w:t>years of listing. The PBAC considered that the revised estimates were acceptable.</w:t>
      </w:r>
    </w:p>
    <w:p w14:paraId="6CB50637" w14:textId="3C717A5B" w:rsidR="009E019D" w:rsidRPr="00A97704" w:rsidRDefault="009E019D" w:rsidP="009E019D">
      <w:pPr>
        <w:pStyle w:val="3-BodyText"/>
        <w:ind w:left="720"/>
        <w:rPr>
          <w:rFonts w:cs="Arial"/>
          <w:snapToGrid w:val="0"/>
        </w:rPr>
      </w:pPr>
      <w:r w:rsidRPr="00A97704">
        <w:rPr>
          <w:rFonts w:cs="Arial"/>
          <w:snapToGrid w:val="0"/>
        </w:rPr>
        <w:t>The PBAC considered that the revisions to the requested restriction were acceptable. Specifically, the PBAC agreed that the addition that patients must have thyroid stimulating hormone adequately supressed was appropriate and that patients should have a WHO performance status of no greater than 2.</w:t>
      </w:r>
      <w:r w:rsidR="00504B8D">
        <w:rPr>
          <w:rFonts w:cs="Arial"/>
          <w:snapToGrid w:val="0"/>
        </w:rPr>
        <w:t xml:space="preserve"> The PBAC also considered that the restriction be age agnostic.</w:t>
      </w:r>
    </w:p>
    <w:p w14:paraId="23673BD8" w14:textId="501E2DFB" w:rsidR="009E019D" w:rsidRPr="00561FF2" w:rsidRDefault="009E019D" w:rsidP="009E019D">
      <w:pPr>
        <w:pStyle w:val="3-BodyText"/>
        <w:ind w:left="720"/>
        <w:rPr>
          <w:rFonts w:cstheme="minorHAnsi"/>
          <w:b/>
        </w:rPr>
      </w:pPr>
      <w:r w:rsidRPr="00561FF2">
        <w:rPr>
          <w:rFonts w:cstheme="minorHAnsi"/>
        </w:rPr>
        <w:t xml:space="preserve">The PBAC found that the criteria prescribed by the </w:t>
      </w:r>
      <w:r w:rsidRPr="00561FF2">
        <w:rPr>
          <w:rFonts w:cstheme="minorHAnsi"/>
          <w:i/>
        </w:rPr>
        <w:t>National Health (Pharmaceuticals and Vaccines – Cost Recovery) Regulations 2022</w:t>
      </w:r>
      <w:r w:rsidRPr="00561FF2">
        <w:rPr>
          <w:rFonts w:cstheme="minorHAnsi"/>
        </w:rPr>
        <w:t xml:space="preserve"> for Pricing Pathway A were not met. Specifically, the PBAC found that in the circumstances of its recommendation for cabozantinib:</w:t>
      </w:r>
    </w:p>
    <w:p w14:paraId="4A6F8A76" w14:textId="66494250" w:rsidR="009E019D" w:rsidRPr="00561FF2" w:rsidRDefault="00504B8D" w:rsidP="009E019D">
      <w:pPr>
        <w:pStyle w:val="3-BodyText"/>
        <w:numPr>
          <w:ilvl w:val="2"/>
          <w:numId w:val="28"/>
        </w:numPr>
        <w:ind w:left="993" w:hanging="284"/>
        <w:rPr>
          <w:rFonts w:cstheme="minorHAnsi"/>
        </w:rPr>
      </w:pPr>
      <w:r>
        <w:rPr>
          <w:rFonts w:cstheme="minorHAnsi"/>
        </w:rPr>
        <w:t>T</w:t>
      </w:r>
      <w:r w:rsidR="009E019D" w:rsidRPr="00561FF2">
        <w:rPr>
          <w:rFonts w:cstheme="minorHAnsi"/>
        </w:rPr>
        <w:t xml:space="preserve">he treatment </w:t>
      </w:r>
      <w:r>
        <w:rPr>
          <w:rFonts w:cstheme="minorHAnsi"/>
        </w:rPr>
        <w:t>is not expected to provide a substantial and clinically relevant improvement in efficacy over alternative therapies as the magnitude of the OS benefit was uncertain</w:t>
      </w:r>
      <w:r w:rsidR="009E019D" w:rsidRPr="00561FF2">
        <w:rPr>
          <w:rFonts w:cstheme="minorHAnsi"/>
        </w:rPr>
        <w:t xml:space="preserve">; </w:t>
      </w:r>
    </w:p>
    <w:p w14:paraId="341FA52A" w14:textId="7F09800E" w:rsidR="009E019D" w:rsidRPr="00561FF2" w:rsidRDefault="009E019D" w:rsidP="009E019D">
      <w:pPr>
        <w:pStyle w:val="3-BodyText"/>
        <w:numPr>
          <w:ilvl w:val="2"/>
          <w:numId w:val="28"/>
        </w:numPr>
        <w:ind w:left="993" w:hanging="284"/>
        <w:rPr>
          <w:rFonts w:cstheme="minorHAnsi"/>
        </w:rPr>
      </w:pPr>
      <w:r w:rsidRPr="00561FF2">
        <w:rPr>
          <w:rFonts w:cstheme="minorHAnsi"/>
        </w:rPr>
        <w:lastRenderedPageBreak/>
        <w:t xml:space="preserve">The treatment is expected to address a high and urgent unmet clinical need because there are </w:t>
      </w:r>
      <w:r w:rsidR="00504B8D">
        <w:rPr>
          <w:rFonts w:cstheme="minorHAnsi"/>
        </w:rPr>
        <w:t xml:space="preserve">no </w:t>
      </w:r>
      <w:r w:rsidRPr="00561FF2">
        <w:rPr>
          <w:rFonts w:cstheme="minorHAnsi"/>
        </w:rPr>
        <w:t>alternative treatment options for locally advanced or metastatic differentiated thyroid cancer;</w:t>
      </w:r>
    </w:p>
    <w:p w14:paraId="3D0FFCFF" w14:textId="77777777" w:rsidR="009E019D" w:rsidRPr="00561FF2" w:rsidRDefault="009E019D" w:rsidP="009E019D">
      <w:pPr>
        <w:pStyle w:val="3-BodyText"/>
        <w:numPr>
          <w:ilvl w:val="2"/>
          <w:numId w:val="28"/>
        </w:numPr>
        <w:ind w:left="993" w:hanging="284"/>
        <w:rPr>
          <w:rFonts w:cstheme="minorHAnsi"/>
        </w:rPr>
      </w:pPr>
      <w:r w:rsidRPr="00561FF2">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526BF9FA" w14:textId="29699A14" w:rsidR="009E019D" w:rsidRPr="00A97704" w:rsidRDefault="009E019D" w:rsidP="00A133FD">
      <w:pPr>
        <w:pStyle w:val="3-BodyText"/>
        <w:ind w:left="720"/>
        <w:rPr>
          <w:rFonts w:cs="Arial"/>
          <w:snapToGrid w:val="0"/>
        </w:rPr>
      </w:pPr>
      <w:r w:rsidRPr="00561FF2">
        <w:rPr>
          <w:snapToGrid w:val="0"/>
        </w:rPr>
        <w:t>The PBAC noted that this submission is not eligible for an Independent Review as it received a positive recommendation.</w:t>
      </w:r>
    </w:p>
    <w:bookmarkEnd w:id="12"/>
    <w:p w14:paraId="5125E4E5" w14:textId="77777777" w:rsidR="00AA6F91" w:rsidRPr="00A97704" w:rsidRDefault="00AA6F91" w:rsidP="00AA6F91">
      <w:pPr>
        <w:spacing w:before="240"/>
        <w:rPr>
          <w:rFonts w:asciiTheme="minorHAnsi" w:hAnsiTheme="minorHAnsi" w:cs="Arial"/>
          <w:b/>
          <w:bCs/>
          <w:snapToGrid w:val="0"/>
        </w:rPr>
      </w:pPr>
      <w:r w:rsidRPr="00A97704">
        <w:rPr>
          <w:rFonts w:asciiTheme="minorHAnsi" w:hAnsiTheme="minorHAnsi" w:cs="Arial"/>
          <w:b/>
          <w:bCs/>
          <w:snapToGrid w:val="0"/>
        </w:rPr>
        <w:t>Outcome:</w:t>
      </w:r>
    </w:p>
    <w:p w14:paraId="35CAF7D7" w14:textId="2B9615B3" w:rsidR="00AA6F91" w:rsidRPr="00A97704" w:rsidRDefault="00AA6F91" w:rsidP="00AA6F91">
      <w:pPr>
        <w:rPr>
          <w:rFonts w:asciiTheme="minorHAnsi" w:hAnsiTheme="minorHAnsi" w:cs="Arial"/>
          <w:bCs/>
          <w:snapToGrid w:val="0"/>
        </w:rPr>
      </w:pPr>
      <w:r w:rsidRPr="00A97704">
        <w:rPr>
          <w:rFonts w:asciiTheme="minorHAnsi" w:hAnsiTheme="minorHAnsi" w:cs="Arial"/>
          <w:bCs/>
          <w:snapToGrid w:val="0"/>
        </w:rPr>
        <w:t xml:space="preserve">Recommended </w:t>
      </w:r>
    </w:p>
    <w:bookmarkEnd w:id="10"/>
    <w:p w14:paraId="26B4A9DA" w14:textId="77777777" w:rsidR="00AA6F91" w:rsidRPr="00A97704" w:rsidRDefault="00AA6F91" w:rsidP="00AA6F91">
      <w:pPr>
        <w:pStyle w:val="2-SectionHeading"/>
        <w:rPr>
          <w:iCs/>
        </w:rPr>
      </w:pPr>
      <w:r w:rsidRPr="00A97704">
        <w:t>Recommended listing</w:t>
      </w:r>
    </w:p>
    <w:p w14:paraId="784C9878" w14:textId="44B8FA81" w:rsidR="00AA6F91" w:rsidRPr="00561FF2" w:rsidRDefault="009E019D" w:rsidP="00AA6F91">
      <w:pPr>
        <w:widowControl w:val="0"/>
        <w:pBdr>
          <w:bottom w:val="single" w:sz="4" w:space="1" w:color="auto"/>
        </w:pBdr>
        <w:rPr>
          <w:rFonts w:cs="Arial"/>
          <w:bCs/>
          <w:snapToGrid w:val="0"/>
        </w:rPr>
      </w:pPr>
      <w:r w:rsidRPr="00561FF2">
        <w:rPr>
          <w:rFonts w:asciiTheme="minorHAnsi" w:hAnsiTheme="minorHAnsi" w:cs="Arial"/>
          <w:bCs/>
          <w:snapToGrid w:val="0"/>
        </w:rPr>
        <w:t>6.1</w:t>
      </w:r>
      <w:r w:rsidRPr="00561FF2">
        <w:rPr>
          <w:rFonts w:asciiTheme="minorHAnsi" w:hAnsiTheme="minorHAnsi" w:cs="Arial"/>
          <w:bCs/>
          <w:snapToGrid w:val="0"/>
        </w:rPr>
        <w:tab/>
      </w:r>
      <w:r w:rsidR="00C27F18" w:rsidRPr="00561FF2">
        <w:rPr>
          <w:rFonts w:asciiTheme="minorHAnsi" w:hAnsiTheme="minorHAnsi" w:cs="Arial"/>
          <w:bCs/>
          <w:snapToGrid w:val="0"/>
        </w:rPr>
        <w:t xml:space="preserve">Add new </w:t>
      </w:r>
      <w:r w:rsidRPr="00561FF2">
        <w:rPr>
          <w:rFonts w:asciiTheme="minorHAnsi" w:hAnsiTheme="minorHAnsi" w:cs="Arial"/>
          <w:bCs/>
          <w:snapToGrid w:val="0"/>
        </w:rPr>
        <w:t>listing as follows</w:t>
      </w:r>
      <w:bookmarkEnd w:id="11"/>
      <w:r w:rsidRPr="00561FF2">
        <w:rPr>
          <w:rFonts w:cs="Arial"/>
          <w:bCs/>
          <w:snapToGrid w:val="0"/>
        </w:rPr>
        <w:t>:</w:t>
      </w:r>
    </w:p>
    <w:p w14:paraId="17C2D4C4" w14:textId="77777777" w:rsidR="009E019D" w:rsidRPr="00A97704" w:rsidRDefault="009E019D" w:rsidP="00AA6F91">
      <w:pPr>
        <w:widowControl w:val="0"/>
        <w:pBdr>
          <w:bottom w:val="single" w:sz="4" w:space="1" w:color="auto"/>
        </w:pBdr>
        <w:rPr>
          <w:rFonts w:asciiTheme="minorHAnsi" w:hAnsiTheme="minorHAnsi" w:cs="Arial"/>
          <w:bCs/>
          <w:snapToGrid w:val="0"/>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2034"/>
        <w:gridCol w:w="1077"/>
        <w:gridCol w:w="1023"/>
        <w:gridCol w:w="809"/>
        <w:gridCol w:w="1878"/>
        <w:gridCol w:w="25"/>
      </w:tblGrid>
      <w:tr w:rsidR="009E019D" w:rsidRPr="00561FF2" w14:paraId="6FA3FD7C" w14:textId="77777777" w:rsidTr="00A133FD">
        <w:trPr>
          <w:cantSplit/>
          <w:trHeight w:val="374"/>
        </w:trPr>
        <w:tc>
          <w:tcPr>
            <w:tcW w:w="2160" w:type="dxa"/>
            <w:vAlign w:val="center"/>
          </w:tcPr>
          <w:p w14:paraId="73BD209D" w14:textId="77777777" w:rsidR="009E019D" w:rsidRPr="00561FF2" w:rsidRDefault="009E019D" w:rsidP="009A1769">
            <w:pPr>
              <w:keepNext/>
              <w:keepLines/>
              <w:jc w:val="left"/>
              <w:rPr>
                <w:rFonts w:ascii="Arial Narrow" w:eastAsia="Calibri" w:hAnsi="Arial Narrow"/>
                <w:b/>
                <w:bCs/>
                <w:kern w:val="2"/>
                <w:sz w:val="20"/>
                <w:szCs w:val="20"/>
                <w14:ligatures w14:val="standardContextual"/>
              </w:rPr>
            </w:pPr>
            <w:r w:rsidRPr="00561FF2">
              <w:rPr>
                <w:rFonts w:ascii="Arial Narrow" w:eastAsia="Calibri" w:hAnsi="Arial Narrow"/>
                <w:b/>
                <w:bCs/>
                <w:kern w:val="2"/>
                <w:sz w:val="20"/>
                <w:szCs w:val="20"/>
                <w14:ligatures w14:val="standardContextual"/>
              </w:rPr>
              <w:t>MEDICINAL PRODUCT</w:t>
            </w:r>
          </w:p>
          <w:p w14:paraId="39992A3C" w14:textId="77777777" w:rsidR="009E019D" w:rsidRPr="00561FF2" w:rsidRDefault="009E019D" w:rsidP="009A1769">
            <w:pPr>
              <w:keepNext/>
              <w:keepLines/>
              <w:jc w:val="left"/>
              <w:rPr>
                <w:rFonts w:ascii="Arial Narrow" w:eastAsia="Calibri" w:hAnsi="Arial Narrow"/>
                <w:b/>
                <w:kern w:val="2"/>
                <w:sz w:val="20"/>
                <w:szCs w:val="20"/>
                <w14:ligatures w14:val="standardContextual"/>
              </w:rPr>
            </w:pPr>
            <w:r w:rsidRPr="00561FF2">
              <w:rPr>
                <w:rFonts w:ascii="Arial Narrow" w:eastAsia="Calibri" w:hAnsi="Arial Narrow"/>
                <w:b/>
                <w:bCs/>
                <w:kern w:val="2"/>
                <w:sz w:val="20"/>
                <w:szCs w:val="20"/>
                <w14:ligatures w14:val="standardContextual"/>
              </w:rPr>
              <w:t>medicinal product pack</w:t>
            </w:r>
          </w:p>
        </w:tc>
        <w:tc>
          <w:tcPr>
            <w:tcW w:w="2040" w:type="dxa"/>
            <w:vAlign w:val="center"/>
          </w:tcPr>
          <w:p w14:paraId="43F61BBC" w14:textId="2BED8309" w:rsidR="009E019D" w:rsidRPr="00561FF2" w:rsidRDefault="009E019D" w:rsidP="009A1769">
            <w:pPr>
              <w:keepNext/>
              <w:keepLines/>
              <w:jc w:val="center"/>
              <w:rPr>
                <w:rFonts w:ascii="Arial Narrow" w:hAnsi="Arial Narrow"/>
                <w:b/>
                <w:sz w:val="20"/>
                <w:szCs w:val="20"/>
              </w:rPr>
            </w:pPr>
            <w:r w:rsidRPr="00561FF2">
              <w:rPr>
                <w:rFonts w:ascii="Arial Narrow" w:hAnsi="Arial Narrow"/>
                <w:b/>
                <w:snapToGrid w:val="0"/>
                <w:sz w:val="20"/>
              </w:rPr>
              <w:t>PBAC item number</w:t>
            </w:r>
          </w:p>
        </w:tc>
        <w:tc>
          <w:tcPr>
            <w:tcW w:w="1080" w:type="dxa"/>
            <w:vAlign w:val="center"/>
          </w:tcPr>
          <w:p w14:paraId="5392D044"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packs</w:t>
            </w:r>
          </w:p>
        </w:tc>
        <w:tc>
          <w:tcPr>
            <w:tcW w:w="1026" w:type="dxa"/>
            <w:vAlign w:val="center"/>
          </w:tcPr>
          <w:p w14:paraId="424C99CB"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units</w:t>
            </w:r>
          </w:p>
        </w:tc>
        <w:tc>
          <w:tcPr>
            <w:tcW w:w="811" w:type="dxa"/>
            <w:vAlign w:val="center"/>
          </w:tcPr>
          <w:p w14:paraId="0FB4D977"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 of</w:t>
            </w:r>
          </w:p>
          <w:p w14:paraId="2807601B"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Rpts</w:t>
            </w:r>
          </w:p>
        </w:tc>
        <w:tc>
          <w:tcPr>
            <w:tcW w:w="1883" w:type="dxa"/>
            <w:gridSpan w:val="2"/>
            <w:vAlign w:val="center"/>
          </w:tcPr>
          <w:p w14:paraId="3DFEB64A" w14:textId="77777777" w:rsidR="009E019D" w:rsidRPr="00561FF2" w:rsidRDefault="009E019D" w:rsidP="009A1769">
            <w:pPr>
              <w:keepNext/>
              <w:keepLines/>
              <w:spacing w:after="160" w:line="259" w:lineRule="auto"/>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Available brands</w:t>
            </w:r>
          </w:p>
        </w:tc>
      </w:tr>
      <w:tr w:rsidR="009E019D" w:rsidRPr="00561FF2" w14:paraId="22468E47" w14:textId="77777777" w:rsidTr="009A1769">
        <w:trPr>
          <w:gridAfter w:val="1"/>
          <w:wAfter w:w="25" w:type="dxa"/>
          <w:cantSplit/>
          <w:trHeight w:val="17"/>
        </w:trPr>
        <w:tc>
          <w:tcPr>
            <w:tcW w:w="9000" w:type="dxa"/>
            <w:gridSpan w:val="6"/>
            <w:vAlign w:val="center"/>
          </w:tcPr>
          <w:p w14:paraId="01407EA1" w14:textId="77777777" w:rsidR="009E019D" w:rsidRPr="00561FF2" w:rsidRDefault="009E019D" w:rsidP="009A1769">
            <w:pPr>
              <w:keepNext/>
              <w:keepLines/>
              <w:rPr>
                <w:rFonts w:ascii="Arial Narrow" w:hAnsi="Arial Narrow" w:cs="Arial"/>
                <w:bCs/>
                <w:sz w:val="20"/>
                <w:szCs w:val="20"/>
              </w:rPr>
            </w:pPr>
            <w:r w:rsidRPr="00561FF2">
              <w:rPr>
                <w:rFonts w:ascii="Arial Narrow" w:hAnsi="Arial Narrow" w:cs="Arial"/>
                <w:bCs/>
                <w:sz w:val="20"/>
                <w:szCs w:val="20"/>
              </w:rPr>
              <w:t>CABOZANTINIB</w:t>
            </w:r>
          </w:p>
        </w:tc>
      </w:tr>
      <w:tr w:rsidR="009E019D" w:rsidRPr="00561FF2" w14:paraId="51F89362" w14:textId="77777777" w:rsidTr="00A133FD">
        <w:trPr>
          <w:gridAfter w:val="1"/>
          <w:wAfter w:w="25" w:type="dxa"/>
          <w:cantSplit/>
          <w:trHeight w:val="17"/>
        </w:trPr>
        <w:tc>
          <w:tcPr>
            <w:tcW w:w="2160" w:type="dxa"/>
            <w:vAlign w:val="center"/>
          </w:tcPr>
          <w:p w14:paraId="5E4F4F5D"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20 mg tablet, 30 </w:t>
            </w:r>
          </w:p>
          <w:p w14:paraId="23A491F1"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40 mg tablet, 30</w:t>
            </w:r>
          </w:p>
          <w:p w14:paraId="7B7FA2F6"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60 mg tablet, 30</w:t>
            </w:r>
          </w:p>
        </w:tc>
        <w:tc>
          <w:tcPr>
            <w:tcW w:w="2040" w:type="dxa"/>
          </w:tcPr>
          <w:p w14:paraId="6A9BC474" w14:textId="77777777" w:rsidR="009E019D" w:rsidRPr="00561FF2" w:rsidRDefault="009E019D" w:rsidP="009A1769">
            <w:pPr>
              <w:keepNext/>
              <w:keepLines/>
              <w:jc w:val="center"/>
              <w:rPr>
                <w:rFonts w:ascii="Arial Narrow" w:hAnsi="Arial Narrow"/>
                <w:bCs/>
                <w:sz w:val="20"/>
              </w:rPr>
            </w:pPr>
          </w:p>
          <w:p w14:paraId="74CC978A" w14:textId="2C32036F" w:rsidR="009E019D" w:rsidRPr="00561FF2" w:rsidRDefault="009E019D" w:rsidP="009A1769">
            <w:pPr>
              <w:keepNext/>
              <w:keepLines/>
              <w:jc w:val="center"/>
              <w:rPr>
                <w:rFonts w:ascii="Arial Narrow" w:hAnsi="Arial Narrow"/>
                <w:bCs/>
                <w:sz w:val="20"/>
                <w:szCs w:val="20"/>
              </w:rPr>
            </w:pPr>
            <w:r w:rsidRPr="00561FF2">
              <w:rPr>
                <w:rFonts w:ascii="Arial Narrow" w:hAnsi="Arial Narrow"/>
                <w:bCs/>
                <w:sz w:val="20"/>
              </w:rPr>
              <w:t xml:space="preserve">NEW </w:t>
            </w:r>
          </w:p>
        </w:tc>
        <w:tc>
          <w:tcPr>
            <w:tcW w:w="1080" w:type="dxa"/>
            <w:vAlign w:val="center"/>
          </w:tcPr>
          <w:p w14:paraId="67DE7D92"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1</w:t>
            </w:r>
          </w:p>
        </w:tc>
        <w:tc>
          <w:tcPr>
            <w:tcW w:w="1026" w:type="dxa"/>
            <w:vAlign w:val="center"/>
          </w:tcPr>
          <w:p w14:paraId="5D842E5E"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30</w:t>
            </w:r>
          </w:p>
        </w:tc>
        <w:tc>
          <w:tcPr>
            <w:tcW w:w="811" w:type="dxa"/>
            <w:vAlign w:val="center"/>
          </w:tcPr>
          <w:p w14:paraId="32F3AE4E"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2</w:t>
            </w:r>
          </w:p>
        </w:tc>
        <w:tc>
          <w:tcPr>
            <w:tcW w:w="1883" w:type="dxa"/>
            <w:vAlign w:val="center"/>
          </w:tcPr>
          <w:p w14:paraId="4972BE3A" w14:textId="77777777" w:rsidR="009E019D" w:rsidRPr="00561FF2" w:rsidRDefault="009E019D" w:rsidP="009A1769">
            <w:pPr>
              <w:keepNext/>
              <w:keepLines/>
              <w:spacing w:after="160" w:line="259" w:lineRule="auto"/>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Cabometyx, </w:t>
            </w:r>
            <w:r w:rsidRPr="00561FF2">
              <w:rPr>
                <w:rFonts w:ascii="Arial Narrow" w:eastAsia="Calibri" w:hAnsi="Arial Narrow"/>
                <w:kern w:val="2"/>
                <w:sz w:val="20"/>
                <w:szCs w:val="20"/>
                <w14:ligatures w14:val="standardContextual"/>
              </w:rPr>
              <w:br/>
              <w:t>Ipsen Pty Ltd</w:t>
            </w:r>
          </w:p>
        </w:tc>
      </w:tr>
    </w:tbl>
    <w:p w14:paraId="483AE80C" w14:textId="77777777" w:rsidR="009E019D" w:rsidRPr="00561FF2" w:rsidRDefault="009E019D" w:rsidP="009E019D">
      <w:pPr>
        <w:spacing w:after="120"/>
        <w:contextualSpacing/>
        <w:rPr>
          <w:rFonts w:ascii="Arial Narrow" w:hAnsi="Arial Narrow" w:cs="Arial"/>
          <w:snapToGrid w:val="0"/>
          <w:sz w:val="18"/>
        </w:rPr>
      </w:pPr>
    </w:p>
    <w:tbl>
      <w:tblPr>
        <w:tblW w:w="5000" w:type="pct"/>
        <w:tblLook w:val="0000" w:firstRow="0" w:lastRow="0" w:firstColumn="0" w:lastColumn="0" w:noHBand="0" w:noVBand="0"/>
      </w:tblPr>
      <w:tblGrid>
        <w:gridCol w:w="1196"/>
        <w:gridCol w:w="7820"/>
      </w:tblGrid>
      <w:tr w:rsidR="009E019D" w:rsidRPr="00561FF2" w14:paraId="4771D8A0" w14:textId="77777777" w:rsidTr="009A1769">
        <w:trPr>
          <w:trHeight w:val="170"/>
        </w:trPr>
        <w:tc>
          <w:tcPr>
            <w:tcW w:w="663" w:type="pct"/>
            <w:vMerge w:val="restart"/>
            <w:tcBorders>
              <w:top w:val="single" w:sz="4" w:space="0" w:color="auto"/>
              <w:left w:val="single" w:sz="4" w:space="0" w:color="auto"/>
              <w:right w:val="single" w:sz="4" w:space="0" w:color="auto"/>
            </w:tcBorders>
          </w:tcPr>
          <w:p w14:paraId="16E4FF36" w14:textId="77777777" w:rsidR="009E019D" w:rsidRPr="00561FF2" w:rsidRDefault="009E019D" w:rsidP="009A1769">
            <w:pPr>
              <w:jc w:val="center"/>
              <w:rPr>
                <w:rFonts w:ascii="Arial Narrow" w:hAnsi="Arial Narrow"/>
                <w:b/>
                <w:bCs/>
                <w:color w:val="000000"/>
                <w:sz w:val="20"/>
                <w:szCs w:val="20"/>
              </w:rPr>
            </w:pPr>
            <w:r w:rsidRPr="00561FF2">
              <w:rPr>
                <w:rFonts w:ascii="Arial Narrow" w:hAnsi="Arial Narrow"/>
                <w:b/>
                <w:bCs/>
                <w:color w:val="000000"/>
                <w:sz w:val="20"/>
                <w:szCs w:val="20"/>
              </w:rPr>
              <w:t>Concept ID</w:t>
            </w:r>
          </w:p>
          <w:p w14:paraId="6A1F6ED7" w14:textId="31B59A5D"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2EC1F19"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9E019D" w:rsidRPr="00561FF2" w14:paraId="719D1E5C" w14:textId="77777777" w:rsidTr="009A1769">
        <w:trPr>
          <w:trHeight w:val="56"/>
        </w:trPr>
        <w:tc>
          <w:tcPr>
            <w:tcW w:w="663" w:type="pct"/>
            <w:vMerge/>
            <w:tcBorders>
              <w:left w:val="single" w:sz="4" w:space="0" w:color="auto"/>
              <w:right w:val="single" w:sz="4" w:space="0" w:color="auto"/>
            </w:tcBorders>
          </w:tcPr>
          <w:p w14:paraId="7590441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A9141FB"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9E019D" w:rsidRPr="00561FF2" w14:paraId="55F88BB3" w14:textId="77777777" w:rsidTr="009A1769">
        <w:trPr>
          <w:trHeight w:val="158"/>
        </w:trPr>
        <w:tc>
          <w:tcPr>
            <w:tcW w:w="663" w:type="pct"/>
            <w:vMerge/>
            <w:tcBorders>
              <w:left w:val="single" w:sz="4" w:space="0" w:color="auto"/>
              <w:bottom w:val="single" w:sz="4" w:space="0" w:color="auto"/>
              <w:right w:val="single" w:sz="4" w:space="0" w:color="auto"/>
            </w:tcBorders>
          </w:tcPr>
          <w:p w14:paraId="33A2AA01"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260C880"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9E019D" w:rsidRPr="00561FF2" w14:paraId="702EEA71"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B142A85" w14:textId="77777777"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FB00EA8" w14:textId="77777777" w:rsidR="009E019D" w:rsidRPr="00561FF2" w:rsidRDefault="009E019D" w:rsidP="009A1769">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9E019D" w:rsidRPr="00561FF2" w14:paraId="69D80B5D"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2E4DFB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1677AA0"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w:t>
            </w:r>
          </w:p>
        </w:tc>
      </w:tr>
      <w:tr w:rsidR="009E019D" w:rsidRPr="00561FF2" w14:paraId="10D0B972" w14:textId="77777777" w:rsidTr="009A1769">
        <w:trPr>
          <w:trHeight w:val="122"/>
        </w:trPr>
        <w:tc>
          <w:tcPr>
            <w:tcW w:w="663" w:type="pct"/>
            <w:tcBorders>
              <w:top w:val="single" w:sz="4" w:space="0" w:color="auto"/>
              <w:left w:val="single" w:sz="4" w:space="0" w:color="auto"/>
              <w:bottom w:val="single" w:sz="4" w:space="0" w:color="auto"/>
              <w:right w:val="single" w:sz="4" w:space="0" w:color="auto"/>
            </w:tcBorders>
          </w:tcPr>
          <w:p w14:paraId="2038D451" w14:textId="1EEFB149"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F35DF9F"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Locally advanced or metastatic differentiated thyroid carcinoma</w:t>
            </w:r>
          </w:p>
        </w:tc>
      </w:tr>
      <w:tr w:rsidR="009E019D" w:rsidRPr="00561FF2" w14:paraId="0053F68A"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267065C"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56BB6E3"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Initial treatment</w:t>
            </w:r>
          </w:p>
        </w:tc>
      </w:tr>
      <w:tr w:rsidR="009E019D" w:rsidRPr="00561FF2" w14:paraId="134407E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025B7F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20F628A" w14:textId="77777777" w:rsidR="009E019D" w:rsidRPr="00561FF2" w:rsidRDefault="009E019D" w:rsidP="009A1769">
            <w:pPr>
              <w:rPr>
                <w:rFonts w:ascii="Arial Narrow" w:hAnsi="Arial Narrow"/>
                <w:b/>
                <w:bCs/>
                <w:color w:val="000000"/>
                <w:sz w:val="20"/>
                <w:szCs w:val="20"/>
              </w:rPr>
            </w:pPr>
          </w:p>
        </w:tc>
      </w:tr>
      <w:tr w:rsidR="009E019D" w:rsidRPr="00561FF2" w14:paraId="218A66E7"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33EFCC23"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1771C6E"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2B3C73D0"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59A7592" w14:textId="6C710CA4"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19D5116"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The condition must be refractory to radioactive iodine; or</w:t>
            </w:r>
          </w:p>
        </w:tc>
      </w:tr>
      <w:tr w:rsidR="009E019D" w:rsidRPr="00561FF2" w14:paraId="2D37CDD1"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4933BC97" w14:textId="47FEE896"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0D6D860"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9E019D" w:rsidRPr="00561FF2" w14:paraId="1524AF1B"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50DF96D4"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CAA1CEE"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2052D1DD"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B5E4DB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BD83415"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4E5BCD4B" w14:textId="77777777" w:rsidTr="009A1769">
        <w:trPr>
          <w:trHeight w:val="360"/>
        </w:trPr>
        <w:tc>
          <w:tcPr>
            <w:tcW w:w="663" w:type="pct"/>
            <w:tcBorders>
              <w:top w:val="single" w:sz="4" w:space="0" w:color="auto"/>
              <w:left w:val="single" w:sz="4" w:space="0" w:color="auto"/>
              <w:bottom w:val="single" w:sz="4" w:space="0" w:color="auto"/>
              <w:right w:val="single" w:sz="4" w:space="0" w:color="auto"/>
            </w:tcBorders>
          </w:tcPr>
          <w:p w14:paraId="2449C2A9" w14:textId="192DA9D2"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CBD89CA"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Patient must have progressive disease according to Response Evaluation Criteria in Solid Tumours (RECIST) whilst on treatment with a vascular endothelial growth factor (VEGF)-targeted tyrosine kinase inhibitor (TKI) for this indication;</w:t>
            </w:r>
          </w:p>
        </w:tc>
      </w:tr>
      <w:tr w:rsidR="009E019D" w:rsidRPr="00561FF2" w14:paraId="7E085AAA"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32DF97F4"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6D54016"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OR</w:t>
            </w:r>
          </w:p>
        </w:tc>
      </w:tr>
      <w:tr w:rsidR="009E019D" w:rsidRPr="00561FF2" w14:paraId="5B0CD26B" w14:textId="77777777" w:rsidTr="009A1769">
        <w:trPr>
          <w:trHeight w:val="360"/>
        </w:trPr>
        <w:tc>
          <w:tcPr>
            <w:tcW w:w="663" w:type="pct"/>
            <w:tcBorders>
              <w:top w:val="single" w:sz="4" w:space="0" w:color="auto"/>
              <w:left w:val="single" w:sz="4" w:space="0" w:color="auto"/>
              <w:bottom w:val="single" w:sz="4" w:space="0" w:color="auto"/>
              <w:right w:val="single" w:sz="4" w:space="0" w:color="auto"/>
            </w:tcBorders>
          </w:tcPr>
          <w:p w14:paraId="218B2153" w14:textId="07D8A34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18A207A"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 xml:space="preserve">Patient must have developed intolerance of a severity necessitating permanent treatment withdrawal, in the absence of disease progression, to prior </w:t>
            </w:r>
            <w:r w:rsidRPr="00561FF2">
              <w:rPr>
                <w:rFonts w:ascii="Arial Narrow" w:hAnsi="Arial Narrow"/>
                <w:sz w:val="20"/>
                <w:szCs w:val="20"/>
              </w:rPr>
              <w:t>VEGF</w:t>
            </w:r>
            <w:r w:rsidRPr="00561FF2">
              <w:rPr>
                <w:rFonts w:ascii="Arial Narrow" w:hAnsi="Arial Narrow"/>
                <w:color w:val="000000"/>
                <w:sz w:val="20"/>
                <w:szCs w:val="20"/>
              </w:rPr>
              <w:t>-targeted TKI therapy</w:t>
            </w:r>
          </w:p>
        </w:tc>
      </w:tr>
      <w:tr w:rsidR="009E019D" w:rsidRPr="00561FF2" w14:paraId="54980A66"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15F13481"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1780656"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4DB72FC4"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67D3E03E"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64E87A9"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3374CDDC"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7B05616" w14:textId="1CFC80EF"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2E34257" w14:textId="221CD46B"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have a WHO performance status of not higher than 2,</w:t>
            </w:r>
          </w:p>
        </w:tc>
      </w:tr>
      <w:tr w:rsidR="009E019D" w:rsidRPr="00561FF2" w14:paraId="536B74A7"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230A4AFD"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CEB8C1F"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09872841"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C66FA04"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5925300"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78C06C58"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212005D4" w14:textId="1DEB15C3"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48C630A"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The treatment must be the sole PBS-subsidised therapy for this condition.</w:t>
            </w:r>
          </w:p>
        </w:tc>
      </w:tr>
      <w:tr w:rsidR="009E019D" w:rsidRPr="00561FF2" w14:paraId="3B72A12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09095386"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5D5F05B"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5A431C4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379C798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8EF2AA1"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4644F275"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5B9FEB8A" w14:textId="6A1126DA"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11BE5A0"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have thyroid stimulating hormone adequately supressed</w:t>
            </w:r>
          </w:p>
        </w:tc>
      </w:tr>
      <w:tr w:rsidR="009E019D" w:rsidRPr="00561FF2" w14:paraId="1E5AEA58"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5E16495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808A2D1" w14:textId="77777777" w:rsidR="009E019D" w:rsidRPr="00561FF2" w:rsidRDefault="009E019D" w:rsidP="009A1769">
            <w:pPr>
              <w:rPr>
                <w:rFonts w:ascii="Arial Narrow" w:hAnsi="Arial Narrow"/>
                <w:b/>
                <w:bCs/>
                <w:color w:val="000000"/>
                <w:sz w:val="20"/>
                <w:szCs w:val="20"/>
              </w:rPr>
            </w:pPr>
          </w:p>
        </w:tc>
      </w:tr>
      <w:tr w:rsidR="009E019D" w:rsidRPr="00561FF2" w14:paraId="7D6E7834"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6B4C42F" w14:textId="2F0C785A"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FD709ED" w14:textId="77777777" w:rsidR="009E019D" w:rsidRPr="00561FF2" w:rsidRDefault="009E019D" w:rsidP="009A1769">
            <w:pPr>
              <w:rPr>
                <w:rFonts w:ascii="Arial Narrow" w:hAnsi="Arial Narrow"/>
                <w:b/>
                <w:bCs/>
                <w:sz w:val="20"/>
                <w:szCs w:val="20"/>
              </w:rPr>
            </w:pPr>
            <w:r w:rsidRPr="00561FF2">
              <w:rPr>
                <w:rFonts w:ascii="Arial Narrow" w:hAnsi="Arial Narrow"/>
                <w:b/>
                <w:bCs/>
                <w:sz w:val="20"/>
                <w:szCs w:val="20"/>
              </w:rPr>
              <w:t>Prescribing instructions:</w:t>
            </w:r>
          </w:p>
          <w:p w14:paraId="07A4B48C" w14:textId="77777777" w:rsidR="009E019D" w:rsidRPr="00561FF2" w:rsidRDefault="009E019D" w:rsidP="009A1769">
            <w:pPr>
              <w:rPr>
                <w:rFonts w:ascii="Arial Narrow" w:hAnsi="Arial Narrow"/>
                <w:sz w:val="20"/>
                <w:szCs w:val="20"/>
              </w:rPr>
            </w:pPr>
            <w:r w:rsidRPr="00561FF2">
              <w:rPr>
                <w:rFonts w:ascii="Arial Narrow" w:hAnsi="Arial Narrow"/>
                <w:sz w:val="20"/>
                <w:szCs w:val="20"/>
              </w:rPr>
              <w:t>Radioactive iodine refractory is defined as:</w:t>
            </w:r>
          </w:p>
          <w:p w14:paraId="54AF2478"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a lesion without iodine uptake on a radioactive iodine (RAI) scan; or</w:t>
            </w:r>
          </w:p>
          <w:p w14:paraId="5E16DF9E"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having received a cumulative RAI dose of greater than or equal to 600 mCi; or</w:t>
            </w:r>
          </w:p>
          <w:p w14:paraId="2E8D89F0"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progression within 12 months of a single RAI treatment; or</w:t>
            </w:r>
          </w:p>
          <w:p w14:paraId="06F1985A"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progression after two RAI treatments administered within 12 months of each other</w:t>
            </w:r>
          </w:p>
        </w:tc>
      </w:tr>
      <w:tr w:rsidR="009E019D" w:rsidRPr="00561FF2" w14:paraId="38C6AFDA"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120655FC" w14:textId="77777777"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81D5806" w14:textId="77777777" w:rsidR="009E019D" w:rsidRPr="00561FF2" w:rsidRDefault="009E019D" w:rsidP="009A1769">
            <w:pPr>
              <w:rPr>
                <w:rFonts w:ascii="Arial Narrow" w:hAnsi="Arial Narrow"/>
                <w:sz w:val="20"/>
                <w:szCs w:val="20"/>
              </w:rPr>
            </w:pPr>
          </w:p>
        </w:tc>
      </w:tr>
      <w:tr w:rsidR="009E019D" w:rsidRPr="00561FF2" w14:paraId="32739599"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9551796" w14:textId="0C71D18A"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076A3B8" w14:textId="77777777" w:rsidR="009E019D" w:rsidRPr="00561FF2" w:rsidRDefault="009E019D" w:rsidP="009A1769">
            <w:pPr>
              <w:rPr>
                <w:rFonts w:ascii="Arial Narrow" w:hAnsi="Arial Narrow"/>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9E019D" w:rsidRPr="00561FF2" w14:paraId="5B823FE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173EDA90" w14:textId="0580617F"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15380D4"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9E019D" w:rsidRPr="00561FF2" w14:paraId="28CA174D"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2EDA3033" w14:textId="2928E7C1"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377DF9C"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9E019D" w:rsidRPr="00561FF2" w14:paraId="671FFFD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6BEC9E3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F7E9B7D" w14:textId="77777777" w:rsidR="009E019D" w:rsidRPr="00561FF2" w:rsidRDefault="009E019D" w:rsidP="009A1769">
            <w:pPr>
              <w:rPr>
                <w:rFonts w:ascii="Arial Narrow" w:hAnsi="Arial Narrow"/>
                <w:b/>
                <w:bCs/>
                <w:color w:val="000000"/>
                <w:sz w:val="20"/>
                <w:szCs w:val="20"/>
              </w:rPr>
            </w:pPr>
          </w:p>
        </w:tc>
      </w:tr>
      <w:tr w:rsidR="009E019D" w:rsidRPr="00561FF2" w14:paraId="1C895347"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51A60D67" w14:textId="214FADCF"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A5D1AC2"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10D8655D" w14:textId="667F2688"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Response Evaluation Criteria In Solid Tumours (RE</w:t>
            </w:r>
            <w:r w:rsidR="00A133FD" w:rsidRPr="00561FF2">
              <w:rPr>
                <w:rFonts w:ascii="Arial Narrow" w:hAnsi="Arial Narrow"/>
                <w:color w:val="000000"/>
                <w:sz w:val="20"/>
                <w:szCs w:val="20"/>
              </w:rPr>
              <w:t>C</w:t>
            </w:r>
            <w:r w:rsidRPr="00561FF2">
              <w:rPr>
                <w:rFonts w:ascii="Arial Narrow" w:hAnsi="Arial Narrow"/>
                <w:color w:val="000000"/>
                <w:sz w:val="20"/>
                <w:szCs w:val="20"/>
              </w:rPr>
              <w:t>IST) is defined as follows:</w:t>
            </w:r>
          </w:p>
          <w:p w14:paraId="58B54EF1"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3EA24932"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72DECE3D"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689AFA83" w14:textId="77777777" w:rsidR="009E019D" w:rsidRPr="00561FF2" w:rsidRDefault="009E019D" w:rsidP="009A1769">
            <w:pPr>
              <w:tabs>
                <w:tab w:val="left" w:pos="5702"/>
              </w:tabs>
              <w:rPr>
                <w:rFonts w:ascii="Arial Narrow" w:hAnsi="Arial Narrow"/>
                <w:b/>
                <w:bCs/>
                <w:color w:val="000000"/>
                <w:sz w:val="20"/>
                <w:szCs w:val="20"/>
              </w:rPr>
            </w:pPr>
            <w:r w:rsidRPr="00561FF2">
              <w:rPr>
                <w:rFonts w:ascii="Arial Narrow" w:hAnsi="Arial Narrow"/>
                <w:color w:val="000000"/>
                <w:sz w:val="20"/>
                <w:szCs w:val="20"/>
              </w:rPr>
              <w:t>Stable disease (SD) is small changes that do not meet above criteria.</w:t>
            </w:r>
            <w:r w:rsidRPr="00561FF2">
              <w:rPr>
                <w:rFonts w:ascii="Arial Narrow" w:hAnsi="Arial Narrow"/>
                <w:color w:val="000000"/>
                <w:sz w:val="20"/>
                <w:szCs w:val="20"/>
              </w:rPr>
              <w:tab/>
            </w:r>
          </w:p>
        </w:tc>
      </w:tr>
      <w:tr w:rsidR="009E019D" w:rsidRPr="00561FF2" w14:paraId="64556648"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5B4C7C8B" w14:textId="08CB97BF"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052D1B7"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Note:</w:t>
            </w:r>
          </w:p>
          <w:p w14:paraId="24441E91"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Vascular endothelial growth factor (VEGF)-targeted tyrosine kinase inhibitor’s (TKI) include: lenvatinib</w:t>
            </w:r>
          </w:p>
        </w:tc>
      </w:tr>
    </w:tbl>
    <w:p w14:paraId="3B41CE8B" w14:textId="77777777" w:rsidR="009E019D" w:rsidRPr="00561FF2" w:rsidRDefault="009E019D" w:rsidP="009E019D">
      <w:pPr>
        <w:rPr>
          <w:highlight w:val="yellow"/>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1997"/>
        <w:gridCol w:w="960"/>
        <w:gridCol w:w="1026"/>
        <w:gridCol w:w="811"/>
        <w:gridCol w:w="1883"/>
      </w:tblGrid>
      <w:tr w:rsidR="009E019D" w:rsidRPr="00561FF2" w14:paraId="604AF856" w14:textId="77777777" w:rsidTr="00A133FD">
        <w:trPr>
          <w:cantSplit/>
          <w:trHeight w:val="242"/>
        </w:trPr>
        <w:tc>
          <w:tcPr>
            <w:tcW w:w="2323" w:type="dxa"/>
            <w:vAlign w:val="center"/>
          </w:tcPr>
          <w:p w14:paraId="43DF296E" w14:textId="77777777" w:rsidR="009E019D" w:rsidRPr="00561FF2" w:rsidRDefault="009E019D" w:rsidP="009A1769">
            <w:pPr>
              <w:keepNext/>
              <w:keepLines/>
              <w:jc w:val="left"/>
              <w:rPr>
                <w:rFonts w:ascii="Arial Narrow" w:eastAsia="Calibri" w:hAnsi="Arial Narrow"/>
                <w:b/>
                <w:bCs/>
                <w:kern w:val="2"/>
                <w:sz w:val="20"/>
                <w:szCs w:val="20"/>
                <w14:ligatures w14:val="standardContextual"/>
              </w:rPr>
            </w:pPr>
            <w:r w:rsidRPr="00561FF2">
              <w:rPr>
                <w:rFonts w:ascii="Arial Narrow" w:eastAsia="Calibri" w:hAnsi="Arial Narrow"/>
                <w:b/>
                <w:bCs/>
                <w:kern w:val="2"/>
                <w:sz w:val="20"/>
                <w:szCs w:val="20"/>
                <w14:ligatures w14:val="standardContextual"/>
              </w:rPr>
              <w:t>MEDICINAL PRODUCT</w:t>
            </w:r>
          </w:p>
          <w:p w14:paraId="63454AD5" w14:textId="77777777" w:rsidR="009E019D" w:rsidRPr="00561FF2" w:rsidRDefault="009E019D" w:rsidP="009A1769">
            <w:pPr>
              <w:keepNext/>
              <w:keepLines/>
              <w:jc w:val="left"/>
              <w:rPr>
                <w:rFonts w:ascii="Arial Narrow" w:eastAsia="Calibri" w:hAnsi="Arial Narrow"/>
                <w:b/>
                <w:kern w:val="2"/>
                <w:sz w:val="20"/>
                <w:szCs w:val="20"/>
                <w14:ligatures w14:val="standardContextual"/>
              </w:rPr>
            </w:pPr>
            <w:r w:rsidRPr="00561FF2">
              <w:rPr>
                <w:rFonts w:ascii="Arial Narrow" w:eastAsia="Calibri" w:hAnsi="Arial Narrow"/>
                <w:b/>
                <w:bCs/>
                <w:kern w:val="2"/>
                <w:sz w:val="20"/>
                <w:szCs w:val="20"/>
                <w14:ligatures w14:val="standardContextual"/>
              </w:rPr>
              <w:t>medicinal product pack</w:t>
            </w:r>
          </w:p>
        </w:tc>
        <w:tc>
          <w:tcPr>
            <w:tcW w:w="1997" w:type="dxa"/>
            <w:vAlign w:val="center"/>
          </w:tcPr>
          <w:p w14:paraId="7454C077" w14:textId="674E4787" w:rsidR="009E019D" w:rsidRPr="00561FF2" w:rsidRDefault="009E019D" w:rsidP="009A1769">
            <w:pPr>
              <w:keepNext/>
              <w:keepLines/>
              <w:jc w:val="center"/>
              <w:rPr>
                <w:rFonts w:ascii="Arial Narrow" w:hAnsi="Arial Narrow"/>
                <w:b/>
                <w:sz w:val="20"/>
                <w:szCs w:val="20"/>
              </w:rPr>
            </w:pPr>
            <w:r w:rsidRPr="00561FF2">
              <w:rPr>
                <w:rFonts w:ascii="Arial Narrow" w:hAnsi="Arial Narrow"/>
                <w:b/>
                <w:snapToGrid w:val="0"/>
                <w:sz w:val="20"/>
              </w:rPr>
              <w:t>PBAC item number</w:t>
            </w:r>
          </w:p>
        </w:tc>
        <w:tc>
          <w:tcPr>
            <w:tcW w:w="960" w:type="dxa"/>
            <w:vAlign w:val="center"/>
          </w:tcPr>
          <w:p w14:paraId="7268956E"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packs</w:t>
            </w:r>
          </w:p>
        </w:tc>
        <w:tc>
          <w:tcPr>
            <w:tcW w:w="1026" w:type="dxa"/>
            <w:vAlign w:val="center"/>
          </w:tcPr>
          <w:p w14:paraId="31399512"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Max. qty units</w:t>
            </w:r>
          </w:p>
        </w:tc>
        <w:tc>
          <w:tcPr>
            <w:tcW w:w="811" w:type="dxa"/>
            <w:vAlign w:val="center"/>
          </w:tcPr>
          <w:p w14:paraId="0918B3FA"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 of</w:t>
            </w:r>
          </w:p>
          <w:p w14:paraId="13BD2888" w14:textId="77777777" w:rsidR="009E019D" w:rsidRPr="00561FF2" w:rsidRDefault="009E019D" w:rsidP="009A1769">
            <w:pPr>
              <w:keepNext/>
              <w:keepLines/>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Rpts</w:t>
            </w:r>
          </w:p>
        </w:tc>
        <w:tc>
          <w:tcPr>
            <w:tcW w:w="1883" w:type="dxa"/>
            <w:vAlign w:val="center"/>
          </w:tcPr>
          <w:p w14:paraId="5AC8B169" w14:textId="77777777" w:rsidR="009E019D" w:rsidRPr="00561FF2" w:rsidRDefault="009E019D" w:rsidP="009A1769">
            <w:pPr>
              <w:keepNext/>
              <w:keepLines/>
              <w:spacing w:after="160" w:line="259" w:lineRule="auto"/>
              <w:jc w:val="center"/>
              <w:rPr>
                <w:rFonts w:ascii="Arial Narrow" w:eastAsia="Calibri" w:hAnsi="Arial Narrow"/>
                <w:b/>
                <w:kern w:val="2"/>
                <w:sz w:val="20"/>
                <w:szCs w:val="20"/>
                <w14:ligatures w14:val="standardContextual"/>
              </w:rPr>
            </w:pPr>
            <w:r w:rsidRPr="00561FF2">
              <w:rPr>
                <w:rFonts w:ascii="Arial Narrow" w:eastAsia="Calibri" w:hAnsi="Arial Narrow"/>
                <w:b/>
                <w:kern w:val="2"/>
                <w:sz w:val="20"/>
                <w:szCs w:val="20"/>
                <w14:ligatures w14:val="standardContextual"/>
              </w:rPr>
              <w:t>Available brands</w:t>
            </w:r>
          </w:p>
        </w:tc>
      </w:tr>
      <w:tr w:rsidR="009E019D" w:rsidRPr="00561FF2" w14:paraId="449CB392" w14:textId="77777777" w:rsidTr="009A1769">
        <w:trPr>
          <w:cantSplit/>
          <w:trHeight w:val="17"/>
        </w:trPr>
        <w:tc>
          <w:tcPr>
            <w:tcW w:w="9000" w:type="dxa"/>
            <w:gridSpan w:val="6"/>
            <w:vAlign w:val="center"/>
          </w:tcPr>
          <w:p w14:paraId="3725EA5D" w14:textId="77777777" w:rsidR="009E019D" w:rsidRPr="00561FF2" w:rsidRDefault="009E019D" w:rsidP="009A1769">
            <w:pPr>
              <w:keepNext/>
              <w:keepLines/>
              <w:rPr>
                <w:rFonts w:ascii="Arial Narrow" w:hAnsi="Arial Narrow" w:cs="Arial"/>
                <w:bCs/>
                <w:sz w:val="20"/>
                <w:szCs w:val="20"/>
              </w:rPr>
            </w:pPr>
            <w:r w:rsidRPr="00561FF2">
              <w:rPr>
                <w:rFonts w:ascii="Arial Narrow" w:hAnsi="Arial Narrow" w:cs="Arial"/>
                <w:bCs/>
                <w:sz w:val="20"/>
                <w:szCs w:val="20"/>
              </w:rPr>
              <w:t>CABOZANTINIB</w:t>
            </w:r>
          </w:p>
        </w:tc>
      </w:tr>
      <w:tr w:rsidR="009E019D" w:rsidRPr="00561FF2" w14:paraId="23F6CA81" w14:textId="77777777" w:rsidTr="00A133FD">
        <w:trPr>
          <w:cantSplit/>
          <w:trHeight w:val="17"/>
        </w:trPr>
        <w:tc>
          <w:tcPr>
            <w:tcW w:w="2323" w:type="dxa"/>
            <w:vAlign w:val="center"/>
          </w:tcPr>
          <w:p w14:paraId="3D5AC699"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20 mg tablet, 30 </w:t>
            </w:r>
          </w:p>
          <w:p w14:paraId="5E81A4A3"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40 mg tablet, 30</w:t>
            </w:r>
          </w:p>
          <w:p w14:paraId="2E95DEE0" w14:textId="77777777" w:rsidR="009E019D" w:rsidRPr="00561FF2" w:rsidRDefault="009E019D" w:rsidP="009A1769">
            <w:pPr>
              <w:keepNext/>
              <w:keepLines/>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60 mg tablet, 30</w:t>
            </w:r>
          </w:p>
        </w:tc>
        <w:tc>
          <w:tcPr>
            <w:tcW w:w="1997" w:type="dxa"/>
          </w:tcPr>
          <w:p w14:paraId="46941329" w14:textId="77777777" w:rsidR="009E019D" w:rsidRPr="00561FF2" w:rsidRDefault="009E019D" w:rsidP="009A1769">
            <w:pPr>
              <w:keepNext/>
              <w:keepLines/>
              <w:jc w:val="center"/>
              <w:rPr>
                <w:rFonts w:ascii="Arial Narrow" w:hAnsi="Arial Narrow"/>
                <w:bCs/>
                <w:sz w:val="20"/>
              </w:rPr>
            </w:pPr>
          </w:p>
          <w:p w14:paraId="39AFF94A" w14:textId="7962DE88" w:rsidR="009E019D" w:rsidRPr="00561FF2" w:rsidRDefault="009E019D" w:rsidP="009A1769">
            <w:pPr>
              <w:keepNext/>
              <w:keepLines/>
              <w:jc w:val="center"/>
              <w:rPr>
                <w:rFonts w:ascii="Arial Narrow" w:hAnsi="Arial Narrow"/>
                <w:bCs/>
                <w:sz w:val="20"/>
                <w:szCs w:val="20"/>
              </w:rPr>
            </w:pPr>
            <w:r w:rsidRPr="00561FF2">
              <w:rPr>
                <w:rFonts w:ascii="Arial Narrow" w:hAnsi="Arial Narrow"/>
                <w:bCs/>
                <w:sz w:val="20"/>
              </w:rPr>
              <w:t xml:space="preserve">NEW </w:t>
            </w:r>
          </w:p>
        </w:tc>
        <w:tc>
          <w:tcPr>
            <w:tcW w:w="960" w:type="dxa"/>
            <w:vAlign w:val="center"/>
          </w:tcPr>
          <w:p w14:paraId="2EFB6D37"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1</w:t>
            </w:r>
          </w:p>
        </w:tc>
        <w:tc>
          <w:tcPr>
            <w:tcW w:w="1026" w:type="dxa"/>
            <w:vAlign w:val="center"/>
          </w:tcPr>
          <w:p w14:paraId="7E99AEF1"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30</w:t>
            </w:r>
          </w:p>
        </w:tc>
        <w:tc>
          <w:tcPr>
            <w:tcW w:w="811" w:type="dxa"/>
            <w:vAlign w:val="center"/>
          </w:tcPr>
          <w:p w14:paraId="68D95D31" w14:textId="77777777" w:rsidR="009E019D" w:rsidRPr="00561FF2" w:rsidRDefault="009E019D" w:rsidP="009A1769">
            <w:pPr>
              <w:keepNext/>
              <w:keepLines/>
              <w:spacing w:after="160" w:line="259" w:lineRule="auto"/>
              <w:jc w:val="center"/>
              <w:rPr>
                <w:rFonts w:ascii="Arial Narrow" w:eastAsia="Calibri" w:hAnsi="Arial Narrow"/>
                <w:kern w:val="2"/>
                <w:sz w:val="20"/>
                <w:szCs w:val="20"/>
                <w14:ligatures w14:val="standardContextual"/>
              </w:rPr>
            </w:pPr>
            <w:r w:rsidRPr="00561FF2">
              <w:rPr>
                <w:rFonts w:ascii="Arial Narrow" w:eastAsia="Calibri" w:hAnsi="Arial Narrow"/>
                <w:kern w:val="2"/>
                <w:sz w:val="20"/>
                <w14:ligatures w14:val="standardContextual"/>
              </w:rPr>
              <w:t>5</w:t>
            </w:r>
          </w:p>
        </w:tc>
        <w:tc>
          <w:tcPr>
            <w:tcW w:w="1883" w:type="dxa"/>
            <w:vAlign w:val="center"/>
          </w:tcPr>
          <w:p w14:paraId="75D91490" w14:textId="77777777" w:rsidR="009E019D" w:rsidRPr="00561FF2" w:rsidRDefault="009E019D" w:rsidP="009A1769">
            <w:pPr>
              <w:keepNext/>
              <w:keepLines/>
              <w:spacing w:after="160" w:line="259" w:lineRule="auto"/>
              <w:rPr>
                <w:rFonts w:ascii="Arial Narrow" w:eastAsia="Calibri" w:hAnsi="Arial Narrow"/>
                <w:kern w:val="2"/>
                <w:sz w:val="20"/>
                <w:szCs w:val="20"/>
                <w14:ligatures w14:val="standardContextual"/>
              </w:rPr>
            </w:pPr>
            <w:r w:rsidRPr="00561FF2">
              <w:rPr>
                <w:rFonts w:ascii="Arial Narrow" w:eastAsia="Calibri" w:hAnsi="Arial Narrow"/>
                <w:kern w:val="2"/>
                <w:sz w:val="20"/>
                <w:szCs w:val="20"/>
                <w14:ligatures w14:val="standardContextual"/>
              </w:rPr>
              <w:t xml:space="preserve">Cabometyx, </w:t>
            </w:r>
            <w:r w:rsidRPr="00561FF2">
              <w:rPr>
                <w:rFonts w:ascii="Arial Narrow" w:eastAsia="Calibri" w:hAnsi="Arial Narrow"/>
                <w:kern w:val="2"/>
                <w:sz w:val="20"/>
                <w:szCs w:val="20"/>
                <w14:ligatures w14:val="standardContextual"/>
              </w:rPr>
              <w:br/>
              <w:t>Ipsen Pty Ltd</w:t>
            </w:r>
          </w:p>
        </w:tc>
      </w:tr>
    </w:tbl>
    <w:p w14:paraId="4DC389CF" w14:textId="77777777" w:rsidR="009E019D" w:rsidRPr="00561FF2" w:rsidRDefault="009E019D" w:rsidP="009E019D">
      <w:pPr>
        <w:rPr>
          <w:highlight w:val="yellow"/>
        </w:rPr>
      </w:pPr>
    </w:p>
    <w:tbl>
      <w:tblPr>
        <w:tblW w:w="5000" w:type="pct"/>
        <w:tblLook w:val="0000" w:firstRow="0" w:lastRow="0" w:firstColumn="0" w:lastColumn="0" w:noHBand="0" w:noVBand="0"/>
      </w:tblPr>
      <w:tblGrid>
        <w:gridCol w:w="1196"/>
        <w:gridCol w:w="7820"/>
      </w:tblGrid>
      <w:tr w:rsidR="009E019D" w:rsidRPr="00561FF2" w14:paraId="3AE877B4" w14:textId="77777777" w:rsidTr="009A1769">
        <w:trPr>
          <w:trHeight w:val="170"/>
        </w:trPr>
        <w:tc>
          <w:tcPr>
            <w:tcW w:w="663" w:type="pct"/>
            <w:vMerge w:val="restart"/>
            <w:tcBorders>
              <w:top w:val="single" w:sz="4" w:space="0" w:color="auto"/>
              <w:left w:val="single" w:sz="4" w:space="0" w:color="auto"/>
              <w:right w:val="single" w:sz="4" w:space="0" w:color="auto"/>
            </w:tcBorders>
          </w:tcPr>
          <w:p w14:paraId="1F340043" w14:textId="7D9127D9"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8FADC77"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9E019D" w:rsidRPr="00561FF2" w14:paraId="49007340" w14:textId="77777777" w:rsidTr="009A1769">
        <w:trPr>
          <w:trHeight w:val="56"/>
        </w:trPr>
        <w:tc>
          <w:tcPr>
            <w:tcW w:w="663" w:type="pct"/>
            <w:vMerge/>
            <w:tcBorders>
              <w:left w:val="single" w:sz="4" w:space="0" w:color="auto"/>
              <w:right w:val="single" w:sz="4" w:space="0" w:color="auto"/>
            </w:tcBorders>
          </w:tcPr>
          <w:p w14:paraId="0345104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B8D5B9E"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9E019D" w:rsidRPr="00561FF2" w14:paraId="15479F59" w14:textId="77777777" w:rsidTr="009A1769">
        <w:trPr>
          <w:trHeight w:val="74"/>
        </w:trPr>
        <w:tc>
          <w:tcPr>
            <w:tcW w:w="663" w:type="pct"/>
            <w:vMerge/>
            <w:tcBorders>
              <w:left w:val="single" w:sz="4" w:space="0" w:color="auto"/>
              <w:bottom w:val="single" w:sz="4" w:space="0" w:color="auto"/>
              <w:right w:val="single" w:sz="4" w:space="0" w:color="auto"/>
            </w:tcBorders>
          </w:tcPr>
          <w:p w14:paraId="31522739"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7B77D1D"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9E019D" w:rsidRPr="00561FF2" w14:paraId="70E2DF5E"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7B8DCB1" w14:textId="77777777"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9F75775" w14:textId="77777777" w:rsidR="009E019D" w:rsidRPr="00561FF2" w:rsidRDefault="009E019D" w:rsidP="009A1769">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9E019D" w:rsidRPr="00561FF2" w14:paraId="28D95CF5"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4AA01E5F"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BB9FAD9"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 (DTC)</w:t>
            </w:r>
          </w:p>
        </w:tc>
      </w:tr>
      <w:tr w:rsidR="009E019D" w:rsidRPr="00561FF2" w14:paraId="77EF8A93"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35CFDBE0" w14:textId="44B29C6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232F50C"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Advanced or metastatic differentiated thyroid carcinoma</w:t>
            </w:r>
          </w:p>
        </w:tc>
      </w:tr>
      <w:tr w:rsidR="009E019D" w:rsidRPr="00561FF2" w14:paraId="331A024F"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BA4129B"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06A8FC3"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Continuing treatment </w:t>
            </w:r>
          </w:p>
        </w:tc>
      </w:tr>
      <w:tr w:rsidR="009E019D" w:rsidRPr="00561FF2" w14:paraId="6C1F2EDF"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7D75BB5"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BE5DB69" w14:textId="77777777" w:rsidR="009E019D" w:rsidRPr="00561FF2" w:rsidRDefault="009E019D" w:rsidP="009A1769">
            <w:pPr>
              <w:rPr>
                <w:rFonts w:ascii="Arial Narrow" w:hAnsi="Arial Narrow"/>
                <w:b/>
                <w:bCs/>
                <w:color w:val="000000"/>
                <w:sz w:val="20"/>
                <w:szCs w:val="20"/>
              </w:rPr>
            </w:pPr>
          </w:p>
        </w:tc>
      </w:tr>
      <w:tr w:rsidR="009E019D" w:rsidRPr="00561FF2" w14:paraId="3504790D"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0356183A"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8EC1C40"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55909385"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7A4AB3D" w14:textId="1326FCE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349E986"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The condition must be refractory to radioactive iodine; or</w:t>
            </w:r>
          </w:p>
        </w:tc>
      </w:tr>
      <w:tr w:rsidR="009E019D" w:rsidRPr="00561FF2" w14:paraId="47DF0533"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267826FD" w14:textId="59C0E975"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A7C914C"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9E019D" w:rsidRPr="00561FF2" w14:paraId="1EE6803C"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51D7414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9F03322"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64C4549E"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BD2525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EACC312"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26E03C8D"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AEF0B63" w14:textId="58C9088A" w:rsidR="009E019D" w:rsidRPr="00561FF2" w:rsidRDefault="009E019D" w:rsidP="009A1769">
            <w:pPr>
              <w:jc w:val="center"/>
              <w:rPr>
                <w:rFonts w:ascii="Arial Narrow" w:hAnsi="Arial Narrow" w:cs="Calibri"/>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F94B493" w14:textId="77777777" w:rsidR="009E019D" w:rsidRPr="00561FF2" w:rsidRDefault="009E019D" w:rsidP="009A1769">
            <w:pPr>
              <w:rPr>
                <w:rFonts w:ascii="Arial Narrow" w:hAnsi="Arial Narrow" w:cs="Calibri"/>
                <w:color w:val="000000"/>
                <w:sz w:val="20"/>
                <w:szCs w:val="20"/>
              </w:rPr>
            </w:pPr>
            <w:r w:rsidRPr="00561FF2">
              <w:rPr>
                <w:rFonts w:ascii="Arial Narrow" w:hAnsi="Arial Narrow" w:cs="Calibri"/>
                <w:color w:val="000000"/>
                <w:sz w:val="20"/>
                <w:szCs w:val="20"/>
              </w:rPr>
              <w:t>Patient must have previously received PBS-subsidised treatment with this drug for this condition</w:t>
            </w:r>
            <w:r w:rsidRPr="00561FF2">
              <w:rPr>
                <w:rFonts w:ascii="Arial Narrow" w:hAnsi="Arial Narrow"/>
                <w:sz w:val="20"/>
              </w:rPr>
              <w:t>,</w:t>
            </w:r>
          </w:p>
        </w:tc>
      </w:tr>
      <w:tr w:rsidR="009E019D" w:rsidRPr="00561FF2" w14:paraId="4A2CAE4A"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037FBC33"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663B53C"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4BCB1962"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2F273183"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DA34642"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494E4CCD"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4999A269" w14:textId="33598A93"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5F87FDF"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Treatment must be the sole PBS-subsidised therapy for this condition.</w:t>
            </w:r>
          </w:p>
        </w:tc>
      </w:tr>
      <w:tr w:rsidR="009E019D" w:rsidRPr="00561FF2" w14:paraId="2FE879A9"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BE5368D"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36AB683"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24DB54C7"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4901979"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72DD89A"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59FB227F"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D501F0D" w14:textId="0D25E739" w:rsidR="009E019D" w:rsidRPr="00561FF2" w:rsidRDefault="009E019D" w:rsidP="009A1769">
            <w:pPr>
              <w:jc w:val="center"/>
              <w:rPr>
                <w:rFonts w:ascii="Arial Narrow" w:hAnsi="Arial Narrow" w:cs="Calibri"/>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5C3F782" w14:textId="77777777" w:rsidR="009E019D" w:rsidRPr="00561FF2" w:rsidRDefault="009E019D" w:rsidP="009A1769">
            <w:pPr>
              <w:rPr>
                <w:rFonts w:ascii="Arial Narrow" w:hAnsi="Arial Narrow"/>
                <w:b/>
                <w:bCs/>
                <w:color w:val="000000"/>
                <w:sz w:val="20"/>
                <w:szCs w:val="20"/>
              </w:rPr>
            </w:pPr>
            <w:r w:rsidRPr="00561FF2">
              <w:rPr>
                <w:rFonts w:ascii="Arial Narrow" w:hAnsi="Arial Narrow" w:cs="Calibri"/>
                <w:color w:val="000000"/>
                <w:sz w:val="20"/>
                <w:szCs w:val="20"/>
              </w:rPr>
              <w:t>Patient must have stable or responding disease according to the Response Evaluation Criteria In Solid Tumours (RECIST).</w:t>
            </w:r>
          </w:p>
        </w:tc>
      </w:tr>
      <w:tr w:rsidR="009E019D" w:rsidRPr="00561FF2" w14:paraId="71F9E5CF"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12674E09" w14:textId="77777777"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0297854" w14:textId="77777777" w:rsidR="009E019D" w:rsidRPr="00561FF2" w:rsidRDefault="009E019D" w:rsidP="009A1769">
            <w:pPr>
              <w:rPr>
                <w:rFonts w:ascii="Arial Narrow" w:hAnsi="Arial Narrow"/>
                <w:sz w:val="20"/>
                <w:szCs w:val="20"/>
              </w:rPr>
            </w:pPr>
          </w:p>
        </w:tc>
      </w:tr>
      <w:tr w:rsidR="009E019D" w:rsidRPr="00561FF2" w14:paraId="1D2DEFC6"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1AF2385A" w14:textId="02242391"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9689BCD"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9E019D" w:rsidRPr="00561FF2" w14:paraId="3191994C"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65452C7" w14:textId="3F752B72"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BF85995"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9E019D" w:rsidRPr="00561FF2" w14:paraId="53DA50C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39B2CF4D" w14:textId="0D108FFB"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BC79CE2"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9E019D" w:rsidRPr="00561FF2" w14:paraId="76D84379"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79590754"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77B0E16" w14:textId="77777777" w:rsidR="009E019D" w:rsidRPr="00561FF2" w:rsidRDefault="009E019D" w:rsidP="009A1769">
            <w:pPr>
              <w:rPr>
                <w:rFonts w:ascii="Arial Narrow" w:hAnsi="Arial Narrow"/>
                <w:b/>
                <w:bCs/>
                <w:color w:val="000000"/>
                <w:sz w:val="20"/>
                <w:szCs w:val="20"/>
              </w:rPr>
            </w:pPr>
          </w:p>
        </w:tc>
      </w:tr>
      <w:tr w:rsidR="009E019D" w:rsidRPr="00561FF2" w14:paraId="6B94ACC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61A15EDC" w14:textId="4F705950"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6C0F8F7"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341BC372" w14:textId="6FEDC57B"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Response Evaluation Criteria In Solid Tumours (</w:t>
            </w:r>
            <w:r w:rsidR="00A133FD" w:rsidRPr="00561FF2">
              <w:rPr>
                <w:rFonts w:ascii="Arial Narrow" w:hAnsi="Arial Narrow"/>
                <w:color w:val="000000"/>
                <w:sz w:val="20"/>
                <w:szCs w:val="20"/>
              </w:rPr>
              <w:t>RECIST</w:t>
            </w:r>
            <w:r w:rsidRPr="00561FF2">
              <w:rPr>
                <w:rFonts w:ascii="Arial Narrow" w:hAnsi="Arial Narrow"/>
                <w:color w:val="000000"/>
                <w:sz w:val="20"/>
                <w:szCs w:val="20"/>
              </w:rPr>
              <w:t>) is defined as follows:</w:t>
            </w:r>
          </w:p>
          <w:p w14:paraId="2825AA3B"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48006DA7"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537B7FCD"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43E2B709"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Stable disease (SD) is small changes that do not meet above criteria.</w:t>
            </w:r>
          </w:p>
        </w:tc>
      </w:tr>
    </w:tbl>
    <w:p w14:paraId="01B5009D" w14:textId="77777777" w:rsidR="009E019D" w:rsidRPr="00561FF2" w:rsidRDefault="009E019D" w:rsidP="009E019D">
      <w:pPr>
        <w:rPr>
          <w:highlight w:val="yellow"/>
        </w:rPr>
      </w:pPr>
    </w:p>
    <w:tbl>
      <w:tblPr>
        <w:tblW w:w="5000" w:type="pct"/>
        <w:tblLook w:val="0000" w:firstRow="0" w:lastRow="0" w:firstColumn="0" w:lastColumn="0" w:noHBand="0" w:noVBand="0"/>
      </w:tblPr>
      <w:tblGrid>
        <w:gridCol w:w="1196"/>
        <w:gridCol w:w="7820"/>
      </w:tblGrid>
      <w:tr w:rsidR="009E019D" w:rsidRPr="00561FF2" w14:paraId="11080ED9" w14:textId="77777777" w:rsidTr="009A1769">
        <w:trPr>
          <w:trHeight w:val="170"/>
        </w:trPr>
        <w:tc>
          <w:tcPr>
            <w:tcW w:w="663" w:type="pct"/>
            <w:vMerge w:val="restart"/>
            <w:tcBorders>
              <w:top w:val="single" w:sz="4" w:space="0" w:color="auto"/>
              <w:left w:val="single" w:sz="4" w:space="0" w:color="auto"/>
              <w:right w:val="single" w:sz="4" w:space="0" w:color="auto"/>
            </w:tcBorders>
          </w:tcPr>
          <w:p w14:paraId="1BABE440" w14:textId="77777777" w:rsidR="009E019D" w:rsidRPr="00561FF2" w:rsidRDefault="009E019D" w:rsidP="009A1769">
            <w:pPr>
              <w:jc w:val="center"/>
              <w:rPr>
                <w:rFonts w:ascii="Arial Narrow" w:hAnsi="Arial Narrow"/>
                <w:b/>
                <w:bCs/>
                <w:color w:val="000000"/>
                <w:sz w:val="20"/>
                <w:szCs w:val="20"/>
              </w:rPr>
            </w:pPr>
            <w:r w:rsidRPr="00561FF2">
              <w:rPr>
                <w:rFonts w:ascii="Arial Narrow" w:hAnsi="Arial Narrow"/>
                <w:b/>
                <w:bCs/>
                <w:color w:val="000000"/>
                <w:sz w:val="20"/>
                <w:szCs w:val="20"/>
              </w:rPr>
              <w:t>Concept ID</w:t>
            </w:r>
          </w:p>
          <w:p w14:paraId="2C601EE1" w14:textId="241F36B1"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E8D627B"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Category / Program:</w:t>
            </w:r>
            <w:r w:rsidRPr="00561FF2">
              <w:rPr>
                <w:rFonts w:ascii="Arial Narrow" w:hAnsi="Arial Narrow"/>
                <w:color w:val="000000"/>
                <w:sz w:val="20"/>
                <w:szCs w:val="20"/>
              </w:rPr>
              <w:t xml:space="preserve"> Section 85 (General Schedule)</w:t>
            </w:r>
          </w:p>
        </w:tc>
      </w:tr>
      <w:tr w:rsidR="009E019D" w:rsidRPr="00561FF2" w14:paraId="54FC46FD" w14:textId="77777777" w:rsidTr="009A1769">
        <w:trPr>
          <w:trHeight w:val="56"/>
        </w:trPr>
        <w:tc>
          <w:tcPr>
            <w:tcW w:w="663" w:type="pct"/>
            <w:vMerge/>
            <w:tcBorders>
              <w:left w:val="single" w:sz="4" w:space="0" w:color="auto"/>
              <w:right w:val="single" w:sz="4" w:space="0" w:color="auto"/>
            </w:tcBorders>
          </w:tcPr>
          <w:p w14:paraId="7D2E43F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2F25037"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Prescriber type:</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 xml:space="preserve">Medical Practitioners  </w:t>
            </w:r>
          </w:p>
        </w:tc>
      </w:tr>
      <w:tr w:rsidR="009E019D" w:rsidRPr="00561FF2" w14:paraId="7294D117" w14:textId="77777777" w:rsidTr="009A1769">
        <w:trPr>
          <w:trHeight w:val="110"/>
        </w:trPr>
        <w:tc>
          <w:tcPr>
            <w:tcW w:w="663" w:type="pct"/>
            <w:vMerge/>
            <w:tcBorders>
              <w:left w:val="single" w:sz="4" w:space="0" w:color="auto"/>
              <w:bottom w:val="single" w:sz="4" w:space="0" w:color="auto"/>
              <w:right w:val="single" w:sz="4" w:space="0" w:color="auto"/>
            </w:tcBorders>
          </w:tcPr>
          <w:p w14:paraId="6D3C3F3C"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B52CD25"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Restriction Level / Method:</w:t>
            </w:r>
            <w:r w:rsidRPr="00561FF2">
              <w:rPr>
                <w:rFonts w:ascii="Arial Narrow" w:hAnsi="Arial Narrow"/>
                <w:color w:val="000000"/>
                <w:sz w:val="20"/>
                <w:szCs w:val="20"/>
              </w:rPr>
              <w:t xml:space="preserve"> </w:t>
            </w:r>
            <w:r w:rsidRPr="00561FF2">
              <w:rPr>
                <w:rFonts w:ascii="Arial Narrow" w:hAnsi="Arial Narrow"/>
                <w:color w:val="000000"/>
                <w:sz w:val="20"/>
                <w:szCs w:val="20"/>
              </w:rPr>
              <w:fldChar w:fldCharType="begin" w:fldLock="1">
                <w:ffData>
                  <w:name w:val=""/>
                  <w:enabled/>
                  <w:calcOnExit w:val="0"/>
                  <w:checkBox>
                    <w:sizeAuto/>
                    <w:default w:val="1"/>
                  </w:checkBox>
                </w:ffData>
              </w:fldChar>
            </w:r>
            <w:r w:rsidRPr="00561FF2">
              <w:rPr>
                <w:rFonts w:ascii="Arial Narrow" w:hAnsi="Arial Narrow"/>
                <w:color w:val="000000"/>
                <w:sz w:val="20"/>
                <w:szCs w:val="20"/>
              </w:rPr>
              <w:instrText xml:space="preserve"> FORMCHECKBOX </w:instrText>
            </w:r>
            <w:r w:rsidR="00D472FF">
              <w:rPr>
                <w:rFonts w:ascii="Arial Narrow" w:hAnsi="Arial Narrow"/>
                <w:color w:val="000000"/>
                <w:sz w:val="20"/>
                <w:szCs w:val="20"/>
              </w:rPr>
            </w:r>
            <w:r w:rsidR="00D472FF">
              <w:rPr>
                <w:rFonts w:ascii="Arial Narrow" w:hAnsi="Arial Narrow"/>
                <w:color w:val="000000"/>
                <w:sz w:val="20"/>
                <w:szCs w:val="20"/>
              </w:rPr>
              <w:fldChar w:fldCharType="separate"/>
            </w:r>
            <w:r w:rsidRPr="00561FF2">
              <w:rPr>
                <w:rFonts w:ascii="Arial Narrow" w:hAnsi="Arial Narrow"/>
                <w:color w:val="000000"/>
                <w:sz w:val="20"/>
                <w:szCs w:val="20"/>
              </w:rPr>
              <w:fldChar w:fldCharType="end"/>
            </w:r>
            <w:r w:rsidRPr="00561FF2">
              <w:rPr>
                <w:rFonts w:ascii="Arial Narrow" w:hAnsi="Arial Narrow"/>
                <w:color w:val="000000"/>
                <w:sz w:val="20"/>
                <w:szCs w:val="20"/>
              </w:rPr>
              <w:t>Streamlined</w:t>
            </w:r>
          </w:p>
        </w:tc>
      </w:tr>
      <w:tr w:rsidR="009E019D" w:rsidRPr="00561FF2" w14:paraId="31A46F10"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2265897" w14:textId="77777777"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4216ECD" w14:textId="77777777" w:rsidR="009E019D" w:rsidRPr="00561FF2" w:rsidRDefault="009E019D" w:rsidP="009A1769">
            <w:pPr>
              <w:rPr>
                <w:rFonts w:ascii="Arial Narrow" w:hAnsi="Arial Narrow"/>
                <w:color w:val="000000"/>
                <w:sz w:val="20"/>
                <w:szCs w:val="20"/>
              </w:rPr>
            </w:pPr>
            <w:r w:rsidRPr="00561FF2">
              <w:rPr>
                <w:rFonts w:ascii="Arial Narrow" w:hAnsi="Arial Narrow"/>
                <w:b/>
                <w:bCs/>
                <w:sz w:val="20"/>
                <w:szCs w:val="20"/>
              </w:rPr>
              <w:t>Severity:</w:t>
            </w:r>
            <w:r w:rsidRPr="00561FF2">
              <w:rPr>
                <w:rFonts w:ascii="Arial Narrow" w:hAnsi="Arial Narrow"/>
                <w:sz w:val="20"/>
                <w:szCs w:val="20"/>
              </w:rPr>
              <w:t xml:space="preserve"> Locally advanced or metastatic </w:t>
            </w:r>
          </w:p>
        </w:tc>
      </w:tr>
      <w:tr w:rsidR="009E019D" w:rsidRPr="00561FF2" w14:paraId="1B5CD0D5"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C45825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1A53E88"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Condition:</w:t>
            </w:r>
            <w:r w:rsidRPr="00561FF2">
              <w:rPr>
                <w:rFonts w:ascii="Arial Narrow" w:hAnsi="Arial Narrow"/>
                <w:color w:val="000000"/>
                <w:sz w:val="20"/>
                <w:szCs w:val="20"/>
              </w:rPr>
              <w:t xml:space="preserve"> Differentiated thyroid carcinoma (DTC)</w:t>
            </w:r>
          </w:p>
        </w:tc>
      </w:tr>
      <w:tr w:rsidR="009E019D" w:rsidRPr="00561FF2" w14:paraId="3EE46402"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2C444A8" w14:textId="5C81FBF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E8AD399"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PBS Indication:</w:t>
            </w:r>
            <w:r w:rsidRPr="00561FF2">
              <w:rPr>
                <w:rFonts w:ascii="Arial Narrow" w:hAnsi="Arial Narrow"/>
                <w:color w:val="000000"/>
                <w:sz w:val="20"/>
                <w:szCs w:val="20"/>
              </w:rPr>
              <w:t xml:space="preserve"> Locally advanced or metastatic differentiated thyroid carcinoma</w:t>
            </w:r>
          </w:p>
        </w:tc>
      </w:tr>
      <w:tr w:rsidR="009E019D" w:rsidRPr="00561FF2" w14:paraId="4F7C378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5ADD68E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B0D7CDE"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Treatment phase:</w:t>
            </w:r>
            <w:r w:rsidRPr="00561FF2">
              <w:rPr>
                <w:rFonts w:ascii="Arial Narrow" w:hAnsi="Arial Narrow"/>
                <w:color w:val="000000"/>
                <w:sz w:val="20"/>
                <w:szCs w:val="20"/>
              </w:rPr>
              <w:t xml:space="preserve"> Grandfather supply</w:t>
            </w:r>
          </w:p>
        </w:tc>
      </w:tr>
      <w:tr w:rsidR="009E019D" w:rsidRPr="00561FF2" w14:paraId="71F7A53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6B6AF8A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1D20ADE" w14:textId="77777777" w:rsidR="009E019D" w:rsidRPr="00561FF2" w:rsidRDefault="009E019D" w:rsidP="009A1769">
            <w:pPr>
              <w:rPr>
                <w:rFonts w:ascii="Arial Narrow" w:hAnsi="Arial Narrow"/>
                <w:b/>
                <w:bCs/>
                <w:color w:val="000000"/>
                <w:sz w:val="20"/>
                <w:szCs w:val="20"/>
              </w:rPr>
            </w:pPr>
          </w:p>
        </w:tc>
      </w:tr>
      <w:tr w:rsidR="009E019D" w:rsidRPr="00561FF2" w14:paraId="745FF46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4489FC29"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7C9B7EE4"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2E6029C1" w14:textId="77777777" w:rsidTr="009A1769">
        <w:trPr>
          <w:trHeight w:val="360"/>
        </w:trPr>
        <w:tc>
          <w:tcPr>
            <w:tcW w:w="663" w:type="pct"/>
            <w:tcBorders>
              <w:top w:val="single" w:sz="4" w:space="0" w:color="auto"/>
              <w:left w:val="single" w:sz="4" w:space="0" w:color="auto"/>
              <w:bottom w:val="single" w:sz="4" w:space="0" w:color="auto"/>
              <w:right w:val="single" w:sz="4" w:space="0" w:color="auto"/>
            </w:tcBorders>
          </w:tcPr>
          <w:p w14:paraId="202FEBC3" w14:textId="01AC2081" w:rsidR="009E019D" w:rsidRPr="00561FF2" w:rsidRDefault="009E019D" w:rsidP="009A1769">
            <w:pPr>
              <w:jc w:val="center"/>
              <w:rPr>
                <w:rFonts w:ascii="Arial Narrow" w:hAnsi="Arial Narrow" w:cs="Calibri"/>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974514F" w14:textId="77777777" w:rsidR="009E019D" w:rsidRPr="00561FF2" w:rsidRDefault="009E019D" w:rsidP="009A1769">
            <w:pPr>
              <w:rPr>
                <w:rFonts w:ascii="Arial Narrow" w:hAnsi="Arial Narrow" w:cs="Calibri"/>
                <w:color w:val="000000"/>
                <w:sz w:val="20"/>
                <w:szCs w:val="20"/>
              </w:rPr>
            </w:pPr>
            <w:r w:rsidRPr="00561FF2">
              <w:rPr>
                <w:rFonts w:ascii="Arial Narrow" w:hAnsi="Arial Narrow" w:cs="Calibri"/>
                <w:color w:val="000000"/>
                <w:sz w:val="20"/>
                <w:szCs w:val="20"/>
              </w:rPr>
              <w:t xml:space="preserve">Patient must have previously received non-PBS subsidised treatment with this drug for this condition prior to </w:t>
            </w:r>
            <w:r w:rsidRPr="00561FF2">
              <w:rPr>
                <w:rFonts w:ascii="Arial Narrow" w:hAnsi="Arial Narrow"/>
                <w:sz w:val="20"/>
              </w:rPr>
              <w:t>[</w:t>
            </w:r>
            <w:r w:rsidRPr="00561FF2">
              <w:rPr>
                <w:rFonts w:ascii="Arial Narrow" w:hAnsi="Arial Narrow" w:cs="Calibri"/>
                <w:color w:val="000000"/>
                <w:sz w:val="20"/>
                <w:szCs w:val="20"/>
              </w:rPr>
              <w:t xml:space="preserve">PBS listing date]; </w:t>
            </w:r>
          </w:p>
        </w:tc>
      </w:tr>
      <w:tr w:rsidR="009E019D" w:rsidRPr="00561FF2" w14:paraId="3F76B059"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A2E93BA" w14:textId="77777777" w:rsidR="009E019D" w:rsidRPr="00561FF2" w:rsidRDefault="009E019D" w:rsidP="009A1769">
            <w:pPr>
              <w:jc w:val="center"/>
              <w:rPr>
                <w:rFonts w:ascii="Arial Narrow" w:hAnsi="Arial Narrow" w:cs="Calibri"/>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7E60C68" w14:textId="77777777" w:rsidR="009E019D" w:rsidRPr="00561FF2" w:rsidRDefault="009E019D" w:rsidP="009A1769">
            <w:pPr>
              <w:rPr>
                <w:rFonts w:ascii="Arial Narrow" w:hAnsi="Arial Narrow" w:cs="Calibri"/>
                <w:b/>
                <w:bCs/>
                <w:color w:val="000000"/>
                <w:sz w:val="20"/>
                <w:szCs w:val="20"/>
              </w:rPr>
            </w:pPr>
            <w:r w:rsidRPr="00561FF2">
              <w:rPr>
                <w:rFonts w:ascii="Arial Narrow" w:hAnsi="Arial Narrow" w:cs="Calibri"/>
                <w:b/>
                <w:bCs/>
                <w:color w:val="000000"/>
                <w:sz w:val="20"/>
                <w:szCs w:val="20"/>
              </w:rPr>
              <w:t>AND</w:t>
            </w:r>
          </w:p>
        </w:tc>
      </w:tr>
      <w:tr w:rsidR="009E019D" w:rsidRPr="00561FF2" w14:paraId="7A1E63E5"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4758138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8F13F84"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5FFAC27F"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AEB4A30" w14:textId="4367AC4F"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F8A1956"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The condition must be refractory to radioactive iodine; or</w:t>
            </w:r>
          </w:p>
        </w:tc>
      </w:tr>
      <w:tr w:rsidR="009E019D" w:rsidRPr="00561FF2" w14:paraId="1F8193D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32045C34" w14:textId="7B4A3C6C"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C51F71A"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be deemed ineligible for treatment with radioactive iodine,</w:t>
            </w:r>
          </w:p>
        </w:tc>
      </w:tr>
      <w:tr w:rsidR="009E019D" w:rsidRPr="00561FF2" w14:paraId="360F7C2C" w14:textId="77777777" w:rsidTr="009A1769">
        <w:trPr>
          <w:trHeight w:val="110"/>
        </w:trPr>
        <w:tc>
          <w:tcPr>
            <w:tcW w:w="663" w:type="pct"/>
            <w:tcBorders>
              <w:top w:val="single" w:sz="4" w:space="0" w:color="auto"/>
              <w:left w:val="single" w:sz="4" w:space="0" w:color="auto"/>
              <w:bottom w:val="single" w:sz="4" w:space="0" w:color="auto"/>
              <w:right w:val="single" w:sz="4" w:space="0" w:color="auto"/>
            </w:tcBorders>
          </w:tcPr>
          <w:p w14:paraId="49114817"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70781E8"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19643E0C"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B1B6420"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4DCE5AF"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6D9CC06F" w14:textId="77777777" w:rsidTr="009A1769">
        <w:trPr>
          <w:trHeight w:val="360"/>
        </w:trPr>
        <w:tc>
          <w:tcPr>
            <w:tcW w:w="663" w:type="pct"/>
            <w:tcBorders>
              <w:top w:val="single" w:sz="4" w:space="0" w:color="auto"/>
              <w:left w:val="single" w:sz="4" w:space="0" w:color="auto"/>
              <w:bottom w:val="single" w:sz="4" w:space="0" w:color="auto"/>
              <w:right w:val="single" w:sz="4" w:space="0" w:color="auto"/>
            </w:tcBorders>
          </w:tcPr>
          <w:p w14:paraId="35AD132C" w14:textId="69FCF763"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BC55D65"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Patient must have had progressive disease according to Response Evaluation Criteria in Solid Tumours (RECIST) whilst on treatment with a vascular endothelial growth factor (VEGF)-targeted tyrosine kinase inhibitor (TKI) prior to receiving this drug for this indication;</w:t>
            </w:r>
          </w:p>
        </w:tc>
      </w:tr>
      <w:tr w:rsidR="009E019D" w:rsidRPr="00561FF2" w14:paraId="4367C936"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318F4CE0"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184EC3D"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OR</w:t>
            </w:r>
          </w:p>
        </w:tc>
      </w:tr>
      <w:tr w:rsidR="009E019D" w:rsidRPr="00561FF2" w14:paraId="1C0776C4" w14:textId="77777777" w:rsidTr="009A1769">
        <w:trPr>
          <w:trHeight w:val="360"/>
        </w:trPr>
        <w:tc>
          <w:tcPr>
            <w:tcW w:w="663" w:type="pct"/>
            <w:tcBorders>
              <w:top w:val="single" w:sz="4" w:space="0" w:color="auto"/>
              <w:left w:val="single" w:sz="4" w:space="0" w:color="auto"/>
              <w:bottom w:val="single" w:sz="4" w:space="0" w:color="auto"/>
              <w:right w:val="single" w:sz="4" w:space="0" w:color="auto"/>
            </w:tcBorders>
          </w:tcPr>
          <w:p w14:paraId="7F9EE96A" w14:textId="28AB906B"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E6D8EAF"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 xml:space="preserve">Patient must have developed intolerance of a severity necessitating permanent treatment withdrawal, in the absence of disease progression, to prior </w:t>
            </w:r>
            <w:r w:rsidRPr="00561FF2">
              <w:rPr>
                <w:rFonts w:ascii="Arial Narrow" w:hAnsi="Arial Narrow"/>
                <w:sz w:val="20"/>
                <w:szCs w:val="20"/>
              </w:rPr>
              <w:t>VEGF</w:t>
            </w:r>
            <w:r w:rsidRPr="00561FF2">
              <w:rPr>
                <w:rFonts w:ascii="Arial Narrow" w:hAnsi="Arial Narrow"/>
                <w:color w:val="000000"/>
                <w:sz w:val="20"/>
                <w:szCs w:val="20"/>
              </w:rPr>
              <w:t>-targeted TKI therapy prior to receiving this drug for this indication</w:t>
            </w:r>
          </w:p>
        </w:tc>
      </w:tr>
      <w:tr w:rsidR="009E019D" w:rsidRPr="00561FF2" w14:paraId="4388919A" w14:textId="77777777" w:rsidTr="009A1769">
        <w:trPr>
          <w:trHeight w:val="134"/>
        </w:trPr>
        <w:tc>
          <w:tcPr>
            <w:tcW w:w="663" w:type="pct"/>
            <w:tcBorders>
              <w:top w:val="single" w:sz="4" w:space="0" w:color="auto"/>
              <w:left w:val="single" w:sz="4" w:space="0" w:color="auto"/>
              <w:bottom w:val="single" w:sz="4" w:space="0" w:color="auto"/>
              <w:right w:val="single" w:sz="4" w:space="0" w:color="auto"/>
            </w:tcBorders>
          </w:tcPr>
          <w:p w14:paraId="6563F09A"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46123503"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1B7F4B30"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69468ECB"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2E0F762"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2B190C22"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D742914" w14:textId="58D03196"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C58F0C1" w14:textId="46ED212E"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have a WHO performance status of not greater than 2 prior to receiving this drug for this indication</w:t>
            </w:r>
          </w:p>
        </w:tc>
      </w:tr>
      <w:tr w:rsidR="009E019D" w:rsidRPr="00561FF2" w14:paraId="146FCF6E"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AF33D1B"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07C1CF5"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7FDA5E1A"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20755C1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5159DF5A"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6C80FF96"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759068D" w14:textId="460B23BB"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D5D39D9" w14:textId="77777777" w:rsidR="009E019D" w:rsidRPr="00561FF2" w:rsidRDefault="009E019D" w:rsidP="009A1769">
            <w:pPr>
              <w:rPr>
                <w:rFonts w:ascii="Arial Narrow" w:hAnsi="Arial Narrow"/>
                <w:b/>
                <w:bCs/>
                <w:color w:val="000000"/>
                <w:sz w:val="20"/>
                <w:szCs w:val="20"/>
              </w:rPr>
            </w:pPr>
            <w:r w:rsidRPr="00561FF2">
              <w:rPr>
                <w:rFonts w:ascii="Arial Narrow" w:hAnsi="Arial Narrow"/>
                <w:color w:val="000000"/>
                <w:sz w:val="20"/>
                <w:szCs w:val="20"/>
              </w:rPr>
              <w:t>The treatment must be the sole PBS-subsidised therapy for this condition.</w:t>
            </w:r>
          </w:p>
        </w:tc>
      </w:tr>
      <w:tr w:rsidR="009E019D" w:rsidRPr="00561FF2" w14:paraId="1EF6C75D"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2BDA21D1"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A50205F"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AND</w:t>
            </w:r>
          </w:p>
        </w:tc>
      </w:tr>
      <w:tr w:rsidR="009E019D" w:rsidRPr="00561FF2" w14:paraId="204E3963"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7C4AEF02"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1C010B7"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Clinical criteria:</w:t>
            </w:r>
          </w:p>
        </w:tc>
      </w:tr>
      <w:tr w:rsidR="009E019D" w:rsidRPr="00561FF2" w14:paraId="3E3C5A2C"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73FC5CEF" w14:textId="5C65B61D"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3863217"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Patient must have thyroid stimulating hormone adequately supressed</w:t>
            </w:r>
          </w:p>
        </w:tc>
      </w:tr>
      <w:tr w:rsidR="009E019D" w:rsidRPr="00561FF2" w14:paraId="3B6B6EBE"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2C5C1E35"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4FF9106" w14:textId="77777777" w:rsidR="009E019D" w:rsidRPr="00561FF2" w:rsidRDefault="009E019D" w:rsidP="009A1769">
            <w:pPr>
              <w:rPr>
                <w:rFonts w:ascii="Arial Narrow" w:hAnsi="Arial Narrow"/>
                <w:b/>
                <w:bCs/>
                <w:color w:val="000000"/>
                <w:sz w:val="20"/>
                <w:szCs w:val="20"/>
              </w:rPr>
            </w:pPr>
          </w:p>
        </w:tc>
      </w:tr>
      <w:tr w:rsidR="009E019D" w:rsidRPr="00561FF2" w14:paraId="67CECD13"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760D09C9" w14:textId="450850C0" w:rsidR="009E019D" w:rsidRPr="00561FF2" w:rsidRDefault="009E019D" w:rsidP="009A1769">
            <w:pPr>
              <w:jc w:val="center"/>
              <w:rPr>
                <w:rFonts w:ascii="Arial Narrow" w:hAnsi="Arial Narrow"/>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D3D6C76" w14:textId="77777777" w:rsidR="009E019D" w:rsidRPr="00561FF2" w:rsidRDefault="009E019D" w:rsidP="009A1769">
            <w:pPr>
              <w:rPr>
                <w:rFonts w:ascii="Arial Narrow" w:hAnsi="Arial Narrow"/>
                <w:b/>
                <w:bCs/>
                <w:sz w:val="20"/>
                <w:szCs w:val="20"/>
              </w:rPr>
            </w:pPr>
            <w:r w:rsidRPr="00561FF2">
              <w:rPr>
                <w:rFonts w:ascii="Arial Narrow" w:hAnsi="Arial Narrow"/>
                <w:b/>
                <w:bCs/>
                <w:sz w:val="20"/>
                <w:szCs w:val="20"/>
              </w:rPr>
              <w:t>Prescribing instructions:</w:t>
            </w:r>
          </w:p>
          <w:p w14:paraId="6876E23A" w14:textId="77777777" w:rsidR="009E019D" w:rsidRPr="00561FF2" w:rsidRDefault="009E019D" w:rsidP="009A1769">
            <w:pPr>
              <w:rPr>
                <w:rFonts w:ascii="Arial Narrow" w:hAnsi="Arial Narrow"/>
                <w:sz w:val="20"/>
                <w:szCs w:val="20"/>
              </w:rPr>
            </w:pPr>
            <w:r w:rsidRPr="00561FF2">
              <w:rPr>
                <w:rFonts w:ascii="Arial Narrow" w:hAnsi="Arial Narrow"/>
                <w:sz w:val="20"/>
                <w:szCs w:val="20"/>
              </w:rPr>
              <w:t>Radioactive iodine refractory is defined as:</w:t>
            </w:r>
          </w:p>
          <w:p w14:paraId="33D1B28C"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a lesion without iodine uptake on a radioactive iodine (RAI) scan; or</w:t>
            </w:r>
          </w:p>
          <w:p w14:paraId="0EBB78C8"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having received a cumulative RAI dose of greater than or equal to 600 mCi; or</w:t>
            </w:r>
          </w:p>
          <w:p w14:paraId="491554EA"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progression within 12 months of a single RAI treatment; or</w:t>
            </w:r>
          </w:p>
          <w:p w14:paraId="5267810E" w14:textId="77777777" w:rsidR="009E019D" w:rsidRPr="00561FF2" w:rsidRDefault="009E019D" w:rsidP="009A1769">
            <w:pPr>
              <w:numPr>
                <w:ilvl w:val="0"/>
                <w:numId w:val="11"/>
              </w:numPr>
              <w:jc w:val="left"/>
              <w:rPr>
                <w:rFonts w:ascii="Arial Narrow" w:hAnsi="Arial Narrow"/>
                <w:sz w:val="20"/>
                <w:szCs w:val="20"/>
              </w:rPr>
            </w:pPr>
            <w:r w:rsidRPr="00561FF2">
              <w:rPr>
                <w:rFonts w:ascii="Arial Narrow" w:hAnsi="Arial Narrow"/>
                <w:sz w:val="20"/>
                <w:szCs w:val="20"/>
              </w:rPr>
              <w:t>progression after two RAI treatments administered within 12 months of each other</w:t>
            </w:r>
          </w:p>
        </w:tc>
      </w:tr>
      <w:tr w:rsidR="009E019D" w:rsidRPr="00561FF2" w14:paraId="6EAB8B85"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039E4DB0"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6B170F1C" w14:textId="77777777" w:rsidR="009E019D" w:rsidRPr="00561FF2" w:rsidRDefault="009E019D" w:rsidP="009A1769">
            <w:pPr>
              <w:rPr>
                <w:rFonts w:ascii="Arial Narrow" w:hAnsi="Arial Narrow"/>
                <w:b/>
                <w:bCs/>
                <w:color w:val="000000"/>
                <w:sz w:val="20"/>
                <w:szCs w:val="20"/>
              </w:rPr>
            </w:pPr>
          </w:p>
        </w:tc>
      </w:tr>
      <w:tr w:rsidR="009E019D" w:rsidRPr="00561FF2" w14:paraId="5192142C"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46147250" w14:textId="6B0EA3E6"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97250CA" w14:textId="77777777" w:rsidR="009E019D" w:rsidRPr="00561FF2" w:rsidRDefault="009E019D" w:rsidP="009A1769">
            <w:pPr>
              <w:rPr>
                <w:rFonts w:ascii="Arial Narrow" w:hAnsi="Arial Narrow"/>
                <w:sz w:val="20"/>
                <w:szCs w:val="20"/>
              </w:rPr>
            </w:pPr>
            <w:r w:rsidRPr="00561FF2">
              <w:rPr>
                <w:rFonts w:ascii="Arial Narrow" w:hAnsi="Arial Narrow"/>
                <w:b/>
                <w:bCs/>
                <w:color w:val="000000"/>
                <w:sz w:val="20"/>
                <w:szCs w:val="20"/>
              </w:rPr>
              <w:t xml:space="preserve">Administrative Advice: </w:t>
            </w:r>
            <w:r w:rsidRPr="00561FF2">
              <w:rPr>
                <w:rFonts w:ascii="Arial Narrow" w:hAnsi="Arial Narrow"/>
                <w:color w:val="000000"/>
                <w:sz w:val="20"/>
                <w:szCs w:val="20"/>
              </w:rPr>
              <w:t>No increase in the maximum quantity or number of units may be authorised</w:t>
            </w:r>
          </w:p>
        </w:tc>
      </w:tr>
      <w:tr w:rsidR="009E019D" w:rsidRPr="00561FF2" w14:paraId="144A9685" w14:textId="77777777" w:rsidTr="009A1769">
        <w:trPr>
          <w:trHeight w:val="56"/>
        </w:trPr>
        <w:tc>
          <w:tcPr>
            <w:tcW w:w="663" w:type="pct"/>
            <w:tcBorders>
              <w:top w:val="single" w:sz="4" w:space="0" w:color="auto"/>
              <w:left w:val="single" w:sz="4" w:space="0" w:color="auto"/>
              <w:bottom w:val="single" w:sz="4" w:space="0" w:color="auto"/>
              <w:right w:val="single" w:sz="4" w:space="0" w:color="auto"/>
            </w:tcBorders>
          </w:tcPr>
          <w:p w14:paraId="6C1CBE10" w14:textId="2BB299B4"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5B4631A"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No increase in the maximum number of repeats may be authorised</w:t>
            </w:r>
          </w:p>
        </w:tc>
      </w:tr>
      <w:tr w:rsidR="009E019D" w:rsidRPr="00561FF2" w14:paraId="4DD1FD0D"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0C7D1707" w14:textId="7DBF5EA3"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35E92F8D" w14:textId="77777777" w:rsidR="009E019D" w:rsidRPr="00561FF2" w:rsidRDefault="009E019D" w:rsidP="009A1769">
            <w:pPr>
              <w:rPr>
                <w:rFonts w:ascii="Arial Narrow" w:hAnsi="Arial Narrow"/>
                <w:color w:val="000000"/>
                <w:sz w:val="20"/>
                <w:szCs w:val="20"/>
              </w:rPr>
            </w:pPr>
            <w:r w:rsidRPr="00561FF2">
              <w:rPr>
                <w:rFonts w:ascii="Arial Narrow" w:hAnsi="Arial Narrow"/>
                <w:b/>
                <w:bCs/>
                <w:color w:val="000000"/>
                <w:sz w:val="20"/>
                <w:szCs w:val="20"/>
              </w:rPr>
              <w:t>Administrative Advice:</w:t>
            </w:r>
            <w:r w:rsidRPr="00561FF2">
              <w:rPr>
                <w:rFonts w:ascii="Arial Narrow" w:hAnsi="Arial Narrow"/>
                <w:color w:val="000000"/>
                <w:sz w:val="20"/>
                <w:szCs w:val="20"/>
              </w:rPr>
              <w:t xml:space="preserve"> Special Pricing Arrangements apply</w:t>
            </w:r>
          </w:p>
        </w:tc>
      </w:tr>
      <w:tr w:rsidR="009E019D" w:rsidRPr="00561FF2" w14:paraId="60C8E3E2"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0BE5CAD8" w14:textId="77777777"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09A38242" w14:textId="77777777" w:rsidR="009E019D" w:rsidRPr="00561FF2" w:rsidRDefault="009E019D" w:rsidP="009A1769">
            <w:pPr>
              <w:rPr>
                <w:rFonts w:ascii="Arial Narrow" w:hAnsi="Arial Narrow"/>
                <w:b/>
                <w:bCs/>
                <w:color w:val="000000"/>
                <w:sz w:val="20"/>
                <w:szCs w:val="20"/>
              </w:rPr>
            </w:pPr>
          </w:p>
        </w:tc>
      </w:tr>
      <w:tr w:rsidR="009E019D" w:rsidRPr="00561FF2" w14:paraId="03A930A6"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15DB4100" w14:textId="319E81A9"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1759660F"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 xml:space="preserve">Note: </w:t>
            </w:r>
          </w:p>
          <w:p w14:paraId="5BAD04BF" w14:textId="5F7F02E2"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Response Evaluation Criteria In Solid Tumours (</w:t>
            </w:r>
            <w:r w:rsidR="00A133FD" w:rsidRPr="00561FF2">
              <w:rPr>
                <w:rFonts w:ascii="Arial Narrow" w:hAnsi="Arial Narrow"/>
                <w:color w:val="000000"/>
                <w:sz w:val="20"/>
                <w:szCs w:val="20"/>
              </w:rPr>
              <w:t>RECIST</w:t>
            </w:r>
            <w:r w:rsidRPr="00561FF2">
              <w:rPr>
                <w:rFonts w:ascii="Arial Narrow" w:hAnsi="Arial Narrow"/>
                <w:color w:val="000000"/>
                <w:sz w:val="20"/>
                <w:szCs w:val="20"/>
              </w:rPr>
              <w:t>) is defined as follows:</w:t>
            </w:r>
          </w:p>
          <w:p w14:paraId="179BEF2D"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Complete response (CR) is disappearance of all targeted lesions.</w:t>
            </w:r>
          </w:p>
          <w:p w14:paraId="54335861"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Partial response (PR) is a 30% decrease in the sum of the longest diameter of target lesions.</w:t>
            </w:r>
          </w:p>
          <w:p w14:paraId="50D26292"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Progressive disease (PD) is a 20% increase in the sum of the longest diameter of target lesions.</w:t>
            </w:r>
          </w:p>
          <w:p w14:paraId="321C5302"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Stable disease (SD) is small changes that do not meet above criteria.</w:t>
            </w:r>
          </w:p>
        </w:tc>
      </w:tr>
      <w:tr w:rsidR="009E019D" w:rsidRPr="00561FF2" w14:paraId="4FDD3CA5" w14:textId="77777777" w:rsidTr="009A1769">
        <w:trPr>
          <w:trHeight w:val="146"/>
        </w:trPr>
        <w:tc>
          <w:tcPr>
            <w:tcW w:w="663" w:type="pct"/>
            <w:tcBorders>
              <w:top w:val="single" w:sz="4" w:space="0" w:color="auto"/>
              <w:left w:val="single" w:sz="4" w:space="0" w:color="auto"/>
              <w:bottom w:val="single" w:sz="4" w:space="0" w:color="auto"/>
              <w:right w:val="single" w:sz="4" w:space="0" w:color="auto"/>
            </w:tcBorders>
          </w:tcPr>
          <w:p w14:paraId="0CBBF745" w14:textId="28E10058" w:rsidR="009E019D" w:rsidRPr="00561FF2" w:rsidRDefault="009E019D" w:rsidP="009A1769">
            <w:pPr>
              <w:jc w:val="center"/>
              <w:rPr>
                <w:rFonts w:ascii="Arial Narrow" w:hAnsi="Arial Narrow"/>
                <w:color w:val="000000"/>
                <w:sz w:val="20"/>
                <w:szCs w:val="20"/>
              </w:rPr>
            </w:pPr>
          </w:p>
        </w:tc>
        <w:tc>
          <w:tcPr>
            <w:tcW w:w="4337" w:type="pct"/>
            <w:tcBorders>
              <w:top w:val="single" w:sz="4" w:space="0" w:color="auto"/>
              <w:left w:val="single" w:sz="4" w:space="0" w:color="auto"/>
              <w:bottom w:val="single" w:sz="4" w:space="0" w:color="auto"/>
              <w:right w:val="single" w:sz="4" w:space="0" w:color="auto"/>
            </w:tcBorders>
          </w:tcPr>
          <w:p w14:paraId="2209D6ED" w14:textId="77777777" w:rsidR="009E019D" w:rsidRPr="00561FF2" w:rsidRDefault="009E019D" w:rsidP="009A1769">
            <w:pPr>
              <w:rPr>
                <w:rFonts w:ascii="Arial Narrow" w:hAnsi="Arial Narrow"/>
                <w:b/>
                <w:bCs/>
                <w:color w:val="000000"/>
                <w:sz w:val="20"/>
                <w:szCs w:val="20"/>
              </w:rPr>
            </w:pPr>
            <w:r w:rsidRPr="00561FF2">
              <w:rPr>
                <w:rFonts w:ascii="Arial Narrow" w:hAnsi="Arial Narrow"/>
                <w:b/>
                <w:bCs/>
                <w:color w:val="000000"/>
                <w:sz w:val="20"/>
                <w:szCs w:val="20"/>
              </w:rPr>
              <w:t>Note:</w:t>
            </w:r>
          </w:p>
          <w:p w14:paraId="6E871929" w14:textId="77777777" w:rsidR="009E019D" w:rsidRPr="00561FF2" w:rsidRDefault="009E019D" w:rsidP="009A1769">
            <w:pPr>
              <w:rPr>
                <w:rFonts w:ascii="Arial Narrow" w:hAnsi="Arial Narrow"/>
                <w:color w:val="000000"/>
                <w:sz w:val="20"/>
                <w:szCs w:val="20"/>
              </w:rPr>
            </w:pPr>
            <w:r w:rsidRPr="00561FF2">
              <w:rPr>
                <w:rFonts w:ascii="Arial Narrow" w:hAnsi="Arial Narrow"/>
                <w:color w:val="000000"/>
                <w:sz w:val="20"/>
                <w:szCs w:val="20"/>
              </w:rPr>
              <w:t>Vascular endothelial growth factor (VEGF)-targeted tyrosine kinase inhibitor’s (TKI) include: lenvatinib</w:t>
            </w:r>
          </w:p>
        </w:tc>
      </w:tr>
    </w:tbl>
    <w:p w14:paraId="3A553679" w14:textId="77777777" w:rsidR="00AA6F91" w:rsidRPr="00561FF2" w:rsidRDefault="00AA6F91" w:rsidP="00AA6F91">
      <w:pPr>
        <w:jc w:val="left"/>
        <w:rPr>
          <w:rFonts w:asciiTheme="minorHAnsi" w:eastAsiaTheme="majorEastAsia" w:hAnsiTheme="minorHAnsi" w:cstheme="majorBidi"/>
          <w:b/>
          <w:i/>
          <w:color w:val="000000" w:themeColor="text1"/>
        </w:rPr>
      </w:pPr>
    </w:p>
    <w:p w14:paraId="7AE67E06" w14:textId="0CD9F006" w:rsidR="00FA4114" w:rsidRDefault="008D599E" w:rsidP="008D599E">
      <w:pPr>
        <w:rPr>
          <w:rFonts w:asciiTheme="minorHAnsi" w:hAnsiTheme="minorHAnsi" w:cstheme="minorHAnsi"/>
          <w:b/>
          <w:i/>
        </w:rPr>
      </w:pPr>
      <w:r w:rsidRPr="00A734F9">
        <w:rPr>
          <w:rFonts w:asciiTheme="minorHAnsi" w:hAnsiTheme="minorHAnsi" w:cstheme="minorHAnsi"/>
          <w:b/>
          <w:i/>
        </w:rPr>
        <w:t>This restriction may be subject to further review. Should there be any changes made to the restriction the Sponsor will be informed.</w:t>
      </w:r>
    </w:p>
    <w:p w14:paraId="11E1149A" w14:textId="77777777" w:rsidR="00FA4114" w:rsidRPr="00FA4114" w:rsidRDefault="00FA4114" w:rsidP="001007E0">
      <w:pPr>
        <w:pStyle w:val="2-SectionHeading"/>
        <w:rPr>
          <w:bCs/>
          <w:lang w:val="en-GB"/>
        </w:rPr>
      </w:pPr>
      <w:r w:rsidRPr="00FA4114">
        <w:t>Context for Decision</w:t>
      </w:r>
    </w:p>
    <w:p w14:paraId="02E004AE" w14:textId="77777777" w:rsidR="00FA4114" w:rsidRPr="00FA4114" w:rsidRDefault="00FA4114" w:rsidP="00FA4114">
      <w:pPr>
        <w:spacing w:after="120"/>
        <w:ind w:left="720"/>
        <w:rPr>
          <w:rFonts w:asciiTheme="minorHAnsi" w:hAnsiTheme="minorHAnsi" w:cs="Arial"/>
          <w:bCs/>
          <w:lang w:val="en-GB"/>
        </w:rPr>
      </w:pPr>
      <w:r w:rsidRPr="00FA4114">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204B8B" w14:textId="77777777" w:rsidR="00FA4114" w:rsidRPr="00FA4114" w:rsidRDefault="00FA4114" w:rsidP="001007E0">
      <w:pPr>
        <w:pStyle w:val="2-SectionHeading"/>
      </w:pPr>
      <w:r w:rsidRPr="00FA4114">
        <w:t>Sponsor’s Comment</w:t>
      </w:r>
    </w:p>
    <w:p w14:paraId="292335E4" w14:textId="14F1FB22" w:rsidR="00FA4114" w:rsidRPr="00045FAB" w:rsidRDefault="00FA4114" w:rsidP="00045FAB">
      <w:pPr>
        <w:spacing w:after="120" w:line="276" w:lineRule="auto"/>
        <w:ind w:left="720"/>
        <w:rPr>
          <w:rFonts w:asciiTheme="minorHAnsi" w:eastAsiaTheme="minorHAnsi" w:hAnsiTheme="minorHAnsi" w:cs="Arial"/>
          <w:bCs/>
          <w:szCs w:val="22"/>
          <w:lang w:eastAsia="en-US"/>
        </w:rPr>
      </w:pPr>
      <w:r w:rsidRPr="00FA4114">
        <w:rPr>
          <w:rFonts w:asciiTheme="minorHAnsi" w:eastAsiaTheme="minorHAnsi" w:hAnsiTheme="minorHAnsi" w:cs="Arial"/>
          <w:bCs/>
          <w:szCs w:val="22"/>
          <w:lang w:eastAsia="en-US"/>
        </w:rPr>
        <w:t>The sponsor had no comment.</w:t>
      </w:r>
    </w:p>
    <w:sectPr w:rsidR="00FA4114" w:rsidRPr="00045FA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9312" w14:textId="77777777" w:rsidR="004B0FE7" w:rsidRDefault="004B0FE7">
      <w:r>
        <w:separator/>
      </w:r>
    </w:p>
    <w:p w14:paraId="42D20570" w14:textId="77777777" w:rsidR="004B0FE7" w:rsidRDefault="004B0FE7"/>
    <w:p w14:paraId="0E2762BF" w14:textId="77777777" w:rsidR="004B0FE7" w:rsidRDefault="004B0FE7"/>
  </w:endnote>
  <w:endnote w:type="continuationSeparator" w:id="0">
    <w:p w14:paraId="6A35455C" w14:textId="77777777" w:rsidR="004B0FE7" w:rsidRDefault="004B0FE7">
      <w:r>
        <w:continuationSeparator/>
      </w:r>
    </w:p>
    <w:p w14:paraId="18B2C7D2" w14:textId="77777777" w:rsidR="004B0FE7" w:rsidRDefault="004B0FE7"/>
    <w:p w14:paraId="1DA87E43" w14:textId="77777777" w:rsidR="004B0FE7" w:rsidRDefault="004B0FE7"/>
  </w:endnote>
  <w:endnote w:type="continuationNotice" w:id="1">
    <w:p w14:paraId="0285DDD6" w14:textId="77777777" w:rsidR="004B0FE7" w:rsidRDefault="004B0FE7"/>
    <w:p w14:paraId="649C01B4" w14:textId="77777777" w:rsidR="004B0FE7" w:rsidRDefault="004B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236075"/>
      <w:docPartObj>
        <w:docPartGallery w:val="Page Numbers (Bottom of Page)"/>
        <w:docPartUnique/>
      </w:docPartObj>
    </w:sdtPr>
    <w:sdtEndPr>
      <w:rPr>
        <w:b/>
        <w:bCs/>
        <w:noProof/>
      </w:rPr>
    </w:sdtEndPr>
    <w:sdtContent>
      <w:p w14:paraId="3F3A586C" w14:textId="77777777" w:rsidR="00D65EBA" w:rsidRDefault="00D65EBA" w:rsidP="00D65EBA">
        <w:pPr>
          <w:pStyle w:val="Footer"/>
          <w:jc w:val="both"/>
        </w:pPr>
      </w:p>
      <w:p w14:paraId="07DAAF98" w14:textId="660A9671" w:rsidR="00CF066B" w:rsidRPr="00D65EBA" w:rsidRDefault="00D65EBA" w:rsidP="00D65EBA">
        <w:pPr>
          <w:pStyle w:val="Footer"/>
          <w:rPr>
            <w:b/>
            <w:bCs/>
          </w:rPr>
        </w:pPr>
        <w:r w:rsidRPr="00D65EBA">
          <w:rPr>
            <w:b/>
            <w:bCs/>
          </w:rPr>
          <w:fldChar w:fldCharType="begin"/>
        </w:r>
        <w:r w:rsidRPr="00D65EBA">
          <w:rPr>
            <w:b/>
            <w:bCs/>
          </w:rPr>
          <w:instrText xml:space="preserve"> PAGE   \* MERGEFORMAT </w:instrText>
        </w:r>
        <w:r w:rsidRPr="00D65EBA">
          <w:rPr>
            <w:b/>
            <w:bCs/>
          </w:rPr>
          <w:fldChar w:fldCharType="separate"/>
        </w:r>
        <w:r w:rsidRPr="00D65EBA">
          <w:rPr>
            <w:b/>
            <w:bCs/>
            <w:noProof/>
          </w:rPr>
          <w:t>2</w:t>
        </w:r>
        <w:r w:rsidRPr="00D65EB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4078" w14:textId="77777777" w:rsidR="004B0FE7" w:rsidRDefault="004B0FE7">
      <w:r>
        <w:separator/>
      </w:r>
    </w:p>
    <w:p w14:paraId="39130B65" w14:textId="77777777" w:rsidR="004B0FE7" w:rsidRDefault="004B0FE7"/>
    <w:p w14:paraId="2AA8E654" w14:textId="77777777" w:rsidR="004B0FE7" w:rsidRDefault="004B0FE7"/>
  </w:footnote>
  <w:footnote w:type="continuationSeparator" w:id="0">
    <w:p w14:paraId="00D6639A" w14:textId="77777777" w:rsidR="004B0FE7" w:rsidRDefault="004B0FE7">
      <w:r>
        <w:continuationSeparator/>
      </w:r>
    </w:p>
    <w:p w14:paraId="3BB7BBE0" w14:textId="77777777" w:rsidR="004B0FE7" w:rsidRDefault="004B0FE7"/>
    <w:p w14:paraId="12AF4B4F" w14:textId="77777777" w:rsidR="004B0FE7" w:rsidRDefault="004B0FE7"/>
  </w:footnote>
  <w:footnote w:type="continuationNotice" w:id="1">
    <w:p w14:paraId="22217908" w14:textId="77777777" w:rsidR="004B0FE7" w:rsidRDefault="004B0FE7"/>
    <w:p w14:paraId="792CE798" w14:textId="77777777" w:rsidR="004B0FE7" w:rsidRDefault="004B0FE7"/>
  </w:footnote>
  <w:footnote w:id="2">
    <w:p w14:paraId="2A0C6C6C" w14:textId="77777777" w:rsidR="00837075" w:rsidRPr="00AF1E6C" w:rsidRDefault="00837075" w:rsidP="00837075">
      <w:pPr>
        <w:pStyle w:val="TableFigureFooter"/>
        <w:rPr>
          <w:lang w:val="en-US"/>
        </w:rPr>
      </w:pPr>
      <w:r>
        <w:rPr>
          <w:rStyle w:val="FootnoteReference"/>
        </w:rPr>
        <w:footnoteRef/>
      </w:r>
      <w:r>
        <w:t xml:space="preserve"> </w:t>
      </w:r>
      <w:r w:rsidRPr="00E120DC">
        <w:t xml:space="preserve">Average annual growth rate of thyroid cancer incidence 2020-2022, calculated during the evaluation based on data from Table S1a.1: Cancer incidence counts, age-specific rates, age-standardised rates (2001 Australian Standard, WHO and Segi populations), by sex, age group, actual data from 1982 to 2018 and projections to 2022, Data tables: CDIA 2022: Book 1a – Cancer incidence (age-standardised rates and 5-year age groups), </w:t>
      </w:r>
      <w:r w:rsidRPr="00AF1E6C">
        <w:t>Cancer data in Australia</w:t>
      </w:r>
      <w:r w:rsidRPr="00E120DC">
        <w:t xml:space="preserve">, web report, last updated 4 October 2022 [available: </w:t>
      </w:r>
      <w:hyperlink r:id="rId1" w:history="1">
        <w:r w:rsidRPr="00E120DC">
          <w:rPr>
            <w:rStyle w:val="Hyperlink"/>
          </w:rPr>
          <w:t>https://www.aihw.gov.au/reports/cancer/cancer-data-in-australia/data</w:t>
        </w:r>
      </w:hyperlink>
      <w:r w:rsidRPr="00E120DC">
        <w:t>; accessed 2 August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863" w14:textId="5543FEFA" w:rsidR="00D65EBA" w:rsidRPr="0045104D" w:rsidRDefault="00453E82" w:rsidP="00D65EBA">
    <w:pPr>
      <w:pStyle w:val="Header"/>
      <w:ind w:left="360"/>
      <w:jc w:val="center"/>
      <w:rPr>
        <w:rFonts w:asciiTheme="minorHAnsi" w:hAnsiTheme="minorHAnsi" w:cs="Arial"/>
        <w:i/>
      </w:rPr>
    </w:pPr>
    <w:bookmarkStart w:id="13" w:name="_Hlk159589544"/>
    <w:r w:rsidRPr="00453E82">
      <w:rPr>
        <w:rFonts w:asciiTheme="minorHAnsi" w:hAnsiTheme="minorHAnsi" w:cs="Arial"/>
        <w:i/>
      </w:rPr>
      <w:t xml:space="preserve">Public Summary Document </w:t>
    </w:r>
    <w:r w:rsidR="00D65EBA" w:rsidRPr="00A217E0">
      <w:rPr>
        <w:rFonts w:asciiTheme="minorHAnsi" w:hAnsiTheme="minorHAnsi" w:cs="Arial"/>
        <w:i/>
      </w:rPr>
      <w:t>–</w:t>
    </w:r>
    <w:r w:rsidR="00D65EBA">
      <w:rPr>
        <w:rFonts w:asciiTheme="minorHAnsi" w:hAnsiTheme="minorHAnsi" w:cs="Arial"/>
        <w:i/>
      </w:rPr>
      <w:t xml:space="preserve"> March 2024</w:t>
    </w:r>
    <w:r w:rsidR="00D65EBA" w:rsidRPr="0045104D">
      <w:rPr>
        <w:rFonts w:asciiTheme="minorHAnsi" w:hAnsiTheme="minorHAnsi" w:cs="Arial"/>
        <w:i/>
      </w:rPr>
      <w:t xml:space="preserve"> PBAC Meeting</w:t>
    </w:r>
  </w:p>
  <w:bookmarkEnd w:id="13"/>
  <w:p w14:paraId="74A766A4" w14:textId="77777777" w:rsidR="00240165" w:rsidRDefault="00240165"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49B4" w14:textId="77777777" w:rsidR="00E447F1" w:rsidRDefault="00E44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B5A72"/>
    <w:multiLevelType w:val="hybridMultilevel"/>
    <w:tmpl w:val="84A0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F7778"/>
    <w:multiLevelType w:val="hybridMultilevel"/>
    <w:tmpl w:val="09B2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6809"/>
    <w:multiLevelType w:val="multilevel"/>
    <w:tmpl w:val="DB4A247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B0C2C"/>
    <w:multiLevelType w:val="multilevel"/>
    <w:tmpl w:val="DB4A247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E01A3E"/>
    <w:multiLevelType w:val="hybridMultilevel"/>
    <w:tmpl w:val="58704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481757"/>
    <w:multiLevelType w:val="hybridMultilevel"/>
    <w:tmpl w:val="4BF08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0E3762"/>
    <w:multiLevelType w:val="multilevel"/>
    <w:tmpl w:val="21621C4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661AB"/>
    <w:multiLevelType w:val="hybridMultilevel"/>
    <w:tmpl w:val="59E297C0"/>
    <w:lvl w:ilvl="0" w:tplc="1DD83B4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9" w15:restartNumberingAfterBreak="0">
    <w:nsid w:val="5DAC5FFD"/>
    <w:multiLevelType w:val="multilevel"/>
    <w:tmpl w:val="130C2342"/>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1440" w:hanging="720"/>
      </w:pPr>
      <w:rPr>
        <w:rFonts w:asciiTheme="minorHAnsi" w:hAnsiTheme="minorHAnsi" w:cstheme="minorHAnsi" w:hint="default"/>
        <w:b w:val="0"/>
        <w:bCs w:val="0"/>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cs="Times New Roman" w:hint="default"/>
        <w:color w:val="auto"/>
        <w:sz w:val="16"/>
        <w:szCs w:val="16"/>
      </w:rPr>
    </w:lvl>
    <w:lvl w:ilvl="1" w:tplc="8CC01B9E">
      <w:start w:val="1"/>
      <w:numFmt w:val="bullet"/>
      <w:lvlText w:val="o"/>
      <w:lvlJc w:val="left"/>
      <w:pPr>
        <w:tabs>
          <w:tab w:val="num" w:pos="2007"/>
        </w:tabs>
        <w:ind w:left="2007" w:hanging="360"/>
      </w:pPr>
      <w:rPr>
        <w:rFonts w:ascii="Courier New" w:hAnsi="Courier New" w:cs="Courier New" w:hint="default"/>
      </w:rPr>
    </w:lvl>
    <w:lvl w:ilvl="2" w:tplc="EB84AD5C">
      <w:start w:val="1"/>
      <w:numFmt w:val="bullet"/>
      <w:lvlText w:val=""/>
      <w:lvlJc w:val="left"/>
      <w:pPr>
        <w:tabs>
          <w:tab w:val="num" w:pos="2727"/>
        </w:tabs>
        <w:ind w:left="2727" w:hanging="360"/>
      </w:pPr>
      <w:rPr>
        <w:rFonts w:ascii="Wingdings" w:hAnsi="Wingdings" w:hint="default"/>
      </w:rPr>
    </w:lvl>
    <w:lvl w:ilvl="3" w:tplc="2E40CA9A">
      <w:start w:val="1"/>
      <w:numFmt w:val="bullet"/>
      <w:lvlText w:val=""/>
      <w:lvlJc w:val="left"/>
      <w:pPr>
        <w:tabs>
          <w:tab w:val="num" w:pos="3447"/>
        </w:tabs>
        <w:ind w:left="3447" w:hanging="360"/>
      </w:pPr>
      <w:rPr>
        <w:rFonts w:ascii="Symbol" w:hAnsi="Symbol" w:hint="default"/>
      </w:rPr>
    </w:lvl>
    <w:lvl w:ilvl="4" w:tplc="F21CDEFE">
      <w:start w:val="1"/>
      <w:numFmt w:val="bullet"/>
      <w:lvlText w:val="o"/>
      <w:lvlJc w:val="left"/>
      <w:pPr>
        <w:tabs>
          <w:tab w:val="num" w:pos="4167"/>
        </w:tabs>
        <w:ind w:left="4167" w:hanging="360"/>
      </w:pPr>
      <w:rPr>
        <w:rFonts w:ascii="Courier New" w:hAnsi="Courier New" w:cs="Courier New" w:hint="default"/>
      </w:rPr>
    </w:lvl>
    <w:lvl w:ilvl="5" w:tplc="706C4674">
      <w:start w:val="1"/>
      <w:numFmt w:val="bullet"/>
      <w:lvlText w:val=""/>
      <w:lvlJc w:val="left"/>
      <w:pPr>
        <w:tabs>
          <w:tab w:val="num" w:pos="4887"/>
        </w:tabs>
        <w:ind w:left="4887" w:hanging="360"/>
      </w:pPr>
      <w:rPr>
        <w:rFonts w:ascii="Wingdings" w:hAnsi="Wingdings" w:hint="default"/>
      </w:rPr>
    </w:lvl>
    <w:lvl w:ilvl="6" w:tplc="65028BEE">
      <w:start w:val="1"/>
      <w:numFmt w:val="bullet"/>
      <w:lvlText w:val=""/>
      <w:lvlJc w:val="left"/>
      <w:pPr>
        <w:tabs>
          <w:tab w:val="num" w:pos="5607"/>
        </w:tabs>
        <w:ind w:left="5607" w:hanging="360"/>
      </w:pPr>
      <w:rPr>
        <w:rFonts w:ascii="Symbol" w:hAnsi="Symbol" w:hint="default"/>
      </w:rPr>
    </w:lvl>
    <w:lvl w:ilvl="7" w:tplc="A71E9600">
      <w:start w:val="1"/>
      <w:numFmt w:val="bullet"/>
      <w:lvlText w:val="o"/>
      <w:lvlJc w:val="left"/>
      <w:pPr>
        <w:tabs>
          <w:tab w:val="num" w:pos="6327"/>
        </w:tabs>
        <w:ind w:left="6327" w:hanging="360"/>
      </w:pPr>
      <w:rPr>
        <w:rFonts w:ascii="Courier New" w:hAnsi="Courier New" w:cs="Courier New" w:hint="default"/>
      </w:rPr>
    </w:lvl>
    <w:lvl w:ilvl="8" w:tplc="1E1ECCBC">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5EB3C89"/>
    <w:multiLevelType w:val="hybridMultilevel"/>
    <w:tmpl w:val="31A60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444651"/>
    <w:multiLevelType w:val="multilevel"/>
    <w:tmpl w:val="B628A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lowerLetter"/>
      <w:lvlText w:val="%3)"/>
      <w:lvlJc w:val="left"/>
      <w:pPr>
        <w:ind w:left="2700"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774D0FDF"/>
    <w:multiLevelType w:val="hybridMultilevel"/>
    <w:tmpl w:val="294CB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7367E2"/>
    <w:multiLevelType w:val="hybridMultilevel"/>
    <w:tmpl w:val="B62C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0289865">
    <w:abstractNumId w:val="26"/>
  </w:num>
  <w:num w:numId="2" w16cid:durableId="1417479662">
    <w:abstractNumId w:val="19"/>
  </w:num>
  <w:num w:numId="3" w16cid:durableId="458111048">
    <w:abstractNumId w:val="22"/>
  </w:num>
  <w:num w:numId="4" w16cid:durableId="369116271">
    <w:abstractNumId w:val="5"/>
  </w:num>
  <w:num w:numId="5" w16cid:durableId="1254242280">
    <w:abstractNumId w:val="27"/>
  </w:num>
  <w:num w:numId="6" w16cid:durableId="85738800">
    <w:abstractNumId w:val="18"/>
  </w:num>
  <w:num w:numId="7" w16cid:durableId="1842161301">
    <w:abstractNumId w:val="21"/>
  </w:num>
  <w:num w:numId="8" w16cid:durableId="1960605227">
    <w:abstractNumId w:val="13"/>
  </w:num>
  <w:num w:numId="9" w16cid:durableId="465201098">
    <w:abstractNumId w:val="2"/>
  </w:num>
  <w:num w:numId="10" w16cid:durableId="569273094">
    <w:abstractNumId w:val="11"/>
  </w:num>
  <w:num w:numId="11" w16cid:durableId="394357683">
    <w:abstractNumId w:val="12"/>
  </w:num>
  <w:num w:numId="12" w16cid:durableId="1310282709">
    <w:abstractNumId w:val="15"/>
  </w:num>
  <w:num w:numId="13" w16cid:durableId="1682970808">
    <w:abstractNumId w:val="25"/>
  </w:num>
  <w:num w:numId="14" w16cid:durableId="861356879">
    <w:abstractNumId w:val="3"/>
  </w:num>
  <w:num w:numId="15" w16cid:durableId="180363714">
    <w:abstractNumId w:val="16"/>
  </w:num>
  <w:num w:numId="16" w16cid:durableId="904995654">
    <w:abstractNumId w:val="17"/>
  </w:num>
  <w:num w:numId="17" w16cid:durableId="1658220540">
    <w:abstractNumId w:val="4"/>
  </w:num>
  <w:num w:numId="18" w16cid:durableId="1686521081">
    <w:abstractNumId w:val="1"/>
  </w:num>
  <w:num w:numId="19" w16cid:durableId="1495293949">
    <w:abstractNumId w:val="8"/>
  </w:num>
  <w:num w:numId="20" w16cid:durableId="1210264791">
    <w:abstractNumId w:val="10"/>
  </w:num>
  <w:num w:numId="21" w16cid:durableId="2082747383">
    <w:abstractNumId w:val="7"/>
  </w:num>
  <w:num w:numId="22"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1861284">
    <w:abstractNumId w:val="23"/>
  </w:num>
  <w:num w:numId="24" w16cid:durableId="1333801483">
    <w:abstractNumId w:val="14"/>
  </w:num>
  <w:num w:numId="25" w16cid:durableId="914584589">
    <w:abstractNumId w:val="9"/>
  </w:num>
  <w:num w:numId="26" w16cid:durableId="1295328425">
    <w:abstractNumId w:val="6"/>
  </w:num>
  <w:num w:numId="27" w16cid:durableId="1483739024">
    <w:abstractNumId w:val="0"/>
  </w:num>
  <w:num w:numId="28" w16cid:durableId="1276864380">
    <w:abstractNumId w:val="24"/>
  </w:num>
  <w:num w:numId="29" w16cid:durableId="569997138">
    <w:abstractNumId w:val="19"/>
  </w:num>
  <w:num w:numId="30" w16cid:durableId="1009066532">
    <w:abstractNumId w:val="19"/>
  </w:num>
  <w:num w:numId="31" w16cid:durableId="802234817">
    <w:abstractNumId w:val="19"/>
  </w:num>
  <w:num w:numId="32" w16cid:durableId="128819915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3CEF"/>
    <w:rsid w:val="00016A41"/>
    <w:rsid w:val="000214D1"/>
    <w:rsid w:val="0002464A"/>
    <w:rsid w:val="00025A04"/>
    <w:rsid w:val="0003050E"/>
    <w:rsid w:val="0003106B"/>
    <w:rsid w:val="00033C1D"/>
    <w:rsid w:val="00034905"/>
    <w:rsid w:val="000421A1"/>
    <w:rsid w:val="0004240E"/>
    <w:rsid w:val="00044EC4"/>
    <w:rsid w:val="00045E26"/>
    <w:rsid w:val="00045FAB"/>
    <w:rsid w:val="0004684B"/>
    <w:rsid w:val="000514B5"/>
    <w:rsid w:val="0005322E"/>
    <w:rsid w:val="00053971"/>
    <w:rsid w:val="00054E2B"/>
    <w:rsid w:val="00060E64"/>
    <w:rsid w:val="000610BF"/>
    <w:rsid w:val="00066193"/>
    <w:rsid w:val="000661FF"/>
    <w:rsid w:val="00066755"/>
    <w:rsid w:val="00067B6B"/>
    <w:rsid w:val="00071A5B"/>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6FF2"/>
    <w:rsid w:val="000975FB"/>
    <w:rsid w:val="000A3AA2"/>
    <w:rsid w:val="000A44B2"/>
    <w:rsid w:val="000A52F6"/>
    <w:rsid w:val="000B44C3"/>
    <w:rsid w:val="000B558D"/>
    <w:rsid w:val="000B5A89"/>
    <w:rsid w:val="000B65F6"/>
    <w:rsid w:val="000B7767"/>
    <w:rsid w:val="000C5F95"/>
    <w:rsid w:val="000C6996"/>
    <w:rsid w:val="000C7C46"/>
    <w:rsid w:val="000D09E9"/>
    <w:rsid w:val="000D113F"/>
    <w:rsid w:val="000D23BA"/>
    <w:rsid w:val="000D7444"/>
    <w:rsid w:val="000E19B7"/>
    <w:rsid w:val="000E20FC"/>
    <w:rsid w:val="000E3DFB"/>
    <w:rsid w:val="000E5EA1"/>
    <w:rsid w:val="000E681E"/>
    <w:rsid w:val="000E7E52"/>
    <w:rsid w:val="000F0003"/>
    <w:rsid w:val="000F3384"/>
    <w:rsid w:val="000F4E6A"/>
    <w:rsid w:val="000F7354"/>
    <w:rsid w:val="001007E0"/>
    <w:rsid w:val="00101ABE"/>
    <w:rsid w:val="00102202"/>
    <w:rsid w:val="00102700"/>
    <w:rsid w:val="0010289B"/>
    <w:rsid w:val="00102A78"/>
    <w:rsid w:val="00103118"/>
    <w:rsid w:val="00104227"/>
    <w:rsid w:val="001107BF"/>
    <w:rsid w:val="00113649"/>
    <w:rsid w:val="00113D5C"/>
    <w:rsid w:val="00122D8F"/>
    <w:rsid w:val="0012417C"/>
    <w:rsid w:val="00124BF2"/>
    <w:rsid w:val="0012597F"/>
    <w:rsid w:val="0012749D"/>
    <w:rsid w:val="001306A5"/>
    <w:rsid w:val="001311AE"/>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76B9D"/>
    <w:rsid w:val="00180713"/>
    <w:rsid w:val="00180720"/>
    <w:rsid w:val="001830CE"/>
    <w:rsid w:val="001836E3"/>
    <w:rsid w:val="00184C39"/>
    <w:rsid w:val="00185420"/>
    <w:rsid w:val="0018643B"/>
    <w:rsid w:val="00192397"/>
    <w:rsid w:val="00196307"/>
    <w:rsid w:val="001A0D10"/>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758C"/>
    <w:rsid w:val="001D1F5F"/>
    <w:rsid w:val="001E06D2"/>
    <w:rsid w:val="001E17C4"/>
    <w:rsid w:val="001E3B38"/>
    <w:rsid w:val="001E7F5C"/>
    <w:rsid w:val="001F005B"/>
    <w:rsid w:val="001F1850"/>
    <w:rsid w:val="001F1D9C"/>
    <w:rsid w:val="001F1FBF"/>
    <w:rsid w:val="001F2F1C"/>
    <w:rsid w:val="001F3189"/>
    <w:rsid w:val="00201FB8"/>
    <w:rsid w:val="002025D2"/>
    <w:rsid w:val="00203FAC"/>
    <w:rsid w:val="0020737E"/>
    <w:rsid w:val="00213CFB"/>
    <w:rsid w:val="0021553C"/>
    <w:rsid w:val="0021557B"/>
    <w:rsid w:val="002174FD"/>
    <w:rsid w:val="00217BE1"/>
    <w:rsid w:val="002214B9"/>
    <w:rsid w:val="00230F63"/>
    <w:rsid w:val="00234252"/>
    <w:rsid w:val="0023466E"/>
    <w:rsid w:val="00237A3C"/>
    <w:rsid w:val="00237AC6"/>
    <w:rsid w:val="00240165"/>
    <w:rsid w:val="00244139"/>
    <w:rsid w:val="00244490"/>
    <w:rsid w:val="00245B9C"/>
    <w:rsid w:val="002462DF"/>
    <w:rsid w:val="00253499"/>
    <w:rsid w:val="002551A4"/>
    <w:rsid w:val="00257664"/>
    <w:rsid w:val="00265151"/>
    <w:rsid w:val="00265C2C"/>
    <w:rsid w:val="00266509"/>
    <w:rsid w:val="00271BA1"/>
    <w:rsid w:val="00273AC5"/>
    <w:rsid w:val="00274455"/>
    <w:rsid w:val="002762FA"/>
    <w:rsid w:val="00277505"/>
    <w:rsid w:val="0028158C"/>
    <w:rsid w:val="002823B6"/>
    <w:rsid w:val="00282949"/>
    <w:rsid w:val="00290C03"/>
    <w:rsid w:val="00294274"/>
    <w:rsid w:val="0029458F"/>
    <w:rsid w:val="002A018F"/>
    <w:rsid w:val="002A0E04"/>
    <w:rsid w:val="002A104C"/>
    <w:rsid w:val="002A1EF7"/>
    <w:rsid w:val="002A248E"/>
    <w:rsid w:val="002A494D"/>
    <w:rsid w:val="002A4960"/>
    <w:rsid w:val="002A636A"/>
    <w:rsid w:val="002B0AE0"/>
    <w:rsid w:val="002B1AE6"/>
    <w:rsid w:val="002B1D51"/>
    <w:rsid w:val="002B2DE8"/>
    <w:rsid w:val="002B30F8"/>
    <w:rsid w:val="002B388A"/>
    <w:rsid w:val="002B5596"/>
    <w:rsid w:val="002B77D7"/>
    <w:rsid w:val="002C212F"/>
    <w:rsid w:val="002C2F35"/>
    <w:rsid w:val="002C633F"/>
    <w:rsid w:val="002C6AA9"/>
    <w:rsid w:val="002C7485"/>
    <w:rsid w:val="002D147F"/>
    <w:rsid w:val="002D2641"/>
    <w:rsid w:val="002D283A"/>
    <w:rsid w:val="002D4543"/>
    <w:rsid w:val="002D6B61"/>
    <w:rsid w:val="002E3153"/>
    <w:rsid w:val="002E31B2"/>
    <w:rsid w:val="002E5292"/>
    <w:rsid w:val="002E59C8"/>
    <w:rsid w:val="002E72CA"/>
    <w:rsid w:val="002F1D07"/>
    <w:rsid w:val="002F600D"/>
    <w:rsid w:val="002F7E47"/>
    <w:rsid w:val="00300AD6"/>
    <w:rsid w:val="00300B1B"/>
    <w:rsid w:val="003019D0"/>
    <w:rsid w:val="003064AF"/>
    <w:rsid w:val="003104CC"/>
    <w:rsid w:val="00310A8B"/>
    <w:rsid w:val="00310B68"/>
    <w:rsid w:val="0031236D"/>
    <w:rsid w:val="003160D2"/>
    <w:rsid w:val="003173FC"/>
    <w:rsid w:val="00317C6C"/>
    <w:rsid w:val="00320B80"/>
    <w:rsid w:val="00320CD3"/>
    <w:rsid w:val="00324102"/>
    <w:rsid w:val="00326E79"/>
    <w:rsid w:val="0032748A"/>
    <w:rsid w:val="003301B1"/>
    <w:rsid w:val="00331189"/>
    <w:rsid w:val="00331778"/>
    <w:rsid w:val="0033263D"/>
    <w:rsid w:val="0033518A"/>
    <w:rsid w:val="00335535"/>
    <w:rsid w:val="003367EF"/>
    <w:rsid w:val="00341AE4"/>
    <w:rsid w:val="003476EE"/>
    <w:rsid w:val="003541DD"/>
    <w:rsid w:val="00356E5B"/>
    <w:rsid w:val="0036501A"/>
    <w:rsid w:val="003736C9"/>
    <w:rsid w:val="00383B77"/>
    <w:rsid w:val="00384988"/>
    <w:rsid w:val="003872CF"/>
    <w:rsid w:val="0039782C"/>
    <w:rsid w:val="003A13A6"/>
    <w:rsid w:val="003A5B4A"/>
    <w:rsid w:val="003A5D95"/>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3C10"/>
    <w:rsid w:val="003E4374"/>
    <w:rsid w:val="003E468B"/>
    <w:rsid w:val="003E62BD"/>
    <w:rsid w:val="003F044F"/>
    <w:rsid w:val="003F0C3A"/>
    <w:rsid w:val="003F15F0"/>
    <w:rsid w:val="003F3228"/>
    <w:rsid w:val="003F59B9"/>
    <w:rsid w:val="003F5C8C"/>
    <w:rsid w:val="003F63CE"/>
    <w:rsid w:val="003F775A"/>
    <w:rsid w:val="00400E55"/>
    <w:rsid w:val="0040128E"/>
    <w:rsid w:val="0040216B"/>
    <w:rsid w:val="0041675D"/>
    <w:rsid w:val="00420400"/>
    <w:rsid w:val="004252EC"/>
    <w:rsid w:val="00430B50"/>
    <w:rsid w:val="00430D39"/>
    <w:rsid w:val="00442C91"/>
    <w:rsid w:val="004465BD"/>
    <w:rsid w:val="00446938"/>
    <w:rsid w:val="004528FA"/>
    <w:rsid w:val="00453E82"/>
    <w:rsid w:val="00461A44"/>
    <w:rsid w:val="00462D26"/>
    <w:rsid w:val="0046385A"/>
    <w:rsid w:val="00466449"/>
    <w:rsid w:val="00466ADA"/>
    <w:rsid w:val="004702BB"/>
    <w:rsid w:val="0047494B"/>
    <w:rsid w:val="00476245"/>
    <w:rsid w:val="00477A9B"/>
    <w:rsid w:val="00481E1D"/>
    <w:rsid w:val="00483035"/>
    <w:rsid w:val="00485940"/>
    <w:rsid w:val="00486C95"/>
    <w:rsid w:val="004877C2"/>
    <w:rsid w:val="004904B9"/>
    <w:rsid w:val="00495F61"/>
    <w:rsid w:val="00496662"/>
    <w:rsid w:val="004A2484"/>
    <w:rsid w:val="004A5A85"/>
    <w:rsid w:val="004A71D1"/>
    <w:rsid w:val="004A7C5B"/>
    <w:rsid w:val="004B0FE7"/>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ADD"/>
    <w:rsid w:val="004E1B22"/>
    <w:rsid w:val="004E692D"/>
    <w:rsid w:val="004E7230"/>
    <w:rsid w:val="004E7D87"/>
    <w:rsid w:val="004F2553"/>
    <w:rsid w:val="004F306A"/>
    <w:rsid w:val="004F5C3B"/>
    <w:rsid w:val="004F6160"/>
    <w:rsid w:val="00501554"/>
    <w:rsid w:val="00502AFE"/>
    <w:rsid w:val="00502E64"/>
    <w:rsid w:val="00503AD7"/>
    <w:rsid w:val="00504B8D"/>
    <w:rsid w:val="00504E0C"/>
    <w:rsid w:val="00504E13"/>
    <w:rsid w:val="005109D4"/>
    <w:rsid w:val="00514CD7"/>
    <w:rsid w:val="00516244"/>
    <w:rsid w:val="005167EC"/>
    <w:rsid w:val="005170DA"/>
    <w:rsid w:val="00520D6A"/>
    <w:rsid w:val="00522DB6"/>
    <w:rsid w:val="005264A7"/>
    <w:rsid w:val="0052792D"/>
    <w:rsid w:val="005319B2"/>
    <w:rsid w:val="00532402"/>
    <w:rsid w:val="00532C74"/>
    <w:rsid w:val="00534E2E"/>
    <w:rsid w:val="0054064C"/>
    <w:rsid w:val="00544552"/>
    <w:rsid w:val="00545130"/>
    <w:rsid w:val="0055286A"/>
    <w:rsid w:val="00555745"/>
    <w:rsid w:val="00555944"/>
    <w:rsid w:val="00557D4F"/>
    <w:rsid w:val="0056122E"/>
    <w:rsid w:val="00561FF2"/>
    <w:rsid w:val="00563B2B"/>
    <w:rsid w:val="0056484E"/>
    <w:rsid w:val="00567D8A"/>
    <w:rsid w:val="00573226"/>
    <w:rsid w:val="005764CD"/>
    <w:rsid w:val="00577C4D"/>
    <w:rsid w:val="00580532"/>
    <w:rsid w:val="00581932"/>
    <w:rsid w:val="005963BB"/>
    <w:rsid w:val="005A3173"/>
    <w:rsid w:val="005A3223"/>
    <w:rsid w:val="005A3796"/>
    <w:rsid w:val="005A3B72"/>
    <w:rsid w:val="005A3DA3"/>
    <w:rsid w:val="005A52C4"/>
    <w:rsid w:val="005A63A1"/>
    <w:rsid w:val="005C44ED"/>
    <w:rsid w:val="005C4F73"/>
    <w:rsid w:val="005D03AB"/>
    <w:rsid w:val="005D401D"/>
    <w:rsid w:val="005D5017"/>
    <w:rsid w:val="005D63FA"/>
    <w:rsid w:val="005D73C7"/>
    <w:rsid w:val="005E0C2D"/>
    <w:rsid w:val="005E0D82"/>
    <w:rsid w:val="005E1333"/>
    <w:rsid w:val="005E3136"/>
    <w:rsid w:val="005E507D"/>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682E"/>
    <w:rsid w:val="00640088"/>
    <w:rsid w:val="00642672"/>
    <w:rsid w:val="00642CEF"/>
    <w:rsid w:val="00642DA8"/>
    <w:rsid w:val="006436CD"/>
    <w:rsid w:val="00643D8C"/>
    <w:rsid w:val="00651169"/>
    <w:rsid w:val="00653D69"/>
    <w:rsid w:val="006552E6"/>
    <w:rsid w:val="006556E7"/>
    <w:rsid w:val="00655794"/>
    <w:rsid w:val="00657C63"/>
    <w:rsid w:val="00661CBC"/>
    <w:rsid w:val="0066212F"/>
    <w:rsid w:val="00662B85"/>
    <w:rsid w:val="00666C49"/>
    <w:rsid w:val="006670BE"/>
    <w:rsid w:val="00670A76"/>
    <w:rsid w:val="006711AA"/>
    <w:rsid w:val="006724ED"/>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A5"/>
    <w:rsid w:val="006A2515"/>
    <w:rsid w:val="006A5E20"/>
    <w:rsid w:val="006B0D94"/>
    <w:rsid w:val="006B485D"/>
    <w:rsid w:val="006C0C45"/>
    <w:rsid w:val="006C334C"/>
    <w:rsid w:val="006C5B33"/>
    <w:rsid w:val="006C6C10"/>
    <w:rsid w:val="006C708E"/>
    <w:rsid w:val="006D14E7"/>
    <w:rsid w:val="006D1F1B"/>
    <w:rsid w:val="006D4444"/>
    <w:rsid w:val="006D6493"/>
    <w:rsid w:val="006D6EC7"/>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340B"/>
    <w:rsid w:val="0071436D"/>
    <w:rsid w:val="00715BBB"/>
    <w:rsid w:val="007174BB"/>
    <w:rsid w:val="0072025D"/>
    <w:rsid w:val="00723328"/>
    <w:rsid w:val="0073137C"/>
    <w:rsid w:val="007340B9"/>
    <w:rsid w:val="007353D3"/>
    <w:rsid w:val="0074156B"/>
    <w:rsid w:val="00741619"/>
    <w:rsid w:val="00747092"/>
    <w:rsid w:val="007526E6"/>
    <w:rsid w:val="00754DF9"/>
    <w:rsid w:val="007555E8"/>
    <w:rsid w:val="00755CC5"/>
    <w:rsid w:val="0076420C"/>
    <w:rsid w:val="00766893"/>
    <w:rsid w:val="00771D07"/>
    <w:rsid w:val="00773BE3"/>
    <w:rsid w:val="007743DD"/>
    <w:rsid w:val="00774E2C"/>
    <w:rsid w:val="0077518D"/>
    <w:rsid w:val="007753C2"/>
    <w:rsid w:val="00780EF3"/>
    <w:rsid w:val="007838B8"/>
    <w:rsid w:val="007915BA"/>
    <w:rsid w:val="00791844"/>
    <w:rsid w:val="007979BD"/>
    <w:rsid w:val="007A259E"/>
    <w:rsid w:val="007A6A2F"/>
    <w:rsid w:val="007B024E"/>
    <w:rsid w:val="007B3DDC"/>
    <w:rsid w:val="007B72A6"/>
    <w:rsid w:val="007C06D2"/>
    <w:rsid w:val="007C08E0"/>
    <w:rsid w:val="007C0F57"/>
    <w:rsid w:val="007C40B6"/>
    <w:rsid w:val="007C729F"/>
    <w:rsid w:val="007D503D"/>
    <w:rsid w:val="007D59E7"/>
    <w:rsid w:val="007D5F2A"/>
    <w:rsid w:val="007E1D28"/>
    <w:rsid w:val="007E7A84"/>
    <w:rsid w:val="007F0021"/>
    <w:rsid w:val="007F2641"/>
    <w:rsid w:val="007F7C36"/>
    <w:rsid w:val="008055AF"/>
    <w:rsid w:val="008057CD"/>
    <w:rsid w:val="00806796"/>
    <w:rsid w:val="00810167"/>
    <w:rsid w:val="00811CC0"/>
    <w:rsid w:val="008147AE"/>
    <w:rsid w:val="008151D6"/>
    <w:rsid w:val="00821527"/>
    <w:rsid w:val="00822696"/>
    <w:rsid w:val="00825A6C"/>
    <w:rsid w:val="0082617E"/>
    <w:rsid w:val="008268BB"/>
    <w:rsid w:val="00826F6D"/>
    <w:rsid w:val="008306F3"/>
    <w:rsid w:val="00830E40"/>
    <w:rsid w:val="00832D9A"/>
    <w:rsid w:val="00835C62"/>
    <w:rsid w:val="008368A1"/>
    <w:rsid w:val="00837075"/>
    <w:rsid w:val="00840EF7"/>
    <w:rsid w:val="00844C0A"/>
    <w:rsid w:val="00846056"/>
    <w:rsid w:val="0084681F"/>
    <w:rsid w:val="00847EC0"/>
    <w:rsid w:val="00855FD6"/>
    <w:rsid w:val="00856DDD"/>
    <w:rsid w:val="00863E68"/>
    <w:rsid w:val="008647B5"/>
    <w:rsid w:val="00867D64"/>
    <w:rsid w:val="00875DCB"/>
    <w:rsid w:val="008761AD"/>
    <w:rsid w:val="0087755A"/>
    <w:rsid w:val="00882085"/>
    <w:rsid w:val="00883188"/>
    <w:rsid w:val="00884A0C"/>
    <w:rsid w:val="00886ACA"/>
    <w:rsid w:val="0089031E"/>
    <w:rsid w:val="0089460B"/>
    <w:rsid w:val="008961D2"/>
    <w:rsid w:val="00897D58"/>
    <w:rsid w:val="00897F22"/>
    <w:rsid w:val="008A0B39"/>
    <w:rsid w:val="008A17A3"/>
    <w:rsid w:val="008A1956"/>
    <w:rsid w:val="008A1E85"/>
    <w:rsid w:val="008A2419"/>
    <w:rsid w:val="008A4937"/>
    <w:rsid w:val="008A50F1"/>
    <w:rsid w:val="008A59D9"/>
    <w:rsid w:val="008A643E"/>
    <w:rsid w:val="008A6819"/>
    <w:rsid w:val="008B2EC0"/>
    <w:rsid w:val="008B357A"/>
    <w:rsid w:val="008B6DCF"/>
    <w:rsid w:val="008D0945"/>
    <w:rsid w:val="008D1409"/>
    <w:rsid w:val="008D15CC"/>
    <w:rsid w:val="008D1729"/>
    <w:rsid w:val="008D1B5C"/>
    <w:rsid w:val="008D3C82"/>
    <w:rsid w:val="008D447E"/>
    <w:rsid w:val="008D599E"/>
    <w:rsid w:val="008D6ACF"/>
    <w:rsid w:val="008D7A41"/>
    <w:rsid w:val="008E0570"/>
    <w:rsid w:val="008E2C72"/>
    <w:rsid w:val="008E3680"/>
    <w:rsid w:val="008E45EC"/>
    <w:rsid w:val="008E5870"/>
    <w:rsid w:val="008E77E4"/>
    <w:rsid w:val="008F0213"/>
    <w:rsid w:val="008F07ED"/>
    <w:rsid w:val="008F11F8"/>
    <w:rsid w:val="008F1434"/>
    <w:rsid w:val="008F2BB9"/>
    <w:rsid w:val="008F3D6A"/>
    <w:rsid w:val="008F54C3"/>
    <w:rsid w:val="008F7355"/>
    <w:rsid w:val="009023DC"/>
    <w:rsid w:val="009027C5"/>
    <w:rsid w:val="00904413"/>
    <w:rsid w:val="00905BB7"/>
    <w:rsid w:val="009067B7"/>
    <w:rsid w:val="0090775A"/>
    <w:rsid w:val="00907DFD"/>
    <w:rsid w:val="00917D69"/>
    <w:rsid w:val="00920B6D"/>
    <w:rsid w:val="00921437"/>
    <w:rsid w:val="00926560"/>
    <w:rsid w:val="00926B15"/>
    <w:rsid w:val="00930291"/>
    <w:rsid w:val="00930937"/>
    <w:rsid w:val="009324A6"/>
    <w:rsid w:val="00933E6C"/>
    <w:rsid w:val="00935A6E"/>
    <w:rsid w:val="00937958"/>
    <w:rsid w:val="009406E5"/>
    <w:rsid w:val="00941602"/>
    <w:rsid w:val="00942160"/>
    <w:rsid w:val="0094602B"/>
    <w:rsid w:val="00946921"/>
    <w:rsid w:val="0095146F"/>
    <w:rsid w:val="00957944"/>
    <w:rsid w:val="009602C5"/>
    <w:rsid w:val="00962223"/>
    <w:rsid w:val="0096252B"/>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13F4"/>
    <w:rsid w:val="00991782"/>
    <w:rsid w:val="009937F7"/>
    <w:rsid w:val="0099465B"/>
    <w:rsid w:val="009951A1"/>
    <w:rsid w:val="00997A44"/>
    <w:rsid w:val="009A0CDD"/>
    <w:rsid w:val="009A3168"/>
    <w:rsid w:val="009A5D04"/>
    <w:rsid w:val="009A61CA"/>
    <w:rsid w:val="009B0C64"/>
    <w:rsid w:val="009B0F67"/>
    <w:rsid w:val="009B3F8C"/>
    <w:rsid w:val="009B750F"/>
    <w:rsid w:val="009C5B72"/>
    <w:rsid w:val="009C703C"/>
    <w:rsid w:val="009D206E"/>
    <w:rsid w:val="009D3CAA"/>
    <w:rsid w:val="009D55E2"/>
    <w:rsid w:val="009D6532"/>
    <w:rsid w:val="009D71FD"/>
    <w:rsid w:val="009E019D"/>
    <w:rsid w:val="009E2588"/>
    <w:rsid w:val="009E2E8E"/>
    <w:rsid w:val="009E40E1"/>
    <w:rsid w:val="009F0EFA"/>
    <w:rsid w:val="009F4E46"/>
    <w:rsid w:val="009F5B65"/>
    <w:rsid w:val="009F5F2E"/>
    <w:rsid w:val="00A01432"/>
    <w:rsid w:val="00A06225"/>
    <w:rsid w:val="00A0658C"/>
    <w:rsid w:val="00A07C4C"/>
    <w:rsid w:val="00A110D1"/>
    <w:rsid w:val="00A12587"/>
    <w:rsid w:val="00A128E6"/>
    <w:rsid w:val="00A133FD"/>
    <w:rsid w:val="00A1369B"/>
    <w:rsid w:val="00A144D3"/>
    <w:rsid w:val="00A22AC3"/>
    <w:rsid w:val="00A23F3F"/>
    <w:rsid w:val="00A24067"/>
    <w:rsid w:val="00A24A4B"/>
    <w:rsid w:val="00A2744D"/>
    <w:rsid w:val="00A30D16"/>
    <w:rsid w:val="00A34E6C"/>
    <w:rsid w:val="00A34FD0"/>
    <w:rsid w:val="00A36398"/>
    <w:rsid w:val="00A37C8D"/>
    <w:rsid w:val="00A4020E"/>
    <w:rsid w:val="00A40FB5"/>
    <w:rsid w:val="00A42826"/>
    <w:rsid w:val="00A429B3"/>
    <w:rsid w:val="00A44EC1"/>
    <w:rsid w:val="00A510E4"/>
    <w:rsid w:val="00A5273B"/>
    <w:rsid w:val="00A53A9D"/>
    <w:rsid w:val="00A55FEE"/>
    <w:rsid w:val="00A57422"/>
    <w:rsid w:val="00A62C1A"/>
    <w:rsid w:val="00A6426D"/>
    <w:rsid w:val="00A665C1"/>
    <w:rsid w:val="00A673A4"/>
    <w:rsid w:val="00A7001A"/>
    <w:rsid w:val="00A70622"/>
    <w:rsid w:val="00A70977"/>
    <w:rsid w:val="00A70D58"/>
    <w:rsid w:val="00A744F9"/>
    <w:rsid w:val="00A76376"/>
    <w:rsid w:val="00A77613"/>
    <w:rsid w:val="00A77B87"/>
    <w:rsid w:val="00A81851"/>
    <w:rsid w:val="00A8390C"/>
    <w:rsid w:val="00A86AE0"/>
    <w:rsid w:val="00A91362"/>
    <w:rsid w:val="00A9151C"/>
    <w:rsid w:val="00A919C6"/>
    <w:rsid w:val="00A928BD"/>
    <w:rsid w:val="00A97704"/>
    <w:rsid w:val="00A97DE9"/>
    <w:rsid w:val="00AA12CD"/>
    <w:rsid w:val="00AA4D1C"/>
    <w:rsid w:val="00AA52FD"/>
    <w:rsid w:val="00AA6F91"/>
    <w:rsid w:val="00AA7006"/>
    <w:rsid w:val="00AB5856"/>
    <w:rsid w:val="00AC193C"/>
    <w:rsid w:val="00AC30C1"/>
    <w:rsid w:val="00AC4DE5"/>
    <w:rsid w:val="00AC5206"/>
    <w:rsid w:val="00AC7F2B"/>
    <w:rsid w:val="00AD3106"/>
    <w:rsid w:val="00AD4322"/>
    <w:rsid w:val="00AE11A5"/>
    <w:rsid w:val="00AE13E2"/>
    <w:rsid w:val="00AE22D3"/>
    <w:rsid w:val="00AE5A49"/>
    <w:rsid w:val="00AF11D8"/>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4B55"/>
    <w:rsid w:val="00B25F75"/>
    <w:rsid w:val="00B26B3F"/>
    <w:rsid w:val="00B2778F"/>
    <w:rsid w:val="00B327E2"/>
    <w:rsid w:val="00B33635"/>
    <w:rsid w:val="00B35648"/>
    <w:rsid w:val="00B37006"/>
    <w:rsid w:val="00B42AF4"/>
    <w:rsid w:val="00B43E90"/>
    <w:rsid w:val="00B467DC"/>
    <w:rsid w:val="00B5392A"/>
    <w:rsid w:val="00B56118"/>
    <w:rsid w:val="00B566E1"/>
    <w:rsid w:val="00B61B82"/>
    <w:rsid w:val="00B6773F"/>
    <w:rsid w:val="00B70EB3"/>
    <w:rsid w:val="00B7286D"/>
    <w:rsid w:val="00B72906"/>
    <w:rsid w:val="00B7525E"/>
    <w:rsid w:val="00B760FB"/>
    <w:rsid w:val="00B767AB"/>
    <w:rsid w:val="00B801BA"/>
    <w:rsid w:val="00B812D6"/>
    <w:rsid w:val="00B84D5C"/>
    <w:rsid w:val="00B85AF6"/>
    <w:rsid w:val="00B956ED"/>
    <w:rsid w:val="00BA2DA8"/>
    <w:rsid w:val="00BA347C"/>
    <w:rsid w:val="00BA74FA"/>
    <w:rsid w:val="00BB3469"/>
    <w:rsid w:val="00BB5C49"/>
    <w:rsid w:val="00BB6240"/>
    <w:rsid w:val="00BB6285"/>
    <w:rsid w:val="00BB69F5"/>
    <w:rsid w:val="00BB7EC3"/>
    <w:rsid w:val="00BC470E"/>
    <w:rsid w:val="00BC4B9A"/>
    <w:rsid w:val="00BD02C3"/>
    <w:rsid w:val="00BD3E47"/>
    <w:rsid w:val="00BD7483"/>
    <w:rsid w:val="00BD784C"/>
    <w:rsid w:val="00BE020A"/>
    <w:rsid w:val="00BE13DF"/>
    <w:rsid w:val="00BE25D7"/>
    <w:rsid w:val="00BF092C"/>
    <w:rsid w:val="00BF27A0"/>
    <w:rsid w:val="00BF4CB6"/>
    <w:rsid w:val="00C00DA7"/>
    <w:rsid w:val="00C04CDE"/>
    <w:rsid w:val="00C068A6"/>
    <w:rsid w:val="00C12768"/>
    <w:rsid w:val="00C12D70"/>
    <w:rsid w:val="00C13DDC"/>
    <w:rsid w:val="00C16724"/>
    <w:rsid w:val="00C21B09"/>
    <w:rsid w:val="00C2673A"/>
    <w:rsid w:val="00C27B58"/>
    <w:rsid w:val="00C27F18"/>
    <w:rsid w:val="00C33186"/>
    <w:rsid w:val="00C34897"/>
    <w:rsid w:val="00C35996"/>
    <w:rsid w:val="00C4747E"/>
    <w:rsid w:val="00C5151E"/>
    <w:rsid w:val="00C5342C"/>
    <w:rsid w:val="00C53B2B"/>
    <w:rsid w:val="00C57465"/>
    <w:rsid w:val="00C60272"/>
    <w:rsid w:val="00C603D4"/>
    <w:rsid w:val="00C6256A"/>
    <w:rsid w:val="00C64EBC"/>
    <w:rsid w:val="00C664D2"/>
    <w:rsid w:val="00C710E2"/>
    <w:rsid w:val="00C71C3F"/>
    <w:rsid w:val="00C7409E"/>
    <w:rsid w:val="00C74D6D"/>
    <w:rsid w:val="00C76657"/>
    <w:rsid w:val="00C76E76"/>
    <w:rsid w:val="00C77891"/>
    <w:rsid w:val="00C829A9"/>
    <w:rsid w:val="00C87B80"/>
    <w:rsid w:val="00C87FC6"/>
    <w:rsid w:val="00C91449"/>
    <w:rsid w:val="00C92D10"/>
    <w:rsid w:val="00CA13A2"/>
    <w:rsid w:val="00CA48D9"/>
    <w:rsid w:val="00CB1193"/>
    <w:rsid w:val="00CB4767"/>
    <w:rsid w:val="00CB493D"/>
    <w:rsid w:val="00CC3B97"/>
    <w:rsid w:val="00CC3CA3"/>
    <w:rsid w:val="00CD0AC7"/>
    <w:rsid w:val="00CD78DD"/>
    <w:rsid w:val="00CD7C0B"/>
    <w:rsid w:val="00CE10C4"/>
    <w:rsid w:val="00CE27B5"/>
    <w:rsid w:val="00CE6DAF"/>
    <w:rsid w:val="00CE72BF"/>
    <w:rsid w:val="00CF066B"/>
    <w:rsid w:val="00CF410A"/>
    <w:rsid w:val="00D002C9"/>
    <w:rsid w:val="00D0321E"/>
    <w:rsid w:val="00D069EB"/>
    <w:rsid w:val="00D07A8A"/>
    <w:rsid w:val="00D11199"/>
    <w:rsid w:val="00D1455A"/>
    <w:rsid w:val="00D14A70"/>
    <w:rsid w:val="00D22093"/>
    <w:rsid w:val="00D24683"/>
    <w:rsid w:val="00D31150"/>
    <w:rsid w:val="00D3138B"/>
    <w:rsid w:val="00D31FCE"/>
    <w:rsid w:val="00D3280C"/>
    <w:rsid w:val="00D3297F"/>
    <w:rsid w:val="00D34011"/>
    <w:rsid w:val="00D3406A"/>
    <w:rsid w:val="00D35232"/>
    <w:rsid w:val="00D40B11"/>
    <w:rsid w:val="00D429EC"/>
    <w:rsid w:val="00D43F05"/>
    <w:rsid w:val="00D441F1"/>
    <w:rsid w:val="00D4572C"/>
    <w:rsid w:val="00D469B2"/>
    <w:rsid w:val="00D472FF"/>
    <w:rsid w:val="00D54B09"/>
    <w:rsid w:val="00D6243E"/>
    <w:rsid w:val="00D64675"/>
    <w:rsid w:val="00D65658"/>
    <w:rsid w:val="00D65EBA"/>
    <w:rsid w:val="00D677E1"/>
    <w:rsid w:val="00D67EB2"/>
    <w:rsid w:val="00D72B6F"/>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50E1"/>
    <w:rsid w:val="00DC0566"/>
    <w:rsid w:val="00DC1499"/>
    <w:rsid w:val="00DC2C3E"/>
    <w:rsid w:val="00DC3137"/>
    <w:rsid w:val="00DC4880"/>
    <w:rsid w:val="00DD1217"/>
    <w:rsid w:val="00DD3D74"/>
    <w:rsid w:val="00DD42AB"/>
    <w:rsid w:val="00DE06AF"/>
    <w:rsid w:val="00DE5BCF"/>
    <w:rsid w:val="00DE6D27"/>
    <w:rsid w:val="00DF01F8"/>
    <w:rsid w:val="00DF021D"/>
    <w:rsid w:val="00DF217D"/>
    <w:rsid w:val="00DF26A7"/>
    <w:rsid w:val="00DF3277"/>
    <w:rsid w:val="00DF4821"/>
    <w:rsid w:val="00DF77A1"/>
    <w:rsid w:val="00DF7919"/>
    <w:rsid w:val="00E0207E"/>
    <w:rsid w:val="00E02AE6"/>
    <w:rsid w:val="00E03912"/>
    <w:rsid w:val="00E04748"/>
    <w:rsid w:val="00E078D9"/>
    <w:rsid w:val="00E10293"/>
    <w:rsid w:val="00E103A0"/>
    <w:rsid w:val="00E13E60"/>
    <w:rsid w:val="00E15627"/>
    <w:rsid w:val="00E164B3"/>
    <w:rsid w:val="00E16910"/>
    <w:rsid w:val="00E16C00"/>
    <w:rsid w:val="00E22F9E"/>
    <w:rsid w:val="00E239E2"/>
    <w:rsid w:val="00E24E09"/>
    <w:rsid w:val="00E27234"/>
    <w:rsid w:val="00E3495C"/>
    <w:rsid w:val="00E42BDB"/>
    <w:rsid w:val="00E447F1"/>
    <w:rsid w:val="00E5726D"/>
    <w:rsid w:val="00E57EEB"/>
    <w:rsid w:val="00E62D94"/>
    <w:rsid w:val="00E64F37"/>
    <w:rsid w:val="00E65091"/>
    <w:rsid w:val="00E65E54"/>
    <w:rsid w:val="00E661C7"/>
    <w:rsid w:val="00E74E41"/>
    <w:rsid w:val="00E80155"/>
    <w:rsid w:val="00E81271"/>
    <w:rsid w:val="00E8134B"/>
    <w:rsid w:val="00E81E0D"/>
    <w:rsid w:val="00E81F28"/>
    <w:rsid w:val="00E848C0"/>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5088"/>
    <w:rsid w:val="00EC2726"/>
    <w:rsid w:val="00ED1644"/>
    <w:rsid w:val="00ED2593"/>
    <w:rsid w:val="00ED5B4F"/>
    <w:rsid w:val="00ED7D55"/>
    <w:rsid w:val="00ED7D9C"/>
    <w:rsid w:val="00EE31A2"/>
    <w:rsid w:val="00EF0069"/>
    <w:rsid w:val="00EF44A0"/>
    <w:rsid w:val="00EF4580"/>
    <w:rsid w:val="00EF4FED"/>
    <w:rsid w:val="00EF5F45"/>
    <w:rsid w:val="00EF6843"/>
    <w:rsid w:val="00EF6FB3"/>
    <w:rsid w:val="00F007C6"/>
    <w:rsid w:val="00F0172E"/>
    <w:rsid w:val="00F050BD"/>
    <w:rsid w:val="00F05657"/>
    <w:rsid w:val="00F05AB0"/>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16ED"/>
    <w:rsid w:val="00F52232"/>
    <w:rsid w:val="00F52DC2"/>
    <w:rsid w:val="00F550CF"/>
    <w:rsid w:val="00F553D2"/>
    <w:rsid w:val="00F57A6D"/>
    <w:rsid w:val="00F62F19"/>
    <w:rsid w:val="00F638CC"/>
    <w:rsid w:val="00F64C9E"/>
    <w:rsid w:val="00F64CC1"/>
    <w:rsid w:val="00F72317"/>
    <w:rsid w:val="00F73DC1"/>
    <w:rsid w:val="00F7499A"/>
    <w:rsid w:val="00F75BB8"/>
    <w:rsid w:val="00F80475"/>
    <w:rsid w:val="00F81390"/>
    <w:rsid w:val="00F81F7A"/>
    <w:rsid w:val="00F8247A"/>
    <w:rsid w:val="00F82E5C"/>
    <w:rsid w:val="00F83F58"/>
    <w:rsid w:val="00F87CEA"/>
    <w:rsid w:val="00F92F97"/>
    <w:rsid w:val="00F9590B"/>
    <w:rsid w:val="00F9629A"/>
    <w:rsid w:val="00F96B05"/>
    <w:rsid w:val="00F97EFC"/>
    <w:rsid w:val="00FA0C7C"/>
    <w:rsid w:val="00FA1BDD"/>
    <w:rsid w:val="00FA305C"/>
    <w:rsid w:val="00FA3C24"/>
    <w:rsid w:val="00FA4114"/>
    <w:rsid w:val="00FA462E"/>
    <w:rsid w:val="00FA4DD5"/>
    <w:rsid w:val="00FA5883"/>
    <w:rsid w:val="00FA6055"/>
    <w:rsid w:val="00FB0B39"/>
    <w:rsid w:val="00FB322F"/>
    <w:rsid w:val="00FB442F"/>
    <w:rsid w:val="00FC118C"/>
    <w:rsid w:val="00FC1929"/>
    <w:rsid w:val="00FC5B46"/>
    <w:rsid w:val="00FD1D4F"/>
    <w:rsid w:val="00FD24BF"/>
    <w:rsid w:val="00FD3B6E"/>
    <w:rsid w:val="00FD57EB"/>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rsid w:val="0092143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uiPriority w:val="99"/>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COMexecsummbulletlist">
    <w:name w:val="COM exec summ bullet list"/>
    <w:basedOn w:val="ListParagraph"/>
    <w:link w:val="COMexecsummbulletlistChar"/>
    <w:qFormat/>
    <w:rsid w:val="00921437"/>
    <w:pPr>
      <w:ind w:left="1134" w:hanging="360"/>
      <w:jc w:val="both"/>
    </w:pPr>
  </w:style>
  <w:style w:type="character" w:customStyle="1" w:styleId="COMexecsummbulletlistChar">
    <w:name w:val="COM exec summ bullet list Char"/>
    <w:basedOn w:val="DefaultParagraphFont"/>
    <w:link w:val="COMexecsummbulletlist"/>
    <w:rsid w:val="00921437"/>
    <w:rPr>
      <w:rFonts w:asciiTheme="minorHAnsi" w:hAnsiTheme="minorHAnsi" w:cs="Arial"/>
      <w:snapToGrid w:val="0"/>
      <w:sz w:val="24"/>
      <w:szCs w:val="24"/>
    </w:rPr>
  </w:style>
  <w:style w:type="paragraph" w:customStyle="1" w:styleId="COMH1numbered">
    <w:name w:val="COM H1 numbered"/>
    <w:next w:val="Normal"/>
    <w:qFormat/>
    <w:rsid w:val="00921437"/>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921437"/>
    <w:pPr>
      <w:ind w:left="1440" w:hanging="360"/>
      <w:jc w:val="both"/>
    </w:pPr>
  </w:style>
  <w:style w:type="character" w:customStyle="1" w:styleId="COMexecsumnumberedparaChar">
    <w:name w:val="COM exec sum numbered para Char"/>
    <w:basedOn w:val="DefaultParagraphFont"/>
    <w:link w:val="COMexecsumnumberedpara"/>
    <w:rsid w:val="00921437"/>
    <w:rPr>
      <w:rFonts w:asciiTheme="minorHAnsi" w:hAnsiTheme="minorHAnsi" w:cs="Arial"/>
      <w:snapToGrid w:val="0"/>
      <w:sz w:val="24"/>
      <w:szCs w:val="24"/>
    </w:rPr>
  </w:style>
  <w:style w:type="paragraph" w:customStyle="1" w:styleId="COMTabletext">
    <w:name w:val="COM Table text"/>
    <w:link w:val="COMTabletextChar"/>
    <w:qFormat/>
    <w:rsid w:val="00921437"/>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921437"/>
    <w:rPr>
      <w:rFonts w:ascii="Arial Narrow" w:eastAsiaTheme="majorEastAsia" w:hAnsi="Arial Narrow" w:cstheme="majorBidi"/>
      <w:bCs/>
      <w:szCs w:val="24"/>
    </w:rPr>
  </w:style>
  <w:style w:type="paragraph" w:customStyle="1" w:styleId="COMTableheadingrow">
    <w:name w:val="COM Table heading row"/>
    <w:qFormat/>
    <w:rsid w:val="00921437"/>
    <w:pPr>
      <w:keepNext/>
    </w:pPr>
    <w:rPr>
      <w:rFonts w:ascii="Arial Narrow" w:eastAsiaTheme="majorEastAsia" w:hAnsi="Arial Narrow"/>
      <w:b/>
      <w:szCs w:val="24"/>
      <w:lang w:val="en-US"/>
    </w:rPr>
  </w:style>
  <w:style w:type="paragraph" w:customStyle="1" w:styleId="COMtablefigcaption">
    <w:name w:val="COM table/fig caption"/>
    <w:next w:val="COMTableheadingrow"/>
    <w:link w:val="COMtablefigcaptionChar"/>
    <w:qFormat/>
    <w:rsid w:val="00921437"/>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921437"/>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921437"/>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921437"/>
    <w:rPr>
      <w:rFonts w:ascii="Arial Narrow" w:hAnsi="Arial Narrow" w:cs="Arial"/>
      <w:snapToGrid w:val="0"/>
      <w:sz w:val="18"/>
      <w:szCs w:val="22"/>
    </w:rPr>
  </w:style>
  <w:style w:type="paragraph" w:customStyle="1" w:styleId="pf0">
    <w:name w:val="pf0"/>
    <w:basedOn w:val="Normal"/>
    <w:rsid w:val="00921437"/>
    <w:pPr>
      <w:spacing w:before="100" w:beforeAutospacing="1" w:after="100" w:afterAutospacing="1"/>
      <w:jc w:val="left"/>
    </w:pPr>
    <w:rPr>
      <w:rFonts w:ascii="Times New Roman" w:hAnsi="Times New Roman"/>
    </w:rPr>
  </w:style>
  <w:style w:type="character" w:customStyle="1" w:styleId="cf01">
    <w:name w:val="cf01"/>
    <w:basedOn w:val="DefaultParagraphFont"/>
    <w:rsid w:val="00921437"/>
    <w:rPr>
      <w:rFonts w:ascii="Segoe UI" w:hAnsi="Segoe UI" w:cs="Segoe UI" w:hint="default"/>
      <w:sz w:val="18"/>
      <w:szCs w:val="18"/>
    </w:rPr>
  </w:style>
  <w:style w:type="character" w:customStyle="1" w:styleId="Heading4Char">
    <w:name w:val="Heading 4 Char"/>
    <w:basedOn w:val="DefaultParagraphFont"/>
    <w:link w:val="Heading4"/>
    <w:rsid w:val="00921437"/>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nhideWhenUsed/>
    <w:rsid w:val="00921437"/>
    <w:pPr>
      <w:spacing w:after="200"/>
    </w:pPr>
    <w:rPr>
      <w:i/>
      <w:iCs/>
      <w:color w:val="1F497D" w:themeColor="text2"/>
      <w:sz w:val="18"/>
      <w:szCs w:val="18"/>
    </w:rPr>
  </w:style>
  <w:style w:type="paragraph" w:customStyle="1" w:styleId="TableTextleftalign">
    <w:name w:val="Table Text left align"/>
    <w:basedOn w:val="TableTitlecentred"/>
    <w:link w:val="TableTextleftalignChar"/>
    <w:qFormat/>
    <w:rsid w:val="00921437"/>
    <w:pPr>
      <w:jc w:val="left"/>
    </w:pPr>
    <w:rPr>
      <w:b w:val="0"/>
      <w:szCs w:val="18"/>
    </w:rPr>
  </w:style>
  <w:style w:type="paragraph" w:customStyle="1" w:styleId="TableTextcentred">
    <w:name w:val="Table Text centred"/>
    <w:basedOn w:val="Normal"/>
    <w:link w:val="TableTextcentredChar"/>
    <w:qFormat/>
    <w:rsid w:val="00921437"/>
    <w:pPr>
      <w:jc w:val="center"/>
    </w:pPr>
    <w:rPr>
      <w:sz w:val="18"/>
      <w:szCs w:val="18"/>
      <w:lang w:eastAsia="en-US"/>
    </w:rPr>
  </w:style>
  <w:style w:type="character" w:customStyle="1" w:styleId="TableTextcentredChar">
    <w:name w:val="Table Text centred Char"/>
    <w:basedOn w:val="DefaultParagraphFont"/>
    <w:link w:val="TableTextcentred"/>
    <w:rsid w:val="00921437"/>
    <w:rPr>
      <w:rFonts w:ascii="Calibri" w:hAnsi="Calibri"/>
      <w:sz w:val="18"/>
      <w:szCs w:val="18"/>
      <w:lang w:eastAsia="en-US"/>
    </w:rPr>
  </w:style>
  <w:style w:type="character" w:customStyle="1" w:styleId="TableTextleftalignChar">
    <w:name w:val="Table Text left align Char"/>
    <w:basedOn w:val="DefaultParagraphFont"/>
    <w:link w:val="TableTextleftalign"/>
    <w:rsid w:val="00921437"/>
    <w:rPr>
      <w:rFonts w:ascii="Calibri" w:hAnsi="Calibri"/>
      <w:sz w:val="18"/>
      <w:szCs w:val="18"/>
      <w:lang w:eastAsia="en-US"/>
    </w:rPr>
  </w:style>
  <w:style w:type="paragraph" w:customStyle="1" w:styleId="TableTitlecentred">
    <w:name w:val="Table Title centred"/>
    <w:basedOn w:val="Normal"/>
    <w:rsid w:val="00921437"/>
    <w:pPr>
      <w:jc w:val="center"/>
    </w:pPr>
    <w:rPr>
      <w:b/>
      <w:sz w:val="18"/>
      <w:szCs w:val="20"/>
      <w:lang w:eastAsia="en-US"/>
    </w:rPr>
  </w:style>
  <w:style w:type="character" w:customStyle="1" w:styleId="bulletlevel1Char">
    <w:name w:val="bullet level 1 Char"/>
    <w:basedOn w:val="DefaultParagraphFont"/>
    <w:link w:val="bulletlevel1"/>
    <w:locked/>
    <w:rsid w:val="00D677E1"/>
    <w:rPr>
      <w:rFonts w:ascii="Calibri" w:hAnsi="Calibri" w:cs="Calibri"/>
      <w:sz w:val="22"/>
      <w:szCs w:val="22"/>
      <w:lang w:eastAsia="en-US"/>
    </w:rPr>
  </w:style>
  <w:style w:type="paragraph" w:customStyle="1" w:styleId="bulletlevel1">
    <w:name w:val="bullet level 1"/>
    <w:basedOn w:val="Normal"/>
    <w:link w:val="bulletlevel1Char"/>
    <w:rsid w:val="00D677E1"/>
    <w:pPr>
      <w:numPr>
        <w:numId w:val="6"/>
      </w:numPr>
      <w:tabs>
        <w:tab w:val="num" w:pos="426"/>
      </w:tabs>
      <w:ind w:left="426" w:hanging="426"/>
      <w:jc w:val="left"/>
    </w:pPr>
    <w:rPr>
      <w:rFonts w:cs="Calibri"/>
      <w:sz w:val="22"/>
      <w:szCs w:val="22"/>
      <w:lang w:eastAsia="en-US"/>
    </w:rPr>
  </w:style>
  <w:style w:type="character" w:customStyle="1" w:styleId="bulletlevel2Char">
    <w:name w:val="bullet level 2 Char"/>
    <w:basedOn w:val="DefaultParagraphFont"/>
    <w:link w:val="bulletlevel2"/>
    <w:locked/>
    <w:rsid w:val="00D677E1"/>
    <w:rPr>
      <w:rFonts w:ascii="Calibri" w:hAnsi="Calibri" w:cs="Calibri"/>
      <w:color w:val="000000"/>
      <w:sz w:val="22"/>
      <w:szCs w:val="22"/>
      <w:lang w:val="en-US" w:eastAsia="en-US"/>
    </w:rPr>
  </w:style>
  <w:style w:type="paragraph" w:customStyle="1" w:styleId="bulletlevel2">
    <w:name w:val="bullet level 2"/>
    <w:basedOn w:val="Normal"/>
    <w:link w:val="bulletlevel2Char"/>
    <w:rsid w:val="00D677E1"/>
    <w:pPr>
      <w:numPr>
        <w:numId w:val="7"/>
      </w:numPr>
      <w:tabs>
        <w:tab w:val="num" w:pos="851"/>
      </w:tabs>
      <w:ind w:left="851" w:hanging="425"/>
      <w:jc w:val="left"/>
    </w:pPr>
    <w:rPr>
      <w:rFonts w:cs="Calibri"/>
      <w:color w:val="000000"/>
      <w:sz w:val="22"/>
      <w:szCs w:val="22"/>
      <w:lang w:val="en-US" w:eastAsia="en-US"/>
    </w:rPr>
  </w:style>
  <w:style w:type="character" w:customStyle="1" w:styleId="TableSourceChar">
    <w:name w:val="Table Source Char"/>
    <w:basedOn w:val="DefaultParagraphFont"/>
    <w:link w:val="TableSource"/>
    <w:locked/>
    <w:rsid w:val="00D677E1"/>
    <w:rPr>
      <w:rFonts w:ascii="Calibri" w:hAnsi="Calibri" w:cs="Calibri"/>
      <w:i/>
      <w:iCs/>
      <w:sz w:val="16"/>
      <w:szCs w:val="22"/>
      <w:lang w:eastAsia="en-US"/>
    </w:rPr>
  </w:style>
  <w:style w:type="paragraph" w:customStyle="1" w:styleId="TableSource">
    <w:name w:val="Table Source"/>
    <w:basedOn w:val="Normal"/>
    <w:next w:val="Normal"/>
    <w:link w:val="TableSourceChar"/>
    <w:qFormat/>
    <w:rsid w:val="00D677E1"/>
    <w:pPr>
      <w:tabs>
        <w:tab w:val="left" w:pos="567"/>
      </w:tabs>
      <w:ind w:left="567" w:hanging="567"/>
      <w:jc w:val="left"/>
    </w:pPr>
    <w:rPr>
      <w:rFonts w:cs="Calibri"/>
      <w:i/>
      <w:iCs/>
      <w:sz w:val="16"/>
      <w:szCs w:val="22"/>
      <w:lang w:eastAsia="en-US"/>
    </w:rPr>
  </w:style>
  <w:style w:type="paragraph" w:customStyle="1" w:styleId="TableFootnotetext">
    <w:name w:val="Table Footnote text"/>
    <w:basedOn w:val="Normal"/>
    <w:qFormat/>
    <w:rsid w:val="00D677E1"/>
    <w:pPr>
      <w:jc w:val="left"/>
    </w:pPr>
    <w:rPr>
      <w:sz w:val="16"/>
      <w:szCs w:val="20"/>
      <w:lang w:eastAsia="en-US"/>
    </w:rPr>
  </w:style>
  <w:style w:type="paragraph" w:customStyle="1" w:styleId="FooterTableFigure">
    <w:name w:val="Footer Table/Figure"/>
    <w:basedOn w:val="Normal"/>
    <w:link w:val="FooterTableFigureChar"/>
    <w:qFormat/>
    <w:rsid w:val="006724ED"/>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6724ED"/>
    <w:rPr>
      <w:rFonts w:ascii="Arial Narrow" w:hAnsi="Arial Narrow" w:cs="Arial"/>
      <w:snapToGrid w:val="0"/>
      <w:sz w:val="18"/>
      <w:szCs w:val="22"/>
    </w:rPr>
  </w:style>
  <w:style w:type="paragraph" w:styleId="ListNumber">
    <w:name w:val="List Number"/>
    <w:basedOn w:val="Normal"/>
    <w:uiPriority w:val="16"/>
    <w:qFormat/>
    <w:rsid w:val="00BA74FA"/>
    <w:pPr>
      <w:tabs>
        <w:tab w:val="num" w:pos="357"/>
      </w:tabs>
      <w:spacing w:after="240" w:line="360" w:lineRule="auto"/>
      <w:ind w:left="357" w:hanging="357"/>
      <w:jc w:val="left"/>
    </w:pPr>
    <w:rPr>
      <w:rFonts w:ascii="Arial" w:eastAsiaTheme="minorHAnsi" w:hAnsi="Arial" w:cstheme="minorBidi"/>
      <w:sz w:val="20"/>
      <w:szCs w:val="20"/>
      <w:lang w:eastAsia="en-US"/>
    </w:rPr>
  </w:style>
  <w:style w:type="character" w:styleId="FootnoteReference">
    <w:name w:val="footnote reference"/>
    <w:basedOn w:val="DefaultParagraphFont"/>
    <w:unhideWhenUsed/>
    <w:rsid w:val="00837075"/>
    <w:rPr>
      <w:vertAlign w:val="superscript"/>
    </w:rPr>
  </w:style>
  <w:style w:type="paragraph" w:customStyle="1" w:styleId="3-SubsectionHeading">
    <w:name w:val="3-Subsection Heading"/>
    <w:basedOn w:val="Heading2"/>
    <w:next w:val="Normal"/>
    <w:link w:val="3-SubsectionHeadingChar"/>
    <w:qFormat/>
    <w:rsid w:val="00AA6F91"/>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AA6F91"/>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AA6F91"/>
    <w:rPr>
      <w:sz w:val="24"/>
      <w:szCs w:val="24"/>
      <w:lang w:eastAsia="en-US"/>
    </w:rPr>
  </w:style>
  <w:style w:type="paragraph" w:customStyle="1" w:styleId="Bulletpoints">
    <w:name w:val="Bullet points"/>
    <w:basedOn w:val="ListParagraph"/>
    <w:rsid w:val="009E019D"/>
    <w:pPr>
      <w:numPr>
        <w:numId w:val="24"/>
      </w:numPr>
      <w:contextualSpacing/>
      <w:jc w:val="both"/>
    </w:pPr>
  </w:style>
  <w:style w:type="character" w:styleId="UnresolvedMention">
    <w:name w:val="Unresolved Mention"/>
    <w:basedOn w:val="DefaultParagraphFont"/>
    <w:uiPriority w:val="99"/>
    <w:semiHidden/>
    <w:unhideWhenUsed/>
    <w:rsid w:val="009E0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4393012">
      <w:bodyDiv w:val="1"/>
      <w:marLeft w:val="0"/>
      <w:marRight w:val="0"/>
      <w:marTop w:val="0"/>
      <w:marBottom w:val="0"/>
      <w:divBdr>
        <w:top w:val="none" w:sz="0" w:space="0" w:color="auto"/>
        <w:left w:val="none" w:sz="0" w:space="0" w:color="auto"/>
        <w:bottom w:val="none" w:sz="0" w:space="0" w:color="auto"/>
        <w:right w:val="none" w:sz="0" w:space="0" w:color="auto"/>
      </w:divBdr>
    </w:div>
    <w:div w:id="37893774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4959192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01753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1725252">
      <w:bodyDiv w:val="1"/>
      <w:marLeft w:val="0"/>
      <w:marRight w:val="0"/>
      <w:marTop w:val="0"/>
      <w:marBottom w:val="0"/>
      <w:divBdr>
        <w:top w:val="none" w:sz="0" w:space="0" w:color="auto"/>
        <w:left w:val="none" w:sz="0" w:space="0" w:color="auto"/>
        <w:bottom w:val="none" w:sz="0" w:space="0" w:color="auto"/>
        <w:right w:val="none" w:sz="0" w:space="0" w:color="auto"/>
      </w:divBdr>
    </w:div>
    <w:div w:id="886183238">
      <w:bodyDiv w:val="1"/>
      <w:marLeft w:val="0"/>
      <w:marRight w:val="0"/>
      <w:marTop w:val="0"/>
      <w:marBottom w:val="0"/>
      <w:divBdr>
        <w:top w:val="none" w:sz="0" w:space="0" w:color="auto"/>
        <w:left w:val="none" w:sz="0" w:space="0" w:color="auto"/>
        <w:bottom w:val="none" w:sz="0" w:space="0" w:color="auto"/>
        <w:right w:val="none" w:sz="0" w:space="0" w:color="auto"/>
      </w:divBdr>
    </w:div>
    <w:div w:id="894778048">
      <w:bodyDiv w:val="1"/>
      <w:marLeft w:val="0"/>
      <w:marRight w:val="0"/>
      <w:marTop w:val="0"/>
      <w:marBottom w:val="0"/>
      <w:divBdr>
        <w:top w:val="none" w:sz="0" w:space="0" w:color="auto"/>
        <w:left w:val="none" w:sz="0" w:space="0" w:color="auto"/>
        <w:bottom w:val="none" w:sz="0" w:space="0" w:color="auto"/>
        <w:right w:val="none" w:sz="0" w:space="0" w:color="auto"/>
      </w:divBdr>
    </w:div>
    <w:div w:id="91305188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362261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679012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5861029">
      <w:bodyDiv w:val="1"/>
      <w:marLeft w:val="0"/>
      <w:marRight w:val="0"/>
      <w:marTop w:val="0"/>
      <w:marBottom w:val="0"/>
      <w:divBdr>
        <w:top w:val="none" w:sz="0" w:space="0" w:color="auto"/>
        <w:left w:val="none" w:sz="0" w:space="0" w:color="auto"/>
        <w:bottom w:val="none" w:sz="0" w:space="0" w:color="auto"/>
        <w:right w:val="none" w:sz="0" w:space="0" w:color="auto"/>
      </w:divBdr>
    </w:div>
    <w:div w:id="20606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data-in-australi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6461</Words>
  <Characters>36365</Characters>
  <Application>Microsoft Office Word</Application>
  <DocSecurity>0</DocSecurity>
  <Lines>1069</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2024-07-03T05:36:00Z</dcterms:created>
  <dcterms:modified xsi:type="dcterms:W3CDTF">2024-07-03T05:57:00Z</dcterms:modified>
</cp:coreProperties>
</file>